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40CC2" w:rsidTr="00EB4E9C">
        <w:tc>
          <w:tcPr>
            <w:tcW w:w="6522" w:type="dxa"/>
          </w:tcPr>
          <w:p w:rsidR="00DC3802" w:rsidRPr="00C40CC2" w:rsidRDefault="00DC3802" w:rsidP="00AC2883">
            <w:r w:rsidRPr="00C40CC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40CC2" w:rsidRDefault="00DC3802" w:rsidP="00AC2883">
            <w:pPr>
              <w:pStyle w:val="Lettrine"/>
            </w:pPr>
            <w:r w:rsidRPr="00C40CC2">
              <w:t>E</w:t>
            </w:r>
          </w:p>
        </w:tc>
      </w:tr>
      <w:tr w:rsidR="00DC3802" w:rsidRPr="00C40CC2" w:rsidTr="00645CA8">
        <w:trPr>
          <w:trHeight w:val="219"/>
        </w:trPr>
        <w:tc>
          <w:tcPr>
            <w:tcW w:w="6522" w:type="dxa"/>
          </w:tcPr>
          <w:p w:rsidR="00DC3802" w:rsidRPr="00C40CC2" w:rsidRDefault="00DC3802" w:rsidP="00AC2883">
            <w:pPr>
              <w:pStyle w:val="upove"/>
            </w:pPr>
            <w:r w:rsidRPr="00C40CC2">
              <w:t>International Union for the Protection of New Varieties of Plants</w:t>
            </w:r>
          </w:p>
        </w:tc>
        <w:tc>
          <w:tcPr>
            <w:tcW w:w="3117" w:type="dxa"/>
          </w:tcPr>
          <w:p w:rsidR="00DC3802" w:rsidRPr="00C40CC2" w:rsidRDefault="00DC3802" w:rsidP="00DA4973"/>
        </w:tc>
      </w:tr>
    </w:tbl>
    <w:p w:rsidR="00DC3802" w:rsidRPr="00C40CC2" w:rsidRDefault="00DC3802" w:rsidP="00DC3802"/>
    <w:p w:rsidR="00DA4973" w:rsidRPr="00C40CC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F3D01" w:rsidTr="00EB4E9C">
        <w:tc>
          <w:tcPr>
            <w:tcW w:w="6512" w:type="dxa"/>
          </w:tcPr>
          <w:p w:rsidR="00EB4E9C" w:rsidRPr="003F3D01" w:rsidRDefault="000E6267" w:rsidP="00AC2883">
            <w:pPr>
              <w:pStyle w:val="Sessiontc"/>
              <w:spacing w:line="240" w:lineRule="auto"/>
            </w:pPr>
            <w:r w:rsidRPr="003F3D01">
              <w:t>Enlarged Editorial Committee</w:t>
            </w:r>
          </w:p>
          <w:p w:rsidR="000E6267" w:rsidRPr="003F3D01" w:rsidRDefault="000E6267" w:rsidP="007D4635">
            <w:pPr>
              <w:pStyle w:val="Sessiontcplacedate"/>
            </w:pPr>
          </w:p>
          <w:p w:rsidR="00EB4E9C" w:rsidRPr="003F3D01" w:rsidRDefault="00EB4E9C" w:rsidP="00826260">
            <w:pPr>
              <w:pStyle w:val="Sessiontcplacedate"/>
              <w:rPr>
                <w:sz w:val="22"/>
              </w:rPr>
            </w:pPr>
            <w:r w:rsidRPr="003F3D01">
              <w:t xml:space="preserve">Geneva, </w:t>
            </w:r>
            <w:r w:rsidR="00826260">
              <w:t>March</w:t>
            </w:r>
            <w:r w:rsidR="00DC769D" w:rsidRPr="003F3D01">
              <w:t xml:space="preserve"> </w:t>
            </w:r>
            <w:r w:rsidR="00826260">
              <w:t>2</w:t>
            </w:r>
            <w:r w:rsidR="0086146F" w:rsidRPr="003F3D01">
              <w:t>2</w:t>
            </w:r>
            <w:r w:rsidR="00DC769D" w:rsidRPr="003F3D01">
              <w:t xml:space="preserve"> and </w:t>
            </w:r>
            <w:r w:rsidR="00826260">
              <w:t>2</w:t>
            </w:r>
            <w:r w:rsidR="0086146F" w:rsidRPr="003F3D01">
              <w:t>3</w:t>
            </w:r>
            <w:r w:rsidRPr="003F3D01">
              <w:t>, 20</w:t>
            </w:r>
            <w:r w:rsidR="007E1C9C" w:rsidRPr="003F3D01">
              <w:t>2</w:t>
            </w:r>
            <w:r w:rsidR="00826260">
              <w:t>2</w:t>
            </w:r>
          </w:p>
        </w:tc>
        <w:tc>
          <w:tcPr>
            <w:tcW w:w="3127" w:type="dxa"/>
          </w:tcPr>
          <w:p w:rsidR="00EB4E9C" w:rsidRPr="003F3D01" w:rsidRDefault="000E6267" w:rsidP="003C7FBE">
            <w:pPr>
              <w:pStyle w:val="Doccode"/>
            </w:pPr>
            <w:r w:rsidRPr="003F3D01">
              <w:t>TC-EDC</w:t>
            </w:r>
            <w:r w:rsidR="00A3365A" w:rsidRPr="003F3D01">
              <w:t>/</w:t>
            </w:r>
            <w:r w:rsidR="00826260">
              <w:t>Mar22</w:t>
            </w:r>
            <w:r w:rsidR="00EB4E9C" w:rsidRPr="003F3D01">
              <w:t>/</w:t>
            </w:r>
            <w:r w:rsidR="00F82AE2">
              <w:t>3</w:t>
            </w:r>
          </w:p>
          <w:p w:rsidR="00EB4E9C" w:rsidRPr="003F3D01" w:rsidRDefault="00EB4E9C" w:rsidP="003C7FBE">
            <w:pPr>
              <w:pStyle w:val="Docoriginal"/>
            </w:pPr>
            <w:r w:rsidRPr="003F3D01">
              <w:t>Original:</w:t>
            </w:r>
            <w:r w:rsidRPr="003F3D01">
              <w:rPr>
                <w:b w:val="0"/>
                <w:spacing w:val="0"/>
              </w:rPr>
              <w:t xml:space="preserve">  English</w:t>
            </w:r>
          </w:p>
          <w:p w:rsidR="00EB4E9C" w:rsidRPr="003F3D01" w:rsidRDefault="00EB4E9C" w:rsidP="007513C2">
            <w:pPr>
              <w:pStyle w:val="Docoriginal"/>
            </w:pPr>
            <w:r w:rsidRPr="003F3D01">
              <w:t>Date:</w:t>
            </w:r>
            <w:r w:rsidRPr="003F3D01">
              <w:rPr>
                <w:b w:val="0"/>
                <w:spacing w:val="0"/>
              </w:rPr>
              <w:t xml:space="preserve">  </w:t>
            </w:r>
            <w:r w:rsidR="00D705B0" w:rsidRPr="007513C2">
              <w:rPr>
                <w:b w:val="0"/>
                <w:spacing w:val="0"/>
              </w:rPr>
              <w:t xml:space="preserve">February </w:t>
            </w:r>
            <w:r w:rsidR="007513C2" w:rsidRPr="007513C2">
              <w:rPr>
                <w:b w:val="0"/>
                <w:spacing w:val="0"/>
              </w:rPr>
              <w:t>10</w:t>
            </w:r>
            <w:r w:rsidR="00481A2C" w:rsidRPr="007513C2">
              <w:rPr>
                <w:b w:val="0"/>
                <w:spacing w:val="0"/>
              </w:rPr>
              <w:t>, 2022</w:t>
            </w:r>
          </w:p>
        </w:tc>
      </w:tr>
    </w:tbl>
    <w:p w:rsidR="000D7780" w:rsidRPr="003F3D01" w:rsidRDefault="00C039AF" w:rsidP="006A644A">
      <w:pPr>
        <w:pStyle w:val="Titleofdoc0"/>
      </w:pPr>
      <w:bookmarkStart w:id="0" w:name="TitleOfDoc"/>
      <w:bookmarkEnd w:id="0"/>
      <w:r w:rsidRPr="00C039AF">
        <w:t>Matters to be resolved concerning Test Guidelines put forward for adoption by the Technical Committee</w:t>
      </w:r>
      <w:r>
        <w:t xml:space="preserve">:  </w:t>
      </w:r>
      <w:r w:rsidR="009B23EB">
        <w:t>Zinnia</w:t>
      </w:r>
    </w:p>
    <w:p w:rsidR="006A644A" w:rsidRPr="003F3D01" w:rsidRDefault="0061555F" w:rsidP="006A644A">
      <w:pPr>
        <w:pStyle w:val="preparedby1"/>
        <w:jc w:val="left"/>
      </w:pPr>
      <w:bookmarkStart w:id="1" w:name="Prepared"/>
      <w:bookmarkEnd w:id="1"/>
      <w:proofErr w:type="gramStart"/>
      <w:r w:rsidRPr="003F3D01">
        <w:t>prepared</w:t>
      </w:r>
      <w:proofErr w:type="gramEnd"/>
      <w:r w:rsidRPr="003F3D01">
        <w:t xml:space="preserve"> by the Office of the Union</w:t>
      </w:r>
    </w:p>
    <w:p w:rsidR="00050E16" w:rsidRPr="00C40CC2" w:rsidRDefault="00050E16" w:rsidP="006A644A">
      <w:pPr>
        <w:pStyle w:val="Disclaimer"/>
      </w:pPr>
      <w:r w:rsidRPr="003F3D01">
        <w:t>Disclaimer:  this document does not represent UPOV policies or guidance</w:t>
      </w:r>
    </w:p>
    <w:p w:rsidR="00C039AF" w:rsidRDefault="00C039AF" w:rsidP="00C039AF">
      <w:pPr>
        <w:autoSpaceDE w:val="0"/>
        <w:autoSpaceDN w:val="0"/>
        <w:adjustRightInd w:val="0"/>
      </w:pPr>
      <w:r>
        <w:fldChar w:fldCharType="begin"/>
      </w:r>
      <w:r>
        <w:instrText xml:space="preserve"> AUTONUM  </w:instrText>
      </w:r>
      <w:r>
        <w:fldChar w:fldCharType="end"/>
      </w:r>
      <w:r>
        <w:tab/>
        <w:t xml:space="preserve">The Enlarged Editorial Committee (TC-EDC) </w:t>
      </w:r>
      <w:r w:rsidRPr="00003DA0">
        <w:t>at its meeting</w:t>
      </w:r>
      <w:r>
        <w:t>,</w:t>
      </w:r>
      <w:r w:rsidRPr="00003DA0">
        <w:t xml:space="preserve"> </w:t>
      </w:r>
      <w:r w:rsidRPr="008D0013">
        <w:rPr>
          <w:rFonts w:cs="Arial"/>
        </w:rPr>
        <w:t xml:space="preserve">organized by electronic means, </w:t>
      </w:r>
      <w:r>
        <w:t>on October 12</w:t>
      </w:r>
      <w:r w:rsidRPr="008D0013">
        <w:t xml:space="preserve"> </w:t>
      </w:r>
      <w:r>
        <w:t>and 13</w:t>
      </w:r>
      <w:r w:rsidRPr="008D0013">
        <w:t>, 202</w:t>
      </w:r>
      <w:r>
        <w:t xml:space="preserve">1, considered the </w:t>
      </w:r>
      <w:r w:rsidRPr="002B6F72">
        <w:rPr>
          <w:rFonts w:cs="Arial"/>
        </w:rPr>
        <w:t xml:space="preserve">draft Test Guidelines for </w:t>
      </w:r>
      <w:r w:rsidR="009B23EB">
        <w:rPr>
          <w:rFonts w:cs="Arial"/>
        </w:rPr>
        <w:t>Zinnia</w:t>
      </w:r>
      <w:r>
        <w:rPr>
          <w:rFonts w:cs="Arial"/>
        </w:rPr>
        <w:t xml:space="preserve"> (</w:t>
      </w:r>
      <w:r>
        <w:t xml:space="preserve">document </w:t>
      </w:r>
      <w:hyperlink r:id="rId8" w:history="1">
        <w:r w:rsidR="009B23EB" w:rsidRPr="009B23EB">
          <w:rPr>
            <w:rStyle w:val="Hyperlink"/>
            <w:rFonts w:cs="Arial"/>
            <w:color w:val="0066CC"/>
            <w:szCs w:val="18"/>
            <w:shd w:val="clear" w:color="auto" w:fill="FFFFFF"/>
          </w:rPr>
          <w:t>TG/</w:t>
        </w:r>
        <w:proofErr w:type="gramStart"/>
        <w:r w:rsidR="009B23EB" w:rsidRPr="009B23EB">
          <w:rPr>
            <w:rStyle w:val="Hyperlink"/>
            <w:rFonts w:cs="Arial"/>
            <w:color w:val="0066CC"/>
            <w:szCs w:val="18"/>
            <w:shd w:val="clear" w:color="auto" w:fill="FFFFFF"/>
          </w:rPr>
          <w:t>ZINNIA(</w:t>
        </w:r>
        <w:proofErr w:type="gramEnd"/>
        <w:r w:rsidR="009B23EB">
          <w:rPr>
            <w:rStyle w:val="Hyperlink"/>
            <w:rFonts w:cs="Arial"/>
            <w:color w:val="0066CC"/>
            <w:szCs w:val="18"/>
            <w:shd w:val="clear" w:color="auto" w:fill="FFFFFF"/>
          </w:rPr>
          <w:t>proj</w:t>
        </w:r>
        <w:r w:rsidR="009B23EB" w:rsidRPr="009B23EB">
          <w:rPr>
            <w:rStyle w:val="Hyperlink"/>
            <w:rFonts w:cs="Arial"/>
            <w:color w:val="0066CC"/>
            <w:szCs w:val="18"/>
            <w:shd w:val="clear" w:color="auto" w:fill="FFFFFF"/>
          </w:rPr>
          <w:t>.10)</w:t>
        </w:r>
      </w:hyperlink>
      <w:r>
        <w:t xml:space="preserve">) and </w:t>
      </w:r>
      <w:r w:rsidRPr="002B6F72">
        <w:rPr>
          <w:rFonts w:cs="Arial"/>
        </w:rPr>
        <w:t xml:space="preserve">agreed that </w:t>
      </w:r>
      <w:r>
        <w:rPr>
          <w:rFonts w:cs="Arial"/>
        </w:rPr>
        <w:t>it</w:t>
      </w:r>
      <w:r w:rsidRPr="002B6F72">
        <w:rPr>
          <w:rFonts w:cs="Arial"/>
        </w:rPr>
        <w:t xml:space="preserve"> required editorial clarifications to be provided by the Leading Expert.  The TC-EDC </w:t>
      </w:r>
      <w:r w:rsidRPr="002B6F72">
        <w:t>agreed to reconsider the draft Test</w:t>
      </w:r>
      <w:r>
        <w:t> </w:t>
      </w:r>
      <w:r w:rsidRPr="002B6F72">
        <w:t xml:space="preserve">Guidelines at its meeting to be held in </w:t>
      </w:r>
      <w:r>
        <w:t>March 2022</w:t>
      </w:r>
      <w:r w:rsidRPr="002B6F72">
        <w:t>.</w:t>
      </w:r>
      <w:r w:rsidRPr="00003DA0">
        <w:t xml:space="preserve">  </w:t>
      </w:r>
    </w:p>
    <w:p w:rsidR="00C039AF" w:rsidRDefault="00C039AF" w:rsidP="00C039AF">
      <w:pPr>
        <w:autoSpaceDE w:val="0"/>
        <w:autoSpaceDN w:val="0"/>
        <w:adjustRightInd w:val="0"/>
      </w:pPr>
    </w:p>
    <w:p w:rsidR="00C039AF" w:rsidRDefault="00C039AF" w:rsidP="00C039AF">
      <w:pPr>
        <w:autoSpaceDE w:val="0"/>
        <w:autoSpaceDN w:val="0"/>
        <w:adjustRightInd w:val="0"/>
      </w:pPr>
      <w:r>
        <w:rPr>
          <w:rFonts w:cs="Arial"/>
          <w:bCs/>
          <w:snapToGrid w:val="0"/>
          <w:color w:val="000000"/>
        </w:rPr>
        <w:fldChar w:fldCharType="begin"/>
      </w:r>
      <w:r>
        <w:rPr>
          <w:rFonts w:cs="Arial"/>
          <w:bCs/>
          <w:snapToGrid w:val="0"/>
          <w:color w:val="000000"/>
        </w:rPr>
        <w:instrText xml:space="preserve"> AUTONUM  </w:instrText>
      </w:r>
      <w:r>
        <w:rPr>
          <w:rFonts w:cs="Arial"/>
          <w:bCs/>
          <w:snapToGrid w:val="0"/>
          <w:color w:val="000000"/>
        </w:rPr>
        <w:fldChar w:fldCharType="end"/>
      </w:r>
      <w:r>
        <w:rPr>
          <w:rFonts w:cs="Arial"/>
          <w:bCs/>
          <w:snapToGrid w:val="0"/>
          <w:color w:val="000000"/>
        </w:rPr>
        <w:tab/>
        <w:t xml:space="preserve">Recommendations from the TC-EDC on the draft Test Guidelines for </w:t>
      </w:r>
      <w:r w:rsidR="009B23EB">
        <w:rPr>
          <w:rFonts w:cs="Arial"/>
          <w:bCs/>
          <w:snapToGrid w:val="0"/>
          <w:color w:val="000000"/>
        </w:rPr>
        <w:t xml:space="preserve">Zinnia </w:t>
      </w:r>
      <w:r>
        <w:t>are presented in the table below</w:t>
      </w:r>
      <w:r>
        <w:rPr>
          <w:rFonts w:cs="Arial"/>
          <w:bCs/>
          <w:snapToGrid w:val="0"/>
          <w:color w:val="000000"/>
        </w:rPr>
        <w:t xml:space="preserve">, including the </w:t>
      </w:r>
      <w:r w:rsidRPr="002B6F72">
        <w:rPr>
          <w:rFonts w:cs="Arial"/>
        </w:rPr>
        <w:t xml:space="preserve">required editorial clarifications (indicated </w:t>
      </w:r>
      <w:r>
        <w:rPr>
          <w:rFonts w:cs="Arial"/>
        </w:rPr>
        <w:t xml:space="preserve">with </w:t>
      </w:r>
      <w:r w:rsidRPr="002B6F72">
        <w:rPr>
          <w:rFonts w:cs="Arial"/>
        </w:rPr>
        <w:t>“</w:t>
      </w:r>
      <w:r w:rsidRPr="002B6F72">
        <w:rPr>
          <w:rFonts w:cs="Arial"/>
          <w:vertAlign w:val="superscript"/>
        </w:rPr>
        <w:t>#</w:t>
      </w:r>
      <w:r w:rsidRPr="002B6F72">
        <w:rPr>
          <w:rFonts w:cs="Arial"/>
        </w:rPr>
        <w:t>”)</w:t>
      </w:r>
      <w:r>
        <w:rPr>
          <w:rFonts w:cs="Arial"/>
        </w:rPr>
        <w:t xml:space="preserve"> and </w:t>
      </w:r>
      <w:r>
        <w:t xml:space="preserve">responses from the Leading Expert, </w:t>
      </w:r>
      <w:r w:rsidR="009B23EB">
        <w:t xml:space="preserve">Mr. Jose </w:t>
      </w:r>
      <w:proofErr w:type="spellStart"/>
      <w:r w:rsidR="009B23EB">
        <w:t>Mejía</w:t>
      </w:r>
      <w:proofErr w:type="spellEnd"/>
      <w:r w:rsidR="009B23EB">
        <w:t xml:space="preserve"> Muñoz</w:t>
      </w:r>
      <w:r>
        <w:t xml:space="preserve"> (</w:t>
      </w:r>
      <w:r w:rsidR="009B23EB">
        <w:t>Mexico</w:t>
      </w:r>
      <w:r>
        <w:t>):</w:t>
      </w:r>
    </w:p>
    <w:p w:rsidR="00C039AF" w:rsidRDefault="00C039AF" w:rsidP="00C039AF">
      <w:pPr>
        <w:autoSpaceDE w:val="0"/>
        <w:autoSpaceDN w:val="0"/>
        <w:adjustRightInd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9B23EB" w:rsidRPr="00953961" w:rsidTr="003E1838">
        <w:trPr>
          <w:cantSplit/>
        </w:trPr>
        <w:tc>
          <w:tcPr>
            <w:tcW w:w="1573" w:type="dxa"/>
          </w:tcPr>
          <w:p w:rsidR="009B23EB" w:rsidRDefault="009B23EB" w:rsidP="003E1838">
            <w:pPr>
              <w:rPr>
                <w:rFonts w:cs="Arial"/>
              </w:rPr>
            </w:pPr>
            <w:r>
              <w:rPr>
                <w:rFonts w:cs="Arial"/>
              </w:rPr>
              <w:t>Cover page</w:t>
            </w:r>
          </w:p>
        </w:tc>
        <w:tc>
          <w:tcPr>
            <w:tcW w:w="8208" w:type="dxa"/>
          </w:tcPr>
          <w:p w:rsidR="009B23EB" w:rsidRDefault="009B23EB" w:rsidP="003E1838">
            <w:pPr>
              <w:rPr>
                <w:lang w:val="en-CA"/>
              </w:rPr>
            </w:pPr>
            <w:r>
              <w:rPr>
                <w:lang w:val="en-CA"/>
              </w:rPr>
              <w:t>to spell “</w:t>
            </w:r>
            <w:r w:rsidRPr="00B716FE">
              <w:rPr>
                <w:lang w:val="en-CA"/>
              </w:rPr>
              <w:t xml:space="preserve">Peruvian zinnia” and “Wild zinnia” with a capital </w:t>
            </w:r>
            <w:r>
              <w:rPr>
                <w:lang w:val="en-CA"/>
              </w:rPr>
              <w:t>“</w:t>
            </w:r>
            <w:r w:rsidRPr="00B716FE">
              <w:rPr>
                <w:lang w:val="en-CA"/>
              </w:rPr>
              <w:t>Z</w:t>
            </w:r>
            <w:r>
              <w:rPr>
                <w:lang w:val="en-CA"/>
              </w:rPr>
              <w:t>”</w:t>
            </w:r>
          </w:p>
          <w:p w:rsidR="0018715A" w:rsidRPr="0018715A" w:rsidRDefault="0018715A" w:rsidP="003E1838">
            <w:pPr>
              <w:rPr>
                <w:i/>
                <w:lang w:val="en-CA"/>
              </w:rPr>
            </w:pPr>
            <w:r w:rsidRPr="0018715A">
              <w:rPr>
                <w:i/>
                <w:lang w:val="en-CA"/>
              </w:rPr>
              <w:t>Leading Expert:  agreed</w:t>
            </w:r>
          </w:p>
        </w:tc>
      </w:tr>
      <w:tr w:rsidR="009B23EB" w:rsidRPr="0032758E" w:rsidTr="003E1838">
        <w:trPr>
          <w:cantSplit/>
        </w:trPr>
        <w:tc>
          <w:tcPr>
            <w:tcW w:w="1573" w:type="dxa"/>
          </w:tcPr>
          <w:p w:rsidR="009B23EB" w:rsidRPr="00784926" w:rsidRDefault="009B23EB" w:rsidP="003E1838">
            <w:pPr>
              <w:rPr>
                <w:rFonts w:cs="Arial"/>
              </w:rPr>
            </w:pPr>
            <w:r w:rsidRPr="00B716FE">
              <w:rPr>
                <w:rFonts w:cs="Arial"/>
                <w:vertAlign w:val="superscript"/>
              </w:rPr>
              <w:t>#</w:t>
            </w:r>
            <w:r>
              <w:rPr>
                <w:rFonts w:cs="Arial"/>
              </w:rPr>
              <w:t>2.3</w:t>
            </w:r>
          </w:p>
        </w:tc>
        <w:tc>
          <w:tcPr>
            <w:tcW w:w="8208" w:type="dxa"/>
          </w:tcPr>
          <w:p w:rsidR="009B23EB" w:rsidRPr="0032758E" w:rsidRDefault="009B23EB" w:rsidP="003E1838">
            <w:pPr>
              <w:keepNext/>
              <w:rPr>
                <w:rFonts w:cs="Arial"/>
                <w:lang w:val="en-GB"/>
              </w:rPr>
            </w:pPr>
            <w:r>
              <w:rPr>
                <w:rFonts w:cs="Arial"/>
                <w:lang w:val="en-GB"/>
              </w:rPr>
              <w:t>to check whether to read:</w:t>
            </w:r>
          </w:p>
          <w:p w:rsidR="009B23EB" w:rsidRPr="0032758E" w:rsidRDefault="009B23EB" w:rsidP="003E1838">
            <w:pPr>
              <w:keepNext/>
              <w:rPr>
                <w:rFonts w:cs="Arial"/>
                <w:lang w:val="en-GB"/>
              </w:rPr>
            </w:pPr>
            <w:r>
              <w:rPr>
                <w:rFonts w:cs="Arial"/>
                <w:lang w:val="en-GB"/>
              </w:rPr>
              <w:t>“</w:t>
            </w:r>
            <w:r w:rsidRPr="0032758E">
              <w:rPr>
                <w:rFonts w:cs="Arial"/>
                <w:lang w:val="en-GB"/>
              </w:rPr>
              <w:t xml:space="preserve">The minimum quantity of plant material, to be supplied by the applicant, should be: </w:t>
            </w:r>
          </w:p>
          <w:p w:rsidR="009B23EB" w:rsidRPr="0032758E" w:rsidRDefault="009B23EB" w:rsidP="003E1838">
            <w:pPr>
              <w:keepNext/>
              <w:rPr>
                <w:rFonts w:cs="Arial"/>
                <w:lang w:val="en-GB"/>
              </w:rPr>
            </w:pPr>
            <w:r>
              <w:rPr>
                <w:rFonts w:cs="Arial"/>
                <w:lang w:val="en-GB"/>
              </w:rPr>
              <w:t>“</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Self-pollinated varieties</w:t>
            </w:r>
            <w:r w:rsidRPr="0032758E">
              <w:rPr>
                <w:rFonts w:cs="Arial"/>
                <w:lang w:val="en-GB"/>
              </w:rPr>
              <w:t xml:space="preserve">: a sufficient quantity of seed to produce </w:t>
            </w:r>
            <w:r w:rsidRPr="006D363C">
              <w:rPr>
                <w:rFonts w:eastAsia="MS Mincho" w:cs="Arial"/>
                <w:lang w:eastAsia="ja-JP"/>
              </w:rPr>
              <w:t xml:space="preserve">a minimum of </w:t>
            </w:r>
            <w:r w:rsidRPr="0032758E">
              <w:rPr>
                <w:rFonts w:cs="Arial"/>
                <w:lang w:val="en-GB"/>
              </w:rPr>
              <w:t>15 plants.</w:t>
            </w:r>
          </w:p>
          <w:p w:rsidR="009B23EB" w:rsidRDefault="009B23EB" w:rsidP="003E1838">
            <w:pPr>
              <w:keepNext/>
              <w:rPr>
                <w:rFonts w:cs="Arial"/>
                <w:lang w:val="en-GB"/>
              </w:rPr>
            </w:pPr>
            <w:r>
              <w:rPr>
                <w:rFonts w:cs="Arial"/>
                <w:lang w:val="en-GB"/>
              </w:rPr>
              <w:t>“</w:t>
            </w:r>
            <w:r w:rsidRPr="0032758E">
              <w:rPr>
                <w:rFonts w:cs="Arial"/>
                <w:lang w:val="en-GB"/>
              </w:rPr>
              <w:t xml:space="preserve">Cross-pollinated varieties: a sufficient quantity of seed to produce </w:t>
            </w:r>
            <w:r w:rsidRPr="006D363C">
              <w:rPr>
                <w:rFonts w:eastAsia="MS Mincho" w:cs="Arial"/>
                <w:lang w:eastAsia="ja-JP"/>
              </w:rPr>
              <w:t xml:space="preserve">a minimum of </w:t>
            </w:r>
            <w:r>
              <w:rPr>
                <w:rFonts w:cs="Arial"/>
                <w:lang w:val="en-GB"/>
              </w:rPr>
              <w:t>40 plants</w:t>
            </w:r>
            <w:r w:rsidRPr="0032758E">
              <w:rPr>
                <w:rFonts w:cs="Arial"/>
                <w:lang w:val="en-GB"/>
              </w:rPr>
              <w:t>.</w:t>
            </w:r>
            <w:r>
              <w:rPr>
                <w:rFonts w:cs="Arial"/>
                <w:lang w:val="en-GB"/>
              </w:rPr>
              <w:t>”</w:t>
            </w:r>
          </w:p>
          <w:p w:rsidR="00404F1F" w:rsidRPr="00404F1F" w:rsidRDefault="00404F1F" w:rsidP="003E1838">
            <w:pPr>
              <w:keepNext/>
              <w:rPr>
                <w:rFonts w:cs="Arial"/>
                <w:i/>
                <w:lang w:val="en-GB"/>
              </w:rPr>
            </w:pPr>
            <w:r w:rsidRPr="00404F1F">
              <w:rPr>
                <w:rFonts w:cs="Arial"/>
                <w:i/>
                <w:lang w:val="en-GB"/>
              </w:rPr>
              <w:t>Leading Expert:  Zinnia plants are self</w:t>
            </w:r>
            <w:r w:rsidRPr="00404F1F">
              <w:rPr>
                <w:rFonts w:cs="Arial"/>
                <w:i/>
                <w:lang w:val="en-GB"/>
              </w:rPr>
              <w:noBreakHyphen/>
              <w:t xml:space="preserve">incompatible.  </w:t>
            </w:r>
            <w:proofErr w:type="spellStart"/>
            <w:r w:rsidRPr="00404F1F">
              <w:rPr>
                <w:rFonts w:cs="Arial"/>
                <w:i/>
                <w:lang w:val="en-GB"/>
              </w:rPr>
              <w:t>Androsterility</w:t>
            </w:r>
            <w:proofErr w:type="spellEnd"/>
            <w:r w:rsidRPr="00404F1F">
              <w:rPr>
                <w:rFonts w:cs="Arial"/>
                <w:i/>
                <w:lang w:val="en-GB"/>
              </w:rPr>
              <w:t xml:space="preserve"> is a natural trait that allows producing homozygous plants similar to Sunflower and Marigold.  Therefore, 2.3 to read:</w:t>
            </w:r>
          </w:p>
          <w:p w:rsidR="00404F1F" w:rsidRPr="0032758E" w:rsidRDefault="00404F1F" w:rsidP="00404F1F">
            <w:pPr>
              <w:keepNext/>
              <w:rPr>
                <w:rFonts w:cs="Arial"/>
                <w:lang w:val="en-GB"/>
              </w:rPr>
            </w:pPr>
            <w:r>
              <w:rPr>
                <w:rFonts w:cs="Arial"/>
                <w:lang w:val="en-GB"/>
              </w:rPr>
              <w:t>“</w:t>
            </w:r>
            <w:r w:rsidRPr="0032758E">
              <w:rPr>
                <w:rFonts w:cs="Arial"/>
                <w:lang w:val="en-GB"/>
              </w:rPr>
              <w:t xml:space="preserve">The minimum quantity of plant material, to be supplied by the applicant, should be: </w:t>
            </w:r>
          </w:p>
          <w:p w:rsidR="00404F1F" w:rsidRPr="0032758E" w:rsidRDefault="00404F1F" w:rsidP="00404F1F">
            <w:pPr>
              <w:keepNext/>
              <w:rPr>
                <w:rFonts w:cs="Arial"/>
                <w:lang w:val="en-GB"/>
              </w:rPr>
            </w:pPr>
            <w:r>
              <w:rPr>
                <w:rFonts w:cs="Arial"/>
                <w:lang w:val="en-GB"/>
              </w:rPr>
              <w:t>“</w:t>
            </w:r>
            <w:r w:rsidRPr="00404F1F">
              <w:rPr>
                <w:rFonts w:cs="Arial"/>
                <w:lang w:val="en-GB"/>
              </w:rPr>
              <w:t>F1 hybrids</w:t>
            </w:r>
            <w:r w:rsidRPr="0032758E">
              <w:rPr>
                <w:rFonts w:cs="Arial"/>
                <w:lang w:val="en-GB"/>
              </w:rPr>
              <w:t xml:space="preserve">: a sufficient quantity of seed to produce </w:t>
            </w:r>
            <w:r w:rsidRPr="006D363C">
              <w:rPr>
                <w:rFonts w:eastAsia="MS Mincho" w:cs="Arial"/>
                <w:lang w:eastAsia="ja-JP"/>
              </w:rPr>
              <w:t xml:space="preserve">a minimum of </w:t>
            </w:r>
            <w:r w:rsidRPr="0032758E">
              <w:rPr>
                <w:rFonts w:cs="Arial"/>
                <w:lang w:val="en-GB"/>
              </w:rPr>
              <w:t>15 plants.</w:t>
            </w:r>
          </w:p>
          <w:p w:rsidR="00404F1F" w:rsidRPr="0032758E" w:rsidRDefault="00404F1F" w:rsidP="008E20DB">
            <w:pPr>
              <w:keepNext/>
              <w:rPr>
                <w:rFonts w:cs="Arial"/>
                <w:lang w:val="en-GB"/>
              </w:rPr>
            </w:pPr>
            <w:r>
              <w:rPr>
                <w:rFonts w:cs="Arial"/>
                <w:lang w:val="en-GB"/>
              </w:rPr>
              <w:t>“</w:t>
            </w:r>
            <w:r w:rsidRPr="00404F1F">
              <w:rPr>
                <w:rFonts w:cs="Arial"/>
                <w:strike/>
                <w:highlight w:val="lightGray"/>
                <w:lang w:val="en-GB"/>
              </w:rPr>
              <w:t>Cross-pollinated</w:t>
            </w:r>
            <w:r w:rsidRPr="00404F1F">
              <w:rPr>
                <w:rFonts w:cs="Arial"/>
                <w:highlight w:val="lightGray"/>
                <w:lang w:val="en-GB"/>
              </w:rPr>
              <w:t xml:space="preserve"> </w:t>
            </w:r>
            <w:r w:rsidRPr="00404F1F">
              <w:rPr>
                <w:rFonts w:cs="Arial"/>
                <w:highlight w:val="lightGray"/>
                <w:u w:val="single"/>
                <w:lang w:val="en-GB"/>
              </w:rPr>
              <w:t>open</w:t>
            </w:r>
            <w:r w:rsidR="008E20DB">
              <w:rPr>
                <w:rFonts w:cs="Arial"/>
                <w:highlight w:val="lightGray"/>
                <w:u w:val="single"/>
                <w:lang w:val="en-GB"/>
              </w:rPr>
              <w:t>-</w:t>
            </w:r>
            <w:r w:rsidRPr="00404F1F">
              <w:rPr>
                <w:rFonts w:cs="Arial"/>
                <w:highlight w:val="lightGray"/>
                <w:u w:val="single"/>
                <w:lang w:val="en-GB"/>
              </w:rPr>
              <w:t>pollinated</w:t>
            </w:r>
            <w:r>
              <w:rPr>
                <w:rFonts w:cs="Arial"/>
                <w:lang w:val="en-GB"/>
              </w:rPr>
              <w:t xml:space="preserve"> </w:t>
            </w:r>
            <w:r w:rsidRPr="0032758E">
              <w:rPr>
                <w:rFonts w:cs="Arial"/>
                <w:lang w:val="en-GB"/>
              </w:rPr>
              <w:t xml:space="preserve">varieties: a sufficient quantity of seed to produce </w:t>
            </w:r>
            <w:r w:rsidRPr="006D363C">
              <w:rPr>
                <w:rFonts w:eastAsia="MS Mincho" w:cs="Arial"/>
                <w:lang w:eastAsia="ja-JP"/>
              </w:rPr>
              <w:t xml:space="preserve">a minimum of </w:t>
            </w:r>
            <w:r>
              <w:rPr>
                <w:rFonts w:cs="Arial"/>
                <w:lang w:val="en-GB"/>
              </w:rPr>
              <w:t>40 plants</w:t>
            </w:r>
            <w:r w:rsidRPr="0032758E">
              <w:rPr>
                <w:rFonts w:cs="Arial"/>
                <w:lang w:val="en-GB"/>
              </w:rPr>
              <w:t>.</w:t>
            </w:r>
            <w:r>
              <w:rPr>
                <w:rFonts w:cs="Arial"/>
                <w:lang w:val="en-GB"/>
              </w:rPr>
              <w:t>”</w:t>
            </w:r>
          </w:p>
        </w:tc>
      </w:tr>
      <w:tr w:rsidR="009B23EB" w:rsidRPr="000449A0" w:rsidTr="003E1838">
        <w:trPr>
          <w:cantSplit/>
        </w:trPr>
        <w:tc>
          <w:tcPr>
            <w:tcW w:w="1573" w:type="dxa"/>
            <w:shd w:val="clear" w:color="auto" w:fill="auto"/>
          </w:tcPr>
          <w:p w:rsidR="009B23EB" w:rsidRPr="00D66F3B" w:rsidRDefault="009B23EB" w:rsidP="003E1838">
            <w:pPr>
              <w:pStyle w:val="BodyText"/>
              <w:jc w:val="left"/>
              <w:rPr>
                <w:rFonts w:eastAsia="MS Mincho" w:cs="Arial"/>
                <w:lang w:eastAsia="ja-JP"/>
              </w:rPr>
            </w:pPr>
            <w:r w:rsidRPr="00B716FE">
              <w:rPr>
                <w:rFonts w:cs="Arial"/>
                <w:vertAlign w:val="superscript"/>
              </w:rPr>
              <w:t>#</w:t>
            </w:r>
            <w:r w:rsidRPr="00D66F3B">
              <w:rPr>
                <w:rFonts w:eastAsia="MS Mincho" w:cs="Arial"/>
                <w:lang w:eastAsia="ja-JP"/>
              </w:rPr>
              <w:t>3.4.1</w:t>
            </w:r>
          </w:p>
        </w:tc>
        <w:tc>
          <w:tcPr>
            <w:tcW w:w="8208" w:type="dxa"/>
          </w:tcPr>
          <w:p w:rsidR="009B23EB" w:rsidRDefault="009B23EB" w:rsidP="003E1838">
            <w:pPr>
              <w:pStyle w:val="BodyText"/>
              <w:jc w:val="left"/>
              <w:rPr>
                <w:rFonts w:eastAsia="MS Mincho" w:cs="Arial"/>
                <w:lang w:eastAsia="ja-JP"/>
              </w:rPr>
            </w:pPr>
            <w:r>
              <w:rPr>
                <w:rFonts w:eastAsia="MS Mincho" w:cs="Arial"/>
                <w:lang w:eastAsia="ja-JP"/>
              </w:rPr>
              <w:t>to check whether to read “</w:t>
            </w:r>
            <w:r w:rsidRPr="006D363C">
              <w:rPr>
                <w:rFonts w:eastAsia="MS Mincho" w:cs="Arial"/>
                <w:lang w:eastAsia="ja-JP"/>
              </w:rPr>
              <w:t xml:space="preserve">In the case of </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self-pollinated varieties</w:t>
            </w:r>
            <w:r w:rsidRPr="006D363C">
              <w:rPr>
                <w:rFonts w:eastAsia="MS Mincho" w:cs="Arial"/>
                <w:lang w:eastAsia="ja-JP"/>
              </w:rPr>
              <w:t>, each test</w:t>
            </w:r>
            <w:r>
              <w:rPr>
                <w:rFonts w:eastAsia="MS Mincho" w:cs="Arial"/>
                <w:lang w:eastAsia="ja-JP"/>
              </w:rPr>
              <w:t xml:space="preserve"> …”</w:t>
            </w:r>
          </w:p>
          <w:p w:rsidR="00404F1F" w:rsidRDefault="009A53C2" w:rsidP="009A53C2">
            <w:pPr>
              <w:pStyle w:val="BodyText"/>
              <w:jc w:val="left"/>
              <w:rPr>
                <w:rFonts w:cs="Arial"/>
                <w:i/>
                <w:lang w:val="en-GB"/>
              </w:rPr>
            </w:pPr>
            <w:r w:rsidRPr="00404F1F">
              <w:rPr>
                <w:rFonts w:cs="Arial"/>
                <w:i/>
                <w:lang w:val="en-GB"/>
              </w:rPr>
              <w:t xml:space="preserve">Leading Expert:  </w:t>
            </w:r>
            <w:r>
              <w:rPr>
                <w:rFonts w:cs="Arial"/>
                <w:i/>
                <w:lang w:val="en-GB"/>
              </w:rPr>
              <w:t xml:space="preserve">keep 3.4.1 as it is </w:t>
            </w:r>
            <w:r w:rsidR="003604A4">
              <w:rPr>
                <w:rFonts w:cs="Arial"/>
                <w:i/>
                <w:lang w:val="en-GB"/>
              </w:rPr>
              <w:t>(</w:t>
            </w:r>
            <w:r>
              <w:rPr>
                <w:rFonts w:cs="Arial"/>
                <w:i/>
                <w:lang w:val="en-GB"/>
              </w:rPr>
              <w:t>see 2.3</w:t>
            </w:r>
            <w:r w:rsidR="003604A4">
              <w:rPr>
                <w:rFonts w:cs="Arial"/>
                <w:i/>
                <w:lang w:val="en-GB"/>
              </w:rPr>
              <w:t>)</w:t>
            </w:r>
          </w:p>
          <w:p w:rsidR="009A53C2" w:rsidRPr="008E20DB" w:rsidRDefault="009A53C2" w:rsidP="008E20DB">
            <w:pPr>
              <w:pStyle w:val="BodyText"/>
              <w:jc w:val="left"/>
              <w:rPr>
                <w:highlight w:val="lightGray"/>
                <w:u w:val="single"/>
              </w:rPr>
            </w:pPr>
            <w:r>
              <w:rPr>
                <w:rFonts w:cs="Arial"/>
                <w:i/>
                <w:lang w:val="en-GB"/>
              </w:rPr>
              <w:t xml:space="preserve">3.4.2 </w:t>
            </w:r>
            <w:proofErr w:type="gramStart"/>
            <w:r>
              <w:rPr>
                <w:rFonts w:cs="Arial"/>
                <w:i/>
                <w:lang w:val="en-GB"/>
              </w:rPr>
              <w:t>to</w:t>
            </w:r>
            <w:proofErr w:type="gramEnd"/>
            <w:r>
              <w:rPr>
                <w:rFonts w:cs="Arial"/>
                <w:i/>
                <w:lang w:val="en-GB"/>
              </w:rPr>
              <w:t xml:space="preserve"> read </w:t>
            </w:r>
            <w:r>
              <w:t xml:space="preserve">In the case of </w:t>
            </w:r>
            <w:r w:rsidRPr="008E20DB">
              <w:rPr>
                <w:strike/>
                <w:highlight w:val="lightGray"/>
              </w:rPr>
              <w:t>cross-pollinated</w:t>
            </w:r>
            <w:r>
              <w:t xml:space="preserve"> </w:t>
            </w:r>
            <w:r w:rsidR="008E20DB">
              <w:rPr>
                <w:highlight w:val="lightGray"/>
                <w:u w:val="single"/>
              </w:rPr>
              <w:t>open-</w:t>
            </w:r>
            <w:r w:rsidRPr="008E20DB">
              <w:rPr>
                <w:highlight w:val="lightGray"/>
                <w:u w:val="single"/>
              </w:rPr>
              <w:t>poll</w:t>
            </w:r>
            <w:r w:rsidR="008E20DB" w:rsidRPr="008E20DB">
              <w:rPr>
                <w:highlight w:val="lightGray"/>
                <w:u w:val="single"/>
              </w:rPr>
              <w:t>inated</w:t>
            </w:r>
            <w:r>
              <w:t xml:space="preserve"> varieties, each test should be designed to result in a total of at least 40 plants.</w:t>
            </w:r>
          </w:p>
        </w:tc>
      </w:tr>
      <w:tr w:rsidR="009B23EB" w:rsidRPr="000449A0" w:rsidTr="003E1838">
        <w:trPr>
          <w:cantSplit/>
        </w:trPr>
        <w:tc>
          <w:tcPr>
            <w:tcW w:w="1573" w:type="dxa"/>
            <w:shd w:val="clear" w:color="auto" w:fill="auto"/>
          </w:tcPr>
          <w:p w:rsidR="009B23EB" w:rsidRPr="00D66F3B" w:rsidRDefault="009B23EB" w:rsidP="003E1838">
            <w:pPr>
              <w:pStyle w:val="BodyText"/>
              <w:jc w:val="left"/>
              <w:rPr>
                <w:rFonts w:eastAsia="MS Mincho" w:cs="Arial"/>
                <w:lang w:eastAsia="ja-JP"/>
              </w:rPr>
            </w:pPr>
            <w:r w:rsidRPr="00B716FE">
              <w:rPr>
                <w:rFonts w:cs="Arial"/>
                <w:vertAlign w:val="superscript"/>
              </w:rPr>
              <w:t>#</w:t>
            </w:r>
            <w:r w:rsidRPr="00D66F3B">
              <w:rPr>
                <w:rFonts w:eastAsia="MS Mincho" w:cs="Arial"/>
                <w:lang w:eastAsia="ja-JP"/>
              </w:rPr>
              <w:t>4.1.4</w:t>
            </w:r>
          </w:p>
        </w:tc>
        <w:tc>
          <w:tcPr>
            <w:tcW w:w="8208" w:type="dxa"/>
          </w:tcPr>
          <w:p w:rsidR="009B23EB" w:rsidRDefault="009B23EB" w:rsidP="003E1838">
            <w:pPr>
              <w:pStyle w:val="BodyText"/>
              <w:jc w:val="left"/>
              <w:rPr>
                <w:rFonts w:eastAsia="MS Mincho" w:cs="Arial"/>
                <w:lang w:eastAsia="ja-JP"/>
              </w:rPr>
            </w:pPr>
            <w:r>
              <w:rPr>
                <w:rFonts w:eastAsia="MS Mincho" w:cs="Arial"/>
                <w:lang w:eastAsia="ja-JP"/>
              </w:rPr>
              <w:t>“I</w:t>
            </w:r>
            <w:r w:rsidRPr="006D363C">
              <w:rPr>
                <w:rFonts w:eastAsia="MS Mincho" w:cs="Arial"/>
                <w:lang w:eastAsia="ja-JP"/>
              </w:rPr>
              <w:t xml:space="preserve">n the case of </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cross-pollinated varieties</w:t>
            </w:r>
            <w:r w:rsidRPr="006D363C">
              <w:rPr>
                <w:rFonts w:eastAsia="MS Mincho" w:cs="Arial"/>
                <w:lang w:eastAsia="ja-JP"/>
              </w:rPr>
              <w:t>, unless otherwise indicated, for the purposes of distinctness, all observations on single plants should be made on 20 plants or parts taken from each of 20 plants and any other observation made on all plants in the test, disregarding any off-type plants.</w:t>
            </w:r>
          </w:p>
          <w:p w:rsidR="009B23EB" w:rsidRDefault="009B23EB" w:rsidP="003E1838">
            <w:pPr>
              <w:pStyle w:val="BodyText"/>
              <w:jc w:val="left"/>
              <w:rPr>
                <w:rFonts w:eastAsia="MS Mincho" w:cs="Arial"/>
                <w:lang w:eastAsia="ja-JP"/>
              </w:rPr>
            </w:pPr>
            <w:r w:rsidRPr="006D363C">
              <w:rPr>
                <w:rFonts w:eastAsia="MS Mincho" w:cs="Arial"/>
                <w:lang w:eastAsia="ja-JP"/>
              </w:rPr>
              <w:t xml:space="preserve">In the case of </w:t>
            </w:r>
            <w:r w:rsidRPr="005A3CB5">
              <w:rPr>
                <w:rFonts w:eastAsia="MS Mincho" w:cs="Arial"/>
                <w:strike/>
                <w:highlight w:val="lightGray"/>
                <w:lang w:eastAsia="ja-JP"/>
              </w:rPr>
              <w:t>cross</w:t>
            </w:r>
            <w:r w:rsidRPr="008E20DB">
              <w:rPr>
                <w:rFonts w:eastAsia="MS Mincho" w:cs="Arial"/>
                <w:lang w:eastAsia="ja-JP"/>
              </w:rPr>
              <w:t xml:space="preserve"> </w:t>
            </w:r>
            <w:r w:rsidRPr="005A3CB5">
              <w:rPr>
                <w:rFonts w:eastAsia="MS Mincho" w:cs="Arial"/>
                <w:highlight w:val="lightGray"/>
                <w:u w:val="single"/>
                <w:lang w:eastAsia="ja-JP"/>
              </w:rPr>
              <w:t>self</w:t>
            </w:r>
            <w:r w:rsidRPr="006D363C">
              <w:rPr>
                <w:rFonts w:eastAsia="MS Mincho" w:cs="Arial"/>
                <w:lang w:eastAsia="ja-JP"/>
              </w:rPr>
              <w:t>-pollinated varieties, unless otherwise indicated, for the purposes of distinctness, all observations on single plants should</w:t>
            </w:r>
            <w:r>
              <w:rPr>
                <w:rFonts w:eastAsia="MS Mincho" w:cs="Arial"/>
                <w:lang w:eastAsia="ja-JP"/>
              </w:rPr>
              <w:t xml:space="preserve"> </w:t>
            </w:r>
            <w:r w:rsidRPr="006D363C">
              <w:rPr>
                <w:rFonts w:eastAsia="MS Mincho" w:cs="Arial"/>
                <w:lang w:eastAsia="ja-JP"/>
              </w:rPr>
              <w:t>be made on 10 plants or parts taken from each of 10 plants and any other observation made on all plants in the test, disregarding any off-type plants.</w:t>
            </w:r>
            <w:r>
              <w:rPr>
                <w:rFonts w:eastAsia="MS Mincho" w:cs="Arial"/>
                <w:lang w:eastAsia="ja-JP"/>
              </w:rPr>
              <w:t>”</w:t>
            </w:r>
          </w:p>
          <w:p w:rsidR="009A53C2" w:rsidRPr="009A53C2" w:rsidRDefault="009A53C2" w:rsidP="003E1838">
            <w:pPr>
              <w:pStyle w:val="BodyText"/>
              <w:jc w:val="left"/>
              <w:rPr>
                <w:rFonts w:eastAsia="MS Mincho" w:cs="Arial"/>
                <w:i/>
                <w:lang w:eastAsia="ja-JP"/>
              </w:rPr>
            </w:pPr>
            <w:r w:rsidRPr="009A53C2">
              <w:rPr>
                <w:rFonts w:eastAsia="MS Mincho" w:cs="Arial"/>
                <w:i/>
                <w:lang w:eastAsia="ja-JP"/>
              </w:rPr>
              <w:t>Leading Expert:</w:t>
            </w:r>
            <w:r>
              <w:rPr>
                <w:rFonts w:eastAsia="MS Mincho" w:cs="Arial"/>
                <w:i/>
                <w:lang w:eastAsia="ja-JP"/>
              </w:rPr>
              <w:t xml:space="preserve"> </w:t>
            </w:r>
            <w:r w:rsidR="008E20DB">
              <w:rPr>
                <w:rFonts w:eastAsia="MS Mincho" w:cs="Arial"/>
                <w:i/>
                <w:lang w:eastAsia="ja-JP"/>
              </w:rPr>
              <w:t>to read as follows, including correction of number of plants/parts of plants</w:t>
            </w:r>
          </w:p>
          <w:p w:rsidR="009A53C2" w:rsidRPr="009A53C2" w:rsidRDefault="009A53C2" w:rsidP="009A53C2">
            <w:pPr>
              <w:pStyle w:val="BodyText"/>
              <w:jc w:val="left"/>
              <w:rPr>
                <w:rFonts w:eastAsia="MS Mincho" w:cs="Arial"/>
                <w:i/>
                <w:lang w:eastAsia="ja-JP"/>
              </w:rPr>
            </w:pPr>
            <w:r w:rsidRPr="009A53C2">
              <w:rPr>
                <w:rFonts w:eastAsia="MS Mincho" w:cs="Arial"/>
                <w:i/>
                <w:lang w:eastAsia="ja-JP"/>
              </w:rPr>
              <w:t xml:space="preserve">“In the case of F1 hybrids, unless otherwise indicated, for the purposes of distinctness, all observations on single plants should be </w:t>
            </w:r>
            <w:r w:rsidRPr="008E20DB">
              <w:rPr>
                <w:rFonts w:eastAsia="MS Mincho" w:cs="Arial"/>
                <w:i/>
                <w:lang w:eastAsia="ja-JP"/>
              </w:rPr>
              <w:t>made on 10 plants or parts taken from each of 10</w:t>
            </w:r>
            <w:r w:rsidR="008E20DB" w:rsidRPr="008E20DB">
              <w:rPr>
                <w:rFonts w:eastAsia="MS Mincho" w:cs="Arial"/>
                <w:i/>
                <w:lang w:eastAsia="ja-JP"/>
              </w:rPr>
              <w:t> </w:t>
            </w:r>
            <w:r w:rsidRPr="008E20DB">
              <w:rPr>
                <w:rFonts w:eastAsia="MS Mincho" w:cs="Arial"/>
                <w:i/>
                <w:lang w:eastAsia="ja-JP"/>
              </w:rPr>
              <w:t>plants and any other observation made on all plants in the</w:t>
            </w:r>
            <w:r w:rsidRPr="009A53C2">
              <w:rPr>
                <w:rFonts w:eastAsia="MS Mincho" w:cs="Arial"/>
                <w:i/>
                <w:lang w:eastAsia="ja-JP"/>
              </w:rPr>
              <w:t xml:space="preserve"> test, disregarding any off-type plants.</w:t>
            </w:r>
          </w:p>
          <w:p w:rsidR="009A53C2" w:rsidRPr="000449A0" w:rsidRDefault="009A53C2" w:rsidP="003604A4">
            <w:pPr>
              <w:pStyle w:val="BodyText"/>
              <w:jc w:val="left"/>
              <w:rPr>
                <w:rFonts w:eastAsia="MS Mincho" w:cs="Arial"/>
                <w:lang w:eastAsia="ja-JP"/>
              </w:rPr>
            </w:pPr>
            <w:r w:rsidRPr="009A53C2">
              <w:rPr>
                <w:rFonts w:eastAsia="MS Mincho" w:cs="Arial"/>
                <w:i/>
                <w:lang w:eastAsia="ja-JP"/>
              </w:rPr>
              <w:t xml:space="preserve">In the case of </w:t>
            </w:r>
            <w:r w:rsidRPr="009A53C2">
              <w:rPr>
                <w:rFonts w:eastAsia="MS Mincho" w:cs="Arial"/>
                <w:i/>
                <w:strike/>
                <w:highlight w:val="lightGray"/>
                <w:lang w:eastAsia="ja-JP"/>
              </w:rPr>
              <w:t>cross</w:t>
            </w:r>
            <w:r w:rsidRPr="008E20DB">
              <w:rPr>
                <w:rFonts w:eastAsia="MS Mincho" w:cs="Arial"/>
                <w:i/>
                <w:lang w:eastAsia="ja-JP"/>
              </w:rPr>
              <w:t xml:space="preserve"> </w:t>
            </w:r>
            <w:r w:rsidRPr="009A53C2">
              <w:rPr>
                <w:rFonts w:eastAsia="MS Mincho" w:cs="Arial"/>
                <w:i/>
                <w:highlight w:val="lightGray"/>
                <w:u w:val="single"/>
                <w:lang w:eastAsia="ja-JP"/>
              </w:rPr>
              <w:t>open</w:t>
            </w:r>
            <w:r w:rsidRPr="009A53C2">
              <w:rPr>
                <w:rFonts w:eastAsia="MS Mincho" w:cs="Arial"/>
                <w:i/>
                <w:lang w:eastAsia="ja-JP"/>
              </w:rPr>
              <w:t xml:space="preserve">-pollinated varieties, unless otherwise indicated, for the purposes of distinctness, all observations on single plants should be made </w:t>
            </w:r>
            <w:r w:rsidRPr="008E20DB">
              <w:rPr>
                <w:rFonts w:eastAsia="MS Mincho" w:cs="Arial"/>
                <w:i/>
                <w:lang w:eastAsia="ja-JP"/>
              </w:rPr>
              <w:t>on 20 plants or parts taken from each of 20 plants and any other observation made on all plants</w:t>
            </w:r>
            <w:r w:rsidRPr="009A53C2">
              <w:rPr>
                <w:rFonts w:eastAsia="MS Mincho" w:cs="Arial"/>
                <w:i/>
                <w:lang w:eastAsia="ja-JP"/>
              </w:rPr>
              <w:t xml:space="preserve"> in the test, disregarding any off-type plants.”</w:t>
            </w:r>
          </w:p>
        </w:tc>
      </w:tr>
      <w:tr w:rsidR="009B23EB" w:rsidRPr="000449A0" w:rsidTr="003E1838">
        <w:trPr>
          <w:cantSplit/>
        </w:trPr>
        <w:tc>
          <w:tcPr>
            <w:tcW w:w="1573" w:type="dxa"/>
            <w:shd w:val="clear" w:color="auto" w:fill="auto"/>
          </w:tcPr>
          <w:p w:rsidR="009B23EB" w:rsidRPr="00D66F3B" w:rsidRDefault="009B23EB" w:rsidP="003E1838">
            <w:pPr>
              <w:pStyle w:val="BodyText"/>
              <w:jc w:val="left"/>
              <w:rPr>
                <w:rFonts w:eastAsia="MS Mincho" w:cs="Arial"/>
                <w:lang w:eastAsia="ja-JP"/>
              </w:rPr>
            </w:pPr>
            <w:r w:rsidRPr="00B716FE">
              <w:rPr>
                <w:rFonts w:cs="Arial"/>
                <w:vertAlign w:val="superscript"/>
              </w:rPr>
              <w:t>#</w:t>
            </w:r>
            <w:r w:rsidRPr="00D66F3B">
              <w:rPr>
                <w:rFonts w:eastAsia="MS Mincho" w:cs="Arial"/>
                <w:lang w:eastAsia="ja-JP"/>
              </w:rPr>
              <w:t>4.2.4</w:t>
            </w:r>
          </w:p>
        </w:tc>
        <w:tc>
          <w:tcPr>
            <w:tcW w:w="8208" w:type="dxa"/>
          </w:tcPr>
          <w:p w:rsidR="009B23EB" w:rsidRDefault="009B23EB" w:rsidP="003E1838">
            <w:pPr>
              <w:pStyle w:val="BodyText"/>
              <w:jc w:val="left"/>
              <w:rPr>
                <w:rFonts w:eastAsia="MS Mincho" w:cs="Arial"/>
                <w:lang w:eastAsia="ja-JP"/>
              </w:rPr>
            </w:pPr>
            <w:r>
              <w:rPr>
                <w:rFonts w:eastAsia="MS Mincho" w:cs="Arial"/>
                <w:lang w:eastAsia="ja-JP"/>
              </w:rPr>
              <w:t>to check whether to read “</w:t>
            </w:r>
            <w:r w:rsidRPr="000D32DF">
              <w:rPr>
                <w:rFonts w:eastAsia="MS Mincho" w:cs="Arial"/>
                <w:lang w:eastAsia="ja-JP"/>
              </w:rPr>
              <w:t xml:space="preserve">For the assessment of uniformity of </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 xml:space="preserve">self-pollinated </w:t>
            </w:r>
            <w:r w:rsidRPr="000D32DF">
              <w:rPr>
                <w:rFonts w:eastAsia="MS Mincho" w:cs="Arial"/>
                <w:lang w:eastAsia="ja-JP"/>
              </w:rPr>
              <w:t>varieties, a population standard of 1% and an acceptance probability of at least 95% should be applied. In the case of a sample</w:t>
            </w:r>
            <w:r>
              <w:rPr>
                <w:rFonts w:eastAsia="MS Mincho" w:cs="Arial"/>
                <w:lang w:eastAsia="ja-JP"/>
              </w:rPr>
              <w:t xml:space="preserve"> </w:t>
            </w:r>
            <w:r w:rsidRPr="000D32DF">
              <w:rPr>
                <w:rFonts w:eastAsia="MS Mincho" w:cs="Arial"/>
                <w:lang w:eastAsia="ja-JP"/>
              </w:rPr>
              <w:t>size of 15 plants, 1off-type is allowed</w:t>
            </w:r>
            <w:r>
              <w:rPr>
                <w:rFonts w:eastAsia="MS Mincho" w:cs="Arial"/>
                <w:lang w:eastAsia="ja-JP"/>
              </w:rPr>
              <w:t>.”</w:t>
            </w:r>
          </w:p>
          <w:p w:rsidR="003604A4" w:rsidRDefault="009A53C2" w:rsidP="003604A4">
            <w:pPr>
              <w:pStyle w:val="BodyText"/>
              <w:jc w:val="left"/>
              <w:rPr>
                <w:rFonts w:eastAsia="MS Mincho" w:cs="Arial"/>
                <w:i/>
                <w:lang w:eastAsia="ja-JP"/>
              </w:rPr>
            </w:pPr>
            <w:r w:rsidRPr="003604A4">
              <w:rPr>
                <w:rFonts w:eastAsia="MS Mincho" w:cs="Arial"/>
                <w:i/>
                <w:lang w:eastAsia="ja-JP"/>
              </w:rPr>
              <w:t xml:space="preserve">Leading Expert:  keep </w:t>
            </w:r>
            <w:r w:rsidR="003604A4" w:rsidRPr="003604A4">
              <w:rPr>
                <w:rFonts w:eastAsia="MS Mincho" w:cs="Arial"/>
                <w:i/>
                <w:lang w:eastAsia="ja-JP"/>
              </w:rPr>
              <w:t>4.2.4 as it is</w:t>
            </w:r>
            <w:r w:rsidRPr="003604A4">
              <w:rPr>
                <w:rFonts w:eastAsia="MS Mincho" w:cs="Arial"/>
                <w:i/>
                <w:lang w:eastAsia="ja-JP"/>
              </w:rPr>
              <w:t xml:space="preserve"> </w:t>
            </w:r>
            <w:r w:rsidR="003604A4" w:rsidRPr="003604A4">
              <w:rPr>
                <w:rFonts w:eastAsia="MS Mincho" w:cs="Arial"/>
                <w:i/>
                <w:lang w:eastAsia="ja-JP"/>
              </w:rPr>
              <w:t>(</w:t>
            </w:r>
            <w:r w:rsidRPr="003604A4">
              <w:rPr>
                <w:rFonts w:eastAsia="MS Mincho" w:cs="Arial"/>
                <w:i/>
                <w:lang w:eastAsia="ja-JP"/>
              </w:rPr>
              <w:t>see 2.3</w:t>
            </w:r>
            <w:r w:rsidR="003604A4" w:rsidRPr="003604A4">
              <w:rPr>
                <w:rFonts w:eastAsia="MS Mincho" w:cs="Arial"/>
                <w:i/>
                <w:lang w:eastAsia="ja-JP"/>
              </w:rPr>
              <w:t>), 4.2.3</w:t>
            </w:r>
            <w:r w:rsidR="003604A4">
              <w:rPr>
                <w:rFonts w:eastAsia="MS Mincho" w:cs="Arial"/>
                <w:i/>
                <w:lang w:eastAsia="ja-JP"/>
              </w:rPr>
              <w:t xml:space="preserve"> to read:</w:t>
            </w:r>
          </w:p>
          <w:p w:rsidR="009A53C2" w:rsidRPr="000449A0" w:rsidRDefault="003604A4" w:rsidP="003604A4">
            <w:pPr>
              <w:pStyle w:val="BodyText"/>
              <w:jc w:val="left"/>
              <w:rPr>
                <w:rFonts w:eastAsia="MS Mincho" w:cs="Arial"/>
                <w:lang w:eastAsia="ja-JP"/>
              </w:rPr>
            </w:pPr>
            <w:r>
              <w:rPr>
                <w:rFonts w:eastAsia="MS Mincho" w:cs="Arial"/>
                <w:i/>
                <w:lang w:eastAsia="ja-JP"/>
              </w:rPr>
              <w:t>“</w:t>
            </w:r>
            <w:r w:rsidRPr="003604A4">
              <w:rPr>
                <w:rFonts w:eastAsia="MS Mincho" w:cs="Arial"/>
                <w:i/>
                <w:lang w:eastAsia="ja-JP"/>
              </w:rPr>
              <w:t xml:space="preserve">The assessment of uniformity for </w:t>
            </w:r>
            <w:r w:rsidRPr="003604A4">
              <w:rPr>
                <w:rFonts w:eastAsia="MS Mincho" w:cs="Arial"/>
                <w:i/>
                <w:strike/>
                <w:highlight w:val="lightGray"/>
                <w:lang w:eastAsia="ja-JP"/>
              </w:rPr>
              <w:t>cross</w:t>
            </w:r>
            <w:r>
              <w:rPr>
                <w:rFonts w:eastAsia="MS Mincho" w:cs="Arial"/>
                <w:i/>
                <w:lang w:eastAsia="ja-JP"/>
              </w:rPr>
              <w:t xml:space="preserve"> </w:t>
            </w:r>
            <w:r w:rsidRPr="003604A4">
              <w:rPr>
                <w:rFonts w:eastAsia="MS Mincho" w:cs="Arial"/>
                <w:i/>
                <w:highlight w:val="lightGray"/>
                <w:u w:val="single"/>
                <w:lang w:eastAsia="ja-JP"/>
              </w:rPr>
              <w:t>open</w:t>
            </w:r>
            <w:r w:rsidRPr="003604A4">
              <w:rPr>
                <w:rFonts w:eastAsia="MS Mincho" w:cs="Arial"/>
                <w:i/>
                <w:lang w:eastAsia="ja-JP"/>
              </w:rPr>
              <w:t>-pollinated should be according to the recommendations for cross-pollinated varieties in the General Introduction</w:t>
            </w:r>
            <w:r>
              <w:rPr>
                <w:rFonts w:eastAsia="MS Mincho" w:cs="Arial"/>
                <w:i/>
                <w:lang w:eastAsia="ja-JP"/>
              </w:rPr>
              <w:t>.”</w:t>
            </w:r>
          </w:p>
        </w:tc>
      </w:tr>
      <w:tr w:rsidR="009B23EB" w:rsidRPr="008B15A8" w:rsidTr="003E1838">
        <w:trPr>
          <w:cantSplit/>
        </w:trPr>
        <w:tc>
          <w:tcPr>
            <w:tcW w:w="1573" w:type="dxa"/>
            <w:shd w:val="clear" w:color="auto" w:fill="auto"/>
          </w:tcPr>
          <w:p w:rsidR="009B23EB" w:rsidRPr="008B15A8" w:rsidRDefault="009B23EB" w:rsidP="003E1838">
            <w:pPr>
              <w:pStyle w:val="BodyText"/>
              <w:jc w:val="left"/>
              <w:rPr>
                <w:rFonts w:eastAsia="MS Mincho" w:cs="Arial"/>
                <w:lang w:eastAsia="ja-JP"/>
              </w:rPr>
            </w:pPr>
            <w:r w:rsidRPr="00B716FE">
              <w:rPr>
                <w:rFonts w:cs="Arial"/>
                <w:vertAlign w:val="superscript"/>
              </w:rPr>
              <w:t>#</w:t>
            </w:r>
            <w:r w:rsidRPr="008B15A8">
              <w:rPr>
                <w:rFonts w:eastAsia="MS Mincho" w:cs="Arial"/>
                <w:lang w:eastAsia="ja-JP"/>
              </w:rPr>
              <w:t>Char. 2</w:t>
            </w:r>
          </w:p>
        </w:tc>
        <w:tc>
          <w:tcPr>
            <w:tcW w:w="8208" w:type="dxa"/>
          </w:tcPr>
          <w:p w:rsidR="009B23EB" w:rsidRDefault="009B23EB" w:rsidP="003E1838">
            <w:pPr>
              <w:pStyle w:val="BodyText"/>
              <w:jc w:val="left"/>
              <w:rPr>
                <w:rFonts w:eastAsia="MS Mincho" w:cs="Arial"/>
                <w:lang w:eastAsia="ja-JP"/>
              </w:rPr>
            </w:pPr>
            <w:r>
              <w:rPr>
                <w:rFonts w:eastAsia="MS Mincho" w:cs="Arial"/>
                <w:lang w:eastAsia="ja-JP"/>
              </w:rPr>
              <w:t>t</w:t>
            </w:r>
            <w:r w:rsidRPr="008B15A8">
              <w:rPr>
                <w:rFonts w:eastAsia="MS Mincho" w:cs="Arial"/>
                <w:lang w:eastAsia="ja-JP"/>
              </w:rPr>
              <w:t xml:space="preserve">o check whether </w:t>
            </w:r>
            <w:r>
              <w:rPr>
                <w:rFonts w:eastAsia="MS Mincho" w:cs="Arial"/>
                <w:lang w:eastAsia="ja-JP"/>
              </w:rPr>
              <w:t>“</w:t>
            </w:r>
            <w:r w:rsidRPr="008B15A8">
              <w:rPr>
                <w:rFonts w:eastAsia="MS Mincho" w:cs="Arial"/>
                <w:lang w:eastAsia="ja-JP"/>
              </w:rPr>
              <w:t>Prof</w:t>
            </w:r>
            <w:r>
              <w:rPr>
                <w:rFonts w:eastAsia="MS Mincho" w:cs="Arial"/>
                <w:lang w:eastAsia="ja-JP"/>
              </w:rPr>
              <w:t>u</w:t>
            </w:r>
            <w:r w:rsidRPr="008B15A8">
              <w:rPr>
                <w:rFonts w:eastAsia="MS Mincho" w:cs="Arial"/>
                <w:lang w:eastAsia="ja-JP"/>
              </w:rPr>
              <w:t>sion Red</w:t>
            </w:r>
            <w:r>
              <w:rPr>
                <w:rFonts w:eastAsia="MS Mincho" w:cs="Arial"/>
                <w:lang w:eastAsia="ja-JP"/>
              </w:rPr>
              <w:t>”</w:t>
            </w:r>
            <w:r w:rsidRPr="008B15A8">
              <w:rPr>
                <w:rFonts w:eastAsia="MS Mincho" w:cs="Arial"/>
                <w:lang w:eastAsia="ja-JP"/>
              </w:rPr>
              <w:t xml:space="preserve"> is correctly indicated in note 4, or </w:t>
            </w:r>
            <w:r>
              <w:rPr>
                <w:rFonts w:eastAsia="MS Mincho" w:cs="Arial"/>
                <w:lang w:eastAsia="ja-JP"/>
              </w:rPr>
              <w:t xml:space="preserve">whether it </w:t>
            </w:r>
            <w:r w:rsidRPr="008B15A8">
              <w:rPr>
                <w:rFonts w:eastAsia="MS Mincho" w:cs="Arial"/>
                <w:lang w:eastAsia="ja-JP"/>
              </w:rPr>
              <w:t>should be note 3</w:t>
            </w:r>
          </w:p>
          <w:p w:rsidR="003604A4" w:rsidRPr="003604A4" w:rsidRDefault="003604A4" w:rsidP="003604A4">
            <w:pPr>
              <w:pStyle w:val="BodyText"/>
              <w:jc w:val="left"/>
              <w:rPr>
                <w:rFonts w:eastAsia="MS Mincho" w:cs="Arial"/>
                <w:i/>
                <w:lang w:eastAsia="ja-JP"/>
              </w:rPr>
            </w:pPr>
            <w:r w:rsidRPr="003604A4">
              <w:rPr>
                <w:rFonts w:eastAsia="MS Mincho" w:cs="Arial"/>
                <w:i/>
                <w:lang w:eastAsia="ja-JP"/>
              </w:rPr>
              <w:t>Leading Expert:  to move “Profusion Red” to state 3</w:t>
            </w:r>
          </w:p>
        </w:tc>
      </w:tr>
      <w:tr w:rsidR="009B23EB" w:rsidRPr="008B15A8" w:rsidTr="003E1838">
        <w:trPr>
          <w:cantSplit/>
        </w:trPr>
        <w:tc>
          <w:tcPr>
            <w:tcW w:w="1573" w:type="dxa"/>
            <w:shd w:val="clear" w:color="auto" w:fill="auto"/>
          </w:tcPr>
          <w:p w:rsidR="009B23EB" w:rsidRPr="008B15A8" w:rsidRDefault="009B23EB" w:rsidP="003E1838">
            <w:pPr>
              <w:pStyle w:val="BodyText"/>
              <w:jc w:val="left"/>
              <w:rPr>
                <w:rFonts w:eastAsia="MS Mincho" w:cs="Arial"/>
                <w:lang w:eastAsia="ja-JP"/>
              </w:rPr>
            </w:pPr>
            <w:r w:rsidRPr="00B716FE">
              <w:rPr>
                <w:rFonts w:cs="Arial"/>
                <w:vertAlign w:val="superscript"/>
              </w:rPr>
              <w:t>#</w:t>
            </w:r>
            <w:r>
              <w:rPr>
                <w:rFonts w:eastAsia="MS Mincho" w:cs="Arial"/>
                <w:lang w:eastAsia="ja-JP"/>
              </w:rPr>
              <w:t>Chars. 12, 13</w:t>
            </w:r>
          </w:p>
        </w:tc>
        <w:tc>
          <w:tcPr>
            <w:tcW w:w="8208" w:type="dxa"/>
          </w:tcPr>
          <w:p w:rsidR="009B23EB" w:rsidRDefault="009B23EB" w:rsidP="003E1838">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check whe</w:t>
            </w:r>
            <w:r w:rsidRPr="00CF57DA">
              <w:rPr>
                <w:rFonts w:eastAsia="MS Mincho" w:cs="Arial"/>
                <w:lang w:eastAsia="ja-JP"/>
              </w:rPr>
              <w:t>ther to add explanation “Observations should be made on the upper side of a typical leaf.”</w:t>
            </w:r>
            <w:r>
              <w:rPr>
                <w:rFonts w:eastAsia="MS Mincho" w:cs="Arial"/>
                <w:lang w:eastAsia="ja-JP"/>
              </w:rPr>
              <w:t xml:space="preserve"> </w:t>
            </w:r>
          </w:p>
          <w:p w:rsidR="003604A4" w:rsidRPr="008B15A8" w:rsidRDefault="003604A4" w:rsidP="003E1838">
            <w:pPr>
              <w:pStyle w:val="BodyText"/>
              <w:jc w:val="left"/>
              <w:rPr>
                <w:rFonts w:eastAsia="MS Mincho" w:cs="Arial"/>
                <w:lang w:eastAsia="ja-JP"/>
              </w:rPr>
            </w:pPr>
            <w:r w:rsidRPr="003604A4">
              <w:rPr>
                <w:rFonts w:eastAsia="MS Mincho" w:cs="Arial"/>
                <w:i/>
                <w:lang w:eastAsia="ja-JP"/>
              </w:rPr>
              <w:t xml:space="preserve">Leading Expert:  </w:t>
            </w:r>
            <w:r>
              <w:rPr>
                <w:rFonts w:eastAsia="MS Mincho" w:cs="Arial"/>
                <w:i/>
                <w:lang w:eastAsia="ja-JP"/>
              </w:rPr>
              <w:t>agreed</w:t>
            </w:r>
          </w:p>
        </w:tc>
      </w:tr>
      <w:tr w:rsidR="009B23EB" w:rsidRPr="00946852" w:rsidTr="003E1838">
        <w:trPr>
          <w:cantSplit/>
        </w:trPr>
        <w:tc>
          <w:tcPr>
            <w:tcW w:w="1573" w:type="dxa"/>
          </w:tcPr>
          <w:p w:rsidR="009B23EB" w:rsidRPr="00946852" w:rsidRDefault="009B23EB" w:rsidP="003E1838">
            <w:r>
              <w:t xml:space="preserve">Char. </w:t>
            </w:r>
            <w:r w:rsidRPr="00946852">
              <w:t>26</w:t>
            </w:r>
          </w:p>
        </w:tc>
        <w:tc>
          <w:tcPr>
            <w:tcW w:w="8208" w:type="dxa"/>
          </w:tcPr>
          <w:p w:rsidR="009B23EB" w:rsidRDefault="009B23EB" w:rsidP="003E1838">
            <w:pPr>
              <w:tabs>
                <w:tab w:val="left" w:pos="5103"/>
                <w:tab w:val="left" w:leader="dot" w:pos="9639"/>
              </w:tabs>
              <w:ind w:left="-9"/>
            </w:pPr>
            <w:r>
              <w:t>to read “</w:t>
            </w:r>
            <w:r w:rsidRPr="00CE2924">
              <w:t xml:space="preserve">Ray floret: </w:t>
            </w:r>
            <w:r>
              <w:t>degree</w:t>
            </w:r>
            <w:r w:rsidRPr="00CE2924">
              <w:t xml:space="preserve"> of curvature</w:t>
            </w:r>
            <w:r>
              <w:t>”</w:t>
            </w:r>
          </w:p>
          <w:p w:rsidR="003604A4" w:rsidRPr="00946852" w:rsidRDefault="003604A4" w:rsidP="003E1838">
            <w:pPr>
              <w:tabs>
                <w:tab w:val="left" w:pos="5103"/>
                <w:tab w:val="left" w:leader="dot" w:pos="9639"/>
              </w:tabs>
              <w:ind w:left="-9"/>
            </w:pPr>
            <w:r w:rsidRPr="003604A4">
              <w:rPr>
                <w:rFonts w:eastAsia="MS Mincho" w:cs="Arial"/>
                <w:i/>
                <w:lang w:eastAsia="ja-JP"/>
              </w:rPr>
              <w:t xml:space="preserve">Leading Expert:  </w:t>
            </w:r>
            <w:r>
              <w:rPr>
                <w:rFonts w:eastAsia="MS Mincho" w:cs="Arial"/>
                <w:i/>
                <w:lang w:eastAsia="ja-JP"/>
              </w:rPr>
              <w:t>agreed</w:t>
            </w:r>
          </w:p>
        </w:tc>
      </w:tr>
      <w:tr w:rsidR="009B23EB" w:rsidRPr="00946852" w:rsidDel="00CE2924" w:rsidTr="003E1838">
        <w:trPr>
          <w:cantSplit/>
        </w:trPr>
        <w:tc>
          <w:tcPr>
            <w:tcW w:w="1573" w:type="dxa"/>
          </w:tcPr>
          <w:p w:rsidR="009B23EB" w:rsidRDefault="009B23EB" w:rsidP="003E1838">
            <w:r>
              <w:t>Chars. 28 to 34</w:t>
            </w:r>
          </w:p>
        </w:tc>
        <w:tc>
          <w:tcPr>
            <w:tcW w:w="8208" w:type="dxa"/>
          </w:tcPr>
          <w:p w:rsidR="009B23EB" w:rsidRDefault="009B23EB" w:rsidP="003E1838">
            <w:pPr>
              <w:tabs>
                <w:tab w:val="left" w:pos="5103"/>
                <w:tab w:val="left" w:leader="dot" w:pos="9639"/>
              </w:tabs>
              <w:ind w:left="-9"/>
            </w:pPr>
            <w:r>
              <w:t>to delete “of inner side” (see 8.1 (b))</w:t>
            </w:r>
          </w:p>
          <w:p w:rsidR="003604A4" w:rsidRPr="00946852" w:rsidDel="00CE2924" w:rsidRDefault="003604A4" w:rsidP="003E1838">
            <w:pPr>
              <w:tabs>
                <w:tab w:val="left" w:pos="5103"/>
                <w:tab w:val="left" w:leader="dot" w:pos="9639"/>
              </w:tabs>
              <w:ind w:left="-9"/>
            </w:pPr>
            <w:r w:rsidRPr="003604A4">
              <w:rPr>
                <w:rFonts w:eastAsia="MS Mincho" w:cs="Arial"/>
                <w:i/>
                <w:lang w:eastAsia="ja-JP"/>
              </w:rPr>
              <w:t xml:space="preserve">Leading Expert:  </w:t>
            </w:r>
            <w:r>
              <w:rPr>
                <w:rFonts w:eastAsia="MS Mincho" w:cs="Arial"/>
                <w:i/>
                <w:lang w:eastAsia="ja-JP"/>
              </w:rPr>
              <w:t>agreed</w:t>
            </w:r>
          </w:p>
        </w:tc>
      </w:tr>
      <w:tr w:rsidR="009B23EB" w:rsidRPr="000449A0" w:rsidTr="003E1838">
        <w:trPr>
          <w:cantSplit/>
        </w:trPr>
        <w:tc>
          <w:tcPr>
            <w:tcW w:w="1573" w:type="dxa"/>
            <w:shd w:val="clear" w:color="auto" w:fill="auto"/>
          </w:tcPr>
          <w:p w:rsidR="009B23EB" w:rsidRPr="003F3D01" w:rsidRDefault="009B23EB" w:rsidP="003E1838">
            <w:pPr>
              <w:pStyle w:val="BodyText"/>
              <w:jc w:val="left"/>
              <w:rPr>
                <w:rFonts w:eastAsia="MS Mincho" w:cs="Arial"/>
                <w:lang w:eastAsia="ja-JP"/>
              </w:rPr>
            </w:pPr>
            <w:r>
              <w:rPr>
                <w:rFonts w:eastAsia="MS Mincho" w:cs="Arial"/>
                <w:lang w:eastAsia="ja-JP"/>
              </w:rPr>
              <w:t>8.1 (a)</w:t>
            </w:r>
          </w:p>
        </w:tc>
        <w:tc>
          <w:tcPr>
            <w:tcW w:w="8208" w:type="dxa"/>
          </w:tcPr>
          <w:p w:rsidR="009B23EB" w:rsidRDefault="009B23EB" w:rsidP="003E1838">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read “</w:t>
            </w:r>
            <w:r w:rsidRPr="000D32DF">
              <w:rPr>
                <w:rFonts w:eastAsia="MS Mincho" w:cs="Arial"/>
                <w:lang w:eastAsia="ja-JP"/>
              </w:rPr>
              <w:t xml:space="preserve">Observations should be made on </w:t>
            </w:r>
            <w:r w:rsidRPr="005A3CB5">
              <w:rPr>
                <w:rFonts w:eastAsia="MS Mincho" w:cs="Arial"/>
                <w:strike/>
                <w:highlight w:val="lightGray"/>
                <w:lang w:eastAsia="ja-JP"/>
              </w:rPr>
              <w:t>the upper side of a typical leaf</w:t>
            </w:r>
            <w:r w:rsidRPr="005A3CB5">
              <w:rPr>
                <w:rFonts w:eastAsia="MS Mincho" w:cs="Arial"/>
                <w:lang w:eastAsia="ja-JP"/>
              </w:rPr>
              <w:t xml:space="preserve"> </w:t>
            </w:r>
            <w:r w:rsidRPr="005A3CB5">
              <w:rPr>
                <w:rFonts w:eastAsia="MS Mincho" w:cs="Arial"/>
                <w:highlight w:val="lightGray"/>
                <w:u w:val="single"/>
                <w:lang w:eastAsia="ja-JP"/>
              </w:rPr>
              <w:t>leaves</w:t>
            </w:r>
            <w:r w:rsidRPr="000D32DF">
              <w:rPr>
                <w:rFonts w:eastAsia="MS Mincho" w:cs="Arial"/>
                <w:lang w:eastAsia="ja-JP"/>
              </w:rPr>
              <w:t xml:space="preserve"> from the middle third of the stem.</w:t>
            </w:r>
            <w:r>
              <w:rPr>
                <w:rFonts w:eastAsia="MS Mincho" w:cs="Arial"/>
                <w:lang w:eastAsia="ja-JP"/>
              </w:rPr>
              <w:t>”</w:t>
            </w:r>
          </w:p>
          <w:p w:rsidR="003604A4" w:rsidRPr="000449A0" w:rsidRDefault="003604A4" w:rsidP="003E1838">
            <w:pPr>
              <w:pStyle w:val="BodyText"/>
              <w:jc w:val="left"/>
              <w:rPr>
                <w:rFonts w:eastAsia="MS Mincho" w:cs="Arial"/>
                <w:lang w:eastAsia="ja-JP"/>
              </w:rPr>
            </w:pPr>
            <w:r w:rsidRPr="003604A4">
              <w:rPr>
                <w:rFonts w:eastAsia="MS Mincho" w:cs="Arial"/>
                <w:i/>
                <w:lang w:eastAsia="ja-JP"/>
              </w:rPr>
              <w:t xml:space="preserve">Leading Expert:  </w:t>
            </w:r>
            <w:r>
              <w:rPr>
                <w:rFonts w:eastAsia="MS Mincho" w:cs="Arial"/>
                <w:i/>
                <w:lang w:eastAsia="ja-JP"/>
              </w:rPr>
              <w:t>agreed</w:t>
            </w:r>
          </w:p>
        </w:tc>
      </w:tr>
      <w:tr w:rsidR="009B23EB" w:rsidRPr="000449A0" w:rsidTr="003E1838">
        <w:trPr>
          <w:cantSplit/>
        </w:trPr>
        <w:tc>
          <w:tcPr>
            <w:tcW w:w="1573" w:type="dxa"/>
            <w:shd w:val="clear" w:color="auto" w:fill="auto"/>
          </w:tcPr>
          <w:p w:rsidR="009B23EB" w:rsidRPr="003F3D01" w:rsidRDefault="009B23EB" w:rsidP="003E1838">
            <w:pPr>
              <w:pStyle w:val="BodyText"/>
              <w:jc w:val="left"/>
              <w:rPr>
                <w:rFonts w:eastAsia="MS Mincho" w:cs="Arial"/>
                <w:lang w:eastAsia="ja-JP"/>
              </w:rPr>
            </w:pPr>
            <w:r w:rsidRPr="00B716FE">
              <w:rPr>
                <w:rFonts w:cs="Arial"/>
                <w:vertAlign w:val="superscript"/>
              </w:rPr>
              <w:t>#</w:t>
            </w:r>
            <w:r>
              <w:rPr>
                <w:rFonts w:eastAsia="MS Mincho" w:cs="Arial"/>
                <w:lang w:eastAsia="ja-JP"/>
              </w:rPr>
              <w:t>Ad. 4</w:t>
            </w:r>
          </w:p>
        </w:tc>
        <w:tc>
          <w:tcPr>
            <w:tcW w:w="8208" w:type="dxa"/>
          </w:tcPr>
          <w:p w:rsidR="009B23EB" w:rsidRDefault="009B23EB" w:rsidP="003E1838">
            <w:pPr>
              <w:pStyle w:val="BodyText"/>
              <w:jc w:val="left"/>
              <w:rPr>
                <w:rFonts w:eastAsia="MS Mincho" w:cs="Arial"/>
                <w:lang w:eastAsia="ja-JP"/>
              </w:rPr>
            </w:pPr>
            <w:r>
              <w:rPr>
                <w:rFonts w:eastAsia="MS Mincho" w:cs="Arial"/>
                <w:lang w:eastAsia="ja-JP"/>
              </w:rPr>
              <w:t>to check whether to improve contrast of illustrations (prove illustration with white background for better contrast)</w:t>
            </w:r>
          </w:p>
          <w:p w:rsidR="003604A4" w:rsidRDefault="003604A4" w:rsidP="003604A4">
            <w:pPr>
              <w:pStyle w:val="BodyText"/>
              <w:jc w:val="left"/>
              <w:rPr>
                <w:rFonts w:eastAsia="MS Mincho" w:cs="Arial"/>
                <w:i/>
                <w:lang w:eastAsia="ja-JP"/>
              </w:rPr>
            </w:pPr>
            <w:r w:rsidRPr="003604A4">
              <w:rPr>
                <w:rFonts w:eastAsia="MS Mincho" w:cs="Arial"/>
                <w:i/>
                <w:lang w:eastAsia="ja-JP"/>
              </w:rPr>
              <w:t xml:space="preserve">Leading Expert:  </w:t>
            </w:r>
            <w:r>
              <w:rPr>
                <w:rFonts w:eastAsia="MS Mincho" w:cs="Arial"/>
                <w:i/>
                <w:lang w:eastAsia="ja-JP"/>
              </w:rPr>
              <w:t>provided improved illustrations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6"/>
              <w:gridCol w:w="1596"/>
              <w:gridCol w:w="1596"/>
              <w:gridCol w:w="1597"/>
              <w:gridCol w:w="1597"/>
            </w:tblGrid>
            <w:tr w:rsidR="003604A4" w:rsidTr="003604A4">
              <w:tc>
                <w:tcPr>
                  <w:tcW w:w="1596" w:type="dxa"/>
                </w:tcPr>
                <w:p w:rsidR="003604A4" w:rsidRDefault="00DC325B" w:rsidP="003604A4">
                  <w:pPr>
                    <w:pStyle w:val="BodyText"/>
                    <w:jc w:val="center"/>
                    <w:rPr>
                      <w:rFonts w:eastAsia="MS Mincho" w:cs="Arial"/>
                      <w:lang w:eastAsia="ja-JP"/>
                    </w:rPr>
                  </w:pPr>
                  <w:r w:rsidRPr="00024B30">
                    <w:rPr>
                      <w:noProof/>
                    </w:rPr>
                    <w:drawing>
                      <wp:inline distT="0" distB="0" distL="0" distR="0" wp14:anchorId="5985E65D" wp14:editId="00E36A66">
                        <wp:extent cx="715498" cy="1546487"/>
                        <wp:effectExtent l="0" t="0" r="889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9"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96" w:type="dxa"/>
                </w:tcPr>
                <w:p w:rsidR="003604A4" w:rsidRDefault="00DC325B" w:rsidP="003604A4">
                  <w:pPr>
                    <w:pStyle w:val="BodyText"/>
                    <w:jc w:val="center"/>
                    <w:rPr>
                      <w:rFonts w:eastAsia="MS Mincho" w:cs="Arial"/>
                      <w:lang w:eastAsia="ja-JP"/>
                    </w:rPr>
                  </w:pPr>
                  <w:r w:rsidRPr="00024B30">
                    <w:rPr>
                      <w:noProof/>
                    </w:rPr>
                    <w:drawing>
                      <wp:inline distT="0" distB="0" distL="0" distR="0" wp14:anchorId="356C04FD" wp14:editId="0C0822B3">
                        <wp:extent cx="765223" cy="1591499"/>
                        <wp:effectExtent l="0" t="0" r="0" b="889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0"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96" w:type="dxa"/>
                </w:tcPr>
                <w:p w:rsidR="003604A4" w:rsidRDefault="00DC325B" w:rsidP="003604A4">
                  <w:pPr>
                    <w:pStyle w:val="BodyText"/>
                    <w:jc w:val="center"/>
                    <w:rPr>
                      <w:rFonts w:eastAsia="MS Mincho" w:cs="Arial"/>
                      <w:lang w:eastAsia="ja-JP"/>
                    </w:rPr>
                  </w:pPr>
                  <w:r w:rsidRPr="00024B30">
                    <w:rPr>
                      <w:noProof/>
                    </w:rPr>
                    <w:drawing>
                      <wp:inline distT="0" distB="0" distL="0" distR="0" wp14:anchorId="5260495F" wp14:editId="52EBABC2">
                        <wp:extent cx="654722" cy="1555578"/>
                        <wp:effectExtent l="0" t="0" r="0" b="6985"/>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11"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97" w:type="dxa"/>
                </w:tcPr>
                <w:p w:rsidR="003604A4" w:rsidRDefault="00DC325B" w:rsidP="003604A4">
                  <w:pPr>
                    <w:pStyle w:val="BodyText"/>
                    <w:jc w:val="center"/>
                    <w:rPr>
                      <w:rFonts w:eastAsia="MS Mincho" w:cs="Arial"/>
                      <w:lang w:eastAsia="ja-JP"/>
                    </w:rPr>
                  </w:pPr>
                  <w:r>
                    <w:rPr>
                      <w:noProof/>
                    </w:rPr>
                    <w:drawing>
                      <wp:inline distT="0" distB="0" distL="0" distR="0" wp14:anchorId="1B9C30C4" wp14:editId="520796FC">
                        <wp:extent cx="732072" cy="1519152"/>
                        <wp:effectExtent l="0" t="0" r="0" b="508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2"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97" w:type="dxa"/>
                </w:tcPr>
                <w:p w:rsidR="003604A4" w:rsidRDefault="00DC325B" w:rsidP="003604A4">
                  <w:pPr>
                    <w:pStyle w:val="BodyText"/>
                    <w:jc w:val="center"/>
                    <w:rPr>
                      <w:rFonts w:eastAsia="MS Mincho" w:cs="Arial"/>
                      <w:lang w:eastAsia="ja-JP"/>
                    </w:rPr>
                  </w:pPr>
                  <w:r>
                    <w:rPr>
                      <w:noProof/>
                    </w:rPr>
                    <w:drawing>
                      <wp:inline distT="0" distB="0" distL="0" distR="0" wp14:anchorId="299D9FF3" wp14:editId="1F0DFDD4">
                        <wp:extent cx="674059" cy="1612792"/>
                        <wp:effectExtent l="0" t="0" r="0" b="6985"/>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13"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3604A4" w:rsidTr="003604A4">
              <w:tc>
                <w:tcPr>
                  <w:tcW w:w="1596" w:type="dxa"/>
                </w:tcPr>
                <w:p w:rsidR="003604A4" w:rsidRDefault="003604A4" w:rsidP="003604A4">
                  <w:pPr>
                    <w:pStyle w:val="BodyText"/>
                    <w:jc w:val="center"/>
                    <w:rPr>
                      <w:rFonts w:eastAsia="MS Mincho" w:cs="Arial"/>
                      <w:lang w:eastAsia="ja-JP"/>
                    </w:rPr>
                  </w:pPr>
                  <w:r>
                    <w:rPr>
                      <w:rFonts w:eastAsia="MS Mincho" w:cs="Arial"/>
                      <w:lang w:eastAsia="ja-JP"/>
                    </w:rPr>
                    <w:t>1</w:t>
                  </w:r>
                </w:p>
              </w:tc>
              <w:tc>
                <w:tcPr>
                  <w:tcW w:w="1596" w:type="dxa"/>
                </w:tcPr>
                <w:p w:rsidR="003604A4" w:rsidRDefault="003604A4" w:rsidP="003604A4">
                  <w:pPr>
                    <w:pStyle w:val="BodyText"/>
                    <w:jc w:val="center"/>
                    <w:rPr>
                      <w:rFonts w:eastAsia="MS Mincho" w:cs="Arial"/>
                      <w:lang w:eastAsia="ja-JP"/>
                    </w:rPr>
                  </w:pPr>
                  <w:r>
                    <w:rPr>
                      <w:rFonts w:eastAsia="MS Mincho" w:cs="Arial"/>
                      <w:lang w:eastAsia="ja-JP"/>
                    </w:rPr>
                    <w:t>2</w:t>
                  </w:r>
                </w:p>
              </w:tc>
              <w:tc>
                <w:tcPr>
                  <w:tcW w:w="1596" w:type="dxa"/>
                </w:tcPr>
                <w:p w:rsidR="003604A4" w:rsidRDefault="003604A4" w:rsidP="003604A4">
                  <w:pPr>
                    <w:pStyle w:val="BodyText"/>
                    <w:jc w:val="center"/>
                    <w:rPr>
                      <w:rFonts w:eastAsia="MS Mincho" w:cs="Arial"/>
                      <w:lang w:eastAsia="ja-JP"/>
                    </w:rPr>
                  </w:pPr>
                  <w:r>
                    <w:rPr>
                      <w:rFonts w:eastAsia="MS Mincho" w:cs="Arial"/>
                      <w:lang w:eastAsia="ja-JP"/>
                    </w:rPr>
                    <w:t>3</w:t>
                  </w:r>
                </w:p>
              </w:tc>
              <w:tc>
                <w:tcPr>
                  <w:tcW w:w="1597" w:type="dxa"/>
                </w:tcPr>
                <w:p w:rsidR="003604A4" w:rsidRDefault="003604A4" w:rsidP="003604A4">
                  <w:pPr>
                    <w:pStyle w:val="BodyText"/>
                    <w:jc w:val="center"/>
                    <w:rPr>
                      <w:rFonts w:eastAsia="MS Mincho" w:cs="Arial"/>
                      <w:lang w:eastAsia="ja-JP"/>
                    </w:rPr>
                  </w:pPr>
                  <w:r>
                    <w:rPr>
                      <w:rFonts w:eastAsia="MS Mincho" w:cs="Arial"/>
                      <w:lang w:eastAsia="ja-JP"/>
                    </w:rPr>
                    <w:t>4</w:t>
                  </w:r>
                </w:p>
              </w:tc>
              <w:tc>
                <w:tcPr>
                  <w:tcW w:w="1597" w:type="dxa"/>
                </w:tcPr>
                <w:p w:rsidR="003604A4" w:rsidRDefault="003604A4" w:rsidP="003604A4">
                  <w:pPr>
                    <w:pStyle w:val="BodyText"/>
                    <w:jc w:val="center"/>
                    <w:rPr>
                      <w:rFonts w:eastAsia="MS Mincho" w:cs="Arial"/>
                      <w:lang w:eastAsia="ja-JP"/>
                    </w:rPr>
                  </w:pPr>
                  <w:r>
                    <w:rPr>
                      <w:rFonts w:eastAsia="MS Mincho" w:cs="Arial"/>
                      <w:lang w:eastAsia="ja-JP"/>
                    </w:rPr>
                    <w:t>5</w:t>
                  </w:r>
                </w:p>
              </w:tc>
            </w:tr>
            <w:tr w:rsidR="003604A4" w:rsidTr="003604A4">
              <w:tc>
                <w:tcPr>
                  <w:tcW w:w="1596" w:type="dxa"/>
                </w:tcPr>
                <w:p w:rsidR="003604A4" w:rsidRDefault="003604A4" w:rsidP="003604A4">
                  <w:pPr>
                    <w:pStyle w:val="BodyText"/>
                    <w:jc w:val="center"/>
                    <w:rPr>
                      <w:rFonts w:eastAsia="MS Mincho" w:cs="Arial"/>
                      <w:lang w:eastAsia="ja-JP"/>
                    </w:rPr>
                  </w:pPr>
                  <w:r>
                    <w:t>absent or very sparse</w:t>
                  </w:r>
                </w:p>
              </w:tc>
              <w:tc>
                <w:tcPr>
                  <w:tcW w:w="1596" w:type="dxa"/>
                </w:tcPr>
                <w:p w:rsidR="003604A4" w:rsidRDefault="003604A4" w:rsidP="003604A4">
                  <w:pPr>
                    <w:pStyle w:val="BodyText"/>
                    <w:jc w:val="center"/>
                    <w:rPr>
                      <w:rFonts w:eastAsia="MS Mincho" w:cs="Arial"/>
                      <w:lang w:eastAsia="ja-JP"/>
                    </w:rPr>
                  </w:pPr>
                  <w:r>
                    <w:rPr>
                      <w:rFonts w:eastAsia="MS Mincho" w:cs="Arial"/>
                      <w:lang w:eastAsia="ja-JP"/>
                    </w:rPr>
                    <w:t>sparse</w:t>
                  </w:r>
                </w:p>
              </w:tc>
              <w:tc>
                <w:tcPr>
                  <w:tcW w:w="1596" w:type="dxa"/>
                </w:tcPr>
                <w:p w:rsidR="003604A4" w:rsidRDefault="003604A4" w:rsidP="003604A4">
                  <w:pPr>
                    <w:pStyle w:val="BodyText"/>
                    <w:jc w:val="center"/>
                    <w:rPr>
                      <w:rFonts w:eastAsia="MS Mincho" w:cs="Arial"/>
                      <w:lang w:eastAsia="ja-JP"/>
                    </w:rPr>
                  </w:pPr>
                  <w:r>
                    <w:rPr>
                      <w:rFonts w:eastAsia="MS Mincho" w:cs="Arial"/>
                      <w:lang w:eastAsia="ja-JP"/>
                    </w:rPr>
                    <w:t>medium</w:t>
                  </w:r>
                </w:p>
              </w:tc>
              <w:tc>
                <w:tcPr>
                  <w:tcW w:w="1597" w:type="dxa"/>
                </w:tcPr>
                <w:p w:rsidR="003604A4" w:rsidRDefault="003604A4" w:rsidP="003604A4">
                  <w:pPr>
                    <w:pStyle w:val="BodyText"/>
                    <w:jc w:val="center"/>
                    <w:rPr>
                      <w:rFonts w:eastAsia="MS Mincho" w:cs="Arial"/>
                      <w:lang w:eastAsia="ja-JP"/>
                    </w:rPr>
                  </w:pPr>
                  <w:r>
                    <w:rPr>
                      <w:rFonts w:eastAsia="MS Mincho" w:cs="Arial"/>
                      <w:lang w:eastAsia="ja-JP"/>
                    </w:rPr>
                    <w:t>dense</w:t>
                  </w:r>
                </w:p>
              </w:tc>
              <w:tc>
                <w:tcPr>
                  <w:tcW w:w="1597" w:type="dxa"/>
                </w:tcPr>
                <w:p w:rsidR="003604A4" w:rsidRDefault="003604A4" w:rsidP="003604A4">
                  <w:pPr>
                    <w:pStyle w:val="BodyText"/>
                    <w:jc w:val="center"/>
                    <w:rPr>
                      <w:rFonts w:eastAsia="MS Mincho" w:cs="Arial"/>
                      <w:lang w:eastAsia="ja-JP"/>
                    </w:rPr>
                  </w:pPr>
                  <w:r>
                    <w:rPr>
                      <w:rFonts w:eastAsia="MS Mincho" w:cs="Arial"/>
                      <w:lang w:eastAsia="ja-JP"/>
                    </w:rPr>
                    <w:t>very dense</w:t>
                  </w:r>
                </w:p>
              </w:tc>
            </w:tr>
          </w:tbl>
          <w:p w:rsidR="003604A4" w:rsidRPr="000449A0" w:rsidRDefault="003604A4" w:rsidP="003604A4">
            <w:pPr>
              <w:pStyle w:val="BodyText"/>
              <w:jc w:val="left"/>
              <w:rPr>
                <w:rFonts w:eastAsia="MS Mincho" w:cs="Arial"/>
                <w:lang w:eastAsia="ja-JP"/>
              </w:rPr>
            </w:pPr>
          </w:p>
        </w:tc>
      </w:tr>
      <w:tr w:rsidR="009B23EB" w:rsidRPr="00784926" w:rsidTr="003E1838">
        <w:trPr>
          <w:cantSplit/>
        </w:trPr>
        <w:tc>
          <w:tcPr>
            <w:tcW w:w="1573" w:type="dxa"/>
          </w:tcPr>
          <w:p w:rsidR="009B23EB" w:rsidRPr="00784926" w:rsidRDefault="009B23EB" w:rsidP="003E1838">
            <w:pPr>
              <w:jc w:val="left"/>
              <w:rPr>
                <w:rFonts w:cs="Arial"/>
              </w:rPr>
            </w:pPr>
            <w:r w:rsidRPr="00B716FE">
              <w:rPr>
                <w:rFonts w:cs="Arial"/>
                <w:vertAlign w:val="superscript"/>
              </w:rPr>
              <w:t>#</w:t>
            </w:r>
            <w:r>
              <w:rPr>
                <w:rFonts w:cs="Arial"/>
              </w:rPr>
              <w:t>9.</w:t>
            </w:r>
          </w:p>
        </w:tc>
        <w:tc>
          <w:tcPr>
            <w:tcW w:w="8208" w:type="dxa"/>
          </w:tcPr>
          <w:p w:rsidR="009B23EB" w:rsidRDefault="009B23EB" w:rsidP="003E1838">
            <w:pPr>
              <w:keepNext/>
              <w:rPr>
                <w:rFonts w:cs="Arial"/>
              </w:rPr>
            </w:pPr>
            <w:r>
              <w:rPr>
                <w:rFonts w:cs="Arial"/>
              </w:rPr>
              <w:t xml:space="preserve">to review </w:t>
            </w:r>
            <w:r w:rsidRPr="00036F47">
              <w:rPr>
                <w:rFonts w:cs="Arial"/>
              </w:rPr>
              <w:t>format</w:t>
            </w:r>
            <w:r>
              <w:rPr>
                <w:rFonts w:cs="Arial"/>
              </w:rPr>
              <w:t>ting</w:t>
            </w:r>
            <w:r w:rsidRPr="00036F47">
              <w:rPr>
                <w:rFonts w:cs="Arial"/>
              </w:rPr>
              <w:t xml:space="preserve"> and </w:t>
            </w:r>
            <w:r>
              <w:rPr>
                <w:rFonts w:cs="Arial"/>
              </w:rPr>
              <w:t xml:space="preserve">complete </w:t>
            </w:r>
            <w:r w:rsidRPr="00036F47">
              <w:rPr>
                <w:rFonts w:cs="Arial"/>
              </w:rPr>
              <w:t>references</w:t>
            </w:r>
            <w:r>
              <w:rPr>
                <w:rFonts w:cs="Arial"/>
              </w:rPr>
              <w:t xml:space="preserve"> (see document TGP/7, GN 30)</w:t>
            </w:r>
          </w:p>
          <w:p w:rsidR="00DC325B" w:rsidRDefault="00DC325B" w:rsidP="003E1838">
            <w:pPr>
              <w:keepNext/>
              <w:rPr>
                <w:rFonts w:cs="Arial"/>
              </w:rPr>
            </w:pPr>
            <w:r>
              <w:rPr>
                <w:rFonts w:cs="Arial"/>
              </w:rPr>
              <w:t>Leading Expert:  literature provided as follows:</w:t>
            </w:r>
          </w:p>
          <w:p w:rsidR="00DC325B" w:rsidRPr="00DC325B" w:rsidRDefault="00DC325B" w:rsidP="00DC325B">
            <w:pPr>
              <w:rPr>
                <w:rFonts w:eastAsia="Montserrat" w:cs="Arial"/>
                <w:lang w:val="es-ES_tradnl"/>
              </w:rPr>
            </w:pPr>
            <w:r w:rsidRPr="00DC325B">
              <w:rPr>
                <w:rFonts w:eastAsia="Montserrat" w:cs="Arial"/>
                <w:lang w:val="es-ES_tradnl"/>
              </w:rPr>
              <w:t xml:space="preserve">Calderón, G., </w:t>
            </w:r>
            <w:proofErr w:type="spellStart"/>
            <w:r w:rsidRPr="00DC325B">
              <w:rPr>
                <w:rFonts w:eastAsia="Montserrat" w:cs="Arial"/>
                <w:lang w:val="es-ES_tradnl"/>
              </w:rPr>
              <w:t>Rzedowski</w:t>
            </w:r>
            <w:proofErr w:type="spellEnd"/>
            <w:r w:rsidRPr="00DC325B">
              <w:rPr>
                <w:rFonts w:eastAsia="Montserrat" w:cs="Arial"/>
                <w:lang w:val="es-ES_tradnl"/>
              </w:rPr>
              <w:t xml:space="preserve">, J., 2005: </w:t>
            </w:r>
            <w:r>
              <w:rPr>
                <w:rFonts w:eastAsia="Montserrat" w:cs="Arial"/>
                <w:lang w:val="es-ES_tradnl"/>
              </w:rPr>
              <w:t xml:space="preserve"> </w:t>
            </w:r>
            <w:r w:rsidRPr="00DC325B">
              <w:rPr>
                <w:rFonts w:eastAsia="Montserrat" w:cs="Arial"/>
                <w:lang w:val="es-ES_tradnl"/>
              </w:rPr>
              <w:t xml:space="preserve">Flora </w:t>
            </w:r>
            <w:proofErr w:type="spellStart"/>
            <w:r w:rsidRPr="00DC325B">
              <w:rPr>
                <w:rFonts w:eastAsia="Montserrat" w:cs="Arial"/>
                <w:lang w:val="es-ES_tradnl"/>
              </w:rPr>
              <w:t>Fanerogámica</w:t>
            </w:r>
            <w:proofErr w:type="spellEnd"/>
            <w:r w:rsidRPr="00DC325B">
              <w:rPr>
                <w:rFonts w:eastAsia="Montserrat" w:cs="Arial"/>
                <w:lang w:val="es-ES_tradnl"/>
              </w:rPr>
              <w:t xml:space="preserve"> del Valle de México. Instituto de Ecología, A.C. y Comisión Nacional para el Conocimiento y Uso de la Biodiversidad, Pátzcuaro/Michoacán, MX, 909</w:t>
            </w:r>
            <w:r w:rsidR="008C7339">
              <w:rPr>
                <w:rFonts w:eastAsia="Montserrat" w:cs="Arial"/>
                <w:lang w:val="es-ES_tradnl"/>
              </w:rPr>
              <w:t xml:space="preserve"> pp</w:t>
            </w:r>
            <w:r w:rsidRPr="00DC325B">
              <w:rPr>
                <w:rFonts w:eastAsia="Montserrat" w:cs="Arial"/>
                <w:lang w:val="es-ES_tradnl"/>
              </w:rPr>
              <w:t>.</w:t>
            </w:r>
          </w:p>
          <w:p w:rsidR="009403E6" w:rsidRDefault="009403E6" w:rsidP="00DC325B">
            <w:pPr>
              <w:rPr>
                <w:rFonts w:eastAsia="Montserrat" w:cs="Arial"/>
              </w:rPr>
            </w:pPr>
            <w:r w:rsidRPr="009403E6">
              <w:rPr>
                <w:rFonts w:eastAsia="Montserrat" w:cs="Arial"/>
              </w:rPr>
              <w:t>Smith, A.R., 2006: Flora of North America Editorial Committee. Flora of North America. North of Mexico. Vol. 21. Oxford University Press. Oxford, GB,</w:t>
            </w:r>
            <w:r w:rsidR="008C7339">
              <w:rPr>
                <w:rFonts w:eastAsia="Montserrat" w:cs="Arial"/>
              </w:rPr>
              <w:t xml:space="preserve"> </w:t>
            </w:r>
            <w:r w:rsidRPr="009403E6">
              <w:rPr>
                <w:rFonts w:eastAsia="Montserrat" w:cs="Arial"/>
              </w:rPr>
              <w:t>71</w:t>
            </w:r>
            <w:bookmarkStart w:id="2" w:name="_GoBack"/>
            <w:bookmarkEnd w:id="2"/>
            <w:r w:rsidR="008C7339">
              <w:rPr>
                <w:rFonts w:eastAsia="Montserrat" w:cs="Arial"/>
              </w:rPr>
              <w:t xml:space="preserve"> pp.</w:t>
            </w:r>
          </w:p>
          <w:p w:rsidR="00DC325B" w:rsidRPr="00784926" w:rsidRDefault="00DC325B" w:rsidP="00DC325B">
            <w:pPr>
              <w:rPr>
                <w:rFonts w:cs="Arial"/>
              </w:rPr>
            </w:pPr>
            <w:r w:rsidRPr="00DC325B">
              <w:rPr>
                <w:rFonts w:eastAsia="Montserrat" w:cs="Arial"/>
              </w:rPr>
              <w:t>Torres, A.M., 1963</w:t>
            </w:r>
            <w:r>
              <w:rPr>
                <w:rFonts w:eastAsia="Montserrat" w:cs="Arial"/>
              </w:rPr>
              <w:t>:</w:t>
            </w:r>
            <w:r w:rsidRPr="00DC325B">
              <w:rPr>
                <w:rFonts w:eastAsia="Montserrat" w:cs="Arial"/>
              </w:rPr>
              <w:t xml:space="preserve"> Taxonomy of zinnia. </w:t>
            </w:r>
            <w:proofErr w:type="spellStart"/>
            <w:r w:rsidRPr="00DC325B">
              <w:rPr>
                <w:rFonts w:eastAsia="Montserrat" w:cs="Arial"/>
              </w:rPr>
              <w:t>Brittonia</w:t>
            </w:r>
            <w:proofErr w:type="spellEnd"/>
            <w:r w:rsidRPr="00DC325B">
              <w:rPr>
                <w:rFonts w:eastAsia="Montserrat" w:cs="Arial"/>
              </w:rPr>
              <w:t xml:space="preserve"> 15: 1-25., Springer/New York Botanical Garden, Bronx/New York, US, pp. 1-25</w:t>
            </w:r>
          </w:p>
        </w:tc>
      </w:tr>
      <w:tr w:rsidR="009B23EB" w:rsidRPr="00036F47" w:rsidTr="003E1838">
        <w:trPr>
          <w:cantSplit/>
        </w:trPr>
        <w:tc>
          <w:tcPr>
            <w:tcW w:w="1573" w:type="dxa"/>
          </w:tcPr>
          <w:p w:rsidR="009B23EB" w:rsidRDefault="009B23EB" w:rsidP="003E1838">
            <w:pPr>
              <w:jc w:val="left"/>
              <w:rPr>
                <w:rFonts w:cs="Arial"/>
              </w:rPr>
            </w:pPr>
            <w:r w:rsidRPr="00B716FE">
              <w:rPr>
                <w:rFonts w:cs="Arial"/>
                <w:vertAlign w:val="superscript"/>
              </w:rPr>
              <w:t>#</w:t>
            </w:r>
            <w:r>
              <w:rPr>
                <w:rFonts w:cs="Arial"/>
              </w:rPr>
              <w:t>TQ 4.2</w:t>
            </w:r>
          </w:p>
        </w:tc>
        <w:tc>
          <w:tcPr>
            <w:tcW w:w="8208" w:type="dxa"/>
          </w:tcPr>
          <w:p w:rsidR="009B23EB" w:rsidRDefault="009B23EB" w:rsidP="003E1838">
            <w:pPr>
              <w:keepNext/>
              <w:rPr>
                <w:rFonts w:cs="Arial"/>
              </w:rPr>
            </w:pPr>
            <w:r>
              <w:rPr>
                <w:rFonts w:cs="Arial"/>
              </w:rPr>
              <w:t>to check whether to be adjusted according to proposed changes in sections 3.4.1, 4.1.4 and 4.2.4</w:t>
            </w:r>
          </w:p>
          <w:p w:rsidR="009A53C2" w:rsidRPr="00DC325B" w:rsidRDefault="00DC325B" w:rsidP="00DC325B">
            <w:pPr>
              <w:keepNext/>
              <w:rPr>
                <w:rFonts w:cs="Arial"/>
                <w:i/>
              </w:rPr>
            </w:pPr>
            <w:r w:rsidRPr="008C7339">
              <w:rPr>
                <w:rFonts w:cs="Arial"/>
                <w:i/>
              </w:rPr>
              <w:t>Leading Expert:  to delete “(a) Self-pollination”, (b) to read “Open-pollination”</w:t>
            </w:r>
          </w:p>
        </w:tc>
      </w:tr>
    </w:tbl>
    <w:p w:rsidR="000010E2" w:rsidRDefault="000010E2" w:rsidP="000010E2">
      <w:pPr>
        <w:keepNext/>
      </w:pPr>
    </w:p>
    <w:p w:rsidR="00C039AF" w:rsidRDefault="00C039AF" w:rsidP="00C039AF">
      <w:pPr>
        <w:autoSpaceDE w:val="0"/>
        <w:autoSpaceDN w:val="0"/>
        <w:adjustRightInd w:val="0"/>
      </w:pPr>
      <w:r w:rsidRPr="00F85165">
        <w:fldChar w:fldCharType="begin"/>
      </w:r>
      <w:r w:rsidRPr="00F85165">
        <w:instrText xml:space="preserve"> AUTONUM  </w:instrText>
      </w:r>
      <w:r w:rsidRPr="00F85165">
        <w:fldChar w:fldCharType="end"/>
      </w:r>
      <w:r w:rsidRPr="00F85165">
        <w:tab/>
      </w:r>
      <w:r w:rsidR="00F85165" w:rsidRPr="00F85165">
        <w:t xml:space="preserve">The </w:t>
      </w:r>
      <w:r w:rsidR="00F85165" w:rsidRPr="00F85165">
        <w:rPr>
          <w:rFonts w:cs="Arial"/>
        </w:rPr>
        <w:t xml:space="preserve">TC-EDC </w:t>
      </w:r>
      <w:r w:rsidR="00F85165" w:rsidRPr="00F85165">
        <w:t xml:space="preserve">will consider the above information on the draft Test Guidelines for </w:t>
      </w:r>
      <w:r w:rsidR="009B23EB">
        <w:t>Zinnia</w:t>
      </w:r>
      <w:r w:rsidR="00F85165" w:rsidRPr="00F85165">
        <w:t xml:space="preserve"> at its meeting to be held in Ma</w:t>
      </w:r>
      <w:r w:rsidR="00F85165" w:rsidRPr="001170C9">
        <w:t>rch 2022 and the Test Guidelines be submitted to the TC for adoption by correspondence.</w:t>
      </w:r>
    </w:p>
    <w:p w:rsidR="00C039AF" w:rsidRDefault="00C039AF" w:rsidP="00C039AF"/>
    <w:p w:rsidR="00FD5DC5" w:rsidRDefault="00FD5DC5">
      <w:pPr>
        <w:jc w:val="left"/>
      </w:pPr>
    </w:p>
    <w:p w:rsidR="006D25C4" w:rsidRPr="00C40CC2" w:rsidRDefault="006D25C4">
      <w:pPr>
        <w:jc w:val="left"/>
      </w:pPr>
    </w:p>
    <w:p w:rsidR="000F19C3" w:rsidRPr="000C2C4F" w:rsidRDefault="00916216" w:rsidP="006D25C4">
      <w:pPr>
        <w:jc w:val="right"/>
      </w:pPr>
      <w:r w:rsidRPr="00C40CC2">
        <w:t>[End of document]</w:t>
      </w:r>
      <w:r w:rsidR="00A9274B" w:rsidRPr="000C2C4F">
        <w:t xml:space="preserve"> </w:t>
      </w:r>
    </w:p>
    <w:sectPr w:rsidR="000F19C3" w:rsidRPr="000C2C4F"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FE" w:rsidRDefault="00C81AFE" w:rsidP="006655D3">
      <w:r>
        <w:separator/>
      </w:r>
    </w:p>
    <w:p w:rsidR="00C81AFE" w:rsidRDefault="00C81AFE" w:rsidP="006655D3"/>
    <w:p w:rsidR="00C81AFE" w:rsidRDefault="00C81AFE" w:rsidP="006655D3"/>
  </w:endnote>
  <w:endnote w:type="continuationSeparator" w:id="0">
    <w:p w:rsidR="00C81AFE" w:rsidRDefault="00C81AFE" w:rsidP="006655D3">
      <w:r>
        <w:separator/>
      </w:r>
    </w:p>
    <w:p w:rsidR="00C81AFE" w:rsidRPr="00294751" w:rsidRDefault="00C81AFE">
      <w:pPr>
        <w:pStyle w:val="Footer"/>
        <w:spacing w:after="60"/>
        <w:rPr>
          <w:sz w:val="18"/>
          <w:lang w:val="fr-FR"/>
        </w:rPr>
      </w:pPr>
      <w:r w:rsidRPr="00294751">
        <w:rPr>
          <w:sz w:val="18"/>
          <w:lang w:val="fr-FR"/>
        </w:rPr>
        <w:t>[Suite de la note de la page précédente]</w:t>
      </w:r>
    </w:p>
    <w:p w:rsidR="00C81AFE" w:rsidRPr="00294751" w:rsidRDefault="00C81AFE" w:rsidP="006655D3">
      <w:pPr>
        <w:rPr>
          <w:lang w:val="fr-FR"/>
        </w:rPr>
      </w:pPr>
    </w:p>
    <w:p w:rsidR="00C81AFE" w:rsidRPr="00294751" w:rsidRDefault="00C81AFE" w:rsidP="006655D3">
      <w:pPr>
        <w:rPr>
          <w:lang w:val="fr-FR"/>
        </w:rPr>
      </w:pPr>
    </w:p>
  </w:endnote>
  <w:endnote w:type="continuationNotice" w:id="1">
    <w:p w:rsidR="00C81AFE" w:rsidRPr="00294751" w:rsidRDefault="00C81AFE" w:rsidP="006655D3">
      <w:pPr>
        <w:rPr>
          <w:lang w:val="fr-FR"/>
        </w:rPr>
      </w:pPr>
      <w:r w:rsidRPr="00294751">
        <w:rPr>
          <w:lang w:val="fr-FR"/>
        </w:rPr>
        <w:t>[Suite de la note page suivante]</w:t>
      </w:r>
    </w:p>
    <w:p w:rsidR="00C81AFE" w:rsidRPr="00294751" w:rsidRDefault="00C81AFE" w:rsidP="006655D3">
      <w:pPr>
        <w:rPr>
          <w:lang w:val="fr-FR"/>
        </w:rPr>
      </w:pPr>
    </w:p>
    <w:p w:rsidR="00C81AFE" w:rsidRPr="00294751" w:rsidRDefault="00C81AF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Montserrat">
    <w:altName w:val="Courier New"/>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FE" w:rsidRDefault="00C81AFE" w:rsidP="006655D3">
      <w:r>
        <w:separator/>
      </w:r>
    </w:p>
  </w:footnote>
  <w:footnote w:type="continuationSeparator" w:id="0">
    <w:p w:rsidR="00C81AFE" w:rsidRDefault="00C81AFE" w:rsidP="006655D3">
      <w:r>
        <w:separator/>
      </w:r>
    </w:p>
  </w:footnote>
  <w:footnote w:type="continuationNotice" w:id="1">
    <w:p w:rsidR="00C81AFE" w:rsidRPr="00AB530F" w:rsidRDefault="00C81AF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4A6FDA" w:rsidRDefault="006567E7" w:rsidP="00EB048E">
    <w:pPr>
      <w:pStyle w:val="Header"/>
      <w:rPr>
        <w:rStyle w:val="PageNumber"/>
        <w:lang w:val="pt-BR"/>
      </w:rPr>
    </w:pPr>
    <w:r w:rsidRPr="004A6FDA">
      <w:rPr>
        <w:rStyle w:val="PageNumber"/>
        <w:lang w:val="pt-BR"/>
      </w:rPr>
      <w:t>TC-EDC/</w:t>
    </w:r>
    <w:r w:rsidR="00826260">
      <w:rPr>
        <w:rStyle w:val="PageNumber"/>
        <w:lang w:val="pt-BR"/>
      </w:rPr>
      <w:t>Mar</w:t>
    </w:r>
    <w:r w:rsidR="00975D8B">
      <w:rPr>
        <w:rStyle w:val="PageNumber"/>
        <w:lang w:val="pt-BR"/>
      </w:rPr>
      <w:t>2</w:t>
    </w:r>
    <w:r w:rsidR="00826260">
      <w:rPr>
        <w:rStyle w:val="PageNumber"/>
        <w:lang w:val="pt-BR"/>
      </w:rPr>
      <w:t>2</w:t>
    </w:r>
    <w:r w:rsidRPr="004A6FDA">
      <w:rPr>
        <w:rStyle w:val="PageNumber"/>
        <w:lang w:val="pt-BR"/>
      </w:rPr>
      <w:t>/</w:t>
    </w:r>
    <w:r w:rsidR="00F82AE2">
      <w:rPr>
        <w:rStyle w:val="PageNumber"/>
        <w:lang w:val="pt-BR"/>
      </w:rPr>
      <w:t>3</w:t>
    </w:r>
  </w:p>
  <w:p w:rsidR="00182B99" w:rsidRPr="004A6FDA" w:rsidRDefault="00182B99" w:rsidP="00EB048E">
    <w:pPr>
      <w:pStyle w:val="Header"/>
      <w:rPr>
        <w:lang w:val="pt-BR"/>
      </w:rPr>
    </w:pPr>
    <w:r w:rsidRPr="004A6FDA">
      <w:rPr>
        <w:lang w:val="pt-BR"/>
      </w:rPr>
      <w:t xml:space="preserve">page </w:t>
    </w:r>
    <w:r w:rsidRPr="00C5280D">
      <w:rPr>
        <w:rStyle w:val="PageNumber"/>
        <w:lang w:val="en-US"/>
      </w:rPr>
      <w:fldChar w:fldCharType="begin"/>
    </w:r>
    <w:r w:rsidRPr="004A6FDA">
      <w:rPr>
        <w:rStyle w:val="PageNumber"/>
        <w:lang w:val="pt-BR"/>
      </w:rPr>
      <w:instrText xml:space="preserve"> PAGE </w:instrText>
    </w:r>
    <w:r w:rsidRPr="00C5280D">
      <w:rPr>
        <w:rStyle w:val="PageNumber"/>
        <w:lang w:val="en-US"/>
      </w:rPr>
      <w:fldChar w:fldCharType="separate"/>
    </w:r>
    <w:r w:rsidR="007513C2">
      <w:rPr>
        <w:rStyle w:val="PageNumber"/>
        <w:noProof/>
        <w:lang w:val="pt-BR"/>
      </w:rPr>
      <w:t>2</w:t>
    </w:r>
    <w:r w:rsidRPr="00C5280D">
      <w:rPr>
        <w:rStyle w:val="PageNumber"/>
        <w:lang w:val="en-US"/>
      </w:rPr>
      <w:fldChar w:fldCharType="end"/>
    </w:r>
  </w:p>
  <w:p w:rsidR="00182B99" w:rsidRPr="004A6FDA" w:rsidRDefault="00182B99" w:rsidP="006655D3">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736CF"/>
    <w:multiLevelType w:val="multilevel"/>
    <w:tmpl w:val="C77EB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es-ES_tradnl"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FE"/>
    <w:rsid w:val="000010E2"/>
    <w:rsid w:val="0001024B"/>
    <w:rsid w:val="00010CF3"/>
    <w:rsid w:val="00011E27"/>
    <w:rsid w:val="000148BC"/>
    <w:rsid w:val="00024AB8"/>
    <w:rsid w:val="00030854"/>
    <w:rsid w:val="00036028"/>
    <w:rsid w:val="00044642"/>
    <w:rsid w:val="000446B9"/>
    <w:rsid w:val="00047E21"/>
    <w:rsid w:val="00050E16"/>
    <w:rsid w:val="00055C2D"/>
    <w:rsid w:val="0006378B"/>
    <w:rsid w:val="00085505"/>
    <w:rsid w:val="000B33B3"/>
    <w:rsid w:val="000C2C4F"/>
    <w:rsid w:val="000C4E25"/>
    <w:rsid w:val="000C7021"/>
    <w:rsid w:val="000C7DB4"/>
    <w:rsid w:val="000D6BBC"/>
    <w:rsid w:val="000D7780"/>
    <w:rsid w:val="000E6267"/>
    <w:rsid w:val="000E636A"/>
    <w:rsid w:val="000E7E20"/>
    <w:rsid w:val="000F19C3"/>
    <w:rsid w:val="000F2F11"/>
    <w:rsid w:val="00105929"/>
    <w:rsid w:val="00110C36"/>
    <w:rsid w:val="001131D5"/>
    <w:rsid w:val="00141DB8"/>
    <w:rsid w:val="00151CE1"/>
    <w:rsid w:val="00172084"/>
    <w:rsid w:val="0017474A"/>
    <w:rsid w:val="001758C6"/>
    <w:rsid w:val="0018173F"/>
    <w:rsid w:val="00182B99"/>
    <w:rsid w:val="0018715A"/>
    <w:rsid w:val="001A6625"/>
    <w:rsid w:val="001C1525"/>
    <w:rsid w:val="001C3C25"/>
    <w:rsid w:val="001C731D"/>
    <w:rsid w:val="0021332C"/>
    <w:rsid w:val="00213982"/>
    <w:rsid w:val="00214C72"/>
    <w:rsid w:val="002178C7"/>
    <w:rsid w:val="00235D47"/>
    <w:rsid w:val="0024416D"/>
    <w:rsid w:val="002628C3"/>
    <w:rsid w:val="00271911"/>
    <w:rsid w:val="002800A0"/>
    <w:rsid w:val="002801B3"/>
    <w:rsid w:val="00281060"/>
    <w:rsid w:val="002940E8"/>
    <w:rsid w:val="00294751"/>
    <w:rsid w:val="002A6E50"/>
    <w:rsid w:val="002B4298"/>
    <w:rsid w:val="002C1551"/>
    <w:rsid w:val="002C256A"/>
    <w:rsid w:val="002C2792"/>
    <w:rsid w:val="002F0BE6"/>
    <w:rsid w:val="002F3BCB"/>
    <w:rsid w:val="002F61B7"/>
    <w:rsid w:val="00304497"/>
    <w:rsid w:val="00305A7F"/>
    <w:rsid w:val="003152FE"/>
    <w:rsid w:val="00325ABC"/>
    <w:rsid w:val="00327436"/>
    <w:rsid w:val="00344BD6"/>
    <w:rsid w:val="0035528D"/>
    <w:rsid w:val="0035602E"/>
    <w:rsid w:val="003604A4"/>
    <w:rsid w:val="00361821"/>
    <w:rsid w:val="00361E9E"/>
    <w:rsid w:val="00391BEE"/>
    <w:rsid w:val="0039633A"/>
    <w:rsid w:val="003C20F4"/>
    <w:rsid w:val="003C7FBE"/>
    <w:rsid w:val="003D227C"/>
    <w:rsid w:val="003D2B4D"/>
    <w:rsid w:val="003F3D01"/>
    <w:rsid w:val="003F5F2B"/>
    <w:rsid w:val="00404F1F"/>
    <w:rsid w:val="00424C0F"/>
    <w:rsid w:val="00435B7C"/>
    <w:rsid w:val="00444A88"/>
    <w:rsid w:val="00453C2F"/>
    <w:rsid w:val="00474DA4"/>
    <w:rsid w:val="00476B4D"/>
    <w:rsid w:val="004805FA"/>
    <w:rsid w:val="00481A2C"/>
    <w:rsid w:val="0048657A"/>
    <w:rsid w:val="00486BBA"/>
    <w:rsid w:val="004935D2"/>
    <w:rsid w:val="004A6FDA"/>
    <w:rsid w:val="004B1215"/>
    <w:rsid w:val="004C45ED"/>
    <w:rsid w:val="004C6837"/>
    <w:rsid w:val="004D047D"/>
    <w:rsid w:val="004F1E9E"/>
    <w:rsid w:val="004F305A"/>
    <w:rsid w:val="00512164"/>
    <w:rsid w:val="00520297"/>
    <w:rsid w:val="0053339A"/>
    <w:rsid w:val="005338F9"/>
    <w:rsid w:val="0054281C"/>
    <w:rsid w:val="00544581"/>
    <w:rsid w:val="005504AC"/>
    <w:rsid w:val="0055268D"/>
    <w:rsid w:val="00576BE4"/>
    <w:rsid w:val="005A400A"/>
    <w:rsid w:val="005C38B4"/>
    <w:rsid w:val="005F7B92"/>
    <w:rsid w:val="0060287A"/>
    <w:rsid w:val="00605886"/>
    <w:rsid w:val="00612379"/>
    <w:rsid w:val="006153B6"/>
    <w:rsid w:val="0061555F"/>
    <w:rsid w:val="00636CA6"/>
    <w:rsid w:val="00641200"/>
    <w:rsid w:val="00645CA8"/>
    <w:rsid w:val="006567E7"/>
    <w:rsid w:val="00662A89"/>
    <w:rsid w:val="00663578"/>
    <w:rsid w:val="006655D3"/>
    <w:rsid w:val="00666B06"/>
    <w:rsid w:val="00667404"/>
    <w:rsid w:val="00687EB4"/>
    <w:rsid w:val="00695C56"/>
    <w:rsid w:val="006A5CDE"/>
    <w:rsid w:val="006A644A"/>
    <w:rsid w:val="006B0724"/>
    <w:rsid w:val="006B17D2"/>
    <w:rsid w:val="006C224E"/>
    <w:rsid w:val="006C70ED"/>
    <w:rsid w:val="006D013D"/>
    <w:rsid w:val="006D25C4"/>
    <w:rsid w:val="006D780A"/>
    <w:rsid w:val="00705D29"/>
    <w:rsid w:val="00706FF7"/>
    <w:rsid w:val="00711062"/>
    <w:rsid w:val="0071271E"/>
    <w:rsid w:val="00732DEC"/>
    <w:rsid w:val="00735BD5"/>
    <w:rsid w:val="007451EC"/>
    <w:rsid w:val="007513C2"/>
    <w:rsid w:val="00751613"/>
    <w:rsid w:val="007556F6"/>
    <w:rsid w:val="007578BB"/>
    <w:rsid w:val="00760EEF"/>
    <w:rsid w:val="007660C7"/>
    <w:rsid w:val="00777EE5"/>
    <w:rsid w:val="00784836"/>
    <w:rsid w:val="0079023E"/>
    <w:rsid w:val="00797273"/>
    <w:rsid w:val="007A2854"/>
    <w:rsid w:val="007A6215"/>
    <w:rsid w:val="007C1D92"/>
    <w:rsid w:val="007C4CB9"/>
    <w:rsid w:val="007D0B9D"/>
    <w:rsid w:val="007D19B0"/>
    <w:rsid w:val="007D4635"/>
    <w:rsid w:val="007E1C9C"/>
    <w:rsid w:val="007F498F"/>
    <w:rsid w:val="0080679D"/>
    <w:rsid w:val="008108B0"/>
    <w:rsid w:val="00811B20"/>
    <w:rsid w:val="008211B5"/>
    <w:rsid w:val="0082296E"/>
    <w:rsid w:val="00824099"/>
    <w:rsid w:val="00826260"/>
    <w:rsid w:val="00846D7C"/>
    <w:rsid w:val="0084783D"/>
    <w:rsid w:val="0086146F"/>
    <w:rsid w:val="00867AC1"/>
    <w:rsid w:val="008730FF"/>
    <w:rsid w:val="00890DF8"/>
    <w:rsid w:val="008A743F"/>
    <w:rsid w:val="008C0970"/>
    <w:rsid w:val="008C7339"/>
    <w:rsid w:val="008D0BC5"/>
    <w:rsid w:val="008D2CF7"/>
    <w:rsid w:val="008D59C6"/>
    <w:rsid w:val="008E20DB"/>
    <w:rsid w:val="00900C26"/>
    <w:rsid w:val="0090197F"/>
    <w:rsid w:val="00903264"/>
    <w:rsid w:val="00906DDC"/>
    <w:rsid w:val="00916216"/>
    <w:rsid w:val="00933453"/>
    <w:rsid w:val="00934E09"/>
    <w:rsid w:val="00936253"/>
    <w:rsid w:val="009403E6"/>
    <w:rsid w:val="00940D46"/>
    <w:rsid w:val="00952DD4"/>
    <w:rsid w:val="00965AE7"/>
    <w:rsid w:val="00970FED"/>
    <w:rsid w:val="00975D8B"/>
    <w:rsid w:val="00980C88"/>
    <w:rsid w:val="00992D82"/>
    <w:rsid w:val="00997029"/>
    <w:rsid w:val="009A53C2"/>
    <w:rsid w:val="009A7339"/>
    <w:rsid w:val="009B1272"/>
    <w:rsid w:val="009B23EB"/>
    <w:rsid w:val="009B440E"/>
    <w:rsid w:val="009D690D"/>
    <w:rsid w:val="009E65B6"/>
    <w:rsid w:val="009F0764"/>
    <w:rsid w:val="009F77CF"/>
    <w:rsid w:val="00A24C10"/>
    <w:rsid w:val="00A3365A"/>
    <w:rsid w:val="00A42AC3"/>
    <w:rsid w:val="00A430CF"/>
    <w:rsid w:val="00A54309"/>
    <w:rsid w:val="00A640DA"/>
    <w:rsid w:val="00A64B15"/>
    <w:rsid w:val="00A9274B"/>
    <w:rsid w:val="00AB2B93"/>
    <w:rsid w:val="00AB530F"/>
    <w:rsid w:val="00AB7E5B"/>
    <w:rsid w:val="00AC2883"/>
    <w:rsid w:val="00AE0EF1"/>
    <w:rsid w:val="00AE2937"/>
    <w:rsid w:val="00B036C2"/>
    <w:rsid w:val="00B07301"/>
    <w:rsid w:val="00B07D7F"/>
    <w:rsid w:val="00B11F3E"/>
    <w:rsid w:val="00B167E2"/>
    <w:rsid w:val="00B224DE"/>
    <w:rsid w:val="00B228C9"/>
    <w:rsid w:val="00B324D4"/>
    <w:rsid w:val="00B46575"/>
    <w:rsid w:val="00B53139"/>
    <w:rsid w:val="00B549CF"/>
    <w:rsid w:val="00B61777"/>
    <w:rsid w:val="00B84BBD"/>
    <w:rsid w:val="00BA43FB"/>
    <w:rsid w:val="00BC127D"/>
    <w:rsid w:val="00BC1FE6"/>
    <w:rsid w:val="00BD51EF"/>
    <w:rsid w:val="00BF0463"/>
    <w:rsid w:val="00C0282F"/>
    <w:rsid w:val="00C039AF"/>
    <w:rsid w:val="00C061B6"/>
    <w:rsid w:val="00C2446C"/>
    <w:rsid w:val="00C3628E"/>
    <w:rsid w:val="00C36AE5"/>
    <w:rsid w:val="00C40CC2"/>
    <w:rsid w:val="00C41F17"/>
    <w:rsid w:val="00C527FA"/>
    <w:rsid w:val="00C5280D"/>
    <w:rsid w:val="00C53EB3"/>
    <w:rsid w:val="00C5791C"/>
    <w:rsid w:val="00C66290"/>
    <w:rsid w:val="00C72B7A"/>
    <w:rsid w:val="00C757E0"/>
    <w:rsid w:val="00C81AFE"/>
    <w:rsid w:val="00C973F2"/>
    <w:rsid w:val="00CA304C"/>
    <w:rsid w:val="00CA774A"/>
    <w:rsid w:val="00CC11B0"/>
    <w:rsid w:val="00CC151A"/>
    <w:rsid w:val="00CC2841"/>
    <w:rsid w:val="00CF1330"/>
    <w:rsid w:val="00CF7E36"/>
    <w:rsid w:val="00D2626E"/>
    <w:rsid w:val="00D3192B"/>
    <w:rsid w:val="00D3708D"/>
    <w:rsid w:val="00D40426"/>
    <w:rsid w:val="00D565F3"/>
    <w:rsid w:val="00D57C96"/>
    <w:rsid w:val="00D57D18"/>
    <w:rsid w:val="00D65BC3"/>
    <w:rsid w:val="00D705B0"/>
    <w:rsid w:val="00D91203"/>
    <w:rsid w:val="00D95174"/>
    <w:rsid w:val="00D9615B"/>
    <w:rsid w:val="00D96F3B"/>
    <w:rsid w:val="00DA4476"/>
    <w:rsid w:val="00DA4973"/>
    <w:rsid w:val="00DA6F36"/>
    <w:rsid w:val="00DB596E"/>
    <w:rsid w:val="00DB7773"/>
    <w:rsid w:val="00DC00EA"/>
    <w:rsid w:val="00DC26C8"/>
    <w:rsid w:val="00DC325B"/>
    <w:rsid w:val="00DC3802"/>
    <w:rsid w:val="00DC769D"/>
    <w:rsid w:val="00E07D87"/>
    <w:rsid w:val="00E32F7E"/>
    <w:rsid w:val="00E33EA6"/>
    <w:rsid w:val="00E5267B"/>
    <w:rsid w:val="00E63C0E"/>
    <w:rsid w:val="00E66A1E"/>
    <w:rsid w:val="00E72D49"/>
    <w:rsid w:val="00E7593C"/>
    <w:rsid w:val="00E7678A"/>
    <w:rsid w:val="00E935F1"/>
    <w:rsid w:val="00E94A81"/>
    <w:rsid w:val="00E97DBC"/>
    <w:rsid w:val="00EA1FFB"/>
    <w:rsid w:val="00EB048E"/>
    <w:rsid w:val="00EB1383"/>
    <w:rsid w:val="00EB4E9C"/>
    <w:rsid w:val="00EB67DB"/>
    <w:rsid w:val="00EC67E8"/>
    <w:rsid w:val="00ED0950"/>
    <w:rsid w:val="00EE34DF"/>
    <w:rsid w:val="00EF2F89"/>
    <w:rsid w:val="00F03E98"/>
    <w:rsid w:val="00F1237A"/>
    <w:rsid w:val="00F22CBD"/>
    <w:rsid w:val="00F272F1"/>
    <w:rsid w:val="00F45372"/>
    <w:rsid w:val="00F560F7"/>
    <w:rsid w:val="00F61C66"/>
    <w:rsid w:val="00F61F94"/>
    <w:rsid w:val="00F6265C"/>
    <w:rsid w:val="00F6334D"/>
    <w:rsid w:val="00F63599"/>
    <w:rsid w:val="00F64649"/>
    <w:rsid w:val="00F82AE2"/>
    <w:rsid w:val="00F85165"/>
    <w:rsid w:val="00F854D8"/>
    <w:rsid w:val="00FA23E7"/>
    <w:rsid w:val="00FA49AB"/>
    <w:rsid w:val="00FA4D48"/>
    <w:rsid w:val="00FD5DC5"/>
    <w:rsid w:val="00FD7208"/>
    <w:rsid w:val="00FD7A5E"/>
    <w:rsid w:val="00FD7FC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332D8614"/>
  <w15:docId w15:val="{806ACC2E-45A8-46F5-817E-E8D9EF5F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table" w:styleId="TableGrid">
    <w:name w:val="Table Grid"/>
    <w:basedOn w:val="TableNormal"/>
    <w:uiPriority w:val="39"/>
    <w:rsid w:val="00C028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783D"/>
    <w:rPr>
      <w:i/>
      <w:iCs/>
    </w:rPr>
  </w:style>
  <w:style w:type="character" w:styleId="FollowedHyperlink">
    <w:name w:val="FollowedHyperlink"/>
    <w:basedOn w:val="DefaultParagraphFont"/>
    <w:semiHidden/>
    <w:unhideWhenUsed/>
    <w:rsid w:val="00705D29"/>
    <w:rPr>
      <w:color w:val="800080" w:themeColor="followedHyperlink"/>
      <w:u w:val="single"/>
    </w:rPr>
  </w:style>
  <w:style w:type="character" w:customStyle="1" w:styleId="TitleofdocChar">
    <w:name w:val="Title_of_doc Char"/>
    <w:link w:val="Titleofdoc0"/>
    <w:rsid w:val="007A6215"/>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15">
      <w:bodyDiv w:val="1"/>
      <w:marLeft w:val="0"/>
      <w:marRight w:val="0"/>
      <w:marTop w:val="0"/>
      <w:marBottom w:val="0"/>
      <w:divBdr>
        <w:top w:val="none" w:sz="0" w:space="0" w:color="auto"/>
        <w:left w:val="none" w:sz="0" w:space="0" w:color="auto"/>
        <w:bottom w:val="none" w:sz="0" w:space="0" w:color="auto"/>
        <w:right w:val="none" w:sz="0" w:space="0" w:color="auto"/>
      </w:divBdr>
    </w:div>
    <w:div w:id="109790673">
      <w:bodyDiv w:val="1"/>
      <w:marLeft w:val="0"/>
      <w:marRight w:val="0"/>
      <w:marTop w:val="0"/>
      <w:marBottom w:val="0"/>
      <w:divBdr>
        <w:top w:val="none" w:sz="0" w:space="0" w:color="auto"/>
        <w:left w:val="none" w:sz="0" w:space="0" w:color="auto"/>
        <w:bottom w:val="none" w:sz="0" w:space="0" w:color="auto"/>
        <w:right w:val="none" w:sz="0" w:space="0" w:color="auto"/>
      </w:divBdr>
    </w:div>
    <w:div w:id="228998109">
      <w:bodyDiv w:val="1"/>
      <w:marLeft w:val="0"/>
      <w:marRight w:val="0"/>
      <w:marTop w:val="0"/>
      <w:marBottom w:val="0"/>
      <w:divBdr>
        <w:top w:val="none" w:sz="0" w:space="0" w:color="auto"/>
        <w:left w:val="none" w:sz="0" w:space="0" w:color="auto"/>
        <w:bottom w:val="none" w:sz="0" w:space="0" w:color="auto"/>
        <w:right w:val="none" w:sz="0" w:space="0" w:color="auto"/>
      </w:divBdr>
    </w:div>
    <w:div w:id="281234798">
      <w:bodyDiv w:val="1"/>
      <w:marLeft w:val="0"/>
      <w:marRight w:val="0"/>
      <w:marTop w:val="0"/>
      <w:marBottom w:val="0"/>
      <w:divBdr>
        <w:top w:val="none" w:sz="0" w:space="0" w:color="auto"/>
        <w:left w:val="none" w:sz="0" w:space="0" w:color="auto"/>
        <w:bottom w:val="none" w:sz="0" w:space="0" w:color="auto"/>
        <w:right w:val="none" w:sz="0" w:space="0" w:color="auto"/>
      </w:divBdr>
    </w:div>
    <w:div w:id="303238752">
      <w:bodyDiv w:val="1"/>
      <w:marLeft w:val="0"/>
      <w:marRight w:val="0"/>
      <w:marTop w:val="0"/>
      <w:marBottom w:val="0"/>
      <w:divBdr>
        <w:top w:val="none" w:sz="0" w:space="0" w:color="auto"/>
        <w:left w:val="none" w:sz="0" w:space="0" w:color="auto"/>
        <w:bottom w:val="none" w:sz="0" w:space="0" w:color="auto"/>
        <w:right w:val="none" w:sz="0" w:space="0" w:color="auto"/>
      </w:divBdr>
    </w:div>
    <w:div w:id="537624175">
      <w:bodyDiv w:val="1"/>
      <w:marLeft w:val="0"/>
      <w:marRight w:val="0"/>
      <w:marTop w:val="0"/>
      <w:marBottom w:val="0"/>
      <w:divBdr>
        <w:top w:val="none" w:sz="0" w:space="0" w:color="auto"/>
        <w:left w:val="none" w:sz="0" w:space="0" w:color="auto"/>
        <w:bottom w:val="none" w:sz="0" w:space="0" w:color="auto"/>
        <w:right w:val="none" w:sz="0" w:space="0" w:color="auto"/>
      </w:divBdr>
    </w:div>
    <w:div w:id="554777146">
      <w:bodyDiv w:val="1"/>
      <w:marLeft w:val="0"/>
      <w:marRight w:val="0"/>
      <w:marTop w:val="0"/>
      <w:marBottom w:val="0"/>
      <w:divBdr>
        <w:top w:val="none" w:sz="0" w:space="0" w:color="auto"/>
        <w:left w:val="none" w:sz="0" w:space="0" w:color="auto"/>
        <w:bottom w:val="none" w:sz="0" w:space="0" w:color="auto"/>
        <w:right w:val="none" w:sz="0" w:space="0" w:color="auto"/>
      </w:divBdr>
    </w:div>
    <w:div w:id="1007948800">
      <w:bodyDiv w:val="1"/>
      <w:marLeft w:val="0"/>
      <w:marRight w:val="0"/>
      <w:marTop w:val="0"/>
      <w:marBottom w:val="0"/>
      <w:divBdr>
        <w:top w:val="none" w:sz="0" w:space="0" w:color="auto"/>
        <w:left w:val="none" w:sz="0" w:space="0" w:color="auto"/>
        <w:bottom w:val="none" w:sz="0" w:space="0" w:color="auto"/>
        <w:right w:val="none" w:sz="0" w:space="0" w:color="auto"/>
      </w:divBdr>
    </w:div>
    <w:div w:id="1312562237">
      <w:bodyDiv w:val="1"/>
      <w:marLeft w:val="0"/>
      <w:marRight w:val="0"/>
      <w:marTop w:val="0"/>
      <w:marBottom w:val="0"/>
      <w:divBdr>
        <w:top w:val="none" w:sz="0" w:space="0" w:color="auto"/>
        <w:left w:val="none" w:sz="0" w:space="0" w:color="auto"/>
        <w:bottom w:val="none" w:sz="0" w:space="0" w:color="auto"/>
        <w:right w:val="none" w:sz="0" w:space="0" w:color="auto"/>
      </w:divBdr>
    </w:div>
    <w:div w:id="142187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oc_details.jsp?meeting_id=60596&amp;doc_id=550455"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933</Words>
  <Characters>5106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TC-EDC/Mar22/3</vt:lpstr>
    </vt:vector>
  </TitlesOfParts>
  <Company>UPOV</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TC-EDC/Mar22/3</dc:title>
  <dc:creator>OERTEL Romy</dc:creator>
  <cp:keywords>TC-EDC/Mar22/3</cp:keywords>
  <cp:lastModifiedBy>OERTEL Romy</cp:lastModifiedBy>
  <cp:revision>16</cp:revision>
  <cp:lastPrinted>2020-09-30T14:04:00Z</cp:lastPrinted>
  <dcterms:created xsi:type="dcterms:W3CDTF">2022-02-08T07:51:00Z</dcterms:created>
  <dcterms:modified xsi:type="dcterms:W3CDTF">2022-02-16T09:16:00Z</dcterms:modified>
</cp:coreProperties>
</file>