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90385" w:rsidTr="00EB4E9C">
        <w:tc>
          <w:tcPr>
            <w:tcW w:w="6522" w:type="dxa"/>
          </w:tcPr>
          <w:p w:rsidR="00DC3802" w:rsidRPr="00090385" w:rsidRDefault="00DC3802" w:rsidP="00AC2883">
            <w:pPr>
              <w:rPr>
                <w:rFonts w:cs="Arial"/>
              </w:rPr>
            </w:pPr>
            <w:bookmarkStart w:id="0" w:name="_GoBack"/>
            <w:bookmarkEnd w:id="0"/>
            <w:r w:rsidRPr="00090385">
              <w:rPr>
                <w:rFonts w:cs="Arial"/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61AF4" w:rsidRDefault="00DC3802" w:rsidP="00AC2883">
            <w:pPr>
              <w:pStyle w:val="Lettrine"/>
              <w:rPr>
                <w:rFonts w:cs="Arial"/>
                <w:szCs w:val="36"/>
              </w:rPr>
            </w:pPr>
            <w:r w:rsidRPr="00061AF4">
              <w:rPr>
                <w:rFonts w:cs="Arial"/>
                <w:szCs w:val="36"/>
              </w:rPr>
              <w:t>E</w:t>
            </w:r>
          </w:p>
        </w:tc>
      </w:tr>
      <w:tr w:rsidR="00DC3802" w:rsidRPr="00090385" w:rsidTr="00645CA8">
        <w:trPr>
          <w:trHeight w:val="219"/>
        </w:trPr>
        <w:tc>
          <w:tcPr>
            <w:tcW w:w="6522" w:type="dxa"/>
          </w:tcPr>
          <w:p w:rsidR="00DC3802" w:rsidRPr="00090385" w:rsidRDefault="00DC3802" w:rsidP="00AC2883">
            <w:pPr>
              <w:pStyle w:val="upove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090385" w:rsidRDefault="00DC3802" w:rsidP="00DA4973">
            <w:pPr>
              <w:rPr>
                <w:rFonts w:cs="Arial"/>
              </w:rPr>
            </w:pPr>
          </w:p>
        </w:tc>
      </w:tr>
    </w:tbl>
    <w:p w:rsidR="00DC3802" w:rsidRPr="00090385" w:rsidRDefault="00DC3802" w:rsidP="00DC3802">
      <w:pPr>
        <w:rPr>
          <w:rFonts w:cs="Arial"/>
        </w:rPr>
      </w:pPr>
    </w:p>
    <w:p w:rsidR="004321F8" w:rsidRPr="00090385" w:rsidRDefault="004321F8" w:rsidP="004321F8">
      <w:pPr>
        <w:rPr>
          <w:rFonts w:cs="Aria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21F8" w:rsidRPr="00090385" w:rsidTr="009E12C2">
        <w:tc>
          <w:tcPr>
            <w:tcW w:w="6512" w:type="dxa"/>
          </w:tcPr>
          <w:p w:rsidR="004321F8" w:rsidRPr="00090385" w:rsidRDefault="004321F8" w:rsidP="009E12C2">
            <w:pPr>
              <w:pStyle w:val="Sessiontc"/>
              <w:spacing w:line="240" w:lineRule="auto"/>
              <w:rPr>
                <w:rFonts w:cs="Arial"/>
              </w:rPr>
            </w:pPr>
            <w:r w:rsidRPr="00090385">
              <w:rPr>
                <w:rFonts w:cs="Arial"/>
              </w:rPr>
              <w:t>Enlarged Editorial Committee</w:t>
            </w:r>
          </w:p>
          <w:p w:rsidR="004321F8" w:rsidRPr="00090385" w:rsidRDefault="004321F8" w:rsidP="009E12C2">
            <w:pPr>
              <w:pStyle w:val="Sessiontcplacedate"/>
              <w:rPr>
                <w:rFonts w:cs="Arial"/>
              </w:rPr>
            </w:pPr>
          </w:p>
          <w:p w:rsidR="004321F8" w:rsidRPr="00090385" w:rsidRDefault="004321F8" w:rsidP="009E12C2">
            <w:pPr>
              <w:rPr>
                <w:rFonts w:cs="Arial"/>
              </w:rPr>
            </w:pPr>
            <w:r w:rsidRPr="00E53FEA">
              <w:rPr>
                <w:rFonts w:cs="Arial"/>
              </w:rPr>
              <w:t>Geneva, March 23 and 24, 2021</w:t>
            </w:r>
          </w:p>
        </w:tc>
        <w:tc>
          <w:tcPr>
            <w:tcW w:w="3127" w:type="dxa"/>
          </w:tcPr>
          <w:p w:rsidR="004321F8" w:rsidRPr="00090385" w:rsidRDefault="00B929D3" w:rsidP="009E12C2">
            <w:pPr>
              <w:pStyle w:val="Doccod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TC-EDC/Mar21/3</w:t>
            </w:r>
          </w:p>
          <w:p w:rsidR="004321F8" w:rsidRPr="00090385" w:rsidRDefault="004321F8" w:rsidP="009E12C2">
            <w:pPr>
              <w:pStyle w:val="Docoriginal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Original:</w:t>
            </w:r>
            <w:r w:rsidRPr="00090385">
              <w:rPr>
                <w:rFonts w:cs="Arial"/>
                <w:b w:val="0"/>
                <w:spacing w:val="0"/>
                <w:sz w:val="20"/>
              </w:rPr>
              <w:t xml:space="preserve">  English</w:t>
            </w:r>
          </w:p>
          <w:p w:rsidR="004321F8" w:rsidRPr="00090385" w:rsidRDefault="004321F8" w:rsidP="00061AF4">
            <w:pPr>
              <w:pStyle w:val="Docoriginal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Date</w:t>
            </w:r>
            <w:r w:rsidRPr="00061AF4">
              <w:rPr>
                <w:rFonts w:cs="Arial"/>
                <w:sz w:val="20"/>
              </w:rPr>
              <w:t>:</w:t>
            </w:r>
            <w:r w:rsidRPr="00061AF4">
              <w:rPr>
                <w:rFonts w:cs="Arial"/>
                <w:b w:val="0"/>
                <w:spacing w:val="0"/>
                <w:sz w:val="20"/>
              </w:rPr>
              <w:t xml:space="preserve">  </w:t>
            </w:r>
            <w:r w:rsidR="00AD6DCB" w:rsidRPr="00061AF4">
              <w:rPr>
                <w:rFonts w:cs="Arial"/>
                <w:b w:val="0"/>
                <w:spacing w:val="0"/>
                <w:sz w:val="20"/>
              </w:rPr>
              <w:t xml:space="preserve">February </w:t>
            </w:r>
            <w:r w:rsidR="00B35B97" w:rsidRPr="00061AF4">
              <w:rPr>
                <w:rFonts w:cs="Arial"/>
                <w:b w:val="0"/>
                <w:spacing w:val="0"/>
                <w:sz w:val="20"/>
              </w:rPr>
              <w:t>2</w:t>
            </w:r>
            <w:r w:rsidR="00061AF4" w:rsidRPr="00061AF4">
              <w:rPr>
                <w:rFonts w:cs="Arial"/>
                <w:b w:val="0"/>
                <w:spacing w:val="0"/>
                <w:sz w:val="20"/>
              </w:rPr>
              <w:t>4</w:t>
            </w:r>
            <w:r w:rsidRPr="00061AF4">
              <w:rPr>
                <w:rFonts w:cs="Arial"/>
                <w:b w:val="0"/>
                <w:spacing w:val="0"/>
                <w:sz w:val="20"/>
              </w:rPr>
              <w:t>, 2021</w:t>
            </w:r>
          </w:p>
        </w:tc>
      </w:tr>
    </w:tbl>
    <w:p w:rsidR="004321F8" w:rsidRPr="00090385" w:rsidRDefault="00AD6DCB" w:rsidP="004321F8">
      <w:pPr>
        <w:pStyle w:val="Titleofdoc0"/>
        <w:rPr>
          <w:rFonts w:cs="Arial"/>
        </w:rPr>
      </w:pPr>
      <w:r w:rsidRPr="00090385">
        <w:rPr>
          <w:rFonts w:cs="Arial"/>
        </w:rPr>
        <w:t xml:space="preserve">Matters to be resolved concerning Test Guidelines put forward for adoption by the Technical Committee: </w:t>
      </w:r>
      <w:r w:rsidR="009E3A08">
        <w:rPr>
          <w:rFonts w:cs="Arial"/>
        </w:rPr>
        <w:t>Pistachio</w:t>
      </w:r>
    </w:p>
    <w:p w:rsidR="004321F8" w:rsidRPr="00090385" w:rsidRDefault="004321F8" w:rsidP="004321F8">
      <w:pPr>
        <w:pStyle w:val="preparedby1"/>
        <w:rPr>
          <w:rFonts w:cs="Arial"/>
        </w:rPr>
      </w:pPr>
      <w:bookmarkStart w:id="1" w:name="Prepared"/>
      <w:bookmarkEnd w:id="1"/>
      <w:r w:rsidRPr="00090385">
        <w:rPr>
          <w:rFonts w:cs="Arial"/>
        </w:rPr>
        <w:t>Document prepared by the Office of the Union</w:t>
      </w:r>
    </w:p>
    <w:p w:rsidR="004321F8" w:rsidRPr="00090385" w:rsidRDefault="004321F8" w:rsidP="004321F8">
      <w:pPr>
        <w:pStyle w:val="Disclaimer"/>
        <w:rPr>
          <w:rFonts w:cs="Arial"/>
        </w:rPr>
      </w:pPr>
      <w:r w:rsidRPr="00090385">
        <w:rPr>
          <w:rFonts w:cs="Arial"/>
        </w:rPr>
        <w:t>Disclaimer:  this document does not represent UPOV policies or guidance</w:t>
      </w:r>
    </w:p>
    <w:p w:rsidR="00AD6DCB" w:rsidRPr="00090385" w:rsidRDefault="00AD6DCB" w:rsidP="00AD6DCB">
      <w:pPr>
        <w:rPr>
          <w:rFonts w:cs="Arial"/>
          <w:snapToGrid w:val="0"/>
        </w:rPr>
      </w:pPr>
      <w:r w:rsidRPr="00090385">
        <w:rPr>
          <w:rFonts w:cs="Arial"/>
          <w:snapToGrid w:val="0"/>
        </w:rPr>
        <w:fldChar w:fldCharType="begin"/>
      </w:r>
      <w:r w:rsidRPr="00090385">
        <w:rPr>
          <w:rFonts w:cs="Arial"/>
          <w:snapToGrid w:val="0"/>
        </w:rPr>
        <w:instrText xml:space="preserve"> AUTONUM  </w:instrText>
      </w:r>
      <w:r w:rsidRPr="00090385">
        <w:rPr>
          <w:rFonts w:cs="Arial"/>
          <w:snapToGrid w:val="0"/>
        </w:rPr>
        <w:fldChar w:fldCharType="end"/>
      </w:r>
      <w:r w:rsidRPr="00090385">
        <w:rPr>
          <w:rFonts w:cs="Arial"/>
          <w:snapToGrid w:val="0"/>
        </w:rPr>
        <w:tab/>
        <w:t>The Enlarged Editorial Committee (TC-EDC) at its meeting held in Geneva, on October 24, 2020, considered the draft Test Guidelines for P</w:t>
      </w:r>
      <w:r w:rsidR="004E2968" w:rsidRPr="008D0013">
        <w:rPr>
          <w:rFonts w:cs="Arial"/>
        </w:rPr>
        <w:t>istachio</w:t>
      </w:r>
      <w:r w:rsidR="004E2968" w:rsidRPr="00090385">
        <w:rPr>
          <w:rFonts w:cs="Arial"/>
          <w:snapToGrid w:val="0"/>
        </w:rPr>
        <w:t xml:space="preserve"> </w:t>
      </w:r>
      <w:r w:rsidRPr="00090385">
        <w:rPr>
          <w:rFonts w:cs="Arial"/>
          <w:snapToGrid w:val="0"/>
        </w:rPr>
        <w:t>(</w:t>
      </w:r>
      <w:proofErr w:type="spellStart"/>
      <w:r w:rsidR="004E2968" w:rsidRPr="008D0013">
        <w:rPr>
          <w:rFonts w:cs="Arial"/>
          <w:i/>
        </w:rPr>
        <w:t>Pistacia</w:t>
      </w:r>
      <w:proofErr w:type="spellEnd"/>
      <w:r w:rsidR="004E2968" w:rsidRPr="008D0013">
        <w:rPr>
          <w:rFonts w:cs="Arial"/>
          <w:i/>
        </w:rPr>
        <w:t xml:space="preserve"> </w:t>
      </w:r>
      <w:proofErr w:type="spellStart"/>
      <w:proofErr w:type="gramStart"/>
      <w:r w:rsidR="004E2968" w:rsidRPr="008D0013">
        <w:rPr>
          <w:rFonts w:cs="Arial"/>
          <w:i/>
        </w:rPr>
        <w:t>vera</w:t>
      </w:r>
      <w:proofErr w:type="spellEnd"/>
      <w:proofErr w:type="gramEnd"/>
      <w:r w:rsidR="004E2968" w:rsidRPr="008D0013">
        <w:rPr>
          <w:rFonts w:cs="Arial"/>
        </w:rPr>
        <w:t xml:space="preserve"> L.</w:t>
      </w:r>
      <w:r w:rsidRPr="00090385">
        <w:rPr>
          <w:rFonts w:cs="Arial"/>
          <w:snapToGrid w:val="0"/>
        </w:rPr>
        <w:t>) (</w:t>
      </w:r>
      <w:proofErr w:type="gramStart"/>
      <w:r w:rsidRPr="00090385">
        <w:rPr>
          <w:rFonts w:cs="Arial"/>
          <w:snapToGrid w:val="0"/>
        </w:rPr>
        <w:t>document</w:t>
      </w:r>
      <w:proofErr w:type="gramEnd"/>
      <w:r w:rsidRPr="00090385">
        <w:rPr>
          <w:rFonts w:cs="Arial"/>
          <w:snapToGrid w:val="0"/>
        </w:rPr>
        <w:t xml:space="preserve"> </w:t>
      </w:r>
      <w:hyperlink r:id="rId9" w:history="1">
        <w:r w:rsidR="004E2968" w:rsidRPr="004E2968">
          <w:rPr>
            <w:rFonts w:cs="Arial"/>
            <w:color w:val="0066CC"/>
            <w:u w:val="single"/>
            <w:shd w:val="clear" w:color="auto" w:fill="FFFFFF"/>
          </w:rPr>
          <w:t>TG/PISTA(proj.5)</w:t>
        </w:r>
      </w:hyperlink>
      <w:r w:rsidRPr="00090385">
        <w:rPr>
          <w:rFonts w:cs="Arial"/>
          <w:snapToGrid w:val="0"/>
        </w:rPr>
        <w:t xml:space="preserve">) and agreed that it required editorial clarifications to be provided by the Leading Expert. The TC-EDC agreed to reconsider the draft Test Guidelines at its meeting to </w:t>
      </w:r>
      <w:proofErr w:type="gramStart"/>
      <w:r w:rsidRPr="00090385">
        <w:rPr>
          <w:rFonts w:cs="Arial"/>
          <w:snapToGrid w:val="0"/>
        </w:rPr>
        <w:t>be held</w:t>
      </w:r>
      <w:proofErr w:type="gramEnd"/>
      <w:r w:rsidRPr="00090385">
        <w:rPr>
          <w:rFonts w:cs="Arial"/>
          <w:snapToGrid w:val="0"/>
        </w:rPr>
        <w:t xml:space="preserve"> in March 2021. </w:t>
      </w:r>
    </w:p>
    <w:p w:rsidR="00AD6DCB" w:rsidRPr="00090385" w:rsidRDefault="00AD6DCB" w:rsidP="00AD6DCB">
      <w:pPr>
        <w:rPr>
          <w:rFonts w:cs="Arial"/>
          <w:snapToGrid w:val="0"/>
        </w:rPr>
      </w:pPr>
    </w:p>
    <w:p w:rsidR="004321F8" w:rsidRPr="00090385" w:rsidRDefault="00AD6DCB" w:rsidP="00AD6DCB">
      <w:pPr>
        <w:rPr>
          <w:rFonts w:cs="Arial"/>
          <w:snapToGrid w:val="0"/>
        </w:rPr>
      </w:pPr>
      <w:r w:rsidRPr="00090385">
        <w:rPr>
          <w:rFonts w:cs="Arial"/>
          <w:snapToGrid w:val="0"/>
        </w:rPr>
        <w:fldChar w:fldCharType="begin"/>
      </w:r>
      <w:r w:rsidRPr="00090385">
        <w:rPr>
          <w:rFonts w:cs="Arial"/>
          <w:snapToGrid w:val="0"/>
        </w:rPr>
        <w:instrText xml:space="preserve"> AUTONUM  </w:instrText>
      </w:r>
      <w:r w:rsidRPr="00090385">
        <w:rPr>
          <w:rFonts w:cs="Arial"/>
          <w:snapToGrid w:val="0"/>
        </w:rPr>
        <w:fldChar w:fldCharType="end"/>
      </w:r>
      <w:r w:rsidRPr="00090385">
        <w:rPr>
          <w:rFonts w:cs="Arial"/>
          <w:snapToGrid w:val="0"/>
        </w:rPr>
        <w:tab/>
        <w:t xml:space="preserve">Recommendations from the TC-EDC on the draft Test Guidelines for </w:t>
      </w:r>
      <w:r w:rsidR="004E2968" w:rsidRPr="00090385">
        <w:rPr>
          <w:rFonts w:cs="Arial"/>
          <w:snapToGrid w:val="0"/>
        </w:rPr>
        <w:t>P</w:t>
      </w:r>
      <w:r w:rsidR="004E2968" w:rsidRPr="008D0013">
        <w:rPr>
          <w:rFonts w:cs="Arial"/>
        </w:rPr>
        <w:t>istachio</w:t>
      </w:r>
      <w:r w:rsidR="004E2968" w:rsidRPr="00090385">
        <w:rPr>
          <w:rFonts w:cs="Arial"/>
          <w:snapToGrid w:val="0"/>
        </w:rPr>
        <w:t xml:space="preserve"> </w:t>
      </w:r>
      <w:proofErr w:type="gramStart"/>
      <w:r w:rsidRPr="00090385">
        <w:rPr>
          <w:rFonts w:cs="Arial"/>
          <w:snapToGrid w:val="0"/>
        </w:rPr>
        <w:t>are presented</w:t>
      </w:r>
      <w:proofErr w:type="gramEnd"/>
      <w:r w:rsidRPr="00090385">
        <w:rPr>
          <w:rFonts w:cs="Arial"/>
          <w:snapToGrid w:val="0"/>
        </w:rPr>
        <w:t xml:space="preserve"> in the table below, including the required editorial clarifications (indicated with “</w:t>
      </w:r>
      <w:r w:rsidRPr="00090385">
        <w:rPr>
          <w:rFonts w:cs="Arial"/>
          <w:snapToGrid w:val="0"/>
          <w:vertAlign w:val="superscript"/>
        </w:rPr>
        <w:t>#</w:t>
      </w:r>
      <w:r w:rsidRPr="00090385">
        <w:rPr>
          <w:rFonts w:cs="Arial"/>
          <w:snapToGrid w:val="0"/>
        </w:rPr>
        <w:t xml:space="preserve">”) and responses from the Leading Expert, </w:t>
      </w:r>
      <w:r w:rsidR="004E2968" w:rsidRPr="004E2968">
        <w:t xml:space="preserve">Ms. </w:t>
      </w:r>
      <w:proofErr w:type="spellStart"/>
      <w:r w:rsidR="004E2968" w:rsidRPr="004E2968">
        <w:t>Urszula</w:t>
      </w:r>
      <w:proofErr w:type="spellEnd"/>
      <w:r w:rsidR="004E2968" w:rsidRPr="004E2968">
        <w:t xml:space="preserve"> Braun-</w:t>
      </w:r>
      <w:proofErr w:type="spellStart"/>
      <w:r w:rsidR="004E2968" w:rsidRPr="004E2968">
        <w:t>Mlodecka</w:t>
      </w:r>
      <w:proofErr w:type="spellEnd"/>
      <w:r w:rsidR="004E2968" w:rsidRPr="004E2968">
        <w:t xml:space="preserve"> </w:t>
      </w:r>
      <w:r w:rsidRPr="00090385">
        <w:rPr>
          <w:rFonts w:cs="Arial"/>
          <w:snapToGrid w:val="0"/>
        </w:rPr>
        <w:t>(</w:t>
      </w:r>
      <w:r w:rsidR="004E2968">
        <w:rPr>
          <w:rFonts w:cs="Arial"/>
          <w:snapToGrid w:val="0"/>
        </w:rPr>
        <w:t>European Union</w:t>
      </w:r>
      <w:r w:rsidRPr="00090385">
        <w:rPr>
          <w:rFonts w:cs="Arial"/>
          <w:snapToGrid w:val="0"/>
        </w:rPr>
        <w:t>):</w:t>
      </w:r>
      <w:r w:rsidRPr="00090385">
        <w:rPr>
          <w:rFonts w:cs="Arial"/>
          <w:snapToGrid w:val="0"/>
        </w:rPr>
        <w:cr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370712" w:rsidRDefault="004E2968" w:rsidP="00206266">
            <w:pPr>
              <w:jc w:val="left"/>
              <w:rPr>
                <w:rFonts w:cs="Arial"/>
              </w:rPr>
            </w:pPr>
            <w:r w:rsidRPr="00370712">
              <w:rPr>
                <w:rFonts w:cs="Arial"/>
              </w:rPr>
              <w:t>1.2</w:t>
            </w:r>
          </w:p>
        </w:tc>
        <w:tc>
          <w:tcPr>
            <w:tcW w:w="8208" w:type="dxa"/>
          </w:tcPr>
          <w:p w:rsidR="004E2968" w:rsidRPr="00370712" w:rsidRDefault="004E2968" w:rsidP="00206266">
            <w:pPr>
              <w:keepNext/>
              <w:rPr>
                <w:rFonts w:cs="Arial"/>
              </w:rPr>
            </w:pPr>
            <w:r w:rsidRPr="00370712">
              <w:rPr>
                <w:rFonts w:cs="Arial"/>
              </w:rPr>
              <w:t>to be deleted</w:t>
            </w:r>
          </w:p>
          <w:p w:rsidR="00DD4046" w:rsidRPr="00370712" w:rsidRDefault="00DD4046" w:rsidP="00B06C8A">
            <w:pPr>
              <w:keepNext/>
              <w:rPr>
                <w:rFonts w:cs="Arial"/>
                <w:i/>
              </w:rPr>
            </w:pPr>
            <w:r w:rsidRPr="00370712">
              <w:rPr>
                <w:rFonts w:cs="Arial"/>
                <w:i/>
              </w:rPr>
              <w:t xml:space="preserve">Leading Expert:  The TWF group decided that the TG </w:t>
            </w:r>
            <w:proofErr w:type="gramStart"/>
            <w:r w:rsidRPr="00370712">
              <w:rPr>
                <w:rFonts w:cs="Arial"/>
                <w:i/>
              </w:rPr>
              <w:t>should not be applied</w:t>
            </w:r>
            <w:proofErr w:type="gramEnd"/>
            <w:r w:rsidRPr="00370712">
              <w:rPr>
                <w:rFonts w:cs="Arial"/>
                <w:i/>
              </w:rPr>
              <w:t xml:space="preserve"> to the whole genus, but to </w:t>
            </w:r>
            <w:proofErr w:type="spellStart"/>
            <w:r w:rsidRPr="00370712">
              <w:rPr>
                <w:rFonts w:cs="Arial"/>
              </w:rPr>
              <w:t>Pistacia</w:t>
            </w:r>
            <w:proofErr w:type="spellEnd"/>
            <w:r w:rsidRPr="00370712">
              <w:rPr>
                <w:rFonts w:cs="Arial"/>
              </w:rPr>
              <w:t xml:space="preserve"> </w:t>
            </w:r>
            <w:proofErr w:type="spellStart"/>
            <w:r w:rsidRPr="00370712">
              <w:rPr>
                <w:rFonts w:cs="Arial"/>
              </w:rPr>
              <w:t>vera</w:t>
            </w:r>
            <w:proofErr w:type="spellEnd"/>
            <w:r w:rsidRPr="00370712">
              <w:rPr>
                <w:rFonts w:cs="Arial"/>
                <w:i/>
              </w:rPr>
              <w:t xml:space="preserve"> and its hybrids. </w:t>
            </w:r>
            <w:r w:rsidR="00B06C8A">
              <w:rPr>
                <w:rFonts w:cs="Arial"/>
                <w:i/>
              </w:rPr>
              <w:t xml:space="preserve">Therefore, 1.2 </w:t>
            </w:r>
            <w:proofErr w:type="gramStart"/>
            <w:r w:rsidR="00B06C8A">
              <w:rPr>
                <w:rFonts w:cs="Arial"/>
                <w:i/>
              </w:rPr>
              <w:t>should be kept</w:t>
            </w:r>
            <w:proofErr w:type="gramEnd"/>
            <w:r w:rsidR="00B06C8A">
              <w:rPr>
                <w:rFonts w:cs="Arial"/>
                <w:i/>
              </w:rPr>
              <w:t>, as it corresponds to document TGP/7, GN 3.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8D0013" w:rsidRDefault="004E2968" w:rsidP="00206266">
            <w:pPr>
              <w:jc w:val="left"/>
            </w:pPr>
            <w:r w:rsidRPr="008D0013">
              <w:t>3.1.1</w:t>
            </w:r>
          </w:p>
        </w:tc>
        <w:tc>
          <w:tcPr>
            <w:tcW w:w="8208" w:type="dxa"/>
          </w:tcPr>
          <w:p w:rsidR="004E2968" w:rsidRDefault="004E2968" w:rsidP="00206266">
            <w:r w:rsidRPr="008D0013">
              <w:t xml:space="preserve">to be deleted </w:t>
            </w:r>
          </w:p>
          <w:p w:rsidR="00E84826" w:rsidRPr="008D0013" w:rsidRDefault="00E84826" w:rsidP="00206266"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8D0013" w:rsidRDefault="004E2968" w:rsidP="00206266">
            <w:pPr>
              <w:jc w:val="left"/>
            </w:pPr>
            <w:r w:rsidRPr="008D0013">
              <w:t>3.1.2</w:t>
            </w:r>
          </w:p>
        </w:tc>
        <w:tc>
          <w:tcPr>
            <w:tcW w:w="8208" w:type="dxa"/>
          </w:tcPr>
          <w:p w:rsidR="004E2968" w:rsidRPr="008D0013" w:rsidRDefault="004E2968" w:rsidP="00206266">
            <w:r w:rsidRPr="008D0013">
              <w:t>- to combine both sentences into one single paragraph</w:t>
            </w:r>
          </w:p>
          <w:p w:rsidR="004E2968" w:rsidRDefault="004E2968" w:rsidP="00206266">
            <w:r w:rsidRPr="008D0013">
              <w:t xml:space="preserve">- </w:t>
            </w:r>
            <w:proofErr w:type="gramStart"/>
            <w:r w:rsidRPr="008D0013">
              <w:t>to</w:t>
            </w:r>
            <w:proofErr w:type="gramEnd"/>
            <w:r w:rsidRPr="008D0013">
              <w:t xml:space="preserve"> add a comma: “For female varieties, the minimum…”</w:t>
            </w:r>
          </w:p>
          <w:p w:rsidR="00E84826" w:rsidRPr="008D0013" w:rsidRDefault="00E84826" w:rsidP="00206266"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</w:pPr>
            <w:r w:rsidRPr="007666D2">
              <w:t>3.1.3</w:t>
            </w:r>
          </w:p>
        </w:tc>
        <w:tc>
          <w:tcPr>
            <w:tcW w:w="8208" w:type="dxa"/>
          </w:tcPr>
          <w:p w:rsidR="004E2968" w:rsidRDefault="004E2968" w:rsidP="00206266">
            <w:proofErr w:type="gramStart"/>
            <w:r w:rsidRPr="008D0013">
              <w:t>to</w:t>
            </w:r>
            <w:proofErr w:type="gramEnd"/>
            <w:r w:rsidRPr="008D0013">
              <w:t xml:space="preserve"> add a comma: “For male varieties, the minimum…”</w:t>
            </w:r>
          </w:p>
          <w:p w:rsidR="00E84826" w:rsidRPr="008D0013" w:rsidRDefault="00E84826" w:rsidP="00206266"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  <w:rPr>
                <w:rFonts w:cs="Arial"/>
              </w:rPr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rPr>
                <w:rFonts w:cs="Arial"/>
              </w:rPr>
              <w:t>Char. 1</w:t>
            </w:r>
          </w:p>
        </w:tc>
        <w:tc>
          <w:tcPr>
            <w:tcW w:w="8208" w:type="dxa"/>
          </w:tcPr>
          <w:p w:rsidR="004E2968" w:rsidRDefault="004E2968" w:rsidP="00206266">
            <w:r w:rsidRPr="008D0013">
              <w:t xml:space="preserve">In 8.1 (d) and 8.1 (e), there is an indication of “hermaphrodite varieties”; however, this is not an option in Char 1. Should there be a Note 3 female and male?  If there </w:t>
            </w:r>
            <w:proofErr w:type="gramStart"/>
            <w:r w:rsidRPr="008D0013">
              <w:t>is</w:t>
            </w:r>
            <w:proofErr w:type="gramEnd"/>
            <w:r w:rsidRPr="008D0013">
              <w:t xml:space="preserve"> a change here, what would be the number of growing cycles required for ‘hermaphrodite varieties’ (see 3.1.2 and 3.1.3)? </w:t>
            </w:r>
          </w:p>
          <w:p w:rsidR="00AC00AC" w:rsidRPr="00AC00AC" w:rsidRDefault="00AC00AC" w:rsidP="00AC00AC">
            <w:pPr>
              <w:rPr>
                <w:i/>
              </w:rPr>
            </w:pPr>
            <w:r w:rsidRPr="00AC00AC">
              <w:rPr>
                <w:i/>
              </w:rPr>
              <w:t xml:space="preserve">Leading Expert:  Characteristic 1 should remain unchanged.  References to hermaphrodite varieties </w:t>
            </w:r>
            <w:proofErr w:type="gramStart"/>
            <w:r w:rsidRPr="00AC00AC">
              <w:rPr>
                <w:i/>
              </w:rPr>
              <w:t>should be deleted</w:t>
            </w:r>
            <w:proofErr w:type="gramEnd"/>
            <w:r w:rsidRPr="00AC00AC">
              <w:rPr>
                <w:i/>
              </w:rPr>
              <w:t xml:space="preserve"> from 8.1(d) and 8.1 (e).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t>Char. 3</w:t>
            </w:r>
          </w:p>
        </w:tc>
        <w:tc>
          <w:tcPr>
            <w:tcW w:w="8208" w:type="dxa"/>
          </w:tcPr>
          <w:p w:rsidR="004E2968" w:rsidRDefault="004E2968" w:rsidP="00206266">
            <w:r w:rsidRPr="008D0013">
              <w:t xml:space="preserve">- to check whether to be indicated as QN </w:t>
            </w:r>
          </w:p>
          <w:p w:rsidR="00AC00AC" w:rsidRPr="008D0013" w:rsidRDefault="00AC00AC" w:rsidP="00206266">
            <w:r w:rsidRPr="00AC00AC">
              <w:rPr>
                <w:i/>
              </w:rPr>
              <w:t xml:space="preserve">Leading Expert:  </w:t>
            </w:r>
            <w:r>
              <w:rPr>
                <w:i/>
              </w:rPr>
              <w:t xml:space="preserve">agreed </w:t>
            </w:r>
          </w:p>
          <w:p w:rsidR="004E2968" w:rsidRPr="0029649A" w:rsidRDefault="004E2968" w:rsidP="00206266">
            <w:r w:rsidRPr="008D0013">
              <w:t xml:space="preserve">- </w:t>
            </w:r>
            <w:proofErr w:type="gramStart"/>
            <w:r w:rsidRPr="008D0013">
              <w:t>to</w:t>
            </w:r>
            <w:proofErr w:type="gramEnd"/>
            <w:r w:rsidRPr="008D0013">
              <w:t xml:space="preserve"> add </w:t>
            </w:r>
            <w:r w:rsidRPr="0029649A">
              <w:t>illustrations (</w:t>
            </w:r>
            <w:r w:rsidR="00350D14" w:rsidRPr="0029649A">
              <w:t xml:space="preserve">do </w:t>
            </w:r>
            <w:r w:rsidRPr="0029649A">
              <w:t>standard illustrations from TGP/14 apply</w:t>
            </w:r>
            <w:r w:rsidR="00350D14" w:rsidRPr="0029649A">
              <w:t>?</w:t>
            </w:r>
            <w:r w:rsidRPr="0029649A">
              <w:t>)</w:t>
            </w:r>
          </w:p>
          <w:p w:rsidR="00AC00AC" w:rsidRPr="0029649A" w:rsidRDefault="00AC00AC" w:rsidP="00206266">
            <w:pPr>
              <w:rPr>
                <w:i/>
              </w:rPr>
            </w:pPr>
            <w:r w:rsidRPr="0029649A">
              <w:rPr>
                <w:i/>
              </w:rPr>
              <w:t>Leading Expert:  agreed</w:t>
            </w:r>
            <w:r w:rsidR="00350D14" w:rsidRPr="0029649A">
              <w:rPr>
                <w:i/>
              </w:rPr>
              <w:t xml:space="preserve"> to add illustrations as follows:</w:t>
            </w:r>
          </w:p>
          <w:p w:rsidR="00350D14" w:rsidRPr="0029649A" w:rsidRDefault="00350D14" w:rsidP="00206266">
            <w:pPr>
              <w:rPr>
                <w:i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661"/>
              <w:gridCol w:w="2661"/>
            </w:tblGrid>
            <w:tr w:rsidR="00350D14" w:rsidRPr="0029649A" w:rsidTr="00350D14">
              <w:tc>
                <w:tcPr>
                  <w:tcW w:w="2660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rPr>
                      <w:rFonts w:cs="Arial"/>
                      <w:noProof/>
                    </w:rPr>
                    <w:drawing>
                      <wp:inline distT="0" distB="0" distL="0" distR="0" wp14:anchorId="3D8E5CFE" wp14:editId="199259DD">
                        <wp:extent cx="904875" cy="828675"/>
                        <wp:effectExtent l="0" t="0" r="9525" b="9525"/>
                        <wp:docPr id="121" name="Picture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rPr>
                      <w:rFonts w:cs="Arial"/>
                      <w:noProof/>
                    </w:rPr>
                    <w:drawing>
                      <wp:inline distT="0" distB="0" distL="0" distR="0" wp14:anchorId="1105D151" wp14:editId="273BDD14">
                        <wp:extent cx="933450" cy="847725"/>
                        <wp:effectExtent l="0" t="0" r="0" b="9525"/>
                        <wp:docPr id="119" name="Picture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rPr>
                      <w:rFonts w:cs="Arial"/>
                      <w:noProof/>
                    </w:rPr>
                    <w:drawing>
                      <wp:inline distT="0" distB="0" distL="0" distR="0" wp14:anchorId="122E6751" wp14:editId="193E5828">
                        <wp:extent cx="933450" cy="838200"/>
                        <wp:effectExtent l="0" t="0" r="0" b="0"/>
                        <wp:docPr id="118" name="Picture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0D14" w:rsidRPr="0029649A" w:rsidTr="00350D14">
              <w:tc>
                <w:tcPr>
                  <w:tcW w:w="2660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t>1</w:t>
                  </w:r>
                </w:p>
              </w:tc>
              <w:tc>
                <w:tcPr>
                  <w:tcW w:w="2661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t>2</w:t>
                  </w:r>
                </w:p>
              </w:tc>
              <w:tc>
                <w:tcPr>
                  <w:tcW w:w="2661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t>3</w:t>
                  </w:r>
                </w:p>
              </w:tc>
            </w:tr>
            <w:tr w:rsidR="00350D14" w:rsidTr="00350D14">
              <w:tc>
                <w:tcPr>
                  <w:tcW w:w="2660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t>upright</w:t>
                  </w:r>
                </w:p>
              </w:tc>
              <w:tc>
                <w:tcPr>
                  <w:tcW w:w="2661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t>spreading</w:t>
                  </w:r>
                </w:p>
              </w:tc>
              <w:tc>
                <w:tcPr>
                  <w:tcW w:w="2661" w:type="dxa"/>
                </w:tcPr>
                <w:p w:rsidR="00350D14" w:rsidRPr="0029649A" w:rsidRDefault="00350D14" w:rsidP="00350D14">
                  <w:pPr>
                    <w:jc w:val="center"/>
                  </w:pPr>
                  <w:r w:rsidRPr="0029649A">
                    <w:t>drooping</w:t>
                  </w:r>
                </w:p>
              </w:tc>
            </w:tr>
          </w:tbl>
          <w:p w:rsidR="00350D14" w:rsidRPr="008D0013" w:rsidRDefault="00350D14" w:rsidP="00206266"/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</w:pPr>
            <w:r w:rsidRPr="007666D2">
              <w:t>Char. 8</w:t>
            </w:r>
          </w:p>
        </w:tc>
        <w:tc>
          <w:tcPr>
            <w:tcW w:w="8208" w:type="dxa"/>
          </w:tcPr>
          <w:p w:rsidR="004E2968" w:rsidRDefault="004E2968" w:rsidP="00206266">
            <w:pPr>
              <w:rPr>
                <w:rFonts w:cs="Arial"/>
                <w:color w:val="000000"/>
              </w:rPr>
            </w:pPr>
            <w:r w:rsidRPr="008D0013">
              <w:rPr>
                <w:rFonts w:cs="Arial"/>
                <w:color w:val="000000"/>
              </w:rPr>
              <w:t xml:space="preserve">state 2 </w:t>
            </w:r>
            <w:r w:rsidRPr="008D0013">
              <w:rPr>
                <w:rFonts w:cs="Arial"/>
                <w:snapToGrid w:val="0"/>
                <w:color w:val="000000"/>
              </w:rPr>
              <w:t>to read</w:t>
            </w:r>
            <w:r w:rsidRPr="008D0013">
              <w:rPr>
                <w:rFonts w:cs="Arial"/>
                <w:color w:val="000000"/>
              </w:rPr>
              <w:t xml:space="preserve"> “6 to 10”</w:t>
            </w:r>
          </w:p>
          <w:p w:rsidR="00E84826" w:rsidRPr="008D0013" w:rsidRDefault="00E84826" w:rsidP="00206266"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t>Char. 15</w:t>
            </w:r>
          </w:p>
        </w:tc>
        <w:tc>
          <w:tcPr>
            <w:tcW w:w="8208" w:type="dxa"/>
          </w:tcPr>
          <w:p w:rsidR="004E2968" w:rsidRDefault="004E2968" w:rsidP="00206266">
            <w:r w:rsidRPr="008D0013">
              <w:t>to check example variety for state 2 (male variety for female inflorescence characteristic)</w:t>
            </w:r>
          </w:p>
          <w:p w:rsidR="00AC00AC" w:rsidRPr="00AC00AC" w:rsidRDefault="00AC00AC" w:rsidP="00206266">
            <w:pPr>
              <w:rPr>
                <w:i/>
              </w:rPr>
            </w:pPr>
            <w:r w:rsidRPr="00AC00AC">
              <w:rPr>
                <w:i/>
              </w:rPr>
              <w:t xml:space="preserve">Leading Expert:  </w:t>
            </w:r>
            <w:r w:rsidRPr="00AC00AC">
              <w:rPr>
                <w:rFonts w:cs="Arial"/>
                <w:i/>
              </w:rPr>
              <w:t>I agree to delete Chico as example for state 2</w:t>
            </w:r>
            <w:r>
              <w:rPr>
                <w:rFonts w:cs="Arial"/>
                <w:i/>
              </w:rPr>
              <w:t>.</w:t>
            </w:r>
            <w:r w:rsidRPr="00AC00AC">
              <w:rPr>
                <w:rFonts w:cs="Arial"/>
                <w:i/>
              </w:rPr>
              <w:t xml:space="preserve"> An illustration for circular theoretically could be added, but in </w:t>
            </w:r>
            <w:proofErr w:type="gramStart"/>
            <w:r w:rsidRPr="00AC00AC">
              <w:rPr>
                <w:rFonts w:cs="Arial"/>
                <w:i/>
              </w:rPr>
              <w:t>this</w:t>
            </w:r>
            <w:proofErr w:type="gramEnd"/>
            <w:r w:rsidRPr="00AC00AC">
              <w:rPr>
                <w:rFonts w:cs="Arial"/>
                <w:i/>
              </w:rPr>
              <w:t xml:space="preserve"> particular case I think that even without the example nor illustration, the state of expression is so self-explanatory that we can leave it without the illustration.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t>Char. 24</w:t>
            </w:r>
          </w:p>
        </w:tc>
        <w:tc>
          <w:tcPr>
            <w:tcW w:w="8208" w:type="dxa"/>
          </w:tcPr>
          <w:p w:rsidR="004E2968" w:rsidRDefault="004E2968" w:rsidP="00206266">
            <w:r w:rsidRPr="008D0013">
              <w:t>- to change order of states to “ovate (1), narrow elliptic (2), broad elliptic (2)”</w:t>
            </w:r>
          </w:p>
          <w:p w:rsidR="00AC00AC" w:rsidRPr="008D0013" w:rsidRDefault="00AC00AC" w:rsidP="00206266">
            <w:r w:rsidRPr="00AC00AC">
              <w:rPr>
                <w:i/>
              </w:rPr>
              <w:t xml:space="preserve">Leading Expert:  </w:t>
            </w:r>
            <w:r>
              <w:rPr>
                <w:i/>
              </w:rPr>
              <w:t>agreed</w:t>
            </w:r>
          </w:p>
          <w:p w:rsidR="004E2968" w:rsidRDefault="004E2968" w:rsidP="00206266">
            <w:r w:rsidRPr="008D0013">
              <w:t>- provide example variety for state 2 or add illustrations</w:t>
            </w:r>
          </w:p>
          <w:p w:rsidR="00AC00AC" w:rsidRPr="008D0013" w:rsidRDefault="00AC00AC" w:rsidP="00AC00AC">
            <w:r w:rsidRPr="00AC00AC">
              <w:rPr>
                <w:i/>
              </w:rPr>
              <w:t xml:space="preserve">Leading Expert:  The example for state 2 is </w:t>
            </w:r>
            <w:r>
              <w:rPr>
                <w:i/>
              </w:rPr>
              <w:t>“</w:t>
            </w:r>
            <w:proofErr w:type="spellStart"/>
            <w:r w:rsidRPr="00AC00AC">
              <w:rPr>
                <w:i/>
              </w:rPr>
              <w:t>Napoletana</w:t>
            </w:r>
            <w:proofErr w:type="spellEnd"/>
            <w:r w:rsidRPr="00AC00AC">
              <w:rPr>
                <w:i/>
              </w:rPr>
              <w:t xml:space="preserve"> (f)</w:t>
            </w:r>
            <w:r>
              <w:rPr>
                <w:i/>
              </w:rPr>
              <w:t>”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rPr>
                <w:rFonts w:cs="Arial"/>
                <w:snapToGrid w:val="0"/>
                <w:color w:val="000000"/>
              </w:rPr>
              <w:t>8.1 (d)</w:t>
            </w:r>
          </w:p>
        </w:tc>
        <w:tc>
          <w:tcPr>
            <w:tcW w:w="8208" w:type="dxa"/>
          </w:tcPr>
          <w:p w:rsidR="004E2968" w:rsidRPr="008D0013" w:rsidRDefault="004E2968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r w:rsidRPr="008D0013">
              <w:rPr>
                <w:rFonts w:cs="Arial"/>
                <w:color w:val="000000"/>
              </w:rPr>
              <w:t>- to check whether to be deleted (is “fully grown” needed (see satisfactory crop in 3.1)?;  for male plants, reference is made to the age of female or hermaphrodite trees)</w:t>
            </w:r>
          </w:p>
          <w:p w:rsidR="004E2968" w:rsidRDefault="004E2968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r w:rsidRPr="008D0013">
              <w:rPr>
                <w:rFonts w:cs="Arial"/>
                <w:color w:val="000000"/>
              </w:rPr>
              <w:t>- to check whether to replace “full grown trees” with “mature trees”; other observations also to be done on fully grown trees, not just (d) and (e)</w:t>
            </w:r>
          </w:p>
          <w:p w:rsidR="008E171A" w:rsidRPr="008E171A" w:rsidRDefault="008E171A" w:rsidP="008E171A">
            <w:pPr>
              <w:pStyle w:val="BodyText"/>
              <w:keepNext/>
              <w:rPr>
                <w:rFonts w:cs="Arial"/>
                <w:i/>
                <w:color w:val="000000"/>
              </w:rPr>
            </w:pPr>
            <w:r w:rsidRPr="008E171A">
              <w:rPr>
                <w:i/>
              </w:rPr>
              <w:t xml:space="preserve">Leading Expert:  </w:t>
            </w:r>
            <w:r w:rsidRPr="008E171A">
              <w:rPr>
                <w:i/>
                <w:color w:val="000000"/>
              </w:rPr>
              <w:t xml:space="preserve">I agree to delete “fully grown” and to delete the phrase “and hermaphrodite”.  I agree that there is no need to indicate “mature” nor “fully grown”.  The point should read </w:t>
            </w:r>
            <w:proofErr w:type="gramStart"/>
            <w:r w:rsidRPr="008E171A">
              <w:rPr>
                <w:i/>
                <w:color w:val="000000"/>
              </w:rPr>
              <w:t>then:</w:t>
            </w:r>
            <w:proofErr w:type="gramEnd"/>
            <w:r w:rsidRPr="008E171A">
              <w:rPr>
                <w:i/>
                <w:color w:val="000000"/>
              </w:rPr>
              <w:t xml:space="preserve"> “</w:t>
            </w:r>
            <w:r w:rsidRPr="008E171A">
              <w:rPr>
                <w:i/>
              </w:rPr>
              <w:t>Observations should be made on fruiting trees of female varieties.”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rPr>
                <w:rFonts w:cs="Arial"/>
                <w:snapToGrid w:val="0"/>
                <w:color w:val="000000"/>
              </w:rPr>
              <w:t>8.1 (e)</w:t>
            </w:r>
          </w:p>
        </w:tc>
        <w:tc>
          <w:tcPr>
            <w:tcW w:w="8208" w:type="dxa"/>
          </w:tcPr>
          <w:p w:rsidR="004E2968" w:rsidRDefault="004E2968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r w:rsidRPr="008D0013">
              <w:rPr>
                <w:rFonts w:cs="Arial"/>
                <w:color w:val="000000"/>
              </w:rPr>
              <w:t>to check whether to delete first sentence (same wording as (d), see comment on 8.1 (d))</w:t>
            </w:r>
          </w:p>
          <w:p w:rsidR="008E171A" w:rsidRPr="008D0013" w:rsidRDefault="008E171A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r w:rsidRPr="00AC00AC">
              <w:rPr>
                <w:i/>
              </w:rPr>
              <w:t xml:space="preserve">Leading Expert:  </w:t>
            </w:r>
            <w:r w:rsidRPr="008E171A">
              <w:rPr>
                <w:i/>
              </w:rPr>
              <w:t>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  <w:rPr>
                <w:rFonts w:cs="Arial"/>
              </w:rPr>
            </w:pPr>
            <w:r w:rsidRPr="007666D2">
              <w:rPr>
                <w:rFonts w:cs="Arial"/>
              </w:rPr>
              <w:t>8.1 (f)</w:t>
            </w:r>
          </w:p>
        </w:tc>
        <w:tc>
          <w:tcPr>
            <w:tcW w:w="8208" w:type="dxa"/>
          </w:tcPr>
          <w:p w:rsidR="004E2968" w:rsidRDefault="004E2968" w:rsidP="00206266">
            <w:pPr>
              <w:keepNext/>
              <w:rPr>
                <w:rFonts w:cs="Arial"/>
              </w:rPr>
            </w:pPr>
            <w:r w:rsidRPr="008D0013">
              <w:rPr>
                <w:rFonts w:cs="Arial"/>
              </w:rPr>
              <w:t>to add indication of fruit to the illustration</w:t>
            </w:r>
          </w:p>
          <w:p w:rsidR="008E171A" w:rsidRPr="008D0013" w:rsidRDefault="008E171A" w:rsidP="00206266">
            <w:pPr>
              <w:keepNext/>
              <w:rPr>
                <w:rFonts w:cs="Arial"/>
              </w:rPr>
            </w:pPr>
            <w:r w:rsidRPr="00AC00AC">
              <w:rPr>
                <w:i/>
              </w:rPr>
              <w:t>Leading Expert</w:t>
            </w:r>
            <w:r w:rsidRPr="008E171A">
              <w:rPr>
                <w:i/>
              </w:rPr>
              <w:t xml:space="preserve">:  </w:t>
            </w:r>
            <w:r w:rsidRPr="008E171A">
              <w:rPr>
                <w:rFonts w:cs="Arial"/>
                <w:i/>
              </w:rPr>
              <w:t>to add the word “Fruit” just after the letter (f)</w:t>
            </w:r>
          </w:p>
        </w:tc>
      </w:tr>
      <w:tr w:rsidR="008E171A" w:rsidRPr="008D0013" w:rsidTr="00206266">
        <w:trPr>
          <w:cantSplit/>
        </w:trPr>
        <w:tc>
          <w:tcPr>
            <w:tcW w:w="1573" w:type="dxa"/>
          </w:tcPr>
          <w:p w:rsidR="008E171A" w:rsidRPr="007666D2" w:rsidRDefault="008E171A" w:rsidP="0020626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12</w:t>
            </w:r>
          </w:p>
        </w:tc>
        <w:tc>
          <w:tcPr>
            <w:tcW w:w="8208" w:type="dxa"/>
          </w:tcPr>
          <w:p w:rsidR="008E171A" w:rsidRPr="008D0013" w:rsidRDefault="008E171A" w:rsidP="00206266">
            <w:pPr>
              <w:keepNext/>
              <w:rPr>
                <w:rFonts w:cs="Arial"/>
              </w:rPr>
            </w:pPr>
            <w:r w:rsidRPr="00AC00AC">
              <w:rPr>
                <w:i/>
              </w:rPr>
              <w:t>Leading Expert:</w:t>
            </w:r>
            <w:r>
              <w:rPr>
                <w:i/>
              </w:rPr>
              <w:t xml:space="preserve">  </w:t>
            </w:r>
            <w:r w:rsidRPr="008E171A">
              <w:rPr>
                <w:i/>
              </w:rPr>
              <w:t xml:space="preserve">It would be good that the illustration </w:t>
            </w:r>
            <w:proofErr w:type="gramStart"/>
            <w:r w:rsidRPr="008E171A">
              <w:rPr>
                <w:i/>
              </w:rPr>
              <w:t>are aligned</w:t>
            </w:r>
            <w:proofErr w:type="gramEnd"/>
            <w:r w:rsidRPr="008E171A">
              <w:rPr>
                <w:i/>
              </w:rPr>
              <w:t>.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  <w:rPr>
                <w:rFonts w:cs="Arial"/>
              </w:rPr>
            </w:pPr>
            <w:r w:rsidRPr="007666D2">
              <w:rPr>
                <w:rFonts w:cs="Arial"/>
              </w:rPr>
              <w:t>Ads. 13, 14</w:t>
            </w:r>
          </w:p>
        </w:tc>
        <w:tc>
          <w:tcPr>
            <w:tcW w:w="8208" w:type="dxa"/>
          </w:tcPr>
          <w:p w:rsidR="004E2968" w:rsidRDefault="004E2968" w:rsidP="00206266">
            <w:pPr>
              <w:keepNext/>
            </w:pPr>
            <w:proofErr w:type="gramStart"/>
            <w:r w:rsidRPr="008D0013">
              <w:t>to</w:t>
            </w:r>
            <w:proofErr w:type="gramEnd"/>
            <w:r w:rsidRPr="008D0013">
              <w:t xml:space="preserve"> make all images the same size.</w:t>
            </w:r>
          </w:p>
          <w:p w:rsidR="00E84826" w:rsidRPr="008D0013" w:rsidRDefault="00E84826" w:rsidP="00206266">
            <w:pPr>
              <w:keepNext/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jc w:val="left"/>
            </w:pPr>
            <w:r w:rsidRPr="007666D2">
              <w:t>Ad. 17</w:t>
            </w:r>
          </w:p>
        </w:tc>
        <w:tc>
          <w:tcPr>
            <w:tcW w:w="8208" w:type="dxa"/>
          </w:tcPr>
          <w:p w:rsidR="004E2968" w:rsidRPr="008D0013" w:rsidRDefault="004E2968" w:rsidP="00206266">
            <w:r w:rsidRPr="008D0013">
              <w:t>- to delete comma before full stop at state 3</w:t>
            </w:r>
          </w:p>
          <w:p w:rsidR="004E2968" w:rsidRDefault="004E2968" w:rsidP="00206266">
            <w:r w:rsidRPr="008D0013">
              <w:t>- replace “</w:t>
            </w:r>
            <w:r w:rsidR="0029649A" w:rsidRPr="008D0013">
              <w:t>exercising</w:t>
            </w:r>
            <w:r w:rsidRPr="008D0013">
              <w:t>” with “applying”</w:t>
            </w:r>
          </w:p>
          <w:p w:rsidR="00E84826" w:rsidRPr="008D0013" w:rsidRDefault="00E84826" w:rsidP="00206266"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7666D2" w:rsidRDefault="004E2968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7666D2">
              <w:rPr>
                <w:rFonts w:cs="Arial"/>
                <w:vertAlign w:val="superscript"/>
              </w:rPr>
              <w:t>#</w:t>
            </w:r>
            <w:r w:rsidRPr="007666D2">
              <w:rPr>
                <w:rFonts w:cs="Arial"/>
                <w:snapToGrid w:val="0"/>
                <w:color w:val="000000"/>
              </w:rPr>
              <w:t>Ad. 36</w:t>
            </w:r>
          </w:p>
        </w:tc>
        <w:tc>
          <w:tcPr>
            <w:tcW w:w="8208" w:type="dxa"/>
          </w:tcPr>
          <w:p w:rsidR="004E2968" w:rsidRDefault="004E2968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r w:rsidRPr="008D0013">
              <w:rPr>
                <w:rFonts w:cs="Arial"/>
                <w:color w:val="000000"/>
              </w:rPr>
              <w:t>to check whether to read “… when 25% of flower buds are open”</w:t>
            </w:r>
          </w:p>
          <w:p w:rsidR="008E171A" w:rsidRPr="008E171A" w:rsidRDefault="008E171A" w:rsidP="008E171A">
            <w:pPr>
              <w:pStyle w:val="BodyText"/>
              <w:keepNext/>
              <w:rPr>
                <w:i/>
                <w:color w:val="000000"/>
              </w:rPr>
            </w:pPr>
            <w:r w:rsidRPr="00AC00AC">
              <w:rPr>
                <w:i/>
              </w:rPr>
              <w:t>Leading Expert</w:t>
            </w:r>
            <w:r w:rsidRPr="008E171A">
              <w:rPr>
                <w:i/>
              </w:rPr>
              <w:t xml:space="preserve">:  </w:t>
            </w:r>
            <w:r w:rsidRPr="008E171A">
              <w:rPr>
                <w:i/>
                <w:color w:val="000000"/>
              </w:rPr>
              <w:t xml:space="preserve">No, I disagree to refer to open buds; </w:t>
            </w:r>
            <w:proofErr w:type="gramStart"/>
            <w:r w:rsidRPr="008E171A">
              <w:rPr>
                <w:i/>
                <w:color w:val="000000"/>
              </w:rPr>
              <w:t>the flowering in pistachio is marked by separation of bracts, elongation of the raceme and visibility of stigmas</w:t>
            </w:r>
            <w:proofErr w:type="gramEnd"/>
            <w:r w:rsidRPr="008E171A">
              <w:rPr>
                <w:i/>
                <w:color w:val="000000"/>
              </w:rPr>
              <w:t>. If more clarity is need</w:t>
            </w:r>
            <w:r>
              <w:rPr>
                <w:i/>
                <w:color w:val="000000"/>
              </w:rPr>
              <w:t>ed</w:t>
            </w:r>
            <w:r w:rsidRPr="008E171A">
              <w:rPr>
                <w:i/>
                <w:color w:val="000000"/>
              </w:rPr>
              <w:t xml:space="preserve"> for female </w:t>
            </w:r>
            <w:proofErr w:type="gramStart"/>
            <w:r w:rsidRPr="008E171A">
              <w:rPr>
                <w:i/>
                <w:color w:val="000000"/>
              </w:rPr>
              <w:t>varieties</w:t>
            </w:r>
            <w:proofErr w:type="gramEnd"/>
            <w:r w:rsidRPr="008E171A">
              <w:rPr>
                <w:i/>
                <w:color w:val="000000"/>
              </w:rPr>
              <w:t xml:space="preserve"> the sentence can read: “</w:t>
            </w:r>
            <w:r w:rsidRPr="008E171A">
              <w:rPr>
                <w:i/>
              </w:rPr>
              <w:t>for female varieties - when 25% of flower buds are receptive for pollination (stigmas are visible)”.</w:t>
            </w:r>
            <w:r w:rsidRPr="008E171A">
              <w:rPr>
                <w:i/>
                <w:color w:val="000000"/>
              </w:rPr>
              <w:t xml:space="preserve"> </w:t>
            </w:r>
          </w:p>
          <w:p w:rsidR="008E171A" w:rsidRPr="008D0013" w:rsidRDefault="008E171A" w:rsidP="008E171A">
            <w:pPr>
              <w:pStyle w:val="BodyText"/>
              <w:keepNext/>
              <w:rPr>
                <w:rFonts w:cs="Arial"/>
                <w:color w:val="000000"/>
              </w:rPr>
            </w:pPr>
            <w:r w:rsidRPr="008E171A">
              <w:rPr>
                <w:i/>
                <w:color w:val="000000"/>
              </w:rPr>
              <w:t>The phrase “and hermaphrodite” must be deleted.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8D0013" w:rsidRDefault="004E2968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D0013">
              <w:rPr>
                <w:rFonts w:cs="Arial"/>
                <w:snapToGrid w:val="0"/>
                <w:color w:val="000000"/>
              </w:rPr>
              <w:t>Ad. 37</w:t>
            </w:r>
          </w:p>
        </w:tc>
        <w:tc>
          <w:tcPr>
            <w:tcW w:w="8208" w:type="dxa"/>
          </w:tcPr>
          <w:p w:rsidR="004E2968" w:rsidRDefault="004E2968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proofErr w:type="gramStart"/>
            <w:r w:rsidRPr="008D0013">
              <w:rPr>
                <w:rFonts w:cs="Arial"/>
                <w:color w:val="000000"/>
              </w:rPr>
              <w:t>to</w:t>
            </w:r>
            <w:proofErr w:type="gramEnd"/>
            <w:r w:rsidRPr="008D0013">
              <w:rPr>
                <w:rFonts w:cs="Arial"/>
                <w:color w:val="000000"/>
              </w:rPr>
              <w:t xml:space="preserve"> read “The time of harvest maturity is reached when 50% of fruits are mature.”</w:t>
            </w:r>
          </w:p>
          <w:p w:rsidR="00E84826" w:rsidRPr="008D0013" w:rsidRDefault="00E84826" w:rsidP="00206266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</w:tcPr>
          <w:p w:rsidR="004E2968" w:rsidRPr="008D0013" w:rsidRDefault="004E2968" w:rsidP="00206266">
            <w:pPr>
              <w:jc w:val="left"/>
            </w:pPr>
            <w:r w:rsidRPr="008D0013">
              <w:t>TQ 1.2</w:t>
            </w:r>
          </w:p>
        </w:tc>
        <w:tc>
          <w:tcPr>
            <w:tcW w:w="8208" w:type="dxa"/>
          </w:tcPr>
          <w:p w:rsidR="004E2968" w:rsidRDefault="004E2968" w:rsidP="00206266">
            <w:r w:rsidRPr="008D0013">
              <w:t>to remove “</w:t>
            </w:r>
            <w:proofErr w:type="spellStart"/>
            <w:r w:rsidRPr="008D0013">
              <w:t>Pistache</w:t>
            </w:r>
            <w:proofErr w:type="spellEnd"/>
            <w:r w:rsidRPr="008D0013">
              <w:t>”</w:t>
            </w:r>
          </w:p>
          <w:p w:rsidR="00E84826" w:rsidRPr="008D0013" w:rsidRDefault="00E84826" w:rsidP="00206266"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8" w:rsidRPr="00370712" w:rsidRDefault="004E2968" w:rsidP="00206266">
            <w:pPr>
              <w:jc w:val="left"/>
            </w:pPr>
            <w:r w:rsidRPr="00370712">
              <w:t>TQ 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8" w:rsidRPr="00370712" w:rsidRDefault="004E2968" w:rsidP="00206266">
            <w:r w:rsidRPr="00370712">
              <w:t xml:space="preserve">to be deleted </w:t>
            </w:r>
          </w:p>
          <w:p w:rsidR="008E171A" w:rsidRPr="00370712" w:rsidRDefault="008E171A" w:rsidP="00B06C8A">
            <w:pPr>
              <w:rPr>
                <w:i/>
              </w:rPr>
            </w:pPr>
            <w:r w:rsidRPr="00370712">
              <w:rPr>
                <w:rFonts w:cs="Arial"/>
                <w:i/>
              </w:rPr>
              <w:t>Leading Expert:  We should keep it</w:t>
            </w:r>
            <w:r w:rsidR="00B06C8A">
              <w:rPr>
                <w:rFonts w:cs="Arial"/>
                <w:i/>
              </w:rPr>
              <w:t>, see answer on 1.2</w:t>
            </w:r>
          </w:p>
        </w:tc>
      </w:tr>
      <w:tr w:rsidR="004E2968" w:rsidRPr="008D0013" w:rsidTr="0020626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8" w:rsidRPr="008D0013" w:rsidRDefault="004E2968" w:rsidP="00206266">
            <w:pPr>
              <w:jc w:val="left"/>
            </w:pPr>
            <w:r w:rsidRPr="008D0013">
              <w:t>TQ 7.3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8" w:rsidRDefault="004E2968" w:rsidP="00206266">
            <w:r w:rsidRPr="008D0013">
              <w:t>- to add “7.3.1” to the paragraph relating to photographs</w:t>
            </w:r>
          </w:p>
          <w:p w:rsidR="008E171A" w:rsidRPr="008D0013" w:rsidRDefault="008E171A" w:rsidP="00206266">
            <w:r w:rsidRPr="00AC00AC">
              <w:rPr>
                <w:i/>
              </w:rPr>
              <w:t xml:space="preserve">Leading Expert:  </w:t>
            </w:r>
            <w:r w:rsidRPr="008E171A">
              <w:rPr>
                <w:i/>
              </w:rPr>
              <w:t>agreed</w:t>
            </w:r>
          </w:p>
          <w:p w:rsidR="004E2968" w:rsidRDefault="004E2968" w:rsidP="00206266">
            <w:r w:rsidRPr="008D0013">
              <w:t>- last paragraph to read “</w:t>
            </w:r>
            <w:proofErr w:type="gramStart"/>
            <w:r w:rsidRPr="008D0013">
              <w:t>7.3.2  In</w:t>
            </w:r>
            <w:proofErr w:type="gramEnd"/>
            <w:r w:rsidRPr="008D0013">
              <w:t xml:space="preserve"> the case of frost or chilling hour requirements for the correct development of plant material of the candidate variety in the DUS trial field, please specify:” (Font size to be reduced).”</w:t>
            </w:r>
          </w:p>
          <w:p w:rsidR="008E171A" w:rsidRPr="008D0013" w:rsidRDefault="008E171A" w:rsidP="00206266">
            <w:r w:rsidRPr="00AC00AC">
              <w:rPr>
                <w:i/>
              </w:rPr>
              <w:t xml:space="preserve">Leading Expert:  </w:t>
            </w:r>
            <w:r w:rsidRPr="008E171A">
              <w:rPr>
                <w:i/>
              </w:rPr>
              <w:t>agreed</w:t>
            </w:r>
          </w:p>
        </w:tc>
      </w:tr>
    </w:tbl>
    <w:p w:rsidR="00C437A3" w:rsidRPr="00090385" w:rsidRDefault="00C437A3" w:rsidP="00C437A3">
      <w:pPr>
        <w:rPr>
          <w:rFonts w:cs="Arial"/>
        </w:rPr>
      </w:pPr>
    </w:p>
    <w:p w:rsidR="0003032F" w:rsidRPr="003E75B1" w:rsidRDefault="0003032F" w:rsidP="0003032F">
      <w:pPr>
        <w:ind w:firstLine="567"/>
      </w:pPr>
      <w:r w:rsidRPr="003E75B1">
        <w:rPr>
          <w:rFonts w:cs="Arial"/>
        </w:rPr>
        <w:t xml:space="preserve">The following additional comments on the draft Test Guidelines for </w:t>
      </w:r>
      <w:r w:rsidR="00A35585">
        <w:rPr>
          <w:rFonts w:cs="Arial"/>
        </w:rPr>
        <w:t>Pistachio</w:t>
      </w:r>
      <w:r w:rsidRPr="003E75B1">
        <w:rPr>
          <w:rFonts w:cs="Arial"/>
        </w:rPr>
        <w:t xml:space="preserve"> </w:t>
      </w:r>
      <w:r w:rsidRPr="003E75B1">
        <w:t xml:space="preserve">were received </w:t>
      </w:r>
      <w:r w:rsidRPr="003E75B1">
        <w:rPr>
          <w:rFonts w:cs="Arial"/>
        </w:rPr>
        <w:t>(</w:t>
      </w:r>
      <w:r w:rsidRPr="003E75B1">
        <w:rPr>
          <w:rFonts w:cs="Arial"/>
          <w:snapToGrid w:val="0"/>
        </w:rPr>
        <w:t>document </w:t>
      </w:r>
      <w:hyperlink r:id="rId13" w:history="1">
        <w:r w:rsidRPr="004E2968">
          <w:rPr>
            <w:rFonts w:cs="Arial"/>
            <w:color w:val="0066CC"/>
            <w:u w:val="single"/>
            <w:shd w:val="clear" w:color="auto" w:fill="FFFFFF"/>
          </w:rPr>
          <w:t>TG/</w:t>
        </w:r>
        <w:proofErr w:type="gramStart"/>
        <w:r w:rsidRPr="004E2968">
          <w:rPr>
            <w:rFonts w:cs="Arial"/>
            <w:color w:val="0066CC"/>
            <w:u w:val="single"/>
            <w:shd w:val="clear" w:color="auto" w:fill="FFFFFF"/>
          </w:rPr>
          <w:t>PISTA(</w:t>
        </w:r>
        <w:proofErr w:type="gramEnd"/>
        <w:r w:rsidRPr="004E2968">
          <w:rPr>
            <w:rFonts w:cs="Arial"/>
            <w:color w:val="0066CC"/>
            <w:u w:val="single"/>
            <w:shd w:val="clear" w:color="auto" w:fill="FFFFFF"/>
          </w:rPr>
          <w:t>proj.5)</w:t>
        </w:r>
      </w:hyperlink>
      <w:r w:rsidRPr="003E75B1">
        <w:t>).  The Leading expert provided the replies presented along with each comment.</w:t>
      </w:r>
    </w:p>
    <w:p w:rsidR="0003032F" w:rsidRPr="003E75B1" w:rsidRDefault="0003032F" w:rsidP="0003032F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03032F" w:rsidRPr="003E75B1" w:rsidTr="00F811C8">
        <w:trPr>
          <w:cantSplit/>
        </w:trPr>
        <w:tc>
          <w:tcPr>
            <w:tcW w:w="1573" w:type="dxa"/>
          </w:tcPr>
          <w:p w:rsidR="0003032F" w:rsidRPr="003E75B1" w:rsidRDefault="0003032F" w:rsidP="00F811C8">
            <w:r>
              <w:t>Char</w:t>
            </w:r>
            <w:proofErr w:type="gramStart"/>
            <w:r>
              <w:t>./</w:t>
            </w:r>
            <w:proofErr w:type="gramEnd"/>
            <w:r>
              <w:t>Ad. 13</w:t>
            </w:r>
          </w:p>
        </w:tc>
        <w:tc>
          <w:tcPr>
            <w:tcW w:w="8208" w:type="dxa"/>
          </w:tcPr>
          <w:p w:rsidR="0003032F" w:rsidRDefault="0003032F" w:rsidP="0003032F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s</w:t>
            </w:r>
            <w:r w:rsidRPr="0003032F">
              <w:rPr>
                <w:rFonts w:cs="Arial"/>
                <w:color w:val="000000"/>
              </w:rPr>
              <w:t>tate</w:t>
            </w:r>
            <w:proofErr w:type="gramEnd"/>
            <w:r w:rsidRPr="0003032F">
              <w:rPr>
                <w:rFonts w:cs="Arial"/>
                <w:color w:val="000000"/>
              </w:rPr>
              <w:t xml:space="preserve"> 1 </w:t>
            </w:r>
            <w:r>
              <w:rPr>
                <w:rFonts w:cs="Arial"/>
                <w:color w:val="000000"/>
              </w:rPr>
              <w:t>“a</w:t>
            </w:r>
            <w:r w:rsidRPr="0003032F">
              <w:rPr>
                <w:rFonts w:cs="Arial"/>
                <w:color w:val="000000"/>
              </w:rPr>
              <w:t>cute</w:t>
            </w:r>
            <w:r>
              <w:rPr>
                <w:rFonts w:cs="Arial"/>
                <w:color w:val="000000"/>
              </w:rPr>
              <w:t>”</w:t>
            </w:r>
            <w:r w:rsidRPr="0003032F">
              <w:rPr>
                <w:rFonts w:cs="Arial"/>
                <w:color w:val="000000"/>
              </w:rPr>
              <w:t xml:space="preserve"> has a less than 90 degree angle, this does not really have an angle at all. Change to </w:t>
            </w:r>
            <w:r>
              <w:rPr>
                <w:rFonts w:cs="Arial"/>
                <w:color w:val="000000"/>
              </w:rPr>
              <w:t>“</w:t>
            </w:r>
            <w:r w:rsidRPr="0003032F">
              <w:rPr>
                <w:rFonts w:cs="Arial"/>
                <w:color w:val="000000"/>
              </w:rPr>
              <w:t>oblique</w:t>
            </w:r>
            <w:r>
              <w:rPr>
                <w:rFonts w:cs="Arial"/>
                <w:color w:val="000000"/>
              </w:rPr>
              <w:t>”</w:t>
            </w:r>
            <w:r w:rsidRPr="0003032F">
              <w:rPr>
                <w:rFonts w:cs="Arial"/>
                <w:color w:val="000000"/>
              </w:rPr>
              <w:t>.</w:t>
            </w:r>
          </w:p>
          <w:p w:rsidR="0003032F" w:rsidRPr="0003032F" w:rsidRDefault="0003032F" w:rsidP="0003032F">
            <w:pPr>
              <w:rPr>
                <w:rFonts w:cs="Arial"/>
                <w:i/>
                <w:color w:val="000000"/>
                <w:lang w:val="en-GB"/>
              </w:rPr>
            </w:pPr>
            <w:r w:rsidRPr="0003032F">
              <w:rPr>
                <w:rFonts w:cs="Arial"/>
                <w:i/>
                <w:color w:val="000000"/>
              </w:rPr>
              <w:t xml:space="preserve">Leading Expert: There is an angle, even though the base is asymmetric, and this angle is less than 90°. The characteristic </w:t>
            </w:r>
            <w:proofErr w:type="gramStart"/>
            <w:r w:rsidRPr="0003032F">
              <w:rPr>
                <w:rFonts w:cs="Arial"/>
                <w:i/>
                <w:color w:val="000000"/>
              </w:rPr>
              <w:t>should be looked at</w:t>
            </w:r>
            <w:proofErr w:type="gramEnd"/>
            <w:r w:rsidRPr="0003032F">
              <w:rPr>
                <w:rFonts w:cs="Arial"/>
                <w:i/>
                <w:color w:val="000000"/>
              </w:rPr>
              <w:t xml:space="preserve"> irrespective of the asymmetry issue. “Oblique” is rather implying asymmetry as such or orientation. In this case, the asymmetry is the next characteristic. For a crop like </w:t>
            </w:r>
            <w:proofErr w:type="gramStart"/>
            <w:r w:rsidRPr="0003032F">
              <w:rPr>
                <w:rFonts w:cs="Arial"/>
                <w:i/>
                <w:color w:val="000000"/>
              </w:rPr>
              <w:t>Pistachio</w:t>
            </w:r>
            <w:proofErr w:type="gramEnd"/>
            <w:r w:rsidRPr="0003032F">
              <w:rPr>
                <w:rFonts w:cs="Arial"/>
                <w:i/>
                <w:color w:val="000000"/>
              </w:rPr>
              <w:t xml:space="preserve"> there is a need to distinguish between asymmetry at base and shape of base. Consequently, the first state of expression for the characteristic 13 should remain “acute”.</w:t>
            </w:r>
          </w:p>
        </w:tc>
      </w:tr>
      <w:tr w:rsidR="0003032F" w:rsidRPr="003E75B1" w:rsidTr="00F811C8">
        <w:trPr>
          <w:cantSplit/>
        </w:trPr>
        <w:tc>
          <w:tcPr>
            <w:tcW w:w="1573" w:type="dxa"/>
          </w:tcPr>
          <w:p w:rsidR="0003032F" w:rsidRPr="003E75B1" w:rsidRDefault="0003032F" w:rsidP="00F811C8">
            <w:r>
              <w:t>Char. 23</w:t>
            </w:r>
          </w:p>
        </w:tc>
        <w:tc>
          <w:tcPr>
            <w:tcW w:w="8208" w:type="dxa"/>
          </w:tcPr>
          <w:p w:rsidR="0003032F" w:rsidRPr="007422F8" w:rsidRDefault="0003032F" w:rsidP="0003032F">
            <w:pPr>
              <w:rPr>
                <w:rFonts w:cs="Arial"/>
                <w:color w:val="000000"/>
                <w:lang w:val="en-GB"/>
              </w:rPr>
            </w:pPr>
            <w:r w:rsidRPr="007422F8">
              <w:rPr>
                <w:rFonts w:cs="Arial"/>
                <w:color w:val="000000"/>
              </w:rPr>
              <w:t>t</w:t>
            </w:r>
            <w:r w:rsidRPr="007422F8">
              <w:rPr>
                <w:rFonts w:cs="Arial"/>
                <w:color w:val="000000"/>
                <w:lang w:val="en-GB"/>
              </w:rPr>
              <w:t>o avoid any confusion with width in lateral view, consider thickness (in ventral view)</w:t>
            </w:r>
          </w:p>
          <w:p w:rsidR="0003032F" w:rsidRPr="0003032F" w:rsidRDefault="0003032F" w:rsidP="0003032F">
            <w:pPr>
              <w:rPr>
                <w:rFonts w:cs="Arial"/>
                <w:color w:val="000000"/>
                <w:lang w:val="en-GB"/>
              </w:rPr>
            </w:pPr>
            <w:r w:rsidRPr="0003032F">
              <w:rPr>
                <w:rFonts w:cs="Arial"/>
                <w:i/>
                <w:color w:val="000000"/>
                <w:lang w:val="en-GB"/>
              </w:rPr>
              <w:t xml:space="preserve">Leading Expert: agreed for char. 23 to read “Nut: thickness” and to change char. 22 to read “Nut: width” </w:t>
            </w:r>
            <w:r w:rsidR="003E3D35">
              <w:rPr>
                <w:rFonts w:cs="Arial"/>
                <w:i/>
                <w:color w:val="000000"/>
                <w:lang w:val="en-GB"/>
              </w:rPr>
              <w:t xml:space="preserve">(delete “in lateral view”) </w:t>
            </w:r>
            <w:r w:rsidRPr="0003032F">
              <w:rPr>
                <w:rFonts w:cs="Arial"/>
                <w:i/>
                <w:color w:val="000000"/>
                <w:lang w:val="en-GB"/>
              </w:rPr>
              <w:t>in consequence. Characteristics to read as presented below</w:t>
            </w:r>
          </w:p>
        </w:tc>
      </w:tr>
    </w:tbl>
    <w:p w:rsidR="00090385" w:rsidRDefault="00090385" w:rsidP="00C437A3">
      <w:pPr>
        <w:rPr>
          <w:rFonts w:cs="Arial"/>
        </w:rPr>
      </w:pPr>
    </w:p>
    <w:p w:rsidR="0003032F" w:rsidRDefault="0003032F" w:rsidP="00C437A3">
      <w:pPr>
        <w:rPr>
          <w:rFonts w:cs="Arial"/>
          <w:b/>
        </w:rPr>
        <w:sectPr w:rsidR="0003032F" w:rsidSect="00E927EA">
          <w:headerReference w:type="default" r:id="rId14"/>
          <w:head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03032F" w:rsidRDefault="0003032F" w:rsidP="00C437A3">
      <w:pPr>
        <w:rPr>
          <w:rFonts w:cs="Arial"/>
          <w:b/>
        </w:rPr>
      </w:pPr>
    </w:p>
    <w:tbl>
      <w:tblPr>
        <w:tblOverlap w:val="never"/>
        <w:tblW w:w="9923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03"/>
        <w:gridCol w:w="16"/>
        <w:gridCol w:w="267"/>
        <w:gridCol w:w="16"/>
        <w:gridCol w:w="550"/>
        <w:gridCol w:w="16"/>
        <w:gridCol w:w="1287"/>
        <w:gridCol w:w="16"/>
        <w:gridCol w:w="550"/>
        <w:gridCol w:w="16"/>
        <w:gridCol w:w="1287"/>
        <w:gridCol w:w="16"/>
        <w:gridCol w:w="1854"/>
        <w:gridCol w:w="16"/>
        <w:gridCol w:w="1854"/>
        <w:gridCol w:w="16"/>
        <w:gridCol w:w="1276"/>
        <w:gridCol w:w="567"/>
      </w:tblGrid>
      <w:tr w:rsidR="0003032F" w:rsidRPr="0096646E" w:rsidTr="0003032F">
        <w:tc>
          <w:tcPr>
            <w:tcW w:w="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32F" w:rsidRPr="0096646E" w:rsidRDefault="0003032F" w:rsidP="00F811C8">
            <w:pPr>
              <w:rPr>
                <w:vanish/>
              </w:rPr>
            </w:pPr>
            <w:r w:rsidRPr="0096646E">
              <w:fldChar w:fldCharType="begin"/>
            </w:r>
            <w:r w:rsidRPr="0096646E">
              <w:instrText xml:space="preserve"> TC "22" \f C \l "1"</w:instrText>
            </w:r>
            <w:r w:rsidRPr="0096646E">
              <w:fldChar w:fldCharType="end"/>
            </w:r>
          </w:p>
          <w:p w:rsidR="0003032F" w:rsidRPr="0096646E" w:rsidRDefault="0003032F" w:rsidP="00F811C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(e)</w:t>
            </w:r>
          </w:p>
        </w:tc>
        <w:tc>
          <w:tcPr>
            <w:tcW w:w="5583" w:type="dxa"/>
            <w:gridSpan w:val="6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032F" w:rsidRPr="0096646E" w:rsidTr="0003032F">
        <w:tc>
          <w:tcPr>
            <w:tcW w:w="319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32F" w:rsidRPr="0096646E" w:rsidTr="00F811C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</w:pPr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width 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32F" w:rsidRPr="00E64C45" w:rsidTr="00F811C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  <w:rPr>
                      <w:lang w:val="fr-CH"/>
                    </w:rPr>
                  </w:pPr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largeur 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3032F" w:rsidRPr="0096646E" w:rsidTr="00F811C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</w:pPr>
                  <w:proofErr w:type="spellStart"/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Nuss</w:t>
                  </w:r>
                  <w:proofErr w:type="spellEnd"/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Breite</w:t>
                  </w:r>
                  <w:proofErr w:type="spellEnd"/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3032F" w:rsidRPr="00E64C45" w:rsidTr="00F811C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  <w:rPr>
                      <w:lang w:val="es-ES_tradnl"/>
                    </w:rPr>
                  </w:pPr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anchura 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</w:tr>
      <w:tr w:rsidR="0003032F" w:rsidRPr="0096646E" w:rsidTr="0003032F">
        <w:tc>
          <w:tcPr>
            <w:tcW w:w="319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very narrow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étroite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estrecha</w:t>
            </w:r>
            <w:proofErr w:type="spellEnd"/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3032F" w:rsidRPr="0096646E" w:rsidTr="0003032F">
        <w:tc>
          <w:tcPr>
            <w:tcW w:w="319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étroite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estrecha</w:t>
            </w:r>
            <w:proofErr w:type="spellEnd"/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03032F" w:rsidRPr="0096646E" w:rsidTr="0003032F">
        <w:tc>
          <w:tcPr>
            <w:tcW w:w="319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3032F" w:rsidRPr="0096646E" w:rsidTr="0003032F">
        <w:tc>
          <w:tcPr>
            <w:tcW w:w="319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03032F" w:rsidRPr="0096646E" w:rsidTr="0003032F">
        <w:tc>
          <w:tcPr>
            <w:tcW w:w="319" w:type="dxa"/>
            <w:gridSpan w:val="2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very broad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Kerman (f)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03032F" w:rsidRPr="0096646E" w:rsidTr="0003032F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32F" w:rsidRPr="0096646E" w:rsidRDefault="0003032F" w:rsidP="00F811C8">
            <w:pPr>
              <w:rPr>
                <w:vanish/>
              </w:rPr>
            </w:pPr>
            <w:r w:rsidRPr="0096646E">
              <w:fldChar w:fldCharType="begin"/>
            </w:r>
            <w:r w:rsidRPr="0096646E">
              <w:instrText xml:space="preserve"> TC "23" \f C \l "1"</w:instrText>
            </w:r>
            <w:r w:rsidRPr="0096646E">
              <w:fldChar w:fldCharType="end"/>
            </w:r>
          </w:p>
          <w:p w:rsidR="0003032F" w:rsidRPr="0096646E" w:rsidRDefault="0003032F" w:rsidP="00F811C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(e)</w:t>
            </w:r>
          </w:p>
        </w:tc>
        <w:tc>
          <w:tcPr>
            <w:tcW w:w="5599" w:type="dxa"/>
            <w:gridSpan w:val="7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032F" w:rsidRPr="0096646E" w:rsidTr="0003032F">
        <w:tc>
          <w:tcPr>
            <w:tcW w:w="303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32F" w:rsidRPr="0096646E" w:rsidTr="00F811C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</w:pPr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thickness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32F" w:rsidRPr="00E64C45" w:rsidTr="00F811C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1D65">
                  <w:pPr>
                    <w:spacing w:before="106" w:after="106"/>
                    <w:rPr>
                      <w:lang w:val="fr-CH"/>
                    </w:rPr>
                  </w:pPr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</w:t>
                  </w:r>
                  <w:r w:rsidR="00031D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épaisseur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3032F" w:rsidRPr="0096646E" w:rsidTr="00F811C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</w:pPr>
                  <w:proofErr w:type="spellStart"/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Nuss</w:t>
                  </w:r>
                  <w:proofErr w:type="spellEnd"/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Dicke</w:t>
                  </w:r>
                  <w:proofErr w:type="spellEnd"/>
                </w:p>
              </w:tc>
            </w:tr>
          </w:tbl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3032F" w:rsidRPr="00E64C45" w:rsidTr="00F811C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32F" w:rsidRPr="0096646E" w:rsidRDefault="0003032F" w:rsidP="0003032F">
                  <w:pPr>
                    <w:spacing w:before="106" w:after="106"/>
                    <w:rPr>
                      <w:lang w:val="es-ES_tradnl"/>
                    </w:rPr>
                  </w:pPr>
                  <w:r w:rsidRPr="0096646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grosor</w:t>
                  </w:r>
                </w:p>
              </w:tc>
            </w:tr>
          </w:tbl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292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</w:tr>
      <w:tr w:rsidR="0003032F" w:rsidRPr="0096646E" w:rsidTr="0003032F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thin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1D65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mince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dünn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delgado</w:t>
            </w:r>
            <w:proofErr w:type="spellEnd"/>
          </w:p>
        </w:tc>
        <w:tc>
          <w:tcPr>
            <w:tcW w:w="1292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Aegina (f)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3032F" w:rsidRPr="0096646E" w:rsidTr="0003032F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292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03032F" w:rsidRPr="0096646E" w:rsidTr="004851BD">
        <w:tc>
          <w:tcPr>
            <w:tcW w:w="303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2F" w:rsidRPr="0096646E" w:rsidRDefault="0003032F" w:rsidP="00F811C8">
            <w:pPr>
              <w:spacing w:line="1" w:lineRule="auto"/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thick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1D65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épais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dick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grueso</w:t>
            </w:r>
            <w:proofErr w:type="spellEnd"/>
          </w:p>
        </w:tc>
        <w:tc>
          <w:tcPr>
            <w:tcW w:w="1292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 w:rsidRPr="0096646E"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3032F" w:rsidRPr="0096646E" w:rsidRDefault="0003032F" w:rsidP="00F811C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96646E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03032F" w:rsidRDefault="0003032F" w:rsidP="00C437A3">
      <w:pPr>
        <w:rPr>
          <w:rFonts w:cs="Arial"/>
          <w:b/>
        </w:rPr>
      </w:pPr>
    </w:p>
    <w:p w:rsidR="000342B3" w:rsidRPr="0003032F" w:rsidRDefault="000342B3" w:rsidP="00C437A3">
      <w:pPr>
        <w:rPr>
          <w:rFonts w:cs="Arial"/>
          <w:b/>
        </w:rPr>
      </w:pPr>
    </w:p>
    <w:p w:rsidR="002F594A" w:rsidRPr="00090385" w:rsidRDefault="002F594A" w:rsidP="00C437A3">
      <w:pPr>
        <w:rPr>
          <w:rFonts w:cs="Arial"/>
        </w:rPr>
      </w:pPr>
    </w:p>
    <w:p w:rsidR="00050E16" w:rsidRPr="00090385" w:rsidRDefault="00050E16" w:rsidP="00090385">
      <w:pPr>
        <w:jc w:val="right"/>
        <w:rPr>
          <w:rFonts w:cs="Arial"/>
        </w:rPr>
      </w:pPr>
      <w:r w:rsidRPr="00090385">
        <w:rPr>
          <w:rFonts w:cs="Arial"/>
        </w:rPr>
        <w:t>[End of document]</w:t>
      </w:r>
    </w:p>
    <w:sectPr w:rsidR="00050E16" w:rsidRPr="00090385" w:rsidSect="000342B3">
      <w:pgSz w:w="11907" w:h="16840" w:code="9"/>
      <w:pgMar w:top="510" w:right="992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15" w:rsidRDefault="00893015" w:rsidP="006655D3">
      <w:r>
        <w:separator/>
      </w:r>
    </w:p>
    <w:p w:rsidR="00893015" w:rsidRDefault="00893015" w:rsidP="006655D3"/>
    <w:p w:rsidR="00893015" w:rsidRDefault="00893015" w:rsidP="006655D3"/>
  </w:endnote>
  <w:endnote w:type="continuationSeparator" w:id="0">
    <w:p w:rsidR="00893015" w:rsidRDefault="00893015" w:rsidP="006655D3">
      <w:r>
        <w:separator/>
      </w:r>
    </w:p>
    <w:p w:rsidR="00893015" w:rsidRPr="00294751" w:rsidRDefault="008930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93015" w:rsidRPr="00294751" w:rsidRDefault="00893015" w:rsidP="006655D3">
      <w:pPr>
        <w:rPr>
          <w:lang w:val="fr-FR"/>
        </w:rPr>
      </w:pPr>
    </w:p>
    <w:p w:rsidR="00893015" w:rsidRPr="00294751" w:rsidRDefault="00893015" w:rsidP="006655D3">
      <w:pPr>
        <w:rPr>
          <w:lang w:val="fr-FR"/>
        </w:rPr>
      </w:pPr>
    </w:p>
  </w:endnote>
  <w:endnote w:type="continuationNotice" w:id="1">
    <w:p w:rsidR="00893015" w:rsidRPr="00294751" w:rsidRDefault="008930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93015" w:rsidRPr="00294751" w:rsidRDefault="00893015" w:rsidP="006655D3">
      <w:pPr>
        <w:rPr>
          <w:lang w:val="fr-FR"/>
        </w:rPr>
      </w:pPr>
    </w:p>
    <w:p w:rsidR="00893015" w:rsidRPr="00294751" w:rsidRDefault="00893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15" w:rsidRDefault="00893015" w:rsidP="006655D3">
      <w:r>
        <w:separator/>
      </w:r>
    </w:p>
  </w:footnote>
  <w:footnote w:type="continuationSeparator" w:id="0">
    <w:p w:rsidR="00893015" w:rsidRDefault="00893015" w:rsidP="006655D3">
      <w:r>
        <w:separator/>
      </w:r>
    </w:p>
  </w:footnote>
  <w:footnote w:type="continuationNotice" w:id="1">
    <w:p w:rsidR="00893015" w:rsidRPr="00AB530F" w:rsidRDefault="00893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321F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TC-EDC/Mar21</w:t>
    </w:r>
    <w:r w:rsidR="00D33081">
      <w:rPr>
        <w:rStyle w:val="PageNumber"/>
        <w:lang w:val="en-US"/>
      </w:rPr>
      <w:t>/</w:t>
    </w:r>
    <w:r w:rsidR="00B929D3">
      <w:rPr>
        <w:rStyle w:val="PageNumber"/>
        <w:lang w:val="en-US"/>
      </w:rPr>
      <w:t>3</w:t>
    </w:r>
  </w:p>
  <w:p w:rsidR="0004198B" w:rsidRPr="00C5280D" w:rsidRDefault="0004198B" w:rsidP="000342B3">
    <w:pPr>
      <w:pStyle w:val="Header"/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44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14165" w:rsidRDefault="004141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E927E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0CF3"/>
    <w:rsid w:val="00011E27"/>
    <w:rsid w:val="000148BC"/>
    <w:rsid w:val="00024AB8"/>
    <w:rsid w:val="0003032F"/>
    <w:rsid w:val="00030854"/>
    <w:rsid w:val="00031D65"/>
    <w:rsid w:val="000342B3"/>
    <w:rsid w:val="00036028"/>
    <w:rsid w:val="0004198B"/>
    <w:rsid w:val="00044642"/>
    <w:rsid w:val="000446B9"/>
    <w:rsid w:val="00047E21"/>
    <w:rsid w:val="00050E16"/>
    <w:rsid w:val="00061AF4"/>
    <w:rsid w:val="00085505"/>
    <w:rsid w:val="0009038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6238"/>
    <w:rsid w:val="0021332C"/>
    <w:rsid w:val="00213982"/>
    <w:rsid w:val="00233F44"/>
    <w:rsid w:val="0024416D"/>
    <w:rsid w:val="002539F4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9649A"/>
    <w:rsid w:val="002A6E50"/>
    <w:rsid w:val="002B4298"/>
    <w:rsid w:val="002B7A36"/>
    <w:rsid w:val="002C256A"/>
    <w:rsid w:val="002D5226"/>
    <w:rsid w:val="002F594A"/>
    <w:rsid w:val="00305A7F"/>
    <w:rsid w:val="003152FE"/>
    <w:rsid w:val="00327436"/>
    <w:rsid w:val="00344BD6"/>
    <w:rsid w:val="00350D14"/>
    <w:rsid w:val="0035528D"/>
    <w:rsid w:val="00361821"/>
    <w:rsid w:val="00361E9E"/>
    <w:rsid w:val="00370712"/>
    <w:rsid w:val="003753EE"/>
    <w:rsid w:val="003A0835"/>
    <w:rsid w:val="003A5AAF"/>
    <w:rsid w:val="003B700A"/>
    <w:rsid w:val="003C7FBE"/>
    <w:rsid w:val="003D227C"/>
    <w:rsid w:val="003D2B4D"/>
    <w:rsid w:val="003E3D35"/>
    <w:rsid w:val="003F37F5"/>
    <w:rsid w:val="003F3DD7"/>
    <w:rsid w:val="00414165"/>
    <w:rsid w:val="004321F8"/>
    <w:rsid w:val="00444A88"/>
    <w:rsid w:val="00444D56"/>
    <w:rsid w:val="00474DA4"/>
    <w:rsid w:val="00476B4D"/>
    <w:rsid w:val="004805FA"/>
    <w:rsid w:val="004851BD"/>
    <w:rsid w:val="004935D2"/>
    <w:rsid w:val="004B1215"/>
    <w:rsid w:val="004D047D"/>
    <w:rsid w:val="004E2968"/>
    <w:rsid w:val="004F1E9E"/>
    <w:rsid w:val="004F305A"/>
    <w:rsid w:val="00503DB4"/>
    <w:rsid w:val="00512164"/>
    <w:rsid w:val="00520297"/>
    <w:rsid w:val="005338F9"/>
    <w:rsid w:val="00533D15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E7466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22F8"/>
    <w:rsid w:val="007451EC"/>
    <w:rsid w:val="00751613"/>
    <w:rsid w:val="00753EE9"/>
    <w:rsid w:val="007556F6"/>
    <w:rsid w:val="00760EEF"/>
    <w:rsid w:val="00777EE5"/>
    <w:rsid w:val="00784836"/>
    <w:rsid w:val="0079023E"/>
    <w:rsid w:val="00793B46"/>
    <w:rsid w:val="0079762F"/>
    <w:rsid w:val="007A2854"/>
    <w:rsid w:val="007B52BF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331D"/>
    <w:rsid w:val="00867AC1"/>
    <w:rsid w:val="008751DE"/>
    <w:rsid w:val="00890DF8"/>
    <w:rsid w:val="00893015"/>
    <w:rsid w:val="008A0ADE"/>
    <w:rsid w:val="008A743F"/>
    <w:rsid w:val="008C0970"/>
    <w:rsid w:val="008D0BC5"/>
    <w:rsid w:val="008D2CF7"/>
    <w:rsid w:val="008E171A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3A08"/>
    <w:rsid w:val="009E65B6"/>
    <w:rsid w:val="009F0A51"/>
    <w:rsid w:val="009F77CF"/>
    <w:rsid w:val="00A00863"/>
    <w:rsid w:val="00A11442"/>
    <w:rsid w:val="00A24C10"/>
    <w:rsid w:val="00A35585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00AC"/>
    <w:rsid w:val="00AC2883"/>
    <w:rsid w:val="00AD6DCB"/>
    <w:rsid w:val="00AE0EF1"/>
    <w:rsid w:val="00AE2937"/>
    <w:rsid w:val="00B06C8A"/>
    <w:rsid w:val="00B07301"/>
    <w:rsid w:val="00B11F3E"/>
    <w:rsid w:val="00B224DE"/>
    <w:rsid w:val="00B324D4"/>
    <w:rsid w:val="00B35B97"/>
    <w:rsid w:val="00B46575"/>
    <w:rsid w:val="00B61777"/>
    <w:rsid w:val="00B622E6"/>
    <w:rsid w:val="00B83E82"/>
    <w:rsid w:val="00B84BBD"/>
    <w:rsid w:val="00B929D3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734B3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3081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4046"/>
    <w:rsid w:val="00DD6208"/>
    <w:rsid w:val="00DF7E99"/>
    <w:rsid w:val="00E07D87"/>
    <w:rsid w:val="00E249C8"/>
    <w:rsid w:val="00E32F7E"/>
    <w:rsid w:val="00E5267B"/>
    <w:rsid w:val="00E53FEA"/>
    <w:rsid w:val="00E559F0"/>
    <w:rsid w:val="00E63C0E"/>
    <w:rsid w:val="00E72D49"/>
    <w:rsid w:val="00E7593C"/>
    <w:rsid w:val="00E7678A"/>
    <w:rsid w:val="00E84826"/>
    <w:rsid w:val="00E927EA"/>
    <w:rsid w:val="00E935F1"/>
    <w:rsid w:val="00E94A81"/>
    <w:rsid w:val="00E95C9D"/>
    <w:rsid w:val="00EA1FFB"/>
    <w:rsid w:val="00EB048E"/>
    <w:rsid w:val="00EB4E9C"/>
    <w:rsid w:val="00EC1CFF"/>
    <w:rsid w:val="00EE34DF"/>
    <w:rsid w:val="00EF2F89"/>
    <w:rsid w:val="00F03E98"/>
    <w:rsid w:val="00F1237A"/>
    <w:rsid w:val="00F22CBD"/>
    <w:rsid w:val="00F272F1"/>
    <w:rsid w:val="00F31412"/>
    <w:rsid w:val="00F45372"/>
    <w:rsid w:val="00F51288"/>
    <w:rsid w:val="00F560F7"/>
    <w:rsid w:val="00F6334D"/>
    <w:rsid w:val="00F63599"/>
    <w:rsid w:val="00F71781"/>
    <w:rsid w:val="00F7444F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BD2397D"/>
  <w15:docId w15:val="{334443B0-C882-41D5-99EC-ABCD57E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F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21F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21F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21F8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21F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321F8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21F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4321F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4321F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4321F8"/>
    <w:rPr>
      <w:rFonts w:ascii="Arial" w:hAnsi="Arial"/>
      <w:sz w:val="20"/>
    </w:rPr>
  </w:style>
  <w:style w:type="paragraph" w:styleId="Title">
    <w:name w:val="Title"/>
    <w:basedOn w:val="Normal"/>
    <w:qFormat/>
    <w:rsid w:val="004321F8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4321F8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4321F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321F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21F8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21F8"/>
    <w:rPr>
      <w:vertAlign w:val="superscript"/>
    </w:rPr>
  </w:style>
  <w:style w:type="paragraph" w:styleId="Closing">
    <w:name w:val="Closing"/>
    <w:basedOn w:val="Normal"/>
    <w:rsid w:val="004321F8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21F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21F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21F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2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21F8"/>
    <w:pPr>
      <w:ind w:left="4536"/>
      <w:jc w:val="center"/>
    </w:pPr>
  </w:style>
  <w:style w:type="character" w:customStyle="1" w:styleId="Doclang">
    <w:name w:val="Doc_lang"/>
    <w:basedOn w:val="DefaultParagraphFont"/>
    <w:rsid w:val="004321F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21F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21F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4321F8"/>
  </w:style>
  <w:style w:type="paragraph" w:customStyle="1" w:styleId="Disclaimer">
    <w:name w:val="Disclaimer"/>
    <w:next w:val="Normal"/>
    <w:qFormat/>
    <w:rsid w:val="004321F8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4321F8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4321F8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4321F8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21F8"/>
  </w:style>
  <w:style w:type="paragraph" w:styleId="EndnoteText">
    <w:name w:val="endnote text"/>
    <w:basedOn w:val="Normal"/>
    <w:semiHidden/>
    <w:rsid w:val="004321F8"/>
  </w:style>
  <w:style w:type="character" w:styleId="EndnoteReference">
    <w:name w:val="endnote reference"/>
    <w:basedOn w:val="DefaultParagraphFont"/>
    <w:semiHidden/>
    <w:rsid w:val="004321F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21F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21F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21F8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4321F8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4321F8"/>
    <w:pPr>
      <w:spacing w:before="60" w:after="480"/>
      <w:jc w:val="center"/>
    </w:pPr>
  </w:style>
  <w:style w:type="paragraph" w:customStyle="1" w:styleId="Lettrine">
    <w:name w:val="Lettrine"/>
    <w:basedOn w:val="Normal"/>
    <w:rsid w:val="004321F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4321F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4321F8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4321F8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21F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21F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21F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21F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21F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4321F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4321F8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4321F8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4321F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4321F8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4321F8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4321F8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4321F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321F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4321F8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4321F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3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1F8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4321F8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4321F8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4321F8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4321F8"/>
  </w:style>
  <w:style w:type="character" w:customStyle="1" w:styleId="BodyTextChar">
    <w:name w:val="Body Text Char"/>
    <w:basedOn w:val="DefaultParagraphFont"/>
    <w:link w:val="BodyText"/>
    <w:rsid w:val="00444D56"/>
    <w:rPr>
      <w:rFonts w:ascii="Arial" w:hAnsi="Arial"/>
    </w:rPr>
  </w:style>
  <w:style w:type="table" w:styleId="TableGrid">
    <w:name w:val="Table Grid"/>
    <w:basedOn w:val="TableNormal"/>
    <w:rsid w:val="0035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meetings/en/doc_details.jsp?meeting_id=55676&amp;doc_id=5143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n/doc_details.jsp?meeting_id=55676&amp;doc_id=514392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21_Mar_Mtg\template\rs_with_doc_tc_edc_mar_21_template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0BF6-F557-4075-BE3E-5FC44952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rs_with_doc_tc_edc_mar_21_templateNEW.dotm</Template>
  <TotalTime>0</TotalTime>
  <Pages>3</Pages>
  <Words>1106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TC-EDC/Mar21</vt:lpstr>
    </vt:vector>
  </TitlesOfParts>
  <Company>UPOV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TC-EDC/Mar21</dc:title>
  <dc:creator>OERTEL Romy</dc:creator>
  <cp:lastModifiedBy>OERTEL Romy</cp:lastModifiedBy>
  <cp:revision>3</cp:revision>
  <cp:lastPrinted>2016-11-22T15:41:00Z</cp:lastPrinted>
  <dcterms:created xsi:type="dcterms:W3CDTF">2021-02-24T15:11:00Z</dcterms:created>
  <dcterms:modified xsi:type="dcterms:W3CDTF">2021-02-24T15:11:00Z</dcterms:modified>
</cp:coreProperties>
</file>