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DB7BF6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</w:t>
            </w:r>
            <w:bookmarkStart w:id="0" w:name="_GoBack"/>
            <w:bookmarkEnd w:id="0"/>
            <w:r w:rsidR="00A3365A">
              <w:t>26</w:t>
            </w:r>
            <w:r w:rsidR="000E6267">
              <w:t xml:space="preserve"> and 27</w:t>
            </w:r>
            <w:r w:rsidRPr="00DA4973">
              <w:t>, 201</w:t>
            </w:r>
            <w:r w:rsidR="00DB7BF6">
              <w:t>9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</w:t>
            </w:r>
            <w:r w:rsidR="00DB7BF6">
              <w:t>9</w:t>
            </w:r>
            <w:r w:rsidR="00EB4E9C" w:rsidRPr="00AC2883">
              <w:t>/</w:t>
            </w:r>
            <w:r w:rsidR="007670BF">
              <w:t>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C2C1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C2C10">
              <w:rPr>
                <w:b w:val="0"/>
                <w:spacing w:val="0"/>
              </w:rPr>
              <w:t>January 17, 2019</w:t>
            </w:r>
          </w:p>
        </w:tc>
      </w:tr>
    </w:tbl>
    <w:p w:rsidR="007670BF" w:rsidRPr="006A644A" w:rsidRDefault="007670BF" w:rsidP="007670BF">
      <w:pPr>
        <w:pStyle w:val="Titleofdoc0"/>
      </w:pPr>
      <w:bookmarkStart w:id="1" w:name="TitleOfDoc"/>
      <w:bookmarkEnd w:id="1"/>
      <w:r w:rsidRPr="003E4B74">
        <w:t xml:space="preserve">Partial revision of the Test Guidelines for </w:t>
      </w:r>
      <w:r>
        <w:t>COCONUT</w:t>
      </w:r>
      <w:r w:rsidRPr="003E4B74">
        <w:t xml:space="preserve"> </w:t>
      </w:r>
    </w:p>
    <w:p w:rsidR="007670BF" w:rsidRPr="006A644A" w:rsidRDefault="007670BF" w:rsidP="007670BF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>
        <w:t>an expert from Brazil</w:t>
      </w:r>
    </w:p>
    <w:p w:rsidR="007670BF" w:rsidRPr="006A644A" w:rsidRDefault="007670BF" w:rsidP="007670BF">
      <w:pPr>
        <w:pStyle w:val="Disclaimer"/>
      </w:pPr>
      <w:r w:rsidRPr="006A644A">
        <w:t>Disclaimer:  this document does not represent UPOV policies or guidance</w:t>
      </w:r>
    </w:p>
    <w:p w:rsidR="007670BF" w:rsidRDefault="007670BF" w:rsidP="007670BF">
      <w:pPr>
        <w:pStyle w:val="Default"/>
        <w:jc w:val="both"/>
        <w:rPr>
          <w:sz w:val="20"/>
          <w:szCs w:val="20"/>
        </w:rPr>
      </w:pPr>
      <w:r w:rsidRPr="0006381A">
        <w:rPr>
          <w:sz w:val="20"/>
          <w:szCs w:val="20"/>
        </w:rPr>
        <w:fldChar w:fldCharType="begin"/>
      </w:r>
      <w:r w:rsidRPr="0006381A">
        <w:rPr>
          <w:sz w:val="20"/>
          <w:szCs w:val="20"/>
        </w:rPr>
        <w:instrText xml:space="preserve"> AUTONUM  </w:instrText>
      </w:r>
      <w:r w:rsidRPr="0006381A">
        <w:rPr>
          <w:sz w:val="20"/>
          <w:szCs w:val="20"/>
        </w:rPr>
        <w:fldChar w:fldCharType="end"/>
      </w:r>
      <w:r>
        <w:tab/>
      </w:r>
      <w:r>
        <w:rPr>
          <w:sz w:val="20"/>
          <w:szCs w:val="20"/>
        </w:rPr>
        <w:t>The purpose of this document is to present a proposal for a partial revision of the Test Guidelines for Coconut (</w:t>
      </w:r>
      <w:r>
        <w:rPr>
          <w:i/>
          <w:sz w:val="20"/>
          <w:szCs w:val="20"/>
        </w:rPr>
        <w:t xml:space="preserve">Cocos nucifera </w:t>
      </w:r>
      <w:r w:rsidRPr="00663760">
        <w:rPr>
          <w:sz w:val="20"/>
          <w:szCs w:val="20"/>
        </w:rPr>
        <w:t>L.</w:t>
      </w:r>
      <w:r>
        <w:rPr>
          <w:sz w:val="20"/>
          <w:szCs w:val="20"/>
        </w:rPr>
        <w:t xml:space="preserve">) (document TG/314/1). </w:t>
      </w:r>
    </w:p>
    <w:p w:rsidR="007670BF" w:rsidRDefault="007670BF" w:rsidP="007670BF">
      <w:pPr>
        <w:tabs>
          <w:tab w:val="left" w:pos="567"/>
        </w:tabs>
        <w:rPr>
          <w:rFonts w:cs="Arial"/>
        </w:rPr>
      </w:pPr>
    </w:p>
    <w:p w:rsidR="007670BF" w:rsidRDefault="007670BF" w:rsidP="007670BF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t xml:space="preserve">The Technical Working Party for Fruit Crops (TWF), at its forty-ninth session, held in </w:t>
      </w:r>
      <w:r w:rsidRPr="00E1456D">
        <w:t>Santiago de Chile, Chile</w:t>
      </w:r>
      <w:r w:rsidRPr="00300C1E">
        <w:t xml:space="preserve">, </w:t>
      </w:r>
      <w:r w:rsidR="007F782B">
        <w:t xml:space="preserve">from </w:t>
      </w:r>
      <w:r w:rsidRPr="00E1456D">
        <w:t>November 19 to 23, 2018</w:t>
      </w:r>
      <w:r>
        <w:t>, considered a proposal for a partial revision of the Test Guidelines for Coconut (</w:t>
      </w:r>
      <w:r>
        <w:rPr>
          <w:i/>
        </w:rPr>
        <w:t xml:space="preserve">Cocos nucifera </w:t>
      </w:r>
      <w:r w:rsidRPr="00663760">
        <w:t>L.</w:t>
      </w:r>
      <w:r>
        <w:t>) on the basis of documents TG/314/1 and TWF/49/5 “Partial Revision of the Test Guidelines for Coconut” and proposed the following revisions to the Test Guidelines for Coconut (see document TWF/49/12 “Report”, paragraph 6</w:t>
      </w:r>
      <w:r w:rsidR="00663194">
        <w:t>6</w:t>
      </w:r>
      <w:r>
        <w:t>):</w:t>
      </w:r>
    </w:p>
    <w:p w:rsidR="007670BF" w:rsidRDefault="007670BF" w:rsidP="007670BF"/>
    <w:p w:rsidR="007670BF" w:rsidRDefault="007670BF" w:rsidP="007670BF">
      <w:pPr>
        <w:pStyle w:val="ListParagraph"/>
        <w:numPr>
          <w:ilvl w:val="0"/>
          <w:numId w:val="1"/>
        </w:numPr>
        <w:ind w:left="1276" w:hanging="709"/>
      </w:pPr>
      <w:r>
        <w:t>Revision of example varieties of Characteristic 5 “</w:t>
      </w:r>
      <w:r w:rsidRPr="0006381A">
        <w:t>Stem: width of bole</w:t>
      </w:r>
      <w:r>
        <w:t>”</w:t>
      </w:r>
    </w:p>
    <w:p w:rsidR="007670BF" w:rsidRDefault="007670BF" w:rsidP="007670BF">
      <w:pPr>
        <w:pStyle w:val="ListParagraph"/>
        <w:numPr>
          <w:ilvl w:val="0"/>
          <w:numId w:val="1"/>
        </w:numPr>
        <w:ind w:left="1276" w:hanging="709"/>
      </w:pPr>
      <w:r>
        <w:t>Revision of example varieties of Characteristic 11 “</w:t>
      </w:r>
      <w:r w:rsidRPr="0006381A">
        <w:t>Leaflet: length</w:t>
      </w:r>
      <w:r>
        <w:t>”</w:t>
      </w:r>
    </w:p>
    <w:p w:rsidR="007670BF" w:rsidRPr="00780A4E" w:rsidRDefault="007670BF" w:rsidP="007670BF">
      <w:pPr>
        <w:pStyle w:val="ListParagraph"/>
        <w:ind w:left="1276" w:hanging="709"/>
      </w:pPr>
    </w:p>
    <w:p w:rsidR="007670BF" w:rsidRPr="00780A4E" w:rsidRDefault="007670BF" w:rsidP="007670BF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7670BF" w:rsidRPr="004B1215" w:rsidRDefault="007670BF" w:rsidP="007670BF"/>
    <w:p w:rsidR="007670BF" w:rsidRDefault="007670BF" w:rsidP="007670BF">
      <w:pPr>
        <w:pStyle w:val="Heading2"/>
      </w:pPr>
      <w:r>
        <w:br w:type="page"/>
      </w:r>
      <w:r w:rsidRPr="00A91B61">
        <w:lastRenderedPageBreak/>
        <w:t>Propos</w:t>
      </w:r>
      <w:r>
        <w:t xml:space="preserve">al to </w:t>
      </w:r>
      <w:r w:rsidRPr="00A91B61">
        <w:t xml:space="preserve"> </w:t>
      </w:r>
      <w:r>
        <w:t>r</w:t>
      </w:r>
      <w:r w:rsidRPr="00EF3AD4">
        <w:t>evis</w:t>
      </w:r>
      <w:r>
        <w:t>e the example varieties of Characteristic 5 “</w:t>
      </w:r>
      <w:r w:rsidRPr="0006381A">
        <w:t>Stem: width of bole</w:t>
      </w:r>
      <w:r>
        <w:t>”</w:t>
      </w:r>
    </w:p>
    <w:p w:rsidR="007670BF" w:rsidRDefault="007670BF" w:rsidP="007670BF">
      <w:pPr>
        <w:jc w:val="left"/>
        <w:rPr>
          <w:i/>
        </w:rPr>
      </w:pPr>
    </w:p>
    <w:p w:rsidR="007670BF" w:rsidRDefault="007670BF" w:rsidP="007670BF">
      <w:pPr>
        <w:jc w:val="left"/>
        <w:rPr>
          <w:i/>
        </w:rPr>
      </w:pPr>
      <w:r w:rsidRPr="00106263">
        <w:rPr>
          <w:i/>
        </w:rPr>
        <w:t>Current wording</w:t>
      </w:r>
    </w:p>
    <w:p w:rsidR="007670BF" w:rsidRDefault="007670BF" w:rsidP="007670BF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AC2C10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>
              <w:t>5.</w:t>
            </w:r>
            <w:r w:rsidRPr="00044BD9">
              <w:br/>
              <w:t>(*)</w:t>
            </w:r>
            <w:r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b/>
                <w:szCs w:val="16"/>
              </w:rPr>
              <w:t>Stem: width of bole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Tige :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Stamm: Breite des Fußes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es-ES"/>
              </w:rPr>
            </w:pPr>
            <w:r w:rsidRPr="00044BD9">
              <w:rPr>
                <w:b/>
                <w:szCs w:val="16"/>
                <w:lang w:val="es-ES_tradnl"/>
              </w:rPr>
              <w:t>Tallo:  anchura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small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schmal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Acapulco, Brazilian Tall Praia do Forte, Kelapa Hibrida Indonesia-1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1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mittel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Brazilian Tall Praia do Forte, Dalam Mapanget, Híbrido Chactemal, Rennel Tall Green, West African Tall Green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breit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es-ES"/>
              </w:rPr>
            </w:pPr>
            <w:r w:rsidRPr="00044BD9">
              <w:rPr>
                <w:szCs w:val="16"/>
                <w:lang w:val="es-ES"/>
              </w:rPr>
              <w:t>Dalam Tenga, Felicitos, Malayan Tall, Tagnanan Tall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</w:tbl>
    <w:p w:rsidR="007670BF" w:rsidRDefault="007670BF" w:rsidP="007670BF">
      <w:pPr>
        <w:jc w:val="left"/>
      </w:pPr>
    </w:p>
    <w:p w:rsidR="007670BF" w:rsidRDefault="007670BF" w:rsidP="007670BF">
      <w:pPr>
        <w:jc w:val="left"/>
        <w:rPr>
          <w:u w:val="single"/>
        </w:rPr>
      </w:pPr>
    </w:p>
    <w:p w:rsidR="007670BF" w:rsidRDefault="007670BF" w:rsidP="007670BF">
      <w:pPr>
        <w:jc w:val="left"/>
        <w:rPr>
          <w:i/>
        </w:rPr>
      </w:pPr>
      <w:r w:rsidRPr="00106263">
        <w:rPr>
          <w:i/>
        </w:rPr>
        <w:t>Proposed new wording</w:t>
      </w:r>
    </w:p>
    <w:p w:rsidR="007670BF" w:rsidRDefault="007670BF" w:rsidP="007670BF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AC2C10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>
              <w:t>5.</w:t>
            </w:r>
            <w:r w:rsidRPr="00044BD9">
              <w:br/>
              <w:t>(*)</w:t>
            </w:r>
            <w:r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b/>
                <w:szCs w:val="16"/>
              </w:rPr>
              <w:t>Stem: width of bole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Tige :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Stamm: Breite des Fußes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es-ES"/>
              </w:rPr>
            </w:pPr>
            <w:r w:rsidRPr="00044BD9">
              <w:rPr>
                <w:b/>
                <w:szCs w:val="16"/>
                <w:lang w:val="es-ES_tradnl"/>
              </w:rPr>
              <w:t>Tallo:  anchura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small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schmal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7670BF" w:rsidRPr="00F2546F" w:rsidRDefault="007670BF" w:rsidP="000F3223">
            <w:pPr>
              <w:pStyle w:val="Normal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Acapulco, </w:t>
            </w:r>
            <w:r w:rsidRPr="00640F30">
              <w:rPr>
                <w:rFonts w:cs="Arial"/>
                <w:strike/>
                <w:szCs w:val="16"/>
                <w:highlight w:val="lightGray"/>
              </w:rPr>
              <w:t>Brazilian Tall Praia do Forte</w:t>
            </w:r>
            <w:r>
              <w:rPr>
                <w:rFonts w:cs="Arial"/>
                <w:szCs w:val="16"/>
              </w:rPr>
              <w:t>, Kelapa Hibrida Indonesia - 1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1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moyenne</w:t>
            </w:r>
          </w:p>
        </w:tc>
        <w:tc>
          <w:tcPr>
            <w:tcW w:w="1843" w:type="dxa"/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mittel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7670BF" w:rsidRPr="00F2546F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EE47BD">
              <w:rPr>
                <w:rFonts w:cs="Arial"/>
                <w:szCs w:val="16"/>
              </w:rPr>
              <w:t>Brazilian Tall Praia do Forte,</w:t>
            </w:r>
            <w:r>
              <w:rPr>
                <w:rFonts w:cs="Arial"/>
                <w:szCs w:val="16"/>
              </w:rPr>
              <w:t xml:space="preserve"> Dalam Mapanget, Híbrido Chactemal, Rennel Tall Green, </w:t>
            </w:r>
            <w:r>
              <w:rPr>
                <w:rFonts w:cs="Arial"/>
                <w:szCs w:val="16"/>
              </w:rPr>
              <w:br/>
              <w:t>West African Tall Green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breit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F2546F" w:rsidRDefault="007670BF" w:rsidP="000F3223">
            <w:pPr>
              <w:pStyle w:val="Normal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Dalam Tenga, Felicitos, Malayan Tall, </w:t>
            </w:r>
            <w:r>
              <w:rPr>
                <w:rFonts w:cs="Arial"/>
                <w:szCs w:val="16"/>
              </w:rPr>
              <w:br/>
              <w:t>Tagnanan Tall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</w:tbl>
    <w:p w:rsidR="007670BF" w:rsidRDefault="007670BF" w:rsidP="007670BF">
      <w:pPr>
        <w:jc w:val="left"/>
        <w:rPr>
          <w:i/>
        </w:rPr>
      </w:pPr>
    </w:p>
    <w:p w:rsidR="007670BF" w:rsidRDefault="007670BF" w:rsidP="007670BF">
      <w:pPr>
        <w:jc w:val="left"/>
        <w:rPr>
          <w:i/>
        </w:rPr>
      </w:pPr>
    </w:p>
    <w:p w:rsidR="007670BF" w:rsidRDefault="007670BF" w:rsidP="007670BF">
      <w:pPr>
        <w:jc w:val="left"/>
      </w:pPr>
      <w:r>
        <w:br w:type="page"/>
      </w:r>
    </w:p>
    <w:p w:rsidR="007670BF" w:rsidRDefault="007670BF" w:rsidP="007670BF">
      <w:pPr>
        <w:pStyle w:val="Heading2"/>
      </w:pPr>
      <w:r w:rsidRPr="00A91B61">
        <w:t>Propos</w:t>
      </w:r>
      <w:r>
        <w:t xml:space="preserve">al to </w:t>
      </w:r>
      <w:r w:rsidRPr="00A91B61">
        <w:t xml:space="preserve"> </w:t>
      </w:r>
      <w:r>
        <w:t>r</w:t>
      </w:r>
      <w:r w:rsidRPr="00EF3AD4">
        <w:t>evis</w:t>
      </w:r>
      <w:r>
        <w:t>e the example varieties of Characteristic 11 “</w:t>
      </w:r>
      <w:r w:rsidRPr="0006381A">
        <w:t>Leaflet: length</w:t>
      </w:r>
      <w:r>
        <w:t>”</w:t>
      </w:r>
    </w:p>
    <w:p w:rsidR="007670BF" w:rsidRDefault="007670BF" w:rsidP="007670BF"/>
    <w:p w:rsidR="007670BF" w:rsidRDefault="007670BF" w:rsidP="007670BF">
      <w:pPr>
        <w:jc w:val="left"/>
        <w:rPr>
          <w:i/>
        </w:rPr>
      </w:pPr>
      <w:r w:rsidRPr="00106263">
        <w:rPr>
          <w:i/>
        </w:rPr>
        <w:t>Current wording</w:t>
      </w:r>
    </w:p>
    <w:p w:rsidR="007670BF" w:rsidRDefault="007670BF" w:rsidP="007670BF"/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044BD9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>
              <w:t>11.</w:t>
            </w:r>
            <w:r w:rsidRPr="00044BD9">
              <w:br/>
            </w:r>
            <w:r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b/>
                <w:szCs w:val="16"/>
              </w:rPr>
              <w:t>Leaflet: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Foliole 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Blattfieder: Länge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b/>
                <w:szCs w:val="16"/>
                <w:lang w:val="es-ES_tradnl"/>
              </w:rPr>
              <w:t>Folíolo:</w:t>
            </w:r>
            <w:r w:rsidRPr="00044BD9">
              <w:rPr>
                <w:b/>
                <w:szCs w:val="16"/>
              </w:rPr>
              <w:t xml:space="preserve">  </w:t>
            </w:r>
            <w:r w:rsidRPr="00044BD9">
              <w:rPr>
                <w:b/>
                <w:szCs w:val="16"/>
                <w:lang w:val="es-ES_tradnl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short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courte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kurz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corto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Brazilian Green Dwarf Jiqui, Costa Chica, Dalam Tebing Tinggi, Felicitos, Genjah Kuning Nias, Pandan Aromatic Dwarf, Rennel Tall Green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mittel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medio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Dalam Tebing Tinggi, Felicitos, Rennel Tall Green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lang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7</w:t>
            </w:r>
          </w:p>
        </w:tc>
      </w:tr>
    </w:tbl>
    <w:p w:rsidR="007670BF" w:rsidRDefault="007670BF" w:rsidP="007670BF"/>
    <w:p w:rsidR="007670BF" w:rsidRDefault="007670BF" w:rsidP="007670BF"/>
    <w:p w:rsidR="007670BF" w:rsidRPr="0006381A" w:rsidRDefault="007670BF" w:rsidP="007670BF">
      <w:pPr>
        <w:rPr>
          <w:i/>
        </w:rPr>
      </w:pPr>
      <w:r w:rsidRPr="0006381A">
        <w:rPr>
          <w:i/>
        </w:rPr>
        <w:t>Proposed new wording</w:t>
      </w:r>
    </w:p>
    <w:p w:rsidR="007670BF" w:rsidRPr="0006381A" w:rsidRDefault="007670BF" w:rsidP="007670BF">
      <w:pPr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7670BF" w:rsidRPr="00044BD9" w:rsidTr="000F3223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>
              <w:t>11.</w:t>
            </w:r>
            <w:r w:rsidRPr="00044BD9">
              <w:br/>
            </w:r>
            <w:r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b/>
                <w:szCs w:val="16"/>
              </w:rPr>
              <w:t>Leaflet: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Foliole 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Blattfieder: Länge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b/>
                <w:szCs w:val="16"/>
                <w:lang w:val="es-ES_tradnl"/>
              </w:rPr>
              <w:t>Folíolo:</w:t>
            </w:r>
            <w:r w:rsidRPr="00044BD9">
              <w:rPr>
                <w:b/>
                <w:szCs w:val="16"/>
              </w:rPr>
              <w:t xml:space="preserve">  </w:t>
            </w:r>
            <w:r w:rsidRPr="00044BD9">
              <w:rPr>
                <w:b/>
                <w:szCs w:val="16"/>
                <w:lang w:val="es-ES_tradnl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short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courte</w:t>
            </w:r>
          </w:p>
        </w:tc>
        <w:tc>
          <w:tcPr>
            <w:tcW w:w="1843" w:type="dxa"/>
          </w:tcPr>
          <w:p w:rsidR="007670BF" w:rsidRPr="00044BD9" w:rsidRDefault="007670BF" w:rsidP="000F3223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kurz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corto</w:t>
            </w:r>
          </w:p>
        </w:tc>
        <w:tc>
          <w:tcPr>
            <w:tcW w:w="1985" w:type="dxa"/>
          </w:tcPr>
          <w:p w:rsidR="007670BF" w:rsidRPr="00F061B6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F061B6">
              <w:rPr>
                <w:rFonts w:cs="Arial"/>
                <w:szCs w:val="16"/>
              </w:rPr>
              <w:t xml:space="preserve">Brazilian Green Dwarf Jiqui, Costa Chica, </w:t>
            </w:r>
            <w:r>
              <w:rPr>
                <w:rFonts w:cs="Arial"/>
                <w:szCs w:val="16"/>
              </w:rPr>
              <w:br/>
            </w:r>
            <w:r w:rsidRPr="00F061B6">
              <w:rPr>
                <w:rFonts w:cs="Arial"/>
                <w:strike/>
                <w:szCs w:val="16"/>
                <w:highlight w:val="lightGray"/>
              </w:rPr>
              <w:t>Dalam Tebing Tinggi, Felicitos</w:t>
            </w:r>
            <w:r w:rsidRPr="00F061B6"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br/>
            </w:r>
            <w:r w:rsidRPr="00F061B6">
              <w:rPr>
                <w:rFonts w:cs="Arial"/>
                <w:szCs w:val="16"/>
              </w:rPr>
              <w:t xml:space="preserve">Genjah Kuning Nias, Pandan Aromatic Dwarf, </w:t>
            </w:r>
            <w:r w:rsidRPr="00F061B6">
              <w:rPr>
                <w:rFonts w:cs="Arial"/>
                <w:strike/>
                <w:szCs w:val="16"/>
                <w:highlight w:val="lightGray"/>
              </w:rPr>
              <w:t>Rennel Tall Green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7670BF" w:rsidRPr="00044BD9" w:rsidRDefault="007670BF" w:rsidP="000F3223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moyenne</w:t>
            </w:r>
          </w:p>
        </w:tc>
        <w:tc>
          <w:tcPr>
            <w:tcW w:w="1843" w:type="dxa"/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mittel</w:t>
            </w:r>
          </w:p>
        </w:tc>
        <w:tc>
          <w:tcPr>
            <w:tcW w:w="1985" w:type="dxa"/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medio</w:t>
            </w:r>
          </w:p>
        </w:tc>
        <w:tc>
          <w:tcPr>
            <w:tcW w:w="1985" w:type="dxa"/>
          </w:tcPr>
          <w:p w:rsidR="007670BF" w:rsidRPr="00F061B6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F061B6">
              <w:rPr>
                <w:rFonts w:cs="Arial"/>
                <w:szCs w:val="16"/>
              </w:rPr>
              <w:t xml:space="preserve">Dalam Tebing Tinggi, Felicitos, </w:t>
            </w:r>
            <w:r>
              <w:rPr>
                <w:rFonts w:cs="Arial"/>
                <w:szCs w:val="16"/>
              </w:rPr>
              <w:br/>
            </w:r>
            <w:r w:rsidRPr="00F061B6">
              <w:rPr>
                <w:rFonts w:cs="Arial"/>
                <w:szCs w:val="16"/>
              </w:rPr>
              <w:t>Rennel Tall Green</w:t>
            </w:r>
          </w:p>
        </w:tc>
        <w:tc>
          <w:tcPr>
            <w:tcW w:w="636" w:type="dxa"/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  <w:tr w:rsidR="007670BF" w:rsidRPr="00044BD9" w:rsidTr="000F3223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670BF" w:rsidRPr="0006381A" w:rsidRDefault="007670BF" w:rsidP="000F3223">
            <w:pPr>
              <w:pStyle w:val="tgchartext"/>
            </w:pPr>
            <w:r w:rsidRPr="0006381A">
              <w:rPr>
                <w:szCs w:val="16"/>
              </w:rPr>
              <w:t>lang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"/>
            </w:pPr>
            <w:r w:rsidRPr="00044BD9">
              <w:rPr>
                <w:szCs w:val="16"/>
                <w:lang w:val="es-ES_tradnl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670BF" w:rsidRPr="00F061B6" w:rsidRDefault="007670BF" w:rsidP="000F3223">
            <w:pPr>
              <w:pStyle w:val="Normalt"/>
              <w:rPr>
                <w:rFonts w:cs="Arial"/>
                <w:szCs w:val="16"/>
              </w:rPr>
            </w:pPr>
            <w:r w:rsidRPr="00F061B6">
              <w:rPr>
                <w:rFonts w:cs="Arial"/>
                <w:szCs w:val="16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670BF" w:rsidRPr="00044BD9" w:rsidRDefault="007670BF" w:rsidP="000F3223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7</w:t>
            </w:r>
          </w:p>
        </w:tc>
      </w:tr>
    </w:tbl>
    <w:p w:rsidR="007670BF" w:rsidRDefault="007670BF" w:rsidP="007670BF"/>
    <w:p w:rsidR="007670BF" w:rsidRDefault="007670BF" w:rsidP="007670BF"/>
    <w:p w:rsidR="007670BF" w:rsidRDefault="007670BF" w:rsidP="007670BF"/>
    <w:p w:rsidR="00903264" w:rsidRDefault="007670BF" w:rsidP="007670BF">
      <w:pPr>
        <w:jc w:val="right"/>
      </w:pPr>
      <w:r>
        <w:t xml:space="preserve">[End of document] 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5EA" w:rsidRDefault="009C65EA" w:rsidP="006655D3">
      <w:r>
        <w:separator/>
      </w:r>
    </w:p>
    <w:p w:rsidR="009C65EA" w:rsidRDefault="009C65EA" w:rsidP="006655D3"/>
    <w:p w:rsidR="009C65EA" w:rsidRDefault="009C65EA" w:rsidP="006655D3"/>
  </w:endnote>
  <w:endnote w:type="continuationSeparator" w:id="0">
    <w:p w:rsidR="009C65EA" w:rsidRDefault="009C65EA" w:rsidP="006655D3">
      <w:r>
        <w:separator/>
      </w:r>
    </w:p>
    <w:p w:rsidR="009C65EA" w:rsidRPr="00294751" w:rsidRDefault="009C65E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65EA" w:rsidRPr="00294751" w:rsidRDefault="009C65EA" w:rsidP="006655D3">
      <w:pPr>
        <w:rPr>
          <w:lang w:val="fr-FR"/>
        </w:rPr>
      </w:pPr>
    </w:p>
    <w:p w:rsidR="009C65EA" w:rsidRPr="00294751" w:rsidRDefault="009C65EA" w:rsidP="006655D3">
      <w:pPr>
        <w:rPr>
          <w:lang w:val="fr-FR"/>
        </w:rPr>
      </w:pPr>
    </w:p>
  </w:endnote>
  <w:endnote w:type="continuationNotice" w:id="1">
    <w:p w:rsidR="009C65EA" w:rsidRPr="00294751" w:rsidRDefault="009C65E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65EA" w:rsidRPr="00294751" w:rsidRDefault="009C65EA" w:rsidP="006655D3">
      <w:pPr>
        <w:rPr>
          <w:lang w:val="fr-FR"/>
        </w:rPr>
      </w:pPr>
    </w:p>
    <w:p w:rsidR="009C65EA" w:rsidRPr="00294751" w:rsidRDefault="009C65E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5EA" w:rsidRDefault="009C65EA" w:rsidP="006655D3">
      <w:r>
        <w:separator/>
      </w:r>
    </w:p>
  </w:footnote>
  <w:footnote w:type="continuationSeparator" w:id="0">
    <w:p w:rsidR="009C65EA" w:rsidRDefault="009C65EA" w:rsidP="006655D3">
      <w:r>
        <w:separator/>
      </w:r>
    </w:p>
  </w:footnote>
  <w:footnote w:type="continuationNotice" w:id="1">
    <w:p w:rsidR="009C65EA" w:rsidRPr="00AB530F" w:rsidRDefault="009C65E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7670BF">
      <w:rPr>
        <w:rStyle w:val="PageNumber"/>
        <w:lang w:val="en-US"/>
      </w:rPr>
      <w:t>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25F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E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3194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670B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7F782B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25FB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65EA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C2C10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586F93"/>
  <w15:docId w15:val="{1EC6D0C5-D5A1-4A4E-AE81-354CFB0C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670B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670B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7670BF"/>
    <w:pPr>
      <w:spacing w:before="80" w:after="80"/>
      <w:jc w:val="left"/>
    </w:pPr>
    <w:rPr>
      <w:rFonts w:eastAsiaTheme="minorEastAsia"/>
      <w:sz w:val="16"/>
    </w:rPr>
  </w:style>
  <w:style w:type="character" w:customStyle="1" w:styleId="NormaltChar">
    <w:name w:val="Normalt Char"/>
    <w:basedOn w:val="DefaultParagraphFont"/>
    <w:link w:val="Normalt"/>
    <w:rsid w:val="007670BF"/>
    <w:rPr>
      <w:rFonts w:ascii="Arial" w:eastAsiaTheme="minorEastAsia" w:hAnsi="Arial"/>
      <w:sz w:val="16"/>
    </w:rPr>
  </w:style>
  <w:style w:type="character" w:customStyle="1" w:styleId="Heading2Char">
    <w:name w:val="Heading 2 Char"/>
    <w:basedOn w:val="DefaultParagraphFont"/>
    <w:link w:val="Heading2"/>
    <w:rsid w:val="007670BF"/>
    <w:rPr>
      <w:rFonts w:ascii="Arial" w:hAnsi="Arial"/>
      <w:u w:val="single"/>
    </w:rPr>
  </w:style>
  <w:style w:type="paragraph" w:customStyle="1" w:styleId="tgchartextcentered">
    <w:name w:val="tg_char_text_centered"/>
    <w:basedOn w:val="Normal"/>
    <w:rsid w:val="007670BF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7670BF"/>
    <w:pPr>
      <w:keepNext/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670BF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9_Mar_Mtg\templates\tc_edc_mar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tc_edc_mar_19_EN.dotx</Template>
  <TotalTime>10</TotalTime>
  <Pages>3</Pages>
  <Words>489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5</cp:revision>
  <cp:lastPrinted>2016-11-22T15:41:00Z</cp:lastPrinted>
  <dcterms:created xsi:type="dcterms:W3CDTF">2018-12-06T14:22:00Z</dcterms:created>
  <dcterms:modified xsi:type="dcterms:W3CDTF">2019-01-17T15:15:00Z</dcterms:modified>
</cp:coreProperties>
</file>