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0E6267">
            <w:pPr>
              <w:pStyle w:val="Sessiontcplacedate"/>
              <w:rPr>
                <w:sz w:val="22"/>
              </w:rPr>
            </w:pPr>
            <w:r w:rsidRPr="00DA4973">
              <w:t xml:space="preserve">Geneva, </w:t>
            </w:r>
            <w:r w:rsidR="000E6267">
              <w:t>March</w:t>
            </w:r>
            <w:r w:rsidR="00A3365A">
              <w:t xml:space="preserve"> 26</w:t>
            </w:r>
            <w:r w:rsidR="000E6267">
              <w:t xml:space="preserve"> and 27</w:t>
            </w:r>
            <w:r w:rsidRPr="00DA4973">
              <w:t>, 201</w:t>
            </w:r>
            <w:r w:rsidR="000E6267">
              <w:t>8</w:t>
            </w:r>
          </w:p>
        </w:tc>
        <w:tc>
          <w:tcPr>
            <w:tcW w:w="3127" w:type="dxa"/>
          </w:tcPr>
          <w:p w:rsidR="00EB4E9C" w:rsidRPr="003C7FBE" w:rsidRDefault="000E6267" w:rsidP="003C7FBE">
            <w:pPr>
              <w:pStyle w:val="Doccode"/>
            </w:pPr>
            <w:r>
              <w:t>TC-EDC</w:t>
            </w:r>
            <w:r w:rsidR="00A3365A">
              <w:t>/</w:t>
            </w:r>
            <w:r w:rsidR="006567E7">
              <w:t>Mar</w:t>
            </w:r>
            <w:r>
              <w:t>18</w:t>
            </w:r>
            <w:r w:rsidR="00EB4E9C" w:rsidRPr="00AC2883">
              <w:t>/</w:t>
            </w:r>
            <w:r w:rsidR="00C906FF">
              <w:t>17</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46FA6">
            <w:pPr>
              <w:pStyle w:val="Docoriginal"/>
            </w:pPr>
            <w:r w:rsidRPr="00AC2883">
              <w:t>Date:</w:t>
            </w:r>
            <w:r w:rsidRPr="000E636A">
              <w:rPr>
                <w:b w:val="0"/>
                <w:spacing w:val="0"/>
              </w:rPr>
              <w:t xml:space="preserve">  </w:t>
            </w:r>
            <w:r w:rsidR="00246FA6" w:rsidRPr="009658E2">
              <w:rPr>
                <w:b w:val="0"/>
                <w:spacing w:val="0"/>
              </w:rPr>
              <w:t>February</w:t>
            </w:r>
            <w:r w:rsidR="00C906FF" w:rsidRPr="009658E2">
              <w:rPr>
                <w:b w:val="0"/>
                <w:spacing w:val="0"/>
              </w:rPr>
              <w:t xml:space="preserve"> </w:t>
            </w:r>
            <w:r w:rsidR="0061523C" w:rsidRPr="009658E2">
              <w:rPr>
                <w:b w:val="0"/>
                <w:spacing w:val="0"/>
              </w:rPr>
              <w:t>2</w:t>
            </w:r>
            <w:r w:rsidRPr="009658E2">
              <w:rPr>
                <w:b w:val="0"/>
                <w:spacing w:val="0"/>
              </w:rPr>
              <w:t>, 201</w:t>
            </w:r>
            <w:r w:rsidR="00C906FF" w:rsidRPr="009658E2">
              <w:rPr>
                <w:b w:val="0"/>
                <w:spacing w:val="0"/>
              </w:rPr>
              <w:t>8</w:t>
            </w:r>
          </w:p>
        </w:tc>
      </w:tr>
    </w:tbl>
    <w:p w:rsidR="00C906FF" w:rsidRPr="0021251E" w:rsidRDefault="00C906FF" w:rsidP="00C906FF">
      <w:pPr>
        <w:pStyle w:val="Titleofdoc0"/>
        <w:tabs>
          <w:tab w:val="left" w:pos="5760"/>
        </w:tabs>
      </w:pPr>
      <w:bookmarkStart w:id="0" w:name="TitleOfDoc"/>
      <w:bookmarkEnd w:id="0"/>
      <w:r w:rsidRPr="0021251E">
        <w:rPr>
          <w:rFonts w:cs="Arial"/>
        </w:rPr>
        <w:t>Assessing Uniformity by Off-Types on the Basis of More than One Growing Cycle or on the Basis of Sub-Samples</w:t>
      </w:r>
    </w:p>
    <w:p w:rsidR="00C906FF" w:rsidRPr="0021251E" w:rsidRDefault="00C906FF" w:rsidP="00C906FF">
      <w:pPr>
        <w:pStyle w:val="preparedby1"/>
        <w:jc w:val="left"/>
      </w:pPr>
      <w:bookmarkStart w:id="1" w:name="Prepared"/>
      <w:bookmarkEnd w:id="1"/>
      <w:r w:rsidRPr="0021251E">
        <w:t>Document prepared by the Office of the Union</w:t>
      </w:r>
    </w:p>
    <w:p w:rsidR="00C906FF" w:rsidRPr="0021251E" w:rsidRDefault="00C906FF" w:rsidP="00C906FF">
      <w:pPr>
        <w:pStyle w:val="Disclaimer"/>
      </w:pPr>
      <w:r w:rsidRPr="0021251E">
        <w:t>Disclaimer:  this document does not represent UPOV policies or guidance</w:t>
      </w:r>
    </w:p>
    <w:p w:rsidR="00C906FF" w:rsidRPr="0021251E" w:rsidRDefault="00C906FF" w:rsidP="00C906FF">
      <w:pPr>
        <w:pStyle w:val="Heading1"/>
      </w:pPr>
      <w:bookmarkStart w:id="2" w:name="_Toc503952901"/>
      <w:r w:rsidRPr="0021251E">
        <w:t>EXECUTIVE SUMMARY</w:t>
      </w:r>
      <w:bookmarkEnd w:id="2"/>
    </w:p>
    <w:p w:rsidR="00C906FF" w:rsidRPr="0021251E" w:rsidRDefault="00C906FF" w:rsidP="00C906FF">
      <w:pPr>
        <w:autoSpaceDE w:val="0"/>
        <w:autoSpaceDN w:val="0"/>
        <w:adjustRightInd w:val="0"/>
        <w:rPr>
          <w:szCs w:val="24"/>
        </w:rPr>
      </w:pPr>
    </w:p>
    <w:p w:rsidR="00C906FF" w:rsidRDefault="00C906FF" w:rsidP="00C906FF">
      <w:pPr>
        <w:autoSpaceDE w:val="0"/>
        <w:autoSpaceDN w:val="0"/>
        <w:adjustRightInd w:val="0"/>
        <w:rPr>
          <w:rFonts w:eastAsia="MS Mincho"/>
          <w:color w:val="000000"/>
          <w:szCs w:val="24"/>
          <w:lang w:eastAsia="ja-JP"/>
        </w:rPr>
      </w:pPr>
      <w:r w:rsidRPr="0021251E">
        <w:rPr>
          <w:szCs w:val="24"/>
        </w:rPr>
        <w:fldChar w:fldCharType="begin"/>
      </w:r>
      <w:r w:rsidRPr="0021251E">
        <w:rPr>
          <w:szCs w:val="24"/>
        </w:rPr>
        <w:instrText xml:space="preserve"> AUTONUM  </w:instrText>
      </w:r>
      <w:r w:rsidRPr="0021251E">
        <w:rPr>
          <w:szCs w:val="24"/>
        </w:rPr>
        <w:fldChar w:fldCharType="end"/>
      </w:r>
      <w:r w:rsidRPr="0021251E">
        <w:rPr>
          <w:szCs w:val="24"/>
        </w:rPr>
        <w:tab/>
      </w:r>
      <w:r w:rsidRPr="0021251E">
        <w:rPr>
          <w:rFonts w:eastAsia="MS Mincho"/>
          <w:color w:val="000000"/>
          <w:szCs w:val="24"/>
          <w:lang w:eastAsia="ja-JP"/>
        </w:rPr>
        <w:t xml:space="preserve">The purpose of this document is to present a proposal for revision of document TGP/10 “Examining uniformity” to provide guidance on assessing uniformity by off-types on the basis of more than one growing cycle or on the basis of sub-samples.  </w:t>
      </w:r>
    </w:p>
    <w:p w:rsidR="0015390A" w:rsidRDefault="0015390A" w:rsidP="00C906FF">
      <w:pPr>
        <w:autoSpaceDE w:val="0"/>
        <w:autoSpaceDN w:val="0"/>
        <w:adjustRightInd w:val="0"/>
        <w:rPr>
          <w:rFonts w:eastAsia="MS Mincho"/>
          <w:color w:val="000000"/>
          <w:szCs w:val="24"/>
          <w:lang w:eastAsia="ja-JP"/>
        </w:rPr>
      </w:pPr>
    </w:p>
    <w:p w:rsidR="0015390A" w:rsidRPr="0015390A" w:rsidRDefault="0015390A" w:rsidP="0015390A">
      <w:pPr>
        <w:pStyle w:val="DecisionParagraphs"/>
        <w:keepNext/>
        <w:tabs>
          <w:tab w:val="left" w:pos="567"/>
          <w:tab w:val="left" w:pos="1134"/>
        </w:tabs>
        <w:ind w:left="0"/>
        <w:rPr>
          <w:i w:val="0"/>
        </w:rPr>
      </w:pPr>
      <w:r w:rsidRPr="0015390A">
        <w:rPr>
          <w:i w:val="0"/>
        </w:rPr>
        <w:fldChar w:fldCharType="begin"/>
      </w:r>
      <w:r w:rsidRPr="0015390A">
        <w:rPr>
          <w:i w:val="0"/>
        </w:rPr>
        <w:instrText xml:space="preserve"> AUTONUM  </w:instrText>
      </w:r>
      <w:r w:rsidRPr="0015390A">
        <w:rPr>
          <w:i w:val="0"/>
        </w:rPr>
        <w:fldChar w:fldCharType="end"/>
      </w:r>
      <w:r w:rsidRPr="0015390A">
        <w:rPr>
          <w:i w:val="0"/>
        </w:rPr>
        <w:tab/>
        <w:t xml:space="preserve">The TC-EDC is invited to: </w:t>
      </w:r>
    </w:p>
    <w:p w:rsidR="003238DC" w:rsidRPr="0061523C" w:rsidRDefault="003238DC" w:rsidP="003238DC">
      <w:pPr>
        <w:pStyle w:val="DecisionParagraphs"/>
        <w:keepLines/>
        <w:tabs>
          <w:tab w:val="clear" w:pos="5387"/>
          <w:tab w:val="left" w:pos="567"/>
          <w:tab w:val="left" w:pos="1134"/>
        </w:tabs>
        <w:ind w:left="0" w:firstLine="567"/>
        <w:rPr>
          <w:i w:val="0"/>
          <w:highlight w:val="cyan"/>
        </w:rPr>
      </w:pPr>
    </w:p>
    <w:p w:rsidR="003238DC" w:rsidRPr="001F6B71" w:rsidRDefault="003238DC" w:rsidP="003238DC">
      <w:pPr>
        <w:pStyle w:val="DecisionParagraphs"/>
        <w:keepLines/>
        <w:tabs>
          <w:tab w:val="clear" w:pos="5387"/>
          <w:tab w:val="left" w:pos="567"/>
          <w:tab w:val="left" w:pos="1134"/>
        </w:tabs>
        <w:ind w:left="0" w:firstLine="567"/>
        <w:rPr>
          <w:i w:val="0"/>
        </w:rPr>
      </w:pPr>
      <w:r w:rsidRPr="001F6B71">
        <w:rPr>
          <w:i w:val="0"/>
        </w:rPr>
        <w:t>(a)</w:t>
      </w:r>
      <w:r w:rsidRPr="001F6B71">
        <w:rPr>
          <w:i w:val="0"/>
        </w:rPr>
        <w:tab/>
        <w:t>note that the TWC agreed to invite the experts from Germany, the United Kingdom and other members of the Union to submit papers on the analysis of risks associated with each approach for a</w:t>
      </w:r>
      <w:r w:rsidRPr="001F6B71">
        <w:rPr>
          <w:rFonts w:eastAsia="MS Mincho"/>
          <w:i w:val="0"/>
          <w:color w:val="000000"/>
          <w:szCs w:val="24"/>
          <w:lang w:eastAsia="ja-JP"/>
        </w:rPr>
        <w:t>ssessing uniformity by off-types on basis of more than one growing cycle</w:t>
      </w:r>
      <w:r w:rsidRPr="001F6B71">
        <w:rPr>
          <w:i w:val="0"/>
        </w:rPr>
        <w:t>, to be considered at its thirty</w:t>
      </w:r>
      <w:r w:rsidRPr="001F6B71">
        <w:rPr>
          <w:i w:val="0"/>
        </w:rPr>
        <w:noBreakHyphen/>
        <w:t>sixth session; and</w:t>
      </w:r>
    </w:p>
    <w:p w:rsidR="0015390A" w:rsidRPr="001F6B71" w:rsidRDefault="0015390A" w:rsidP="0015390A">
      <w:pPr>
        <w:pStyle w:val="DecisionParagraphs"/>
        <w:keepNext/>
        <w:keepLines/>
        <w:tabs>
          <w:tab w:val="clear" w:pos="5387"/>
          <w:tab w:val="left" w:pos="567"/>
          <w:tab w:val="left" w:pos="1134"/>
        </w:tabs>
        <w:ind w:left="0" w:firstLine="567"/>
        <w:rPr>
          <w:i w:val="0"/>
        </w:rPr>
      </w:pPr>
    </w:p>
    <w:p w:rsidR="0015390A" w:rsidRPr="001F6B71" w:rsidRDefault="0015390A" w:rsidP="0015390A">
      <w:pPr>
        <w:pStyle w:val="DecisionParagraphs"/>
        <w:keepLines/>
        <w:tabs>
          <w:tab w:val="clear" w:pos="5387"/>
          <w:tab w:val="left" w:pos="567"/>
          <w:tab w:val="left" w:pos="1134"/>
        </w:tabs>
        <w:ind w:left="0" w:firstLine="567"/>
        <w:rPr>
          <w:i w:val="0"/>
        </w:rPr>
      </w:pPr>
      <w:r w:rsidRPr="001F6B71">
        <w:rPr>
          <w:i w:val="0"/>
        </w:rPr>
        <w:t>(</w:t>
      </w:r>
      <w:r w:rsidR="003238DC" w:rsidRPr="001F6B71">
        <w:rPr>
          <w:i w:val="0"/>
        </w:rPr>
        <w:t>b</w:t>
      </w:r>
      <w:r w:rsidRPr="001F6B71">
        <w:rPr>
          <w:i w:val="0"/>
        </w:rPr>
        <w:t>)</w:t>
      </w:r>
      <w:r w:rsidRPr="001F6B71">
        <w:rPr>
          <w:i w:val="0"/>
        </w:rPr>
        <w:tab/>
      </w:r>
      <w:proofErr w:type="gramStart"/>
      <w:r w:rsidRPr="001F6B71">
        <w:rPr>
          <w:i w:val="0"/>
        </w:rPr>
        <w:t>consider</w:t>
      </w:r>
      <w:proofErr w:type="gramEnd"/>
      <w:r w:rsidRPr="001F6B71">
        <w:rPr>
          <w:i w:val="0"/>
        </w:rPr>
        <w:t xml:space="preserve"> the comments made by the TWPs, at their sessions in 2017, and formulate </w:t>
      </w:r>
      <w:r w:rsidR="003238DC" w:rsidRPr="001F6B71">
        <w:rPr>
          <w:i w:val="0"/>
        </w:rPr>
        <w:t xml:space="preserve">a </w:t>
      </w:r>
      <w:r w:rsidRPr="001F6B71">
        <w:rPr>
          <w:i w:val="0"/>
        </w:rPr>
        <w:t>proposal for further consideration by the TWPs, at their sessions in 2018</w:t>
      </w:r>
      <w:r w:rsidR="003238DC" w:rsidRPr="001F6B71">
        <w:rPr>
          <w:i w:val="0"/>
        </w:rPr>
        <w:t>.</w:t>
      </w:r>
    </w:p>
    <w:p w:rsidR="00C906FF" w:rsidRPr="0015390A" w:rsidRDefault="00C906FF" w:rsidP="0015390A">
      <w:pPr>
        <w:pStyle w:val="DecisionParagraphs"/>
        <w:keepLines/>
        <w:tabs>
          <w:tab w:val="left" w:pos="567"/>
          <w:tab w:val="left" w:pos="1134"/>
        </w:tabs>
        <w:ind w:left="0"/>
        <w:rPr>
          <w:rFonts w:cs="Arial"/>
          <w:i w:val="0"/>
        </w:rPr>
      </w:pPr>
    </w:p>
    <w:p w:rsidR="00C906FF" w:rsidRPr="0015390A" w:rsidRDefault="00C906FF" w:rsidP="00C906FF">
      <w:pPr>
        <w:keepNext/>
        <w:rPr>
          <w:rFonts w:eastAsia="MS Mincho"/>
          <w:lang w:eastAsia="ja-JP"/>
        </w:rPr>
      </w:pPr>
      <w:r w:rsidRPr="0015390A">
        <w:rPr>
          <w:rFonts w:eastAsia="MS Mincho"/>
          <w:lang w:eastAsia="ja-JP"/>
        </w:rPr>
        <w:fldChar w:fldCharType="begin"/>
      </w:r>
      <w:r w:rsidRPr="0015390A">
        <w:rPr>
          <w:rFonts w:eastAsia="MS Mincho"/>
          <w:lang w:eastAsia="ja-JP"/>
        </w:rPr>
        <w:instrText xml:space="preserve"> AUTONUM  </w:instrText>
      </w:r>
      <w:r w:rsidRPr="0015390A">
        <w:rPr>
          <w:rFonts w:eastAsia="MS Mincho"/>
          <w:lang w:eastAsia="ja-JP"/>
        </w:rPr>
        <w:fldChar w:fldCharType="end"/>
      </w:r>
      <w:r w:rsidRPr="0015390A">
        <w:rPr>
          <w:rFonts w:eastAsia="MS Mincho"/>
          <w:lang w:eastAsia="ja-JP"/>
        </w:rPr>
        <w:tab/>
        <w:t>The structure of this document is as follows:</w:t>
      </w:r>
    </w:p>
    <w:p w:rsidR="00C906FF" w:rsidRPr="0015390A" w:rsidRDefault="00C906FF" w:rsidP="00C906FF">
      <w:pPr>
        <w:keepNext/>
        <w:autoSpaceDE w:val="0"/>
        <w:autoSpaceDN w:val="0"/>
        <w:adjustRightInd w:val="0"/>
        <w:rPr>
          <w:rFonts w:eastAsia="MS Mincho"/>
          <w:color w:val="000000"/>
          <w:szCs w:val="24"/>
          <w:lang w:eastAsia="ja-JP"/>
        </w:rPr>
      </w:pPr>
    </w:p>
    <w:p w:rsidR="0015390A" w:rsidRPr="0015390A" w:rsidRDefault="00C906FF">
      <w:pPr>
        <w:pStyle w:val="TOC1"/>
        <w:rPr>
          <w:rFonts w:asciiTheme="minorHAnsi" w:eastAsiaTheme="minorEastAsia" w:hAnsiTheme="minorHAnsi" w:cstheme="minorBidi"/>
          <w:caps w:val="0"/>
          <w:noProof/>
          <w:sz w:val="22"/>
          <w:szCs w:val="22"/>
        </w:rPr>
      </w:pPr>
      <w:r w:rsidRPr="0015390A">
        <w:rPr>
          <w:noProof/>
          <w:snapToGrid w:val="0"/>
        </w:rPr>
        <w:fldChar w:fldCharType="begin"/>
      </w:r>
      <w:r w:rsidRPr="0015390A">
        <w:rPr>
          <w:snapToGrid w:val="0"/>
        </w:rPr>
        <w:instrText xml:space="preserve"> TOC \o "1-3" \h \z \u </w:instrText>
      </w:r>
      <w:r w:rsidRPr="0015390A">
        <w:rPr>
          <w:noProof/>
          <w:snapToGrid w:val="0"/>
        </w:rPr>
        <w:fldChar w:fldCharType="separate"/>
      </w:r>
      <w:hyperlink w:anchor="_Toc503952901" w:history="1">
        <w:r w:rsidR="0015390A" w:rsidRPr="0015390A">
          <w:rPr>
            <w:rStyle w:val="Hyperlink"/>
            <w:noProof/>
          </w:rPr>
          <w:t>EXECUTIVE SUMMARY</w:t>
        </w:r>
        <w:r w:rsidR="0015390A" w:rsidRPr="0015390A">
          <w:rPr>
            <w:noProof/>
            <w:webHidden/>
          </w:rPr>
          <w:tab/>
        </w:r>
        <w:r w:rsidR="0015390A" w:rsidRPr="0015390A">
          <w:rPr>
            <w:noProof/>
            <w:webHidden/>
          </w:rPr>
          <w:fldChar w:fldCharType="begin"/>
        </w:r>
        <w:r w:rsidR="0015390A" w:rsidRPr="0015390A">
          <w:rPr>
            <w:noProof/>
            <w:webHidden/>
          </w:rPr>
          <w:instrText xml:space="preserve"> PAGEREF _Toc503952901 \h </w:instrText>
        </w:r>
        <w:r w:rsidR="0015390A" w:rsidRPr="0015390A">
          <w:rPr>
            <w:noProof/>
            <w:webHidden/>
          </w:rPr>
        </w:r>
        <w:r w:rsidR="0015390A" w:rsidRPr="0015390A">
          <w:rPr>
            <w:noProof/>
            <w:webHidden/>
          </w:rPr>
          <w:fldChar w:fldCharType="separate"/>
        </w:r>
        <w:r w:rsidR="00B73408">
          <w:rPr>
            <w:noProof/>
            <w:webHidden/>
          </w:rPr>
          <w:t>1</w:t>
        </w:r>
        <w:r w:rsidR="0015390A" w:rsidRPr="0015390A">
          <w:rPr>
            <w:noProof/>
            <w:webHidden/>
          </w:rPr>
          <w:fldChar w:fldCharType="end"/>
        </w:r>
      </w:hyperlink>
    </w:p>
    <w:p w:rsidR="0015390A" w:rsidRPr="0015390A" w:rsidRDefault="00B73408">
      <w:pPr>
        <w:pStyle w:val="TOC1"/>
        <w:rPr>
          <w:rFonts w:asciiTheme="minorHAnsi" w:eastAsiaTheme="minorEastAsia" w:hAnsiTheme="minorHAnsi" w:cstheme="minorBidi"/>
          <w:caps w:val="0"/>
          <w:noProof/>
          <w:sz w:val="22"/>
          <w:szCs w:val="22"/>
        </w:rPr>
      </w:pPr>
      <w:hyperlink w:anchor="_Toc503952902" w:history="1">
        <w:r w:rsidR="0015390A" w:rsidRPr="0015390A">
          <w:rPr>
            <w:rStyle w:val="Hyperlink"/>
            <w:rFonts w:eastAsia="MS Mincho"/>
            <w:noProof/>
            <w:lang w:eastAsia="ja-JP"/>
          </w:rPr>
          <w:t>BACKGROUND</w:t>
        </w:r>
        <w:r w:rsidR="0015390A" w:rsidRPr="0015390A">
          <w:rPr>
            <w:noProof/>
            <w:webHidden/>
          </w:rPr>
          <w:tab/>
        </w:r>
        <w:r w:rsidR="0015390A" w:rsidRPr="0015390A">
          <w:rPr>
            <w:noProof/>
            <w:webHidden/>
          </w:rPr>
          <w:fldChar w:fldCharType="begin"/>
        </w:r>
        <w:r w:rsidR="0015390A" w:rsidRPr="0015390A">
          <w:rPr>
            <w:noProof/>
            <w:webHidden/>
          </w:rPr>
          <w:instrText xml:space="preserve"> PAGEREF _Toc503952902 \h </w:instrText>
        </w:r>
        <w:r w:rsidR="0015390A" w:rsidRPr="0015390A">
          <w:rPr>
            <w:noProof/>
            <w:webHidden/>
          </w:rPr>
        </w:r>
        <w:r w:rsidR="0015390A" w:rsidRPr="0015390A">
          <w:rPr>
            <w:noProof/>
            <w:webHidden/>
          </w:rPr>
          <w:fldChar w:fldCharType="separate"/>
        </w:r>
        <w:r>
          <w:rPr>
            <w:noProof/>
            <w:webHidden/>
          </w:rPr>
          <w:t>2</w:t>
        </w:r>
        <w:r w:rsidR="0015390A" w:rsidRPr="0015390A">
          <w:rPr>
            <w:noProof/>
            <w:webHidden/>
          </w:rPr>
          <w:fldChar w:fldCharType="end"/>
        </w:r>
      </w:hyperlink>
    </w:p>
    <w:p w:rsidR="0015390A" w:rsidRPr="0015390A" w:rsidRDefault="00B73408">
      <w:pPr>
        <w:pStyle w:val="TOC1"/>
        <w:rPr>
          <w:rFonts w:asciiTheme="minorHAnsi" w:eastAsiaTheme="minorEastAsia" w:hAnsiTheme="minorHAnsi" w:cstheme="minorBidi"/>
          <w:caps w:val="0"/>
          <w:noProof/>
          <w:sz w:val="22"/>
          <w:szCs w:val="22"/>
        </w:rPr>
      </w:pPr>
      <w:hyperlink w:anchor="_Toc503952903" w:history="1">
        <w:r w:rsidR="0015390A" w:rsidRPr="0015390A">
          <w:rPr>
            <w:rStyle w:val="Hyperlink"/>
            <w:noProof/>
          </w:rPr>
          <w:t>DEVELOPMENTS in 2017</w:t>
        </w:r>
        <w:r w:rsidR="0015390A" w:rsidRPr="0015390A">
          <w:rPr>
            <w:noProof/>
            <w:webHidden/>
          </w:rPr>
          <w:tab/>
        </w:r>
        <w:r w:rsidR="0015390A" w:rsidRPr="0015390A">
          <w:rPr>
            <w:noProof/>
            <w:webHidden/>
          </w:rPr>
          <w:fldChar w:fldCharType="begin"/>
        </w:r>
        <w:r w:rsidR="0015390A" w:rsidRPr="0015390A">
          <w:rPr>
            <w:noProof/>
            <w:webHidden/>
          </w:rPr>
          <w:instrText xml:space="preserve"> PAGEREF _Toc503952903 \h </w:instrText>
        </w:r>
        <w:r w:rsidR="0015390A" w:rsidRPr="0015390A">
          <w:rPr>
            <w:noProof/>
            <w:webHidden/>
          </w:rPr>
        </w:r>
        <w:r w:rsidR="0015390A" w:rsidRPr="0015390A">
          <w:rPr>
            <w:noProof/>
            <w:webHidden/>
          </w:rPr>
          <w:fldChar w:fldCharType="separate"/>
        </w:r>
        <w:r>
          <w:rPr>
            <w:noProof/>
            <w:webHidden/>
          </w:rPr>
          <w:t>2</w:t>
        </w:r>
        <w:r w:rsidR="0015390A" w:rsidRPr="0015390A">
          <w:rPr>
            <w:noProof/>
            <w:webHidden/>
          </w:rPr>
          <w:fldChar w:fldCharType="end"/>
        </w:r>
      </w:hyperlink>
    </w:p>
    <w:p w:rsidR="0015390A" w:rsidRPr="0015390A" w:rsidRDefault="00B73408">
      <w:pPr>
        <w:pStyle w:val="TOC2"/>
        <w:rPr>
          <w:rStyle w:val="Hyperlink"/>
          <w:noProof/>
        </w:rPr>
      </w:pPr>
      <w:hyperlink w:anchor="_Toc503952904" w:history="1">
        <w:r w:rsidR="0015390A" w:rsidRPr="0015390A">
          <w:rPr>
            <w:rStyle w:val="Hyperlink"/>
            <w:noProof/>
          </w:rPr>
          <w:t>Technical Committee</w:t>
        </w:r>
        <w:r w:rsidR="0015390A" w:rsidRPr="0015390A">
          <w:rPr>
            <w:noProof/>
            <w:webHidden/>
          </w:rPr>
          <w:tab/>
        </w:r>
        <w:r w:rsidR="0015390A" w:rsidRPr="0015390A">
          <w:rPr>
            <w:noProof/>
            <w:webHidden/>
          </w:rPr>
          <w:fldChar w:fldCharType="begin"/>
        </w:r>
        <w:r w:rsidR="0015390A" w:rsidRPr="0015390A">
          <w:rPr>
            <w:noProof/>
            <w:webHidden/>
          </w:rPr>
          <w:instrText xml:space="preserve"> PAGEREF _Toc503952904 \h </w:instrText>
        </w:r>
        <w:r w:rsidR="0015390A" w:rsidRPr="0015390A">
          <w:rPr>
            <w:noProof/>
            <w:webHidden/>
          </w:rPr>
        </w:r>
        <w:r w:rsidR="0015390A" w:rsidRPr="0015390A">
          <w:rPr>
            <w:noProof/>
            <w:webHidden/>
          </w:rPr>
          <w:fldChar w:fldCharType="separate"/>
        </w:r>
        <w:r>
          <w:rPr>
            <w:noProof/>
            <w:webHidden/>
          </w:rPr>
          <w:t>2</w:t>
        </w:r>
        <w:r w:rsidR="0015390A" w:rsidRPr="0015390A">
          <w:rPr>
            <w:noProof/>
            <w:webHidden/>
          </w:rPr>
          <w:fldChar w:fldCharType="end"/>
        </w:r>
      </w:hyperlink>
    </w:p>
    <w:p w:rsidR="0015390A" w:rsidRPr="0015390A" w:rsidRDefault="00B73408">
      <w:pPr>
        <w:pStyle w:val="TOC2"/>
        <w:rPr>
          <w:rFonts w:asciiTheme="minorHAnsi" w:eastAsiaTheme="minorEastAsia" w:hAnsiTheme="minorHAnsi" w:cstheme="minorBidi"/>
          <w:smallCaps w:val="0"/>
          <w:noProof/>
          <w:sz w:val="22"/>
          <w:szCs w:val="22"/>
        </w:rPr>
      </w:pPr>
      <w:hyperlink w:anchor="_Toc503952905" w:history="1">
        <w:r w:rsidR="0015390A" w:rsidRPr="0015390A">
          <w:rPr>
            <w:rStyle w:val="Hyperlink"/>
            <w:noProof/>
          </w:rPr>
          <w:t>Comments by the Technical Working Parties</w:t>
        </w:r>
        <w:r w:rsidR="0015390A" w:rsidRPr="0015390A">
          <w:rPr>
            <w:noProof/>
            <w:webHidden/>
          </w:rPr>
          <w:tab/>
        </w:r>
        <w:r w:rsidR="0015390A" w:rsidRPr="0015390A">
          <w:rPr>
            <w:noProof/>
            <w:webHidden/>
          </w:rPr>
          <w:fldChar w:fldCharType="begin"/>
        </w:r>
        <w:r w:rsidR="0015390A" w:rsidRPr="0015390A">
          <w:rPr>
            <w:noProof/>
            <w:webHidden/>
          </w:rPr>
          <w:instrText xml:space="preserve"> PAGEREF _Toc503952905 \h </w:instrText>
        </w:r>
        <w:r w:rsidR="0015390A" w:rsidRPr="0015390A">
          <w:rPr>
            <w:noProof/>
            <w:webHidden/>
          </w:rPr>
        </w:r>
        <w:r w:rsidR="0015390A" w:rsidRPr="0015390A">
          <w:rPr>
            <w:noProof/>
            <w:webHidden/>
          </w:rPr>
          <w:fldChar w:fldCharType="separate"/>
        </w:r>
        <w:r>
          <w:rPr>
            <w:noProof/>
            <w:webHidden/>
          </w:rPr>
          <w:t>2</w:t>
        </w:r>
        <w:r w:rsidR="0015390A" w:rsidRPr="0015390A">
          <w:rPr>
            <w:noProof/>
            <w:webHidden/>
          </w:rPr>
          <w:fldChar w:fldCharType="end"/>
        </w:r>
      </w:hyperlink>
    </w:p>
    <w:p w:rsidR="0015390A" w:rsidRPr="0015390A" w:rsidRDefault="00B73408">
      <w:pPr>
        <w:pStyle w:val="TOC3"/>
        <w:rPr>
          <w:rFonts w:asciiTheme="minorHAnsi" w:eastAsiaTheme="minorEastAsia" w:hAnsiTheme="minorHAnsi" w:cstheme="minorBidi"/>
          <w:noProof/>
          <w:sz w:val="22"/>
          <w:szCs w:val="22"/>
          <w:lang w:val="en-US"/>
        </w:rPr>
      </w:pPr>
      <w:hyperlink w:anchor="_Toc503952906" w:history="1">
        <w:r w:rsidR="0015390A" w:rsidRPr="0015390A">
          <w:rPr>
            <w:rStyle w:val="Hyperlink"/>
            <w:rFonts w:eastAsia="MS Mincho"/>
            <w:noProof/>
            <w:lang w:eastAsia="ja-JP"/>
          </w:rPr>
          <w:t>Environmental variation</w:t>
        </w:r>
        <w:r w:rsidR="0015390A" w:rsidRPr="0015390A">
          <w:rPr>
            <w:noProof/>
            <w:webHidden/>
          </w:rPr>
          <w:tab/>
        </w:r>
        <w:r w:rsidR="0015390A" w:rsidRPr="0015390A">
          <w:rPr>
            <w:noProof/>
            <w:webHidden/>
          </w:rPr>
          <w:fldChar w:fldCharType="begin"/>
        </w:r>
        <w:r w:rsidR="0015390A" w:rsidRPr="0015390A">
          <w:rPr>
            <w:noProof/>
            <w:webHidden/>
          </w:rPr>
          <w:instrText xml:space="preserve"> PAGEREF _Toc503952906 \h </w:instrText>
        </w:r>
        <w:r w:rsidR="0015390A" w:rsidRPr="0015390A">
          <w:rPr>
            <w:noProof/>
            <w:webHidden/>
          </w:rPr>
        </w:r>
        <w:r w:rsidR="0015390A" w:rsidRPr="0015390A">
          <w:rPr>
            <w:noProof/>
            <w:webHidden/>
          </w:rPr>
          <w:fldChar w:fldCharType="separate"/>
        </w:r>
        <w:r>
          <w:rPr>
            <w:noProof/>
            <w:webHidden/>
          </w:rPr>
          <w:t>2</w:t>
        </w:r>
        <w:r w:rsidR="0015390A" w:rsidRPr="0015390A">
          <w:rPr>
            <w:noProof/>
            <w:webHidden/>
          </w:rPr>
          <w:fldChar w:fldCharType="end"/>
        </w:r>
      </w:hyperlink>
    </w:p>
    <w:p w:rsidR="0015390A" w:rsidRPr="0015390A" w:rsidRDefault="00B73408">
      <w:pPr>
        <w:pStyle w:val="TOC3"/>
        <w:rPr>
          <w:rFonts w:asciiTheme="minorHAnsi" w:eastAsiaTheme="minorEastAsia" w:hAnsiTheme="minorHAnsi" w:cstheme="minorBidi"/>
          <w:noProof/>
          <w:sz w:val="22"/>
          <w:szCs w:val="22"/>
          <w:lang w:val="en-US"/>
        </w:rPr>
      </w:pPr>
      <w:hyperlink w:anchor="_Toc503952907" w:history="1">
        <w:r w:rsidR="0015390A" w:rsidRPr="0015390A">
          <w:rPr>
            <w:rStyle w:val="Hyperlink"/>
            <w:rFonts w:eastAsia="MS Mincho"/>
            <w:noProof/>
            <w:lang w:eastAsia="ja-JP"/>
          </w:rPr>
          <w:t>Criteria for rejecting a variety after a single growing cycle</w:t>
        </w:r>
        <w:r w:rsidR="0015390A" w:rsidRPr="0015390A">
          <w:rPr>
            <w:noProof/>
            <w:webHidden/>
          </w:rPr>
          <w:tab/>
        </w:r>
        <w:r w:rsidR="0015390A" w:rsidRPr="0015390A">
          <w:rPr>
            <w:noProof/>
            <w:webHidden/>
          </w:rPr>
          <w:fldChar w:fldCharType="begin"/>
        </w:r>
        <w:r w:rsidR="0015390A" w:rsidRPr="0015390A">
          <w:rPr>
            <w:noProof/>
            <w:webHidden/>
          </w:rPr>
          <w:instrText xml:space="preserve"> PAGEREF _Toc503952907 \h </w:instrText>
        </w:r>
        <w:r w:rsidR="0015390A" w:rsidRPr="0015390A">
          <w:rPr>
            <w:noProof/>
            <w:webHidden/>
          </w:rPr>
        </w:r>
        <w:r w:rsidR="0015390A" w:rsidRPr="0015390A">
          <w:rPr>
            <w:noProof/>
            <w:webHidden/>
          </w:rPr>
          <w:fldChar w:fldCharType="separate"/>
        </w:r>
        <w:r>
          <w:rPr>
            <w:noProof/>
            <w:webHidden/>
          </w:rPr>
          <w:t>3</w:t>
        </w:r>
        <w:r w:rsidR="0015390A" w:rsidRPr="0015390A">
          <w:rPr>
            <w:noProof/>
            <w:webHidden/>
          </w:rPr>
          <w:fldChar w:fldCharType="end"/>
        </w:r>
      </w:hyperlink>
    </w:p>
    <w:p w:rsidR="0015390A" w:rsidRPr="0015390A" w:rsidRDefault="00B73408">
      <w:pPr>
        <w:pStyle w:val="TOC3"/>
        <w:rPr>
          <w:rFonts w:asciiTheme="minorHAnsi" w:eastAsiaTheme="minorEastAsia" w:hAnsiTheme="minorHAnsi" w:cstheme="minorBidi"/>
          <w:noProof/>
          <w:sz w:val="22"/>
          <w:szCs w:val="22"/>
          <w:lang w:val="en-US"/>
        </w:rPr>
      </w:pPr>
      <w:hyperlink w:anchor="_Toc503952908" w:history="1">
        <w:r w:rsidR="0015390A" w:rsidRPr="0015390A">
          <w:rPr>
            <w:rStyle w:val="Hyperlink"/>
            <w:noProof/>
          </w:rPr>
          <w:t xml:space="preserve">Information on the </w:t>
        </w:r>
        <w:r w:rsidR="0015390A" w:rsidRPr="0015390A">
          <w:rPr>
            <w:rStyle w:val="Hyperlink"/>
            <w:rFonts w:cs="Arial"/>
            <w:noProof/>
          </w:rPr>
          <w:t>criteria for selecting the most suitable approach</w:t>
        </w:r>
        <w:r w:rsidR="0015390A" w:rsidRPr="0015390A">
          <w:rPr>
            <w:noProof/>
            <w:webHidden/>
          </w:rPr>
          <w:tab/>
        </w:r>
        <w:r w:rsidR="0015390A" w:rsidRPr="0015390A">
          <w:rPr>
            <w:noProof/>
            <w:webHidden/>
          </w:rPr>
          <w:fldChar w:fldCharType="begin"/>
        </w:r>
        <w:r w:rsidR="0015390A" w:rsidRPr="0015390A">
          <w:rPr>
            <w:noProof/>
            <w:webHidden/>
          </w:rPr>
          <w:instrText xml:space="preserve"> PAGEREF _Toc503952908 \h </w:instrText>
        </w:r>
        <w:r w:rsidR="0015390A" w:rsidRPr="0015390A">
          <w:rPr>
            <w:noProof/>
            <w:webHidden/>
          </w:rPr>
        </w:r>
        <w:r w:rsidR="0015390A" w:rsidRPr="0015390A">
          <w:rPr>
            <w:noProof/>
            <w:webHidden/>
          </w:rPr>
          <w:fldChar w:fldCharType="separate"/>
        </w:r>
        <w:r>
          <w:rPr>
            <w:noProof/>
            <w:webHidden/>
          </w:rPr>
          <w:t>3</w:t>
        </w:r>
        <w:r w:rsidR="0015390A" w:rsidRPr="0015390A">
          <w:rPr>
            <w:noProof/>
            <w:webHidden/>
          </w:rPr>
          <w:fldChar w:fldCharType="end"/>
        </w:r>
      </w:hyperlink>
    </w:p>
    <w:p w:rsidR="0015390A" w:rsidRPr="0015390A" w:rsidRDefault="00B73408">
      <w:pPr>
        <w:pStyle w:val="TOC1"/>
        <w:rPr>
          <w:rFonts w:asciiTheme="minorHAnsi" w:eastAsiaTheme="minorEastAsia" w:hAnsiTheme="minorHAnsi" w:cstheme="minorBidi"/>
          <w:caps w:val="0"/>
          <w:noProof/>
          <w:sz w:val="22"/>
          <w:szCs w:val="22"/>
        </w:rPr>
      </w:pPr>
      <w:hyperlink w:anchor="_Toc503952909" w:history="1">
        <w:r w:rsidR="0015390A" w:rsidRPr="0015390A">
          <w:rPr>
            <w:rStyle w:val="Hyperlink"/>
            <w:noProof/>
          </w:rPr>
          <w:t>Summary of approaches</w:t>
        </w:r>
        <w:r w:rsidR="0015390A" w:rsidRPr="0015390A">
          <w:rPr>
            <w:noProof/>
            <w:webHidden/>
          </w:rPr>
          <w:tab/>
        </w:r>
        <w:r w:rsidR="0015390A" w:rsidRPr="0015390A">
          <w:rPr>
            <w:noProof/>
            <w:webHidden/>
          </w:rPr>
          <w:fldChar w:fldCharType="begin"/>
        </w:r>
        <w:r w:rsidR="0015390A" w:rsidRPr="0015390A">
          <w:rPr>
            <w:noProof/>
            <w:webHidden/>
          </w:rPr>
          <w:instrText xml:space="preserve"> PAGEREF _Toc503952909 \h </w:instrText>
        </w:r>
        <w:r w:rsidR="0015390A" w:rsidRPr="0015390A">
          <w:rPr>
            <w:noProof/>
            <w:webHidden/>
          </w:rPr>
        </w:r>
        <w:r w:rsidR="0015390A" w:rsidRPr="0015390A">
          <w:rPr>
            <w:noProof/>
            <w:webHidden/>
          </w:rPr>
          <w:fldChar w:fldCharType="separate"/>
        </w:r>
        <w:r>
          <w:rPr>
            <w:noProof/>
            <w:webHidden/>
          </w:rPr>
          <w:t>4</w:t>
        </w:r>
        <w:r w:rsidR="0015390A" w:rsidRPr="0015390A">
          <w:rPr>
            <w:noProof/>
            <w:webHidden/>
          </w:rPr>
          <w:fldChar w:fldCharType="end"/>
        </w:r>
      </w:hyperlink>
    </w:p>
    <w:p w:rsidR="00C906FF" w:rsidRPr="0015390A" w:rsidRDefault="00C906FF" w:rsidP="00C906FF">
      <w:pPr>
        <w:spacing w:before="120" w:after="120"/>
        <w:ind w:left="1276" w:hanging="1276"/>
        <w:rPr>
          <w:rFonts w:eastAsia="MS Mincho"/>
          <w:color w:val="000000"/>
          <w:szCs w:val="24"/>
          <w:lang w:eastAsia="ja-JP"/>
        </w:rPr>
      </w:pPr>
      <w:r w:rsidRPr="0015390A">
        <w:rPr>
          <w:snapToGrid w:val="0"/>
        </w:rPr>
        <w:fldChar w:fldCharType="end"/>
      </w:r>
      <w:r w:rsidRPr="0015390A">
        <w:rPr>
          <w:rFonts w:eastAsia="MS Mincho"/>
          <w:color w:val="000000"/>
          <w:szCs w:val="24"/>
          <w:lang w:eastAsia="ja-JP"/>
        </w:rPr>
        <w:t xml:space="preserve">ANNEX </w:t>
      </w:r>
      <w:proofErr w:type="gramStart"/>
      <w:r w:rsidRPr="0015390A">
        <w:rPr>
          <w:rFonts w:eastAsia="MS Mincho"/>
          <w:color w:val="000000"/>
          <w:szCs w:val="24"/>
          <w:lang w:eastAsia="ja-JP"/>
        </w:rPr>
        <w:t>I</w:t>
      </w:r>
      <w:proofErr w:type="gramEnd"/>
      <w:r w:rsidRPr="0015390A">
        <w:rPr>
          <w:rFonts w:eastAsia="MS Mincho"/>
          <w:color w:val="000000"/>
          <w:szCs w:val="24"/>
          <w:lang w:eastAsia="ja-JP"/>
        </w:rPr>
        <w:t xml:space="preserve">: </w:t>
      </w:r>
      <w:r w:rsidRPr="0015390A">
        <w:rPr>
          <w:rFonts w:eastAsia="MS Mincho"/>
          <w:color w:val="000000"/>
          <w:szCs w:val="24"/>
          <w:lang w:eastAsia="ja-JP"/>
        </w:rPr>
        <w:tab/>
        <w:t>Assessing uniformity by off-types on basis of more than one growing cycle</w:t>
      </w:r>
    </w:p>
    <w:p w:rsidR="00C906FF" w:rsidRPr="0021251E" w:rsidRDefault="00C906FF" w:rsidP="00C906FF">
      <w:pPr>
        <w:tabs>
          <w:tab w:val="left" w:pos="1701"/>
        </w:tabs>
        <w:autoSpaceDE w:val="0"/>
        <w:autoSpaceDN w:val="0"/>
        <w:adjustRightInd w:val="0"/>
        <w:spacing w:after="120"/>
        <w:ind w:left="1276" w:hanging="1276"/>
        <w:rPr>
          <w:rFonts w:eastAsia="MS Mincho"/>
          <w:color w:val="000000"/>
          <w:szCs w:val="24"/>
          <w:lang w:eastAsia="ja-JP"/>
        </w:rPr>
      </w:pPr>
      <w:r w:rsidRPr="0015390A">
        <w:rPr>
          <w:rFonts w:eastAsia="MS Mincho"/>
          <w:color w:val="000000"/>
          <w:szCs w:val="24"/>
          <w:lang w:eastAsia="ja-JP"/>
        </w:rPr>
        <w:t>ANNEX II:</w:t>
      </w:r>
      <w:r w:rsidRPr="0015390A">
        <w:rPr>
          <w:rFonts w:eastAsia="MS Mincho"/>
          <w:color w:val="000000"/>
          <w:szCs w:val="24"/>
          <w:lang w:eastAsia="ja-JP"/>
        </w:rPr>
        <w:tab/>
        <w:t>Assessing uniformity by off-types on the basis of sub-samples within a single test/trial</w:t>
      </w:r>
    </w:p>
    <w:p w:rsidR="00C906FF" w:rsidRPr="0021251E" w:rsidRDefault="00C906FF" w:rsidP="00C906FF">
      <w:pPr>
        <w:tabs>
          <w:tab w:val="left" w:pos="1701"/>
        </w:tabs>
        <w:autoSpaceDE w:val="0"/>
        <w:autoSpaceDN w:val="0"/>
        <w:adjustRightInd w:val="0"/>
        <w:ind w:left="1276" w:hanging="1276"/>
        <w:rPr>
          <w:rFonts w:eastAsia="MS Mincho"/>
          <w:color w:val="000000"/>
          <w:szCs w:val="24"/>
          <w:lang w:eastAsia="ja-JP"/>
        </w:rPr>
      </w:pPr>
    </w:p>
    <w:bookmarkStart w:id="3" w:name="_Toc380150989"/>
    <w:p w:rsidR="00C906FF" w:rsidRPr="0021251E" w:rsidRDefault="00C906FF" w:rsidP="00C906FF">
      <w:pPr>
        <w:autoSpaceDE w:val="0"/>
        <w:autoSpaceDN w:val="0"/>
        <w:adjustRightInd w:val="0"/>
        <w:ind w:left="567" w:hanging="567"/>
        <w:rPr>
          <w:rFonts w:cs="Arial"/>
          <w:color w:val="000000"/>
        </w:rPr>
      </w:pPr>
      <w:r w:rsidRPr="0021251E">
        <w:fldChar w:fldCharType="begin"/>
      </w:r>
      <w:r w:rsidRPr="0021251E">
        <w:instrText xml:space="preserve"> AUTONUM  </w:instrText>
      </w:r>
      <w:r w:rsidRPr="0021251E">
        <w:fldChar w:fldCharType="end"/>
      </w:r>
      <w:r w:rsidRPr="0021251E">
        <w:tab/>
      </w:r>
      <w:r w:rsidRPr="0021251E">
        <w:rPr>
          <w:rFonts w:cs="Arial"/>
          <w:color w:val="000000"/>
        </w:rPr>
        <w:t>The following abbreviations are used in this document:</w:t>
      </w:r>
    </w:p>
    <w:p w:rsidR="00C906FF" w:rsidRPr="0021251E" w:rsidRDefault="00C906FF" w:rsidP="00C906FF">
      <w:pPr>
        <w:keepNext/>
        <w:rPr>
          <w:rFonts w:cs="Arial"/>
          <w:color w:val="000000"/>
        </w:rPr>
      </w:pPr>
    </w:p>
    <w:p w:rsidR="00C906FF" w:rsidRPr="0021251E" w:rsidRDefault="00C906FF" w:rsidP="00C906FF">
      <w:pPr>
        <w:keepNext/>
        <w:rPr>
          <w:rFonts w:cs="Arial"/>
        </w:rPr>
      </w:pPr>
      <w:r w:rsidRPr="0021251E">
        <w:rPr>
          <w:rFonts w:cs="Arial"/>
        </w:rPr>
        <w:tab/>
        <w:t>TC:</w:t>
      </w:r>
      <w:r w:rsidRPr="0021251E">
        <w:rPr>
          <w:rFonts w:cs="Arial"/>
        </w:rPr>
        <w:tab/>
      </w:r>
      <w:r w:rsidRPr="0021251E">
        <w:rPr>
          <w:rFonts w:cs="Arial"/>
        </w:rPr>
        <w:tab/>
        <w:t>Technical Committee</w:t>
      </w:r>
    </w:p>
    <w:p w:rsidR="00C906FF" w:rsidRPr="0021251E" w:rsidRDefault="00C906FF" w:rsidP="00C906FF">
      <w:pPr>
        <w:rPr>
          <w:rFonts w:eastAsia="PMingLiU" w:cs="Arial"/>
          <w:szCs w:val="24"/>
        </w:rPr>
      </w:pPr>
      <w:r w:rsidRPr="0021251E">
        <w:rPr>
          <w:rFonts w:eastAsia="PMingLiU" w:cs="Arial"/>
          <w:szCs w:val="24"/>
        </w:rPr>
        <w:tab/>
        <w:t>TC-EDC:</w:t>
      </w:r>
      <w:r w:rsidRPr="0021251E">
        <w:rPr>
          <w:rFonts w:eastAsia="PMingLiU" w:cs="Arial"/>
          <w:szCs w:val="24"/>
        </w:rPr>
        <w:tab/>
        <w:t>Enlarged Editorial Committee</w:t>
      </w:r>
    </w:p>
    <w:p w:rsidR="00C906FF" w:rsidRPr="0021251E" w:rsidRDefault="00C906FF" w:rsidP="00C906FF">
      <w:pPr>
        <w:rPr>
          <w:rFonts w:eastAsia="PMingLiU" w:cs="Arial"/>
          <w:szCs w:val="24"/>
        </w:rPr>
      </w:pPr>
      <w:r w:rsidRPr="0021251E">
        <w:rPr>
          <w:rFonts w:eastAsia="PMingLiU" w:cs="Arial"/>
          <w:szCs w:val="24"/>
        </w:rPr>
        <w:tab/>
        <w:t>TWA:</w:t>
      </w:r>
      <w:r w:rsidRPr="0021251E">
        <w:rPr>
          <w:rFonts w:eastAsia="PMingLiU" w:cs="Arial"/>
          <w:szCs w:val="24"/>
        </w:rPr>
        <w:tab/>
      </w:r>
      <w:r w:rsidRPr="0021251E">
        <w:rPr>
          <w:rFonts w:eastAsia="PMingLiU" w:cs="Arial"/>
          <w:szCs w:val="24"/>
        </w:rPr>
        <w:tab/>
        <w:t>Technical Working Party for Agricultural Crops</w:t>
      </w:r>
    </w:p>
    <w:p w:rsidR="00C906FF" w:rsidRPr="0021251E" w:rsidRDefault="00C906FF" w:rsidP="00C906FF">
      <w:pPr>
        <w:rPr>
          <w:rFonts w:eastAsia="PMingLiU" w:cs="Arial"/>
          <w:szCs w:val="24"/>
        </w:rPr>
      </w:pPr>
      <w:r w:rsidRPr="0021251E">
        <w:rPr>
          <w:rFonts w:eastAsia="PMingLiU" w:cs="Arial"/>
          <w:szCs w:val="24"/>
        </w:rPr>
        <w:tab/>
        <w:t>TWC:</w:t>
      </w:r>
      <w:r w:rsidRPr="0021251E">
        <w:rPr>
          <w:rFonts w:eastAsia="PMingLiU" w:cs="Arial"/>
          <w:szCs w:val="24"/>
        </w:rPr>
        <w:tab/>
      </w:r>
      <w:r w:rsidRPr="0021251E">
        <w:rPr>
          <w:rFonts w:eastAsia="PMingLiU" w:cs="Arial"/>
          <w:szCs w:val="24"/>
        </w:rPr>
        <w:tab/>
        <w:t>Technical Working Party on Automation and Computer Programs</w:t>
      </w:r>
    </w:p>
    <w:p w:rsidR="00C906FF" w:rsidRPr="0021251E" w:rsidRDefault="00C906FF" w:rsidP="00C906FF">
      <w:pPr>
        <w:rPr>
          <w:rFonts w:eastAsia="PMingLiU" w:cs="Arial"/>
          <w:szCs w:val="24"/>
        </w:rPr>
      </w:pPr>
      <w:r w:rsidRPr="0021251E">
        <w:rPr>
          <w:rFonts w:eastAsia="PMingLiU" w:cs="Arial"/>
          <w:szCs w:val="24"/>
        </w:rPr>
        <w:tab/>
        <w:t xml:space="preserve">TWF: </w:t>
      </w:r>
      <w:r w:rsidRPr="0021251E">
        <w:rPr>
          <w:rFonts w:eastAsia="PMingLiU" w:cs="Arial"/>
          <w:szCs w:val="24"/>
        </w:rPr>
        <w:tab/>
      </w:r>
      <w:r w:rsidRPr="0021251E">
        <w:rPr>
          <w:rFonts w:eastAsia="PMingLiU" w:cs="Arial"/>
          <w:szCs w:val="24"/>
        </w:rPr>
        <w:tab/>
        <w:t>Technical Working Party for Fruit Crops</w:t>
      </w:r>
    </w:p>
    <w:p w:rsidR="00C906FF" w:rsidRPr="0021251E" w:rsidRDefault="00C906FF" w:rsidP="00C906FF">
      <w:pPr>
        <w:rPr>
          <w:rFonts w:eastAsia="PMingLiU" w:cs="Arial"/>
          <w:szCs w:val="24"/>
        </w:rPr>
      </w:pPr>
      <w:r w:rsidRPr="0021251E">
        <w:rPr>
          <w:rFonts w:eastAsia="PMingLiU" w:cs="Arial"/>
          <w:szCs w:val="24"/>
        </w:rPr>
        <w:tab/>
        <w:t>TWO:</w:t>
      </w:r>
      <w:r w:rsidRPr="0021251E">
        <w:rPr>
          <w:rFonts w:eastAsia="PMingLiU" w:cs="Arial"/>
          <w:szCs w:val="24"/>
        </w:rPr>
        <w:tab/>
      </w:r>
      <w:r w:rsidRPr="0021251E">
        <w:rPr>
          <w:rFonts w:eastAsia="PMingLiU" w:cs="Arial"/>
          <w:szCs w:val="24"/>
        </w:rPr>
        <w:tab/>
        <w:t>Technical Working Party for Ornamental Plants and Forest Trees</w:t>
      </w:r>
    </w:p>
    <w:p w:rsidR="00C906FF" w:rsidRPr="0021251E" w:rsidRDefault="00C906FF" w:rsidP="00C906FF">
      <w:pPr>
        <w:rPr>
          <w:rFonts w:eastAsia="PMingLiU" w:cs="Arial"/>
          <w:szCs w:val="24"/>
        </w:rPr>
      </w:pPr>
      <w:r w:rsidRPr="0021251E">
        <w:rPr>
          <w:rFonts w:eastAsia="PMingLiU" w:cs="Arial"/>
          <w:szCs w:val="24"/>
        </w:rPr>
        <w:tab/>
        <w:t>TWPs:</w:t>
      </w:r>
      <w:r w:rsidRPr="0021251E">
        <w:rPr>
          <w:rFonts w:eastAsia="PMingLiU" w:cs="Arial"/>
          <w:szCs w:val="24"/>
        </w:rPr>
        <w:tab/>
        <w:t>Technical Working Parties</w:t>
      </w:r>
    </w:p>
    <w:p w:rsidR="00C906FF" w:rsidRPr="0021251E" w:rsidRDefault="00C906FF" w:rsidP="00C906FF">
      <w:pPr>
        <w:rPr>
          <w:rFonts w:eastAsia="PMingLiU" w:cs="Arial"/>
          <w:szCs w:val="24"/>
        </w:rPr>
      </w:pPr>
      <w:r w:rsidRPr="0021251E">
        <w:rPr>
          <w:rFonts w:eastAsia="PMingLiU" w:cs="Arial"/>
          <w:szCs w:val="24"/>
        </w:rPr>
        <w:tab/>
        <w:t>TWV:</w:t>
      </w:r>
      <w:r w:rsidRPr="0021251E">
        <w:rPr>
          <w:rFonts w:eastAsia="PMingLiU" w:cs="Arial"/>
          <w:szCs w:val="24"/>
        </w:rPr>
        <w:tab/>
      </w:r>
      <w:r w:rsidRPr="0021251E">
        <w:rPr>
          <w:rFonts w:eastAsia="PMingLiU" w:cs="Arial"/>
          <w:szCs w:val="24"/>
        </w:rPr>
        <w:tab/>
        <w:t>Technical Working Party for Vegetables</w:t>
      </w:r>
    </w:p>
    <w:p w:rsidR="00C906FF" w:rsidRPr="0021251E" w:rsidRDefault="00C906FF" w:rsidP="00C906FF">
      <w:pPr>
        <w:autoSpaceDE w:val="0"/>
        <w:autoSpaceDN w:val="0"/>
        <w:adjustRightInd w:val="0"/>
      </w:pPr>
    </w:p>
    <w:p w:rsidR="00C906FF" w:rsidRPr="0021251E" w:rsidRDefault="00C906FF" w:rsidP="00C906FF">
      <w:pPr>
        <w:pStyle w:val="Heading1"/>
        <w:rPr>
          <w:rFonts w:eastAsia="MS Mincho"/>
          <w:lang w:eastAsia="ja-JP"/>
        </w:rPr>
      </w:pPr>
      <w:bookmarkStart w:id="4" w:name="_Toc503952902"/>
      <w:r w:rsidRPr="0021251E">
        <w:rPr>
          <w:rFonts w:eastAsia="MS Mincho"/>
          <w:lang w:eastAsia="ja-JP"/>
        </w:rPr>
        <w:t>BACKGROUND</w:t>
      </w:r>
      <w:bookmarkEnd w:id="3"/>
      <w:bookmarkEnd w:id="4"/>
    </w:p>
    <w:p w:rsidR="00C906FF" w:rsidRPr="0021251E" w:rsidRDefault="00C906FF" w:rsidP="00C906FF">
      <w:pPr>
        <w:rPr>
          <w:rFonts w:eastAsia="MS Mincho"/>
          <w:lang w:eastAsia="ja-JP"/>
        </w:rPr>
      </w:pPr>
    </w:p>
    <w:p w:rsidR="00C906FF" w:rsidRPr="0021251E" w:rsidRDefault="00C906FF" w:rsidP="00C906FF">
      <w:r w:rsidRPr="0021251E">
        <w:fldChar w:fldCharType="begin"/>
      </w:r>
      <w:r w:rsidRPr="0021251E">
        <w:instrText xml:space="preserve"> AUTONUM  </w:instrText>
      </w:r>
      <w:r w:rsidRPr="0021251E">
        <w:fldChar w:fldCharType="end"/>
      </w:r>
      <w:r w:rsidRPr="0021251E">
        <w:tab/>
      </w:r>
      <w:r w:rsidRPr="0021251E">
        <w:rPr>
          <w:szCs w:val="24"/>
        </w:rPr>
        <w:t>The background to this matter is provided in document</w:t>
      </w:r>
      <w:r w:rsidR="00E90CA9">
        <w:rPr>
          <w:szCs w:val="24"/>
        </w:rPr>
        <w:t xml:space="preserve"> TWP/1/17 Rev. </w:t>
      </w:r>
      <w:r w:rsidRPr="0021251E">
        <w:t>“Assessing Uniformity by Off</w:t>
      </w:r>
      <w:r w:rsidR="00E90CA9">
        <w:noBreakHyphen/>
      </w:r>
      <w:r w:rsidRPr="0021251E">
        <w:t>Types on the Basis of More than One Sample or Sub-Samples”.</w:t>
      </w:r>
    </w:p>
    <w:p w:rsidR="00C906FF" w:rsidRDefault="00C906FF" w:rsidP="00C906FF">
      <w:bookmarkStart w:id="5" w:name="_Toc380151005"/>
    </w:p>
    <w:p w:rsidR="009658E2" w:rsidRPr="0021251E" w:rsidRDefault="009658E2" w:rsidP="00C906FF"/>
    <w:p w:rsidR="00C906FF" w:rsidRPr="0021251E" w:rsidRDefault="00C906FF" w:rsidP="00C906FF">
      <w:pPr>
        <w:pStyle w:val="Heading1"/>
      </w:pPr>
      <w:bookmarkStart w:id="6" w:name="_Toc503952903"/>
      <w:r w:rsidRPr="0021251E">
        <w:t>DEVELOPMENTS in 2017</w:t>
      </w:r>
      <w:bookmarkEnd w:id="6"/>
    </w:p>
    <w:p w:rsidR="00C906FF" w:rsidRPr="0021251E" w:rsidRDefault="00C906FF" w:rsidP="00C906FF">
      <w:pPr>
        <w:keepNext/>
      </w:pPr>
    </w:p>
    <w:p w:rsidR="00C906FF" w:rsidRPr="0021251E" w:rsidRDefault="00C906FF" w:rsidP="00C906FF">
      <w:pPr>
        <w:pStyle w:val="Heading2"/>
      </w:pPr>
      <w:bookmarkStart w:id="7" w:name="_Toc503952904"/>
      <w:r w:rsidRPr="0021251E">
        <w:t>Technical Committee</w:t>
      </w:r>
      <w:bookmarkEnd w:id="7"/>
    </w:p>
    <w:p w:rsidR="00C906FF" w:rsidRPr="0021251E" w:rsidRDefault="00C906FF" w:rsidP="00C906FF">
      <w:pPr>
        <w:keepNext/>
      </w:pPr>
    </w:p>
    <w:p w:rsidR="00C906FF" w:rsidRPr="0021251E" w:rsidRDefault="00C906FF" w:rsidP="00C906FF">
      <w:r w:rsidRPr="0021251E">
        <w:fldChar w:fldCharType="begin"/>
      </w:r>
      <w:r w:rsidRPr="0021251E">
        <w:instrText xml:space="preserve"> AUTONUM  </w:instrText>
      </w:r>
      <w:r w:rsidRPr="0021251E">
        <w:fldChar w:fldCharType="end"/>
      </w:r>
      <w:r w:rsidRPr="0021251E">
        <w:tab/>
        <w:t>The TC, at its fifty-third session, held in Geneva from April 3 to 5, 2017, considered document TC/53/19</w:t>
      </w:r>
      <w:r>
        <w:t xml:space="preserve"> (see document TC/53/31 “Report”, paragraphs 120 to 125)</w:t>
      </w:r>
      <w:r w:rsidRPr="0021251E">
        <w:t>.</w:t>
      </w:r>
    </w:p>
    <w:p w:rsidR="00C906FF" w:rsidRPr="0021251E" w:rsidRDefault="00C906FF" w:rsidP="00C906FF"/>
    <w:p w:rsidR="00C906FF" w:rsidRPr="0021251E" w:rsidRDefault="00C906FF" w:rsidP="00C906FF">
      <w:r w:rsidRPr="0021251E">
        <w:fldChar w:fldCharType="begin"/>
      </w:r>
      <w:r w:rsidRPr="0021251E">
        <w:instrText xml:space="preserve"> AUTONUM  </w:instrText>
      </w:r>
      <w:r w:rsidRPr="0021251E">
        <w:fldChar w:fldCharType="end"/>
      </w:r>
      <w:r w:rsidRPr="0021251E">
        <w:tab/>
        <w:t xml:space="preserve">The TC noted that presentations had been made by France and the United Kingdom to the TWC, TWV and TWA, at their sessions in 2016, and noted the offers by Germany, the Netherlands and the United Kingdom to provide examples on selecting the most suitable approach for the assessment of off-types to the TWC, at its session in 2017.  </w:t>
      </w:r>
    </w:p>
    <w:p w:rsidR="00C906FF" w:rsidRPr="0021251E" w:rsidRDefault="00C906FF" w:rsidP="00C906FF">
      <w:pPr>
        <w:rPr>
          <w:snapToGrid w:val="0"/>
        </w:rPr>
      </w:pPr>
    </w:p>
    <w:p w:rsidR="00C906FF" w:rsidRPr="0021251E" w:rsidRDefault="00C906FF" w:rsidP="00C906FF">
      <w:pPr>
        <w:rPr>
          <w:rFonts w:cs="Arial"/>
        </w:rPr>
      </w:pPr>
      <w:r w:rsidRPr="0021251E">
        <w:fldChar w:fldCharType="begin"/>
      </w:r>
      <w:r w:rsidRPr="0021251E">
        <w:instrText xml:space="preserve"> AUTONUM  </w:instrText>
      </w:r>
      <w:r w:rsidRPr="0021251E">
        <w:fldChar w:fldCharType="end"/>
      </w:r>
      <w:r w:rsidRPr="0021251E">
        <w:tab/>
        <w:t xml:space="preserve">The TC noted </w:t>
      </w:r>
      <w:r w:rsidRPr="0021251E">
        <w:rPr>
          <w:rFonts w:cs="Arial"/>
        </w:rPr>
        <w:t>the offers from France, Germany, the Netherlands, Poland and the United Kingdom to provide examples comparing the possible effect on uniformity decisions between Approach 3 and the other approaches to be presented to the TWA, at its forty</w:t>
      </w:r>
      <w:r w:rsidRPr="0021251E">
        <w:rPr>
          <w:rFonts w:cs="Arial"/>
        </w:rPr>
        <w:noBreakHyphen/>
        <w:t>sixth session.</w:t>
      </w:r>
    </w:p>
    <w:p w:rsidR="00C906FF" w:rsidRPr="0021251E" w:rsidRDefault="00C906FF" w:rsidP="00C906FF">
      <w:pPr>
        <w:rPr>
          <w:rFonts w:cs="Arial"/>
        </w:rPr>
      </w:pPr>
    </w:p>
    <w:p w:rsidR="00C906FF" w:rsidRPr="00EB14A4" w:rsidRDefault="00C906FF" w:rsidP="00C906FF">
      <w:pPr>
        <w:rPr>
          <w:rFonts w:cs="Arial"/>
        </w:rPr>
      </w:pPr>
      <w:r w:rsidRPr="00EB14A4">
        <w:fldChar w:fldCharType="begin"/>
      </w:r>
      <w:r w:rsidRPr="00EB14A4">
        <w:instrText xml:space="preserve"> AUTONUM  </w:instrText>
      </w:r>
      <w:r w:rsidRPr="00EB14A4">
        <w:fldChar w:fldCharType="end"/>
      </w:r>
      <w:r w:rsidRPr="00EB14A4">
        <w:tab/>
        <w:t xml:space="preserve">The TC agreed to invite experts at the TWPs, at their sessions in 2017, to provide information on the </w:t>
      </w:r>
      <w:r w:rsidRPr="00EB14A4">
        <w:rPr>
          <w:rFonts w:cs="Arial"/>
        </w:rPr>
        <w:t>criteria for selecting the most suitable approach for the assessment of off-types on different types of crops.</w:t>
      </w:r>
    </w:p>
    <w:p w:rsidR="00C906FF" w:rsidRPr="00EB14A4" w:rsidRDefault="00C906FF" w:rsidP="00C906FF">
      <w:pPr>
        <w:rPr>
          <w:snapToGrid w:val="0"/>
        </w:rPr>
      </w:pPr>
    </w:p>
    <w:p w:rsidR="00C906FF" w:rsidRPr="0021251E" w:rsidRDefault="00C906FF" w:rsidP="00C906FF">
      <w:r w:rsidRPr="00EB14A4">
        <w:fldChar w:fldCharType="begin"/>
      </w:r>
      <w:r w:rsidRPr="00EB14A4">
        <w:instrText xml:space="preserve"> AUTONUM  </w:instrText>
      </w:r>
      <w:r w:rsidRPr="00EB14A4">
        <w:fldChar w:fldCharType="end"/>
      </w:r>
      <w:r w:rsidRPr="00EB14A4">
        <w:tab/>
        <w:t>The TC considered the draft guidance presented in Annexes I and II of document TC/53/19 as amended by the TWPs, at their sessions in 2016, for inclusion in a future revision of document TGP/10.  The TC agreed to invite the TWPs, at their sessions in 2017, to clarify in Annex I whether more general criteria should be considered for a variety to be rejected after a single growing cycle rather than the specific case of</w:t>
      </w:r>
      <w:r w:rsidRPr="0021251E">
        <w:t xml:space="preserve"> having exceeded the allowed number of off types in two growing cycles.</w:t>
      </w:r>
    </w:p>
    <w:p w:rsidR="00C906FF" w:rsidRPr="0021251E" w:rsidRDefault="00C906FF" w:rsidP="00C906FF"/>
    <w:p w:rsidR="00C906FF" w:rsidRPr="0021251E" w:rsidRDefault="00C906FF" w:rsidP="00C906FF">
      <w:pPr>
        <w:rPr>
          <w:snapToGrid w:val="0"/>
        </w:rPr>
      </w:pPr>
      <w:r w:rsidRPr="0021251E">
        <w:fldChar w:fldCharType="begin"/>
      </w:r>
      <w:r w:rsidRPr="0021251E">
        <w:instrText xml:space="preserve"> AUTONUM  </w:instrText>
      </w:r>
      <w:r w:rsidRPr="0021251E">
        <w:fldChar w:fldCharType="end"/>
      </w:r>
      <w:r w:rsidRPr="0021251E">
        <w:tab/>
        <w:t xml:space="preserve">The TC agreed that, </w:t>
      </w:r>
      <w:r w:rsidRPr="0021251E">
        <w:rPr>
          <w:snapToGrid w:val="0"/>
        </w:rPr>
        <w:t xml:space="preserve">in conjunction with the revision of document TGP/10, the </w:t>
      </w:r>
      <w:r w:rsidRPr="0021251E">
        <w:t>guidance in document </w:t>
      </w:r>
      <w:r w:rsidRPr="0021251E">
        <w:rPr>
          <w:snapToGrid w:val="0"/>
        </w:rPr>
        <w:t>TGP/8/2: Part II: 8: “The method of uniformity assessment on the basis of off</w:t>
      </w:r>
      <w:r w:rsidRPr="0021251E">
        <w:rPr>
          <w:snapToGrid w:val="0"/>
        </w:rPr>
        <w:noBreakHyphen/>
        <w:t>types” should be revised to reflect the practice within members of the Union on the use of methods for more than one single test (year).</w:t>
      </w:r>
    </w:p>
    <w:p w:rsidR="00C906FF" w:rsidRDefault="00C906FF" w:rsidP="00C906FF"/>
    <w:p w:rsidR="009658E2" w:rsidRDefault="009658E2" w:rsidP="00C906FF"/>
    <w:p w:rsidR="00E90CA9" w:rsidRDefault="00C76469" w:rsidP="00C76469">
      <w:pPr>
        <w:pStyle w:val="Heading2"/>
      </w:pPr>
      <w:bookmarkStart w:id="8" w:name="_Toc503952905"/>
      <w:r>
        <w:t>Comments by the Technical Working Parties</w:t>
      </w:r>
      <w:bookmarkEnd w:id="8"/>
    </w:p>
    <w:p w:rsidR="000E5BB2" w:rsidRPr="000E5BB2" w:rsidRDefault="000E5BB2" w:rsidP="000E5BB2"/>
    <w:p w:rsidR="000E5BB2" w:rsidRPr="000E5BB2" w:rsidRDefault="000E5BB2" w:rsidP="000E5BB2">
      <w:r w:rsidRPr="000E5BB2">
        <w:fldChar w:fldCharType="begin"/>
      </w:r>
      <w:r w:rsidRPr="000E5BB2">
        <w:instrText xml:space="preserve"> AUTONUM  </w:instrText>
      </w:r>
      <w:r w:rsidRPr="000E5BB2">
        <w:fldChar w:fldCharType="end"/>
      </w:r>
      <w:r w:rsidRPr="000E5BB2">
        <w:tab/>
        <w:t>The TWA, TWV, TWO, TWF and TWC</w:t>
      </w:r>
      <w:r w:rsidR="00C76469">
        <w:t>, at their sessions in 2017,</w:t>
      </w:r>
      <w:r w:rsidRPr="000E5BB2">
        <w:t xml:space="preserve"> considered document</w:t>
      </w:r>
      <w:r w:rsidR="00EB14A4">
        <w:t> </w:t>
      </w:r>
      <w:r w:rsidRPr="000E5BB2">
        <w:t>TWP/1/</w:t>
      </w:r>
      <w:r>
        <w:t>17</w:t>
      </w:r>
      <w:r w:rsidR="00C76469">
        <w:t> </w:t>
      </w:r>
      <w:r>
        <w:t>Rev.</w:t>
      </w:r>
      <w:r w:rsidRPr="000E5BB2">
        <w:t xml:space="preserve"> “Assessing Uniformity by Off-Types on the Basis of More than One Growing Cycle or on the Basis of Sub-Samples” (see documents TWA/46/10 “Report”, paragraphs </w:t>
      </w:r>
      <w:r>
        <w:t>2</w:t>
      </w:r>
      <w:r w:rsidRPr="000E5BB2">
        <w:t xml:space="preserve">8 </w:t>
      </w:r>
      <w:r>
        <w:t>to 35</w:t>
      </w:r>
      <w:r w:rsidRPr="000E5BB2">
        <w:t>; TWV/51/16, paragraphs </w:t>
      </w:r>
      <w:r>
        <w:t>39</w:t>
      </w:r>
      <w:r w:rsidRPr="000E5BB2">
        <w:t xml:space="preserve"> to </w:t>
      </w:r>
      <w:r>
        <w:t>47</w:t>
      </w:r>
      <w:r w:rsidRPr="000E5BB2">
        <w:t>; TWO/50/14 “Report”, paragraphs 19 to 21; TWF/48/13 “Report”, paragraphs 22 to 25; and TWC/35/21 “Report”, paragraphs 32 to 35).</w:t>
      </w:r>
    </w:p>
    <w:p w:rsidR="00FA1664" w:rsidRDefault="00FA1664" w:rsidP="00552ADC"/>
    <w:p w:rsidR="00552ADC" w:rsidRDefault="00552ADC" w:rsidP="00552ADC">
      <w:r w:rsidRPr="001061FC">
        <w:fldChar w:fldCharType="begin"/>
      </w:r>
      <w:r w:rsidRPr="001061FC">
        <w:instrText xml:space="preserve"> AUTONUM  </w:instrText>
      </w:r>
      <w:r w:rsidRPr="001061FC">
        <w:fldChar w:fldCharType="end"/>
      </w:r>
      <w:r w:rsidRPr="001061FC">
        <w:tab/>
        <w:t xml:space="preserve">The </w:t>
      </w:r>
      <w:r w:rsidR="00527E78">
        <w:t>TWPs</w:t>
      </w:r>
      <w:r w:rsidRPr="001061FC">
        <w:t xml:space="preserve"> considered the draft guidance in document TWP/1/17 Rev. for inclusion in a future revision of document TGP/10 “Examining Uniformity”</w:t>
      </w:r>
      <w:r w:rsidR="00EB14A4">
        <w:t xml:space="preserve"> and provided the following comments:</w:t>
      </w:r>
    </w:p>
    <w:p w:rsidR="00FA1664" w:rsidRDefault="00FA1664" w:rsidP="00FA1664"/>
    <w:p w:rsidR="00FA1664" w:rsidRDefault="00FA1664" w:rsidP="00FA1664">
      <w:pPr>
        <w:pStyle w:val="Heading3"/>
      </w:pPr>
      <w:bookmarkStart w:id="9" w:name="_Toc503952906"/>
      <w:r>
        <w:rPr>
          <w:rFonts w:eastAsia="MS Mincho"/>
          <w:color w:val="000000"/>
          <w:szCs w:val="24"/>
          <w:lang w:eastAsia="ja-JP"/>
        </w:rPr>
        <w:t>Environmental variation</w:t>
      </w:r>
      <w:bookmarkEnd w:id="9"/>
    </w:p>
    <w:p w:rsidR="00527E78" w:rsidRPr="001061FC" w:rsidRDefault="00527E78" w:rsidP="00552ADC"/>
    <w:p w:rsidR="00552ADC" w:rsidRPr="001061FC" w:rsidRDefault="00552ADC" w:rsidP="00552ADC">
      <w:r w:rsidRPr="00C76469">
        <w:fldChar w:fldCharType="begin"/>
      </w:r>
      <w:r w:rsidRPr="00C76469">
        <w:instrText xml:space="preserve"> AUTONUM  </w:instrText>
      </w:r>
      <w:r w:rsidRPr="00C76469">
        <w:fldChar w:fldCharType="end"/>
      </w:r>
      <w:r w:rsidRPr="00C76469">
        <w:tab/>
        <w:t xml:space="preserve">The </w:t>
      </w:r>
      <w:r w:rsidR="007A492B">
        <w:t xml:space="preserve">TWV, TWF and </w:t>
      </w:r>
      <w:r w:rsidRPr="00C76469">
        <w:t>TW</w:t>
      </w:r>
      <w:r w:rsidR="001F78CD" w:rsidRPr="00C76469">
        <w:t>C</w:t>
      </w:r>
      <w:r w:rsidRPr="00C76469">
        <w:t xml:space="preserve"> </w:t>
      </w:r>
      <w:r w:rsidR="001F78CD" w:rsidRPr="00C76469">
        <w:t>agreed with the TWA</w:t>
      </w:r>
      <w:r w:rsidRPr="00C76469">
        <w:t xml:space="preserve"> to propose that the new sentence introduced in the draft guidance, Annex I, should be amended to read as follows:</w:t>
      </w:r>
    </w:p>
    <w:p w:rsidR="00552ADC" w:rsidRPr="001061FC" w:rsidRDefault="00552ADC" w:rsidP="00552ADC"/>
    <w:p w:rsidR="00552ADC" w:rsidRPr="001061FC" w:rsidRDefault="00552ADC" w:rsidP="00552ADC">
      <w:pPr>
        <w:ind w:left="567" w:right="567"/>
        <w:rPr>
          <w:sz w:val="18"/>
          <w:u w:val="single"/>
          <w:lang w:eastAsia="zh-CN"/>
        </w:rPr>
      </w:pPr>
      <w:r w:rsidRPr="001061FC">
        <w:rPr>
          <w:sz w:val="18"/>
        </w:rPr>
        <w:t>“It is important to identify whether differences in number of off</w:t>
      </w:r>
      <w:r w:rsidRPr="001061FC">
        <w:rPr>
          <w:sz w:val="18"/>
        </w:rPr>
        <w:noBreakHyphen/>
        <w:t xml:space="preserve">types between growing cycles were due to </w:t>
      </w:r>
      <w:r w:rsidRPr="001061FC">
        <w:rPr>
          <w:strike/>
          <w:sz w:val="18"/>
          <w:highlight w:val="lightGray"/>
        </w:rPr>
        <w:t>biological</w:t>
      </w:r>
      <w:r w:rsidRPr="001061FC">
        <w:rPr>
          <w:sz w:val="18"/>
          <w:highlight w:val="lightGray"/>
          <w:u w:val="single"/>
        </w:rPr>
        <w:t xml:space="preserve"> environmental</w:t>
      </w:r>
      <w:r w:rsidRPr="001061FC">
        <w:rPr>
          <w:sz w:val="18"/>
          <w:u w:val="single"/>
        </w:rPr>
        <w:t xml:space="preserve"> </w:t>
      </w:r>
      <w:r w:rsidRPr="001061FC">
        <w:rPr>
          <w:sz w:val="18"/>
        </w:rPr>
        <w:t>reasons or sampling variation.”</w:t>
      </w:r>
      <w:r w:rsidRPr="001061FC">
        <w:rPr>
          <w:sz w:val="18"/>
          <w:u w:val="single"/>
        </w:rPr>
        <w:t xml:space="preserve"> </w:t>
      </w:r>
    </w:p>
    <w:p w:rsidR="00527E78" w:rsidRPr="001061FC" w:rsidRDefault="00527E78" w:rsidP="00527E78"/>
    <w:p w:rsidR="00527E78" w:rsidRPr="001061FC" w:rsidRDefault="00527E78" w:rsidP="00527E78">
      <w:r w:rsidRPr="001061FC">
        <w:fldChar w:fldCharType="begin"/>
      </w:r>
      <w:r w:rsidRPr="001061FC">
        <w:instrText xml:space="preserve"> AUTONUM  </w:instrText>
      </w:r>
      <w:r w:rsidRPr="001061FC">
        <w:fldChar w:fldCharType="end"/>
      </w:r>
      <w:r w:rsidRPr="001061FC">
        <w:tab/>
        <w:t xml:space="preserve">The </w:t>
      </w:r>
      <w:r w:rsidRPr="001061FC">
        <w:rPr>
          <w:lang w:eastAsia="zh-CN"/>
        </w:rPr>
        <w:t xml:space="preserve">TWF </w:t>
      </w:r>
      <w:r w:rsidR="007A492B">
        <w:rPr>
          <w:lang w:eastAsia="zh-CN"/>
        </w:rPr>
        <w:t>and</w:t>
      </w:r>
      <w:r w:rsidR="001F78CD">
        <w:t xml:space="preserve"> TWV </w:t>
      </w:r>
      <w:r w:rsidR="007A492B">
        <w:t xml:space="preserve">agreed </w:t>
      </w:r>
      <w:r w:rsidRPr="001061FC">
        <w:t>to propose a further clarification to the new sentence introduced in the draft guidance, Annex I, for all approaches to read as follows:</w:t>
      </w:r>
    </w:p>
    <w:p w:rsidR="00527E78" w:rsidRPr="001061FC" w:rsidRDefault="00527E78" w:rsidP="00527E78"/>
    <w:p w:rsidR="00527E78" w:rsidRPr="001061FC" w:rsidRDefault="00527E78" w:rsidP="00527E78">
      <w:pPr>
        <w:ind w:left="567" w:right="567"/>
        <w:rPr>
          <w:sz w:val="18"/>
          <w:u w:val="single"/>
        </w:rPr>
      </w:pPr>
      <w:r w:rsidRPr="001061FC">
        <w:rPr>
          <w:sz w:val="18"/>
        </w:rPr>
        <w:t>“It is important to identify whether differences in number of off</w:t>
      </w:r>
      <w:r w:rsidRPr="001061FC">
        <w:rPr>
          <w:sz w:val="18"/>
        </w:rPr>
        <w:noBreakHyphen/>
        <w:t xml:space="preserve">types between growing cycles were </w:t>
      </w:r>
      <w:r w:rsidRPr="001061FC">
        <w:rPr>
          <w:sz w:val="18"/>
          <w:highlight w:val="lightGray"/>
          <w:u w:val="single"/>
        </w:rPr>
        <w:t>not</w:t>
      </w:r>
      <w:r w:rsidRPr="001061FC">
        <w:rPr>
          <w:sz w:val="18"/>
        </w:rPr>
        <w:t xml:space="preserve"> due to </w:t>
      </w:r>
      <w:r w:rsidRPr="001061FC">
        <w:rPr>
          <w:strike/>
          <w:sz w:val="18"/>
          <w:highlight w:val="lightGray"/>
        </w:rPr>
        <w:t>biological</w:t>
      </w:r>
      <w:r w:rsidRPr="001061FC">
        <w:rPr>
          <w:sz w:val="18"/>
          <w:highlight w:val="lightGray"/>
          <w:u w:val="single"/>
        </w:rPr>
        <w:t xml:space="preserve"> environmental</w:t>
      </w:r>
      <w:r w:rsidRPr="001061FC">
        <w:rPr>
          <w:sz w:val="18"/>
          <w:u w:val="single"/>
        </w:rPr>
        <w:t xml:space="preserve"> </w:t>
      </w:r>
      <w:r w:rsidRPr="001061FC">
        <w:rPr>
          <w:sz w:val="18"/>
        </w:rPr>
        <w:t>reasons or sampling variation.”</w:t>
      </w:r>
      <w:r w:rsidRPr="001061FC">
        <w:rPr>
          <w:sz w:val="18"/>
          <w:u w:val="single"/>
        </w:rPr>
        <w:t xml:space="preserve"> </w:t>
      </w:r>
    </w:p>
    <w:p w:rsidR="00FA1664" w:rsidRDefault="00FA1664" w:rsidP="0015390A">
      <w:pPr>
        <w:keepNext/>
        <w:keepLines/>
      </w:pPr>
    </w:p>
    <w:p w:rsidR="00FA1664" w:rsidRDefault="00FA1664" w:rsidP="0015390A">
      <w:pPr>
        <w:pStyle w:val="Heading3"/>
        <w:keepLines/>
      </w:pPr>
      <w:bookmarkStart w:id="10" w:name="_Toc503952907"/>
      <w:r>
        <w:rPr>
          <w:rFonts w:eastAsia="MS Mincho"/>
          <w:color w:val="000000"/>
          <w:szCs w:val="24"/>
          <w:lang w:eastAsia="ja-JP"/>
        </w:rPr>
        <w:t>Criteria f</w:t>
      </w:r>
      <w:r w:rsidR="00EB14A4">
        <w:rPr>
          <w:rFonts w:eastAsia="MS Mincho"/>
          <w:color w:val="000000"/>
          <w:szCs w:val="24"/>
          <w:lang w:eastAsia="ja-JP"/>
        </w:rPr>
        <w:t xml:space="preserve">or rejecting a variety </w:t>
      </w:r>
      <w:r>
        <w:rPr>
          <w:rFonts w:eastAsia="MS Mincho"/>
          <w:color w:val="000000"/>
          <w:szCs w:val="24"/>
          <w:lang w:eastAsia="ja-JP"/>
        </w:rPr>
        <w:t>after a single growing cycle</w:t>
      </w:r>
      <w:bookmarkEnd w:id="10"/>
    </w:p>
    <w:p w:rsidR="00FA1664" w:rsidRDefault="00FA1664" w:rsidP="0015390A">
      <w:pPr>
        <w:keepNext/>
        <w:keepLines/>
      </w:pPr>
    </w:p>
    <w:p w:rsidR="00657340" w:rsidRDefault="00F10170" w:rsidP="0015390A">
      <w:pPr>
        <w:keepNext/>
        <w:keepLines/>
      </w:pPr>
      <w:r>
        <w:fldChar w:fldCharType="begin"/>
      </w:r>
      <w:r>
        <w:instrText xml:space="preserve"> AUTONUM  </w:instrText>
      </w:r>
      <w:r>
        <w:fldChar w:fldCharType="end"/>
      </w:r>
      <w:r>
        <w:tab/>
      </w:r>
      <w:r w:rsidRPr="00552ADC">
        <w:t xml:space="preserve">The </w:t>
      </w:r>
      <w:r>
        <w:t>TWPs</w:t>
      </w:r>
      <w:r w:rsidRPr="00552ADC">
        <w:t xml:space="preserve"> considered whether </w:t>
      </w:r>
      <w:r w:rsidR="00B417CA" w:rsidRPr="00552ADC">
        <w:t>more general criteria</w:t>
      </w:r>
      <w:r w:rsidRPr="00552ADC">
        <w:t xml:space="preserve"> should be used in Annex I for a variety to be rejected after a single growing cycle rather than the specific case of having exceeded the allowed number of off-types in two growing cycles.  </w:t>
      </w:r>
      <w:r w:rsidR="00657340">
        <w:t xml:space="preserve">The current proposed </w:t>
      </w:r>
      <w:r w:rsidR="00B417CA">
        <w:t>wording</w:t>
      </w:r>
      <w:r w:rsidR="00657340">
        <w:t xml:space="preserve"> reads as follows: </w:t>
      </w:r>
    </w:p>
    <w:p w:rsidR="00657340" w:rsidRDefault="00657340" w:rsidP="0015390A">
      <w:pPr>
        <w:keepNext/>
        <w:keepLines/>
      </w:pPr>
    </w:p>
    <w:p w:rsidR="00657340" w:rsidRPr="00657340" w:rsidRDefault="00657340" w:rsidP="0015390A">
      <w:pPr>
        <w:keepNext/>
        <w:keepLines/>
        <w:ind w:left="567" w:right="567"/>
        <w:rPr>
          <w:sz w:val="18"/>
        </w:rPr>
      </w:pPr>
      <w:r>
        <w:rPr>
          <w:rFonts w:eastAsia="SimSun"/>
          <w:sz w:val="18"/>
          <w:szCs w:val="24"/>
          <w:lang w:eastAsia="zh-CN"/>
        </w:rPr>
        <w:t xml:space="preserve">“[…] </w:t>
      </w:r>
      <w:r w:rsidRPr="00657340">
        <w:rPr>
          <w:rFonts w:eastAsia="SimSun"/>
          <w:sz w:val="18"/>
          <w:szCs w:val="24"/>
          <w:lang w:eastAsia="zh-CN"/>
        </w:rPr>
        <w:t>Furthermore, if a variety exceeds in the first growing cycle the allowed number of off-types in two growing cycles, the variety may be rejected after a single growing cycle.</w:t>
      </w:r>
      <w:r>
        <w:rPr>
          <w:rFonts w:eastAsia="SimSun"/>
          <w:sz w:val="18"/>
          <w:szCs w:val="24"/>
          <w:lang w:eastAsia="zh-CN"/>
        </w:rPr>
        <w:t>”</w:t>
      </w:r>
    </w:p>
    <w:p w:rsidR="00657340" w:rsidRPr="001061FC" w:rsidRDefault="00657340" w:rsidP="00F10170"/>
    <w:p w:rsidR="00F10170" w:rsidRPr="001061FC" w:rsidRDefault="00F10170" w:rsidP="00F10170">
      <w:pPr>
        <w:rPr>
          <w:rFonts w:cs="Arial"/>
        </w:rPr>
      </w:pPr>
      <w:r w:rsidRPr="00FA1664">
        <w:rPr>
          <w:snapToGrid w:val="0"/>
        </w:rPr>
        <w:fldChar w:fldCharType="begin"/>
      </w:r>
      <w:r w:rsidRPr="00FA1664">
        <w:rPr>
          <w:snapToGrid w:val="0"/>
        </w:rPr>
        <w:instrText xml:space="preserve"> AUTONUM  </w:instrText>
      </w:r>
      <w:r w:rsidRPr="00FA1664">
        <w:rPr>
          <w:snapToGrid w:val="0"/>
        </w:rPr>
        <w:fldChar w:fldCharType="end"/>
      </w:r>
      <w:r w:rsidRPr="00FA1664">
        <w:rPr>
          <w:snapToGrid w:val="0"/>
        </w:rPr>
        <w:tab/>
        <w:t xml:space="preserve">The TWA </w:t>
      </w:r>
      <w:r w:rsidRPr="00FA1664">
        <w:t xml:space="preserve">agreed to propose </w:t>
      </w:r>
      <w:r w:rsidR="006B6469" w:rsidRPr="00FA1664">
        <w:t>a more general criterion</w:t>
      </w:r>
      <w:r w:rsidRPr="00FA1664">
        <w:t xml:space="preserve"> for a variety to be rejected after a single growing cycle for inclusion in the different approaches of the draft guidance to read as follows:</w:t>
      </w:r>
    </w:p>
    <w:p w:rsidR="00F10170" w:rsidRPr="001061FC" w:rsidRDefault="00F10170" w:rsidP="00F10170"/>
    <w:p w:rsidR="00F10170" w:rsidRPr="001061FC" w:rsidRDefault="00F10170" w:rsidP="00F10170">
      <w:pPr>
        <w:ind w:left="567" w:right="567"/>
        <w:rPr>
          <w:sz w:val="18"/>
          <w:szCs w:val="18"/>
          <w:u w:val="single"/>
          <w:lang w:eastAsia="zh-CN"/>
        </w:rPr>
      </w:pPr>
      <w:r w:rsidRPr="001061FC">
        <w:rPr>
          <w:rFonts w:eastAsia="SimSun"/>
          <w:sz w:val="18"/>
          <w:szCs w:val="22"/>
          <w:highlight w:val="lightGray"/>
          <w:u w:val="single"/>
          <w:lang w:eastAsia="zh-CN"/>
        </w:rPr>
        <w:t>“If in the first growing cycle a variety exceeds a predefined upper limit of off-types the</w:t>
      </w:r>
      <w:r w:rsidRPr="001061FC">
        <w:rPr>
          <w:sz w:val="18"/>
          <w:szCs w:val="18"/>
          <w:highlight w:val="lightGray"/>
          <w:u w:val="single"/>
        </w:rPr>
        <w:t xml:space="preserve"> </w:t>
      </w:r>
      <w:r w:rsidRPr="006B6469">
        <w:rPr>
          <w:sz w:val="18"/>
          <w:szCs w:val="18"/>
        </w:rPr>
        <w:t>variety may be rejected after a single growing cycle.”</w:t>
      </w:r>
    </w:p>
    <w:p w:rsidR="00F10170" w:rsidRPr="001061FC" w:rsidRDefault="00F10170" w:rsidP="00F10170"/>
    <w:p w:rsidR="00F10170" w:rsidRPr="001061FC" w:rsidRDefault="00F10170" w:rsidP="00F10170">
      <w:r w:rsidRPr="00FA1664">
        <w:rPr>
          <w:snapToGrid w:val="0"/>
        </w:rPr>
        <w:fldChar w:fldCharType="begin"/>
      </w:r>
      <w:r w:rsidRPr="00FA1664">
        <w:rPr>
          <w:snapToGrid w:val="0"/>
        </w:rPr>
        <w:instrText xml:space="preserve"> AUTONUM  </w:instrText>
      </w:r>
      <w:r w:rsidRPr="00FA1664">
        <w:rPr>
          <w:snapToGrid w:val="0"/>
        </w:rPr>
        <w:fldChar w:fldCharType="end"/>
      </w:r>
      <w:r w:rsidRPr="00FA1664">
        <w:rPr>
          <w:snapToGrid w:val="0"/>
        </w:rPr>
        <w:tab/>
      </w:r>
      <w:r w:rsidRPr="00FA1664">
        <w:t xml:space="preserve">The TWA agreed that the </w:t>
      </w:r>
      <w:r w:rsidRPr="00FA1664">
        <w:rPr>
          <w:rFonts w:eastAsia="SimSun"/>
          <w:szCs w:val="24"/>
          <w:lang w:eastAsia="zh-CN"/>
        </w:rPr>
        <w:t>upper limit of off-types could be defined by each authority according to the approaches used for the assessment of uniformity by off-types.</w:t>
      </w:r>
    </w:p>
    <w:p w:rsidR="00F10170" w:rsidRPr="001061FC" w:rsidRDefault="00F10170" w:rsidP="00F10170"/>
    <w:p w:rsidR="00F10170" w:rsidRPr="001061FC" w:rsidRDefault="00F10170" w:rsidP="00F10170">
      <w:r w:rsidRPr="001061FC">
        <w:fldChar w:fldCharType="begin"/>
      </w:r>
      <w:r w:rsidRPr="001061FC">
        <w:instrText xml:space="preserve"> AUTONUM  </w:instrText>
      </w:r>
      <w:r w:rsidRPr="001061FC">
        <w:fldChar w:fldCharType="end"/>
      </w:r>
      <w:r w:rsidRPr="001061FC">
        <w:tab/>
        <w:t xml:space="preserve">The </w:t>
      </w:r>
      <w:r w:rsidR="006B6469">
        <w:t xml:space="preserve">TWF agreed with the </w:t>
      </w:r>
      <w:r w:rsidRPr="001061FC">
        <w:t>TWV to propose to modify the sentence for Approach 1 as follows:</w:t>
      </w:r>
    </w:p>
    <w:p w:rsidR="00F10170" w:rsidRPr="001061FC" w:rsidRDefault="00F10170" w:rsidP="00F10170">
      <w:pPr>
        <w:keepNext/>
        <w:keepLines/>
        <w:rPr>
          <w:rFonts w:eastAsia="SimSun"/>
          <w:szCs w:val="24"/>
          <w:lang w:eastAsia="zh-CN"/>
        </w:rPr>
      </w:pPr>
    </w:p>
    <w:p w:rsidR="00F10170" w:rsidRPr="001061FC" w:rsidRDefault="00F10170" w:rsidP="00F10170">
      <w:pPr>
        <w:keepNext/>
        <w:keepLines/>
        <w:ind w:left="567" w:right="567"/>
        <w:rPr>
          <w:rFonts w:eastAsia="SimSun"/>
          <w:sz w:val="18"/>
          <w:szCs w:val="24"/>
          <w:lang w:eastAsia="zh-CN"/>
        </w:rPr>
      </w:pPr>
      <w:r w:rsidRPr="001061FC">
        <w:rPr>
          <w:rFonts w:eastAsia="SimSun"/>
          <w:sz w:val="18"/>
          <w:szCs w:val="24"/>
          <w:lang w:eastAsia="zh-CN"/>
        </w:rPr>
        <w:t xml:space="preserve">“Furthermore, if a variety </w:t>
      </w:r>
      <w:r w:rsidRPr="001061FC">
        <w:rPr>
          <w:rFonts w:eastAsia="SimSun"/>
          <w:sz w:val="18"/>
          <w:szCs w:val="24"/>
          <w:highlight w:val="lightGray"/>
          <w:u w:val="single"/>
          <w:lang w:eastAsia="zh-CN"/>
        </w:rPr>
        <w:t>clearly</w:t>
      </w:r>
      <w:r w:rsidRPr="001061FC">
        <w:rPr>
          <w:rFonts w:eastAsia="SimSun"/>
          <w:sz w:val="18"/>
          <w:szCs w:val="24"/>
          <w:lang w:eastAsia="zh-CN"/>
        </w:rPr>
        <w:t xml:space="preserve"> exceeds in the first growing cycle the allowed number of off-types in two growing cycles, the variety may be rejected after a single growing cycle.</w:t>
      </w:r>
    </w:p>
    <w:p w:rsidR="00F10170" w:rsidRDefault="00F10170" w:rsidP="00F10170"/>
    <w:p w:rsidR="00F10170" w:rsidRPr="004E2894" w:rsidRDefault="00F10170" w:rsidP="006B6469">
      <w:pPr>
        <w:rPr>
          <w:rFonts w:eastAsia="SimSun"/>
          <w:sz w:val="18"/>
          <w:szCs w:val="24"/>
          <w:lang w:eastAsia="zh-CN"/>
        </w:rPr>
      </w:pPr>
      <w:r>
        <w:fldChar w:fldCharType="begin"/>
      </w:r>
      <w:r>
        <w:instrText xml:space="preserve"> AUTONUM  </w:instrText>
      </w:r>
      <w:r>
        <w:fldChar w:fldCharType="end"/>
      </w:r>
      <w:r>
        <w:tab/>
      </w:r>
      <w:r w:rsidRPr="00552ADC">
        <w:t>The TWC agreed that the predefined upper limit of the allowed number of off</w:t>
      </w:r>
      <w:r w:rsidRPr="00552ADC">
        <w:noBreakHyphen/>
        <w:t xml:space="preserve">types in two growing cycles was a useful reference for many crops and agreed to propose the draft guidance in approaches 1 and 2 to read as </w:t>
      </w:r>
      <w:r w:rsidR="006B6469">
        <w:t xml:space="preserve">proposed by the TWV and TWF. </w:t>
      </w:r>
    </w:p>
    <w:p w:rsidR="00026FFE" w:rsidRDefault="00026FFE" w:rsidP="00026FFE"/>
    <w:p w:rsidR="00026FFE" w:rsidRDefault="00026FFE" w:rsidP="00026FFE">
      <w:pPr>
        <w:pStyle w:val="Heading3"/>
      </w:pPr>
      <w:bookmarkStart w:id="11" w:name="_Toc503952908"/>
      <w:r w:rsidRPr="00026FFE">
        <w:t xml:space="preserve">Information on the </w:t>
      </w:r>
      <w:r w:rsidRPr="00026FFE">
        <w:rPr>
          <w:rFonts w:cs="Arial"/>
        </w:rPr>
        <w:t>criteria for selecting the most suitable approach</w:t>
      </w:r>
      <w:bookmarkEnd w:id="11"/>
      <w:r>
        <w:rPr>
          <w:rFonts w:eastAsia="MS Mincho"/>
          <w:color w:val="000000"/>
          <w:szCs w:val="24"/>
          <w:lang w:eastAsia="ja-JP"/>
        </w:rPr>
        <w:t xml:space="preserve"> </w:t>
      </w:r>
    </w:p>
    <w:p w:rsidR="001F78CD" w:rsidRDefault="00026FFE" w:rsidP="00026FFE">
      <w:pPr>
        <w:tabs>
          <w:tab w:val="left" w:pos="3852"/>
        </w:tabs>
      </w:pPr>
      <w:r>
        <w:tab/>
      </w:r>
    </w:p>
    <w:p w:rsidR="00552ADC" w:rsidRPr="001061FC" w:rsidRDefault="00552ADC" w:rsidP="00552ADC">
      <w:r w:rsidRPr="00EB14A4">
        <w:rPr>
          <w:snapToGrid w:val="0"/>
        </w:rPr>
        <w:fldChar w:fldCharType="begin"/>
      </w:r>
      <w:r w:rsidRPr="00EB14A4">
        <w:rPr>
          <w:snapToGrid w:val="0"/>
        </w:rPr>
        <w:instrText xml:space="preserve"> AUTONUM  </w:instrText>
      </w:r>
      <w:r w:rsidRPr="00EB14A4">
        <w:rPr>
          <w:snapToGrid w:val="0"/>
        </w:rPr>
        <w:fldChar w:fldCharType="end"/>
      </w:r>
      <w:r w:rsidRPr="00EB14A4">
        <w:rPr>
          <w:snapToGrid w:val="0"/>
        </w:rPr>
        <w:tab/>
        <w:t xml:space="preserve">The TWA received the following presentations </w:t>
      </w:r>
      <w:r w:rsidRPr="00EB14A4">
        <w:t>comparing the possible effect on uniformity decisions</w:t>
      </w:r>
      <w:r w:rsidRPr="001061FC">
        <w:t xml:space="preserve"> between Approach</w:t>
      </w:r>
      <w:r>
        <w:t xml:space="preserve">es 1 and 3 in document </w:t>
      </w:r>
      <w:r w:rsidRPr="00B03841">
        <w:t xml:space="preserve">TWP/1/17 Rev., </w:t>
      </w:r>
      <w:r w:rsidRPr="001061FC">
        <w:t>as reproduced in the Annexes to documents </w:t>
      </w:r>
      <w:r w:rsidRPr="00B03841">
        <w:t>TWA/46/4 and TWA/46/4 Add. (</w:t>
      </w:r>
      <w:proofErr w:type="gramStart"/>
      <w:r w:rsidRPr="00B03841">
        <w:t>in</w:t>
      </w:r>
      <w:proofErr w:type="gramEnd"/>
      <w:r w:rsidRPr="001061FC">
        <w:t xml:space="preserve"> alphabetical order):</w:t>
      </w:r>
    </w:p>
    <w:p w:rsidR="00552ADC" w:rsidRDefault="00552ADC" w:rsidP="00552ADC"/>
    <w:p w:rsidR="007A492B" w:rsidRDefault="007A492B" w:rsidP="007A492B">
      <w:pPr>
        <w:pStyle w:val="ListParagraph"/>
        <w:numPr>
          <w:ilvl w:val="0"/>
          <w:numId w:val="2"/>
        </w:numPr>
        <w:spacing w:line="276" w:lineRule="auto"/>
        <w:ind w:left="1134" w:right="567" w:hanging="567"/>
      </w:pPr>
      <w:r w:rsidRPr="007A492B">
        <w:rPr>
          <w:sz w:val="18"/>
        </w:rPr>
        <w:t>“Effect of different approaches for the assessment of uniformity by off-types – examples for Barley”, prepared by an expert from Germany</w:t>
      </w:r>
    </w:p>
    <w:p w:rsidR="007A492B" w:rsidRDefault="007A492B" w:rsidP="007A492B">
      <w:pPr>
        <w:pStyle w:val="ListParagraph"/>
        <w:numPr>
          <w:ilvl w:val="0"/>
          <w:numId w:val="2"/>
        </w:numPr>
        <w:spacing w:line="276" w:lineRule="auto"/>
        <w:ind w:left="1134" w:right="567" w:hanging="567"/>
      </w:pPr>
      <w:r w:rsidRPr="007A492B">
        <w:rPr>
          <w:snapToGrid w:val="0"/>
          <w:sz w:val="18"/>
        </w:rPr>
        <w:t>“Assessing Uniformity by Off-types on the basis of more than one Growing Cycle: examples from the Netherlands”, prepared by an expert from the Netherlands</w:t>
      </w:r>
    </w:p>
    <w:p w:rsidR="007A492B" w:rsidRDefault="007A492B" w:rsidP="007A492B">
      <w:pPr>
        <w:pStyle w:val="ListParagraph"/>
        <w:numPr>
          <w:ilvl w:val="0"/>
          <w:numId w:val="2"/>
        </w:numPr>
        <w:spacing w:line="276" w:lineRule="auto"/>
        <w:ind w:left="1134" w:right="567" w:hanging="567"/>
      </w:pPr>
      <w:r w:rsidRPr="007A492B">
        <w:rPr>
          <w:snapToGrid w:val="0"/>
          <w:sz w:val="18"/>
        </w:rPr>
        <w:t>“Assessing uniformity by off-types on the basis of more than one growing cycle in wheat” prepared by an expert from Poland</w:t>
      </w:r>
    </w:p>
    <w:p w:rsidR="007A492B" w:rsidRPr="001061FC" w:rsidRDefault="007A492B" w:rsidP="007A492B">
      <w:pPr>
        <w:pStyle w:val="ListParagraph"/>
        <w:numPr>
          <w:ilvl w:val="0"/>
          <w:numId w:val="2"/>
        </w:numPr>
        <w:spacing w:line="276" w:lineRule="auto"/>
        <w:ind w:left="1134" w:right="567" w:hanging="567"/>
      </w:pPr>
      <w:r w:rsidRPr="007A492B">
        <w:rPr>
          <w:snapToGrid w:val="0"/>
          <w:sz w:val="18"/>
        </w:rPr>
        <w:t>“The United Kingdom’s Experience with Winter Oilseed Rape (WOSR)” prepared by an expert from the United Kingdom</w:t>
      </w:r>
    </w:p>
    <w:p w:rsidR="00552ADC" w:rsidRPr="001061FC" w:rsidRDefault="00552ADC" w:rsidP="00552ADC">
      <w:pPr>
        <w:spacing w:before="120"/>
        <w:rPr>
          <w:snapToGrid w:val="0"/>
        </w:rPr>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The TWA noted the approaches used for the assessment of uniformity by off-types in Germany and Poland for cereals, in the Netherlands for tomato and in the United Kingdom for oilseed rape.</w:t>
      </w:r>
    </w:p>
    <w:p w:rsidR="00527E78" w:rsidRPr="001061FC" w:rsidRDefault="00527E78" w:rsidP="00527E78"/>
    <w:p w:rsidR="007A492B" w:rsidRDefault="00527E78" w:rsidP="00527E78">
      <w:pPr>
        <w:rPr>
          <w:rFonts w:cs="Arial"/>
        </w:rPr>
      </w:pPr>
      <w:r w:rsidRPr="001061FC">
        <w:fldChar w:fldCharType="begin"/>
      </w:r>
      <w:r w:rsidRPr="001061FC">
        <w:instrText xml:space="preserve"> AUTONUM  </w:instrText>
      </w:r>
      <w:r w:rsidRPr="001061FC">
        <w:fldChar w:fldCharType="end"/>
      </w:r>
      <w:r w:rsidRPr="001061FC">
        <w:tab/>
        <w:t xml:space="preserve">The TWV </w:t>
      </w:r>
      <w:r w:rsidR="007A492B">
        <w:t xml:space="preserve">and the TWC </w:t>
      </w:r>
      <w:r w:rsidRPr="001061FC">
        <w:t xml:space="preserve">received </w:t>
      </w:r>
      <w:r w:rsidR="007A492B">
        <w:t xml:space="preserve">the following presentation, as reproduced in </w:t>
      </w:r>
      <w:r w:rsidRPr="001061FC">
        <w:rPr>
          <w:rFonts w:cs="Arial"/>
        </w:rPr>
        <w:t>the Annex to document</w:t>
      </w:r>
      <w:r w:rsidR="007A492B">
        <w:rPr>
          <w:rFonts w:cs="Arial"/>
        </w:rPr>
        <w:t>s </w:t>
      </w:r>
      <w:r w:rsidRPr="00345028">
        <w:rPr>
          <w:rFonts w:cs="Arial"/>
        </w:rPr>
        <w:t>TWV/51/5</w:t>
      </w:r>
      <w:r w:rsidR="007A492B">
        <w:rPr>
          <w:rFonts w:cs="Arial"/>
        </w:rPr>
        <w:t xml:space="preserve"> and </w:t>
      </w:r>
      <w:r w:rsidR="00E00B86" w:rsidRPr="00552ADC">
        <w:t>TWC/35/8</w:t>
      </w:r>
      <w:r w:rsidR="007A492B">
        <w:rPr>
          <w:rFonts w:cs="Arial"/>
        </w:rPr>
        <w:t>:</w:t>
      </w:r>
    </w:p>
    <w:p w:rsidR="007A492B" w:rsidRDefault="007A492B" w:rsidP="00527E78">
      <w:pPr>
        <w:rPr>
          <w:rFonts w:cs="Arial"/>
        </w:rPr>
      </w:pPr>
    </w:p>
    <w:p w:rsidR="00527E78" w:rsidRPr="007A492B" w:rsidRDefault="007A492B" w:rsidP="007A492B">
      <w:pPr>
        <w:pStyle w:val="ListParagraph"/>
        <w:numPr>
          <w:ilvl w:val="0"/>
          <w:numId w:val="2"/>
        </w:numPr>
        <w:spacing w:line="276" w:lineRule="auto"/>
        <w:ind w:left="1134" w:right="567" w:hanging="567"/>
        <w:rPr>
          <w:snapToGrid w:val="0"/>
          <w:sz w:val="18"/>
        </w:rPr>
      </w:pPr>
      <w:r w:rsidRPr="007A492B">
        <w:rPr>
          <w:snapToGrid w:val="0"/>
          <w:sz w:val="18"/>
        </w:rPr>
        <w:t xml:space="preserve">“Assessing Uniformity by Off-types on the Basis of More than One Growing Cycle:  examples from </w:t>
      </w:r>
      <w:r>
        <w:rPr>
          <w:snapToGrid w:val="0"/>
          <w:sz w:val="18"/>
        </w:rPr>
        <w:t>the Netherlands</w:t>
      </w:r>
      <w:r w:rsidRPr="007A492B">
        <w:rPr>
          <w:snapToGrid w:val="0"/>
          <w:sz w:val="18"/>
        </w:rPr>
        <w:t xml:space="preserve">” by an expert from the Netherlands.  </w:t>
      </w:r>
    </w:p>
    <w:p w:rsidR="00527E78" w:rsidRPr="001061FC" w:rsidRDefault="00527E78" w:rsidP="00552ADC">
      <w:pPr>
        <w:rPr>
          <w:rFonts w:cs="Arial"/>
        </w:rPr>
      </w:pPr>
    </w:p>
    <w:p w:rsidR="00552ADC" w:rsidRPr="001061FC" w:rsidRDefault="00552ADC" w:rsidP="00552ADC">
      <w:pPr>
        <w:rPr>
          <w:snapToGrid w:val="0"/>
        </w:rPr>
      </w:pPr>
      <w:r w:rsidRPr="001061FC">
        <w:rPr>
          <w:snapToGrid w:val="0"/>
        </w:rPr>
        <w:fldChar w:fldCharType="begin"/>
      </w:r>
      <w:r w:rsidRPr="001061FC">
        <w:rPr>
          <w:snapToGrid w:val="0"/>
        </w:rPr>
        <w:instrText xml:space="preserve"> AUTONUM  </w:instrText>
      </w:r>
      <w:r w:rsidRPr="001061FC">
        <w:rPr>
          <w:snapToGrid w:val="0"/>
        </w:rPr>
        <w:fldChar w:fldCharType="end"/>
      </w:r>
      <w:r w:rsidRPr="001061FC">
        <w:rPr>
          <w:snapToGrid w:val="0"/>
        </w:rPr>
        <w:tab/>
        <w:t>The TWV agreed to recall that in the vegetable sector, Approach 1 was the most commonly used.</w:t>
      </w:r>
    </w:p>
    <w:p w:rsidR="00552ADC" w:rsidRPr="00552ADC" w:rsidRDefault="00552ADC" w:rsidP="00552ADC"/>
    <w:p w:rsidR="00552ADC" w:rsidRPr="00552ADC" w:rsidRDefault="00552ADC" w:rsidP="00552ADC">
      <w:r w:rsidRPr="00552ADC">
        <w:fldChar w:fldCharType="begin"/>
      </w:r>
      <w:r w:rsidRPr="00552ADC">
        <w:instrText xml:space="preserve"> AUTONUM  </w:instrText>
      </w:r>
      <w:r w:rsidRPr="00552ADC">
        <w:fldChar w:fldCharType="end"/>
      </w:r>
      <w:r w:rsidRPr="00552ADC">
        <w:tab/>
        <w:t xml:space="preserve">The TWC agreed that the different approaches used in the assessment of off-types on the basis of more than one growing cycle produced different results in some cases.  The TWC agreed that smaller sample sizes and number of off-types allowed (e.g. vegetable crops) could highlight borderline cases where different results could be produced when using different approaches.  </w:t>
      </w:r>
    </w:p>
    <w:p w:rsidR="00552ADC" w:rsidRPr="00552ADC" w:rsidRDefault="00552ADC" w:rsidP="00552ADC"/>
    <w:p w:rsidR="00C76469" w:rsidRDefault="00552ADC" w:rsidP="00552ADC">
      <w:r w:rsidRPr="00552ADC">
        <w:fldChar w:fldCharType="begin"/>
      </w:r>
      <w:r w:rsidRPr="00552ADC">
        <w:instrText xml:space="preserve"> AUTONUM  </w:instrText>
      </w:r>
      <w:r w:rsidRPr="00552ADC">
        <w:fldChar w:fldCharType="end"/>
      </w:r>
      <w:r w:rsidRPr="00552ADC">
        <w:tab/>
        <w:t xml:space="preserve">The TWC agreed that the different results obtained using the different approaches for the assessment of off-types on the basis of more than one growing cycle were due in part to the different risks of type I and type II errors associated with each approach.  </w:t>
      </w:r>
    </w:p>
    <w:p w:rsidR="00C76469" w:rsidRDefault="00C76469" w:rsidP="00552ADC"/>
    <w:p w:rsidR="00552ADC" w:rsidRPr="00552ADC" w:rsidRDefault="00C76469" w:rsidP="00552ADC">
      <w:r>
        <w:lastRenderedPageBreak/>
        <w:fldChar w:fldCharType="begin"/>
      </w:r>
      <w:r>
        <w:instrText xml:space="preserve"> AUTONUM  </w:instrText>
      </w:r>
      <w:r>
        <w:fldChar w:fldCharType="end"/>
      </w:r>
      <w:r>
        <w:tab/>
      </w:r>
      <w:r w:rsidR="00552ADC" w:rsidRPr="00552ADC">
        <w:t>The TWC agreed to invite the experts from Germany, the United Kingdom and other members of the Union to submit papers on the analysis of risks associated with each approach to be considered at its thirty</w:t>
      </w:r>
      <w:r w:rsidR="00E00B86">
        <w:noBreakHyphen/>
      </w:r>
      <w:r w:rsidR="00552ADC" w:rsidRPr="00552ADC">
        <w:t>sixth session.</w:t>
      </w:r>
    </w:p>
    <w:p w:rsidR="00E90CA9" w:rsidRDefault="00E90CA9" w:rsidP="00C906FF"/>
    <w:p w:rsidR="009658E2" w:rsidRPr="0021251E" w:rsidRDefault="009658E2" w:rsidP="00C906FF"/>
    <w:p w:rsidR="00C906FF" w:rsidRPr="0021251E" w:rsidRDefault="00C906FF" w:rsidP="00C906FF">
      <w:pPr>
        <w:pStyle w:val="Heading1"/>
      </w:pPr>
      <w:bookmarkStart w:id="12" w:name="_Toc503952909"/>
      <w:bookmarkStart w:id="13" w:name="_GoBack"/>
      <w:bookmarkEnd w:id="13"/>
      <w:r w:rsidRPr="0021251E">
        <w:t>Summary of approaches</w:t>
      </w:r>
      <w:bookmarkEnd w:id="5"/>
      <w:bookmarkEnd w:id="12"/>
    </w:p>
    <w:p w:rsidR="00C906FF" w:rsidRPr="0021251E" w:rsidRDefault="00C906FF" w:rsidP="00C906FF">
      <w:pPr>
        <w:keepNext/>
        <w:rPr>
          <w:rFonts w:cs="Arial"/>
          <w:caps/>
          <w:snapToGrid w:val="0"/>
        </w:rPr>
      </w:pPr>
    </w:p>
    <w:p w:rsidR="00C906FF" w:rsidRPr="0021251E" w:rsidRDefault="00C906FF" w:rsidP="00C906FF">
      <w:pPr>
        <w:rPr>
          <w:szCs w:val="24"/>
        </w:rPr>
      </w:pPr>
      <w:r w:rsidRPr="0021251E">
        <w:fldChar w:fldCharType="begin"/>
      </w:r>
      <w:r w:rsidRPr="0021251E">
        <w:instrText xml:space="preserve"> AUTONUM  </w:instrText>
      </w:r>
      <w:r w:rsidRPr="0021251E">
        <w:fldChar w:fldCharType="end"/>
      </w:r>
      <w:r w:rsidRPr="0021251E">
        <w:tab/>
      </w:r>
      <w:r w:rsidRPr="0021251E">
        <w:rPr>
          <w:szCs w:val="24"/>
        </w:rPr>
        <w:t xml:space="preserve">Annexes I and II to this document summarize different situations when different samples are combined for the overall assessment of uniformity of a variety in accordance with the conclusions of the TC at its </w:t>
      </w:r>
      <w:r w:rsidRPr="00B315FC">
        <w:rPr>
          <w:szCs w:val="24"/>
        </w:rPr>
        <w:t>fifty</w:t>
      </w:r>
      <w:r w:rsidRPr="00B315FC">
        <w:rPr>
          <w:szCs w:val="24"/>
        </w:rPr>
        <w:noBreakHyphen/>
        <w:t>third session</w:t>
      </w:r>
      <w:r w:rsidR="00A774D7">
        <w:rPr>
          <w:szCs w:val="24"/>
        </w:rPr>
        <w:t xml:space="preserve"> and on the basis of the proposals made by the TWPs, at their sessions in 2017, </w:t>
      </w:r>
      <w:r w:rsidRPr="00B315FC">
        <w:rPr>
          <w:szCs w:val="24"/>
        </w:rPr>
        <w:t>as follows:</w:t>
      </w:r>
    </w:p>
    <w:p w:rsidR="00C906FF" w:rsidRPr="0021251E" w:rsidRDefault="00C906FF" w:rsidP="00C906FF">
      <w:pPr>
        <w:jc w:val="left"/>
        <w:rPr>
          <w:szCs w:val="24"/>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C906FF" w:rsidRPr="0021251E" w:rsidTr="000E5BB2">
        <w:trPr>
          <w:cantSplit/>
          <w:trHeight w:val="1414"/>
          <w:jc w:val="center"/>
        </w:trPr>
        <w:tc>
          <w:tcPr>
            <w:tcW w:w="6664" w:type="dxa"/>
            <w:shd w:val="clear" w:color="auto" w:fill="E6E6E6"/>
          </w:tcPr>
          <w:p w:rsidR="00C906FF" w:rsidRPr="0021251E" w:rsidRDefault="00C906FF" w:rsidP="000E5BB2">
            <w:pPr>
              <w:jc w:val="center"/>
              <w:rPr>
                <w:rFonts w:cs="Arial"/>
                <w:sz w:val="18"/>
                <w:szCs w:val="22"/>
                <w:u w:val="single"/>
              </w:rPr>
            </w:pPr>
            <w:r w:rsidRPr="0021251E">
              <w:rPr>
                <w:rFonts w:cs="Arial"/>
                <w:sz w:val="18"/>
                <w:szCs w:val="22"/>
                <w:u w:val="single"/>
              </w:rPr>
              <w:t>Note for revisions of Annex I</w:t>
            </w:r>
          </w:p>
          <w:p w:rsidR="00C906FF" w:rsidRPr="0021251E" w:rsidRDefault="00C906FF" w:rsidP="000E5BB2">
            <w:pPr>
              <w:rPr>
                <w:rFonts w:cs="Arial"/>
                <w:sz w:val="18"/>
                <w:szCs w:val="22"/>
                <w:u w:val="single"/>
              </w:rPr>
            </w:pPr>
          </w:p>
          <w:p w:rsidR="00C906FF" w:rsidRPr="0021251E" w:rsidRDefault="00C906FF" w:rsidP="000E5BB2">
            <w:pPr>
              <w:rPr>
                <w:rFonts w:cs="Arial"/>
                <w:sz w:val="18"/>
                <w:szCs w:val="22"/>
              </w:rPr>
            </w:pPr>
            <w:r w:rsidRPr="0021251E">
              <w:rPr>
                <w:rFonts w:cs="Arial"/>
                <w:b/>
                <w:strike/>
                <w:sz w:val="18"/>
                <w:szCs w:val="22"/>
              </w:rPr>
              <w:t>Strikethrough</w:t>
            </w:r>
            <w:r w:rsidRPr="0021251E">
              <w:rPr>
                <w:rFonts w:cs="Arial"/>
                <w:b/>
                <w:sz w:val="18"/>
                <w:szCs w:val="22"/>
              </w:rPr>
              <w:t xml:space="preserve"> (highlighted)</w:t>
            </w:r>
            <w:r w:rsidRPr="0021251E">
              <w:rPr>
                <w:rFonts w:cs="Arial"/>
                <w:sz w:val="18"/>
                <w:szCs w:val="22"/>
              </w:rPr>
              <w:t xml:space="preserve"> indicates proposed deletion of text according to amendments proposed by the TWPs, at their sessions in 201</w:t>
            </w:r>
            <w:r w:rsidR="00E00B86">
              <w:rPr>
                <w:rFonts w:cs="Arial"/>
                <w:sz w:val="18"/>
                <w:szCs w:val="22"/>
              </w:rPr>
              <w:t>7</w:t>
            </w:r>
            <w:r w:rsidRPr="0021251E">
              <w:rPr>
                <w:rFonts w:cs="Arial"/>
                <w:sz w:val="18"/>
                <w:szCs w:val="22"/>
              </w:rPr>
              <w:t>.</w:t>
            </w:r>
          </w:p>
          <w:p w:rsidR="00C906FF" w:rsidRPr="0021251E" w:rsidRDefault="00C906FF" w:rsidP="000E5BB2">
            <w:pPr>
              <w:rPr>
                <w:rFonts w:cs="Arial"/>
                <w:sz w:val="18"/>
                <w:szCs w:val="22"/>
              </w:rPr>
            </w:pPr>
          </w:p>
          <w:p w:rsidR="00C906FF" w:rsidRDefault="00C906FF" w:rsidP="00E00B86">
            <w:pPr>
              <w:rPr>
                <w:rFonts w:cs="Arial"/>
                <w:sz w:val="18"/>
                <w:szCs w:val="22"/>
              </w:rPr>
            </w:pPr>
            <w:r w:rsidRPr="0021251E">
              <w:rPr>
                <w:rFonts w:cs="Arial"/>
                <w:b/>
                <w:sz w:val="18"/>
                <w:szCs w:val="22"/>
                <w:u w:val="single"/>
              </w:rPr>
              <w:t>Underlining</w:t>
            </w:r>
            <w:r w:rsidRPr="0021251E">
              <w:rPr>
                <w:rFonts w:cs="Arial"/>
                <w:b/>
                <w:sz w:val="18"/>
                <w:szCs w:val="22"/>
              </w:rPr>
              <w:t xml:space="preserve"> (highlighted)</w:t>
            </w:r>
            <w:r w:rsidRPr="0021251E">
              <w:rPr>
                <w:rFonts w:cs="Arial"/>
                <w:sz w:val="18"/>
                <w:szCs w:val="22"/>
              </w:rPr>
              <w:t xml:space="preserve"> indicates proposed insertion of text according to amendments proposed by the TWPs, at their sessions in 201</w:t>
            </w:r>
            <w:r w:rsidR="00E00B86">
              <w:rPr>
                <w:rFonts w:cs="Arial"/>
                <w:sz w:val="18"/>
                <w:szCs w:val="22"/>
              </w:rPr>
              <w:t>7</w:t>
            </w:r>
            <w:r w:rsidRPr="0021251E">
              <w:rPr>
                <w:rFonts w:cs="Arial"/>
                <w:sz w:val="18"/>
                <w:szCs w:val="22"/>
              </w:rPr>
              <w:t>.</w:t>
            </w:r>
          </w:p>
          <w:p w:rsidR="004E32ED" w:rsidRDefault="004E32ED" w:rsidP="00E00B86">
            <w:pPr>
              <w:rPr>
                <w:rFonts w:cs="Arial"/>
                <w:sz w:val="18"/>
                <w:szCs w:val="22"/>
              </w:rPr>
            </w:pPr>
          </w:p>
          <w:p w:rsidR="004E32ED" w:rsidRPr="0021251E" w:rsidRDefault="004E32ED" w:rsidP="00A774D7">
            <w:pPr>
              <w:rPr>
                <w:rFonts w:cs="Arial"/>
                <w:sz w:val="18"/>
                <w:szCs w:val="22"/>
              </w:rPr>
            </w:pPr>
            <w:r w:rsidRPr="004E32ED">
              <w:rPr>
                <w:rFonts w:cs="Arial"/>
                <w:b/>
                <w:sz w:val="18"/>
                <w:szCs w:val="22"/>
              </w:rPr>
              <w:t>[</w:t>
            </w:r>
            <w:r w:rsidRPr="00A774D7">
              <w:rPr>
                <w:rFonts w:cs="Arial"/>
                <w:b/>
                <w:sz w:val="18"/>
                <w:szCs w:val="22"/>
                <w:u w:val="single"/>
              </w:rPr>
              <w:t>Text in brackets</w:t>
            </w:r>
            <w:r w:rsidRPr="004E32ED">
              <w:rPr>
                <w:rFonts w:cs="Arial"/>
                <w:b/>
                <w:sz w:val="18"/>
                <w:szCs w:val="22"/>
              </w:rPr>
              <w:t xml:space="preserve">] </w:t>
            </w:r>
            <w:r w:rsidRPr="0021251E">
              <w:rPr>
                <w:rFonts w:cs="Arial"/>
                <w:b/>
                <w:sz w:val="18"/>
                <w:szCs w:val="22"/>
              </w:rPr>
              <w:t>(highlighted)</w:t>
            </w:r>
            <w:r>
              <w:rPr>
                <w:rFonts w:cs="Arial"/>
                <w:b/>
                <w:sz w:val="18"/>
                <w:szCs w:val="22"/>
              </w:rPr>
              <w:t xml:space="preserve"> </w:t>
            </w:r>
            <w:r>
              <w:rPr>
                <w:rFonts w:cs="Arial"/>
                <w:sz w:val="18"/>
                <w:szCs w:val="22"/>
              </w:rPr>
              <w:t xml:space="preserve">indicates </w:t>
            </w:r>
            <w:r w:rsidR="00A774D7">
              <w:rPr>
                <w:rFonts w:cs="Arial"/>
                <w:sz w:val="18"/>
                <w:szCs w:val="22"/>
              </w:rPr>
              <w:t xml:space="preserve">alternative proposals made by different </w:t>
            </w:r>
            <w:r>
              <w:rPr>
                <w:rFonts w:cs="Arial"/>
                <w:sz w:val="18"/>
                <w:szCs w:val="22"/>
              </w:rPr>
              <w:t>TWPs</w:t>
            </w:r>
          </w:p>
        </w:tc>
      </w:tr>
    </w:tbl>
    <w:p w:rsidR="00C906FF" w:rsidRPr="0021251E" w:rsidRDefault="00C906FF" w:rsidP="00C906FF">
      <w:pPr>
        <w:snapToGrid w:val="0"/>
        <w:jc w:val="left"/>
        <w:rPr>
          <w:szCs w:val="24"/>
        </w:rPr>
      </w:pPr>
    </w:p>
    <w:p w:rsidR="00C906FF" w:rsidRPr="0021251E" w:rsidRDefault="00C906FF" w:rsidP="00C906FF">
      <w:pPr>
        <w:rPr>
          <w:rFonts w:cs="Arial"/>
          <w:sz w:val="18"/>
          <w:szCs w:val="22"/>
          <w:u w:val="single"/>
        </w:rPr>
      </w:pPr>
    </w:p>
    <w:p w:rsidR="00C906FF" w:rsidRPr="0021251E" w:rsidRDefault="00C906FF" w:rsidP="00C906FF">
      <w:r w:rsidRPr="0021251E">
        <w:fldChar w:fldCharType="begin"/>
      </w:r>
      <w:r w:rsidRPr="0021251E">
        <w:instrText xml:space="preserve"> AUTONUM  </w:instrText>
      </w:r>
      <w:r w:rsidRPr="0021251E">
        <w:fldChar w:fldCharType="end"/>
      </w:r>
      <w:r w:rsidRPr="0021251E">
        <w:tab/>
        <w:t>The summary in Annexes I and II only relates to situations where more than one sample, or sub</w:t>
      </w:r>
      <w:r w:rsidRPr="0021251E">
        <w:noBreakHyphen/>
        <w:t xml:space="preserve">sample, </w:t>
      </w:r>
      <w:proofErr w:type="gramStart"/>
      <w:r w:rsidR="00C76469" w:rsidRPr="0021251E">
        <w:t>concern</w:t>
      </w:r>
      <w:proofErr w:type="gramEnd"/>
      <w:r w:rsidRPr="0021251E">
        <w:t xml:space="preserve"> the examination of the same characteristic.  In the case of different samples, or sub</w:t>
      </w:r>
      <w:r w:rsidRPr="0021251E">
        <w:noBreakHyphen/>
        <w:t>samples (e.g. special test), to examine a different characteristic there is no requirement to combine the results because a variety is required to be uniform for all relevant characteristics.</w:t>
      </w:r>
    </w:p>
    <w:p w:rsidR="004E32ED" w:rsidRPr="0021251E" w:rsidRDefault="004E32ED" w:rsidP="00C906FF">
      <w:pPr>
        <w:jc w:val="left"/>
        <w:rPr>
          <w:szCs w:val="24"/>
        </w:rPr>
      </w:pPr>
    </w:p>
    <w:p w:rsidR="001F6B71" w:rsidRPr="001F6B71" w:rsidRDefault="001F6B71" w:rsidP="001F6B71">
      <w:pPr>
        <w:pStyle w:val="DecisionParagraphs"/>
        <w:keepNext/>
        <w:tabs>
          <w:tab w:val="left" w:pos="567"/>
          <w:tab w:val="left" w:pos="1134"/>
        </w:tabs>
      </w:pPr>
      <w:r w:rsidRPr="001F6B71">
        <w:fldChar w:fldCharType="begin"/>
      </w:r>
      <w:r w:rsidRPr="001F6B71">
        <w:instrText xml:space="preserve"> AUTONUM  </w:instrText>
      </w:r>
      <w:r w:rsidRPr="001F6B71">
        <w:fldChar w:fldCharType="end"/>
      </w:r>
      <w:r w:rsidRPr="001F6B71">
        <w:tab/>
        <w:t xml:space="preserve">The TC-EDC is invited to: </w:t>
      </w:r>
    </w:p>
    <w:p w:rsidR="001F6B71" w:rsidRPr="001F6B71" w:rsidRDefault="001F6B71" w:rsidP="001F6B71">
      <w:pPr>
        <w:pStyle w:val="DecisionParagraphs"/>
        <w:keepLines/>
        <w:tabs>
          <w:tab w:val="left" w:pos="567"/>
          <w:tab w:val="left" w:pos="1134"/>
        </w:tabs>
        <w:ind w:firstLine="567"/>
        <w:rPr>
          <w:highlight w:val="cyan"/>
        </w:rPr>
      </w:pPr>
    </w:p>
    <w:p w:rsidR="001F6B71" w:rsidRPr="001F6B71" w:rsidRDefault="001F6B71" w:rsidP="001F6B71">
      <w:pPr>
        <w:pStyle w:val="DecisionParagraphs"/>
        <w:keepLines/>
        <w:tabs>
          <w:tab w:val="left" w:pos="567"/>
          <w:tab w:val="left" w:pos="1134"/>
        </w:tabs>
        <w:ind w:firstLine="567"/>
      </w:pPr>
      <w:r w:rsidRPr="001F6B71">
        <w:t>(a)</w:t>
      </w:r>
      <w:r w:rsidRPr="001F6B71">
        <w:tab/>
        <w:t>note that the TWC agreed to invite the experts from Germany, the United Kingdom and other members of the Union to submit papers on the analysis of risks associated with each approach for a</w:t>
      </w:r>
      <w:r w:rsidRPr="001F6B71">
        <w:rPr>
          <w:rFonts w:eastAsia="MS Mincho"/>
          <w:color w:val="000000"/>
          <w:szCs w:val="24"/>
          <w:lang w:eastAsia="ja-JP"/>
        </w:rPr>
        <w:t>ssessing uniformity by off-types on basis of more than one growing cycle</w:t>
      </w:r>
      <w:r w:rsidRPr="001F6B71">
        <w:t>, to be considered at its thirty</w:t>
      </w:r>
      <w:r w:rsidRPr="001F6B71">
        <w:noBreakHyphen/>
        <w:t>sixth session; and</w:t>
      </w:r>
    </w:p>
    <w:p w:rsidR="001F6B71" w:rsidRPr="001F6B71" w:rsidRDefault="001F6B71" w:rsidP="001F6B71">
      <w:pPr>
        <w:pStyle w:val="DecisionParagraphs"/>
        <w:keepNext/>
        <w:keepLines/>
        <w:tabs>
          <w:tab w:val="left" w:pos="567"/>
          <w:tab w:val="left" w:pos="1134"/>
        </w:tabs>
        <w:ind w:firstLine="567"/>
      </w:pPr>
    </w:p>
    <w:p w:rsidR="001F6B71" w:rsidRPr="001F6B71" w:rsidRDefault="001F6B71" w:rsidP="001F6B71">
      <w:pPr>
        <w:pStyle w:val="DecisionParagraphs"/>
        <w:keepLines/>
        <w:tabs>
          <w:tab w:val="left" w:pos="567"/>
          <w:tab w:val="left" w:pos="1134"/>
        </w:tabs>
        <w:ind w:firstLine="567"/>
      </w:pPr>
      <w:r w:rsidRPr="001F6B71">
        <w:t>(b)</w:t>
      </w:r>
      <w:r w:rsidRPr="001F6B71">
        <w:tab/>
      </w:r>
      <w:proofErr w:type="gramStart"/>
      <w:r w:rsidRPr="001F6B71">
        <w:t>consider</w:t>
      </w:r>
      <w:proofErr w:type="gramEnd"/>
      <w:r w:rsidRPr="001F6B71">
        <w:t xml:space="preserve"> the comments made by the TWPs, at their sessions in 2017, and formulate a proposal for further consideration by the TWPs, at their sessions in 2018.</w:t>
      </w:r>
    </w:p>
    <w:p w:rsidR="00C906FF" w:rsidRDefault="00C906FF" w:rsidP="00C906FF">
      <w:pPr>
        <w:pStyle w:val="DecisionParagraphs"/>
        <w:keepLines/>
        <w:tabs>
          <w:tab w:val="clear" w:pos="5387"/>
        </w:tabs>
        <w:ind w:left="4536" w:firstLine="567"/>
      </w:pPr>
    </w:p>
    <w:p w:rsidR="0015390A" w:rsidRDefault="0015390A" w:rsidP="00C906FF">
      <w:pPr>
        <w:pStyle w:val="DecisionParagraphs"/>
        <w:keepLines/>
        <w:tabs>
          <w:tab w:val="clear" w:pos="5387"/>
        </w:tabs>
        <w:ind w:left="4536" w:firstLine="567"/>
      </w:pPr>
    </w:p>
    <w:p w:rsidR="0015390A" w:rsidRPr="0021251E" w:rsidRDefault="0015390A" w:rsidP="00C906FF">
      <w:pPr>
        <w:pStyle w:val="DecisionParagraphs"/>
        <w:keepLines/>
        <w:tabs>
          <w:tab w:val="clear" w:pos="5387"/>
        </w:tabs>
        <w:ind w:left="4536" w:firstLine="567"/>
      </w:pPr>
    </w:p>
    <w:p w:rsidR="00C906FF" w:rsidRPr="0021251E" w:rsidRDefault="00C906FF" w:rsidP="00C906FF">
      <w:pPr>
        <w:jc w:val="right"/>
      </w:pPr>
      <w:r w:rsidRPr="0021251E">
        <w:t>[Annexes follow]</w:t>
      </w:r>
    </w:p>
    <w:p w:rsidR="00C906FF" w:rsidRPr="0021251E" w:rsidRDefault="00C906FF" w:rsidP="00C906FF"/>
    <w:p w:rsidR="00C906FF" w:rsidRPr="0021251E" w:rsidRDefault="00C906FF" w:rsidP="00C906FF">
      <w:pPr>
        <w:jc w:val="left"/>
        <w:sectPr w:rsidR="00C906FF" w:rsidRPr="0021251E" w:rsidSect="000E5BB2">
          <w:headerReference w:type="default" r:id="rId9"/>
          <w:pgSz w:w="11907" w:h="16840" w:code="9"/>
          <w:pgMar w:top="510" w:right="1134" w:bottom="993" w:left="1134" w:header="510" w:footer="680" w:gutter="0"/>
          <w:cols w:space="720"/>
          <w:titlePg/>
        </w:sectPr>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639"/>
      </w:tblGrid>
      <w:tr w:rsidR="00C906FF" w:rsidRPr="0021251E" w:rsidTr="000E5BB2">
        <w:trPr>
          <w:trHeight w:val="350"/>
        </w:trPr>
        <w:tc>
          <w:tcPr>
            <w:tcW w:w="9639" w:type="dxa"/>
          </w:tcPr>
          <w:p w:rsidR="00C906FF" w:rsidRPr="0021251E" w:rsidRDefault="00C906FF" w:rsidP="000E5BB2">
            <w:pPr>
              <w:autoSpaceDE w:val="0"/>
              <w:autoSpaceDN w:val="0"/>
              <w:adjustRightInd w:val="0"/>
              <w:jc w:val="center"/>
              <w:rPr>
                <w:rFonts w:eastAsia="SimSun"/>
                <w:szCs w:val="24"/>
                <w:lang w:eastAsia="zh-CN"/>
              </w:rPr>
            </w:pPr>
          </w:p>
          <w:p w:rsidR="00C906FF" w:rsidRPr="0021251E" w:rsidRDefault="00C906FF" w:rsidP="000E5BB2">
            <w:pPr>
              <w:autoSpaceDE w:val="0"/>
              <w:autoSpaceDN w:val="0"/>
              <w:adjustRightInd w:val="0"/>
              <w:jc w:val="center"/>
              <w:rPr>
                <w:rFonts w:eastAsia="SimSun"/>
                <w:szCs w:val="24"/>
                <w:lang w:eastAsia="zh-CN"/>
              </w:rPr>
            </w:pPr>
            <w:r w:rsidRPr="0021251E">
              <w:rPr>
                <w:rFonts w:eastAsia="SimSun"/>
                <w:szCs w:val="24"/>
                <w:lang w:eastAsia="zh-CN"/>
              </w:rPr>
              <w:t xml:space="preserve">ASSESSING UNIFORMITY BY OFF-TYPES ON BASIS OF MORE THAN ONE GROWING CYCLE </w:t>
            </w:r>
          </w:p>
          <w:p w:rsidR="00C906FF" w:rsidRPr="0021251E" w:rsidRDefault="00C906FF" w:rsidP="000E5BB2">
            <w:pPr>
              <w:autoSpaceDE w:val="0"/>
              <w:autoSpaceDN w:val="0"/>
              <w:adjustRightInd w:val="0"/>
              <w:jc w:val="center"/>
              <w:rPr>
                <w:rFonts w:eastAsia="SimSun"/>
                <w:szCs w:val="24"/>
                <w:lang w:eastAsia="zh-CN"/>
              </w:rPr>
            </w:pPr>
          </w:p>
        </w:tc>
      </w:tr>
      <w:tr w:rsidR="00C906FF" w:rsidRPr="0021251E" w:rsidTr="000E5BB2">
        <w:trPr>
          <w:trHeight w:val="5687"/>
        </w:trPr>
        <w:tc>
          <w:tcPr>
            <w:tcW w:w="9639" w:type="dxa"/>
          </w:tcPr>
          <w:p w:rsidR="00C906FF" w:rsidRPr="0021251E" w:rsidRDefault="00C906FF" w:rsidP="000E5BB2">
            <w:pPr>
              <w:rPr>
                <w:szCs w:val="24"/>
              </w:rPr>
            </w:pPr>
            <w:r w:rsidRPr="0021251E">
              <w:t xml:space="preserve">Two independent growing cycles could take place in a single location in different years, or in different locations in the same year, according to document TGP/8 Part </w:t>
            </w:r>
            <w:proofErr w:type="gramStart"/>
            <w:r w:rsidRPr="0021251E">
              <w:t>I</w:t>
            </w:r>
            <w:proofErr w:type="gramEnd"/>
            <w:r w:rsidRPr="0021251E">
              <w:t>, Sections 1.2 and 1.3.</w:t>
            </w:r>
          </w:p>
          <w:p w:rsidR="00C906FF" w:rsidRPr="0021251E" w:rsidRDefault="00C906FF" w:rsidP="000E5BB2">
            <w:pPr>
              <w:rPr>
                <w:szCs w:val="24"/>
              </w:rPr>
            </w:pPr>
          </w:p>
          <w:p w:rsidR="00C906FF" w:rsidRPr="00E00B86" w:rsidRDefault="00C906FF" w:rsidP="000E5BB2">
            <w:pPr>
              <w:rPr>
                <w:szCs w:val="24"/>
              </w:rPr>
            </w:pPr>
            <w:r w:rsidRPr="0021251E">
              <w:t xml:space="preserve">The following guidance is not intended to be used for the assessment of uniformity by off-types on the same plants in two growing cycles.  </w:t>
            </w:r>
            <w:r w:rsidRPr="00E00B86">
              <w:t>Results from growing cycles using different lots of plant material should not be combined.</w:t>
            </w:r>
          </w:p>
          <w:p w:rsidR="00C906FF" w:rsidRDefault="00C906FF" w:rsidP="000E5BB2">
            <w:pPr>
              <w:rPr>
                <w:szCs w:val="24"/>
              </w:rPr>
            </w:pPr>
          </w:p>
          <w:p w:rsidR="00064A00" w:rsidRPr="0021251E" w:rsidRDefault="00064A00" w:rsidP="000E5BB2">
            <w:pPr>
              <w:rPr>
                <w:szCs w:val="24"/>
              </w:rPr>
            </w:pPr>
          </w:p>
          <w:p w:rsidR="00C906FF" w:rsidRPr="0021251E" w:rsidRDefault="00C906FF" w:rsidP="000E5BB2">
            <w:pPr>
              <w:rPr>
                <w:b/>
                <w:szCs w:val="24"/>
              </w:rPr>
            </w:pPr>
            <w:r w:rsidRPr="0021251E">
              <w:rPr>
                <w:b/>
                <w:szCs w:val="24"/>
              </w:rPr>
              <w:t xml:space="preserve">Approach 1:  Third growing cycle in the case of inconsistent results </w:t>
            </w:r>
          </w:p>
          <w:p w:rsidR="00C906FF" w:rsidRPr="0021251E" w:rsidRDefault="00C906FF" w:rsidP="000E5BB2">
            <w:pPr>
              <w:jc w:val="center"/>
              <w:rPr>
                <w:b/>
                <w:szCs w:val="24"/>
              </w:rPr>
            </w:pPr>
          </w:p>
          <w:p w:rsidR="00C906FF" w:rsidRPr="0021251E" w:rsidRDefault="00C906FF" w:rsidP="000E5BB2">
            <w:pPr>
              <w:rPr>
                <w:rFonts w:eastAsia="SimSun"/>
                <w:szCs w:val="24"/>
                <w:lang w:eastAsia="zh-CN"/>
              </w:rPr>
            </w:pPr>
            <w:r w:rsidRPr="0021251E">
              <w:rPr>
                <w:rFonts w:eastAsia="SimSun"/>
                <w:szCs w:val="24"/>
                <w:lang w:eastAsia="zh-CN"/>
              </w:rPr>
              <w:t>A variety is considered uniform if it is within the uniformity standard in both of the two growing cycles.</w:t>
            </w:r>
          </w:p>
          <w:p w:rsidR="00C906FF" w:rsidRPr="0021251E" w:rsidRDefault="00C906FF" w:rsidP="000E5BB2">
            <w:pPr>
              <w:rPr>
                <w:rFonts w:eastAsia="SimSun"/>
                <w:szCs w:val="24"/>
                <w:lang w:eastAsia="zh-CN"/>
              </w:rPr>
            </w:pPr>
          </w:p>
          <w:p w:rsidR="00C906FF" w:rsidRPr="0021251E" w:rsidRDefault="00C906FF" w:rsidP="000E5BB2">
            <w:pPr>
              <w:rPr>
                <w:rFonts w:eastAsia="SimSun"/>
                <w:szCs w:val="24"/>
                <w:lang w:eastAsia="zh-CN"/>
              </w:rPr>
            </w:pPr>
            <w:r w:rsidRPr="0021251E">
              <w:rPr>
                <w:rFonts w:eastAsia="SimSun"/>
                <w:szCs w:val="24"/>
                <w:lang w:eastAsia="zh-CN"/>
              </w:rPr>
              <w:t>A variety is considered non-uniform if it fails to meet the uniformity standard in both of the two growing cycles.</w:t>
            </w:r>
          </w:p>
          <w:p w:rsidR="00C906FF" w:rsidRPr="0021251E" w:rsidRDefault="00C906FF" w:rsidP="000E5BB2">
            <w:pPr>
              <w:rPr>
                <w:rFonts w:eastAsia="SimSun"/>
                <w:szCs w:val="24"/>
                <w:lang w:eastAsia="zh-CN"/>
              </w:rPr>
            </w:pPr>
          </w:p>
          <w:p w:rsidR="00C906FF" w:rsidRPr="0021251E" w:rsidRDefault="00C906FF" w:rsidP="000E5BB2">
            <w:pPr>
              <w:keepNext/>
              <w:keepLines/>
              <w:rPr>
                <w:rFonts w:eastAsia="SimSun"/>
                <w:szCs w:val="24"/>
                <w:lang w:eastAsia="zh-CN"/>
              </w:rPr>
            </w:pPr>
            <w:r w:rsidRPr="0021251E">
              <w:rPr>
                <w:rFonts w:eastAsia="SimSun"/>
                <w:szCs w:val="24"/>
                <w:lang w:eastAsia="zh-CN"/>
              </w:rPr>
              <w:t>If at the end of the two growing cycles the variety is within the uniformity standard in one growing cycle but is not within the uniformity standard in the other growing cycle, then uniformity is assessed in a third growing cycle.  If in the third growing cycle the variety is within the uniformity standard, the variety is considered uniform.  If in the third growing cycle the variety fails to meet the uniformity standard, the variety is considered non-uniform.</w:t>
            </w:r>
          </w:p>
          <w:p w:rsidR="00C906FF" w:rsidRPr="0021251E" w:rsidRDefault="00C906FF" w:rsidP="000E5BB2">
            <w:pPr>
              <w:keepNext/>
              <w:keepLines/>
              <w:rPr>
                <w:color w:val="000000"/>
                <w:szCs w:val="24"/>
              </w:rPr>
            </w:pPr>
          </w:p>
          <w:p w:rsidR="00064A00" w:rsidRDefault="00C906FF" w:rsidP="000E5BB2">
            <w:pPr>
              <w:keepNext/>
              <w:keepLines/>
            </w:pPr>
            <w:r w:rsidRPr="0021251E">
              <w:rPr>
                <w:color w:val="000000"/>
                <w:szCs w:val="24"/>
              </w:rPr>
              <w:t xml:space="preserve">Care is needed when considering results that were very different in each of the growing cycles, such as when a type of off-type was observed at a high level in one growing cycle and was absent in another growing cycle.  </w:t>
            </w:r>
            <w:r w:rsidRPr="00E00B86">
              <w:t>It is important to identify whether differences in number of off</w:t>
            </w:r>
            <w:r w:rsidRPr="00E00B86">
              <w:noBreakHyphen/>
              <w:t xml:space="preserve">types between growing cycles were </w:t>
            </w:r>
            <w:r w:rsidR="004E32ED">
              <w:t>[</w:t>
            </w:r>
            <w:r w:rsidR="004E32ED" w:rsidRPr="004E32ED">
              <w:rPr>
                <w:highlight w:val="lightGray"/>
                <w:u w:val="single"/>
              </w:rPr>
              <w:t>not</w:t>
            </w:r>
            <w:r w:rsidR="004E32ED">
              <w:rPr>
                <w:u w:val="single"/>
              </w:rPr>
              <w:t>]</w:t>
            </w:r>
            <w:r w:rsidR="004E32ED" w:rsidRPr="004E32ED">
              <w:t xml:space="preserve"> </w:t>
            </w:r>
            <w:r w:rsidRPr="00E00B86">
              <w:t xml:space="preserve">due to </w:t>
            </w:r>
            <w:r w:rsidRPr="00E00B86">
              <w:rPr>
                <w:strike/>
                <w:highlight w:val="lightGray"/>
              </w:rPr>
              <w:t>biological</w:t>
            </w:r>
            <w:r w:rsidRPr="00E00B86">
              <w:t xml:space="preserve"> </w:t>
            </w:r>
            <w:r w:rsidR="00E00B86" w:rsidRPr="00E00B86">
              <w:rPr>
                <w:highlight w:val="lightGray"/>
                <w:u w:val="single"/>
              </w:rPr>
              <w:t>environmental</w:t>
            </w:r>
            <w:r w:rsidR="00E00B86" w:rsidRPr="00E00B86">
              <w:t xml:space="preserve"> </w:t>
            </w:r>
            <w:r w:rsidRPr="00E00B86">
              <w:t xml:space="preserve">reasons or sampling variation.  </w:t>
            </w:r>
          </w:p>
          <w:p w:rsidR="00064A00" w:rsidRDefault="00064A00" w:rsidP="000E5BB2">
            <w:pPr>
              <w:keepNext/>
              <w:keepLines/>
            </w:pPr>
          </w:p>
          <w:p w:rsidR="00C906FF" w:rsidRPr="00064A00" w:rsidRDefault="00064A00" w:rsidP="000E5BB2">
            <w:pPr>
              <w:keepNext/>
              <w:keepLines/>
              <w:rPr>
                <w:rFonts w:eastAsia="SimSun"/>
                <w:szCs w:val="24"/>
                <w:u w:val="single"/>
                <w:lang w:eastAsia="zh-CN"/>
              </w:rPr>
            </w:pPr>
            <w:r w:rsidRPr="004E32ED">
              <w:rPr>
                <w:rFonts w:eastAsia="SimSun"/>
                <w:szCs w:val="24"/>
                <w:u w:val="single"/>
                <w:lang w:eastAsia="zh-CN"/>
              </w:rPr>
              <w:t>[</w:t>
            </w:r>
            <w:r w:rsidRPr="00064A00">
              <w:rPr>
                <w:rFonts w:eastAsia="SimSun"/>
                <w:szCs w:val="24"/>
                <w:highlight w:val="lightGray"/>
                <w:u w:val="single"/>
                <w:lang w:eastAsia="zh-CN"/>
              </w:rPr>
              <w:t>Furthermore, if in the first growing cycle a variety exceeds a predefined upper limit of off-types the variety may be rejected after a single growing cycle.</w:t>
            </w:r>
            <w:r w:rsidRPr="004E32ED">
              <w:rPr>
                <w:rFonts w:eastAsia="SimSun"/>
                <w:szCs w:val="24"/>
                <w:u w:val="single"/>
                <w:lang w:eastAsia="zh-CN"/>
              </w:rPr>
              <w:t>]</w:t>
            </w:r>
            <w:r w:rsidRPr="004E32ED">
              <w:rPr>
                <w:u w:val="single"/>
              </w:rPr>
              <w:t xml:space="preserve"> / [</w:t>
            </w:r>
            <w:r w:rsidR="00C906FF" w:rsidRPr="00064A00">
              <w:rPr>
                <w:rFonts w:eastAsia="SimSun"/>
                <w:szCs w:val="24"/>
                <w:highlight w:val="lightGray"/>
                <w:u w:val="single"/>
                <w:lang w:eastAsia="zh-CN"/>
              </w:rPr>
              <w:t xml:space="preserve">Furthermore, if a variety </w:t>
            </w:r>
            <w:r w:rsidRPr="00064A00">
              <w:rPr>
                <w:rFonts w:eastAsia="SimSun"/>
                <w:szCs w:val="24"/>
                <w:highlight w:val="lightGray"/>
                <w:u w:val="single"/>
                <w:lang w:eastAsia="zh-CN"/>
              </w:rPr>
              <w:t xml:space="preserve">clearly </w:t>
            </w:r>
            <w:r w:rsidR="00C906FF" w:rsidRPr="00064A00">
              <w:rPr>
                <w:rFonts w:eastAsia="SimSun"/>
                <w:szCs w:val="24"/>
                <w:highlight w:val="lightGray"/>
                <w:u w:val="single"/>
                <w:lang w:eastAsia="zh-CN"/>
              </w:rPr>
              <w:t>exceeds in the first growing cycle the allowed number of off-types in two growing cycles, the variety may be rejected after a single growing cycle</w:t>
            </w:r>
            <w:r w:rsidRPr="004E32ED">
              <w:rPr>
                <w:rFonts w:eastAsia="SimSun"/>
                <w:szCs w:val="24"/>
                <w:u w:val="single"/>
                <w:lang w:eastAsia="zh-CN"/>
              </w:rPr>
              <w:t>]</w:t>
            </w:r>
            <w:r w:rsidRPr="00064A00">
              <w:rPr>
                <w:rFonts w:eastAsia="SimSun"/>
                <w:szCs w:val="24"/>
                <w:u w:val="single"/>
                <w:lang w:eastAsia="zh-CN"/>
              </w:rPr>
              <w:t xml:space="preserve"> </w:t>
            </w:r>
          </w:p>
          <w:p w:rsidR="00C906FF" w:rsidRDefault="00C906FF" w:rsidP="000E5BB2">
            <w:pPr>
              <w:keepNext/>
              <w:keepLines/>
              <w:rPr>
                <w:rFonts w:eastAsia="SimSun"/>
                <w:szCs w:val="24"/>
                <w:lang w:eastAsia="zh-CN"/>
              </w:rPr>
            </w:pPr>
          </w:p>
          <w:p w:rsidR="00064A00" w:rsidRPr="0021251E" w:rsidRDefault="00064A00" w:rsidP="000E5BB2">
            <w:pPr>
              <w:keepNext/>
              <w:keepLines/>
              <w:rPr>
                <w:rFonts w:eastAsia="SimSun"/>
                <w:szCs w:val="24"/>
                <w:lang w:eastAsia="zh-CN"/>
              </w:rPr>
            </w:pPr>
          </w:p>
          <w:p w:rsidR="00C906FF" w:rsidRPr="0021251E" w:rsidRDefault="00C906FF" w:rsidP="000E5BB2">
            <w:pPr>
              <w:rPr>
                <w:b/>
                <w:szCs w:val="24"/>
              </w:rPr>
            </w:pPr>
            <w:r w:rsidRPr="0021251E">
              <w:rPr>
                <w:b/>
                <w:szCs w:val="24"/>
              </w:rPr>
              <w:t>Approach 2:  Combining the results of two growing cycles in the case of inconsistent results</w:t>
            </w:r>
          </w:p>
          <w:p w:rsidR="00C906FF" w:rsidRPr="0021251E" w:rsidRDefault="00C906FF" w:rsidP="000E5BB2">
            <w:pPr>
              <w:keepNext/>
              <w:keepLines/>
              <w:rPr>
                <w:rFonts w:eastAsia="MS Mincho"/>
                <w:color w:val="000000"/>
                <w:lang w:eastAsia="ja-JP"/>
              </w:rPr>
            </w:pPr>
          </w:p>
          <w:p w:rsidR="00C906FF" w:rsidRPr="0021251E" w:rsidRDefault="00C906FF" w:rsidP="000E5BB2">
            <w:pPr>
              <w:rPr>
                <w:rFonts w:eastAsia="SimSun"/>
                <w:lang w:eastAsia="zh-CN"/>
              </w:rPr>
            </w:pPr>
            <w:r w:rsidRPr="0021251E">
              <w:rPr>
                <w:rFonts w:eastAsia="SimSun"/>
                <w:lang w:eastAsia="zh-CN"/>
              </w:rPr>
              <w:t>A variety is considered uniform if it is within the uniformity standard in both of the two growing cycles.</w:t>
            </w:r>
          </w:p>
          <w:p w:rsidR="00C906FF" w:rsidRPr="0021251E" w:rsidRDefault="00C906FF" w:rsidP="000E5BB2">
            <w:pPr>
              <w:rPr>
                <w:rFonts w:eastAsia="SimSun"/>
                <w:lang w:eastAsia="zh-CN"/>
              </w:rPr>
            </w:pPr>
          </w:p>
          <w:p w:rsidR="00C906FF" w:rsidRPr="0021251E" w:rsidRDefault="00C906FF" w:rsidP="000E5BB2">
            <w:pPr>
              <w:rPr>
                <w:rFonts w:eastAsia="SimSun"/>
                <w:lang w:eastAsia="zh-CN"/>
              </w:rPr>
            </w:pPr>
            <w:r w:rsidRPr="0021251E">
              <w:rPr>
                <w:rFonts w:eastAsia="SimSun"/>
                <w:lang w:eastAsia="zh-CN"/>
              </w:rPr>
              <w:t>A variety is considered non-uniform if it fails to meet the uniformity standard in both of the two growing cycles.</w:t>
            </w:r>
          </w:p>
          <w:p w:rsidR="00C906FF" w:rsidRPr="0021251E" w:rsidRDefault="00C906FF" w:rsidP="000E5BB2">
            <w:pPr>
              <w:rPr>
                <w:rFonts w:eastAsia="SimSun"/>
                <w:lang w:eastAsia="zh-CN"/>
              </w:rPr>
            </w:pPr>
          </w:p>
          <w:p w:rsidR="00C906FF" w:rsidRPr="0021251E" w:rsidRDefault="00C906FF" w:rsidP="000E5BB2">
            <w:pPr>
              <w:keepNext/>
              <w:keepLines/>
              <w:rPr>
                <w:rFonts w:eastAsia="SimSun"/>
                <w:lang w:eastAsia="zh-CN"/>
              </w:rPr>
            </w:pPr>
            <w:r w:rsidRPr="0021251E">
              <w:rPr>
                <w:rFonts w:eastAsia="SimSun"/>
                <w:lang w:eastAsia="zh-CN"/>
              </w:rPr>
              <w:t>If at the end of the two growing cycles the variety is within the uniformity standard in one growing cycle but is not within the uniformity standard in the other growing cycle, a</w:t>
            </w:r>
            <w:r w:rsidRPr="0021251E" w:rsidDel="00882017">
              <w:rPr>
                <w:rFonts w:eastAsia="SimSun"/>
                <w:lang w:eastAsia="zh-CN"/>
              </w:rPr>
              <w:t xml:space="preserve"> </w:t>
            </w:r>
            <w:r w:rsidRPr="0021251E">
              <w:rPr>
                <w:rFonts w:eastAsia="SimSun"/>
                <w:lang w:eastAsia="zh-CN"/>
              </w:rPr>
              <w:t>variety is considered uniform if the total number of off</w:t>
            </w:r>
            <w:r w:rsidRPr="0021251E">
              <w:rPr>
                <w:rFonts w:eastAsia="SimSun"/>
                <w:lang w:eastAsia="zh-CN"/>
              </w:rPr>
              <w:noBreakHyphen/>
              <w:t>types at the end of the two growing cycles does not exceed the number of allowed off-types for the sample size of growing cycles 1 and 2 combined.</w:t>
            </w:r>
          </w:p>
          <w:p w:rsidR="00C906FF" w:rsidRPr="0021251E" w:rsidRDefault="00C906FF" w:rsidP="000E5BB2">
            <w:pPr>
              <w:keepNext/>
              <w:keepLines/>
              <w:ind w:right="459"/>
              <w:rPr>
                <w:rFonts w:eastAsia="SimSun"/>
                <w:lang w:eastAsia="zh-CN"/>
              </w:rPr>
            </w:pPr>
          </w:p>
          <w:p w:rsidR="00C906FF" w:rsidRDefault="00C906FF" w:rsidP="000E5BB2">
            <w:pPr>
              <w:keepNext/>
              <w:keepLines/>
              <w:rPr>
                <w:rFonts w:eastAsia="SimSun"/>
                <w:szCs w:val="24"/>
                <w:lang w:eastAsia="zh-CN"/>
              </w:rPr>
            </w:pPr>
            <w:r w:rsidRPr="0021251E">
              <w:rPr>
                <w:rFonts w:eastAsia="SimSun"/>
                <w:lang w:eastAsia="zh-CN"/>
              </w:rPr>
              <w:t xml:space="preserve">Care is needed when considering results that were very different in each of the growing cycles, such as when a type of off-type was observed at a high level in one growing cycle and was absent in another growing cycle.  </w:t>
            </w:r>
            <w:r w:rsidRPr="00E00B86">
              <w:t xml:space="preserve">A statistical test for consistency should be applied when appropriate.  </w:t>
            </w:r>
            <w:r w:rsidR="00E00B86" w:rsidRPr="00E00B86">
              <w:t>It is important to identify whether differences in number of off</w:t>
            </w:r>
            <w:r w:rsidR="00E00B86" w:rsidRPr="00E00B86">
              <w:noBreakHyphen/>
              <w:t xml:space="preserve">types between growing cycles were </w:t>
            </w:r>
            <w:r w:rsidR="004E32ED">
              <w:t>[</w:t>
            </w:r>
            <w:r w:rsidR="004E32ED" w:rsidRPr="004E32ED">
              <w:rPr>
                <w:highlight w:val="lightGray"/>
                <w:u w:val="single"/>
              </w:rPr>
              <w:t>not</w:t>
            </w:r>
            <w:r w:rsidR="004E32ED">
              <w:rPr>
                <w:u w:val="single"/>
              </w:rPr>
              <w:t xml:space="preserve">] </w:t>
            </w:r>
            <w:r w:rsidR="00E00B86" w:rsidRPr="00E00B86">
              <w:t xml:space="preserve">due to </w:t>
            </w:r>
            <w:r w:rsidR="00E00B86" w:rsidRPr="00E00B86">
              <w:rPr>
                <w:strike/>
                <w:highlight w:val="lightGray"/>
              </w:rPr>
              <w:t>biological</w:t>
            </w:r>
            <w:r w:rsidR="00E00B86" w:rsidRPr="00E00B86">
              <w:t xml:space="preserve"> </w:t>
            </w:r>
            <w:r w:rsidR="00E00B86" w:rsidRPr="00E00B86">
              <w:rPr>
                <w:highlight w:val="lightGray"/>
                <w:u w:val="single"/>
              </w:rPr>
              <w:t>environmental</w:t>
            </w:r>
            <w:r w:rsidR="00E00B86" w:rsidRPr="00E00B86">
              <w:t xml:space="preserve"> reasons or sampling variation.</w:t>
            </w:r>
            <w:r w:rsidR="00E00B86">
              <w:t xml:space="preserve">  </w:t>
            </w:r>
          </w:p>
          <w:p w:rsidR="007C315B" w:rsidRDefault="007C315B" w:rsidP="007C315B">
            <w:pPr>
              <w:keepNext/>
              <w:keepLines/>
            </w:pPr>
          </w:p>
          <w:p w:rsidR="007C315B" w:rsidRPr="00064A00" w:rsidRDefault="007C315B" w:rsidP="007C315B">
            <w:pPr>
              <w:keepNext/>
              <w:keepLines/>
              <w:rPr>
                <w:rFonts w:eastAsia="SimSun"/>
                <w:szCs w:val="24"/>
                <w:u w:val="single"/>
                <w:lang w:eastAsia="zh-CN"/>
              </w:rPr>
            </w:pPr>
            <w:r w:rsidRPr="004E32ED">
              <w:rPr>
                <w:rFonts w:eastAsia="SimSun"/>
                <w:szCs w:val="24"/>
                <w:u w:val="single"/>
                <w:lang w:eastAsia="zh-CN"/>
              </w:rPr>
              <w:t>[</w:t>
            </w:r>
            <w:r w:rsidRPr="00064A00">
              <w:rPr>
                <w:rFonts w:eastAsia="SimSun"/>
                <w:szCs w:val="24"/>
                <w:highlight w:val="lightGray"/>
                <w:u w:val="single"/>
                <w:lang w:eastAsia="zh-CN"/>
              </w:rPr>
              <w:t>Furthermore, if in the first growing cycle a variety exceeds a predefined upper limit of off-types the variety may be rejected after a single growing cycle.</w:t>
            </w:r>
            <w:r w:rsidRPr="004E32ED">
              <w:rPr>
                <w:rFonts w:eastAsia="SimSun"/>
                <w:szCs w:val="24"/>
                <w:u w:val="single"/>
                <w:lang w:eastAsia="zh-CN"/>
              </w:rPr>
              <w:t>]</w:t>
            </w:r>
            <w:r w:rsidRPr="004E32ED">
              <w:rPr>
                <w:u w:val="single"/>
              </w:rPr>
              <w:t xml:space="preserve"> / [</w:t>
            </w:r>
            <w:r w:rsidRPr="00064A00">
              <w:rPr>
                <w:rFonts w:eastAsia="SimSun"/>
                <w:szCs w:val="24"/>
                <w:highlight w:val="lightGray"/>
                <w:u w:val="single"/>
                <w:lang w:eastAsia="zh-CN"/>
              </w:rPr>
              <w:t>Furthermore, if a variety clearly exceeds in the first growing cycle the allowed number of off-types in two growing cycles, the variety may be rejected after a single growing cycle</w:t>
            </w:r>
            <w:r w:rsidRPr="004E32ED">
              <w:rPr>
                <w:rFonts w:eastAsia="SimSun"/>
                <w:szCs w:val="24"/>
                <w:u w:val="single"/>
                <w:lang w:eastAsia="zh-CN"/>
              </w:rPr>
              <w:t>]</w:t>
            </w:r>
            <w:r w:rsidRPr="00064A00">
              <w:rPr>
                <w:rFonts w:eastAsia="SimSun"/>
                <w:szCs w:val="24"/>
                <w:u w:val="single"/>
                <w:lang w:eastAsia="zh-CN"/>
              </w:rPr>
              <w:t xml:space="preserve"> </w:t>
            </w:r>
          </w:p>
          <w:p w:rsidR="007C315B" w:rsidRDefault="007C315B" w:rsidP="007C315B">
            <w:pPr>
              <w:keepNext/>
              <w:keepLines/>
              <w:rPr>
                <w:rFonts w:eastAsia="SimSun"/>
                <w:szCs w:val="24"/>
                <w:lang w:eastAsia="zh-CN"/>
              </w:rPr>
            </w:pPr>
          </w:p>
          <w:p w:rsidR="00064A00" w:rsidRDefault="00064A00" w:rsidP="000E5BB2">
            <w:pPr>
              <w:keepNext/>
              <w:keepLines/>
              <w:rPr>
                <w:rFonts w:eastAsia="SimSun"/>
                <w:szCs w:val="24"/>
                <w:lang w:eastAsia="zh-CN"/>
              </w:rPr>
            </w:pPr>
          </w:p>
          <w:p w:rsidR="00064A00" w:rsidRDefault="00064A00" w:rsidP="000E5BB2">
            <w:pPr>
              <w:keepNext/>
              <w:keepLines/>
              <w:rPr>
                <w:rFonts w:eastAsia="SimSun"/>
                <w:szCs w:val="24"/>
                <w:lang w:eastAsia="zh-CN"/>
              </w:rPr>
            </w:pPr>
          </w:p>
          <w:p w:rsidR="00064A00" w:rsidRDefault="00064A00" w:rsidP="000E5BB2">
            <w:pPr>
              <w:keepNext/>
              <w:keepLines/>
              <w:rPr>
                <w:rFonts w:eastAsia="SimSun"/>
                <w:szCs w:val="24"/>
                <w:lang w:eastAsia="zh-CN"/>
              </w:rPr>
            </w:pPr>
          </w:p>
          <w:p w:rsidR="00064A00" w:rsidRPr="0021251E" w:rsidRDefault="00064A00" w:rsidP="000E5BB2">
            <w:pPr>
              <w:keepNext/>
              <w:keepLines/>
              <w:rPr>
                <w:rFonts w:eastAsia="SimSun"/>
                <w:szCs w:val="24"/>
                <w:lang w:eastAsia="zh-CN"/>
              </w:rPr>
            </w:pPr>
          </w:p>
          <w:p w:rsidR="00C906FF" w:rsidRPr="0021251E" w:rsidRDefault="00C906FF" w:rsidP="000E5BB2">
            <w:pPr>
              <w:keepNext/>
              <w:ind w:left="34"/>
              <w:rPr>
                <w:b/>
                <w:bCs/>
              </w:rPr>
            </w:pPr>
            <w:r w:rsidRPr="0021251E">
              <w:rPr>
                <w:b/>
                <w:bCs/>
              </w:rPr>
              <w:lastRenderedPageBreak/>
              <w:t>Approach 3:  Combining the results of two growing cycles</w:t>
            </w:r>
          </w:p>
          <w:p w:rsidR="00C906FF" w:rsidRPr="0021251E" w:rsidRDefault="00C906FF" w:rsidP="000E5BB2">
            <w:pPr>
              <w:keepNext/>
              <w:ind w:left="34"/>
            </w:pPr>
          </w:p>
          <w:p w:rsidR="00C906FF" w:rsidRPr="0021251E" w:rsidRDefault="00C906FF" w:rsidP="000E5BB2">
            <w:pPr>
              <w:ind w:left="34"/>
            </w:pPr>
            <w:r w:rsidRPr="0021251E">
              <w:t>A variety is considered uniform if the total number of off-types at the end of the two growing cycles does not exceed the number of allowed off-types for the combined sample.</w:t>
            </w:r>
          </w:p>
          <w:p w:rsidR="00C906FF" w:rsidRPr="0021251E" w:rsidRDefault="00C906FF" w:rsidP="000E5BB2">
            <w:pPr>
              <w:ind w:left="34"/>
            </w:pPr>
          </w:p>
          <w:p w:rsidR="00C906FF" w:rsidRPr="0021251E" w:rsidRDefault="00C906FF" w:rsidP="000E5BB2">
            <w:pPr>
              <w:ind w:left="34"/>
            </w:pPr>
            <w:r w:rsidRPr="0021251E">
              <w:t>A variety is considered non-uniform if the total number of off-types at the end of the two growing cycles exceeds the number of allowed off-types for the combined sample.</w:t>
            </w:r>
          </w:p>
          <w:p w:rsidR="00C906FF" w:rsidRPr="0021251E" w:rsidRDefault="00C906FF" w:rsidP="000E5BB2">
            <w:pPr>
              <w:ind w:left="34"/>
            </w:pPr>
          </w:p>
          <w:p w:rsidR="00C906FF" w:rsidRPr="0021251E" w:rsidRDefault="00C906FF" w:rsidP="000E5BB2">
            <w:pPr>
              <w:ind w:left="34"/>
            </w:pPr>
            <w:r w:rsidRPr="0021251E">
              <w:t>A variety may be rejected after a single growing cycle, if the number of off-types exceeds the number of allowed off-types for the combined sample (over two cycles).</w:t>
            </w:r>
          </w:p>
          <w:p w:rsidR="00C906FF" w:rsidRPr="0021251E" w:rsidRDefault="00C906FF" w:rsidP="000E5BB2">
            <w:pPr>
              <w:keepNext/>
              <w:keepLines/>
              <w:ind w:left="34"/>
            </w:pPr>
          </w:p>
          <w:p w:rsidR="00C906FF" w:rsidRPr="0021251E" w:rsidRDefault="00C906FF" w:rsidP="000E5BB2">
            <w:pPr>
              <w:keepNext/>
              <w:ind w:left="34"/>
              <w:rPr>
                <w:rFonts w:eastAsia="SimSun"/>
                <w:szCs w:val="24"/>
                <w:lang w:eastAsia="zh-CN"/>
              </w:rPr>
            </w:pPr>
            <w:r w:rsidRPr="0021251E">
              <w:t xml:space="preserve">Care is needed when considering results that are very different in each of the growing cycles, such as when a type of off-type is observed at a high level in one growing cycle and is absent in another growing cycle. </w:t>
            </w:r>
            <w:r w:rsidRPr="0021251E">
              <w:rPr>
                <w:rFonts w:eastAsia="SimSun"/>
                <w:lang w:eastAsia="zh-CN"/>
              </w:rPr>
              <w:t xml:space="preserve">A statistical test for consistency </w:t>
            </w:r>
            <w:r w:rsidRPr="00250F37">
              <w:rPr>
                <w:rFonts w:eastAsia="SimSun"/>
                <w:lang w:eastAsia="zh-CN"/>
              </w:rPr>
              <w:t>should be applied when appropriate.</w:t>
            </w:r>
            <w:r w:rsidRPr="0021251E">
              <w:rPr>
                <w:rFonts w:eastAsia="SimSun"/>
                <w:lang w:eastAsia="zh-CN"/>
              </w:rPr>
              <w:t xml:space="preserve">  </w:t>
            </w:r>
            <w:r w:rsidR="00E00B86" w:rsidRPr="00E00B86">
              <w:t>It is important to identify whether differences in number of off</w:t>
            </w:r>
            <w:r w:rsidR="00E00B86" w:rsidRPr="00E00B86">
              <w:noBreakHyphen/>
              <w:t xml:space="preserve">types between growing cycles were </w:t>
            </w:r>
            <w:r w:rsidR="004E32ED">
              <w:t>[</w:t>
            </w:r>
            <w:r w:rsidR="004E32ED" w:rsidRPr="004E32ED">
              <w:rPr>
                <w:highlight w:val="lightGray"/>
                <w:u w:val="single"/>
              </w:rPr>
              <w:t>not</w:t>
            </w:r>
            <w:r w:rsidR="004E32ED">
              <w:rPr>
                <w:u w:val="single"/>
              </w:rPr>
              <w:t>]</w:t>
            </w:r>
            <w:r w:rsidR="004E32ED" w:rsidRPr="00BF0BBE">
              <w:t xml:space="preserve"> </w:t>
            </w:r>
            <w:r w:rsidR="00E00B86" w:rsidRPr="00E00B86">
              <w:t xml:space="preserve">due to </w:t>
            </w:r>
            <w:r w:rsidR="00E00B86" w:rsidRPr="00E00B86">
              <w:rPr>
                <w:strike/>
                <w:highlight w:val="lightGray"/>
              </w:rPr>
              <w:t>biological</w:t>
            </w:r>
            <w:r w:rsidR="00E00B86" w:rsidRPr="00E00B86">
              <w:t xml:space="preserve"> </w:t>
            </w:r>
            <w:r w:rsidR="00E00B86" w:rsidRPr="00E00B86">
              <w:rPr>
                <w:highlight w:val="lightGray"/>
                <w:u w:val="single"/>
              </w:rPr>
              <w:t>environmental</w:t>
            </w:r>
            <w:r w:rsidR="00E00B86" w:rsidRPr="00E00B86">
              <w:t xml:space="preserve"> reasons or sampling variation.</w:t>
            </w:r>
            <w:r w:rsidRPr="0021251E">
              <w:rPr>
                <w:highlight w:val="lightGray"/>
                <w:u w:val="single"/>
              </w:rPr>
              <w:t xml:space="preserve">  </w:t>
            </w:r>
          </w:p>
          <w:p w:rsidR="00C906FF" w:rsidRPr="0021251E" w:rsidRDefault="00C906FF" w:rsidP="000E5BB2">
            <w:pPr>
              <w:keepNext/>
              <w:keepLines/>
              <w:rPr>
                <w:rFonts w:eastAsia="SimSun"/>
                <w:szCs w:val="24"/>
                <w:lang w:eastAsia="zh-CN"/>
              </w:rPr>
            </w:pPr>
          </w:p>
          <w:p w:rsidR="00C906FF" w:rsidRPr="0021251E" w:rsidRDefault="00C906FF" w:rsidP="000E5BB2">
            <w:pPr>
              <w:keepNext/>
              <w:keepLines/>
              <w:jc w:val="left"/>
              <w:rPr>
                <w:szCs w:val="24"/>
              </w:rPr>
            </w:pPr>
          </w:p>
          <w:p w:rsidR="00C906FF" w:rsidRPr="0021251E" w:rsidRDefault="00C906FF" w:rsidP="000E5BB2">
            <w:pPr>
              <w:keepNext/>
              <w:keepLines/>
              <w:jc w:val="left"/>
              <w:rPr>
                <w:szCs w:val="24"/>
              </w:rPr>
            </w:pPr>
            <w:r w:rsidRPr="0021251E">
              <w:rPr>
                <w:szCs w:val="24"/>
              </w:rPr>
              <w:t>Example:</w:t>
            </w:r>
          </w:p>
          <w:p w:rsidR="00C906FF" w:rsidRPr="0021251E" w:rsidRDefault="00C906FF" w:rsidP="000E5BB2">
            <w:pPr>
              <w:keepNext/>
              <w:keepLines/>
              <w:jc w:val="left"/>
              <w:rPr>
                <w:szCs w:val="24"/>
              </w:rPr>
            </w:pPr>
          </w:p>
          <w:tbl>
            <w:tblPr>
              <w:tblW w:w="9124" w:type="dxa"/>
              <w:tblInd w:w="600" w:type="dxa"/>
              <w:tblLayout w:type="fixed"/>
              <w:tblLook w:val="04A0" w:firstRow="1" w:lastRow="0" w:firstColumn="1" w:lastColumn="0" w:noHBand="0" w:noVBand="1"/>
            </w:tblPr>
            <w:tblGrid>
              <w:gridCol w:w="424"/>
              <w:gridCol w:w="696"/>
              <w:gridCol w:w="1134"/>
              <w:gridCol w:w="180"/>
              <w:gridCol w:w="954"/>
              <w:gridCol w:w="1807"/>
              <w:gridCol w:w="320"/>
              <w:gridCol w:w="1985"/>
              <w:gridCol w:w="1624"/>
            </w:tblGrid>
            <w:tr w:rsidR="00C906FF" w:rsidRPr="0021251E" w:rsidTr="000E5BB2">
              <w:trPr>
                <w:gridAfter w:val="1"/>
                <w:wAfter w:w="1624" w:type="dxa"/>
                <w:trHeight w:val="255"/>
              </w:trPr>
              <w:tc>
                <w:tcPr>
                  <w:tcW w:w="1120" w:type="dxa"/>
                  <w:gridSpan w:val="2"/>
                  <w:tcBorders>
                    <w:top w:val="nil"/>
                    <w:left w:val="nil"/>
                    <w:bottom w:val="nil"/>
                  </w:tcBorders>
                  <w:shd w:val="clear" w:color="auto" w:fill="auto"/>
                  <w:noWrap/>
                  <w:vAlign w:val="bottom"/>
                </w:tcPr>
                <w:p w:rsidR="00C906FF" w:rsidRPr="0021251E" w:rsidRDefault="00C906FF" w:rsidP="000E5BB2">
                  <w:pPr>
                    <w:jc w:val="left"/>
                    <w:rPr>
                      <w:rFonts w:cs="Arial"/>
                      <w:color w:val="000000"/>
                    </w:rPr>
                  </w:pPr>
                </w:p>
              </w:tc>
              <w:tc>
                <w:tcPr>
                  <w:tcW w:w="6380" w:type="dxa"/>
                  <w:gridSpan w:val="6"/>
                  <w:tcBorders>
                    <w:top w:val="nil"/>
                  </w:tcBorders>
                  <w:shd w:val="clear" w:color="auto" w:fill="auto"/>
                  <w:vAlign w:val="bottom"/>
                </w:tcPr>
                <w:p w:rsidR="00C906FF" w:rsidRPr="0021251E" w:rsidRDefault="00C906FF" w:rsidP="000E5BB2">
                  <w:pPr>
                    <w:jc w:val="left"/>
                    <w:rPr>
                      <w:rFonts w:cs="Arial"/>
                      <w:color w:val="000000"/>
                    </w:rPr>
                  </w:pPr>
                  <w:r w:rsidRPr="0021251E">
                    <w:rPr>
                      <w:rFonts w:cs="Arial"/>
                      <w:color w:val="000000"/>
                    </w:rPr>
                    <w:t xml:space="preserve">Population Standard  = 1%  </w:t>
                  </w:r>
                </w:p>
              </w:tc>
            </w:tr>
            <w:tr w:rsidR="00C906FF" w:rsidRPr="0021251E" w:rsidTr="000E5BB2">
              <w:trPr>
                <w:gridAfter w:val="1"/>
                <w:wAfter w:w="1624" w:type="dxa"/>
                <w:trHeight w:val="270"/>
              </w:trPr>
              <w:tc>
                <w:tcPr>
                  <w:tcW w:w="1120" w:type="dxa"/>
                  <w:gridSpan w:val="2"/>
                  <w:tcBorders>
                    <w:top w:val="nil"/>
                    <w:left w:val="nil"/>
                    <w:bottom w:val="nil"/>
                  </w:tcBorders>
                  <w:shd w:val="clear" w:color="auto" w:fill="auto"/>
                  <w:noWrap/>
                  <w:vAlign w:val="bottom"/>
                  <w:hideMark/>
                </w:tcPr>
                <w:p w:rsidR="00C906FF" w:rsidRPr="0021251E" w:rsidRDefault="00C906FF" w:rsidP="000E5BB2">
                  <w:pPr>
                    <w:jc w:val="left"/>
                    <w:rPr>
                      <w:rFonts w:cs="Arial"/>
                      <w:color w:val="000000"/>
                    </w:rPr>
                  </w:pPr>
                </w:p>
              </w:tc>
              <w:tc>
                <w:tcPr>
                  <w:tcW w:w="6380" w:type="dxa"/>
                  <w:gridSpan w:val="6"/>
                  <w:tcBorders>
                    <w:top w:val="nil"/>
                    <w:bottom w:val="single" w:sz="4" w:space="0" w:color="auto"/>
                  </w:tcBorders>
                  <w:shd w:val="clear" w:color="auto" w:fill="auto"/>
                  <w:vAlign w:val="bottom"/>
                </w:tcPr>
                <w:p w:rsidR="00C906FF" w:rsidRPr="0021251E" w:rsidRDefault="00C906FF" w:rsidP="000E5BB2">
                  <w:pPr>
                    <w:jc w:val="left"/>
                    <w:rPr>
                      <w:rFonts w:cs="Arial"/>
                      <w:color w:val="000000"/>
                    </w:rPr>
                  </w:pPr>
                  <w:r w:rsidRPr="0021251E">
                    <w:rPr>
                      <w:rFonts w:cs="Arial"/>
                      <w:color w:val="000000"/>
                    </w:rPr>
                    <w:t>Acceptance Probability ≥ 95%</w:t>
                  </w:r>
                </w:p>
              </w:tc>
            </w:tr>
            <w:tr w:rsidR="00C906FF" w:rsidRPr="0021251E" w:rsidTr="000E5BB2">
              <w:trPr>
                <w:gridBefore w:val="2"/>
                <w:gridAfter w:val="1"/>
                <w:wBefore w:w="1120" w:type="dxa"/>
                <w:wAfter w:w="1624" w:type="dxa"/>
                <w:trHeight w:val="255"/>
              </w:trPr>
              <w:tc>
                <w:tcPr>
                  <w:tcW w:w="6380" w:type="dxa"/>
                  <w:gridSpan w:val="6"/>
                  <w:tcBorders>
                    <w:top w:val="single" w:sz="4" w:space="0" w:color="auto"/>
                    <w:left w:val="single" w:sz="4" w:space="0" w:color="auto"/>
                    <w:bottom w:val="single" w:sz="6" w:space="0" w:color="auto"/>
                    <w:right w:val="single" w:sz="4" w:space="0" w:color="auto"/>
                  </w:tcBorders>
                  <w:shd w:val="clear" w:color="auto" w:fill="auto"/>
                  <w:vAlign w:val="bottom"/>
                </w:tcPr>
                <w:p w:rsidR="00C906FF" w:rsidRPr="0021251E" w:rsidRDefault="00C906FF" w:rsidP="000E5BB2">
                  <w:pPr>
                    <w:jc w:val="left"/>
                    <w:rPr>
                      <w:rFonts w:cs="Arial"/>
                      <w:color w:val="000000"/>
                    </w:rPr>
                  </w:pPr>
                  <w:r w:rsidRPr="0021251E">
                    <w:rPr>
                      <w:rFonts w:cs="Arial"/>
                      <w:color w:val="000000"/>
                    </w:rPr>
                    <w:t>Sample Size in each of growing cycles 1 and 2 = 50</w:t>
                  </w:r>
                </w:p>
              </w:tc>
            </w:tr>
            <w:tr w:rsidR="00C906FF" w:rsidRPr="0021251E" w:rsidTr="000E5BB2">
              <w:trPr>
                <w:gridBefore w:val="2"/>
                <w:gridAfter w:val="1"/>
                <w:wBefore w:w="1120" w:type="dxa"/>
                <w:wAfter w:w="1624" w:type="dxa"/>
                <w:trHeight w:val="270"/>
              </w:trPr>
              <w:tc>
                <w:tcPr>
                  <w:tcW w:w="6380" w:type="dxa"/>
                  <w:gridSpan w:val="6"/>
                  <w:tcBorders>
                    <w:top w:val="single" w:sz="6" w:space="0" w:color="auto"/>
                    <w:left w:val="single" w:sz="4" w:space="0" w:color="auto"/>
                    <w:bottom w:val="single" w:sz="4" w:space="0" w:color="auto"/>
                    <w:right w:val="single" w:sz="4" w:space="0" w:color="auto"/>
                  </w:tcBorders>
                  <w:shd w:val="clear" w:color="auto" w:fill="auto"/>
                  <w:vAlign w:val="bottom"/>
                </w:tcPr>
                <w:p w:rsidR="00C906FF" w:rsidRPr="0021251E" w:rsidRDefault="00C906FF" w:rsidP="000E5BB2">
                  <w:pPr>
                    <w:jc w:val="left"/>
                    <w:rPr>
                      <w:rFonts w:cs="Arial"/>
                      <w:color w:val="000000"/>
                    </w:rPr>
                  </w:pPr>
                  <w:r w:rsidRPr="0021251E">
                    <w:rPr>
                      <w:rFonts w:cs="Arial"/>
                      <w:color w:val="000000"/>
                    </w:rPr>
                    <w:t>Maximum number of Off-Types = 2</w:t>
                  </w:r>
                </w:p>
              </w:tc>
            </w:tr>
            <w:tr w:rsidR="00C906FF" w:rsidRPr="0021251E" w:rsidTr="000E5BB2">
              <w:trPr>
                <w:gridBefore w:val="2"/>
                <w:gridAfter w:val="1"/>
                <w:wBefore w:w="1120" w:type="dxa"/>
                <w:wAfter w:w="1624" w:type="dxa"/>
                <w:trHeight w:val="270"/>
              </w:trPr>
              <w:tc>
                <w:tcPr>
                  <w:tcW w:w="6380" w:type="dxa"/>
                  <w:gridSpan w:val="6"/>
                  <w:tcBorders>
                    <w:top w:val="single" w:sz="4" w:space="0" w:color="auto"/>
                    <w:left w:val="single" w:sz="4" w:space="0" w:color="auto"/>
                    <w:bottom w:val="nil"/>
                    <w:right w:val="single" w:sz="4" w:space="0" w:color="auto"/>
                  </w:tcBorders>
                  <w:shd w:val="clear" w:color="auto" w:fill="auto"/>
                  <w:vAlign w:val="bottom"/>
                </w:tcPr>
                <w:p w:rsidR="00C906FF" w:rsidRPr="0021251E" w:rsidRDefault="00C906FF" w:rsidP="000E5BB2">
                  <w:pPr>
                    <w:jc w:val="left"/>
                    <w:rPr>
                      <w:rFonts w:cs="Arial"/>
                      <w:color w:val="000000"/>
                    </w:rPr>
                  </w:pPr>
                  <w:r w:rsidRPr="0021251E">
                    <w:rPr>
                      <w:rFonts w:cs="Arial"/>
                      <w:color w:val="000000"/>
                    </w:rPr>
                    <w:t>Sample Size in growing cycles 1 and 2 combined = 100</w:t>
                  </w:r>
                </w:p>
              </w:tc>
            </w:tr>
            <w:tr w:rsidR="00C906FF" w:rsidRPr="0021251E" w:rsidTr="000E5BB2">
              <w:trPr>
                <w:gridBefore w:val="2"/>
                <w:gridAfter w:val="1"/>
                <w:wBefore w:w="1120"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C906FF" w:rsidRPr="0021251E" w:rsidRDefault="00C906FF" w:rsidP="000E5BB2">
                  <w:pPr>
                    <w:jc w:val="left"/>
                    <w:rPr>
                      <w:rFonts w:cs="Arial"/>
                      <w:color w:val="000000"/>
                    </w:rPr>
                  </w:pPr>
                  <w:r w:rsidRPr="0021251E">
                    <w:rPr>
                      <w:rFonts w:cs="Arial"/>
                      <w:color w:val="000000"/>
                    </w:rPr>
                    <w:t>Maximum number of Off-Types = 3</w:t>
                  </w:r>
                </w:p>
              </w:tc>
            </w:tr>
            <w:tr w:rsidR="00C906FF" w:rsidRPr="0021251E" w:rsidTr="000E5BB2">
              <w:trPr>
                <w:gridBefore w:val="2"/>
                <w:gridAfter w:val="1"/>
                <w:wBefore w:w="1120"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C906FF" w:rsidRPr="0021251E" w:rsidRDefault="00C906FF" w:rsidP="000E5BB2">
                  <w:pPr>
                    <w:jc w:val="left"/>
                    <w:rPr>
                      <w:rFonts w:cs="Arial"/>
                      <w:color w:val="000000"/>
                    </w:rPr>
                  </w:pPr>
                  <w:r w:rsidRPr="0021251E">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C906FF" w:rsidRPr="0021251E" w:rsidRDefault="00C906FF" w:rsidP="000E5BB2">
                  <w:pPr>
                    <w:jc w:val="left"/>
                    <w:rPr>
                      <w:rFonts w:cs="Arial"/>
                      <w:color w:val="000000"/>
                    </w:rPr>
                  </w:pPr>
                  <w:r w:rsidRPr="0021251E">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C906FF" w:rsidRPr="0021251E" w:rsidRDefault="00C906FF" w:rsidP="000E5BB2">
                  <w:pPr>
                    <w:jc w:val="left"/>
                    <w:rPr>
                      <w:rFonts w:cs="Arial"/>
                      <w:color w:val="000000"/>
                    </w:rPr>
                  </w:pPr>
                  <w:r w:rsidRPr="0021251E">
                    <w:rPr>
                      <w:rFonts w:cs="Arial"/>
                      <w:color w:val="000000"/>
                    </w:rPr>
                    <w:t> </w:t>
                  </w:r>
                </w:p>
              </w:tc>
              <w:tc>
                <w:tcPr>
                  <w:tcW w:w="2305" w:type="dxa"/>
                  <w:gridSpan w:val="2"/>
                  <w:tcBorders>
                    <w:top w:val="nil"/>
                    <w:left w:val="nil"/>
                    <w:bottom w:val="single" w:sz="4" w:space="0" w:color="auto"/>
                  </w:tcBorders>
                  <w:shd w:val="clear" w:color="auto" w:fill="auto"/>
                  <w:noWrap/>
                  <w:vAlign w:val="bottom"/>
                  <w:hideMark/>
                </w:tcPr>
                <w:p w:rsidR="00C906FF" w:rsidRPr="0021251E" w:rsidRDefault="00C906FF" w:rsidP="000E5BB2">
                  <w:pPr>
                    <w:jc w:val="left"/>
                    <w:rPr>
                      <w:rFonts w:cs="Arial"/>
                      <w:color w:val="000000"/>
                    </w:rPr>
                  </w:pPr>
                  <w:r w:rsidRPr="0021251E">
                    <w:rPr>
                      <w:rFonts w:cs="Arial"/>
                      <w:color w:val="000000"/>
                    </w:rPr>
                    <w:t> </w:t>
                  </w:r>
                </w:p>
              </w:tc>
            </w:tr>
            <w:tr w:rsidR="00C906FF" w:rsidRPr="0021251E" w:rsidTr="000E5BB2">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rsidR="00C906FF" w:rsidRPr="0021251E" w:rsidRDefault="00C906FF" w:rsidP="000E5BB2">
                  <w:pPr>
                    <w:jc w:val="left"/>
                    <w:rPr>
                      <w:rFonts w:cs="Arial"/>
                      <w:color w:val="000000"/>
                    </w:rPr>
                  </w:pPr>
                  <w:r w:rsidRPr="0021251E">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C906FF" w:rsidRPr="0021251E" w:rsidRDefault="00C906FF" w:rsidP="000E5BB2">
                  <w:pPr>
                    <w:jc w:val="center"/>
                    <w:rPr>
                      <w:rFonts w:cs="Arial"/>
                      <w:color w:val="000000"/>
                    </w:rPr>
                  </w:pPr>
                  <w:r w:rsidRPr="0021251E">
                    <w:rPr>
                      <w:rFonts w:cs="Arial"/>
                      <w:color w:val="000000"/>
                    </w:rPr>
                    <w:t>Growing cycle</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C906FF" w:rsidRPr="0021251E" w:rsidRDefault="00C906FF" w:rsidP="000E5BB2">
                  <w:pPr>
                    <w:jc w:val="center"/>
                  </w:pPr>
                  <w:r w:rsidRPr="0021251E">
                    <w:rPr>
                      <w:rFonts w:cs="Arial"/>
                      <w:color w:val="000000"/>
                    </w:rPr>
                    <w:t>Decision</w:t>
                  </w:r>
                </w:p>
              </w:tc>
            </w:tr>
            <w:tr w:rsidR="00C906FF" w:rsidRPr="0021251E" w:rsidTr="000E5BB2">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rsidR="00C906FF" w:rsidRPr="0021251E" w:rsidRDefault="00C906FF" w:rsidP="000E5BB2">
                  <w:pPr>
                    <w:jc w:val="left"/>
                    <w:rPr>
                      <w:rFonts w:cs="Arial"/>
                      <w:color w:val="000000"/>
                    </w:rPr>
                  </w:pPr>
                  <w:r w:rsidRPr="0021251E">
                    <w:rPr>
                      <w:rFonts w:cs="Arial"/>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C906FF" w:rsidRPr="0021251E" w:rsidRDefault="00C906FF" w:rsidP="000E5BB2">
                  <w:pPr>
                    <w:spacing w:after="100" w:afterAutospacing="1"/>
                    <w:jc w:val="center"/>
                    <w:rPr>
                      <w:rFonts w:cs="Arial"/>
                      <w:color w:val="000000"/>
                    </w:rPr>
                  </w:pPr>
                  <w:r w:rsidRPr="0021251E">
                    <w:rPr>
                      <w:rFonts w:cs="Arial"/>
                      <w:color w:val="000000"/>
                    </w:rPr>
                    <w:t>First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C906FF" w:rsidRPr="0021251E" w:rsidRDefault="00C906FF" w:rsidP="000E5BB2">
                  <w:pPr>
                    <w:jc w:val="center"/>
                    <w:rPr>
                      <w:rFonts w:cs="Arial"/>
                      <w:color w:val="000000"/>
                    </w:rPr>
                  </w:pPr>
                  <w:r w:rsidRPr="0021251E">
                    <w:rPr>
                      <w:rFonts w:cs="Arial"/>
                      <w:color w:val="000000"/>
                    </w:rPr>
                    <w:t>Second</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C906FF" w:rsidRPr="0021251E" w:rsidRDefault="00C906FF" w:rsidP="000E5BB2">
                  <w:pPr>
                    <w:jc w:val="center"/>
                    <w:rPr>
                      <w:rFonts w:cs="Arial"/>
                      <w:color w:val="000000"/>
                    </w:rPr>
                  </w:pPr>
                  <w:r w:rsidRPr="0021251E">
                    <w:rPr>
                      <w:rFonts w:cs="Arial"/>
                      <w:color w:val="000000"/>
                    </w:rPr>
                    <w:t>Approach 1</w:t>
                  </w:r>
                </w:p>
              </w:tc>
              <w:tc>
                <w:tcPr>
                  <w:tcW w:w="1985" w:type="dxa"/>
                  <w:tcBorders>
                    <w:top w:val="nil"/>
                    <w:left w:val="nil"/>
                    <w:bottom w:val="single" w:sz="4" w:space="0" w:color="auto"/>
                    <w:right w:val="single" w:sz="4" w:space="0" w:color="auto"/>
                  </w:tcBorders>
                  <w:shd w:val="clear" w:color="auto" w:fill="auto"/>
                  <w:noWrap/>
                  <w:vAlign w:val="center"/>
                  <w:hideMark/>
                </w:tcPr>
                <w:p w:rsidR="00C906FF" w:rsidRPr="0021251E" w:rsidRDefault="00C906FF" w:rsidP="000E5BB2">
                  <w:pPr>
                    <w:jc w:val="center"/>
                    <w:rPr>
                      <w:rFonts w:cs="Arial"/>
                      <w:color w:val="000000"/>
                    </w:rPr>
                  </w:pPr>
                  <w:r w:rsidRPr="0021251E">
                    <w:rPr>
                      <w:rFonts w:cs="Arial"/>
                      <w:color w:val="000000"/>
                    </w:rPr>
                    <w:t>Approach 2</w:t>
                  </w:r>
                </w:p>
              </w:tc>
              <w:tc>
                <w:tcPr>
                  <w:tcW w:w="1624" w:type="dxa"/>
                  <w:tcBorders>
                    <w:top w:val="single" w:sz="4" w:space="0" w:color="auto"/>
                    <w:bottom w:val="single" w:sz="4" w:space="0" w:color="auto"/>
                    <w:right w:val="single" w:sz="4" w:space="0" w:color="auto"/>
                  </w:tcBorders>
                  <w:shd w:val="clear" w:color="auto" w:fill="auto"/>
                </w:tcPr>
                <w:p w:rsidR="00C906FF" w:rsidRPr="0021251E" w:rsidRDefault="00C906FF" w:rsidP="000E5BB2">
                  <w:pPr>
                    <w:jc w:val="center"/>
                  </w:pPr>
                  <w:r w:rsidRPr="0021251E">
                    <w:t>Approach 3</w:t>
                  </w:r>
                </w:p>
              </w:tc>
            </w:tr>
            <w:tr w:rsidR="00C906FF" w:rsidRPr="0021251E" w:rsidTr="000E5BB2">
              <w:trPr>
                <w:gridBefore w:val="1"/>
                <w:wBefore w:w="424" w:type="dxa"/>
                <w:trHeight w:val="240"/>
              </w:trPr>
              <w:tc>
                <w:tcPr>
                  <w:tcW w:w="696" w:type="dxa"/>
                  <w:vMerge w:val="restart"/>
                  <w:tcBorders>
                    <w:top w:val="nil"/>
                    <w:left w:val="single" w:sz="4" w:space="0" w:color="auto"/>
                    <w:right w:val="single" w:sz="4" w:space="0" w:color="auto"/>
                  </w:tcBorders>
                  <w:shd w:val="clear" w:color="auto" w:fill="auto"/>
                  <w:textDirection w:val="btLr"/>
                  <w:vAlign w:val="center"/>
                </w:tcPr>
                <w:p w:rsidR="00C906FF" w:rsidRPr="0021251E" w:rsidRDefault="00C906FF" w:rsidP="000E5BB2">
                  <w:pPr>
                    <w:jc w:val="center"/>
                    <w:rPr>
                      <w:rFonts w:cs="Arial"/>
                      <w:color w:val="000000"/>
                    </w:rPr>
                  </w:pPr>
                  <w:r w:rsidRPr="0021251E">
                    <w:rPr>
                      <w:rFonts w:cs="Arial"/>
                      <w:color w:val="000000"/>
                    </w:rPr>
                    <w:t xml:space="preserve">Number of </w:t>
                  </w:r>
                  <w:r w:rsidRPr="0021251E">
                    <w:rPr>
                      <w:rFonts w:cs="Arial"/>
                      <w:color w:val="000000"/>
                    </w:rPr>
                    <w:br/>
                    <w:t>Off-Types</w:t>
                  </w:r>
                </w:p>
              </w:tc>
              <w:tc>
                <w:tcPr>
                  <w:tcW w:w="1134" w:type="dxa"/>
                  <w:tcBorders>
                    <w:top w:val="single" w:sz="4" w:space="0" w:color="auto"/>
                    <w:left w:val="single" w:sz="4" w:space="0" w:color="auto"/>
                    <w:bottom w:val="single" w:sz="6" w:space="0" w:color="auto"/>
                    <w:right w:val="single" w:sz="6" w:space="0" w:color="auto"/>
                  </w:tcBorders>
                  <w:shd w:val="clear" w:color="auto" w:fill="auto"/>
                  <w:noWrap/>
                  <w:vAlign w:val="center"/>
                </w:tcPr>
                <w:p w:rsidR="00C906FF" w:rsidRPr="0021251E" w:rsidRDefault="00C906FF" w:rsidP="000E5BB2">
                  <w:pPr>
                    <w:jc w:val="center"/>
                    <w:rPr>
                      <w:rFonts w:cs="Arial"/>
                      <w:color w:val="000000"/>
                    </w:rPr>
                  </w:pPr>
                  <w:r w:rsidRPr="0021251E">
                    <w:rPr>
                      <w:rFonts w:cs="Arial"/>
                      <w:color w:val="000000"/>
                    </w:rPr>
                    <w:t>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C906FF" w:rsidRPr="0021251E" w:rsidRDefault="00C906FF" w:rsidP="000E5BB2">
                  <w:pPr>
                    <w:jc w:val="center"/>
                    <w:rPr>
                      <w:rFonts w:cs="Arial"/>
                      <w:color w:val="000000"/>
                    </w:rPr>
                  </w:pPr>
                  <w:r w:rsidRPr="0021251E">
                    <w:rPr>
                      <w:rFonts w:cs="Arial"/>
                      <w:color w:val="000000"/>
                    </w:rPr>
                    <w:t>1</w:t>
                  </w:r>
                </w:p>
              </w:tc>
              <w:tc>
                <w:tcPr>
                  <w:tcW w:w="2127"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C906FF" w:rsidRPr="0021251E" w:rsidRDefault="00C906FF" w:rsidP="000E5BB2">
                  <w:pPr>
                    <w:jc w:val="center"/>
                    <w:rPr>
                      <w:rFonts w:cs="Arial"/>
                      <w:color w:val="000000"/>
                    </w:rPr>
                  </w:pPr>
                  <w:r w:rsidRPr="0021251E">
                    <w:rPr>
                      <w:rFonts w:cs="Arial"/>
                      <w:color w:val="000000"/>
                    </w:rPr>
                    <w:t>uniform</w:t>
                  </w:r>
                </w:p>
              </w:tc>
              <w:tc>
                <w:tcPr>
                  <w:tcW w:w="1985" w:type="dxa"/>
                  <w:tcBorders>
                    <w:top w:val="single" w:sz="4" w:space="0" w:color="auto"/>
                    <w:left w:val="single" w:sz="6" w:space="0" w:color="auto"/>
                    <w:bottom w:val="single" w:sz="6" w:space="0" w:color="auto"/>
                    <w:right w:val="single" w:sz="4" w:space="0" w:color="auto"/>
                  </w:tcBorders>
                  <w:shd w:val="clear" w:color="auto" w:fill="auto"/>
                  <w:vAlign w:val="center"/>
                </w:tcPr>
                <w:p w:rsidR="00C906FF" w:rsidRPr="0021251E" w:rsidRDefault="00C906FF" w:rsidP="000E5BB2">
                  <w:pPr>
                    <w:jc w:val="center"/>
                    <w:rPr>
                      <w:rFonts w:cs="Arial"/>
                      <w:color w:val="000000"/>
                    </w:rPr>
                  </w:pPr>
                  <w:r w:rsidRPr="0021251E">
                    <w:rPr>
                      <w:rFonts w:cs="Arial"/>
                      <w:color w:val="000000"/>
                    </w:rPr>
                    <w:t>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C906FF" w:rsidRPr="0021251E" w:rsidRDefault="00C906FF" w:rsidP="000E5BB2">
                  <w:pPr>
                    <w:jc w:val="center"/>
                  </w:pPr>
                  <w:r w:rsidRPr="0021251E">
                    <w:rPr>
                      <w:rFonts w:cs="Arial"/>
                      <w:color w:val="000000"/>
                    </w:rPr>
                    <w:t>uniform</w:t>
                  </w:r>
                </w:p>
              </w:tc>
            </w:tr>
            <w:tr w:rsidR="00C906FF" w:rsidRPr="0021251E" w:rsidTr="000E5BB2">
              <w:trPr>
                <w:gridBefore w:val="1"/>
                <w:wBefore w:w="424" w:type="dxa"/>
                <w:trHeight w:val="240"/>
              </w:trPr>
              <w:tc>
                <w:tcPr>
                  <w:tcW w:w="696" w:type="dxa"/>
                  <w:vMerge/>
                  <w:tcBorders>
                    <w:left w:val="single" w:sz="4" w:space="0" w:color="auto"/>
                    <w:right w:val="single" w:sz="4" w:space="0" w:color="auto"/>
                  </w:tcBorders>
                  <w:shd w:val="clear" w:color="auto" w:fill="auto"/>
                  <w:textDirection w:val="btLr"/>
                  <w:vAlign w:val="center"/>
                  <w:hideMark/>
                </w:tcPr>
                <w:p w:rsidR="00C906FF" w:rsidRPr="0021251E" w:rsidRDefault="00C906FF" w:rsidP="000E5BB2">
                  <w:pPr>
                    <w:jc w:val="center"/>
                    <w:rPr>
                      <w:rFonts w:cs="Arial"/>
                      <w:color w:val="000000"/>
                    </w:rPr>
                  </w:pPr>
                </w:p>
              </w:tc>
              <w:tc>
                <w:tcPr>
                  <w:tcW w:w="1134"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C906FF" w:rsidRPr="0021251E" w:rsidRDefault="00C906FF" w:rsidP="000E5BB2">
                  <w:pPr>
                    <w:jc w:val="center"/>
                    <w:rPr>
                      <w:rFonts w:cs="Arial"/>
                      <w:color w:val="000000"/>
                    </w:rPr>
                  </w:pPr>
                  <w:r w:rsidRPr="0021251E">
                    <w:rPr>
                      <w:rFonts w:cs="Arial"/>
                      <w:color w:val="000000"/>
                    </w:rPr>
                    <w:t>2</w:t>
                  </w:r>
                </w:p>
              </w:tc>
              <w:tc>
                <w:tcPr>
                  <w:tcW w:w="113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C906FF" w:rsidRPr="0021251E" w:rsidRDefault="00C906FF" w:rsidP="000E5BB2">
                  <w:pPr>
                    <w:jc w:val="center"/>
                    <w:rPr>
                      <w:rFonts w:cs="Arial"/>
                      <w:color w:val="000000"/>
                    </w:rPr>
                  </w:pPr>
                  <w:r w:rsidRPr="0021251E">
                    <w:rPr>
                      <w:rFonts w:cs="Arial"/>
                      <w:color w:val="000000"/>
                    </w:rPr>
                    <w:t>2</w:t>
                  </w:r>
                </w:p>
              </w:tc>
              <w:tc>
                <w:tcPr>
                  <w:tcW w:w="2127"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C906FF" w:rsidRPr="0021251E" w:rsidRDefault="00C906FF" w:rsidP="000E5BB2">
                  <w:pPr>
                    <w:jc w:val="center"/>
                    <w:rPr>
                      <w:rFonts w:cs="Arial"/>
                      <w:color w:val="000000"/>
                    </w:rPr>
                  </w:pPr>
                  <w:r w:rsidRPr="0021251E">
                    <w:rPr>
                      <w:rFonts w:cs="Arial"/>
                      <w:color w:val="000000"/>
                    </w:rPr>
                    <w:t>uniform</w:t>
                  </w:r>
                </w:p>
              </w:tc>
              <w:tc>
                <w:tcPr>
                  <w:tcW w:w="1985"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C906FF" w:rsidRPr="0021251E" w:rsidRDefault="00C906FF" w:rsidP="000E5BB2">
                  <w:pPr>
                    <w:jc w:val="center"/>
                    <w:rPr>
                      <w:rFonts w:cs="Arial"/>
                      <w:color w:val="000000"/>
                    </w:rPr>
                  </w:pPr>
                  <w:r w:rsidRPr="0021251E">
                    <w:rPr>
                      <w:rFonts w:cs="Arial"/>
                      <w:color w:val="000000"/>
                    </w:rPr>
                    <w:t>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C906FF" w:rsidRPr="0021251E" w:rsidRDefault="00C906FF" w:rsidP="000E5BB2">
                  <w:pPr>
                    <w:jc w:val="center"/>
                  </w:pPr>
                  <w:r w:rsidRPr="0021251E">
                    <w:t>non-uniform</w:t>
                  </w:r>
                </w:p>
              </w:tc>
            </w:tr>
            <w:tr w:rsidR="00C906FF" w:rsidRPr="0021251E" w:rsidTr="000E5BB2">
              <w:trPr>
                <w:gridBefore w:val="1"/>
                <w:wBefore w:w="424" w:type="dxa"/>
                <w:trHeight w:val="273"/>
              </w:trPr>
              <w:tc>
                <w:tcPr>
                  <w:tcW w:w="696" w:type="dxa"/>
                  <w:vMerge/>
                  <w:tcBorders>
                    <w:left w:val="single" w:sz="4" w:space="0" w:color="auto"/>
                    <w:right w:val="single" w:sz="4" w:space="0" w:color="000000"/>
                  </w:tcBorders>
                  <w:vAlign w:val="center"/>
                  <w:hideMark/>
                </w:tcPr>
                <w:p w:rsidR="00C906FF" w:rsidRPr="0021251E" w:rsidRDefault="00C906FF" w:rsidP="000E5BB2">
                  <w:pPr>
                    <w:jc w:val="left"/>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906FF" w:rsidRPr="0021251E" w:rsidRDefault="00C906FF" w:rsidP="000E5BB2">
                  <w:pPr>
                    <w:jc w:val="center"/>
                    <w:rPr>
                      <w:rFonts w:cs="Arial"/>
                      <w:color w:val="000000"/>
                    </w:rPr>
                  </w:pPr>
                  <w:r w:rsidRPr="0021251E">
                    <w:rPr>
                      <w:rFonts w:cs="Arial"/>
                      <w:color w:val="000000"/>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906FF" w:rsidRPr="0021251E" w:rsidRDefault="00C906FF" w:rsidP="000E5BB2">
                  <w:pPr>
                    <w:jc w:val="center"/>
                    <w:rPr>
                      <w:rFonts w:cs="Arial"/>
                      <w:color w:val="000000"/>
                    </w:rPr>
                  </w:pPr>
                  <w:r w:rsidRPr="0021251E">
                    <w:rPr>
                      <w:rFonts w:cs="Arial"/>
                      <w:color w:val="000000"/>
                    </w:rPr>
                    <w:t>3*</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C906FF" w:rsidRPr="0021251E" w:rsidRDefault="00C906FF" w:rsidP="000E5BB2">
                  <w:pPr>
                    <w:rPr>
                      <w:rFonts w:cs="Arial"/>
                      <w:color w:val="000000"/>
                    </w:rPr>
                  </w:pPr>
                  <w:r w:rsidRPr="0021251E">
                    <w:rPr>
                      <w:rFonts w:cs="Arial"/>
                      <w:color w:val="000000"/>
                    </w:rPr>
                    <w:t>third growing cycle*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906FF" w:rsidRPr="0021251E" w:rsidRDefault="00C906FF" w:rsidP="000E5BB2">
                  <w:pPr>
                    <w:jc w:val="center"/>
                    <w:rPr>
                      <w:rFonts w:cs="Arial"/>
                      <w:color w:val="000000"/>
                    </w:rPr>
                  </w:pPr>
                  <w:r w:rsidRPr="0021251E">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C906FF" w:rsidRPr="0021251E" w:rsidRDefault="00C906FF" w:rsidP="000E5BB2">
                  <w:pPr>
                    <w:jc w:val="center"/>
                  </w:pPr>
                  <w:r w:rsidRPr="0021251E">
                    <w:t>uniform*</w:t>
                  </w:r>
                </w:p>
              </w:tc>
            </w:tr>
            <w:tr w:rsidR="00C906FF" w:rsidRPr="0021251E" w:rsidTr="000E5BB2">
              <w:trPr>
                <w:gridBefore w:val="1"/>
                <w:wBefore w:w="424" w:type="dxa"/>
                <w:trHeight w:val="248"/>
              </w:trPr>
              <w:tc>
                <w:tcPr>
                  <w:tcW w:w="696" w:type="dxa"/>
                  <w:vMerge/>
                  <w:tcBorders>
                    <w:left w:val="single" w:sz="4" w:space="0" w:color="auto"/>
                    <w:right w:val="single" w:sz="4" w:space="0" w:color="auto"/>
                  </w:tcBorders>
                  <w:vAlign w:val="center"/>
                  <w:hideMark/>
                </w:tcPr>
                <w:p w:rsidR="00C906FF" w:rsidRPr="0021251E" w:rsidRDefault="00C906FF" w:rsidP="000E5BB2">
                  <w:pPr>
                    <w:jc w:val="left"/>
                    <w:rPr>
                      <w:rFonts w:cs="Arial"/>
                      <w:color w:val="000000"/>
                    </w:rPr>
                  </w:pPr>
                </w:p>
              </w:tc>
              <w:tc>
                <w:tcPr>
                  <w:tcW w:w="1134"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C906FF" w:rsidRPr="0021251E" w:rsidRDefault="00C906FF" w:rsidP="000E5BB2">
                  <w:pPr>
                    <w:jc w:val="center"/>
                    <w:rPr>
                      <w:rFonts w:cs="Arial"/>
                      <w:color w:val="000000"/>
                    </w:rPr>
                  </w:pPr>
                  <w:r w:rsidRPr="0021251E">
                    <w:rPr>
                      <w:rFonts w:cs="Arial"/>
                      <w:color w:val="000000"/>
                    </w:rPr>
                    <w:t>1</w:t>
                  </w:r>
                </w:p>
              </w:tc>
              <w:tc>
                <w:tcPr>
                  <w:tcW w:w="1134"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C906FF" w:rsidRPr="0021251E" w:rsidRDefault="00C906FF" w:rsidP="000E5BB2">
                  <w:pPr>
                    <w:jc w:val="center"/>
                    <w:rPr>
                      <w:rFonts w:cs="Arial"/>
                      <w:color w:val="000000"/>
                    </w:rPr>
                  </w:pPr>
                  <w:r w:rsidRPr="0021251E">
                    <w:rPr>
                      <w:rFonts w:cs="Arial"/>
                      <w:color w:val="000000"/>
                    </w:rPr>
                    <w:t>3*</w:t>
                  </w:r>
                </w:p>
              </w:tc>
              <w:tc>
                <w:tcPr>
                  <w:tcW w:w="2127"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C906FF" w:rsidRPr="0021251E" w:rsidRDefault="00C906FF" w:rsidP="000E5BB2">
                  <w:pPr>
                    <w:rPr>
                      <w:rFonts w:cs="Arial"/>
                      <w:color w:val="000000"/>
                    </w:rPr>
                  </w:pPr>
                  <w:r w:rsidRPr="0021251E">
                    <w:rPr>
                      <w:rFonts w:cs="Arial"/>
                      <w:color w:val="000000"/>
                    </w:rPr>
                    <w:t>third growing cycle*</w:t>
                  </w:r>
                </w:p>
              </w:tc>
              <w:tc>
                <w:tcPr>
                  <w:tcW w:w="1985"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C906FF" w:rsidRPr="0021251E" w:rsidRDefault="00C906FF" w:rsidP="000E5BB2">
                  <w:pPr>
                    <w:jc w:val="center"/>
                    <w:rPr>
                      <w:rFonts w:cs="Arial"/>
                      <w:color w:val="000000"/>
                    </w:rPr>
                  </w:pPr>
                  <w:r w:rsidRPr="0021251E">
                    <w:rPr>
                      <w:rFonts w:cs="Arial"/>
                      <w:color w:val="000000"/>
                    </w:rPr>
                    <w:t>non-uniform*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C906FF" w:rsidRPr="0021251E" w:rsidRDefault="00C906FF" w:rsidP="000E5BB2">
                  <w:pPr>
                    <w:jc w:val="center"/>
                  </w:pPr>
                  <w:r w:rsidRPr="0021251E">
                    <w:t>non-uniform*</w:t>
                  </w:r>
                </w:p>
              </w:tc>
            </w:tr>
            <w:tr w:rsidR="00C906FF" w:rsidRPr="0021251E" w:rsidTr="000E5BB2">
              <w:trPr>
                <w:gridBefore w:val="1"/>
                <w:wBefore w:w="424" w:type="dxa"/>
                <w:trHeight w:val="267"/>
              </w:trPr>
              <w:tc>
                <w:tcPr>
                  <w:tcW w:w="696" w:type="dxa"/>
                  <w:vMerge/>
                  <w:tcBorders>
                    <w:left w:val="single" w:sz="4" w:space="0" w:color="auto"/>
                    <w:right w:val="single" w:sz="4" w:space="0" w:color="000000"/>
                  </w:tcBorders>
                  <w:vAlign w:val="center"/>
                  <w:hideMark/>
                </w:tcPr>
                <w:p w:rsidR="00C906FF" w:rsidRPr="0021251E" w:rsidRDefault="00C906FF" w:rsidP="000E5BB2">
                  <w:pPr>
                    <w:jc w:val="left"/>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906FF" w:rsidRPr="0021251E" w:rsidRDefault="00C906FF" w:rsidP="000E5BB2">
                  <w:pPr>
                    <w:jc w:val="center"/>
                    <w:rPr>
                      <w:rFonts w:cs="Arial"/>
                      <w:color w:val="000000"/>
                    </w:rPr>
                  </w:pPr>
                  <w:r w:rsidRPr="0021251E">
                    <w:rPr>
                      <w:rFonts w:cs="Arial"/>
                      <w:color w:val="000000"/>
                    </w:rPr>
                    <w:t>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906FF" w:rsidRPr="0021251E" w:rsidRDefault="00C906FF" w:rsidP="000E5BB2">
                  <w:pPr>
                    <w:ind w:left="49"/>
                    <w:jc w:val="center"/>
                    <w:rPr>
                      <w:rFonts w:cs="Arial"/>
                      <w:color w:val="000000"/>
                    </w:rPr>
                  </w:pPr>
                  <w:r w:rsidRPr="0021251E">
                    <w:rPr>
                      <w:rFonts w:cs="Arial"/>
                      <w:color w:val="000000"/>
                    </w:rPr>
                    <w:t>4*</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C906FF" w:rsidRPr="0021251E" w:rsidRDefault="00C906FF" w:rsidP="000E5BB2">
                  <w:pPr>
                    <w:rPr>
                      <w:rFonts w:cs="Arial"/>
                      <w:color w:val="000000"/>
                    </w:rPr>
                  </w:pPr>
                  <w:r w:rsidRPr="0021251E">
                    <w:rPr>
                      <w:rFonts w:cs="Arial"/>
                      <w:color w:val="000000"/>
                    </w:rPr>
                    <w:t>third growing cycle*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906FF" w:rsidRPr="0021251E" w:rsidRDefault="00C906FF" w:rsidP="000E5BB2">
                  <w:pPr>
                    <w:jc w:val="center"/>
                    <w:rPr>
                      <w:rFonts w:cs="Arial"/>
                      <w:color w:val="000000"/>
                    </w:rPr>
                  </w:pPr>
                  <w:r w:rsidRPr="0021251E">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C906FF" w:rsidRPr="0021251E" w:rsidRDefault="00C906FF" w:rsidP="000E5BB2">
                  <w:pPr>
                    <w:jc w:val="center"/>
                  </w:pPr>
                  <w:r w:rsidRPr="0021251E">
                    <w:t>non-uniform*</w:t>
                  </w:r>
                </w:p>
              </w:tc>
            </w:tr>
            <w:tr w:rsidR="00C906FF" w:rsidRPr="0021251E" w:rsidTr="000E5BB2">
              <w:trPr>
                <w:gridBefore w:val="1"/>
                <w:wBefore w:w="424"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C906FF" w:rsidRPr="0021251E" w:rsidRDefault="00C906FF" w:rsidP="000E5BB2">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C906FF" w:rsidRPr="008535ED" w:rsidRDefault="00C906FF" w:rsidP="000E5BB2">
                  <w:pPr>
                    <w:ind w:left="49"/>
                    <w:jc w:val="center"/>
                    <w:rPr>
                      <w:rFonts w:cs="Arial"/>
                      <w:color w:val="000000"/>
                    </w:rPr>
                  </w:pPr>
                  <w:r w:rsidRPr="008535ED">
                    <w:rPr>
                      <w:rFonts w:cs="Arial"/>
                      <w:color w:val="000000"/>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C906FF" w:rsidRPr="0021251E" w:rsidRDefault="00C906FF" w:rsidP="000E5BB2">
                  <w:pPr>
                    <w:ind w:right="-123"/>
                    <w:jc w:val="center"/>
                    <w:rPr>
                      <w:rFonts w:cs="Arial"/>
                      <w:color w:val="000000"/>
                    </w:rPr>
                  </w:pPr>
                  <w:r w:rsidRPr="0021251E">
                    <w:rPr>
                      <w:rFonts w:cs="Arial"/>
                      <w:color w:val="00000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C906FF" w:rsidRPr="0021251E" w:rsidRDefault="00C906FF" w:rsidP="000E5BB2">
                  <w:pPr>
                    <w:ind w:right="-122"/>
                    <w:rPr>
                      <w:rFonts w:cs="Arial"/>
                      <w:color w:val="000000"/>
                    </w:rPr>
                  </w:pPr>
                  <w:r w:rsidRPr="0021251E">
                    <w:rPr>
                      <w:rFonts w:cs="Arial"/>
                      <w:color w:val="000000"/>
                    </w:rPr>
                    <w:t xml:space="preserve">third growing cycle*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C906FF" w:rsidRPr="0021251E" w:rsidRDefault="00C906FF" w:rsidP="000E5BB2">
                  <w:pPr>
                    <w:jc w:val="center"/>
                    <w:rPr>
                      <w:rFonts w:cs="Arial"/>
                      <w:color w:val="000000"/>
                    </w:rPr>
                  </w:pPr>
                  <w:r w:rsidRPr="0021251E">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C906FF" w:rsidRPr="0021251E" w:rsidRDefault="00C906FF" w:rsidP="000E5BB2">
                  <w:pPr>
                    <w:jc w:val="center"/>
                  </w:pPr>
                  <w:r w:rsidRPr="0021251E">
                    <w:t>non-uniform</w:t>
                  </w:r>
                  <w:r w:rsidRPr="008535ED">
                    <w:t>*</w:t>
                  </w:r>
                </w:p>
              </w:tc>
            </w:tr>
          </w:tbl>
          <w:p w:rsidR="00C906FF" w:rsidRPr="0021251E" w:rsidRDefault="00C906FF" w:rsidP="000E5BB2">
            <w:pPr>
              <w:pStyle w:val="Titleofdoc0"/>
              <w:spacing w:before="0"/>
              <w:jc w:val="both"/>
              <w:rPr>
                <w:sz w:val="12"/>
                <w:szCs w:val="24"/>
              </w:rPr>
            </w:pPr>
          </w:p>
          <w:p w:rsidR="00C906FF" w:rsidRPr="008535ED" w:rsidRDefault="00C906FF" w:rsidP="000E5BB2">
            <w:pPr>
              <w:keepNext/>
              <w:keepLines/>
              <w:ind w:left="34"/>
              <w:rPr>
                <w:sz w:val="16"/>
                <w:u w:val="single"/>
              </w:rPr>
            </w:pPr>
            <w:r w:rsidRPr="0021251E">
              <w:rPr>
                <w:sz w:val="18"/>
                <w:szCs w:val="24"/>
              </w:rPr>
              <w:t xml:space="preserve">*  </w:t>
            </w:r>
            <w:r w:rsidRPr="0021251E">
              <w:rPr>
                <w:rFonts w:eastAsia="SimSun"/>
                <w:sz w:val="18"/>
                <w:lang w:eastAsia="zh-CN"/>
              </w:rPr>
              <w:t>Care is needed when considering results that were very different in each of the growing cycles, such as when a type of off</w:t>
            </w:r>
            <w:r w:rsidRPr="0021251E">
              <w:rPr>
                <w:rFonts w:eastAsia="SimSun"/>
                <w:sz w:val="18"/>
                <w:lang w:eastAsia="zh-CN"/>
              </w:rPr>
              <w:noBreakHyphen/>
              <w:t xml:space="preserve">type was observed at a high level in one growing cycle and was absent in another growing cycle.  </w:t>
            </w:r>
            <w:r w:rsidRPr="008535ED">
              <w:rPr>
                <w:sz w:val="18"/>
              </w:rPr>
              <w:t xml:space="preserve">A statistical test for consistency should be applied when appropriate. </w:t>
            </w:r>
            <w:r w:rsidRPr="008535ED">
              <w:rPr>
                <w:sz w:val="16"/>
              </w:rPr>
              <w:t xml:space="preserve"> </w:t>
            </w:r>
            <w:r w:rsidR="008535ED" w:rsidRPr="008535ED">
              <w:rPr>
                <w:sz w:val="18"/>
              </w:rPr>
              <w:t>It is important to identify whether differences in number of off</w:t>
            </w:r>
            <w:r w:rsidR="008535ED" w:rsidRPr="008535ED">
              <w:rPr>
                <w:sz w:val="18"/>
              </w:rPr>
              <w:noBreakHyphen/>
              <w:t xml:space="preserve">types between growing cycles were </w:t>
            </w:r>
            <w:r w:rsidR="00BF0BBE" w:rsidRPr="00BF0BBE">
              <w:rPr>
                <w:sz w:val="18"/>
                <w:highlight w:val="lightGray"/>
                <w:u w:val="single"/>
              </w:rPr>
              <w:t>[not]</w:t>
            </w:r>
            <w:r w:rsidR="00BF0BBE">
              <w:rPr>
                <w:sz w:val="18"/>
              </w:rPr>
              <w:t xml:space="preserve"> </w:t>
            </w:r>
            <w:r w:rsidR="008535ED" w:rsidRPr="008535ED">
              <w:rPr>
                <w:sz w:val="18"/>
              </w:rPr>
              <w:t xml:space="preserve">due to </w:t>
            </w:r>
            <w:r w:rsidR="008535ED" w:rsidRPr="008535ED">
              <w:rPr>
                <w:strike/>
                <w:sz w:val="18"/>
                <w:highlight w:val="lightGray"/>
              </w:rPr>
              <w:t>biological</w:t>
            </w:r>
            <w:r w:rsidR="008535ED" w:rsidRPr="008535ED">
              <w:rPr>
                <w:sz w:val="18"/>
              </w:rPr>
              <w:t xml:space="preserve"> </w:t>
            </w:r>
            <w:r w:rsidR="008535ED" w:rsidRPr="008535ED">
              <w:rPr>
                <w:sz w:val="18"/>
                <w:highlight w:val="lightGray"/>
                <w:u w:val="single"/>
              </w:rPr>
              <w:t>environmental</w:t>
            </w:r>
            <w:r w:rsidR="008535ED" w:rsidRPr="008535ED">
              <w:rPr>
                <w:sz w:val="18"/>
              </w:rPr>
              <w:t xml:space="preserve"> reasons or sampling variation.</w:t>
            </w:r>
          </w:p>
          <w:p w:rsidR="00C906FF" w:rsidRPr="0021251E" w:rsidRDefault="00C906FF" w:rsidP="000E5BB2">
            <w:pPr>
              <w:keepNext/>
              <w:keepLines/>
              <w:ind w:left="34"/>
              <w:rPr>
                <w:sz w:val="18"/>
                <w:u w:val="single"/>
              </w:rPr>
            </w:pPr>
          </w:p>
          <w:p w:rsidR="00C906FF" w:rsidRPr="0021251E" w:rsidRDefault="00C906FF" w:rsidP="00064A00">
            <w:pPr>
              <w:keepNext/>
              <w:keepLines/>
              <w:ind w:left="34"/>
              <w:rPr>
                <w:rFonts w:eastAsia="SimSun"/>
                <w:sz w:val="18"/>
                <w:lang w:eastAsia="zh-CN"/>
              </w:rPr>
            </w:pPr>
            <w:r w:rsidRPr="0021251E">
              <w:rPr>
                <w:sz w:val="18"/>
                <w:highlight w:val="lightGray"/>
                <w:u w:val="single"/>
              </w:rPr>
              <w:t xml:space="preserve">** </w:t>
            </w:r>
            <w:r w:rsidR="00064A00" w:rsidRPr="00064A00">
              <w:rPr>
                <w:rFonts w:eastAsia="SimSun"/>
                <w:sz w:val="18"/>
                <w:szCs w:val="24"/>
                <w:highlight w:val="lightGray"/>
                <w:u w:val="single"/>
                <w:lang w:eastAsia="zh-CN"/>
              </w:rPr>
              <w:t>[</w:t>
            </w:r>
            <w:r w:rsidR="00064A00">
              <w:rPr>
                <w:rFonts w:eastAsia="SimSun"/>
                <w:sz w:val="18"/>
                <w:szCs w:val="24"/>
                <w:highlight w:val="lightGray"/>
                <w:u w:val="single"/>
                <w:lang w:eastAsia="zh-CN"/>
              </w:rPr>
              <w:t>I</w:t>
            </w:r>
            <w:r w:rsidR="00064A00" w:rsidRPr="00064A00">
              <w:rPr>
                <w:rFonts w:eastAsia="SimSun"/>
                <w:sz w:val="18"/>
                <w:szCs w:val="24"/>
                <w:highlight w:val="lightGray"/>
                <w:u w:val="single"/>
                <w:lang w:eastAsia="zh-CN"/>
              </w:rPr>
              <w:t>f in the first growing cycle a variety exceeds a predefined upper limit of off-types the variety may be rejected after a single growing cycle.]</w:t>
            </w:r>
            <w:r w:rsidR="00064A00" w:rsidRPr="00064A00">
              <w:rPr>
                <w:sz w:val="18"/>
                <w:u w:val="single"/>
              </w:rPr>
              <w:t xml:space="preserve"> / </w:t>
            </w:r>
            <w:r w:rsidR="00064A00" w:rsidRPr="00064A00">
              <w:rPr>
                <w:sz w:val="18"/>
                <w:highlight w:val="lightGray"/>
                <w:u w:val="single"/>
              </w:rPr>
              <w:t>[</w:t>
            </w:r>
            <w:r w:rsidR="00064A00">
              <w:rPr>
                <w:sz w:val="18"/>
                <w:highlight w:val="lightGray"/>
                <w:u w:val="single"/>
              </w:rPr>
              <w:t>I</w:t>
            </w:r>
            <w:r w:rsidR="00064A00" w:rsidRPr="00064A00">
              <w:rPr>
                <w:rFonts w:eastAsia="SimSun"/>
                <w:sz w:val="18"/>
                <w:szCs w:val="24"/>
                <w:highlight w:val="lightGray"/>
                <w:u w:val="single"/>
                <w:lang w:eastAsia="zh-CN"/>
              </w:rPr>
              <w:t>f a variety clearly exceeds in the first growing cycle the allowed number of off-types in two growing cycles, the variety may be rejected after a single growing cycle]</w:t>
            </w:r>
          </w:p>
        </w:tc>
      </w:tr>
    </w:tbl>
    <w:p w:rsidR="00C906FF" w:rsidRPr="0021251E" w:rsidRDefault="00C906FF" w:rsidP="00C906FF">
      <w:pPr>
        <w:jc w:val="left"/>
      </w:pPr>
    </w:p>
    <w:p w:rsidR="00C906FF" w:rsidRPr="0021251E" w:rsidRDefault="00C906FF" w:rsidP="00C906FF">
      <w:pPr>
        <w:jc w:val="left"/>
      </w:pPr>
    </w:p>
    <w:p w:rsidR="00C906FF" w:rsidRPr="0021251E" w:rsidRDefault="00C906FF" w:rsidP="00C906FF">
      <w:pPr>
        <w:jc w:val="left"/>
      </w:pPr>
    </w:p>
    <w:p w:rsidR="00C906FF" w:rsidRPr="0021251E" w:rsidRDefault="00C906FF" w:rsidP="00C906FF">
      <w:pPr>
        <w:jc w:val="right"/>
      </w:pPr>
      <w:r w:rsidRPr="0021251E">
        <w:rPr>
          <w:rFonts w:eastAsia="MS Mincho"/>
          <w:color w:val="000000"/>
          <w:lang w:eastAsia="ja-JP"/>
        </w:rPr>
        <w:t>[Annex II follows]</w:t>
      </w:r>
    </w:p>
    <w:p w:rsidR="00C906FF" w:rsidRPr="0021251E" w:rsidRDefault="00C906FF" w:rsidP="00C906FF">
      <w:pPr>
        <w:jc w:val="right"/>
        <w:sectPr w:rsidR="00C906FF" w:rsidRPr="0021251E" w:rsidSect="000E5BB2">
          <w:headerReference w:type="default" r:id="rId10"/>
          <w:headerReference w:type="first" r:id="rId11"/>
          <w:pgSz w:w="11907" w:h="16840" w:code="9"/>
          <w:pgMar w:top="510" w:right="1134" w:bottom="993" w:left="1134" w:header="510" w:footer="680" w:gutter="0"/>
          <w:pgNumType w:start="1"/>
          <w:cols w:space="720"/>
          <w:titlePg/>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C906FF" w:rsidRPr="0021251E" w:rsidTr="000E5BB2">
        <w:trPr>
          <w:trHeight w:val="350"/>
        </w:trPr>
        <w:tc>
          <w:tcPr>
            <w:tcW w:w="9639" w:type="dxa"/>
          </w:tcPr>
          <w:p w:rsidR="00C906FF" w:rsidRPr="0021251E" w:rsidRDefault="00C906FF" w:rsidP="000E5BB2">
            <w:pPr>
              <w:autoSpaceDE w:val="0"/>
              <w:autoSpaceDN w:val="0"/>
              <w:adjustRightInd w:val="0"/>
              <w:jc w:val="center"/>
              <w:rPr>
                <w:rFonts w:eastAsia="SimSun"/>
                <w:szCs w:val="24"/>
                <w:lang w:eastAsia="zh-CN"/>
              </w:rPr>
            </w:pPr>
          </w:p>
          <w:p w:rsidR="00C906FF" w:rsidRPr="0021251E" w:rsidRDefault="00C906FF" w:rsidP="000E5BB2">
            <w:pPr>
              <w:autoSpaceDE w:val="0"/>
              <w:autoSpaceDN w:val="0"/>
              <w:adjustRightInd w:val="0"/>
              <w:jc w:val="center"/>
              <w:rPr>
                <w:szCs w:val="24"/>
              </w:rPr>
            </w:pPr>
            <w:r w:rsidRPr="0021251E">
              <w:rPr>
                <w:rFonts w:eastAsia="SimSun"/>
                <w:szCs w:val="24"/>
                <w:lang w:eastAsia="zh-CN"/>
              </w:rPr>
              <w:t xml:space="preserve">SITUATION:  ASSESSING UNIFORMITY BY OFF-TYPES ON THE BASIS OF </w:t>
            </w:r>
            <w:r w:rsidRPr="0021251E">
              <w:rPr>
                <w:szCs w:val="24"/>
              </w:rPr>
              <w:t xml:space="preserve">SUB-SAMPLES </w:t>
            </w:r>
          </w:p>
          <w:p w:rsidR="00C906FF" w:rsidRPr="0021251E" w:rsidRDefault="00C906FF" w:rsidP="000E5BB2">
            <w:pPr>
              <w:autoSpaceDE w:val="0"/>
              <w:autoSpaceDN w:val="0"/>
              <w:adjustRightInd w:val="0"/>
              <w:jc w:val="center"/>
              <w:rPr>
                <w:szCs w:val="24"/>
              </w:rPr>
            </w:pPr>
            <w:r w:rsidRPr="0021251E">
              <w:rPr>
                <w:szCs w:val="24"/>
              </w:rPr>
              <w:t>WITHIN A SINGLE TEST/TRIAL</w:t>
            </w:r>
          </w:p>
          <w:p w:rsidR="00C906FF" w:rsidRPr="0021251E" w:rsidRDefault="00C906FF" w:rsidP="000E5BB2">
            <w:pPr>
              <w:autoSpaceDE w:val="0"/>
              <w:autoSpaceDN w:val="0"/>
              <w:adjustRightInd w:val="0"/>
              <w:jc w:val="center"/>
              <w:rPr>
                <w:rFonts w:eastAsia="SimSun"/>
                <w:szCs w:val="24"/>
                <w:lang w:eastAsia="zh-CN"/>
              </w:rPr>
            </w:pPr>
          </w:p>
        </w:tc>
      </w:tr>
      <w:tr w:rsidR="00C906FF" w:rsidRPr="0021251E" w:rsidTr="000E5BB2">
        <w:trPr>
          <w:trHeight w:val="6949"/>
        </w:trPr>
        <w:tc>
          <w:tcPr>
            <w:tcW w:w="9639" w:type="dxa"/>
          </w:tcPr>
          <w:p w:rsidR="00C906FF" w:rsidRPr="0021251E" w:rsidRDefault="00C906FF" w:rsidP="000E5BB2"/>
          <w:p w:rsidR="00C906FF" w:rsidRPr="0021251E" w:rsidRDefault="00C906FF" w:rsidP="000E5BB2">
            <w:pPr>
              <w:rPr>
                <w:b/>
              </w:rPr>
            </w:pPr>
            <w:r w:rsidRPr="0021251E">
              <w:rPr>
                <w:b/>
              </w:rPr>
              <w:t>Approach:  Use of sub-sample as a first step of assessment</w:t>
            </w:r>
          </w:p>
          <w:p w:rsidR="00C906FF" w:rsidRPr="0021251E" w:rsidRDefault="00C906FF" w:rsidP="000E5BB2">
            <w:pPr>
              <w:rPr>
                <w:b/>
              </w:rPr>
            </w:pPr>
          </w:p>
          <w:p w:rsidR="00C906FF" w:rsidRPr="0021251E" w:rsidRDefault="00C906FF" w:rsidP="000E5BB2">
            <w:r w:rsidRPr="0021251E">
              <w:t>A variety is considered uniform if the number of off-types does not exceed a predefined lower limit in the sub</w:t>
            </w:r>
            <w:r w:rsidRPr="0021251E">
              <w:noBreakHyphen/>
              <w:t>sample.</w:t>
            </w:r>
          </w:p>
          <w:p w:rsidR="00C906FF" w:rsidRPr="0021251E" w:rsidRDefault="00C906FF" w:rsidP="000E5BB2"/>
          <w:p w:rsidR="00C906FF" w:rsidRPr="0021251E" w:rsidRDefault="00C906FF" w:rsidP="000E5BB2">
            <w:r w:rsidRPr="0021251E">
              <w:t>A variety is considered non–uniform if the number of off-types exceeds a predefined upper limit in the sub</w:t>
            </w:r>
            <w:r w:rsidRPr="0021251E">
              <w:noBreakHyphen/>
              <w:t>sample.</w:t>
            </w:r>
          </w:p>
          <w:p w:rsidR="00C906FF" w:rsidRPr="0021251E" w:rsidRDefault="00C906FF" w:rsidP="000E5BB2"/>
          <w:p w:rsidR="00C906FF" w:rsidRPr="0021251E" w:rsidRDefault="00C906FF" w:rsidP="000E5BB2">
            <w:r w:rsidRPr="0021251E">
              <w:t>If the number of off-types is between the predefined lower and upper limits, the whole sample is assessed. The lower and upper limits have to be chosen considering comparable type I and type II errors in the sub</w:t>
            </w:r>
            <w:r w:rsidRPr="0021251E">
              <w:noBreakHyphen/>
              <w:t>sample and the whole sample.</w:t>
            </w:r>
          </w:p>
          <w:p w:rsidR="00C906FF" w:rsidRPr="0021251E" w:rsidRDefault="00B73408" w:rsidP="000E5BB2">
            <w:r>
              <w:rPr>
                <w:rFonts w:eastAsia="SimSun"/>
                <w:szCs w:val="24"/>
                <w:lang w:eastAsia="zh-CN"/>
              </w:rPr>
              <w:pict>
                <v:rect id="_x0000_i1025" style="width:0;height:1.5pt" o:hralign="center" o:hrstd="t" o:hr="t" fillcolor="#a0a0a0" stroked="f"/>
              </w:pict>
            </w:r>
          </w:p>
          <w:p w:rsidR="00C906FF" w:rsidRPr="0021251E" w:rsidRDefault="00C906FF" w:rsidP="000E5BB2">
            <w:pPr>
              <w:rPr>
                <w:szCs w:val="24"/>
              </w:rPr>
            </w:pPr>
          </w:p>
          <w:p w:rsidR="00C906FF" w:rsidRPr="0021251E" w:rsidRDefault="00C906FF" w:rsidP="000E5BB2">
            <w:pPr>
              <w:rPr>
                <w:szCs w:val="24"/>
              </w:rPr>
            </w:pPr>
            <w:r w:rsidRPr="0021251E">
              <w:rPr>
                <w:szCs w:val="24"/>
              </w:rPr>
              <w:t>Example:</w:t>
            </w:r>
          </w:p>
          <w:p w:rsidR="00C906FF" w:rsidRPr="0021251E" w:rsidRDefault="00C906FF" w:rsidP="000E5BB2">
            <w:pPr>
              <w:rPr>
                <w:szCs w:val="24"/>
              </w:rPr>
            </w:pPr>
          </w:p>
          <w:p w:rsidR="00C906FF" w:rsidRPr="0021251E" w:rsidRDefault="00C906FF" w:rsidP="000E5BB2">
            <w:pPr>
              <w:autoSpaceDE w:val="0"/>
              <w:autoSpaceDN w:val="0"/>
              <w:adjustRightInd w:val="0"/>
              <w:rPr>
                <w:color w:val="000000"/>
                <w:szCs w:val="24"/>
              </w:rPr>
            </w:pPr>
            <w:r w:rsidRPr="0021251E">
              <w:rPr>
                <w:color w:val="000000"/>
                <w:szCs w:val="24"/>
              </w:rPr>
              <w:t>In a sample size of 100 plants, the acceptable number of off-types is 3 (based on a population standard of 1% and an acceptance probability of at least 95%).</w:t>
            </w:r>
          </w:p>
          <w:p w:rsidR="00C906FF" w:rsidRPr="0021251E" w:rsidRDefault="00C906FF" w:rsidP="000E5BB2">
            <w:pPr>
              <w:autoSpaceDE w:val="0"/>
              <w:autoSpaceDN w:val="0"/>
              <w:adjustRightInd w:val="0"/>
              <w:rPr>
                <w:color w:val="000000"/>
                <w:szCs w:val="24"/>
              </w:rPr>
            </w:pPr>
          </w:p>
          <w:p w:rsidR="00C906FF" w:rsidRPr="0021251E" w:rsidRDefault="00C906FF" w:rsidP="000E5BB2">
            <w:pPr>
              <w:autoSpaceDE w:val="0"/>
              <w:autoSpaceDN w:val="0"/>
              <w:adjustRightInd w:val="0"/>
              <w:rPr>
                <w:color w:val="000000"/>
                <w:szCs w:val="24"/>
              </w:rPr>
            </w:pPr>
            <w:r w:rsidRPr="0021251E">
              <w:rPr>
                <w:color w:val="000000"/>
                <w:szCs w:val="24"/>
              </w:rPr>
              <w:t>In a subsample of 20 plants used in the context of the sample size of 100 plants above:</w:t>
            </w:r>
          </w:p>
          <w:p w:rsidR="00C906FF" w:rsidRPr="0021251E" w:rsidRDefault="00C906FF" w:rsidP="000E5BB2">
            <w:pPr>
              <w:autoSpaceDE w:val="0"/>
              <w:autoSpaceDN w:val="0"/>
              <w:adjustRightInd w:val="0"/>
              <w:rPr>
                <w:color w:val="000000"/>
                <w:szCs w:val="24"/>
              </w:rPr>
            </w:pPr>
          </w:p>
          <w:p w:rsidR="00C906FF" w:rsidRPr="0021251E" w:rsidRDefault="00C906FF" w:rsidP="000E5BB2">
            <w:pPr>
              <w:ind w:left="567"/>
            </w:pPr>
            <w:r w:rsidRPr="0021251E">
              <w:t>A variety is considered uniform if no off-types are observed in the sub-sample.</w:t>
            </w:r>
          </w:p>
          <w:p w:rsidR="00C906FF" w:rsidRPr="0021251E" w:rsidRDefault="00C906FF" w:rsidP="000E5BB2"/>
          <w:p w:rsidR="00C906FF" w:rsidRPr="0021251E" w:rsidRDefault="00C906FF" w:rsidP="000E5BB2">
            <w:pPr>
              <w:ind w:left="567"/>
            </w:pPr>
            <w:r w:rsidRPr="0021251E">
              <w:t>A variety is considered non–uniform if the number of off-types in the sub-sample exceeds 3.</w:t>
            </w:r>
          </w:p>
          <w:p w:rsidR="00C906FF" w:rsidRPr="0021251E" w:rsidRDefault="00C906FF" w:rsidP="000E5BB2"/>
          <w:p w:rsidR="00C906FF" w:rsidRPr="0021251E" w:rsidRDefault="00C906FF" w:rsidP="000E5BB2">
            <w:pPr>
              <w:ind w:left="567"/>
            </w:pPr>
            <w:r w:rsidRPr="0021251E">
              <w:t>If the number of off-types is 1 to 3, the whole sample of 100 plants is assessed.</w:t>
            </w:r>
          </w:p>
          <w:p w:rsidR="00C906FF" w:rsidRPr="0021251E" w:rsidRDefault="00C906FF" w:rsidP="000E5BB2">
            <w:pPr>
              <w:ind w:left="567"/>
            </w:pPr>
          </w:p>
          <w:p w:rsidR="00C906FF" w:rsidRPr="0021251E" w:rsidRDefault="00C906FF" w:rsidP="000E5BB2">
            <w:pPr>
              <w:ind w:left="567"/>
            </w:pPr>
            <w:r w:rsidRPr="0021251E">
              <w:rPr>
                <w:rFonts w:cs="Arial"/>
              </w:rPr>
              <w:t>If the number of off-types in the sample of 100 plants exceeds 3, the variety is considered non-uniform.</w:t>
            </w:r>
          </w:p>
          <w:p w:rsidR="00C906FF" w:rsidRPr="0021251E" w:rsidRDefault="00C906FF" w:rsidP="000E5BB2">
            <w:pPr>
              <w:ind w:left="34" w:right="600"/>
            </w:pPr>
          </w:p>
          <w:p w:rsidR="00C906FF" w:rsidRPr="0021251E" w:rsidRDefault="00246FA6" w:rsidP="000E5BB2">
            <w:pPr>
              <w:ind w:left="34" w:right="600"/>
              <w:rPr>
                <w:szCs w:val="24"/>
              </w:rPr>
            </w:pPr>
            <w:r w:rsidRPr="00246FA6">
              <w:rPr>
                <w:szCs w:val="24"/>
                <w:highlight w:val="lightGray"/>
              </w:rPr>
              <w:t>[</w:t>
            </w:r>
            <w:r w:rsidR="00C906FF" w:rsidRPr="00246FA6">
              <w:rPr>
                <w:strike/>
                <w:szCs w:val="24"/>
                <w:highlight w:val="lightGray"/>
              </w:rPr>
              <w:t>Document TWC/32/9 Annex V provides a full description of the statistical basis for this approach.</w:t>
            </w:r>
            <w:r w:rsidRPr="00246FA6">
              <w:rPr>
                <w:szCs w:val="24"/>
                <w:highlight w:val="lightGray"/>
              </w:rPr>
              <w:t>]</w:t>
            </w:r>
          </w:p>
          <w:p w:rsidR="00C906FF" w:rsidRPr="0021251E" w:rsidRDefault="00C906FF" w:rsidP="000E5BB2">
            <w:pPr>
              <w:ind w:left="34" w:right="600"/>
              <w:rPr>
                <w:szCs w:val="24"/>
              </w:rPr>
            </w:pPr>
          </w:p>
        </w:tc>
      </w:tr>
    </w:tbl>
    <w:p w:rsidR="00C906FF" w:rsidRPr="0021251E" w:rsidRDefault="00C906FF" w:rsidP="00C906FF"/>
    <w:p w:rsidR="00C906FF" w:rsidRPr="0021251E" w:rsidRDefault="00C906FF" w:rsidP="00C906FF"/>
    <w:p w:rsidR="00C906FF" w:rsidRPr="0021251E" w:rsidRDefault="00C906FF" w:rsidP="00C906FF"/>
    <w:p w:rsidR="00050E16" w:rsidRPr="00C5280D" w:rsidRDefault="00C906FF" w:rsidP="00C906FF">
      <w:pPr>
        <w:jc w:val="right"/>
      </w:pPr>
      <w:r w:rsidRPr="0021251E">
        <w:t xml:space="preserve"> [End of Annex II and of document]</w:t>
      </w:r>
    </w:p>
    <w:sectPr w:rsidR="00050E16" w:rsidRPr="00C5280D" w:rsidSect="00906DDC">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BB2" w:rsidRDefault="000E5BB2" w:rsidP="006655D3">
      <w:r>
        <w:separator/>
      </w:r>
    </w:p>
    <w:p w:rsidR="000E5BB2" w:rsidRDefault="000E5BB2" w:rsidP="006655D3"/>
    <w:p w:rsidR="000E5BB2" w:rsidRDefault="000E5BB2" w:rsidP="006655D3"/>
  </w:endnote>
  <w:endnote w:type="continuationSeparator" w:id="0">
    <w:p w:rsidR="000E5BB2" w:rsidRDefault="000E5BB2" w:rsidP="006655D3">
      <w:r>
        <w:separator/>
      </w:r>
    </w:p>
    <w:p w:rsidR="000E5BB2" w:rsidRPr="00294751" w:rsidRDefault="000E5BB2">
      <w:pPr>
        <w:pStyle w:val="Footer"/>
        <w:spacing w:after="60"/>
        <w:rPr>
          <w:sz w:val="18"/>
          <w:lang w:val="fr-FR"/>
        </w:rPr>
      </w:pPr>
      <w:r w:rsidRPr="00294751">
        <w:rPr>
          <w:sz w:val="18"/>
          <w:lang w:val="fr-FR"/>
        </w:rPr>
        <w:t>[Suite de la note de la page précédente]</w:t>
      </w:r>
    </w:p>
    <w:p w:rsidR="000E5BB2" w:rsidRPr="00294751" w:rsidRDefault="000E5BB2" w:rsidP="006655D3">
      <w:pPr>
        <w:rPr>
          <w:lang w:val="fr-FR"/>
        </w:rPr>
      </w:pPr>
    </w:p>
    <w:p w:rsidR="000E5BB2" w:rsidRPr="00294751" w:rsidRDefault="000E5BB2" w:rsidP="006655D3">
      <w:pPr>
        <w:rPr>
          <w:lang w:val="fr-FR"/>
        </w:rPr>
      </w:pPr>
    </w:p>
  </w:endnote>
  <w:endnote w:type="continuationNotice" w:id="1">
    <w:p w:rsidR="000E5BB2" w:rsidRPr="00294751" w:rsidRDefault="000E5BB2" w:rsidP="006655D3">
      <w:pPr>
        <w:rPr>
          <w:lang w:val="fr-FR"/>
        </w:rPr>
      </w:pPr>
      <w:r w:rsidRPr="00294751">
        <w:rPr>
          <w:lang w:val="fr-FR"/>
        </w:rPr>
        <w:t>[Suite de la note page suivante]</w:t>
      </w:r>
    </w:p>
    <w:p w:rsidR="000E5BB2" w:rsidRPr="00294751" w:rsidRDefault="000E5BB2" w:rsidP="006655D3">
      <w:pPr>
        <w:rPr>
          <w:lang w:val="fr-FR"/>
        </w:rPr>
      </w:pPr>
    </w:p>
    <w:p w:rsidR="000E5BB2" w:rsidRPr="00294751" w:rsidRDefault="000E5B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B2" w:rsidRDefault="000E5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B2" w:rsidRDefault="000E5B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B2" w:rsidRDefault="000E5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BB2" w:rsidRDefault="000E5BB2" w:rsidP="006655D3">
      <w:r>
        <w:separator/>
      </w:r>
    </w:p>
  </w:footnote>
  <w:footnote w:type="continuationSeparator" w:id="0">
    <w:p w:rsidR="000E5BB2" w:rsidRDefault="000E5BB2" w:rsidP="006655D3">
      <w:r>
        <w:separator/>
      </w:r>
    </w:p>
  </w:footnote>
  <w:footnote w:type="continuationNotice" w:id="1">
    <w:p w:rsidR="000E5BB2" w:rsidRPr="00AB530F" w:rsidRDefault="000E5BB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B2" w:rsidRDefault="000E5BB2" w:rsidP="000E5BB2">
    <w:pPr>
      <w:pStyle w:val="Header"/>
      <w:rPr>
        <w:lang w:val="en-US"/>
      </w:rPr>
    </w:pPr>
    <w:r w:rsidRPr="00C906FF">
      <w:rPr>
        <w:lang w:val="en-US"/>
      </w:rPr>
      <w:t>TC-EDC/Mar18/17</w:t>
    </w:r>
  </w:p>
  <w:p w:rsidR="000E5BB2" w:rsidRPr="00C5280D" w:rsidRDefault="000E5BB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73408">
      <w:rPr>
        <w:rStyle w:val="PageNumber"/>
        <w:noProof/>
        <w:lang w:val="en-US"/>
      </w:rPr>
      <w:t>4</w:t>
    </w:r>
    <w:r w:rsidRPr="00C5280D">
      <w:rPr>
        <w:rStyle w:val="PageNumber"/>
        <w:lang w:val="en-US"/>
      </w:rPr>
      <w:fldChar w:fldCharType="end"/>
    </w:r>
  </w:p>
  <w:p w:rsidR="000E5BB2" w:rsidRPr="00C5280D" w:rsidRDefault="000E5BB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B2" w:rsidRPr="00C906FF" w:rsidRDefault="000E5BB2" w:rsidP="00EB048E">
    <w:pPr>
      <w:pStyle w:val="Header"/>
      <w:rPr>
        <w:rStyle w:val="PageNumber"/>
        <w:lang w:val="pt-BR"/>
      </w:rPr>
    </w:pPr>
    <w:r w:rsidRPr="00C906FF">
      <w:rPr>
        <w:lang w:val="pt-BR"/>
      </w:rPr>
      <w:t>TC-EDC/Mar18/17</w:t>
    </w:r>
  </w:p>
  <w:p w:rsidR="000E5BB2" w:rsidRPr="0061523C" w:rsidRDefault="000E5BB2" w:rsidP="00EB048E">
    <w:pPr>
      <w:pStyle w:val="Header"/>
      <w:rPr>
        <w:lang w:val="pt-BR"/>
      </w:rPr>
    </w:pPr>
    <w:r w:rsidRPr="00C906FF">
      <w:rPr>
        <w:lang w:val="pt-BR"/>
      </w:rPr>
      <w:t xml:space="preserve">Annex I, page </w:t>
    </w:r>
    <w:r w:rsidRPr="00C5280D">
      <w:rPr>
        <w:rStyle w:val="PageNumber"/>
        <w:lang w:val="en-US"/>
      </w:rPr>
      <w:fldChar w:fldCharType="begin"/>
    </w:r>
    <w:r w:rsidRPr="0061523C">
      <w:rPr>
        <w:rStyle w:val="PageNumber"/>
        <w:lang w:val="pt-BR"/>
      </w:rPr>
      <w:instrText xml:space="preserve"> PAGE </w:instrText>
    </w:r>
    <w:r w:rsidRPr="00C5280D">
      <w:rPr>
        <w:rStyle w:val="PageNumber"/>
        <w:lang w:val="en-US"/>
      </w:rPr>
      <w:fldChar w:fldCharType="separate"/>
    </w:r>
    <w:r w:rsidR="00B73408">
      <w:rPr>
        <w:rStyle w:val="PageNumber"/>
        <w:noProof/>
        <w:lang w:val="pt-BR"/>
      </w:rPr>
      <w:t>2</w:t>
    </w:r>
    <w:r w:rsidRPr="00C5280D">
      <w:rPr>
        <w:rStyle w:val="PageNumber"/>
        <w:lang w:val="en-US"/>
      </w:rPr>
      <w:fldChar w:fldCharType="end"/>
    </w:r>
  </w:p>
  <w:p w:rsidR="000E5BB2" w:rsidRPr="0061523C" w:rsidRDefault="000E5BB2" w:rsidP="006655D3">
    <w:pP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B2" w:rsidRPr="00C906FF" w:rsidRDefault="000E5BB2">
    <w:pPr>
      <w:pStyle w:val="Header"/>
      <w:rPr>
        <w:lang w:val="pt-BR"/>
      </w:rPr>
    </w:pPr>
    <w:r w:rsidRPr="00C906FF">
      <w:rPr>
        <w:lang w:val="pt-BR"/>
      </w:rPr>
      <w:t>TC-EDC/Mar18/17</w:t>
    </w:r>
  </w:p>
  <w:p w:rsidR="000E5BB2" w:rsidRPr="00C906FF" w:rsidRDefault="000E5BB2">
    <w:pPr>
      <w:pStyle w:val="Header"/>
      <w:rPr>
        <w:lang w:val="pt-BR"/>
      </w:rPr>
    </w:pPr>
  </w:p>
  <w:p w:rsidR="000E5BB2" w:rsidRPr="00C906FF" w:rsidRDefault="000E5BB2">
    <w:pPr>
      <w:pStyle w:val="Header"/>
      <w:rPr>
        <w:lang w:val="pt-BR"/>
      </w:rPr>
    </w:pPr>
    <w:r w:rsidRPr="00C906FF">
      <w:rPr>
        <w:lang w:val="pt-BR"/>
      </w:rPr>
      <w:t>ANNEX I</w:t>
    </w:r>
  </w:p>
  <w:p w:rsidR="000E5BB2" w:rsidRPr="00C906FF" w:rsidRDefault="000E5BB2">
    <w:pPr>
      <w:pStyle w:val="Header"/>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B2" w:rsidRDefault="000E5B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B2" w:rsidRPr="00C5280D" w:rsidRDefault="000E5BB2" w:rsidP="00EB048E">
    <w:pPr>
      <w:pStyle w:val="Header"/>
      <w:rPr>
        <w:rStyle w:val="PageNumber"/>
        <w:lang w:val="en-US"/>
      </w:rPr>
    </w:pPr>
    <w:r>
      <w:rPr>
        <w:rStyle w:val="PageNumber"/>
        <w:lang w:val="en-US"/>
      </w:rPr>
      <w:t>TC-EDC/Mar18/</w:t>
    </w:r>
  </w:p>
  <w:p w:rsidR="000E5BB2" w:rsidRPr="00C5280D" w:rsidRDefault="000E5BB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9077A">
      <w:rPr>
        <w:rStyle w:val="PageNumber"/>
        <w:noProof/>
        <w:lang w:val="en-US"/>
      </w:rPr>
      <w:t>3</w:t>
    </w:r>
    <w:r w:rsidRPr="00C5280D">
      <w:rPr>
        <w:rStyle w:val="PageNumber"/>
        <w:lang w:val="en-US"/>
      </w:rPr>
      <w:fldChar w:fldCharType="end"/>
    </w:r>
  </w:p>
  <w:p w:rsidR="000E5BB2" w:rsidRPr="00C5280D" w:rsidRDefault="000E5BB2"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B2" w:rsidRDefault="000E5BB2">
    <w:pPr>
      <w:pStyle w:val="Header"/>
      <w:rPr>
        <w:lang w:val="en-US"/>
      </w:rPr>
    </w:pPr>
    <w:r w:rsidRPr="00C906FF">
      <w:rPr>
        <w:lang w:val="en-US"/>
      </w:rPr>
      <w:t>TC-EDC/Mar18/17</w:t>
    </w:r>
  </w:p>
  <w:p w:rsidR="000E5BB2" w:rsidRDefault="000E5BB2">
    <w:pPr>
      <w:pStyle w:val="Header"/>
      <w:rPr>
        <w:lang w:val="en-US"/>
      </w:rPr>
    </w:pPr>
  </w:p>
  <w:p w:rsidR="000E5BB2" w:rsidRDefault="000E5BB2">
    <w:pPr>
      <w:pStyle w:val="Header"/>
      <w:rPr>
        <w:lang w:val="en-US"/>
      </w:rPr>
    </w:pPr>
    <w:r>
      <w:rPr>
        <w:lang w:val="en-US"/>
      </w:rPr>
      <w:t>ANNEX II</w:t>
    </w:r>
  </w:p>
  <w:p w:rsidR="000E5BB2" w:rsidRDefault="000E5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3306"/>
    <w:multiLevelType w:val="hybridMultilevel"/>
    <w:tmpl w:val="6738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95215"/>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388B7878"/>
    <w:multiLevelType w:val="hybridMultilevel"/>
    <w:tmpl w:val="B652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FF"/>
    <w:rsid w:val="00010CF3"/>
    <w:rsid w:val="00011E27"/>
    <w:rsid w:val="000148BC"/>
    <w:rsid w:val="00024AB8"/>
    <w:rsid w:val="00026FFE"/>
    <w:rsid w:val="00030854"/>
    <w:rsid w:val="00036028"/>
    <w:rsid w:val="00044642"/>
    <w:rsid w:val="000446B9"/>
    <w:rsid w:val="00047E21"/>
    <w:rsid w:val="00050E16"/>
    <w:rsid w:val="00064A00"/>
    <w:rsid w:val="00085505"/>
    <w:rsid w:val="000C4E25"/>
    <w:rsid w:val="000C7021"/>
    <w:rsid w:val="000D6BBC"/>
    <w:rsid w:val="000D7780"/>
    <w:rsid w:val="000E5BB2"/>
    <w:rsid w:val="000E6267"/>
    <w:rsid w:val="000E636A"/>
    <w:rsid w:val="000F2F11"/>
    <w:rsid w:val="00105929"/>
    <w:rsid w:val="00110C36"/>
    <w:rsid w:val="001131D5"/>
    <w:rsid w:val="00141DB8"/>
    <w:rsid w:val="0015390A"/>
    <w:rsid w:val="00172084"/>
    <w:rsid w:val="0017474A"/>
    <w:rsid w:val="001758C6"/>
    <w:rsid w:val="00182B99"/>
    <w:rsid w:val="001C1525"/>
    <w:rsid w:val="001F6B71"/>
    <w:rsid w:val="001F78CD"/>
    <w:rsid w:val="0021332C"/>
    <w:rsid w:val="00213982"/>
    <w:rsid w:val="00214C72"/>
    <w:rsid w:val="00233796"/>
    <w:rsid w:val="002419BE"/>
    <w:rsid w:val="00242A7D"/>
    <w:rsid w:val="0024416D"/>
    <w:rsid w:val="002449F2"/>
    <w:rsid w:val="002455DE"/>
    <w:rsid w:val="00246FA6"/>
    <w:rsid w:val="00250F37"/>
    <w:rsid w:val="00267B3A"/>
    <w:rsid w:val="00271911"/>
    <w:rsid w:val="002800A0"/>
    <w:rsid w:val="002801B3"/>
    <w:rsid w:val="00281060"/>
    <w:rsid w:val="002940E8"/>
    <w:rsid w:val="00294751"/>
    <w:rsid w:val="002A6E50"/>
    <w:rsid w:val="002B4298"/>
    <w:rsid w:val="002C256A"/>
    <w:rsid w:val="00305A7F"/>
    <w:rsid w:val="003152FE"/>
    <w:rsid w:val="003238DC"/>
    <w:rsid w:val="00327436"/>
    <w:rsid w:val="00344BD6"/>
    <w:rsid w:val="0035528D"/>
    <w:rsid w:val="00361821"/>
    <w:rsid w:val="00361E9E"/>
    <w:rsid w:val="0039633A"/>
    <w:rsid w:val="003C7FBE"/>
    <w:rsid w:val="003D227C"/>
    <w:rsid w:val="003D2B4D"/>
    <w:rsid w:val="003F5F2B"/>
    <w:rsid w:val="00444A88"/>
    <w:rsid w:val="00474DA4"/>
    <w:rsid w:val="00476B4D"/>
    <w:rsid w:val="004805FA"/>
    <w:rsid w:val="004935D2"/>
    <w:rsid w:val="004B1215"/>
    <w:rsid w:val="004D047D"/>
    <w:rsid w:val="004E32ED"/>
    <w:rsid w:val="004F1E9E"/>
    <w:rsid w:val="004F305A"/>
    <w:rsid w:val="00512164"/>
    <w:rsid w:val="00520297"/>
    <w:rsid w:val="00527E78"/>
    <w:rsid w:val="005338F9"/>
    <w:rsid w:val="0054281C"/>
    <w:rsid w:val="00542AB4"/>
    <w:rsid w:val="00544581"/>
    <w:rsid w:val="0055268D"/>
    <w:rsid w:val="00552ADC"/>
    <w:rsid w:val="00576BE4"/>
    <w:rsid w:val="005A400A"/>
    <w:rsid w:val="005F1CFD"/>
    <w:rsid w:val="005F7B92"/>
    <w:rsid w:val="00612379"/>
    <w:rsid w:val="0061523C"/>
    <w:rsid w:val="006153B6"/>
    <w:rsid w:val="0061555F"/>
    <w:rsid w:val="00636CA6"/>
    <w:rsid w:val="00641200"/>
    <w:rsid w:val="00645CA8"/>
    <w:rsid w:val="006567E7"/>
    <w:rsid w:val="00657340"/>
    <w:rsid w:val="006655D3"/>
    <w:rsid w:val="00667404"/>
    <w:rsid w:val="00687EB4"/>
    <w:rsid w:val="00695C56"/>
    <w:rsid w:val="006A5CDE"/>
    <w:rsid w:val="006A644A"/>
    <w:rsid w:val="006B17D2"/>
    <w:rsid w:val="006B6469"/>
    <w:rsid w:val="006C224E"/>
    <w:rsid w:val="006D780A"/>
    <w:rsid w:val="0071271E"/>
    <w:rsid w:val="007129D2"/>
    <w:rsid w:val="00721994"/>
    <w:rsid w:val="00732DEC"/>
    <w:rsid w:val="00735BD5"/>
    <w:rsid w:val="007451EC"/>
    <w:rsid w:val="00751613"/>
    <w:rsid w:val="007556F6"/>
    <w:rsid w:val="00760EEF"/>
    <w:rsid w:val="00777EE5"/>
    <w:rsid w:val="00784836"/>
    <w:rsid w:val="0079023E"/>
    <w:rsid w:val="007A2854"/>
    <w:rsid w:val="007A492B"/>
    <w:rsid w:val="007C1D92"/>
    <w:rsid w:val="007C315B"/>
    <w:rsid w:val="007C4CB9"/>
    <w:rsid w:val="007D0B9D"/>
    <w:rsid w:val="007D19B0"/>
    <w:rsid w:val="007D4635"/>
    <w:rsid w:val="007F498F"/>
    <w:rsid w:val="0080679D"/>
    <w:rsid w:val="008108B0"/>
    <w:rsid w:val="00811B20"/>
    <w:rsid w:val="008211B5"/>
    <w:rsid w:val="0082296E"/>
    <w:rsid w:val="00824099"/>
    <w:rsid w:val="00826453"/>
    <w:rsid w:val="00846D7C"/>
    <w:rsid w:val="008535ED"/>
    <w:rsid w:val="00867AC1"/>
    <w:rsid w:val="00890DF8"/>
    <w:rsid w:val="008A743F"/>
    <w:rsid w:val="008C0970"/>
    <w:rsid w:val="008D012B"/>
    <w:rsid w:val="008D0BC5"/>
    <w:rsid w:val="008D2CF7"/>
    <w:rsid w:val="00900C26"/>
    <w:rsid w:val="0090197F"/>
    <w:rsid w:val="00903264"/>
    <w:rsid w:val="00906DDC"/>
    <w:rsid w:val="00934E09"/>
    <w:rsid w:val="00936253"/>
    <w:rsid w:val="00940D46"/>
    <w:rsid w:val="00952DD4"/>
    <w:rsid w:val="009658E2"/>
    <w:rsid w:val="00965AE7"/>
    <w:rsid w:val="00970FED"/>
    <w:rsid w:val="00992D82"/>
    <w:rsid w:val="00997029"/>
    <w:rsid w:val="009A7339"/>
    <w:rsid w:val="009B440E"/>
    <w:rsid w:val="009D690D"/>
    <w:rsid w:val="009E65B6"/>
    <w:rsid w:val="009F77CF"/>
    <w:rsid w:val="00A24C10"/>
    <w:rsid w:val="00A3365A"/>
    <w:rsid w:val="00A42AC3"/>
    <w:rsid w:val="00A430CF"/>
    <w:rsid w:val="00A52D8E"/>
    <w:rsid w:val="00A54309"/>
    <w:rsid w:val="00A60422"/>
    <w:rsid w:val="00A7715B"/>
    <w:rsid w:val="00A774D7"/>
    <w:rsid w:val="00AB2B93"/>
    <w:rsid w:val="00AB530F"/>
    <w:rsid w:val="00AB7E5B"/>
    <w:rsid w:val="00AC2883"/>
    <w:rsid w:val="00AE0EF1"/>
    <w:rsid w:val="00AE2937"/>
    <w:rsid w:val="00AF71BC"/>
    <w:rsid w:val="00B01260"/>
    <w:rsid w:val="00B07301"/>
    <w:rsid w:val="00B11F3E"/>
    <w:rsid w:val="00B224DE"/>
    <w:rsid w:val="00B315FC"/>
    <w:rsid w:val="00B324D4"/>
    <w:rsid w:val="00B417CA"/>
    <w:rsid w:val="00B46575"/>
    <w:rsid w:val="00B61777"/>
    <w:rsid w:val="00B73408"/>
    <w:rsid w:val="00B84BBD"/>
    <w:rsid w:val="00BA43FB"/>
    <w:rsid w:val="00BC127D"/>
    <w:rsid w:val="00BC1FE6"/>
    <w:rsid w:val="00BF0BBE"/>
    <w:rsid w:val="00C061B6"/>
    <w:rsid w:val="00C2446C"/>
    <w:rsid w:val="00C36AE5"/>
    <w:rsid w:val="00C41F17"/>
    <w:rsid w:val="00C527FA"/>
    <w:rsid w:val="00C5280D"/>
    <w:rsid w:val="00C53EB3"/>
    <w:rsid w:val="00C5791C"/>
    <w:rsid w:val="00C66290"/>
    <w:rsid w:val="00C72B7A"/>
    <w:rsid w:val="00C76469"/>
    <w:rsid w:val="00C906FF"/>
    <w:rsid w:val="00C9077A"/>
    <w:rsid w:val="00C973F2"/>
    <w:rsid w:val="00CA304C"/>
    <w:rsid w:val="00CA774A"/>
    <w:rsid w:val="00CC11B0"/>
    <w:rsid w:val="00CC2841"/>
    <w:rsid w:val="00CF1330"/>
    <w:rsid w:val="00CF7E36"/>
    <w:rsid w:val="00D3708D"/>
    <w:rsid w:val="00D40426"/>
    <w:rsid w:val="00D57C96"/>
    <w:rsid w:val="00D57D18"/>
    <w:rsid w:val="00D91203"/>
    <w:rsid w:val="00D95174"/>
    <w:rsid w:val="00DA4476"/>
    <w:rsid w:val="00DA4973"/>
    <w:rsid w:val="00DA6F36"/>
    <w:rsid w:val="00DB596E"/>
    <w:rsid w:val="00DB7773"/>
    <w:rsid w:val="00DC00EA"/>
    <w:rsid w:val="00DC3802"/>
    <w:rsid w:val="00E00B86"/>
    <w:rsid w:val="00E07D87"/>
    <w:rsid w:val="00E21D51"/>
    <w:rsid w:val="00E32F7E"/>
    <w:rsid w:val="00E5267B"/>
    <w:rsid w:val="00E57193"/>
    <w:rsid w:val="00E63C0E"/>
    <w:rsid w:val="00E72D49"/>
    <w:rsid w:val="00E7593C"/>
    <w:rsid w:val="00E7678A"/>
    <w:rsid w:val="00E90CA9"/>
    <w:rsid w:val="00E935F1"/>
    <w:rsid w:val="00E94A81"/>
    <w:rsid w:val="00EA1FFB"/>
    <w:rsid w:val="00EB048E"/>
    <w:rsid w:val="00EB14A4"/>
    <w:rsid w:val="00EB4E9C"/>
    <w:rsid w:val="00ED7FDE"/>
    <w:rsid w:val="00EE34DF"/>
    <w:rsid w:val="00EF2F89"/>
    <w:rsid w:val="00F03E98"/>
    <w:rsid w:val="00F10170"/>
    <w:rsid w:val="00F1237A"/>
    <w:rsid w:val="00F22CBD"/>
    <w:rsid w:val="00F272F1"/>
    <w:rsid w:val="00F45372"/>
    <w:rsid w:val="00F560F7"/>
    <w:rsid w:val="00F6334D"/>
    <w:rsid w:val="00F63599"/>
    <w:rsid w:val="00FA1664"/>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C906FF"/>
    <w:rPr>
      <w:b/>
    </w:rPr>
  </w:style>
  <w:style w:type="paragraph" w:customStyle="1" w:styleId="Sessiontwpplacedate">
    <w:name w:val="Session_twp_place_date"/>
    <w:basedOn w:val="Normal"/>
    <w:next w:val="Normal"/>
    <w:qFormat/>
    <w:rsid w:val="00C906FF"/>
  </w:style>
  <w:style w:type="character" w:customStyle="1" w:styleId="Heading1Char">
    <w:name w:val="Heading 1 Char"/>
    <w:basedOn w:val="DefaultParagraphFont"/>
    <w:link w:val="Heading1"/>
    <w:rsid w:val="00C906FF"/>
    <w:rPr>
      <w:rFonts w:ascii="Arial" w:hAnsi="Arial"/>
      <w:caps/>
    </w:rPr>
  </w:style>
  <w:style w:type="character" w:customStyle="1" w:styleId="Heading2Char">
    <w:name w:val="Heading 2 Char"/>
    <w:basedOn w:val="DefaultParagraphFont"/>
    <w:link w:val="Heading2"/>
    <w:rsid w:val="00C906FF"/>
    <w:rPr>
      <w:rFonts w:ascii="Arial" w:hAnsi="Arial"/>
      <w:u w:val="single"/>
    </w:rPr>
  </w:style>
  <w:style w:type="character" w:customStyle="1" w:styleId="HeaderChar">
    <w:name w:val="Header Char"/>
    <w:basedOn w:val="DefaultParagraphFont"/>
    <w:link w:val="Header"/>
    <w:rsid w:val="00C906FF"/>
    <w:rPr>
      <w:rFonts w:ascii="Arial" w:hAnsi="Arial"/>
      <w:lang w:val="fr-FR"/>
    </w:rPr>
  </w:style>
  <w:style w:type="paragraph" w:customStyle="1" w:styleId="Style1">
    <w:name w:val="Style1"/>
    <w:basedOn w:val="Normal"/>
    <w:rsid w:val="00C906FF"/>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C906FF"/>
    <w:pPr>
      <w:ind w:left="720"/>
      <w:contextualSpacing/>
    </w:pPr>
    <w:rPr>
      <w:rFonts w:eastAsiaTheme="minorEastAsia"/>
    </w:rPr>
  </w:style>
  <w:style w:type="table" w:styleId="TableGrid">
    <w:name w:val="Table Grid"/>
    <w:basedOn w:val="TableNormal"/>
    <w:rsid w:val="00C906F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C906FF"/>
    <w:rPr>
      <w:b/>
    </w:rPr>
  </w:style>
  <w:style w:type="paragraph" w:customStyle="1" w:styleId="Sessiontwpplacedate">
    <w:name w:val="Session_twp_place_date"/>
    <w:basedOn w:val="Normal"/>
    <w:next w:val="Normal"/>
    <w:qFormat/>
    <w:rsid w:val="00C906FF"/>
  </w:style>
  <w:style w:type="character" w:customStyle="1" w:styleId="Heading1Char">
    <w:name w:val="Heading 1 Char"/>
    <w:basedOn w:val="DefaultParagraphFont"/>
    <w:link w:val="Heading1"/>
    <w:rsid w:val="00C906FF"/>
    <w:rPr>
      <w:rFonts w:ascii="Arial" w:hAnsi="Arial"/>
      <w:caps/>
    </w:rPr>
  </w:style>
  <w:style w:type="character" w:customStyle="1" w:styleId="Heading2Char">
    <w:name w:val="Heading 2 Char"/>
    <w:basedOn w:val="DefaultParagraphFont"/>
    <w:link w:val="Heading2"/>
    <w:rsid w:val="00C906FF"/>
    <w:rPr>
      <w:rFonts w:ascii="Arial" w:hAnsi="Arial"/>
      <w:u w:val="single"/>
    </w:rPr>
  </w:style>
  <w:style w:type="character" w:customStyle="1" w:styleId="HeaderChar">
    <w:name w:val="Header Char"/>
    <w:basedOn w:val="DefaultParagraphFont"/>
    <w:link w:val="Header"/>
    <w:rsid w:val="00C906FF"/>
    <w:rPr>
      <w:rFonts w:ascii="Arial" w:hAnsi="Arial"/>
      <w:lang w:val="fr-FR"/>
    </w:rPr>
  </w:style>
  <w:style w:type="paragraph" w:customStyle="1" w:styleId="Style1">
    <w:name w:val="Style1"/>
    <w:basedOn w:val="Normal"/>
    <w:rsid w:val="00C906FF"/>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C906FF"/>
    <w:pPr>
      <w:ind w:left="720"/>
      <w:contextualSpacing/>
    </w:pPr>
    <w:rPr>
      <w:rFonts w:eastAsiaTheme="minorEastAsia"/>
    </w:rPr>
  </w:style>
  <w:style w:type="table" w:styleId="TableGrid">
    <w:name w:val="Table Grid"/>
    <w:basedOn w:val="TableNormal"/>
    <w:rsid w:val="00C906F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Mar_Mtg\templates\tc_edc_mar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tc_edc_mar_18_EN.dotx</Template>
  <TotalTime>1220</TotalTime>
  <Pages>7</Pages>
  <Words>3019</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TC-EDC/Mar18</vt:lpstr>
    </vt:vector>
  </TitlesOfParts>
  <Company>UPOV</Company>
  <LinksUpToDate>false</LinksUpToDate>
  <CharactersWithSpaces>19302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TAVEIRA Leontino</dc:creator>
  <cp:lastModifiedBy>OERTEL Romy</cp:lastModifiedBy>
  <cp:revision>44</cp:revision>
  <cp:lastPrinted>2018-02-07T16:36:00Z</cp:lastPrinted>
  <dcterms:created xsi:type="dcterms:W3CDTF">2018-01-16T15:35:00Z</dcterms:created>
  <dcterms:modified xsi:type="dcterms:W3CDTF">2018-02-07T16:36:00Z</dcterms:modified>
</cp:coreProperties>
</file>