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6748A" w:rsidP="006655D3">
            <w:pPr>
              <w:pStyle w:val="LogoUPOV"/>
            </w:pPr>
            <w:r>
              <w:rPr>
                <w:noProof/>
              </w:rPr>
              <w:drawing>
                <wp:inline distT="0" distB="0" distL="0" distR="0">
                  <wp:extent cx="97536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449580"/>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125EFC">
              <w:t>-EDC</w:t>
            </w:r>
            <w:r w:rsidR="0017474A" w:rsidRPr="00C5280D">
              <w:t>/</w:t>
            </w:r>
            <w:r w:rsidR="00125EFC">
              <w:t>Jan1</w:t>
            </w:r>
            <w:r w:rsidR="007B286C">
              <w:t>6</w:t>
            </w:r>
            <w:r w:rsidR="0017474A" w:rsidRPr="00C5280D">
              <w:t>/</w:t>
            </w:r>
            <w:bookmarkStart w:id="0" w:name="Code"/>
            <w:bookmarkEnd w:id="0"/>
            <w:r w:rsidR="00F10972">
              <w:t>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8A740A">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Start w:id="3" w:name="_GoBack"/>
            <w:bookmarkEnd w:id="2"/>
            <w:bookmarkEnd w:id="3"/>
            <w:r w:rsidR="00C01157" w:rsidRPr="00330B82">
              <w:rPr>
                <w:b w:val="0"/>
                <w:spacing w:val="0"/>
              </w:rPr>
              <w:t>November</w:t>
            </w:r>
            <w:r w:rsidR="00125EFC" w:rsidRPr="00330B82">
              <w:rPr>
                <w:b w:val="0"/>
                <w:spacing w:val="0"/>
              </w:rPr>
              <w:t xml:space="preserve"> </w:t>
            </w:r>
            <w:r w:rsidR="008A740A" w:rsidRPr="00330B82">
              <w:rPr>
                <w:b w:val="0"/>
                <w:spacing w:val="0"/>
              </w:rPr>
              <w:t>11</w:t>
            </w:r>
            <w:r w:rsidR="0024416D" w:rsidRPr="00330B82">
              <w:rPr>
                <w:b w:val="0"/>
                <w:spacing w:val="0"/>
              </w:rPr>
              <w:t xml:space="preserve">, </w:t>
            </w:r>
            <w:r w:rsidR="001131D5" w:rsidRPr="00330B82">
              <w:rPr>
                <w:b w:val="0"/>
                <w:spacing w:val="0"/>
              </w:rPr>
              <w:t>201</w:t>
            </w:r>
            <w:r w:rsidR="007B286C" w:rsidRPr="00330B82">
              <w:rPr>
                <w:b w:val="0"/>
                <w:spacing w:val="0"/>
              </w:rPr>
              <w:t>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7B286C">
        <w:t>6</w:t>
      </w:r>
      <w:r w:rsidR="00125EFC">
        <w:t xml:space="preserve"> and </w:t>
      </w:r>
      <w:r w:rsidR="007B286C">
        <w:t>7</w:t>
      </w:r>
      <w:r w:rsidR="0061555F" w:rsidRPr="00C5280D">
        <w:t>,</w:t>
      </w:r>
      <w:r w:rsidR="00125EFC">
        <w:t xml:space="preserve"> 201</w:t>
      </w:r>
      <w:r w:rsidR="007B286C">
        <w:t>6</w:t>
      </w:r>
    </w:p>
    <w:p w:rsidR="007F778D" w:rsidRPr="00515925" w:rsidRDefault="007F778D" w:rsidP="007F778D">
      <w:pPr>
        <w:pStyle w:val="Titleofdoc0"/>
      </w:pPr>
      <w:bookmarkStart w:id="4" w:name="TitleOfDoc"/>
      <w:bookmarkEnd w:id="4"/>
      <w:r w:rsidRPr="00515925">
        <w:rPr>
          <w:rFonts w:cs="Arial"/>
        </w:rPr>
        <w:t>Revision of document TGP/8: Part I: DUS Trial Design and Data Analysis,</w:t>
      </w:r>
      <w:r w:rsidRPr="00515925">
        <w:rPr>
          <w:rFonts w:cs="Arial"/>
        </w:rPr>
        <w:br/>
        <w:t xml:space="preserve"> New Section: Minimizing the Variation due to Different Observers</w:t>
      </w:r>
      <w:r>
        <w:rPr>
          <w:rFonts w:cs="Arial"/>
        </w:rPr>
        <w:t xml:space="preserve"> of the same trial</w:t>
      </w:r>
    </w:p>
    <w:p w:rsidR="007F778D" w:rsidRPr="00515925" w:rsidRDefault="007F778D" w:rsidP="007F778D">
      <w:pPr>
        <w:pStyle w:val="preparedby1"/>
      </w:pPr>
      <w:bookmarkStart w:id="5" w:name="Prepared"/>
      <w:bookmarkEnd w:id="5"/>
      <w:r w:rsidRPr="00515925">
        <w:t>Document prepared by the Office of the Union</w:t>
      </w:r>
      <w:r w:rsidRPr="00515925">
        <w:br/>
      </w:r>
      <w:r w:rsidRPr="00515925">
        <w:br/>
      </w:r>
      <w:r w:rsidRPr="00515925">
        <w:rPr>
          <w:color w:val="A6A6A6" w:themeColor="background1" w:themeShade="A6"/>
        </w:rPr>
        <w:t>Disclaimer:  this document does not represent UPOV policies or guidance</w:t>
      </w:r>
    </w:p>
    <w:p w:rsidR="007F778D" w:rsidRPr="00515925" w:rsidRDefault="007F778D" w:rsidP="007F778D">
      <w:pPr>
        <w:pStyle w:val="Heading1"/>
      </w:pPr>
      <w:bookmarkStart w:id="6" w:name="_Toc387757149"/>
      <w:bookmarkStart w:id="7" w:name="_Toc404931496"/>
      <w:bookmarkStart w:id="8" w:name="_Toc404931550"/>
      <w:bookmarkStart w:id="9" w:name="_Toc404931721"/>
      <w:bookmarkStart w:id="10" w:name="_Toc404932170"/>
      <w:bookmarkStart w:id="11" w:name="_Toc404935671"/>
      <w:bookmarkStart w:id="12" w:name="_Toc410717532"/>
      <w:bookmarkStart w:id="13" w:name="_Toc419718947"/>
      <w:bookmarkStart w:id="14" w:name="_Toc434858302"/>
      <w:r w:rsidRPr="00515925">
        <w:t>Executive summary</w:t>
      </w:r>
      <w:bookmarkEnd w:id="6"/>
      <w:bookmarkEnd w:id="7"/>
      <w:bookmarkEnd w:id="8"/>
      <w:bookmarkEnd w:id="9"/>
      <w:bookmarkEnd w:id="10"/>
      <w:bookmarkEnd w:id="11"/>
      <w:bookmarkEnd w:id="12"/>
      <w:bookmarkEnd w:id="13"/>
      <w:bookmarkEnd w:id="14"/>
      <w:r w:rsidRPr="00515925">
        <w:rPr>
          <w:color w:val="FF0000"/>
        </w:rPr>
        <w:t xml:space="preserve"> </w:t>
      </w:r>
    </w:p>
    <w:p w:rsidR="007F778D" w:rsidRPr="00515925" w:rsidRDefault="007F778D" w:rsidP="007F778D">
      <w:pPr>
        <w:rPr>
          <w:lang w:eastAsia="ja-JP"/>
        </w:rPr>
      </w:pPr>
    </w:p>
    <w:p w:rsidR="007F778D" w:rsidRPr="00515925" w:rsidRDefault="007F778D" w:rsidP="007F778D">
      <w:pPr>
        <w:rPr>
          <w:rFonts w:cs="Arial"/>
        </w:rPr>
      </w:pPr>
      <w:r w:rsidRPr="00515925">
        <w:rPr>
          <w:lang w:eastAsia="ja-JP"/>
        </w:rPr>
        <w:fldChar w:fldCharType="begin"/>
      </w:r>
      <w:r w:rsidRPr="00515925">
        <w:rPr>
          <w:lang w:eastAsia="ja-JP"/>
        </w:rPr>
        <w:instrText xml:space="preserve"> AUTONUM  </w:instrText>
      </w:r>
      <w:r w:rsidRPr="00515925">
        <w:rPr>
          <w:lang w:eastAsia="ja-JP"/>
        </w:rPr>
        <w:fldChar w:fldCharType="end"/>
      </w:r>
      <w:r w:rsidRPr="00515925">
        <w:rPr>
          <w:lang w:eastAsia="ja-JP"/>
        </w:rPr>
        <w:tab/>
        <w:t xml:space="preserve">The purpose of this document is to present a draft of a new section for document </w:t>
      </w:r>
      <w:r w:rsidRPr="00515925">
        <w:rPr>
          <w:rFonts w:cs="Arial"/>
        </w:rPr>
        <w:t>TGP/8 Part I: DUS Trial and Design and Data Analysis, on “Minimizing the Variation due to Different Observers</w:t>
      </w:r>
      <w:r>
        <w:rPr>
          <w:rFonts w:cs="Arial"/>
        </w:rPr>
        <w:t xml:space="preserve"> of the Same Trial</w:t>
      </w:r>
      <w:r w:rsidRPr="00515925">
        <w:rPr>
          <w:rFonts w:cs="Arial"/>
        </w:rPr>
        <w:t>”.</w:t>
      </w:r>
    </w:p>
    <w:p w:rsidR="007F778D" w:rsidRPr="00515925" w:rsidRDefault="007F778D" w:rsidP="007F778D">
      <w:pPr>
        <w:rPr>
          <w:snapToGrid w:val="0"/>
        </w:rPr>
      </w:pPr>
    </w:p>
    <w:p w:rsidR="005C17AB" w:rsidRPr="008C3AA6" w:rsidRDefault="005C17AB" w:rsidP="005C17AB">
      <w:r w:rsidRPr="008C3AA6">
        <w:fldChar w:fldCharType="begin"/>
      </w:r>
      <w:r w:rsidRPr="008C3AA6">
        <w:instrText xml:space="preserve"> AUTONUM  </w:instrText>
      </w:r>
      <w:r w:rsidRPr="008C3AA6">
        <w:fldChar w:fldCharType="end"/>
      </w:r>
      <w:r w:rsidRPr="008C3AA6">
        <w:tab/>
        <w:t>The TC-EDC is invited to note the information in this document to be presented to the TC and propose any improvements to the document in that regard.</w:t>
      </w:r>
    </w:p>
    <w:p w:rsidR="007F778D" w:rsidRPr="00515925" w:rsidRDefault="007F778D" w:rsidP="007F778D">
      <w:pPr>
        <w:ind w:left="1701" w:hanging="981"/>
      </w:pPr>
    </w:p>
    <w:p w:rsidR="007F778D" w:rsidRPr="00515925" w:rsidRDefault="007F778D" w:rsidP="007F778D">
      <w:pPr>
        <w:rPr>
          <w:snapToGrid w:val="0"/>
        </w:rPr>
      </w:pPr>
      <w:r w:rsidRPr="00515925">
        <w:fldChar w:fldCharType="begin"/>
      </w:r>
      <w:r w:rsidRPr="00515925">
        <w:instrText xml:space="preserve"> AUTONUM  </w:instrText>
      </w:r>
      <w:r w:rsidRPr="00515925">
        <w:fldChar w:fldCharType="end"/>
      </w:r>
      <w:r w:rsidRPr="00515925">
        <w:tab/>
        <w:t>The structure of this document</w:t>
      </w:r>
      <w:r w:rsidRPr="00515925">
        <w:rPr>
          <w:snapToGrid w:val="0"/>
        </w:rPr>
        <w:t xml:space="preserve"> is as follows:</w:t>
      </w:r>
    </w:p>
    <w:p w:rsidR="007F778D" w:rsidRPr="00515925" w:rsidRDefault="007F778D" w:rsidP="007F778D">
      <w:pPr>
        <w:rPr>
          <w:snapToGrid w:val="0"/>
        </w:rPr>
      </w:pPr>
    </w:p>
    <w:p w:rsidR="00772639" w:rsidRDefault="007F778D">
      <w:pPr>
        <w:pStyle w:val="TOC1"/>
        <w:rPr>
          <w:rFonts w:asciiTheme="minorHAnsi" w:eastAsiaTheme="minorEastAsia" w:hAnsiTheme="minorHAnsi" w:cstheme="minorBidi"/>
          <w:caps w:val="0"/>
          <w:noProof/>
          <w:sz w:val="22"/>
          <w:szCs w:val="22"/>
        </w:rPr>
      </w:pPr>
      <w:r w:rsidRPr="00515925">
        <w:rPr>
          <w:noProof/>
        </w:rPr>
        <w:fldChar w:fldCharType="begin"/>
      </w:r>
      <w:r w:rsidRPr="00515925">
        <w:instrText xml:space="preserve"> TOC \o "1-3" \h \z \u </w:instrText>
      </w:r>
      <w:r w:rsidRPr="00515925">
        <w:rPr>
          <w:noProof/>
        </w:rPr>
        <w:fldChar w:fldCharType="separate"/>
      </w:r>
      <w:hyperlink w:anchor="_Toc434858302" w:history="1">
        <w:r w:rsidR="00772639" w:rsidRPr="004B73C2">
          <w:rPr>
            <w:rStyle w:val="Hyperlink"/>
            <w:noProof/>
          </w:rPr>
          <w:t>Executive summary</w:t>
        </w:r>
        <w:r w:rsidR="00772639">
          <w:rPr>
            <w:noProof/>
            <w:webHidden/>
          </w:rPr>
          <w:tab/>
        </w:r>
        <w:r w:rsidR="00772639">
          <w:rPr>
            <w:noProof/>
            <w:webHidden/>
          </w:rPr>
          <w:fldChar w:fldCharType="begin"/>
        </w:r>
        <w:r w:rsidR="00772639">
          <w:rPr>
            <w:noProof/>
            <w:webHidden/>
          </w:rPr>
          <w:instrText xml:space="preserve"> PAGEREF _Toc434858302 \h </w:instrText>
        </w:r>
        <w:r w:rsidR="00772639">
          <w:rPr>
            <w:noProof/>
            <w:webHidden/>
          </w:rPr>
        </w:r>
        <w:r w:rsidR="00772639">
          <w:rPr>
            <w:noProof/>
            <w:webHidden/>
          </w:rPr>
          <w:fldChar w:fldCharType="separate"/>
        </w:r>
        <w:r w:rsidR="00D41303">
          <w:rPr>
            <w:noProof/>
            <w:webHidden/>
          </w:rPr>
          <w:t>1</w:t>
        </w:r>
        <w:r w:rsidR="00772639">
          <w:rPr>
            <w:noProof/>
            <w:webHidden/>
          </w:rPr>
          <w:fldChar w:fldCharType="end"/>
        </w:r>
      </w:hyperlink>
    </w:p>
    <w:p w:rsidR="00772639" w:rsidRDefault="00D41303">
      <w:pPr>
        <w:pStyle w:val="TOC1"/>
        <w:rPr>
          <w:rFonts w:asciiTheme="minorHAnsi" w:eastAsiaTheme="minorEastAsia" w:hAnsiTheme="minorHAnsi" w:cstheme="minorBidi"/>
          <w:caps w:val="0"/>
          <w:noProof/>
          <w:sz w:val="22"/>
          <w:szCs w:val="22"/>
        </w:rPr>
      </w:pPr>
      <w:hyperlink w:anchor="_Toc434858303" w:history="1">
        <w:r w:rsidR="00772639" w:rsidRPr="004B73C2">
          <w:rPr>
            <w:rStyle w:val="Hyperlink"/>
            <w:noProof/>
          </w:rPr>
          <w:t>background</w:t>
        </w:r>
        <w:r w:rsidR="00772639">
          <w:rPr>
            <w:noProof/>
            <w:webHidden/>
          </w:rPr>
          <w:tab/>
        </w:r>
        <w:r w:rsidR="00772639">
          <w:rPr>
            <w:noProof/>
            <w:webHidden/>
          </w:rPr>
          <w:fldChar w:fldCharType="begin"/>
        </w:r>
        <w:r w:rsidR="00772639">
          <w:rPr>
            <w:noProof/>
            <w:webHidden/>
          </w:rPr>
          <w:instrText xml:space="preserve"> PAGEREF _Toc434858303 \h </w:instrText>
        </w:r>
        <w:r w:rsidR="00772639">
          <w:rPr>
            <w:noProof/>
            <w:webHidden/>
          </w:rPr>
        </w:r>
        <w:r w:rsidR="00772639">
          <w:rPr>
            <w:noProof/>
            <w:webHidden/>
          </w:rPr>
          <w:fldChar w:fldCharType="separate"/>
        </w:r>
        <w:r>
          <w:rPr>
            <w:noProof/>
            <w:webHidden/>
          </w:rPr>
          <w:t>2</w:t>
        </w:r>
        <w:r w:rsidR="00772639">
          <w:rPr>
            <w:noProof/>
            <w:webHidden/>
          </w:rPr>
          <w:fldChar w:fldCharType="end"/>
        </w:r>
      </w:hyperlink>
    </w:p>
    <w:p w:rsidR="00772639" w:rsidRDefault="00D41303">
      <w:pPr>
        <w:pStyle w:val="TOC1"/>
        <w:rPr>
          <w:rFonts w:asciiTheme="minorHAnsi" w:eastAsiaTheme="minorEastAsia" w:hAnsiTheme="minorHAnsi" w:cstheme="minorBidi"/>
          <w:caps w:val="0"/>
          <w:noProof/>
          <w:sz w:val="22"/>
          <w:szCs w:val="22"/>
        </w:rPr>
      </w:pPr>
      <w:hyperlink w:anchor="_Toc434858304" w:history="1">
        <w:r w:rsidR="00772639" w:rsidRPr="004B73C2">
          <w:rPr>
            <w:rStyle w:val="Hyperlink"/>
            <w:noProof/>
          </w:rPr>
          <w:t>DEVELOPMENTS IN 201</w:t>
        </w:r>
        <w:r w:rsidR="00772639" w:rsidRPr="004B73C2">
          <w:rPr>
            <w:rStyle w:val="Hyperlink"/>
            <w:noProof/>
            <w:lang w:eastAsia="ja-JP"/>
          </w:rPr>
          <w:t>5</w:t>
        </w:r>
        <w:r w:rsidR="00772639">
          <w:rPr>
            <w:noProof/>
            <w:webHidden/>
          </w:rPr>
          <w:tab/>
        </w:r>
        <w:r w:rsidR="00772639">
          <w:rPr>
            <w:noProof/>
            <w:webHidden/>
          </w:rPr>
          <w:fldChar w:fldCharType="begin"/>
        </w:r>
        <w:r w:rsidR="00772639">
          <w:rPr>
            <w:noProof/>
            <w:webHidden/>
          </w:rPr>
          <w:instrText xml:space="preserve"> PAGEREF _Toc434858304 \h </w:instrText>
        </w:r>
        <w:r w:rsidR="00772639">
          <w:rPr>
            <w:noProof/>
            <w:webHidden/>
          </w:rPr>
        </w:r>
        <w:r w:rsidR="00772639">
          <w:rPr>
            <w:noProof/>
            <w:webHidden/>
          </w:rPr>
          <w:fldChar w:fldCharType="separate"/>
        </w:r>
        <w:r>
          <w:rPr>
            <w:noProof/>
            <w:webHidden/>
          </w:rPr>
          <w:t>2</w:t>
        </w:r>
        <w:r w:rsidR="00772639">
          <w:rPr>
            <w:noProof/>
            <w:webHidden/>
          </w:rPr>
          <w:fldChar w:fldCharType="end"/>
        </w:r>
      </w:hyperlink>
    </w:p>
    <w:p w:rsidR="00772639" w:rsidRDefault="00D41303">
      <w:pPr>
        <w:pStyle w:val="TOC2"/>
        <w:rPr>
          <w:rFonts w:asciiTheme="minorHAnsi" w:eastAsiaTheme="minorEastAsia" w:hAnsiTheme="minorHAnsi" w:cstheme="minorBidi"/>
          <w:smallCaps w:val="0"/>
          <w:noProof/>
          <w:sz w:val="22"/>
          <w:szCs w:val="22"/>
        </w:rPr>
      </w:pPr>
      <w:hyperlink w:anchor="_Toc434858305" w:history="1">
        <w:r w:rsidR="00772639" w:rsidRPr="004B73C2">
          <w:rPr>
            <w:rStyle w:val="Hyperlink"/>
            <w:noProof/>
            <w:snapToGrid w:val="0"/>
            <w:lang w:eastAsia="ja-JP"/>
          </w:rPr>
          <w:t>Technical Committee</w:t>
        </w:r>
        <w:r w:rsidR="00772639">
          <w:rPr>
            <w:noProof/>
            <w:webHidden/>
          </w:rPr>
          <w:tab/>
        </w:r>
        <w:r w:rsidR="00772639">
          <w:rPr>
            <w:noProof/>
            <w:webHidden/>
          </w:rPr>
          <w:fldChar w:fldCharType="begin"/>
        </w:r>
        <w:r w:rsidR="00772639">
          <w:rPr>
            <w:noProof/>
            <w:webHidden/>
          </w:rPr>
          <w:instrText xml:space="preserve"> PAGEREF _Toc434858305 \h </w:instrText>
        </w:r>
        <w:r w:rsidR="00772639">
          <w:rPr>
            <w:noProof/>
            <w:webHidden/>
          </w:rPr>
        </w:r>
        <w:r w:rsidR="00772639">
          <w:rPr>
            <w:noProof/>
            <w:webHidden/>
          </w:rPr>
          <w:fldChar w:fldCharType="separate"/>
        </w:r>
        <w:r>
          <w:rPr>
            <w:noProof/>
            <w:webHidden/>
          </w:rPr>
          <w:t>2</w:t>
        </w:r>
        <w:r w:rsidR="00772639">
          <w:rPr>
            <w:noProof/>
            <w:webHidden/>
          </w:rPr>
          <w:fldChar w:fldCharType="end"/>
        </w:r>
      </w:hyperlink>
    </w:p>
    <w:p w:rsidR="00772639" w:rsidRDefault="00D41303">
      <w:pPr>
        <w:pStyle w:val="TOC2"/>
        <w:rPr>
          <w:rStyle w:val="Hyperlink"/>
          <w:noProof/>
        </w:rPr>
      </w:pPr>
      <w:hyperlink w:anchor="_Toc434858306" w:history="1">
        <w:r w:rsidR="00772639" w:rsidRPr="004B73C2">
          <w:rPr>
            <w:rStyle w:val="Hyperlink"/>
            <w:noProof/>
          </w:rPr>
          <w:t>Technical Working Parties</w:t>
        </w:r>
        <w:r w:rsidR="00772639">
          <w:rPr>
            <w:noProof/>
            <w:webHidden/>
          </w:rPr>
          <w:tab/>
        </w:r>
        <w:r w:rsidR="00772639">
          <w:rPr>
            <w:noProof/>
            <w:webHidden/>
          </w:rPr>
          <w:fldChar w:fldCharType="begin"/>
        </w:r>
        <w:r w:rsidR="00772639">
          <w:rPr>
            <w:noProof/>
            <w:webHidden/>
          </w:rPr>
          <w:instrText xml:space="preserve"> PAGEREF _Toc434858306 \h </w:instrText>
        </w:r>
        <w:r w:rsidR="00772639">
          <w:rPr>
            <w:noProof/>
            <w:webHidden/>
          </w:rPr>
        </w:r>
        <w:r w:rsidR="00772639">
          <w:rPr>
            <w:noProof/>
            <w:webHidden/>
          </w:rPr>
          <w:fldChar w:fldCharType="separate"/>
        </w:r>
        <w:r>
          <w:rPr>
            <w:noProof/>
            <w:webHidden/>
          </w:rPr>
          <w:t>2</w:t>
        </w:r>
        <w:r w:rsidR="00772639">
          <w:rPr>
            <w:noProof/>
            <w:webHidden/>
          </w:rPr>
          <w:fldChar w:fldCharType="end"/>
        </w:r>
      </w:hyperlink>
    </w:p>
    <w:p w:rsidR="00772639" w:rsidRPr="00772639" w:rsidRDefault="00772639" w:rsidP="00772639">
      <w:pPr>
        <w:rPr>
          <w:rFonts w:eastAsiaTheme="minorEastAsia"/>
          <w:noProof/>
        </w:rPr>
      </w:pPr>
    </w:p>
    <w:p w:rsidR="00772639" w:rsidRDefault="00D41303">
      <w:pPr>
        <w:pStyle w:val="TOC1"/>
        <w:rPr>
          <w:rFonts w:asciiTheme="minorHAnsi" w:eastAsiaTheme="minorEastAsia" w:hAnsiTheme="minorHAnsi" w:cstheme="minorBidi"/>
          <w:caps w:val="0"/>
          <w:noProof/>
          <w:sz w:val="22"/>
          <w:szCs w:val="22"/>
        </w:rPr>
      </w:pPr>
      <w:hyperlink w:anchor="_Toc434858307" w:history="1">
        <w:r w:rsidR="00772639" w:rsidRPr="004B73C2">
          <w:rPr>
            <w:rStyle w:val="Hyperlink"/>
            <w:noProof/>
          </w:rPr>
          <w:t>PROPOSAL</w:t>
        </w:r>
        <w:r w:rsidR="00772639">
          <w:rPr>
            <w:noProof/>
            <w:webHidden/>
          </w:rPr>
          <w:tab/>
        </w:r>
        <w:r w:rsidR="00772639">
          <w:rPr>
            <w:noProof/>
            <w:webHidden/>
          </w:rPr>
          <w:fldChar w:fldCharType="begin"/>
        </w:r>
        <w:r w:rsidR="00772639">
          <w:rPr>
            <w:noProof/>
            <w:webHidden/>
          </w:rPr>
          <w:instrText xml:space="preserve"> PAGEREF _Toc434858307 \h </w:instrText>
        </w:r>
        <w:r w:rsidR="00772639">
          <w:rPr>
            <w:noProof/>
            <w:webHidden/>
          </w:rPr>
        </w:r>
        <w:r w:rsidR="00772639">
          <w:rPr>
            <w:noProof/>
            <w:webHidden/>
          </w:rPr>
          <w:fldChar w:fldCharType="separate"/>
        </w:r>
        <w:r>
          <w:rPr>
            <w:noProof/>
            <w:webHidden/>
          </w:rPr>
          <w:t>3</w:t>
        </w:r>
        <w:r w:rsidR="00772639">
          <w:rPr>
            <w:noProof/>
            <w:webHidden/>
          </w:rPr>
          <w:fldChar w:fldCharType="end"/>
        </w:r>
      </w:hyperlink>
    </w:p>
    <w:p w:rsidR="007F778D" w:rsidRPr="00515925" w:rsidRDefault="007F778D" w:rsidP="007F778D">
      <w:pPr>
        <w:ind w:left="1134" w:hanging="1134"/>
        <w:jc w:val="left"/>
        <w:rPr>
          <w:bCs/>
          <w:szCs w:val="24"/>
        </w:rPr>
      </w:pPr>
      <w:r w:rsidRPr="00515925">
        <w:rPr>
          <w:bCs/>
          <w:szCs w:val="24"/>
        </w:rPr>
        <w:fldChar w:fldCharType="end"/>
      </w:r>
    </w:p>
    <w:p w:rsidR="007F778D" w:rsidRPr="00515925" w:rsidRDefault="007F778D" w:rsidP="007F778D">
      <w:pPr>
        <w:ind w:left="851" w:hanging="851"/>
        <w:jc w:val="left"/>
      </w:pPr>
      <w:r w:rsidRPr="00515925">
        <w:t>ANNEX: DRAFT GUIDANCE FOR FUTURE REVISION OF DOCUMENT TGP/8 ON MINIMIZING THE VARIATION DUE TO DIFFERENT OBSERVERS OF THE SAME TRIAL</w:t>
      </w:r>
    </w:p>
    <w:p w:rsidR="007F778D" w:rsidRPr="00515925" w:rsidRDefault="007F778D" w:rsidP="007F778D">
      <w:pPr>
        <w:jc w:val="left"/>
        <w:rPr>
          <w:caps/>
        </w:rPr>
      </w:pPr>
    </w:p>
    <w:p w:rsidR="007F778D" w:rsidRPr="00515925" w:rsidRDefault="007F778D" w:rsidP="007F778D">
      <w:r w:rsidRPr="00515925">
        <w:fldChar w:fldCharType="begin"/>
      </w:r>
      <w:r w:rsidRPr="00515925">
        <w:instrText xml:space="preserve"> AUTONUM  </w:instrText>
      </w:r>
      <w:r w:rsidRPr="00515925">
        <w:fldChar w:fldCharType="end"/>
      </w:r>
      <w:r w:rsidRPr="00515925">
        <w:tab/>
        <w:t>The following abbreviations are used in this document:</w:t>
      </w:r>
    </w:p>
    <w:p w:rsidR="007F778D" w:rsidRPr="00515925" w:rsidRDefault="007F778D" w:rsidP="007F778D"/>
    <w:p w:rsidR="007F778D" w:rsidRPr="00515925" w:rsidRDefault="007F778D" w:rsidP="007F778D">
      <w:pPr>
        <w:ind w:left="1701" w:hanging="981"/>
      </w:pPr>
      <w:r w:rsidRPr="00515925">
        <w:t xml:space="preserve">CAJ:  </w:t>
      </w:r>
      <w:r w:rsidRPr="00515925">
        <w:tab/>
        <w:t xml:space="preserve">Administrative and Legal Committee </w:t>
      </w:r>
    </w:p>
    <w:p w:rsidR="007F778D" w:rsidRPr="00515925" w:rsidRDefault="007F778D" w:rsidP="007F778D">
      <w:pPr>
        <w:ind w:left="1701" w:hanging="981"/>
      </w:pPr>
      <w:r w:rsidRPr="00515925">
        <w:t xml:space="preserve">TC:  </w:t>
      </w:r>
      <w:r w:rsidRPr="00515925">
        <w:tab/>
        <w:t>Technical Committee</w:t>
      </w:r>
    </w:p>
    <w:p w:rsidR="007F778D" w:rsidRPr="00515925" w:rsidRDefault="007F778D" w:rsidP="007F778D">
      <w:pPr>
        <w:ind w:left="1701" w:hanging="981"/>
      </w:pPr>
      <w:r w:rsidRPr="00515925">
        <w:t xml:space="preserve">TC-EDC:  </w:t>
      </w:r>
      <w:r w:rsidRPr="00515925">
        <w:tab/>
        <w:t>Enlarged Editorial Committee</w:t>
      </w:r>
    </w:p>
    <w:p w:rsidR="007F778D" w:rsidRPr="00515925" w:rsidRDefault="007F778D" w:rsidP="007F778D">
      <w:pPr>
        <w:ind w:left="1701" w:hanging="981"/>
      </w:pPr>
      <w:r w:rsidRPr="00515925">
        <w:t xml:space="preserve">TWA:  </w:t>
      </w:r>
      <w:r w:rsidRPr="00515925">
        <w:tab/>
        <w:t>Technical Working Party for Agricultural Crops</w:t>
      </w:r>
    </w:p>
    <w:p w:rsidR="007F778D" w:rsidRPr="00515925" w:rsidRDefault="007F778D" w:rsidP="007F778D">
      <w:pPr>
        <w:ind w:left="1701" w:hanging="981"/>
      </w:pPr>
      <w:r w:rsidRPr="00515925">
        <w:t xml:space="preserve">TWV:  </w:t>
      </w:r>
      <w:r w:rsidRPr="00515925">
        <w:tab/>
        <w:t>Technical Working Party for Vegetables</w:t>
      </w:r>
    </w:p>
    <w:p w:rsidR="007F778D" w:rsidRPr="00515925" w:rsidRDefault="007F778D" w:rsidP="007F778D">
      <w:pPr>
        <w:ind w:left="1701" w:hanging="981"/>
      </w:pPr>
      <w:r w:rsidRPr="00515925">
        <w:t xml:space="preserve">TWC:  </w:t>
      </w:r>
      <w:r w:rsidRPr="00515925">
        <w:tab/>
        <w:t>Technical Working Party on Automation and Computer Programs</w:t>
      </w:r>
    </w:p>
    <w:p w:rsidR="007F778D" w:rsidRPr="00515925" w:rsidRDefault="007F778D" w:rsidP="007F778D">
      <w:pPr>
        <w:ind w:left="1701" w:hanging="981"/>
      </w:pPr>
      <w:r w:rsidRPr="00515925">
        <w:t xml:space="preserve">TWF:  </w:t>
      </w:r>
      <w:r w:rsidRPr="00515925">
        <w:tab/>
        <w:t xml:space="preserve">Technical Working Party for Fruit Crops </w:t>
      </w:r>
    </w:p>
    <w:p w:rsidR="007F778D" w:rsidRPr="00515925" w:rsidRDefault="007F778D" w:rsidP="007F778D">
      <w:pPr>
        <w:ind w:left="1701" w:hanging="981"/>
      </w:pPr>
      <w:r w:rsidRPr="00515925">
        <w:t xml:space="preserve">TWO:  </w:t>
      </w:r>
      <w:r w:rsidRPr="00515925">
        <w:tab/>
        <w:t xml:space="preserve">Technical Working Party for Ornamental Plants and Forest Trees </w:t>
      </w:r>
    </w:p>
    <w:p w:rsidR="007F778D" w:rsidRPr="00515925" w:rsidRDefault="007F778D" w:rsidP="007F778D">
      <w:pPr>
        <w:ind w:left="1701" w:hanging="981"/>
      </w:pPr>
      <w:r w:rsidRPr="00515925">
        <w:t>TWPs:</w:t>
      </w:r>
      <w:r w:rsidRPr="00515925">
        <w:tab/>
        <w:t>Technical Working Parties</w:t>
      </w:r>
    </w:p>
    <w:p w:rsidR="007F778D" w:rsidRDefault="007F778D" w:rsidP="007F778D">
      <w:pPr>
        <w:jc w:val="left"/>
        <w:rPr>
          <w:caps/>
        </w:rPr>
      </w:pPr>
    </w:p>
    <w:p w:rsidR="00772639" w:rsidRDefault="00772639" w:rsidP="007F778D">
      <w:pPr>
        <w:jc w:val="left"/>
        <w:rPr>
          <w:caps/>
        </w:rPr>
      </w:pPr>
    </w:p>
    <w:p w:rsidR="00772639" w:rsidRDefault="00772639" w:rsidP="007F778D">
      <w:pPr>
        <w:jc w:val="left"/>
        <w:rPr>
          <w:caps/>
        </w:rPr>
      </w:pPr>
    </w:p>
    <w:p w:rsidR="00772639" w:rsidRPr="00515925" w:rsidRDefault="00772639" w:rsidP="007F778D">
      <w:pPr>
        <w:jc w:val="left"/>
        <w:rPr>
          <w:caps/>
        </w:rPr>
      </w:pPr>
    </w:p>
    <w:p w:rsidR="007F778D" w:rsidRPr="00515925" w:rsidRDefault="007F778D" w:rsidP="007F778D">
      <w:pPr>
        <w:pStyle w:val="Heading1"/>
        <w:keepNext w:val="0"/>
      </w:pPr>
      <w:bookmarkStart w:id="15" w:name="_Toc434858303"/>
      <w:r w:rsidRPr="00515925">
        <w:lastRenderedPageBreak/>
        <w:t>background</w:t>
      </w:r>
      <w:bookmarkEnd w:id="15"/>
    </w:p>
    <w:p w:rsidR="007F778D" w:rsidRPr="00515925" w:rsidRDefault="007F778D" w:rsidP="007F778D"/>
    <w:p w:rsidR="007F778D" w:rsidRPr="00515925" w:rsidRDefault="007F778D" w:rsidP="007F778D">
      <w:pPr>
        <w:pStyle w:val="Header"/>
        <w:tabs>
          <w:tab w:val="left" w:pos="720"/>
        </w:tabs>
        <w:jc w:val="both"/>
        <w:rPr>
          <w:lang w:val="en-US"/>
        </w:rPr>
      </w:pPr>
      <w:r w:rsidRPr="00515925">
        <w:rPr>
          <w:lang w:val="en-US"/>
        </w:rPr>
        <w:fldChar w:fldCharType="begin"/>
      </w:r>
      <w:r w:rsidRPr="00515925">
        <w:rPr>
          <w:lang w:val="en-US"/>
        </w:rPr>
        <w:instrText xml:space="preserve"> AUTONUM  </w:instrText>
      </w:r>
      <w:r w:rsidRPr="00515925">
        <w:rPr>
          <w:lang w:val="en-US"/>
        </w:rPr>
        <w:fldChar w:fldCharType="end"/>
      </w:r>
      <w:r w:rsidRPr="00515925">
        <w:rPr>
          <w:lang w:val="en-US"/>
        </w:rPr>
        <w:tab/>
        <w:t>Document TGP/8/1 Draft 7 PART I, paragraph 2.9.1: “Control of variation due to different observers”, considered by the Technical Working Parties, at their sessions in 2007, states:</w:t>
      </w:r>
    </w:p>
    <w:p w:rsidR="007F778D" w:rsidRPr="00515925" w:rsidRDefault="007F778D" w:rsidP="007F778D">
      <w:pPr>
        <w:pStyle w:val="Header"/>
        <w:tabs>
          <w:tab w:val="left" w:pos="720"/>
        </w:tabs>
        <w:jc w:val="both"/>
        <w:rPr>
          <w:lang w:val="en-US"/>
        </w:rPr>
      </w:pPr>
    </w:p>
    <w:p w:rsidR="007F778D" w:rsidRPr="00515925" w:rsidRDefault="007F778D" w:rsidP="007F778D">
      <w:pPr>
        <w:ind w:left="720" w:right="998"/>
        <w:rPr>
          <w:iCs/>
        </w:rPr>
      </w:pPr>
      <w:r w:rsidRPr="00515925">
        <w:rPr>
          <w:iCs/>
        </w:rPr>
        <w:t>“[If this section is required, TWPs are invited to contribute guidance on the control of variation due to different observers when statistical analysis is not used to determine distinctness and to consider it in relation to paragraph 2.7.2.9.]”</w:t>
      </w:r>
    </w:p>
    <w:p w:rsidR="007F778D" w:rsidRPr="00515925" w:rsidRDefault="007F778D" w:rsidP="007F778D">
      <w:pPr>
        <w:ind w:left="720" w:right="998"/>
        <w:rPr>
          <w:i/>
          <w:iCs/>
        </w:rPr>
      </w:pPr>
    </w:p>
    <w:p w:rsidR="007F778D" w:rsidRPr="00515925" w:rsidRDefault="007F778D" w:rsidP="007F778D">
      <w:pPr>
        <w:rPr>
          <w:rFonts w:cs="Arial"/>
          <w:color w:val="000000"/>
        </w:rPr>
      </w:pPr>
      <w:r w:rsidRPr="00515925">
        <w:rPr>
          <w:rFonts w:cs="Arial"/>
          <w:color w:val="000000"/>
        </w:rPr>
        <w:fldChar w:fldCharType="begin"/>
      </w:r>
      <w:r w:rsidRPr="00515925">
        <w:rPr>
          <w:rFonts w:cs="Arial"/>
          <w:color w:val="000000"/>
        </w:rPr>
        <w:instrText xml:space="preserve"> AUTONUM  </w:instrText>
      </w:r>
      <w:r w:rsidRPr="00515925">
        <w:rPr>
          <w:rFonts w:cs="Arial"/>
          <w:color w:val="000000"/>
        </w:rPr>
        <w:fldChar w:fldCharType="end"/>
      </w:r>
      <w:r w:rsidRPr="00515925">
        <w:rPr>
          <w:rFonts w:cs="Arial"/>
          <w:color w:val="000000"/>
        </w:rPr>
        <w:tab/>
        <w:t>Developments prior to 201</w:t>
      </w:r>
      <w:r w:rsidR="005111CE">
        <w:rPr>
          <w:rFonts w:cs="Arial"/>
          <w:color w:val="000000"/>
        </w:rPr>
        <w:t>5</w:t>
      </w:r>
      <w:r w:rsidRPr="00515925">
        <w:rPr>
          <w:rFonts w:cs="Arial"/>
          <w:color w:val="000000"/>
        </w:rPr>
        <w:t xml:space="preserve"> are presented in document</w:t>
      </w:r>
      <w:r w:rsidR="005111CE">
        <w:rPr>
          <w:rFonts w:cs="Arial"/>
          <w:color w:val="000000"/>
        </w:rPr>
        <w:t>s</w:t>
      </w:r>
      <w:r w:rsidRPr="00515925">
        <w:rPr>
          <w:rFonts w:cs="Arial"/>
        </w:rPr>
        <w:t xml:space="preserve"> TC/50/21 </w:t>
      </w:r>
      <w:r w:rsidR="005111CE">
        <w:rPr>
          <w:rFonts w:cs="Arial"/>
        </w:rPr>
        <w:t xml:space="preserve">and TC/51/16 </w:t>
      </w:r>
      <w:r w:rsidRPr="00515925">
        <w:rPr>
          <w:rFonts w:cs="Arial"/>
        </w:rPr>
        <w:t>“</w:t>
      </w:r>
      <w:r w:rsidRPr="00515925">
        <w:t>Revision of document TGP/8: Part I: DUS Trial Design and Data Analysis, New Section: Minimizing the Variation due to Different Observers”</w:t>
      </w:r>
      <w:r w:rsidRPr="00515925">
        <w:rPr>
          <w:rFonts w:cs="Arial"/>
        </w:rPr>
        <w:t>.</w:t>
      </w:r>
    </w:p>
    <w:p w:rsidR="007F778D" w:rsidRPr="00515925" w:rsidRDefault="007F778D" w:rsidP="007F778D"/>
    <w:p w:rsidR="007F778D" w:rsidRPr="00515925" w:rsidRDefault="007F778D" w:rsidP="007F778D">
      <w:pPr>
        <w:pStyle w:val="Heading1"/>
        <w:rPr>
          <w:lang w:eastAsia="ja-JP"/>
        </w:rPr>
      </w:pPr>
      <w:bookmarkStart w:id="16" w:name="_Toc419718951"/>
      <w:bookmarkStart w:id="17" w:name="_Toc434858304"/>
      <w:r w:rsidRPr="00515925">
        <w:t>DEVELOPMENTS IN 201</w:t>
      </w:r>
      <w:r w:rsidRPr="00515925">
        <w:rPr>
          <w:lang w:eastAsia="ja-JP"/>
        </w:rPr>
        <w:t>5</w:t>
      </w:r>
      <w:bookmarkEnd w:id="16"/>
      <w:bookmarkEnd w:id="17"/>
    </w:p>
    <w:p w:rsidR="007F778D" w:rsidRPr="00515925" w:rsidRDefault="007F778D" w:rsidP="007F778D">
      <w:pPr>
        <w:keepNext/>
        <w:keepLines/>
        <w:rPr>
          <w:lang w:eastAsia="ja-JP"/>
        </w:rPr>
      </w:pPr>
    </w:p>
    <w:p w:rsidR="007F778D" w:rsidRPr="00515925" w:rsidRDefault="007F778D" w:rsidP="007F778D">
      <w:pPr>
        <w:pStyle w:val="Heading2"/>
        <w:rPr>
          <w:snapToGrid w:val="0"/>
          <w:lang w:eastAsia="ja-JP"/>
        </w:rPr>
      </w:pPr>
      <w:bookmarkStart w:id="18" w:name="_Toc419718952"/>
      <w:bookmarkStart w:id="19" w:name="_Toc434858305"/>
      <w:r w:rsidRPr="00515925">
        <w:rPr>
          <w:snapToGrid w:val="0"/>
          <w:lang w:eastAsia="ja-JP"/>
        </w:rPr>
        <w:t>Technical Committee</w:t>
      </w:r>
      <w:bookmarkEnd w:id="18"/>
      <w:bookmarkEnd w:id="19"/>
    </w:p>
    <w:p w:rsidR="007F778D" w:rsidRPr="00515925" w:rsidRDefault="007F778D" w:rsidP="007F778D">
      <w:pPr>
        <w:rPr>
          <w:lang w:eastAsia="ja-JP"/>
        </w:rPr>
      </w:pPr>
    </w:p>
    <w:p w:rsidR="007F778D" w:rsidRPr="00515925" w:rsidRDefault="007F778D" w:rsidP="007F778D">
      <w:r w:rsidRPr="00515925">
        <w:fldChar w:fldCharType="begin"/>
      </w:r>
      <w:r w:rsidRPr="00515925">
        <w:instrText xml:space="preserve"> AUTONUM  </w:instrText>
      </w:r>
      <w:r w:rsidRPr="00515925">
        <w:fldChar w:fldCharType="end"/>
      </w:r>
      <w:r w:rsidRPr="00515925">
        <w:tab/>
        <w:t>The TC</w:t>
      </w:r>
      <w:r w:rsidRPr="00515925">
        <w:rPr>
          <w:lang w:eastAsia="ja-JP"/>
        </w:rPr>
        <w:t>, at its fifty-first session, held in Geneva, from March 23 to 25, 2015,</w:t>
      </w:r>
      <w:r w:rsidRPr="00515925">
        <w:t xml:space="preserve"> considered document TC/51/16 “Revision of document TGP/8: Part I: DUS Trial Design and Data Analysis, New Section: Minimizing the Variation due to Different Observers</w:t>
      </w:r>
      <w:r w:rsidR="00D03E18">
        <w:t>”</w:t>
      </w:r>
      <w:r w:rsidRPr="00515925">
        <w:t xml:space="preserve"> and the draft guidance for inclusion in document TGP/8 on minimizing the variation due to different observers of the same trial, as reproduced in the Annex to document TC/51/16, in conjunction with the comments of the TWPs at their sessions in 2014 </w:t>
      </w:r>
      <w:r w:rsidRPr="00515925">
        <w:rPr>
          <w:iCs/>
          <w:spacing w:val="-4"/>
          <w:lang w:eastAsia="ja-JP"/>
        </w:rPr>
        <w:t>(</w:t>
      </w:r>
      <w:r w:rsidRPr="00515925">
        <w:rPr>
          <w:lang w:eastAsia="ja-JP"/>
        </w:rPr>
        <w:t>see document TC/51/39, paragraph 132)</w:t>
      </w:r>
      <w:r w:rsidRPr="00515925">
        <w:t>.</w:t>
      </w:r>
    </w:p>
    <w:p w:rsidR="007F778D" w:rsidRPr="00515925" w:rsidRDefault="007F778D" w:rsidP="007F778D"/>
    <w:p w:rsidR="007F778D" w:rsidRPr="00515925" w:rsidRDefault="007F778D" w:rsidP="007F778D">
      <w:r w:rsidRPr="00515925">
        <w:fldChar w:fldCharType="begin"/>
      </w:r>
      <w:r w:rsidRPr="00515925">
        <w:instrText xml:space="preserve"> AUTONUM  </w:instrText>
      </w:r>
      <w:r w:rsidRPr="00515925">
        <w:fldChar w:fldCharType="end"/>
      </w:r>
      <w:r w:rsidRPr="00515925">
        <w:tab/>
        <w:t xml:space="preserve">The TC agreed to request the expert from Australia to continue developing the document to be presented to the TWPs at their sessions in 2015, and to amend the title to that used in the Annex to document TC/51/16 “Minimizing the variation due to different observers of the same trial” </w:t>
      </w:r>
      <w:r w:rsidRPr="00515925">
        <w:rPr>
          <w:iCs/>
          <w:spacing w:val="-4"/>
          <w:lang w:eastAsia="ja-JP"/>
        </w:rPr>
        <w:t>(</w:t>
      </w:r>
      <w:r w:rsidRPr="00515925">
        <w:rPr>
          <w:lang w:eastAsia="ja-JP"/>
        </w:rPr>
        <w:t>see document TC/51/39, paragraph 133)</w:t>
      </w:r>
      <w:r w:rsidRPr="00515925">
        <w:t>.</w:t>
      </w:r>
    </w:p>
    <w:p w:rsidR="007F778D" w:rsidRPr="00515925" w:rsidRDefault="007F778D" w:rsidP="007F778D"/>
    <w:p w:rsidR="007F778D" w:rsidRPr="00515925" w:rsidRDefault="007F778D" w:rsidP="007F778D">
      <w:r w:rsidRPr="00515925">
        <w:fldChar w:fldCharType="begin"/>
      </w:r>
      <w:r w:rsidRPr="00515925">
        <w:instrText xml:space="preserve"> AUTONUM  </w:instrText>
      </w:r>
      <w:r w:rsidRPr="00515925">
        <w:fldChar w:fldCharType="end"/>
      </w:r>
      <w:r w:rsidRPr="00515925">
        <w:tab/>
        <w:t>In response to the request of the TC, the drafter from Australia (Mr. Nik Hulse</w:t>
      </w:r>
      <w:proofErr w:type="gramStart"/>
      <w:r w:rsidRPr="00515925">
        <w:t>),</w:t>
      </w:r>
      <w:proofErr w:type="gramEnd"/>
      <w:r w:rsidRPr="00515925">
        <w:t xml:space="preserve"> has provided revised draft guidance for future revision of document TGP/8 on minimizing the variation due to different observers, for consideration by the TWPs at their sessions in 2015, as presented in the Annex to this document.</w:t>
      </w:r>
    </w:p>
    <w:p w:rsidR="005111CE" w:rsidRDefault="005111CE" w:rsidP="007F778D"/>
    <w:p w:rsidR="005111CE" w:rsidRPr="00515925" w:rsidRDefault="005111CE" w:rsidP="005111CE">
      <w:pPr>
        <w:pStyle w:val="Heading2"/>
      </w:pPr>
      <w:bookmarkStart w:id="20" w:name="_Toc434858306"/>
      <w:r w:rsidRPr="00515925">
        <w:t>Technical Working Parties</w:t>
      </w:r>
      <w:bookmarkEnd w:id="20"/>
    </w:p>
    <w:p w:rsidR="005111CE" w:rsidRDefault="005111CE" w:rsidP="007F778D"/>
    <w:p w:rsidR="005111CE" w:rsidRPr="008E5149" w:rsidRDefault="005111CE" w:rsidP="005111CE">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Pr>
          <w:snapToGrid w:val="0"/>
        </w:rPr>
        <w:t>, TWA</w:t>
      </w:r>
      <w:r w:rsidR="00D03E18">
        <w:rPr>
          <w:snapToGrid w:val="0"/>
        </w:rPr>
        <w:t xml:space="preserve">, </w:t>
      </w:r>
      <w:r>
        <w:rPr>
          <w:snapToGrid w:val="0"/>
        </w:rPr>
        <w:t>TWF</w:t>
      </w:r>
      <w:r w:rsidRPr="008E5149">
        <w:rPr>
          <w:snapToGrid w:val="0"/>
        </w:rPr>
        <w:t xml:space="preserve"> </w:t>
      </w:r>
      <w:r w:rsidR="00D03E18">
        <w:rPr>
          <w:snapToGrid w:val="0"/>
        </w:rPr>
        <w:t xml:space="preserve">and TWO </w:t>
      </w:r>
      <w:r w:rsidRPr="008E5149">
        <w:rPr>
          <w:snapToGrid w:val="0"/>
        </w:rPr>
        <w:t>considered documents TWV/49/15</w:t>
      </w:r>
      <w:r>
        <w:rPr>
          <w:snapToGrid w:val="0"/>
        </w:rPr>
        <w:t>,</w:t>
      </w:r>
      <w:r w:rsidRPr="008E5149">
        <w:rPr>
          <w:snapToGrid w:val="0"/>
        </w:rPr>
        <w:t xml:space="preserve"> TWC/33/15</w:t>
      </w:r>
      <w:r>
        <w:rPr>
          <w:snapToGrid w:val="0"/>
        </w:rPr>
        <w:t>, TWA/44/15</w:t>
      </w:r>
      <w:r w:rsidRPr="008E5149">
        <w:rPr>
          <w:snapToGrid w:val="0"/>
        </w:rPr>
        <w:t xml:space="preserve">, </w:t>
      </w:r>
      <w:r>
        <w:rPr>
          <w:snapToGrid w:val="0"/>
        </w:rPr>
        <w:t>TWF/46/15</w:t>
      </w:r>
      <w:r w:rsidR="00D03E18">
        <w:rPr>
          <w:snapToGrid w:val="0"/>
        </w:rPr>
        <w:t xml:space="preserve"> and TWO/48/15</w:t>
      </w:r>
      <w:r>
        <w:rPr>
          <w:snapToGrid w:val="0"/>
        </w:rPr>
        <w:t xml:space="preserve">, </w:t>
      </w:r>
      <w:r w:rsidRPr="008E5149">
        <w:rPr>
          <w:snapToGrid w:val="0"/>
        </w:rPr>
        <w:t>respectively.</w:t>
      </w:r>
    </w:p>
    <w:p w:rsidR="005111CE" w:rsidRPr="008E5149" w:rsidRDefault="005111CE" w:rsidP="005111CE">
      <w:pPr>
        <w:rPr>
          <w:snapToGrid w:val="0"/>
        </w:rPr>
      </w:pPr>
    </w:p>
    <w:p w:rsidR="005111CE" w:rsidRPr="008E5149" w:rsidRDefault="005111CE" w:rsidP="005111CE">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and TWC agreed that the draft guidance in the Annex to document TWV/49/15 should continue to be developed for inclusion in a future revision of document TGP/8 on minimizing the variation due to different observers.</w:t>
      </w:r>
    </w:p>
    <w:p w:rsidR="005111CE" w:rsidRPr="008E5149" w:rsidRDefault="005111CE" w:rsidP="005111CE">
      <w:pPr>
        <w:rPr>
          <w:snapToGrid w:val="0"/>
        </w:rPr>
      </w:pPr>
    </w:p>
    <w:p w:rsidR="005111CE" w:rsidRPr="008E5149" w:rsidRDefault="005111CE" w:rsidP="005111CE">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suggested that further consideration should be given to guidance on PQ characteristics and proposed the </w:t>
      </w:r>
      <w:r w:rsidRPr="008E5149">
        <w:t>development of another section in the document to explain non-parametric methods</w:t>
      </w:r>
      <w:r w:rsidRPr="008E5149">
        <w:rPr>
          <w:snapToGrid w:val="0"/>
        </w:rPr>
        <w:t>. The TWV also encouraged the other TWPs to consider whether further work should be done on PQ characteristics in the draft guidance.</w:t>
      </w:r>
    </w:p>
    <w:p w:rsidR="005111CE" w:rsidRPr="008E5149" w:rsidRDefault="005111CE" w:rsidP="005111CE">
      <w:pPr>
        <w:rPr>
          <w:snapToGrid w:val="0"/>
        </w:rPr>
      </w:pPr>
    </w:p>
    <w:p w:rsidR="005111CE" w:rsidRPr="008E5149" w:rsidRDefault="005111CE" w:rsidP="005111CE">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agreed that further information should be provided on variation between observers for PQ characteristics before guidance could be drafted on the use of </w:t>
      </w:r>
      <w:r w:rsidRPr="008E5149">
        <w:t>non-parametric methods, such as frequency of deviations.</w:t>
      </w:r>
    </w:p>
    <w:p w:rsidR="005111CE" w:rsidRPr="008E5149" w:rsidRDefault="005111CE" w:rsidP="005111CE"/>
    <w:p w:rsidR="005111CE" w:rsidRDefault="005111CE" w:rsidP="005111CE">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TWC agreed to invite the experts from Argentina and Brazil to make a presentation at its thirty</w:t>
      </w:r>
      <w:r w:rsidRPr="008E5149">
        <w:rPr>
          <w:snapToGrid w:val="0"/>
        </w:rPr>
        <w:noBreakHyphen/>
        <w:t xml:space="preserve">fourth session on </w:t>
      </w:r>
      <w:r w:rsidRPr="008E5149">
        <w:t>their experiences in training for minimizing variation between observers on PQ characteristics.</w:t>
      </w:r>
    </w:p>
    <w:p w:rsidR="005111CE" w:rsidRDefault="005111CE" w:rsidP="005111CE"/>
    <w:p w:rsidR="005111CE" w:rsidRDefault="005111CE" w:rsidP="005111CE">
      <w:r>
        <w:fldChar w:fldCharType="begin"/>
      </w:r>
      <w:r>
        <w:instrText xml:space="preserve"> AUTONUM  </w:instrText>
      </w:r>
      <w:r>
        <w:fldChar w:fldCharType="end"/>
      </w:r>
      <w:r>
        <w:tab/>
        <w:t>The TWA agreed with</w:t>
      </w:r>
      <w:r w:rsidRPr="004955AA">
        <w:t xml:space="preserve"> the draft guidance in the Annex to </w:t>
      </w:r>
      <w:r>
        <w:t>document TWA/44/15</w:t>
      </w:r>
      <w:r w:rsidRPr="004955AA">
        <w:t>, for inclusion in a future revision of document TGP/8 on minimizing the variation due to different observers</w:t>
      </w:r>
      <w:r>
        <w:t>.</w:t>
      </w:r>
    </w:p>
    <w:p w:rsidR="005111CE" w:rsidRDefault="005111CE" w:rsidP="005111CE">
      <w:pPr>
        <w:rPr>
          <w:snapToGrid w:val="0"/>
        </w:rPr>
      </w:pPr>
    </w:p>
    <w:p w:rsidR="005111CE" w:rsidRDefault="005111CE" w:rsidP="005111CE">
      <w:r w:rsidRPr="009604AB">
        <w:fldChar w:fldCharType="begin"/>
      </w:r>
      <w:r w:rsidRPr="009604AB">
        <w:instrText xml:space="preserve"> AUTONUM  </w:instrText>
      </w:r>
      <w:r w:rsidRPr="009604AB">
        <w:fldChar w:fldCharType="end"/>
      </w:r>
      <w:r w:rsidRPr="009604AB">
        <w:tab/>
        <w:t xml:space="preserve">The TWF </w:t>
      </w:r>
      <w:r w:rsidR="00D03E18">
        <w:t xml:space="preserve">and TWO </w:t>
      </w:r>
      <w:r w:rsidRPr="009604AB">
        <w:t>agreed with the draft guidance in the Annex to document TWF/46/15, for inclusion in a future revision of document TGP/8 on minimizing the variation due to different observers, subject to the following editorial change:</w:t>
      </w:r>
    </w:p>
    <w:p w:rsidR="005111CE" w:rsidRDefault="005111CE" w:rsidP="005111CE"/>
    <w:p w:rsidR="00772639" w:rsidRDefault="00772639" w:rsidP="005111CE"/>
    <w:p w:rsidR="005111CE" w:rsidRDefault="005111CE" w:rsidP="005111CE">
      <w:r w:rsidRPr="009604AB">
        <w:t>“However, the</w:t>
      </w:r>
      <w:r w:rsidRPr="00CA07F5">
        <w:t xml:space="preserve"> method has not been </w:t>
      </w:r>
      <w:r w:rsidRPr="00CA07F5">
        <w:rPr>
          <w:strike/>
          <w:highlight w:val="lightGray"/>
        </w:rPr>
        <w:t>used on</w:t>
      </w:r>
      <w:r w:rsidRPr="00CA07F5">
        <w:rPr>
          <w:highlight w:val="lightGray"/>
        </w:rPr>
        <w:t xml:space="preserve"> </w:t>
      </w:r>
      <w:r w:rsidRPr="00CA07F5">
        <w:rPr>
          <w:highlight w:val="lightGray"/>
          <w:u w:val="single"/>
        </w:rPr>
        <w:t>developed for</w:t>
      </w:r>
      <w:r w:rsidRPr="00CA07F5">
        <w:rPr>
          <w:u w:val="single"/>
        </w:rPr>
        <w:t xml:space="preserve"> </w:t>
      </w:r>
      <w:r w:rsidRPr="00CA07F5">
        <w:t xml:space="preserve">PQ characteristics </w:t>
      </w:r>
      <w:r w:rsidRPr="00CA07F5">
        <w:rPr>
          <w:strike/>
          <w:highlight w:val="lightGray"/>
        </w:rPr>
        <w:t>to our knowledge</w:t>
      </w:r>
      <w:r w:rsidRPr="00CA07F5">
        <w:t xml:space="preserve"> and </w:t>
      </w:r>
      <w:r>
        <w:rPr>
          <w:strike/>
          <w:highlight w:val="lightGray"/>
        </w:rPr>
        <w:t>PQ </w:t>
      </w:r>
      <w:r w:rsidRPr="00CA07F5">
        <w:rPr>
          <w:strike/>
          <w:highlight w:val="lightGray"/>
        </w:rPr>
        <w:t>characteristics</w:t>
      </w:r>
      <w:r w:rsidRPr="00CA07F5">
        <w:rPr>
          <w:strike/>
        </w:rPr>
        <w:t xml:space="preserve"> </w:t>
      </w:r>
      <w:r w:rsidRPr="00CA07F5">
        <w:t>may also require extra information on calibration</w:t>
      </w:r>
      <w:r>
        <w:t>”</w:t>
      </w:r>
      <w:r w:rsidRPr="00CA07F5">
        <w:t>.</w:t>
      </w:r>
    </w:p>
    <w:p w:rsidR="005111CE" w:rsidRDefault="005111CE" w:rsidP="00772639"/>
    <w:p w:rsidR="00D03E18" w:rsidRDefault="00D03E18" w:rsidP="00772639">
      <w:pPr>
        <w:pStyle w:val="Heading1"/>
      </w:pPr>
      <w:bookmarkStart w:id="21" w:name="_Toc433193406"/>
      <w:bookmarkStart w:id="22" w:name="_Toc434858307"/>
      <w:r>
        <w:t>PROPOSAL</w:t>
      </w:r>
      <w:bookmarkEnd w:id="21"/>
      <w:bookmarkEnd w:id="22"/>
    </w:p>
    <w:p w:rsidR="00D03E18" w:rsidRDefault="00D03E18" w:rsidP="00772639"/>
    <w:p w:rsidR="005743CE" w:rsidRDefault="009E52DA" w:rsidP="005743CE">
      <w:pPr>
        <w:autoSpaceDE w:val="0"/>
        <w:autoSpaceDN w:val="0"/>
        <w:adjustRightInd w:val="0"/>
        <w:rPr>
          <w:rFonts w:cs="Arial"/>
          <w:iCs/>
        </w:rPr>
      </w:pPr>
      <w:r>
        <w:rPr>
          <w:rFonts w:cs="Arial"/>
          <w:iCs/>
        </w:rPr>
        <w:fldChar w:fldCharType="begin"/>
      </w:r>
      <w:r>
        <w:rPr>
          <w:rFonts w:cs="Arial"/>
          <w:iCs/>
        </w:rPr>
        <w:instrText xml:space="preserve"> AUTONUM  </w:instrText>
      </w:r>
      <w:r>
        <w:rPr>
          <w:rFonts w:cs="Arial"/>
          <w:iCs/>
        </w:rPr>
        <w:fldChar w:fldCharType="end"/>
      </w:r>
      <w:r>
        <w:rPr>
          <w:rFonts w:cs="Arial"/>
          <w:iCs/>
        </w:rPr>
        <w:tab/>
        <w:t xml:space="preserve">It is proposed </w:t>
      </w:r>
      <w:r w:rsidR="005743CE">
        <w:rPr>
          <w:rFonts w:cs="Arial"/>
          <w:iCs/>
        </w:rPr>
        <w:t xml:space="preserve">to </w:t>
      </w:r>
      <w:r w:rsidRPr="009E52DA">
        <w:rPr>
          <w:rFonts w:cs="Arial"/>
          <w:iCs/>
        </w:rPr>
        <w:t xml:space="preserve">consider the draft guidance </w:t>
      </w:r>
      <w:r w:rsidR="00BC1E09" w:rsidRPr="009E52DA">
        <w:rPr>
          <w:rFonts w:cs="Arial"/>
          <w:iCs/>
        </w:rPr>
        <w:t xml:space="preserve">on </w:t>
      </w:r>
      <w:r w:rsidR="00BC1E09">
        <w:rPr>
          <w:rFonts w:cs="Arial"/>
          <w:iCs/>
        </w:rPr>
        <w:t>“M</w:t>
      </w:r>
      <w:r w:rsidR="00BC1E09" w:rsidRPr="009E52DA">
        <w:rPr>
          <w:rFonts w:cs="Arial"/>
          <w:iCs/>
        </w:rPr>
        <w:t>inimizing the</w:t>
      </w:r>
      <w:r w:rsidR="00BC1E09">
        <w:rPr>
          <w:rFonts w:cs="Arial"/>
          <w:iCs/>
        </w:rPr>
        <w:t xml:space="preserve"> </w:t>
      </w:r>
      <w:r w:rsidR="00BC1E09" w:rsidRPr="009E52DA">
        <w:rPr>
          <w:rFonts w:cs="Arial"/>
          <w:iCs/>
        </w:rPr>
        <w:t>variation due to different observers</w:t>
      </w:r>
      <w:r w:rsidR="00BC1E09">
        <w:rPr>
          <w:rFonts w:cs="Arial"/>
          <w:iCs/>
        </w:rPr>
        <w:t>”</w:t>
      </w:r>
      <w:r w:rsidR="00BC1E09" w:rsidRPr="009E52DA">
        <w:rPr>
          <w:rFonts w:cs="Arial"/>
          <w:iCs/>
        </w:rPr>
        <w:t>, as reproduced in</w:t>
      </w:r>
      <w:r w:rsidR="00BC1E09">
        <w:rPr>
          <w:rFonts w:cs="Arial"/>
          <w:iCs/>
        </w:rPr>
        <w:t xml:space="preserve"> the </w:t>
      </w:r>
      <w:r w:rsidR="00BC1E09" w:rsidRPr="009E52DA">
        <w:rPr>
          <w:rFonts w:cs="Arial"/>
          <w:iCs/>
        </w:rPr>
        <w:t>Annex to this document, in conjunction with the</w:t>
      </w:r>
      <w:r w:rsidR="00BC1E09">
        <w:rPr>
          <w:rFonts w:cs="Arial"/>
          <w:iCs/>
        </w:rPr>
        <w:t xml:space="preserve"> </w:t>
      </w:r>
      <w:r w:rsidR="00BC1E09" w:rsidRPr="009E52DA">
        <w:rPr>
          <w:rFonts w:cs="Arial"/>
          <w:iCs/>
        </w:rPr>
        <w:t xml:space="preserve">comments </w:t>
      </w:r>
      <w:r w:rsidR="00BC1E09">
        <w:rPr>
          <w:rFonts w:cs="Arial"/>
          <w:iCs/>
        </w:rPr>
        <w:t>by</w:t>
      </w:r>
      <w:r w:rsidR="00BC1E09" w:rsidRPr="009E52DA">
        <w:rPr>
          <w:rFonts w:cs="Arial"/>
          <w:iCs/>
        </w:rPr>
        <w:t xml:space="preserve"> the TWPs at their sessions in 201</w:t>
      </w:r>
      <w:r w:rsidR="00BC1E09">
        <w:rPr>
          <w:rFonts w:cs="Arial"/>
          <w:iCs/>
        </w:rPr>
        <w:t xml:space="preserve">5, </w:t>
      </w:r>
      <w:r w:rsidR="0023344D">
        <w:rPr>
          <w:rFonts w:cs="Arial"/>
          <w:iCs/>
        </w:rPr>
        <w:t>as a basis for</w:t>
      </w:r>
      <w:r w:rsidRPr="009E52DA">
        <w:rPr>
          <w:rFonts w:cs="Arial"/>
          <w:iCs/>
        </w:rPr>
        <w:t xml:space="preserve"> </w:t>
      </w:r>
      <w:r w:rsidR="00BA37EF">
        <w:rPr>
          <w:rFonts w:cs="Arial"/>
          <w:iCs/>
        </w:rPr>
        <w:t xml:space="preserve">a future revision of </w:t>
      </w:r>
      <w:r w:rsidRPr="009E52DA">
        <w:rPr>
          <w:rFonts w:cs="Arial"/>
          <w:iCs/>
        </w:rPr>
        <w:t xml:space="preserve">document </w:t>
      </w:r>
      <w:r w:rsidR="00BC1E09" w:rsidRPr="00515925">
        <w:t xml:space="preserve">TGP/8: </w:t>
      </w:r>
      <w:r w:rsidR="00BC1E09">
        <w:t>“</w:t>
      </w:r>
      <w:r w:rsidR="00BC1E09" w:rsidRPr="0010146C">
        <w:t>Trial Design and Techniques Used in the Examination of Distinctness, Uniformity and Stability</w:t>
      </w:r>
      <w:r w:rsidR="00BC1E09">
        <w:t xml:space="preserve">”, </w:t>
      </w:r>
      <w:r w:rsidR="00BC1E09" w:rsidRPr="00515925">
        <w:t xml:space="preserve">Part I: DUS </w:t>
      </w:r>
      <w:r w:rsidR="00BC1E09">
        <w:t>Trial Design and Data Analysis</w:t>
      </w:r>
      <w:r w:rsidR="005743CE">
        <w:rPr>
          <w:rFonts w:cs="Arial"/>
          <w:iCs/>
        </w:rPr>
        <w:t xml:space="preserve">.  </w:t>
      </w:r>
    </w:p>
    <w:p w:rsidR="005743CE" w:rsidRDefault="005743CE" w:rsidP="005743CE">
      <w:pPr>
        <w:autoSpaceDE w:val="0"/>
        <w:autoSpaceDN w:val="0"/>
        <w:adjustRightInd w:val="0"/>
        <w:rPr>
          <w:rFonts w:cs="Arial"/>
          <w:iCs/>
        </w:rPr>
      </w:pPr>
    </w:p>
    <w:p w:rsidR="005C17AB" w:rsidRPr="005C17AB" w:rsidRDefault="005C17AB" w:rsidP="005C17AB">
      <w:pPr>
        <w:tabs>
          <w:tab w:val="left" w:pos="5529"/>
        </w:tabs>
        <w:ind w:left="4820"/>
        <w:rPr>
          <w:i/>
        </w:rPr>
      </w:pPr>
      <w:r w:rsidRPr="005C17AB">
        <w:rPr>
          <w:i/>
        </w:rPr>
        <w:fldChar w:fldCharType="begin"/>
      </w:r>
      <w:r w:rsidRPr="005C17AB">
        <w:rPr>
          <w:i/>
        </w:rPr>
        <w:instrText xml:space="preserve"> AUTONUM  </w:instrText>
      </w:r>
      <w:r w:rsidRPr="005C17AB">
        <w:rPr>
          <w:i/>
        </w:rPr>
        <w:fldChar w:fldCharType="end"/>
      </w:r>
      <w:r w:rsidRPr="005C17AB">
        <w:rPr>
          <w:i/>
        </w:rPr>
        <w:tab/>
        <w:t>The TC-EDC is invited to note the information in this document to be presented to the TC and propose any improvements to the document in that regard.</w:t>
      </w:r>
    </w:p>
    <w:p w:rsidR="007F778D" w:rsidRPr="00515925" w:rsidRDefault="007F778D" w:rsidP="007F778D"/>
    <w:p w:rsidR="007F778D" w:rsidRPr="00515925" w:rsidRDefault="007F778D" w:rsidP="007F778D"/>
    <w:p w:rsidR="007F778D" w:rsidRPr="00515925" w:rsidRDefault="007F778D" w:rsidP="007F778D"/>
    <w:p w:rsidR="007F778D" w:rsidRPr="00515925" w:rsidRDefault="007F778D" w:rsidP="007F778D">
      <w:pPr>
        <w:jc w:val="right"/>
      </w:pPr>
      <w:r w:rsidRPr="00515925">
        <w:t>[Annex follows]</w:t>
      </w:r>
    </w:p>
    <w:p w:rsidR="007F778D" w:rsidRPr="00515925" w:rsidRDefault="007F778D" w:rsidP="007F778D">
      <w:pPr>
        <w:jc w:val="right"/>
        <w:sectPr w:rsidR="007F778D" w:rsidRPr="00515925" w:rsidSect="007F778D">
          <w:headerReference w:type="default" r:id="rId9"/>
          <w:pgSz w:w="11907" w:h="16840" w:code="9"/>
          <w:pgMar w:top="510" w:right="1134" w:bottom="1134" w:left="1134" w:header="510" w:footer="680" w:gutter="0"/>
          <w:pgNumType w:start="1"/>
          <w:cols w:space="720"/>
          <w:titlePg/>
        </w:sectPr>
      </w:pPr>
    </w:p>
    <w:p w:rsidR="007F778D" w:rsidRPr="00515925" w:rsidRDefault="007F778D" w:rsidP="007F778D">
      <w:pPr>
        <w:jc w:val="right"/>
      </w:pPr>
    </w:p>
    <w:p w:rsidR="007F778D" w:rsidRPr="00515925" w:rsidRDefault="007F778D" w:rsidP="007F778D">
      <w:pPr>
        <w:tabs>
          <w:tab w:val="right" w:pos="9638"/>
        </w:tabs>
        <w:jc w:val="right"/>
        <w:rPr>
          <w:rFonts w:cs="Arial"/>
          <w:b/>
          <w:bCs/>
          <w:caps/>
          <w:color w:val="000000"/>
          <w:u w:val="single"/>
        </w:rPr>
      </w:pPr>
      <w:r w:rsidRPr="00515925">
        <w:t>TGP/8/1: PART I:  NEW SECTION:  MINIMIZING THE VARIATION DUE TO DIFFERENT OBSERVERS</w:t>
      </w:r>
      <w:r w:rsidRPr="00515925">
        <w:rPr>
          <w:rFonts w:cs="Arial"/>
          <w:b/>
          <w:bCs/>
          <w:caps/>
          <w:color w:val="000000"/>
          <w:u w:val="single"/>
        </w:rPr>
        <w:t xml:space="preserve"> </w:t>
      </w:r>
    </w:p>
    <w:p w:rsidR="007F778D" w:rsidRPr="00515925" w:rsidRDefault="007F778D" w:rsidP="007F778D">
      <w:pPr>
        <w:jc w:val="center"/>
        <w:rPr>
          <w:rFonts w:cs="Arial"/>
          <w:u w:val="single"/>
        </w:rPr>
      </w:pPr>
      <w:r w:rsidRPr="00515925">
        <w:rPr>
          <w:rFonts w:cs="Arial"/>
          <w:highlight w:val="lightGray"/>
          <w:u w:val="single"/>
        </w:rPr>
        <w:t>OF THE SAME TRIAL</w:t>
      </w:r>
    </w:p>
    <w:p w:rsidR="007F778D" w:rsidRPr="00515925" w:rsidRDefault="007F778D" w:rsidP="007F778D">
      <w:pPr>
        <w:jc w:val="center"/>
        <w:rPr>
          <w:rFonts w:cs="Arial"/>
        </w:rPr>
      </w:pPr>
    </w:p>
    <w:p w:rsidR="007F778D" w:rsidRPr="00515925" w:rsidRDefault="007F778D" w:rsidP="007F778D">
      <w:pPr>
        <w:pBdr>
          <w:top w:val="single" w:sz="4" w:space="1" w:color="auto"/>
          <w:left w:val="single" w:sz="4" w:space="4" w:color="auto"/>
          <w:bottom w:val="single" w:sz="4" w:space="1" w:color="auto"/>
          <w:right w:val="single" w:sz="4" w:space="4" w:color="auto"/>
        </w:pBdr>
      </w:pPr>
      <w:r w:rsidRPr="00515925">
        <w:t xml:space="preserve">Compared to the version presented to the TC at </w:t>
      </w:r>
      <w:r w:rsidRPr="00515925">
        <w:rPr>
          <w:lang w:eastAsia="ja-JP"/>
        </w:rPr>
        <w:t>its fifty-first session</w:t>
      </w:r>
      <w:r w:rsidRPr="00515925">
        <w:t xml:space="preserve">, the proposed changes are presented below in highlight and </w:t>
      </w:r>
      <w:r w:rsidRPr="00515925">
        <w:rPr>
          <w:highlight w:val="lightGray"/>
          <w:u w:val="single"/>
        </w:rPr>
        <w:t>underline</w:t>
      </w:r>
      <w:r w:rsidRPr="00515925">
        <w:t xml:space="preserve"> (insertion) and </w:t>
      </w:r>
      <w:r w:rsidRPr="00515925">
        <w:rPr>
          <w:strike/>
          <w:highlight w:val="lightGray"/>
        </w:rPr>
        <w:t>strikethrough</w:t>
      </w:r>
      <w:r w:rsidRPr="00515925">
        <w:t xml:space="preserve"> (deletion).</w:t>
      </w:r>
    </w:p>
    <w:p w:rsidR="007F778D" w:rsidRPr="00515925" w:rsidRDefault="007F778D" w:rsidP="007F778D">
      <w:pPr>
        <w:jc w:val="left"/>
        <w:rPr>
          <w:rFonts w:ascii="Times New Roman" w:eastAsia="Calibri" w:hAnsi="Times New Roman" w:cs="Arial"/>
          <w:noProof/>
          <w:sz w:val="24"/>
          <w:szCs w:val="24"/>
          <w:lang w:eastAsia="ko-KR"/>
        </w:rPr>
      </w:pPr>
    </w:p>
    <w:p w:rsidR="007F778D" w:rsidRPr="00515925" w:rsidRDefault="007F778D" w:rsidP="007F778D">
      <w:pPr>
        <w:jc w:val="center"/>
        <w:rPr>
          <w:rFonts w:ascii="Times New Roman" w:eastAsia="Calibri" w:hAnsi="Times New Roman" w:cs="Arial"/>
          <w:noProof/>
          <w:sz w:val="24"/>
          <w:szCs w:val="24"/>
          <w:lang w:eastAsia="ko-KR"/>
        </w:rPr>
      </w:pPr>
    </w:p>
    <w:p w:rsidR="007F778D" w:rsidRPr="00515925" w:rsidRDefault="007F778D" w:rsidP="007F778D">
      <w:pPr>
        <w:jc w:val="left"/>
        <w:rPr>
          <w:rFonts w:eastAsia="Calibri" w:cs="Arial"/>
          <w:noProof/>
          <w:u w:val="single"/>
          <w:lang w:eastAsia="ko-KR"/>
        </w:rPr>
      </w:pPr>
      <w:r w:rsidRPr="00515925">
        <w:rPr>
          <w:rFonts w:eastAsia="Calibri" w:cs="Arial"/>
          <w:noProof/>
          <w:u w:val="single"/>
          <w:lang w:eastAsia="ko-KR"/>
        </w:rPr>
        <w:t>1. Introduction</w:t>
      </w:r>
    </w:p>
    <w:p w:rsidR="007F778D" w:rsidRPr="00515925" w:rsidRDefault="007F778D" w:rsidP="007F778D">
      <w:pPr>
        <w:jc w:val="left"/>
        <w:rPr>
          <w:rFonts w:eastAsia="Calibri" w:cs="Arial"/>
          <w:noProof/>
          <w:u w:val="single"/>
          <w:lang w:eastAsia="ko-KR"/>
        </w:rPr>
      </w:pPr>
    </w:p>
    <w:p w:rsidR="007F778D" w:rsidRPr="00515925" w:rsidRDefault="007F778D" w:rsidP="00071413">
      <w:pPr>
        <w:rPr>
          <w:rFonts w:eastAsia="Calibri" w:cs="Arial"/>
          <w:noProof/>
          <w:lang w:eastAsia="ko-KR"/>
        </w:rPr>
      </w:pPr>
      <w:r w:rsidRPr="00515925">
        <w:rPr>
          <w:rFonts w:eastAsia="Calibri" w:cs="Arial"/>
          <w:noProof/>
          <w:highlight w:val="lightGray"/>
          <w:u w:val="single"/>
          <w:lang w:eastAsia="ko-KR"/>
        </w:rPr>
        <w:t>This document considers variation between observers of the same trial at the authority level.</w:t>
      </w:r>
      <w:r w:rsidRPr="00515925">
        <w:rPr>
          <w:rFonts w:eastAsia="Calibri" w:cs="Arial"/>
          <w:noProof/>
          <w:lang w:eastAsia="ko-KR"/>
        </w:rPr>
        <w:t xml:space="preserve"> It has been prepared with QN/MG, QN/MS, QN/VG and QN/VS characteristics in mind. It does not explicitly deal with PQ characteristics like color and shape. The described Kappa method in itself is largely applicable for these characteristics, e.g. the standard Kappa characteristic is developed for nominal data. </w:t>
      </w:r>
      <w:r w:rsidR="0010146C" w:rsidRPr="009604AB">
        <w:t>However, the</w:t>
      </w:r>
      <w:r w:rsidR="0010146C" w:rsidRPr="00CA07F5">
        <w:t xml:space="preserve"> method has not been </w:t>
      </w:r>
      <w:r w:rsidR="0010146C" w:rsidRPr="00CA07F5">
        <w:rPr>
          <w:strike/>
          <w:highlight w:val="lightGray"/>
        </w:rPr>
        <w:t>used on</w:t>
      </w:r>
      <w:r w:rsidR="0010146C" w:rsidRPr="00CA07F5">
        <w:rPr>
          <w:highlight w:val="lightGray"/>
        </w:rPr>
        <w:t xml:space="preserve"> </w:t>
      </w:r>
      <w:r w:rsidR="0010146C" w:rsidRPr="00CA07F5">
        <w:rPr>
          <w:highlight w:val="lightGray"/>
          <w:u w:val="single"/>
        </w:rPr>
        <w:t>developed for</w:t>
      </w:r>
      <w:r w:rsidR="0010146C" w:rsidRPr="00CA07F5">
        <w:rPr>
          <w:u w:val="single"/>
        </w:rPr>
        <w:t xml:space="preserve"> </w:t>
      </w:r>
      <w:r w:rsidR="0010146C" w:rsidRPr="00CA07F5">
        <w:t xml:space="preserve">PQ characteristics </w:t>
      </w:r>
      <w:r w:rsidR="0010146C" w:rsidRPr="00CA07F5">
        <w:rPr>
          <w:strike/>
          <w:highlight w:val="lightGray"/>
        </w:rPr>
        <w:t>to our knowledge</w:t>
      </w:r>
      <w:r w:rsidR="0010146C" w:rsidRPr="00CA07F5">
        <w:t xml:space="preserve"> and </w:t>
      </w:r>
      <w:r w:rsidR="0010146C">
        <w:rPr>
          <w:strike/>
          <w:highlight w:val="lightGray"/>
        </w:rPr>
        <w:t>PQ </w:t>
      </w:r>
      <w:r w:rsidR="0010146C" w:rsidRPr="00CA07F5">
        <w:rPr>
          <w:strike/>
          <w:highlight w:val="lightGray"/>
        </w:rPr>
        <w:t>characteristics</w:t>
      </w:r>
      <w:r w:rsidR="0010146C" w:rsidRPr="00CA07F5">
        <w:rPr>
          <w:strike/>
        </w:rPr>
        <w:t xml:space="preserve"> </w:t>
      </w:r>
      <w:r w:rsidR="0010146C" w:rsidRPr="00CA07F5">
        <w:t>may also require extra information on calibration</w:t>
      </w:r>
      <w:r w:rsidRPr="00515925">
        <w:rPr>
          <w:rFonts w:eastAsia="Calibri" w:cs="Arial"/>
          <w:noProof/>
          <w:lang w:eastAsia="ko-KR"/>
        </w:rPr>
        <w:t xml:space="preserve">. As an example, for color calibration, you also have to take into account the RHS Colour chart, the lighting conditions and so on. </w:t>
      </w:r>
      <w:r w:rsidRPr="00515925">
        <w:rPr>
          <w:rFonts w:eastAsia="Calibri" w:cs="Arial"/>
          <w:noProof/>
          <w:highlight w:val="lightGray"/>
          <w:u w:val="single"/>
          <w:lang w:eastAsia="ko-KR"/>
        </w:rPr>
        <w:t>Differences between observers on PQ characteristics could be tested using non-parametric methods, such as frequency of deviations.</w:t>
      </w:r>
      <w:r w:rsidRPr="00515925">
        <w:rPr>
          <w:rFonts w:eastAsia="Calibri" w:cs="Arial"/>
          <w:noProof/>
          <w:lang w:eastAsia="ko-KR"/>
        </w:rPr>
        <w:t xml:space="preserve">These aspects are not covered in this document. </w:t>
      </w:r>
    </w:p>
    <w:p w:rsidR="007F778D" w:rsidRPr="00515925" w:rsidRDefault="007F778D" w:rsidP="00071413">
      <w:pPr>
        <w:spacing w:before="120" w:after="120"/>
        <w:rPr>
          <w:rFonts w:eastAsia="Calibri" w:cs="Arial"/>
          <w:noProof/>
          <w:lang w:eastAsia="ko-KR"/>
        </w:rPr>
      </w:pPr>
      <w:r w:rsidRPr="00515925">
        <w:rPr>
          <w:rFonts w:eastAsia="Calibri" w:cs="Arial"/>
          <w:noProof/>
          <w:lang w:eastAsia="ko-KR"/>
        </w:rPr>
        <w:t>1.1</w:t>
      </w:r>
      <w:r w:rsidRPr="00515925">
        <w:rPr>
          <w:rFonts w:eastAsia="Calibri" w:cs="Arial"/>
          <w:noProof/>
          <w:lang w:eastAsia="ko-KR"/>
        </w:rPr>
        <w:tab/>
        <w:t>Variation in measurements or observations can be caused by many different factors, like the type of crop, type of characteristic, year, location, trial design and management, method and observer. Especially for visually assessed characteristics (QN/VG or QN/VS) differences between observers can be the reason for large variation and potential bias in the observations. An observer might be less well trained, or have a different interpretation of the characteristic. So, if observer A assesses variety 1 and observer B variety 2, the difference observed might be caused by differences between observers A and B instead of differences between varieties 1 and 2. Clearly, our main interest lies with the differences between varieties and not with the differences between the observers. It is important to realize that the variation caused by different observers cannot be eliminated, but there are ways to control it.</w:t>
      </w:r>
    </w:p>
    <w:p w:rsidR="007F778D" w:rsidRPr="00515925" w:rsidRDefault="007F778D" w:rsidP="00071413">
      <w:pPr>
        <w:spacing w:before="120" w:after="120"/>
        <w:rPr>
          <w:rFonts w:eastAsia="Calibri" w:cs="Arial"/>
          <w:noProof/>
          <w:lang w:eastAsia="ko-KR"/>
        </w:rPr>
      </w:pPr>
      <w:r w:rsidRPr="00515925">
        <w:rPr>
          <w:rFonts w:eastAsia="Calibri" w:cs="Arial"/>
          <w:noProof/>
          <w:lang w:eastAsia="ko-KR"/>
        </w:rPr>
        <w:t>1.2</w:t>
      </w:r>
      <w:r w:rsidRPr="00515925">
        <w:rPr>
          <w:rFonts w:eastAsia="Calibri" w:cs="Arial"/>
          <w:noProof/>
          <w:lang w:eastAsia="ko-KR"/>
        </w:rPr>
        <w:tab/>
        <w:t>It is recommended that, wherever possible, one observer should be used per trial to minimize variation in observations due to different observers.</w:t>
      </w:r>
    </w:p>
    <w:p w:rsidR="007F778D" w:rsidRPr="00515925" w:rsidRDefault="007F778D" w:rsidP="00071413">
      <w:pPr>
        <w:spacing w:before="120" w:after="120"/>
        <w:rPr>
          <w:rFonts w:eastAsia="Calibri" w:cs="Arial"/>
          <w:noProof/>
          <w:u w:val="single"/>
          <w:lang w:eastAsia="ko-KR"/>
        </w:rPr>
      </w:pPr>
    </w:p>
    <w:p w:rsidR="007F778D" w:rsidRPr="00515925" w:rsidRDefault="007F778D" w:rsidP="00071413">
      <w:pPr>
        <w:spacing w:before="120" w:after="120"/>
        <w:rPr>
          <w:rFonts w:eastAsia="Calibri" w:cs="Arial"/>
          <w:noProof/>
          <w:u w:val="single"/>
          <w:lang w:eastAsia="ko-KR"/>
        </w:rPr>
      </w:pPr>
      <w:r w:rsidRPr="00515925">
        <w:rPr>
          <w:rFonts w:eastAsia="Calibri" w:cs="Arial"/>
          <w:noProof/>
          <w:u w:val="single"/>
          <w:lang w:eastAsia="ko-KR"/>
        </w:rPr>
        <w:t>2. Training and importance of clear explanations of characteristics and method of observation</w:t>
      </w:r>
    </w:p>
    <w:p w:rsidR="007F778D" w:rsidRPr="00515925" w:rsidRDefault="007F778D" w:rsidP="00071413">
      <w:pPr>
        <w:spacing w:before="120" w:after="120"/>
        <w:rPr>
          <w:rFonts w:eastAsia="Calibri" w:cs="Arial"/>
          <w:noProof/>
          <w:lang w:eastAsia="ko-KR"/>
        </w:rPr>
      </w:pPr>
      <w:r w:rsidRPr="00515925">
        <w:rPr>
          <w:rFonts w:eastAsia="Calibri" w:cs="Arial"/>
          <w:noProof/>
          <w:lang w:eastAsia="ko-KR"/>
        </w:rPr>
        <w:t>2.1</w:t>
      </w:r>
      <w:r w:rsidRPr="00515925">
        <w:rPr>
          <w:rFonts w:eastAsia="Calibri" w:cs="Arial"/>
          <w:noProof/>
          <w:lang w:eastAsia="ko-KR"/>
        </w:rPr>
        <w:tab/>
        <w:t xml:space="preserve">Training of new observers is essential for consistency and continuity of plant variety observations. Calibration manuals, supervision and guidance by experienced observers as well as the use of example varieties illustrating the range of expressions are useful ways to achieve this. </w:t>
      </w:r>
    </w:p>
    <w:p w:rsidR="007F778D" w:rsidRPr="00515925" w:rsidRDefault="007F778D" w:rsidP="00071413">
      <w:pPr>
        <w:spacing w:before="120" w:after="120"/>
        <w:rPr>
          <w:rFonts w:eastAsia="Calibri" w:cs="Arial"/>
          <w:strike/>
          <w:noProof/>
          <w:lang w:eastAsia="ko-KR"/>
        </w:rPr>
      </w:pPr>
      <w:r w:rsidRPr="00515925">
        <w:rPr>
          <w:rFonts w:eastAsia="Calibri" w:cs="Arial"/>
          <w:noProof/>
          <w:lang w:eastAsia="ko-KR"/>
        </w:rPr>
        <w:t>2.2</w:t>
      </w:r>
      <w:r w:rsidRPr="00515925">
        <w:rPr>
          <w:rFonts w:eastAsia="Calibri" w:cs="Arial"/>
          <w:noProof/>
          <w:lang w:eastAsia="ko-KR"/>
        </w:rPr>
        <w:tab/>
        <w:t xml:space="preserve">UPOV test guidelines try to harmonize the variety description process and describe as clearly as possible the characteristics of a crop and the states of expression. This is the first step in controlling variation and bias. However, the way that a characteristic is observed or measured may vary per location or testing authority. Calibration manuals made by the local testing authority are very useful for the local implementation of the UPOV test guideline. Where needed these crop-specific manuals explain the characteristics to be observed in more detail, and specify when and how they should be observed. Furthermore they may contain pictures and drawings for each characteristic, often for every state of expression of a characteristic. </w:t>
      </w:r>
    </w:p>
    <w:p w:rsidR="007F778D" w:rsidRPr="00515925" w:rsidRDefault="007F778D" w:rsidP="00071413">
      <w:pPr>
        <w:spacing w:before="120" w:after="120"/>
        <w:rPr>
          <w:rFonts w:eastAsia="Calibri" w:cs="Arial"/>
          <w:noProof/>
          <w:lang w:eastAsia="ko-KR"/>
        </w:rPr>
      </w:pPr>
      <w:r w:rsidRPr="00515925">
        <w:rPr>
          <w:rFonts w:eastAsia="Calibri" w:cs="Arial"/>
          <w:noProof/>
          <w:lang w:eastAsia="ko-KR"/>
        </w:rPr>
        <w:t>2.</w:t>
      </w:r>
      <w:r w:rsidRPr="00515925">
        <w:rPr>
          <w:rFonts w:eastAsia="Calibri" w:cs="Arial"/>
          <w:strike/>
          <w:noProof/>
          <w:highlight w:val="lightGray"/>
          <w:u w:val="single"/>
          <w:lang w:eastAsia="ko-KR"/>
        </w:rPr>
        <w:t>4</w:t>
      </w:r>
      <w:r w:rsidRPr="00515925">
        <w:rPr>
          <w:rFonts w:eastAsia="Calibri" w:cs="Arial"/>
          <w:noProof/>
          <w:highlight w:val="lightGray"/>
          <w:u w:val="single"/>
          <w:lang w:eastAsia="ko-KR"/>
        </w:rPr>
        <w:t>3</w:t>
      </w:r>
      <w:r w:rsidRPr="00515925">
        <w:rPr>
          <w:rFonts w:eastAsia="Calibri" w:cs="Arial"/>
          <w:noProof/>
          <w:lang w:eastAsia="ko-KR"/>
        </w:rPr>
        <w:t xml:space="preserve"> The Glossary of Terms Used in UPOV Documents (TGP/14/2) provides useful guidance for clarifying many characteristics, in </w:t>
      </w:r>
      <w:r w:rsidR="00071413">
        <w:rPr>
          <w:rFonts w:eastAsia="Calibri" w:cs="Arial"/>
          <w:noProof/>
          <w:lang w:eastAsia="ko-KR"/>
        </w:rPr>
        <w:t xml:space="preserve">particular PQ characteristics. </w:t>
      </w:r>
    </w:p>
    <w:p w:rsidR="007F778D" w:rsidRPr="00515925" w:rsidRDefault="007F778D" w:rsidP="00071413">
      <w:pPr>
        <w:spacing w:before="120" w:after="120"/>
        <w:rPr>
          <w:rFonts w:eastAsia="Calibri" w:cs="Arial"/>
          <w:noProof/>
          <w:lang w:eastAsia="ko-KR"/>
        </w:rPr>
      </w:pPr>
      <w:r w:rsidRPr="00515925">
        <w:rPr>
          <w:rFonts w:eastAsia="Calibri" w:cs="Arial"/>
          <w:noProof/>
          <w:lang w:eastAsia="ko-KR"/>
        </w:rPr>
        <w:t>2.</w:t>
      </w:r>
      <w:r w:rsidRPr="00515925">
        <w:rPr>
          <w:rFonts w:eastAsia="Calibri" w:cs="Arial"/>
          <w:strike/>
          <w:noProof/>
          <w:highlight w:val="lightGray"/>
          <w:u w:val="single"/>
          <w:lang w:eastAsia="ko-KR"/>
        </w:rPr>
        <w:t>3</w:t>
      </w:r>
      <w:r w:rsidRPr="00515925">
        <w:rPr>
          <w:rFonts w:eastAsia="Calibri" w:cs="Arial"/>
          <w:noProof/>
          <w:highlight w:val="lightGray"/>
          <w:u w:val="single"/>
          <w:lang w:eastAsia="ko-KR"/>
        </w:rPr>
        <w:t>4</w:t>
      </w:r>
      <w:r w:rsidRPr="00515925">
        <w:rPr>
          <w:rFonts w:eastAsia="Calibri" w:cs="Arial"/>
          <w:noProof/>
          <w:lang w:eastAsia="ko-KR"/>
        </w:rPr>
        <w:tab/>
        <w:t>Once an observer is trained it is important to ensure frequent refresher training and recalibration.</w:t>
      </w:r>
    </w:p>
    <w:p w:rsidR="007F778D" w:rsidRPr="00515925" w:rsidRDefault="007F778D" w:rsidP="00071413">
      <w:pPr>
        <w:spacing w:before="120" w:after="120"/>
        <w:rPr>
          <w:rFonts w:eastAsia="Calibri" w:cs="Arial"/>
          <w:noProof/>
          <w:u w:val="single"/>
          <w:lang w:eastAsia="ko-KR"/>
        </w:rPr>
      </w:pPr>
    </w:p>
    <w:p w:rsidR="007F778D" w:rsidRPr="00515925" w:rsidRDefault="007F778D" w:rsidP="00071413">
      <w:pPr>
        <w:spacing w:before="120" w:after="120"/>
        <w:rPr>
          <w:rFonts w:eastAsia="Calibri" w:cs="Arial"/>
          <w:noProof/>
          <w:u w:val="single"/>
          <w:lang w:eastAsia="ko-KR"/>
        </w:rPr>
      </w:pPr>
      <w:r w:rsidRPr="00515925">
        <w:rPr>
          <w:rFonts w:eastAsia="Calibri" w:cs="Arial"/>
          <w:noProof/>
          <w:u w:val="single"/>
          <w:lang w:eastAsia="ko-KR"/>
        </w:rPr>
        <w:t>3. Testing the calibration</w:t>
      </w:r>
    </w:p>
    <w:p w:rsidR="007F778D" w:rsidRPr="00515925" w:rsidRDefault="007F778D" w:rsidP="00071413">
      <w:pPr>
        <w:spacing w:before="120" w:after="120"/>
        <w:rPr>
          <w:rFonts w:eastAsia="Calibri" w:cs="Arial"/>
          <w:noProof/>
          <w:lang w:eastAsia="ko-KR"/>
        </w:rPr>
      </w:pPr>
      <w:r w:rsidRPr="00515925">
        <w:rPr>
          <w:rFonts w:eastAsia="Calibri" w:cs="Arial"/>
          <w:noProof/>
          <w:lang w:eastAsia="ko-KR"/>
        </w:rPr>
        <w:t>3.1</w:t>
      </w:r>
      <w:r w:rsidRPr="00515925">
        <w:rPr>
          <w:rFonts w:eastAsia="Calibri" w:cs="Arial"/>
          <w:noProof/>
          <w:lang w:eastAsia="ko-KR"/>
        </w:rPr>
        <w:tab/>
        <w:t xml:space="preserve">After training an observer, the next step could be to test the performance of the observers in a calibration experiment. This is especially useful for inexperienced observers who have to make visual observations (QN/VG and QN/VS characteristics). If making visual observations, they should preferably pass a calibration test prior to making observations in the trial. But also for experienced observers, it is useful to test themselves on a regular basis to verify if they still fulfill the calibration criteria. </w:t>
      </w:r>
    </w:p>
    <w:p w:rsidR="007F778D" w:rsidRPr="00515925" w:rsidRDefault="007F778D" w:rsidP="00071413">
      <w:pPr>
        <w:spacing w:before="120" w:after="120"/>
        <w:rPr>
          <w:rFonts w:eastAsia="Calibri" w:cs="Arial"/>
          <w:noProof/>
          <w:lang w:eastAsia="ko-KR"/>
        </w:rPr>
      </w:pPr>
      <w:r w:rsidRPr="00515925">
        <w:rPr>
          <w:rFonts w:eastAsia="Calibri" w:cs="Arial"/>
          <w:noProof/>
          <w:lang w:eastAsia="ko-KR"/>
        </w:rPr>
        <w:t>3.2</w:t>
      </w:r>
      <w:r w:rsidRPr="00515925">
        <w:rPr>
          <w:rFonts w:eastAsia="Calibri" w:cs="Arial"/>
          <w:noProof/>
          <w:lang w:eastAsia="ko-KR"/>
        </w:rPr>
        <w:tab/>
        <w:t xml:space="preserve">A calibration experiment can be set up and analyzed in different ways. Generally it involves multiple observers, measuring the same set of material and assessing differences between the observers. </w:t>
      </w:r>
    </w:p>
    <w:p w:rsidR="007F778D" w:rsidRPr="00515925" w:rsidRDefault="007F778D" w:rsidP="00071413">
      <w:pPr>
        <w:spacing w:before="120" w:after="120"/>
        <w:rPr>
          <w:rFonts w:eastAsia="Calibri" w:cs="Arial"/>
          <w:noProof/>
          <w:u w:val="single"/>
          <w:lang w:eastAsia="ko-KR"/>
        </w:rPr>
      </w:pPr>
    </w:p>
    <w:p w:rsidR="007F778D" w:rsidRPr="00515925" w:rsidRDefault="007F778D" w:rsidP="00071413">
      <w:pPr>
        <w:spacing w:before="120" w:after="120"/>
        <w:rPr>
          <w:rFonts w:eastAsia="Calibri" w:cs="Arial"/>
          <w:noProof/>
          <w:u w:val="single"/>
          <w:lang w:eastAsia="ko-KR"/>
        </w:rPr>
      </w:pPr>
      <w:r w:rsidRPr="00515925">
        <w:rPr>
          <w:rFonts w:eastAsia="Calibri" w:cs="Arial"/>
          <w:noProof/>
          <w:u w:val="single"/>
          <w:lang w:eastAsia="ko-KR"/>
        </w:rPr>
        <w:t>4. Testing the calibration for QN/MG or QN/MS characteristics</w:t>
      </w:r>
    </w:p>
    <w:p w:rsidR="007F778D" w:rsidRPr="00515925" w:rsidRDefault="007F778D" w:rsidP="00071413">
      <w:pPr>
        <w:spacing w:before="120" w:after="120"/>
        <w:rPr>
          <w:rFonts w:eastAsia="Calibri" w:cs="Arial"/>
          <w:noProof/>
          <w:lang w:eastAsia="ko-KR"/>
        </w:rPr>
      </w:pPr>
      <w:r w:rsidRPr="00515925">
        <w:rPr>
          <w:rFonts w:eastAsia="Calibri" w:cs="Arial"/>
          <w:noProof/>
          <w:lang w:eastAsia="ko-KR"/>
        </w:rPr>
        <w:t>4.1</w:t>
      </w:r>
      <w:r w:rsidRPr="00515925">
        <w:rPr>
          <w:rFonts w:eastAsia="Calibri" w:cs="Arial"/>
          <w:noProof/>
          <w:lang w:eastAsia="ko-KR"/>
        </w:rPr>
        <w:tab/>
        <w:t xml:space="preserve">For observations made by measurement tools, like rulers (often QN/MS characteristics), the measurement is often made on an interval or ratio scale. In this case, the approach of Bland and Altman (1986) can be used. This approach starts with a plot of the scores for a pair of observers in a scatter plot, and compare it with the line of equality (where y=x). This helps the eye gauging the degree of agreement between measurements of the same object. In a next step, the difference per object is taken and a plot is constructed with on the y-axis the difference between the observers and on the x-axis either the index of the object, or the mean value of the object. By further drawing the horizontal lines y=0, y=mean(difference) and the two lines y = mean(difference) ± 2 x standard deviation, the bias between the observers and any outliers can easily be spotted. Similarly we can also study the difference between the measurement of each observer and the average measurement over all observers. Test methods like the paired t-test can be applied to test for a significant deviation of the observer from another observer or from the mean of the other observers. </w:t>
      </w:r>
    </w:p>
    <w:p w:rsidR="007F778D" w:rsidRPr="00515925" w:rsidRDefault="007F778D" w:rsidP="00071413">
      <w:pPr>
        <w:spacing w:before="120" w:after="120"/>
        <w:rPr>
          <w:rFonts w:eastAsia="Calibri" w:cs="Arial"/>
          <w:noProof/>
          <w:lang w:eastAsia="ko-KR"/>
        </w:rPr>
      </w:pPr>
      <w:r w:rsidRPr="00515925">
        <w:rPr>
          <w:rFonts w:eastAsia="Calibri" w:cs="Arial"/>
          <w:noProof/>
          <w:lang w:eastAsia="ko-KR"/>
        </w:rPr>
        <w:t>4.2</w:t>
      </w:r>
      <w:r w:rsidRPr="00515925">
        <w:rPr>
          <w:rFonts w:eastAsia="Calibri" w:cs="Arial"/>
          <w:noProof/>
          <w:lang w:eastAsia="ko-KR"/>
        </w:rPr>
        <w:tab/>
        <w:t xml:space="preserve">By taking two measurements by each observer of every object, we can look at the differences between these two measurements. If these differences are large in comparison to those for other observers, this observer might have a low repeatability. By counting for each observer the number of moderate and large outliers (e.g. larger than 2 times and 3 times the standard deviation respectively) we can construct a table of observer versus number of outliers, which can be used to decide if the observer fulfills quality assurance limits. </w:t>
      </w:r>
    </w:p>
    <w:p w:rsidR="007F778D" w:rsidRPr="00515925" w:rsidRDefault="007F778D" w:rsidP="00071413">
      <w:pPr>
        <w:spacing w:before="120" w:after="120"/>
        <w:rPr>
          <w:rFonts w:eastAsia="Calibri" w:cs="Arial"/>
          <w:noProof/>
          <w:lang w:eastAsia="ko-KR"/>
        </w:rPr>
      </w:pPr>
      <w:r w:rsidRPr="00515925">
        <w:rPr>
          <w:rFonts w:eastAsia="Calibri" w:cs="Arial"/>
          <w:noProof/>
          <w:lang w:eastAsia="ko-KR"/>
        </w:rPr>
        <w:t>4.3</w:t>
      </w:r>
      <w:r w:rsidRPr="00515925">
        <w:rPr>
          <w:rFonts w:eastAsia="Calibri" w:cs="Arial"/>
          <w:noProof/>
          <w:lang w:eastAsia="ko-KR"/>
        </w:rPr>
        <w:tab/>
        <w:t>Other quality checks can be based on the repeatability and reproducibility tests for laboratories as described in ISO 5725-2. Free software is available on the ISTA website to obtain values and graphs according to this ISO standard.</w:t>
      </w:r>
    </w:p>
    <w:p w:rsidR="007F778D" w:rsidRPr="00515925" w:rsidRDefault="007F778D" w:rsidP="00071413">
      <w:pPr>
        <w:spacing w:before="120" w:after="120"/>
        <w:rPr>
          <w:rFonts w:eastAsia="Calibri" w:cs="Arial"/>
          <w:noProof/>
          <w:lang w:eastAsia="ko-KR"/>
        </w:rPr>
      </w:pPr>
      <w:r w:rsidRPr="00515925">
        <w:rPr>
          <w:rFonts w:eastAsia="Calibri" w:cs="Arial"/>
          <w:noProof/>
          <w:lang w:eastAsia="ko-KR"/>
        </w:rPr>
        <w:t>4.4</w:t>
      </w:r>
      <w:r w:rsidRPr="00515925">
        <w:rPr>
          <w:rFonts w:eastAsia="Calibri" w:cs="Arial"/>
          <w:noProof/>
          <w:lang w:eastAsia="ko-KR"/>
        </w:rPr>
        <w:tab/>
        <w:t xml:space="preserve">In many cases of QN/MG or QN/MS, a good and clear instruction usually suffices and variation or bias in measurements between observers is often negligible. If there is reason for doubt, a calibration experiment as described above can help in providing insight in the situation. </w:t>
      </w:r>
    </w:p>
    <w:p w:rsidR="007F778D" w:rsidRPr="00515925" w:rsidRDefault="007F778D" w:rsidP="00071413">
      <w:pPr>
        <w:spacing w:before="120" w:after="120"/>
        <w:rPr>
          <w:rFonts w:eastAsia="Calibri" w:cs="Arial"/>
          <w:noProof/>
          <w:lang w:eastAsia="ko-KR"/>
        </w:rPr>
      </w:pPr>
      <w:r w:rsidRPr="00515925">
        <w:rPr>
          <w:rFonts w:eastAsia="Calibri" w:cs="Arial"/>
          <w:noProof/>
          <w:lang w:eastAsia="ko-KR"/>
        </w:rPr>
        <w:t>4.5</w:t>
      </w:r>
      <w:r w:rsidRPr="00515925">
        <w:rPr>
          <w:rFonts w:eastAsia="Calibri" w:cs="Arial"/>
          <w:noProof/>
          <w:lang w:eastAsia="ko-KR"/>
        </w:rPr>
        <w:tab/>
        <w:t xml:space="preserve">In the case of QN/MG observations consideration and allowance may need to be given to </w:t>
      </w:r>
      <w:r w:rsidRPr="00515925">
        <w:rPr>
          <w:rFonts w:eastAsia="Calibri" w:cs="Arial"/>
          <w:noProof/>
          <w:highlight w:val="lightGray"/>
          <w:u w:val="single"/>
          <w:lang w:eastAsia="ko-KR"/>
        </w:rPr>
        <w:t>the</w:t>
      </w:r>
      <w:r w:rsidRPr="00515925">
        <w:rPr>
          <w:rFonts w:eastAsia="Calibri" w:cs="Arial"/>
          <w:noProof/>
          <w:lang w:eastAsia="ko-KR"/>
        </w:rPr>
        <w:t xml:space="preserve"> possible </w:t>
      </w:r>
      <w:r w:rsidRPr="00515925">
        <w:rPr>
          <w:rFonts w:eastAsia="Calibri" w:cs="Arial"/>
          <w:noProof/>
          <w:highlight w:val="lightGray"/>
          <w:u w:val="single"/>
          <w:lang w:eastAsia="ko-KR"/>
        </w:rPr>
        <w:t>random</w:t>
      </w:r>
      <w:r w:rsidRPr="00515925">
        <w:rPr>
          <w:rFonts w:eastAsia="Calibri" w:cs="Arial"/>
          <w:noProof/>
          <w:lang w:eastAsia="ko-KR"/>
        </w:rPr>
        <w:t xml:space="preserve"> within plot variation.</w:t>
      </w:r>
    </w:p>
    <w:p w:rsidR="007F778D" w:rsidRPr="00515925" w:rsidRDefault="007F778D" w:rsidP="00071413">
      <w:pPr>
        <w:spacing w:before="120" w:after="120"/>
        <w:rPr>
          <w:rFonts w:eastAsia="Calibri" w:cs="Arial"/>
          <w:noProof/>
          <w:u w:val="single"/>
          <w:lang w:eastAsia="ko-KR"/>
        </w:rPr>
      </w:pPr>
    </w:p>
    <w:p w:rsidR="007F778D" w:rsidRPr="00515925" w:rsidRDefault="007F778D" w:rsidP="00071413">
      <w:pPr>
        <w:spacing w:before="120" w:after="120"/>
        <w:rPr>
          <w:rFonts w:eastAsia="Calibri" w:cs="Arial"/>
          <w:noProof/>
          <w:lang w:eastAsia="ko-KR"/>
        </w:rPr>
      </w:pPr>
      <w:r w:rsidRPr="00515925">
        <w:rPr>
          <w:rFonts w:eastAsia="Calibri" w:cs="Arial"/>
          <w:noProof/>
          <w:u w:val="single"/>
          <w:lang w:eastAsia="ko-KR"/>
        </w:rPr>
        <w:t>5. Testing the calibration for QN/VS or QN/VG characteristics</w:t>
      </w:r>
    </w:p>
    <w:p w:rsidR="007F778D" w:rsidRPr="00515925" w:rsidRDefault="007F778D" w:rsidP="00071413">
      <w:pPr>
        <w:spacing w:before="120" w:after="120"/>
        <w:rPr>
          <w:rFonts w:eastAsia="Calibri" w:cs="Arial"/>
          <w:noProof/>
          <w:lang w:eastAsia="ko-KR"/>
        </w:rPr>
      </w:pPr>
      <w:r w:rsidRPr="00515925">
        <w:rPr>
          <w:rFonts w:eastAsia="Calibri" w:cs="Arial"/>
          <w:noProof/>
          <w:lang w:eastAsia="ko-KR"/>
        </w:rPr>
        <w:t>5.1</w:t>
      </w:r>
      <w:r w:rsidRPr="00515925">
        <w:rPr>
          <w:rFonts w:eastAsia="Calibri" w:cs="Arial"/>
          <w:noProof/>
          <w:lang w:eastAsia="ko-KR"/>
        </w:rPr>
        <w:tab/>
        <w:t xml:space="preserve">For the analysis of ordinal data (QN/VS or QN/VG characteristics), the construction of contingency tables between each pair of observers for the different scores is instructive. A test for a structural difference (bias) between two observers can be obtained by using the Wilcoxon Matched-Pairs test (often called Wilcoxon Signed-Ranks test). </w:t>
      </w:r>
    </w:p>
    <w:p w:rsidR="007F778D" w:rsidRPr="00515925" w:rsidRDefault="007F778D" w:rsidP="00071413">
      <w:pPr>
        <w:spacing w:before="120" w:after="120"/>
        <w:rPr>
          <w:rFonts w:eastAsia="Calibri" w:cs="Arial"/>
          <w:noProof/>
          <w:lang w:eastAsia="ko-KR"/>
        </w:rPr>
      </w:pPr>
      <w:r w:rsidRPr="00515925">
        <w:rPr>
          <w:rFonts w:eastAsia="Calibri" w:cs="Arial"/>
          <w:noProof/>
          <w:lang w:eastAsia="ko-KR"/>
        </w:rPr>
        <w:t>5.2</w:t>
      </w:r>
      <w:r w:rsidRPr="00515925">
        <w:rPr>
          <w:rFonts w:eastAsia="Calibri" w:cs="Arial"/>
          <w:noProof/>
          <w:lang w:eastAsia="ko-KR"/>
        </w:rPr>
        <w:tab/>
        <w:t>To measure the degree of agreement the Cohen’s Kappa (κ) statistic (Cohen, 1960) is often used. The statistic tries to accounts for random agreement:κ = (P(agreement) – P(e)) / (1-P(e)), where P(agreement) is the fraction of objects which are in the same class for both observers (the main diagonal in the contingency table), and P(e) is the probability of random agreement, given the marginals (like in a Chi-square test). If the observers are in complete agreement the Kappa value κ = 1. If there is no agreement among the observers, other than what would be expected by chance (P(e)), then κ = 0.</w:t>
      </w:r>
    </w:p>
    <w:p w:rsidR="007F778D" w:rsidRPr="00515925" w:rsidRDefault="007F778D" w:rsidP="00071413">
      <w:pPr>
        <w:spacing w:before="120" w:after="120"/>
        <w:rPr>
          <w:rFonts w:eastAsia="Calibri" w:cs="Arial"/>
          <w:noProof/>
          <w:lang w:eastAsia="ko-KR"/>
        </w:rPr>
      </w:pPr>
      <w:r w:rsidRPr="00515925">
        <w:rPr>
          <w:rFonts w:eastAsia="Calibri" w:cs="Arial"/>
          <w:noProof/>
          <w:lang w:eastAsia="ko-KR"/>
        </w:rPr>
        <w:t>5.3</w:t>
      </w:r>
      <w:r w:rsidRPr="00515925">
        <w:rPr>
          <w:rFonts w:eastAsia="Calibri" w:cs="Arial"/>
          <w:noProof/>
          <w:lang w:eastAsia="ko-KR"/>
        </w:rPr>
        <w:tab/>
        <w:t>The standard Cohen’s Kappa statistic only considers perfect agreement versus non-agreement. If one wants to take the degree of disagreement into account (for example with ordinal characteristics), one can apply a linear or quadratic weighted Kappa (Cohen, 1968). If we want to have a single statistic for all observers simultaneously, a generalized Kappa coefficient can be calculated. Most statistical packages, including SPSS, Genstat and R (package Concord), provide tools to calculate the Kappa statistic.</w:t>
      </w:r>
    </w:p>
    <w:p w:rsidR="007F778D" w:rsidRPr="00515925" w:rsidRDefault="007F778D" w:rsidP="00071413">
      <w:pPr>
        <w:spacing w:before="120" w:after="120"/>
        <w:rPr>
          <w:rFonts w:eastAsia="Calibri" w:cs="Arial"/>
          <w:noProof/>
          <w:lang w:eastAsia="ko-KR"/>
        </w:rPr>
      </w:pPr>
      <w:r w:rsidRPr="00515925">
        <w:rPr>
          <w:rFonts w:eastAsia="Calibri" w:cs="Arial"/>
          <w:noProof/>
          <w:lang w:eastAsia="ko-KR"/>
        </w:rPr>
        <w:t>5.4</w:t>
      </w:r>
      <w:r w:rsidRPr="00515925">
        <w:rPr>
          <w:rFonts w:eastAsia="Calibri" w:cs="Arial"/>
          <w:noProof/>
          <w:lang w:eastAsia="ko-KR"/>
        </w:rPr>
        <w:tab/>
        <w:t>As noted, a low κ-value indicates poor agreement and values close to 1 indicate excellent agreement. Often scores between 0.6-0.8 are considered to indicate substantial agreement, and above 0.8 to indicate almost perfect agreement. If needed, z-scores for kappa (assuming an approximately normal distribution) are available. The criteria for experienced DUS experts could be more stringent than for inexperienced staff.</w:t>
      </w:r>
    </w:p>
    <w:p w:rsidR="007F778D" w:rsidRPr="00515925" w:rsidRDefault="007F778D" w:rsidP="00071413">
      <w:pPr>
        <w:spacing w:before="120" w:after="120"/>
        <w:rPr>
          <w:rFonts w:eastAsia="Calibri" w:cs="Arial"/>
          <w:noProof/>
          <w:u w:val="single"/>
          <w:lang w:eastAsia="ko-KR"/>
        </w:rPr>
      </w:pPr>
    </w:p>
    <w:p w:rsidR="007F778D" w:rsidRPr="00515925" w:rsidRDefault="007F778D" w:rsidP="00071413">
      <w:pPr>
        <w:spacing w:before="120" w:after="120"/>
        <w:rPr>
          <w:rFonts w:eastAsia="Calibri" w:cs="Arial"/>
          <w:noProof/>
          <w:u w:val="single"/>
          <w:lang w:eastAsia="ko-KR"/>
        </w:rPr>
      </w:pPr>
      <w:r w:rsidRPr="00515925">
        <w:rPr>
          <w:rFonts w:eastAsia="Calibri" w:cs="Arial"/>
          <w:noProof/>
          <w:u w:val="single"/>
          <w:lang w:eastAsia="ko-KR"/>
        </w:rPr>
        <w:t>6. Trial design</w:t>
      </w:r>
    </w:p>
    <w:p w:rsidR="007F778D" w:rsidRPr="00515925" w:rsidRDefault="007F778D" w:rsidP="00071413">
      <w:pPr>
        <w:spacing w:before="120" w:after="120"/>
        <w:rPr>
          <w:rFonts w:eastAsia="Calibri" w:cs="Arial"/>
          <w:noProof/>
          <w:lang w:eastAsia="ko-KR"/>
        </w:rPr>
      </w:pPr>
      <w:r w:rsidRPr="00515925">
        <w:rPr>
          <w:rFonts w:eastAsia="Calibri" w:cs="Arial"/>
          <w:noProof/>
          <w:lang w:eastAsia="ko-KR"/>
        </w:rPr>
        <w:t>6.1</w:t>
      </w:r>
      <w:r w:rsidRPr="00515925">
        <w:rPr>
          <w:rFonts w:eastAsia="Calibri" w:cs="Arial"/>
          <w:noProof/>
          <w:lang w:eastAsia="ko-KR"/>
        </w:rPr>
        <w:tab/>
        <w:t>If we have multiple observers in a trial, the best approach is to have one person observe one or more complete replications. In that case, the correction for block effects also accounts for the bias between observers.  If more than one observer per replication is needed, extra attention should be given to calibration and agreement. In some cases, the use of incomplete block designs (like alpha designs) might be helpful, and an observer can be assigned to the sub blocks. In this way we can correct for systematic differences between observers.</w:t>
      </w:r>
    </w:p>
    <w:p w:rsidR="007F778D" w:rsidRPr="00515925" w:rsidRDefault="007F778D" w:rsidP="00071413">
      <w:pPr>
        <w:spacing w:before="120" w:after="120"/>
        <w:rPr>
          <w:rFonts w:eastAsia="Calibri" w:cs="Arial"/>
          <w:noProof/>
          <w:lang w:eastAsia="ko-KR"/>
        </w:rPr>
      </w:pPr>
    </w:p>
    <w:p w:rsidR="007F778D" w:rsidRPr="00515925" w:rsidRDefault="007F778D" w:rsidP="00071413">
      <w:pPr>
        <w:keepNext/>
        <w:keepLines/>
        <w:spacing w:before="120" w:after="120"/>
        <w:rPr>
          <w:rFonts w:eastAsia="Calibri" w:cs="Arial"/>
          <w:noProof/>
          <w:u w:val="single"/>
          <w:lang w:eastAsia="ko-KR"/>
        </w:rPr>
      </w:pPr>
      <w:r w:rsidRPr="00515925">
        <w:rPr>
          <w:rFonts w:eastAsia="Calibri" w:cs="Arial"/>
          <w:noProof/>
          <w:u w:val="single"/>
          <w:lang w:eastAsia="ko-KR"/>
        </w:rPr>
        <w:t>7. Example of Cohen’s Kappa</w:t>
      </w:r>
    </w:p>
    <w:p w:rsidR="007F778D" w:rsidRDefault="007F778D" w:rsidP="00071413">
      <w:pPr>
        <w:spacing w:before="120" w:after="120"/>
        <w:rPr>
          <w:rFonts w:eastAsia="Calibri" w:cs="Arial"/>
          <w:noProof/>
          <w:lang w:eastAsia="ko-KR"/>
        </w:rPr>
      </w:pPr>
      <w:r w:rsidRPr="00515925">
        <w:rPr>
          <w:rFonts w:eastAsia="Calibri" w:cs="Arial"/>
          <w:noProof/>
          <w:lang w:eastAsia="ko-KR"/>
        </w:rPr>
        <w:t>7.1</w:t>
      </w:r>
      <w:r w:rsidRPr="00515925">
        <w:rPr>
          <w:rFonts w:eastAsia="Calibri" w:cs="Arial"/>
          <w:noProof/>
          <w:lang w:eastAsia="ko-KR"/>
        </w:rPr>
        <w:tab/>
        <w:t>In this example, there are three observers and 30 objects (plots or varieties).The characteristic is observed on a scale of 1 to 6. The raw data and their tabulated scores ar</w:t>
      </w:r>
      <w:r>
        <w:rPr>
          <w:rFonts w:eastAsia="Calibri" w:cs="Arial"/>
          <w:noProof/>
          <w:lang w:eastAsia="ko-KR"/>
        </w:rPr>
        <w:t>e given in the following tables:</w:t>
      </w:r>
    </w:p>
    <w:p w:rsidR="00D03E18" w:rsidRDefault="00D03E18" w:rsidP="007F778D">
      <w:pPr>
        <w:spacing w:before="120" w:after="120"/>
        <w:jc w:val="left"/>
        <w:rPr>
          <w:rFonts w:eastAsia="Calibri" w:cs="Arial"/>
          <w:noProof/>
          <w:lang w:eastAsia="ko-KR"/>
        </w:rPr>
        <w:sectPr w:rsidR="00D03E18" w:rsidSect="00F10972">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pgNumType w:start="1"/>
          <w:cols w:space="720"/>
          <w:titlePg/>
        </w:sectPr>
      </w:pPr>
    </w:p>
    <w:p w:rsidR="007F778D" w:rsidRPr="00515925" w:rsidRDefault="007F778D" w:rsidP="007F778D">
      <w:pPr>
        <w:spacing w:before="120" w:after="120"/>
        <w:jc w:val="left"/>
        <w:rPr>
          <w:rFonts w:eastAsia="Calibri" w:cs="Arial"/>
          <w:noProof/>
          <w:lang w:eastAsia="ko-KR"/>
        </w:rPr>
      </w:pPr>
    </w:p>
    <w:tbl>
      <w:tblPr>
        <w:tblW w:w="3849" w:type="dxa"/>
        <w:tblInd w:w="57" w:type="dxa"/>
        <w:tblCellMar>
          <w:left w:w="70" w:type="dxa"/>
          <w:right w:w="70" w:type="dxa"/>
        </w:tblCellMar>
        <w:tblLook w:val="00A0" w:firstRow="1" w:lastRow="0" w:firstColumn="1" w:lastColumn="0" w:noHBand="0" w:noVBand="0"/>
      </w:tblPr>
      <w:tblGrid>
        <w:gridCol w:w="960"/>
        <w:gridCol w:w="963"/>
        <w:gridCol w:w="963"/>
        <w:gridCol w:w="963"/>
      </w:tblGrid>
      <w:tr w:rsidR="007F778D" w:rsidRPr="00515925" w:rsidTr="007F778D">
        <w:trPr>
          <w:tblHeader/>
        </w:trPr>
        <w:tc>
          <w:tcPr>
            <w:tcW w:w="960" w:type="dxa"/>
            <w:tcBorders>
              <w:top w:val="single" w:sz="4" w:space="0" w:color="auto"/>
              <w:left w:val="single" w:sz="4" w:space="0" w:color="auto"/>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Variety</w:t>
            </w:r>
          </w:p>
        </w:tc>
        <w:tc>
          <w:tcPr>
            <w:tcW w:w="963" w:type="dxa"/>
            <w:tcBorders>
              <w:top w:val="single" w:sz="4" w:space="0" w:color="auto"/>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 xml:space="preserve">Observer </w:t>
            </w:r>
          </w:p>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single" w:sz="4" w:space="0" w:color="auto"/>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Observer</w:t>
            </w:r>
          </w:p>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single" w:sz="4" w:space="0" w:color="auto"/>
              <w:left w:val="nil"/>
              <w:bottom w:val="single" w:sz="4" w:space="0" w:color="auto"/>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Observer</w:t>
            </w:r>
          </w:p>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r>
      <w:tr w:rsidR="007F778D" w:rsidRPr="00515925" w:rsidTr="007F778D">
        <w:tc>
          <w:tcPr>
            <w:tcW w:w="960" w:type="dxa"/>
            <w:tcBorders>
              <w:top w:val="single" w:sz="4" w:space="0" w:color="auto"/>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V1</w:t>
            </w:r>
          </w:p>
        </w:tc>
        <w:tc>
          <w:tcPr>
            <w:tcW w:w="963" w:type="dxa"/>
            <w:tcBorders>
              <w:top w:val="single" w:sz="4" w:space="0" w:color="auto"/>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single" w:sz="4" w:space="0" w:color="auto"/>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single" w:sz="4" w:space="0" w:color="auto"/>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V2</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V3</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V4</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V5</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V6</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V7</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V8</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V9</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V10</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V11</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V12</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V13</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4</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V14</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V15</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V16</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V17</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5</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V18</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V19</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V20</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V21</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V22</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V23</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6</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V24</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6</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V25</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V26</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6</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V27</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V28</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5</w:t>
            </w:r>
          </w:p>
        </w:tc>
      </w:tr>
      <w:tr w:rsidR="007F778D" w:rsidRPr="00515925" w:rsidTr="007F778D">
        <w:tc>
          <w:tcPr>
            <w:tcW w:w="960"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V29</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5</w:t>
            </w:r>
          </w:p>
        </w:tc>
      </w:tr>
      <w:tr w:rsidR="007F778D" w:rsidRPr="00515925" w:rsidTr="007F778D">
        <w:tc>
          <w:tcPr>
            <w:tcW w:w="960" w:type="dxa"/>
            <w:tcBorders>
              <w:top w:val="nil"/>
              <w:left w:val="single" w:sz="4" w:space="0" w:color="auto"/>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V30</w:t>
            </w:r>
          </w:p>
        </w:tc>
        <w:tc>
          <w:tcPr>
            <w:tcW w:w="963" w:type="dxa"/>
            <w:tcBorders>
              <w:top w:val="nil"/>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single" w:sz="4" w:space="0" w:color="auto"/>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4</w:t>
            </w:r>
          </w:p>
        </w:tc>
      </w:tr>
      <w:tr w:rsidR="007F778D" w:rsidRPr="00515925" w:rsidTr="007F778D">
        <w:tc>
          <w:tcPr>
            <w:tcW w:w="960" w:type="dxa"/>
            <w:tcBorders>
              <w:top w:val="nil"/>
              <w:left w:val="single" w:sz="4" w:space="0" w:color="auto"/>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p>
        </w:tc>
        <w:tc>
          <w:tcPr>
            <w:tcW w:w="963" w:type="dxa"/>
            <w:tcBorders>
              <w:top w:val="nil"/>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p>
        </w:tc>
        <w:tc>
          <w:tcPr>
            <w:tcW w:w="963" w:type="dxa"/>
            <w:tcBorders>
              <w:top w:val="nil"/>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p>
        </w:tc>
        <w:tc>
          <w:tcPr>
            <w:tcW w:w="963" w:type="dxa"/>
            <w:tcBorders>
              <w:top w:val="nil"/>
              <w:left w:val="nil"/>
              <w:bottom w:val="single" w:sz="4" w:space="0" w:color="auto"/>
              <w:right w:val="single" w:sz="4" w:space="0" w:color="auto"/>
            </w:tcBorders>
            <w:noWrap/>
            <w:vAlign w:val="bottom"/>
          </w:tcPr>
          <w:p w:rsidR="007F778D" w:rsidRPr="00515925" w:rsidRDefault="007F778D" w:rsidP="007F778D">
            <w:pPr>
              <w:jc w:val="right"/>
              <w:rPr>
                <w:rFonts w:eastAsia="Calibri" w:cs="Arial"/>
                <w:noProof/>
                <w:color w:val="000000"/>
                <w:lang w:eastAsia="ko-KR"/>
              </w:rPr>
            </w:pPr>
          </w:p>
        </w:tc>
      </w:tr>
    </w:tbl>
    <w:p w:rsidR="007F778D" w:rsidRPr="00515925" w:rsidRDefault="007F778D" w:rsidP="007F778D">
      <w:pPr>
        <w:jc w:val="left"/>
        <w:rPr>
          <w:rFonts w:eastAsia="Calibri" w:cs="Arial"/>
          <w:noProof/>
          <w:lang w:eastAsia="ko-KR"/>
        </w:rPr>
      </w:pPr>
    </w:p>
    <w:p w:rsidR="007F778D" w:rsidRPr="00515925" w:rsidRDefault="007F778D" w:rsidP="007F778D">
      <w:pPr>
        <w:jc w:val="left"/>
        <w:rPr>
          <w:rFonts w:eastAsia="Calibri" w:cs="Arial"/>
          <w:noProof/>
          <w:lang w:eastAsia="ko-KR"/>
        </w:rPr>
      </w:pPr>
      <w:r w:rsidRPr="00515925">
        <w:rPr>
          <w:rFonts w:eastAsia="Calibri" w:cs="Arial"/>
          <w:noProof/>
          <w:lang w:eastAsia="ko-KR"/>
        </w:rPr>
        <w:br w:type="page"/>
      </w:r>
    </w:p>
    <w:p w:rsidR="007F778D" w:rsidRPr="00515925" w:rsidRDefault="007F778D" w:rsidP="007F778D">
      <w:pPr>
        <w:jc w:val="left"/>
        <w:rPr>
          <w:rFonts w:eastAsia="Calibri" w:cs="Arial"/>
          <w:noProof/>
          <w:lang w:eastAsia="ko-KR"/>
        </w:rPr>
      </w:pPr>
    </w:p>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7F778D" w:rsidRPr="00515925" w:rsidTr="007F778D">
        <w:trPr>
          <w:tblHeader/>
        </w:trPr>
        <w:tc>
          <w:tcPr>
            <w:tcW w:w="1134" w:type="dxa"/>
            <w:tcBorders>
              <w:top w:val="single" w:sz="4" w:space="0" w:color="auto"/>
              <w:left w:val="single" w:sz="4" w:space="0" w:color="auto"/>
              <w:bottom w:val="single" w:sz="4" w:space="0" w:color="auto"/>
              <w:right w:val="nil"/>
            </w:tcBorders>
            <w:noWrap/>
            <w:vAlign w:val="bottom"/>
          </w:tcPr>
          <w:p w:rsidR="007F778D" w:rsidRPr="00515925" w:rsidRDefault="007F778D" w:rsidP="007F778D">
            <w:pPr>
              <w:jc w:val="left"/>
              <w:rPr>
                <w:rFonts w:eastAsia="Calibri" w:cs="Arial"/>
                <w:noProof/>
                <w:color w:val="000000"/>
                <w:lang w:eastAsia="ko-KR"/>
              </w:rPr>
            </w:pPr>
            <w:r w:rsidRPr="00515925">
              <w:rPr>
                <w:rFonts w:eastAsia="Calibri" w:cs="Arial"/>
                <w:noProof/>
                <w:color w:val="000000"/>
                <w:lang w:eastAsia="ko-KR"/>
              </w:rPr>
              <w:t>Scores for variety</w:t>
            </w:r>
          </w:p>
        </w:tc>
        <w:tc>
          <w:tcPr>
            <w:tcW w:w="567" w:type="dxa"/>
            <w:tcBorders>
              <w:top w:val="single" w:sz="4" w:space="0" w:color="auto"/>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single" w:sz="4" w:space="0" w:color="auto"/>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single" w:sz="4" w:space="0" w:color="auto"/>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single" w:sz="4" w:space="0" w:color="auto"/>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4</w:t>
            </w:r>
          </w:p>
        </w:tc>
        <w:tc>
          <w:tcPr>
            <w:tcW w:w="567" w:type="dxa"/>
            <w:tcBorders>
              <w:top w:val="single" w:sz="4" w:space="0" w:color="auto"/>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5</w:t>
            </w:r>
          </w:p>
        </w:tc>
        <w:tc>
          <w:tcPr>
            <w:tcW w:w="567" w:type="dxa"/>
            <w:tcBorders>
              <w:top w:val="single" w:sz="4" w:space="0" w:color="auto"/>
              <w:left w:val="nil"/>
              <w:bottom w:val="single" w:sz="4" w:space="0" w:color="auto"/>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6</w:t>
            </w:r>
          </w:p>
        </w:tc>
      </w:tr>
      <w:tr w:rsidR="007F778D" w:rsidRPr="00515925" w:rsidTr="007F778D">
        <w:tc>
          <w:tcPr>
            <w:tcW w:w="1134" w:type="dxa"/>
            <w:tcBorders>
              <w:top w:val="single" w:sz="4" w:space="0" w:color="auto"/>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V1</w:t>
            </w:r>
          </w:p>
        </w:tc>
        <w:tc>
          <w:tcPr>
            <w:tcW w:w="567" w:type="dxa"/>
            <w:tcBorders>
              <w:top w:val="single" w:sz="4" w:space="0" w:color="auto"/>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single" w:sz="4" w:space="0" w:color="auto"/>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V2</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V3</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V4</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V5</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V6</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V7</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V8</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V9</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V10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V11</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V12</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V13</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V14</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V15</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V16</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V17</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V18</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V19</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V20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V21</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V22</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V23</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V24</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V25</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V26</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V27</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V28</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r>
      <w:tr w:rsidR="007F778D" w:rsidRPr="00515925" w:rsidTr="007F778D">
        <w:tc>
          <w:tcPr>
            <w:tcW w:w="1134" w:type="dxa"/>
            <w:tcBorders>
              <w:top w:val="nil"/>
              <w:left w:val="single" w:sz="4" w:space="0" w:color="auto"/>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V29</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r>
      <w:tr w:rsidR="007F778D" w:rsidRPr="00515925" w:rsidTr="007F778D">
        <w:tc>
          <w:tcPr>
            <w:tcW w:w="1134" w:type="dxa"/>
            <w:tcBorders>
              <w:top w:val="nil"/>
              <w:left w:val="single" w:sz="4" w:space="0" w:color="auto"/>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V30</w:t>
            </w:r>
          </w:p>
        </w:tc>
        <w:tc>
          <w:tcPr>
            <w:tcW w:w="567" w:type="dxa"/>
            <w:tcBorders>
              <w:top w:val="nil"/>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r>
    </w:tbl>
    <w:p w:rsidR="007F778D" w:rsidRPr="00515925" w:rsidRDefault="007F778D" w:rsidP="007F778D">
      <w:pPr>
        <w:keepNext/>
        <w:spacing w:before="120" w:after="120"/>
        <w:jc w:val="left"/>
        <w:rPr>
          <w:rFonts w:eastAsia="Calibri" w:cs="Arial"/>
          <w:noProof/>
          <w:lang w:eastAsia="ko-KR"/>
        </w:rPr>
      </w:pPr>
    </w:p>
    <w:p w:rsidR="007F778D" w:rsidRPr="00515925" w:rsidRDefault="007F778D" w:rsidP="007F778D">
      <w:pPr>
        <w:keepNext/>
        <w:spacing w:before="120" w:after="120"/>
        <w:jc w:val="left"/>
        <w:rPr>
          <w:rFonts w:eastAsia="Calibri" w:cs="Arial"/>
          <w:noProof/>
          <w:lang w:eastAsia="ko-KR"/>
        </w:rPr>
      </w:pPr>
      <w:r w:rsidRPr="00515925">
        <w:rPr>
          <w:rFonts w:eastAsia="Calibri" w:cs="Arial"/>
          <w:noProof/>
          <w:lang w:eastAsia="ko-KR"/>
        </w:rPr>
        <w:t>The contingency table for observer 1 and 2 is: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7F778D" w:rsidRPr="00515925" w:rsidTr="007F778D">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O1\O2</w:t>
            </w:r>
          </w:p>
        </w:tc>
        <w:tc>
          <w:tcPr>
            <w:tcW w:w="720" w:type="dxa"/>
            <w:tcBorders>
              <w:top w:val="single" w:sz="4" w:space="0" w:color="auto"/>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700" w:type="dxa"/>
            <w:tcBorders>
              <w:top w:val="single" w:sz="4" w:space="0" w:color="auto"/>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640" w:type="dxa"/>
            <w:tcBorders>
              <w:top w:val="single" w:sz="4" w:space="0" w:color="auto"/>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c>
          <w:tcPr>
            <w:tcW w:w="680" w:type="dxa"/>
            <w:tcBorders>
              <w:top w:val="single" w:sz="4" w:space="0" w:color="auto"/>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4</w:t>
            </w:r>
          </w:p>
        </w:tc>
        <w:tc>
          <w:tcPr>
            <w:tcW w:w="680" w:type="dxa"/>
            <w:tcBorders>
              <w:top w:val="single" w:sz="4" w:space="0" w:color="auto"/>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5</w:t>
            </w:r>
          </w:p>
        </w:tc>
        <w:tc>
          <w:tcPr>
            <w:tcW w:w="673" w:type="dxa"/>
            <w:tcBorders>
              <w:top w:val="single" w:sz="4" w:space="0" w:color="auto"/>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6</w:t>
            </w:r>
          </w:p>
        </w:tc>
        <w:tc>
          <w:tcPr>
            <w:tcW w:w="709" w:type="dxa"/>
            <w:tcBorders>
              <w:top w:val="single" w:sz="4" w:space="0" w:color="auto"/>
              <w:left w:val="nil"/>
              <w:bottom w:val="single" w:sz="4" w:space="0" w:color="auto"/>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Total</w:t>
            </w:r>
          </w:p>
        </w:tc>
      </w:tr>
      <w:tr w:rsidR="007F778D" w:rsidRPr="00515925" w:rsidTr="007F778D">
        <w:trPr>
          <w:trHeight w:val="300"/>
        </w:trPr>
        <w:tc>
          <w:tcPr>
            <w:tcW w:w="740" w:type="dxa"/>
            <w:tcBorders>
              <w:top w:val="nil"/>
              <w:left w:val="single" w:sz="4" w:space="0" w:color="auto"/>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72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c>
          <w:tcPr>
            <w:tcW w:w="70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709" w:type="dxa"/>
            <w:tcBorders>
              <w:top w:val="nil"/>
              <w:left w:val="single" w:sz="4" w:space="0" w:color="auto"/>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r>
      <w:tr w:rsidR="007F778D" w:rsidRPr="00515925" w:rsidTr="007F778D">
        <w:trPr>
          <w:trHeight w:val="300"/>
        </w:trPr>
        <w:tc>
          <w:tcPr>
            <w:tcW w:w="740" w:type="dxa"/>
            <w:tcBorders>
              <w:top w:val="nil"/>
              <w:left w:val="single" w:sz="4" w:space="0" w:color="auto"/>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72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10</w:t>
            </w:r>
          </w:p>
        </w:tc>
        <w:tc>
          <w:tcPr>
            <w:tcW w:w="70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5</w:t>
            </w:r>
          </w:p>
        </w:tc>
        <w:tc>
          <w:tcPr>
            <w:tcW w:w="64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709" w:type="dxa"/>
            <w:tcBorders>
              <w:top w:val="nil"/>
              <w:left w:val="single" w:sz="4" w:space="0" w:color="auto"/>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17</w:t>
            </w:r>
          </w:p>
        </w:tc>
      </w:tr>
      <w:tr w:rsidR="007F778D" w:rsidRPr="00515925" w:rsidTr="007F778D">
        <w:trPr>
          <w:trHeight w:val="300"/>
        </w:trPr>
        <w:tc>
          <w:tcPr>
            <w:tcW w:w="740" w:type="dxa"/>
            <w:tcBorders>
              <w:top w:val="nil"/>
              <w:left w:val="single" w:sz="4" w:space="0" w:color="auto"/>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c>
          <w:tcPr>
            <w:tcW w:w="72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70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64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709" w:type="dxa"/>
            <w:tcBorders>
              <w:top w:val="nil"/>
              <w:left w:val="single" w:sz="4" w:space="0" w:color="auto"/>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r>
      <w:tr w:rsidR="007F778D" w:rsidRPr="00515925" w:rsidTr="007F778D">
        <w:trPr>
          <w:trHeight w:val="300"/>
        </w:trPr>
        <w:tc>
          <w:tcPr>
            <w:tcW w:w="740" w:type="dxa"/>
            <w:tcBorders>
              <w:top w:val="nil"/>
              <w:left w:val="single" w:sz="4" w:space="0" w:color="auto"/>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4</w:t>
            </w:r>
          </w:p>
        </w:tc>
        <w:tc>
          <w:tcPr>
            <w:tcW w:w="72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70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709" w:type="dxa"/>
            <w:tcBorders>
              <w:top w:val="nil"/>
              <w:left w:val="single" w:sz="4" w:space="0" w:color="auto"/>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r>
      <w:tr w:rsidR="007F778D" w:rsidRPr="00515925" w:rsidTr="007F778D">
        <w:trPr>
          <w:trHeight w:val="300"/>
        </w:trPr>
        <w:tc>
          <w:tcPr>
            <w:tcW w:w="740" w:type="dxa"/>
            <w:tcBorders>
              <w:top w:val="nil"/>
              <w:left w:val="single" w:sz="4" w:space="0" w:color="auto"/>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5</w:t>
            </w:r>
          </w:p>
        </w:tc>
        <w:tc>
          <w:tcPr>
            <w:tcW w:w="72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70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709" w:type="dxa"/>
            <w:tcBorders>
              <w:top w:val="nil"/>
              <w:left w:val="single" w:sz="4" w:space="0" w:color="auto"/>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r>
      <w:tr w:rsidR="007F778D" w:rsidRPr="00515925" w:rsidTr="007F778D">
        <w:trPr>
          <w:trHeight w:val="300"/>
        </w:trPr>
        <w:tc>
          <w:tcPr>
            <w:tcW w:w="740" w:type="dxa"/>
            <w:tcBorders>
              <w:top w:val="nil"/>
              <w:left w:val="single" w:sz="4" w:space="0" w:color="auto"/>
              <w:bottom w:val="nil"/>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6</w:t>
            </w:r>
          </w:p>
        </w:tc>
        <w:tc>
          <w:tcPr>
            <w:tcW w:w="72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70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2</w:t>
            </w:r>
          </w:p>
        </w:tc>
        <w:tc>
          <w:tcPr>
            <w:tcW w:w="709" w:type="dxa"/>
            <w:tcBorders>
              <w:top w:val="nil"/>
              <w:left w:val="single" w:sz="4" w:space="0" w:color="auto"/>
              <w:bottom w:val="single" w:sz="4" w:space="0" w:color="auto"/>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r>
      <w:tr w:rsidR="007F778D" w:rsidRPr="00515925" w:rsidTr="007F778D">
        <w:trPr>
          <w:trHeight w:val="300"/>
        </w:trPr>
        <w:tc>
          <w:tcPr>
            <w:tcW w:w="740" w:type="dxa"/>
            <w:tcBorders>
              <w:top w:val="nil"/>
              <w:left w:val="single" w:sz="4" w:space="0" w:color="auto"/>
              <w:bottom w:val="single" w:sz="4" w:space="0" w:color="auto"/>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Total</w:t>
            </w:r>
          </w:p>
        </w:tc>
        <w:tc>
          <w:tcPr>
            <w:tcW w:w="720" w:type="dxa"/>
            <w:tcBorders>
              <w:top w:val="single" w:sz="4" w:space="0" w:color="auto"/>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15</w:t>
            </w:r>
          </w:p>
        </w:tc>
        <w:tc>
          <w:tcPr>
            <w:tcW w:w="700" w:type="dxa"/>
            <w:tcBorders>
              <w:top w:val="single" w:sz="4" w:space="0" w:color="auto"/>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6</w:t>
            </w:r>
          </w:p>
        </w:tc>
        <w:tc>
          <w:tcPr>
            <w:tcW w:w="640" w:type="dxa"/>
            <w:tcBorders>
              <w:top w:val="single" w:sz="4" w:space="0" w:color="auto"/>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single" w:sz="4" w:space="0" w:color="auto"/>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w:t>
            </w:r>
          </w:p>
        </w:tc>
        <w:tc>
          <w:tcPr>
            <w:tcW w:w="680" w:type="dxa"/>
            <w:tcBorders>
              <w:top w:val="single" w:sz="4" w:space="0" w:color="auto"/>
              <w:left w:val="nil"/>
              <w:bottom w:val="single" w:sz="4" w:space="0" w:color="auto"/>
              <w:right w:val="nil"/>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single" w:sz="4" w:space="0" w:color="auto"/>
              <w:left w:val="nil"/>
              <w:bottom w:val="single" w:sz="4" w:space="0" w:color="auto"/>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5</w:t>
            </w:r>
          </w:p>
        </w:tc>
        <w:tc>
          <w:tcPr>
            <w:tcW w:w="709" w:type="dxa"/>
            <w:tcBorders>
              <w:top w:val="nil"/>
              <w:left w:val="nil"/>
              <w:bottom w:val="single" w:sz="4" w:space="0" w:color="auto"/>
              <w:right w:val="single" w:sz="4" w:space="0" w:color="auto"/>
            </w:tcBorders>
            <w:noWrap/>
            <w:vAlign w:val="bottom"/>
          </w:tcPr>
          <w:p w:rsidR="007F778D" w:rsidRPr="00515925" w:rsidRDefault="007F778D" w:rsidP="007F778D">
            <w:pPr>
              <w:jc w:val="right"/>
              <w:rPr>
                <w:rFonts w:eastAsia="Calibri" w:cs="Arial"/>
                <w:noProof/>
                <w:color w:val="000000"/>
                <w:lang w:eastAsia="ko-KR"/>
              </w:rPr>
            </w:pPr>
            <w:r w:rsidRPr="00515925">
              <w:rPr>
                <w:rFonts w:eastAsia="Calibri" w:cs="Arial"/>
                <w:noProof/>
                <w:color w:val="000000"/>
                <w:lang w:eastAsia="ko-KR"/>
              </w:rPr>
              <w:t>30</w:t>
            </w:r>
          </w:p>
        </w:tc>
      </w:tr>
    </w:tbl>
    <w:p w:rsidR="007F778D" w:rsidRPr="00515925" w:rsidRDefault="007F778D" w:rsidP="007F778D">
      <w:pPr>
        <w:spacing w:before="120" w:after="120"/>
        <w:jc w:val="left"/>
        <w:rPr>
          <w:rFonts w:eastAsia="Calibri" w:cs="Arial"/>
          <w:noProof/>
          <w:lang w:eastAsia="ko-KR"/>
        </w:rPr>
      </w:pPr>
      <w:r w:rsidRPr="00515925">
        <w:rPr>
          <w:rFonts w:eastAsia="Calibri" w:cs="Arial"/>
          <w:noProof/>
          <w:lang w:eastAsia="ko-KR"/>
        </w:rPr>
        <w:t>The Kappa coefficient between observer 1 and 2, κ(O1,O2) is calculated as follows:</w:t>
      </w:r>
    </w:p>
    <w:p w:rsidR="007F778D" w:rsidRPr="00515925" w:rsidRDefault="007F778D" w:rsidP="007F778D">
      <w:pPr>
        <w:numPr>
          <w:ilvl w:val="0"/>
          <w:numId w:val="4"/>
        </w:numPr>
        <w:spacing w:before="120" w:after="120"/>
        <w:contextualSpacing/>
        <w:jc w:val="left"/>
        <w:rPr>
          <w:rFonts w:eastAsia="Calibri" w:cs="Arial"/>
          <w:noProof/>
          <w:lang w:eastAsia="ko-KR"/>
        </w:rPr>
      </w:pPr>
      <w:r w:rsidRPr="00515925">
        <w:rPr>
          <w:rFonts w:eastAsia="Calibri" w:cs="Arial"/>
          <w:noProof/>
          <w:lang w:eastAsia="ko-KR"/>
        </w:rPr>
        <w:t>κ(O1,O2) = (P(agreement between O1 and  O2) – P(e)) / (1 – P(e)) where:</w:t>
      </w:r>
    </w:p>
    <w:p w:rsidR="007F778D" w:rsidRPr="00515925" w:rsidRDefault="007F778D" w:rsidP="007F778D">
      <w:pPr>
        <w:numPr>
          <w:ilvl w:val="0"/>
          <w:numId w:val="4"/>
        </w:numPr>
        <w:spacing w:before="120" w:after="120"/>
        <w:contextualSpacing/>
        <w:jc w:val="left"/>
        <w:rPr>
          <w:rFonts w:eastAsia="Calibri" w:cs="Arial"/>
          <w:noProof/>
          <w:lang w:eastAsia="ko-KR"/>
        </w:rPr>
      </w:pPr>
      <w:r w:rsidRPr="00515925">
        <w:rPr>
          <w:rFonts w:eastAsia="Calibri" w:cs="Arial"/>
          <w:noProof/>
          <w:lang w:eastAsia="ko-KR"/>
        </w:rPr>
        <w:t>P(agreement) =  (3+5+0+1+0+2)/30 = 11/30 ≈ 0.3667 (diagonal elements)</w:t>
      </w:r>
    </w:p>
    <w:p w:rsidR="007F778D" w:rsidRPr="00515925" w:rsidRDefault="007F778D" w:rsidP="007F778D">
      <w:pPr>
        <w:numPr>
          <w:ilvl w:val="0"/>
          <w:numId w:val="4"/>
        </w:numPr>
        <w:spacing w:before="120" w:after="120"/>
        <w:contextualSpacing/>
        <w:jc w:val="left"/>
        <w:rPr>
          <w:rFonts w:eastAsia="Calibri" w:cs="Arial"/>
          <w:noProof/>
          <w:lang w:eastAsia="ko-KR"/>
        </w:rPr>
      </w:pPr>
      <w:r w:rsidRPr="00515925">
        <w:rPr>
          <w:rFonts w:eastAsia="Calibri" w:cs="Arial"/>
          <w:noProof/>
          <w:lang w:eastAsia="ko-KR"/>
        </w:rPr>
        <w:t>P(e) = (3/30).(15/30) + (17/30).(6/30) + (3/30).(1/30) + (1/30).(3/30) + (3/30).(0/30) + (3/30).(5/30) ≈ 0.1867. (pair-wise margins)</w:t>
      </w:r>
    </w:p>
    <w:p w:rsidR="007F778D" w:rsidRDefault="007F778D" w:rsidP="007F778D">
      <w:pPr>
        <w:numPr>
          <w:ilvl w:val="0"/>
          <w:numId w:val="4"/>
        </w:numPr>
        <w:spacing w:before="120" w:after="120"/>
        <w:contextualSpacing/>
        <w:jc w:val="left"/>
        <w:rPr>
          <w:rFonts w:eastAsia="Calibri" w:cs="Arial"/>
          <w:noProof/>
          <w:lang w:eastAsia="ko-KR"/>
        </w:rPr>
      </w:pPr>
      <w:r w:rsidRPr="00515925">
        <w:rPr>
          <w:rFonts w:eastAsia="Calibri" w:cs="Arial"/>
          <w:noProof/>
          <w:lang w:eastAsia="ko-KR"/>
        </w:rPr>
        <w:t>So κ(O1,O2) ≈ (0.3667-0.1867) / (1-0.1867) ≈ 0.22</w:t>
      </w:r>
    </w:p>
    <w:p w:rsidR="00071413" w:rsidRPr="00515925" w:rsidRDefault="00071413" w:rsidP="00071413">
      <w:pPr>
        <w:spacing w:before="120" w:after="120"/>
        <w:ind w:left="720"/>
        <w:contextualSpacing/>
        <w:jc w:val="left"/>
        <w:rPr>
          <w:rFonts w:eastAsia="Calibri" w:cs="Arial"/>
          <w:noProof/>
          <w:lang w:eastAsia="ko-KR"/>
        </w:rPr>
      </w:pPr>
    </w:p>
    <w:p w:rsidR="007F778D" w:rsidRPr="00515925" w:rsidRDefault="007F778D" w:rsidP="00071413">
      <w:pPr>
        <w:spacing w:before="120" w:after="120"/>
        <w:rPr>
          <w:rFonts w:eastAsia="Calibri" w:cs="Arial"/>
          <w:noProof/>
          <w:lang w:eastAsia="ko-KR"/>
        </w:rPr>
      </w:pPr>
      <w:r w:rsidRPr="00515925">
        <w:rPr>
          <w:rFonts w:eastAsia="Calibri" w:cs="Arial"/>
          <w:noProof/>
          <w:lang w:eastAsia="ko-KR"/>
        </w:rPr>
        <w:t>This is a low value, indicating very poor agreement between these two observers. There is reason for concern and action should be taken to improve the agreement. Similarly the values for the other pairs can be calculated: κ(O1,O3) ≈ 0.72, κ(O2,O3) ≈ 0.22.Observer 1 and 3 are in good agreement. Observer 2 is clearly different from 1 and 3 and the reasons for the deviation requires further investigation (e.g. consider need for additional training).</w:t>
      </w:r>
    </w:p>
    <w:p w:rsidR="007F778D" w:rsidRDefault="007F778D" w:rsidP="007F778D">
      <w:pPr>
        <w:spacing w:before="120" w:after="120"/>
        <w:jc w:val="left"/>
        <w:rPr>
          <w:rFonts w:eastAsia="Calibri" w:cs="Arial"/>
          <w:noProof/>
          <w:u w:val="single"/>
          <w:lang w:eastAsia="ko-KR"/>
        </w:rPr>
      </w:pPr>
    </w:p>
    <w:p w:rsidR="007F778D" w:rsidRPr="00515925" w:rsidRDefault="007F778D" w:rsidP="007F778D">
      <w:pPr>
        <w:spacing w:before="120" w:after="120"/>
        <w:jc w:val="left"/>
        <w:rPr>
          <w:rFonts w:eastAsia="Calibri" w:cs="Arial"/>
          <w:noProof/>
          <w:u w:val="single"/>
          <w:lang w:eastAsia="ko-KR"/>
        </w:rPr>
      </w:pPr>
    </w:p>
    <w:p w:rsidR="007F778D" w:rsidRPr="00515925" w:rsidRDefault="007F778D" w:rsidP="00071413">
      <w:pPr>
        <w:spacing w:before="120" w:after="120"/>
        <w:rPr>
          <w:rFonts w:eastAsia="Calibri" w:cs="Arial"/>
          <w:noProof/>
          <w:u w:val="single"/>
          <w:lang w:eastAsia="ko-KR"/>
        </w:rPr>
      </w:pPr>
      <w:r w:rsidRPr="00515925">
        <w:rPr>
          <w:rFonts w:eastAsia="Calibri" w:cs="Arial"/>
          <w:noProof/>
          <w:u w:val="single"/>
          <w:lang w:eastAsia="ko-KR"/>
        </w:rPr>
        <w:t>8. References</w:t>
      </w:r>
    </w:p>
    <w:p w:rsidR="007F778D" w:rsidRPr="00515925" w:rsidRDefault="007F778D" w:rsidP="00071413">
      <w:pPr>
        <w:spacing w:before="120" w:after="120"/>
        <w:rPr>
          <w:rFonts w:eastAsia="Calibri" w:cs="Arial"/>
          <w:noProof/>
          <w:lang w:eastAsia="ko-KR"/>
        </w:rPr>
      </w:pPr>
      <w:r w:rsidRPr="00515925">
        <w:rPr>
          <w:rFonts w:eastAsia="Calibri" w:cs="Arial"/>
          <w:b/>
          <w:noProof/>
          <w:lang w:eastAsia="ko-KR"/>
        </w:rPr>
        <w:t>Cohen, J</w:t>
      </w:r>
      <w:r w:rsidRPr="00515925">
        <w:rPr>
          <w:rFonts w:eastAsia="Calibri" w:cs="Arial"/>
          <w:noProof/>
          <w:lang w:eastAsia="ko-KR"/>
        </w:rPr>
        <w:t>. (1960) A coefficient of agreement for nominal scales. Educational and Psychological Measurement 20: 37-46.</w:t>
      </w:r>
    </w:p>
    <w:p w:rsidR="007F778D" w:rsidRPr="00515925" w:rsidRDefault="007F778D" w:rsidP="00071413">
      <w:pPr>
        <w:spacing w:before="120" w:after="120"/>
        <w:rPr>
          <w:rFonts w:eastAsia="Calibri" w:cs="Arial"/>
          <w:noProof/>
          <w:lang w:eastAsia="ko-KR"/>
        </w:rPr>
      </w:pPr>
      <w:r w:rsidRPr="00515925">
        <w:rPr>
          <w:rFonts w:eastAsia="Calibri" w:cs="Arial"/>
          <w:b/>
          <w:noProof/>
          <w:lang w:eastAsia="ko-KR"/>
        </w:rPr>
        <w:t>Cohen, J</w:t>
      </w:r>
      <w:r w:rsidRPr="00515925">
        <w:rPr>
          <w:rFonts w:eastAsia="Calibri" w:cs="Arial"/>
          <w:noProof/>
          <w:lang w:eastAsia="ko-KR"/>
        </w:rPr>
        <w:t>. (1968) Weighted kappa: Nominal scale agreement provision for scaled disagreement or partial credit. Psychological Bulletin, 70(4): 213-220. </w:t>
      </w:r>
    </w:p>
    <w:p w:rsidR="007F778D" w:rsidRPr="00515925" w:rsidRDefault="007F778D" w:rsidP="00071413">
      <w:pPr>
        <w:spacing w:before="120" w:after="120"/>
        <w:rPr>
          <w:rFonts w:eastAsia="Calibri" w:cs="Arial"/>
          <w:noProof/>
          <w:lang w:eastAsia="ko-KR"/>
        </w:rPr>
      </w:pPr>
      <w:r w:rsidRPr="00515925">
        <w:rPr>
          <w:rFonts w:eastAsia="Calibri" w:cs="Arial"/>
          <w:b/>
          <w:noProof/>
          <w:lang w:eastAsia="ko-KR"/>
        </w:rPr>
        <w:t>Bland, J. M. Altman D. G.</w:t>
      </w:r>
      <w:r w:rsidRPr="00515925">
        <w:rPr>
          <w:rFonts w:eastAsia="Calibri" w:cs="Arial"/>
          <w:noProof/>
          <w:lang w:eastAsia="ko-KR"/>
        </w:rPr>
        <w:t xml:space="preserve"> (1986) Statistical methods for assessing agreement between two methods of clinical measurement, Lancet: 307–310.</w:t>
      </w:r>
    </w:p>
    <w:p w:rsidR="007F778D" w:rsidRPr="00515925" w:rsidRDefault="00D41303" w:rsidP="00071413">
      <w:pPr>
        <w:spacing w:before="120" w:after="120"/>
        <w:rPr>
          <w:rFonts w:eastAsia="Calibri" w:cs="Arial"/>
          <w:noProof/>
          <w:lang w:eastAsia="ko-KR"/>
        </w:rPr>
      </w:pPr>
      <w:hyperlink r:id="rId16" w:history="1">
        <w:r w:rsidR="007F778D" w:rsidRPr="00515925">
          <w:rPr>
            <w:rFonts w:eastAsia="Calibri" w:cs="Arial"/>
            <w:noProof/>
            <w:color w:val="0000FF"/>
            <w:u w:val="single"/>
            <w:lang w:eastAsia="ko-KR"/>
          </w:rPr>
          <w:t>http://www.seedtest.org/en/stats-tool-box-_content---1--1143.html</w:t>
        </w:r>
      </w:hyperlink>
      <w:r w:rsidR="007F778D" w:rsidRPr="00515925">
        <w:rPr>
          <w:rFonts w:eastAsia="Calibri" w:cs="Arial"/>
          <w:noProof/>
          <w:lang w:eastAsia="ko-KR"/>
        </w:rPr>
        <w:t xml:space="preserve"> (ISO 5725-2 based software)</w:t>
      </w:r>
    </w:p>
    <w:p w:rsidR="007F778D" w:rsidRDefault="007F778D" w:rsidP="00071413">
      <w:pPr>
        <w:rPr>
          <w:rFonts w:cs="Arial"/>
          <w:u w:val="single"/>
        </w:rPr>
      </w:pPr>
    </w:p>
    <w:p w:rsidR="007F778D" w:rsidRPr="00515925" w:rsidRDefault="007F778D" w:rsidP="007F778D">
      <w:pPr>
        <w:rPr>
          <w:rFonts w:cs="Arial"/>
          <w:u w:val="single"/>
        </w:rPr>
      </w:pPr>
    </w:p>
    <w:p w:rsidR="007F778D" w:rsidRPr="00515925" w:rsidRDefault="007F778D" w:rsidP="007F778D">
      <w:pPr>
        <w:spacing w:before="480"/>
        <w:ind w:left="567" w:hanging="567"/>
        <w:jc w:val="right"/>
      </w:pPr>
      <w:r w:rsidRPr="00515925">
        <w:t xml:space="preserve"> [End of document]</w:t>
      </w:r>
    </w:p>
    <w:p w:rsidR="006B17D2" w:rsidRPr="00C5280D" w:rsidRDefault="006B17D2" w:rsidP="007F778D">
      <w:pPr>
        <w:pStyle w:val="Titleofdoc0"/>
      </w:pPr>
    </w:p>
    <w:sectPr w:rsidR="006B17D2" w:rsidRPr="00C5280D" w:rsidSect="00D03E18">
      <w:type w:val="continuous"/>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2DA" w:rsidRDefault="009E52DA" w:rsidP="006655D3">
      <w:r>
        <w:separator/>
      </w:r>
    </w:p>
    <w:p w:rsidR="009E52DA" w:rsidRDefault="009E52DA" w:rsidP="006655D3"/>
    <w:p w:rsidR="009E52DA" w:rsidRDefault="009E52DA" w:rsidP="006655D3"/>
  </w:endnote>
  <w:endnote w:type="continuationSeparator" w:id="0">
    <w:p w:rsidR="009E52DA" w:rsidRDefault="009E52DA" w:rsidP="006655D3">
      <w:r>
        <w:separator/>
      </w:r>
    </w:p>
    <w:p w:rsidR="009E52DA" w:rsidRPr="00311399" w:rsidRDefault="009E52DA">
      <w:pPr>
        <w:pStyle w:val="Footer"/>
        <w:spacing w:after="60"/>
        <w:rPr>
          <w:sz w:val="18"/>
          <w:lang w:val="fr-CH"/>
        </w:rPr>
      </w:pPr>
      <w:r w:rsidRPr="00311399">
        <w:rPr>
          <w:sz w:val="18"/>
          <w:lang w:val="fr-CH"/>
        </w:rPr>
        <w:t>[Suite de la note de la page précédente]</w:t>
      </w:r>
    </w:p>
    <w:p w:rsidR="009E52DA" w:rsidRPr="00311399" w:rsidRDefault="009E52DA" w:rsidP="006655D3">
      <w:pPr>
        <w:rPr>
          <w:lang w:val="fr-CH"/>
        </w:rPr>
      </w:pPr>
    </w:p>
    <w:p w:rsidR="009E52DA" w:rsidRPr="00311399" w:rsidRDefault="009E52DA" w:rsidP="006655D3">
      <w:pPr>
        <w:rPr>
          <w:lang w:val="fr-CH"/>
        </w:rPr>
      </w:pPr>
    </w:p>
  </w:endnote>
  <w:endnote w:type="continuationNotice" w:id="1">
    <w:p w:rsidR="009E52DA" w:rsidRPr="00311399" w:rsidRDefault="009E52DA" w:rsidP="006655D3">
      <w:pPr>
        <w:rPr>
          <w:lang w:val="fr-CH"/>
        </w:rPr>
      </w:pPr>
      <w:r w:rsidRPr="00311399">
        <w:rPr>
          <w:lang w:val="fr-CH"/>
        </w:rPr>
        <w:t>[Suite de la note page suivante]</w:t>
      </w:r>
    </w:p>
    <w:p w:rsidR="009E52DA" w:rsidRPr="00311399" w:rsidRDefault="009E52DA" w:rsidP="006655D3">
      <w:pPr>
        <w:rPr>
          <w:lang w:val="fr-CH"/>
        </w:rPr>
      </w:pPr>
    </w:p>
    <w:p w:rsidR="009E52DA" w:rsidRPr="00311399" w:rsidRDefault="009E52D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DA" w:rsidRDefault="009E52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DA" w:rsidRDefault="009E52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DA" w:rsidRPr="00F10972" w:rsidRDefault="009E52DA" w:rsidP="00F109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2DA" w:rsidRDefault="009E52DA" w:rsidP="006655D3">
      <w:r>
        <w:separator/>
      </w:r>
    </w:p>
  </w:footnote>
  <w:footnote w:type="continuationSeparator" w:id="0">
    <w:p w:rsidR="009E52DA" w:rsidRDefault="009E52DA" w:rsidP="006655D3">
      <w:r>
        <w:separator/>
      </w:r>
    </w:p>
    <w:p w:rsidR="009E52DA" w:rsidRPr="00311399" w:rsidRDefault="009E52DA">
      <w:pPr>
        <w:pStyle w:val="Footer"/>
        <w:spacing w:after="60"/>
        <w:rPr>
          <w:sz w:val="18"/>
          <w:lang w:val="fr-CH"/>
        </w:rPr>
      </w:pPr>
      <w:r w:rsidRPr="00311399">
        <w:rPr>
          <w:sz w:val="18"/>
          <w:lang w:val="fr-CH"/>
        </w:rPr>
        <w:t>[Suite de la note de la page précédente]</w:t>
      </w:r>
    </w:p>
    <w:p w:rsidR="009E52DA" w:rsidRPr="00311399" w:rsidRDefault="009E52DA" w:rsidP="006655D3">
      <w:pPr>
        <w:rPr>
          <w:lang w:val="fr-CH"/>
        </w:rPr>
      </w:pPr>
    </w:p>
    <w:p w:rsidR="009E52DA" w:rsidRPr="00311399" w:rsidRDefault="009E52DA" w:rsidP="006655D3">
      <w:pPr>
        <w:rPr>
          <w:lang w:val="fr-CH"/>
        </w:rPr>
      </w:pPr>
    </w:p>
    <w:p w:rsidR="009E52DA" w:rsidRPr="00311399" w:rsidRDefault="009E52DA" w:rsidP="006655D3">
      <w:pPr>
        <w:rPr>
          <w:lang w:val="fr-CH"/>
        </w:rPr>
      </w:pPr>
    </w:p>
  </w:footnote>
  <w:footnote w:type="continuationNotice" w:id="1">
    <w:p w:rsidR="009E52DA" w:rsidRPr="00311399" w:rsidRDefault="009E52DA" w:rsidP="006655D3">
      <w:pPr>
        <w:rPr>
          <w:lang w:val="fr-CH"/>
        </w:rPr>
      </w:pPr>
      <w:r w:rsidRPr="00311399">
        <w:rPr>
          <w:lang w:val="fr-CH"/>
        </w:rPr>
        <w:t>[Suite de la note page suivante]</w:t>
      </w:r>
    </w:p>
    <w:p w:rsidR="009E52DA" w:rsidRPr="00311399" w:rsidRDefault="009E52DA" w:rsidP="006655D3">
      <w:pPr>
        <w:rPr>
          <w:lang w:val="fr-CH"/>
        </w:rPr>
      </w:pPr>
    </w:p>
    <w:p w:rsidR="009E52DA" w:rsidRPr="00311399" w:rsidRDefault="009E52DA"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DA" w:rsidRDefault="009E52DA">
    <w:pPr>
      <w:pStyle w:val="Header"/>
    </w:pPr>
    <w:r w:rsidRPr="00C5280D">
      <w:t>TC</w:t>
    </w:r>
    <w:r>
      <w:t>-EDC</w:t>
    </w:r>
    <w:r w:rsidRPr="00C5280D">
      <w:t>/</w:t>
    </w:r>
    <w:r>
      <w:t>Jan16</w:t>
    </w:r>
    <w:r w:rsidRPr="00C5280D">
      <w:t>/</w:t>
    </w:r>
    <w:r>
      <w:t>5</w:t>
    </w:r>
  </w:p>
  <w:p w:rsidR="009E52DA" w:rsidRDefault="009E52DA">
    <w:pPr>
      <w:pStyle w:val="Header"/>
    </w:pPr>
    <w:proofErr w:type="gramStart"/>
    <w:r>
      <w:t>page</w:t>
    </w:r>
    <w:proofErr w:type="gramEnd"/>
    <w:r>
      <w:t xml:space="preserve"> </w:t>
    </w:r>
    <w:sdt>
      <w:sdtPr>
        <w:id w:val="-19576394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41303">
          <w:rPr>
            <w:noProof/>
          </w:rPr>
          <w:t>3</w:t>
        </w:r>
        <w:r>
          <w:rPr>
            <w:noProof/>
          </w:rPr>
          <w:fldChar w:fldCharType="end"/>
        </w:r>
      </w:sdtContent>
    </w:sdt>
  </w:p>
  <w:p w:rsidR="009E52DA" w:rsidRDefault="009E52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DA" w:rsidRDefault="009E52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DA" w:rsidRPr="00C5280D" w:rsidRDefault="009E52DA"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Jan16</w:t>
    </w:r>
    <w:r w:rsidRPr="00C5280D">
      <w:rPr>
        <w:rStyle w:val="PageNumber"/>
        <w:lang w:val="en-US"/>
      </w:rPr>
      <w:t>/</w:t>
    </w:r>
    <w:r>
      <w:rPr>
        <w:rStyle w:val="PageNumber"/>
        <w:lang w:val="en-US"/>
      </w:rPr>
      <w:t>5</w:t>
    </w:r>
  </w:p>
  <w:p w:rsidR="009E52DA" w:rsidRPr="00C5280D" w:rsidRDefault="009E52DA"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41303">
      <w:rPr>
        <w:rStyle w:val="PageNumber"/>
        <w:noProof/>
        <w:lang w:val="en-US"/>
      </w:rPr>
      <w:t>3</w:t>
    </w:r>
    <w:r w:rsidRPr="00C5280D">
      <w:rPr>
        <w:rStyle w:val="PageNumber"/>
        <w:lang w:val="en-US"/>
      </w:rPr>
      <w:fldChar w:fldCharType="end"/>
    </w:r>
  </w:p>
  <w:p w:rsidR="009E52DA" w:rsidRPr="00C5280D" w:rsidRDefault="009E52DA"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DA" w:rsidRDefault="009E52DA">
    <w:pPr>
      <w:pStyle w:val="Header"/>
    </w:pPr>
    <w:r w:rsidRPr="00C5280D">
      <w:t>TC</w:t>
    </w:r>
    <w:r>
      <w:t>-EDC</w:t>
    </w:r>
    <w:r w:rsidRPr="00C5280D">
      <w:t>/</w:t>
    </w:r>
    <w:r>
      <w:t>Jan16</w:t>
    </w:r>
    <w:r w:rsidRPr="00C5280D">
      <w:t>/</w:t>
    </w:r>
    <w:r>
      <w:t>5</w:t>
    </w:r>
  </w:p>
  <w:p w:rsidR="009E52DA" w:rsidRDefault="009E52DA">
    <w:pPr>
      <w:pStyle w:val="Header"/>
    </w:pPr>
  </w:p>
  <w:p w:rsidR="009E52DA" w:rsidRDefault="009E52DA">
    <w:pPr>
      <w:pStyle w:val="Header"/>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A6B10"/>
    <w:multiLevelType w:val="hybridMultilevel"/>
    <w:tmpl w:val="2094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2E72CFC"/>
    <w:multiLevelType w:val="hybridMultilevel"/>
    <w:tmpl w:val="E3EC918C"/>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42C4781"/>
    <w:multiLevelType w:val="hybridMultilevel"/>
    <w:tmpl w:val="C748B130"/>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0110217"/>
    <w:multiLevelType w:val="hybridMultilevel"/>
    <w:tmpl w:val="C2C4937C"/>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0861FB7"/>
    <w:multiLevelType w:val="hybridMultilevel"/>
    <w:tmpl w:val="E0047C26"/>
    <w:lvl w:ilvl="0" w:tplc="17101ADC">
      <w:start w:val="1"/>
      <w:numFmt w:val="lowerLetter"/>
      <w:lvlText w:val="(%1)"/>
      <w:lvlJc w:val="righ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E6"/>
    <w:rsid w:val="00010CF3"/>
    <w:rsid w:val="00011E27"/>
    <w:rsid w:val="000148BC"/>
    <w:rsid w:val="00024AB8"/>
    <w:rsid w:val="00030854"/>
    <w:rsid w:val="00036028"/>
    <w:rsid w:val="00044642"/>
    <w:rsid w:val="000446B9"/>
    <w:rsid w:val="00047E21"/>
    <w:rsid w:val="00071413"/>
    <w:rsid w:val="00083EE0"/>
    <w:rsid w:val="00085505"/>
    <w:rsid w:val="000C7021"/>
    <w:rsid w:val="000D6BBC"/>
    <w:rsid w:val="000D7780"/>
    <w:rsid w:val="0010146C"/>
    <w:rsid w:val="00105127"/>
    <w:rsid w:val="00105929"/>
    <w:rsid w:val="001131D5"/>
    <w:rsid w:val="00125EFC"/>
    <w:rsid w:val="00141DB8"/>
    <w:rsid w:val="0017474A"/>
    <w:rsid w:val="001758C6"/>
    <w:rsid w:val="00182B99"/>
    <w:rsid w:val="001E30F9"/>
    <w:rsid w:val="0021332C"/>
    <w:rsid w:val="00213982"/>
    <w:rsid w:val="0023344D"/>
    <w:rsid w:val="0024416D"/>
    <w:rsid w:val="00266165"/>
    <w:rsid w:val="0026748A"/>
    <w:rsid w:val="002800A0"/>
    <w:rsid w:val="002801B3"/>
    <w:rsid w:val="00281060"/>
    <w:rsid w:val="002940E8"/>
    <w:rsid w:val="002A2979"/>
    <w:rsid w:val="002A6E50"/>
    <w:rsid w:val="002C256A"/>
    <w:rsid w:val="00305A7F"/>
    <w:rsid w:val="00311399"/>
    <w:rsid w:val="003152FE"/>
    <w:rsid w:val="00327436"/>
    <w:rsid w:val="00330B82"/>
    <w:rsid w:val="00344BD6"/>
    <w:rsid w:val="0035528D"/>
    <w:rsid w:val="00361821"/>
    <w:rsid w:val="00387205"/>
    <w:rsid w:val="003C4523"/>
    <w:rsid w:val="003D227C"/>
    <w:rsid w:val="003D2B4D"/>
    <w:rsid w:val="00406FE9"/>
    <w:rsid w:val="00444A88"/>
    <w:rsid w:val="00474DA4"/>
    <w:rsid w:val="00476B4D"/>
    <w:rsid w:val="004805FA"/>
    <w:rsid w:val="004839E6"/>
    <w:rsid w:val="004D047D"/>
    <w:rsid w:val="004D3B68"/>
    <w:rsid w:val="004F305A"/>
    <w:rsid w:val="005111CE"/>
    <w:rsid w:val="00512164"/>
    <w:rsid w:val="00520297"/>
    <w:rsid w:val="005338F9"/>
    <w:rsid w:val="0054281C"/>
    <w:rsid w:val="0055268D"/>
    <w:rsid w:val="005743CE"/>
    <w:rsid w:val="00576BE4"/>
    <w:rsid w:val="005A1E55"/>
    <w:rsid w:val="005A400A"/>
    <w:rsid w:val="005C17AB"/>
    <w:rsid w:val="00612379"/>
    <w:rsid w:val="0061555F"/>
    <w:rsid w:val="00641200"/>
    <w:rsid w:val="006655D3"/>
    <w:rsid w:val="00687EB4"/>
    <w:rsid w:val="006B17D2"/>
    <w:rsid w:val="006C224E"/>
    <w:rsid w:val="006D780A"/>
    <w:rsid w:val="00732DEC"/>
    <w:rsid w:val="00735BD5"/>
    <w:rsid w:val="007556F6"/>
    <w:rsid w:val="00760EEF"/>
    <w:rsid w:val="00772639"/>
    <w:rsid w:val="00777EE5"/>
    <w:rsid w:val="00784836"/>
    <w:rsid w:val="0078600C"/>
    <w:rsid w:val="0079023E"/>
    <w:rsid w:val="007A2854"/>
    <w:rsid w:val="007B286C"/>
    <w:rsid w:val="007D0B9D"/>
    <w:rsid w:val="007D19B0"/>
    <w:rsid w:val="007F498F"/>
    <w:rsid w:val="007F778D"/>
    <w:rsid w:val="0080679D"/>
    <w:rsid w:val="008108B0"/>
    <w:rsid w:val="00811B20"/>
    <w:rsid w:val="0082296E"/>
    <w:rsid w:val="00824099"/>
    <w:rsid w:val="00867AC1"/>
    <w:rsid w:val="00884CDF"/>
    <w:rsid w:val="008A740A"/>
    <w:rsid w:val="008A743F"/>
    <w:rsid w:val="008C0970"/>
    <w:rsid w:val="008D2CF7"/>
    <w:rsid w:val="008E6BA9"/>
    <w:rsid w:val="00900C26"/>
    <w:rsid w:val="0090197F"/>
    <w:rsid w:val="00906DDC"/>
    <w:rsid w:val="00926AB3"/>
    <w:rsid w:val="00934E09"/>
    <w:rsid w:val="00936253"/>
    <w:rsid w:val="00952DD4"/>
    <w:rsid w:val="00970FED"/>
    <w:rsid w:val="00997029"/>
    <w:rsid w:val="009A0C21"/>
    <w:rsid w:val="009C0CE0"/>
    <w:rsid w:val="009D690D"/>
    <w:rsid w:val="009E52DA"/>
    <w:rsid w:val="009E65B6"/>
    <w:rsid w:val="00A42AC3"/>
    <w:rsid w:val="00A430CF"/>
    <w:rsid w:val="00A54309"/>
    <w:rsid w:val="00A63CBC"/>
    <w:rsid w:val="00A67DE6"/>
    <w:rsid w:val="00AB2B93"/>
    <w:rsid w:val="00AB7E5B"/>
    <w:rsid w:val="00AE0EF1"/>
    <w:rsid w:val="00AE2937"/>
    <w:rsid w:val="00B07301"/>
    <w:rsid w:val="00B224DE"/>
    <w:rsid w:val="00B46575"/>
    <w:rsid w:val="00B84BBD"/>
    <w:rsid w:val="00BA37EF"/>
    <w:rsid w:val="00BA43FB"/>
    <w:rsid w:val="00BC127D"/>
    <w:rsid w:val="00BC1806"/>
    <w:rsid w:val="00BC1E09"/>
    <w:rsid w:val="00BC1FE6"/>
    <w:rsid w:val="00C01157"/>
    <w:rsid w:val="00C061B6"/>
    <w:rsid w:val="00C21C04"/>
    <w:rsid w:val="00C2446C"/>
    <w:rsid w:val="00C36AE5"/>
    <w:rsid w:val="00C41F17"/>
    <w:rsid w:val="00C5280D"/>
    <w:rsid w:val="00C5791C"/>
    <w:rsid w:val="00C66290"/>
    <w:rsid w:val="00C72B7A"/>
    <w:rsid w:val="00C973F2"/>
    <w:rsid w:val="00CA304C"/>
    <w:rsid w:val="00CA774A"/>
    <w:rsid w:val="00CC11B0"/>
    <w:rsid w:val="00CF7E36"/>
    <w:rsid w:val="00D03E18"/>
    <w:rsid w:val="00D3708D"/>
    <w:rsid w:val="00D40426"/>
    <w:rsid w:val="00D41303"/>
    <w:rsid w:val="00D5220A"/>
    <w:rsid w:val="00D57C96"/>
    <w:rsid w:val="00D91203"/>
    <w:rsid w:val="00D95174"/>
    <w:rsid w:val="00DA6F36"/>
    <w:rsid w:val="00DB596E"/>
    <w:rsid w:val="00DC00EA"/>
    <w:rsid w:val="00E01807"/>
    <w:rsid w:val="00E3087A"/>
    <w:rsid w:val="00E32F7E"/>
    <w:rsid w:val="00E72D49"/>
    <w:rsid w:val="00E7593C"/>
    <w:rsid w:val="00E7678A"/>
    <w:rsid w:val="00E935F1"/>
    <w:rsid w:val="00E94A81"/>
    <w:rsid w:val="00EA1FFB"/>
    <w:rsid w:val="00EB048E"/>
    <w:rsid w:val="00EE34DF"/>
    <w:rsid w:val="00EF2F89"/>
    <w:rsid w:val="00F10972"/>
    <w:rsid w:val="00F1237A"/>
    <w:rsid w:val="00F22CBD"/>
    <w:rsid w:val="00F45372"/>
    <w:rsid w:val="00F560F7"/>
    <w:rsid w:val="00F6334D"/>
    <w:rsid w:val="00F83477"/>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7B286C"/>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F778D"/>
    <w:rPr>
      <w:rFonts w:ascii="Tahoma" w:hAnsi="Tahoma" w:cs="Tahoma"/>
      <w:sz w:val="16"/>
      <w:szCs w:val="16"/>
    </w:rPr>
  </w:style>
  <w:style w:type="character" w:customStyle="1" w:styleId="BalloonTextChar">
    <w:name w:val="Balloon Text Char"/>
    <w:basedOn w:val="DefaultParagraphFont"/>
    <w:link w:val="BalloonText"/>
    <w:rsid w:val="007F778D"/>
    <w:rPr>
      <w:rFonts w:ascii="Tahoma" w:hAnsi="Tahoma" w:cs="Tahoma"/>
      <w:sz w:val="16"/>
      <w:szCs w:val="16"/>
    </w:rPr>
  </w:style>
  <w:style w:type="character" w:customStyle="1" w:styleId="HeaderChar">
    <w:name w:val="Header Char"/>
    <w:basedOn w:val="DefaultParagraphFont"/>
    <w:link w:val="Header"/>
    <w:uiPriority w:val="99"/>
    <w:locked/>
    <w:rsid w:val="007F778D"/>
    <w:rPr>
      <w:rFonts w:ascii="Arial" w:hAnsi="Arial"/>
      <w:lang w:val="fr-FR"/>
    </w:rPr>
  </w:style>
  <w:style w:type="paragraph" w:styleId="ListParagraph">
    <w:name w:val="List Paragraph"/>
    <w:basedOn w:val="Normal"/>
    <w:uiPriority w:val="34"/>
    <w:qFormat/>
    <w:rsid w:val="007F778D"/>
    <w:pPr>
      <w:ind w:left="720"/>
      <w:contextualSpacing/>
    </w:pPr>
  </w:style>
  <w:style w:type="paragraph" w:customStyle="1" w:styleId="Default">
    <w:name w:val="Default"/>
    <w:rsid w:val="007F778D"/>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D03E18"/>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7B286C"/>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F778D"/>
    <w:rPr>
      <w:rFonts w:ascii="Tahoma" w:hAnsi="Tahoma" w:cs="Tahoma"/>
      <w:sz w:val="16"/>
      <w:szCs w:val="16"/>
    </w:rPr>
  </w:style>
  <w:style w:type="character" w:customStyle="1" w:styleId="BalloonTextChar">
    <w:name w:val="Balloon Text Char"/>
    <w:basedOn w:val="DefaultParagraphFont"/>
    <w:link w:val="BalloonText"/>
    <w:rsid w:val="007F778D"/>
    <w:rPr>
      <w:rFonts w:ascii="Tahoma" w:hAnsi="Tahoma" w:cs="Tahoma"/>
      <w:sz w:val="16"/>
      <w:szCs w:val="16"/>
    </w:rPr>
  </w:style>
  <w:style w:type="character" w:customStyle="1" w:styleId="HeaderChar">
    <w:name w:val="Header Char"/>
    <w:basedOn w:val="DefaultParagraphFont"/>
    <w:link w:val="Header"/>
    <w:uiPriority w:val="99"/>
    <w:locked/>
    <w:rsid w:val="007F778D"/>
    <w:rPr>
      <w:rFonts w:ascii="Arial" w:hAnsi="Arial"/>
      <w:lang w:val="fr-FR"/>
    </w:rPr>
  </w:style>
  <w:style w:type="paragraph" w:styleId="ListParagraph">
    <w:name w:val="List Paragraph"/>
    <w:basedOn w:val="Normal"/>
    <w:uiPriority w:val="34"/>
    <w:qFormat/>
    <w:rsid w:val="007F778D"/>
    <w:pPr>
      <w:ind w:left="720"/>
      <w:contextualSpacing/>
    </w:pPr>
  </w:style>
  <w:style w:type="paragraph" w:customStyle="1" w:styleId="Default">
    <w:name w:val="Default"/>
    <w:rsid w:val="007F778D"/>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D03E18"/>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eedtest.org/en/stats-tool-box-_content---1--1143.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6_Jan_Mtg\Template\template%20TC_EDC_Jan_1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TC_EDC_Jan_16_EN.dotx</Template>
  <TotalTime>2118</TotalTime>
  <Pages>8</Pages>
  <Words>3047</Words>
  <Characters>15609</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18619</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TAVEIRA Leontino</dc:creator>
  <cp:lastModifiedBy>OERTEL Romy</cp:lastModifiedBy>
  <cp:revision>20</cp:revision>
  <cp:lastPrinted>2015-11-26T10:12:00Z</cp:lastPrinted>
  <dcterms:created xsi:type="dcterms:W3CDTF">2015-11-09T16:56:00Z</dcterms:created>
  <dcterms:modified xsi:type="dcterms:W3CDTF">2015-11-26T10:12:00Z</dcterms:modified>
</cp:coreProperties>
</file>