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77020F" w:rsidP="006655D3">
            <w:pPr>
              <w:pStyle w:val="LogoUPOV"/>
            </w:pPr>
            <w:r>
              <w:rPr>
                <w:noProof/>
              </w:rPr>
              <w:drawing>
                <wp:inline distT="0" distB="0" distL="0" distR="0">
                  <wp:extent cx="9715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rPr>
                <w:lang w:eastAsia="ja-JP"/>
              </w:rPr>
            </w:pPr>
            <w:r w:rsidRPr="00C5280D">
              <w:t>T</w:t>
            </w:r>
            <w:r w:rsidR="0017474A" w:rsidRPr="00C5280D">
              <w:t>C</w:t>
            </w:r>
            <w:r w:rsidR="00125EFC">
              <w:t>-EDC</w:t>
            </w:r>
            <w:r w:rsidR="0017474A" w:rsidRPr="00C5280D">
              <w:t>/</w:t>
            </w:r>
            <w:r w:rsidR="00125EFC">
              <w:t>Jan1</w:t>
            </w:r>
            <w:r w:rsidR="00472D31">
              <w:rPr>
                <w:rFonts w:hint="eastAsia"/>
                <w:lang w:eastAsia="ja-JP"/>
              </w:rPr>
              <w:t>5</w:t>
            </w:r>
            <w:r w:rsidR="0017474A" w:rsidRPr="00C5280D">
              <w:t>/</w:t>
            </w:r>
            <w:bookmarkStart w:id="0" w:name="Code"/>
            <w:bookmarkEnd w:id="0"/>
            <w:r w:rsidR="00472D31">
              <w:rPr>
                <w:rFonts w:hint="eastAsia"/>
                <w:lang w:eastAsia="ja-JP"/>
              </w:rPr>
              <w:t>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AA1A28">
            <w:pPr>
              <w:pStyle w:val="Docoriginal"/>
              <w:rPr>
                <w:lang w:eastAsia="ja-JP"/>
              </w:rPr>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655A57">
              <w:rPr>
                <w:b w:val="0"/>
                <w:spacing w:val="0"/>
              </w:rPr>
              <w:t xml:space="preserve">December </w:t>
            </w:r>
            <w:r w:rsidR="00AA1A28">
              <w:rPr>
                <w:b w:val="0"/>
                <w:spacing w:val="0"/>
                <w:lang w:eastAsia="ja-JP"/>
              </w:rPr>
              <w:t>4</w:t>
            </w:r>
            <w:r w:rsidR="0024416D" w:rsidRPr="00D0138F">
              <w:rPr>
                <w:b w:val="0"/>
                <w:spacing w:val="0"/>
              </w:rPr>
              <w:t xml:space="preserve">, </w:t>
            </w:r>
            <w:r w:rsidR="001131D5" w:rsidRPr="00D0138F">
              <w:rPr>
                <w:b w:val="0"/>
                <w:spacing w:val="0"/>
              </w:rPr>
              <w:t>201</w:t>
            </w:r>
            <w:r w:rsidR="00655A57">
              <w:rPr>
                <w:rFonts w:hint="eastAsia"/>
                <w:b w:val="0"/>
                <w:spacing w:val="0"/>
                <w:lang w:eastAsia="ja-JP"/>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311399">
        <w:t>8</w:t>
      </w:r>
      <w:r w:rsidR="00125EFC">
        <w:t xml:space="preserve"> and </w:t>
      </w:r>
      <w:r w:rsidR="00311399">
        <w:t>9</w:t>
      </w:r>
      <w:r w:rsidR="0061555F" w:rsidRPr="00C5280D">
        <w:t>,</w:t>
      </w:r>
      <w:r w:rsidR="00125EFC">
        <w:t xml:space="preserve"> 201</w:t>
      </w:r>
      <w:r w:rsidR="00311399">
        <w:t>4</w:t>
      </w:r>
    </w:p>
    <w:p w:rsidR="000D7780" w:rsidRPr="003E174C" w:rsidRDefault="00B52004" w:rsidP="006655D3">
      <w:pPr>
        <w:pStyle w:val="Titleofdoc0"/>
      </w:pPr>
      <w:bookmarkStart w:id="3" w:name="TitleOfDoc"/>
      <w:bookmarkEnd w:id="3"/>
      <w:r w:rsidRPr="00B52004">
        <w:t>Revision of document TGP/8: Part II: Selected Techniques Used in DU</w:t>
      </w:r>
      <w:r w:rsidRPr="00FF39D5">
        <w:t>S Examination, Section 3: Method of Calculation of COYU</w:t>
      </w:r>
    </w:p>
    <w:p w:rsidR="000D7780" w:rsidRPr="00C5280D" w:rsidRDefault="00AE0EF1" w:rsidP="006655D3">
      <w:pPr>
        <w:pStyle w:val="preparedby1"/>
      </w:pPr>
      <w:bookmarkStart w:id="4" w:name="Prepared"/>
      <w:bookmarkEnd w:id="4"/>
      <w:r w:rsidRPr="00824A90">
        <w:t xml:space="preserve">Document </w:t>
      </w:r>
      <w:r w:rsidR="0061555F" w:rsidRPr="00824A90">
        <w:t>prepared</w:t>
      </w:r>
      <w:r w:rsidR="0061555F" w:rsidRPr="00C5280D">
        <w:t xml:space="preserve"> by the Office of the Union</w:t>
      </w:r>
      <w:r w:rsidR="00ED11FC">
        <w:br/>
      </w:r>
      <w:r w:rsidR="00ED11FC">
        <w:br/>
      </w:r>
      <w:r w:rsidR="00ED11FC">
        <w:rPr>
          <w:color w:val="A6A6A6" w:themeColor="background1" w:themeShade="A6"/>
        </w:rPr>
        <w:t>Disclaimer:  this document does not represent UPOV policies or guidance</w:t>
      </w:r>
      <w:bookmarkStart w:id="5" w:name="_GoBack"/>
      <w:bookmarkEnd w:id="5"/>
    </w:p>
    <w:p w:rsidR="00AC360C" w:rsidRPr="00AC360C" w:rsidRDefault="00AC360C" w:rsidP="00AC360C">
      <w:r w:rsidRPr="00AC360C">
        <w:fldChar w:fldCharType="begin"/>
      </w:r>
      <w:r w:rsidRPr="00AC360C">
        <w:instrText xml:space="preserve"> AUTONUM  </w:instrText>
      </w:r>
      <w:r w:rsidRPr="00AC360C">
        <w:fldChar w:fldCharType="end"/>
      </w:r>
      <w:r w:rsidRPr="00AC360C">
        <w:tab/>
        <w:t>The purpose of this document is to report on developments concerning the method of calculation of COYU.</w:t>
      </w:r>
    </w:p>
    <w:p w:rsidR="00AC360C" w:rsidRDefault="00AC360C" w:rsidP="00AC360C">
      <w:pPr>
        <w:rPr>
          <w:lang w:eastAsia="ja-JP"/>
        </w:rPr>
      </w:pPr>
    </w:p>
    <w:p w:rsidR="00D96D24" w:rsidRPr="009B48EB" w:rsidRDefault="00D96D24" w:rsidP="00D96D24">
      <w:pPr>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D96D24" w:rsidRPr="009B48EB" w:rsidRDefault="00D96D24" w:rsidP="00D96D24">
      <w:pPr>
        <w:rPr>
          <w:rFonts w:cs="Arial"/>
          <w:color w:val="000000"/>
        </w:rPr>
      </w:pPr>
    </w:p>
    <w:p w:rsidR="00D96D24" w:rsidRPr="009B48EB" w:rsidRDefault="00D96D24" w:rsidP="00D96D24">
      <w:pPr>
        <w:rPr>
          <w:rFonts w:cs="Arial"/>
        </w:rPr>
      </w:pPr>
      <w:r w:rsidRPr="009B48EB">
        <w:rPr>
          <w:rFonts w:cs="Arial"/>
        </w:rPr>
        <w:tab/>
        <w:t>TC:</w:t>
      </w:r>
      <w:r w:rsidRPr="009B48EB">
        <w:rPr>
          <w:rFonts w:cs="Arial"/>
        </w:rPr>
        <w:tab/>
      </w:r>
      <w:r w:rsidRPr="009B48EB">
        <w:rPr>
          <w:rFonts w:cs="Arial"/>
        </w:rPr>
        <w:tab/>
        <w:t>Technical Committee</w:t>
      </w:r>
    </w:p>
    <w:p w:rsidR="00D96D24" w:rsidRPr="009B48EB" w:rsidRDefault="00D96D24" w:rsidP="00D96D24">
      <w:pPr>
        <w:rPr>
          <w:rFonts w:eastAsia="PMingLiU" w:cs="Arial"/>
          <w:szCs w:val="24"/>
        </w:rPr>
      </w:pPr>
      <w:r w:rsidRPr="009B48EB">
        <w:rPr>
          <w:rFonts w:eastAsia="PMingLiU" w:cs="Arial"/>
          <w:szCs w:val="24"/>
        </w:rPr>
        <w:tab/>
        <w:t>TC-EDC:</w:t>
      </w:r>
      <w:r w:rsidRPr="009B48EB">
        <w:rPr>
          <w:rFonts w:eastAsia="PMingLiU" w:cs="Arial"/>
          <w:szCs w:val="24"/>
        </w:rPr>
        <w:tab/>
        <w:t>Enlarged Editorial Committee</w:t>
      </w:r>
    </w:p>
    <w:p w:rsidR="00D96D24" w:rsidRPr="009B48EB" w:rsidRDefault="00D96D24" w:rsidP="00D96D24">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D96D24" w:rsidRPr="009B48EB" w:rsidRDefault="00D96D24" w:rsidP="00D96D24">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D96D24" w:rsidRPr="009B48EB" w:rsidRDefault="00D96D24" w:rsidP="00D96D24">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D96D24" w:rsidRPr="009B48EB" w:rsidRDefault="00D96D24" w:rsidP="00D96D24">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 xml:space="preserve">Technical Working Party for Ornamental Plants and </w:t>
      </w:r>
      <w:smartTag w:uri="urn:schemas-microsoft-com:office:smarttags" w:element="place">
        <w:r w:rsidRPr="009B48EB">
          <w:rPr>
            <w:rFonts w:eastAsia="PMingLiU" w:cs="Arial"/>
            <w:szCs w:val="24"/>
          </w:rPr>
          <w:t>Forest</w:t>
        </w:r>
      </w:smartTag>
      <w:r w:rsidRPr="009B48EB">
        <w:rPr>
          <w:rFonts w:eastAsia="PMingLiU" w:cs="Arial"/>
          <w:szCs w:val="24"/>
        </w:rPr>
        <w:t xml:space="preserve"> Trees</w:t>
      </w:r>
    </w:p>
    <w:p w:rsidR="00D96D24" w:rsidRPr="009B48EB" w:rsidRDefault="00D96D24" w:rsidP="00D96D24">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D96D24" w:rsidRPr="009B48EB" w:rsidRDefault="00D96D24" w:rsidP="00D96D24">
      <w:pPr>
        <w:rPr>
          <w:rFonts w:eastAsia="PMingLiU" w:cs="Arial"/>
          <w:szCs w:val="24"/>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D96D24" w:rsidRDefault="00D96D24" w:rsidP="00AC360C">
      <w:pPr>
        <w:rPr>
          <w:lang w:eastAsia="ja-JP"/>
        </w:rPr>
      </w:pPr>
    </w:p>
    <w:p w:rsidR="00AC360C" w:rsidRPr="00AC360C" w:rsidRDefault="00AC360C" w:rsidP="00AC360C"/>
    <w:p w:rsidR="00AC360C" w:rsidRPr="00AC360C" w:rsidRDefault="00AC360C" w:rsidP="00AC360C">
      <w:r>
        <w:t>BACKGROUND</w:t>
      </w:r>
    </w:p>
    <w:p w:rsidR="00616CF7" w:rsidRDefault="00616CF7" w:rsidP="00AC360C">
      <w:pPr>
        <w:rPr>
          <w:u w:val="single"/>
          <w:lang w:eastAsia="ja-JP"/>
        </w:rPr>
      </w:pPr>
    </w:p>
    <w:p w:rsidR="00655A57" w:rsidRDefault="00655A57" w:rsidP="00655A57">
      <w:pPr>
        <w:rPr>
          <w:szCs w:val="24"/>
          <w:lang w:eastAsia="ja-JP"/>
        </w:rPr>
      </w:pPr>
      <w:r w:rsidRPr="005623A7">
        <w:fldChar w:fldCharType="begin"/>
      </w:r>
      <w:r w:rsidRPr="005623A7">
        <w:instrText xml:space="preserve"> AUTONUM  </w:instrText>
      </w:r>
      <w:r w:rsidRPr="005623A7">
        <w:fldChar w:fldCharType="end"/>
      </w:r>
      <w:r>
        <w:tab/>
      </w:r>
      <w:r>
        <w:rPr>
          <w:szCs w:val="24"/>
        </w:rPr>
        <w:t>The background to this matter is provided in documents TC/50/2</w:t>
      </w:r>
      <w:r>
        <w:rPr>
          <w:rFonts w:hint="eastAsia"/>
          <w:szCs w:val="24"/>
          <w:lang w:eastAsia="ja-JP"/>
        </w:rPr>
        <w:t xml:space="preserve">2 </w:t>
      </w:r>
      <w:r>
        <w:rPr>
          <w:szCs w:val="24"/>
          <w:lang w:eastAsia="ja-JP"/>
        </w:rPr>
        <w:t>“</w:t>
      </w:r>
      <w:r w:rsidRPr="00655A57">
        <w:rPr>
          <w:szCs w:val="24"/>
          <w:lang w:eastAsia="ja-JP"/>
        </w:rPr>
        <w:t>Revision of document TGP/8: Part II: Selected Techniques Used in DUS Examination, Section 3: Method of Calculation of COYU</w:t>
      </w:r>
      <w:r>
        <w:rPr>
          <w:szCs w:val="24"/>
          <w:lang w:eastAsia="ja-JP"/>
        </w:rPr>
        <w:t>”</w:t>
      </w:r>
      <w:r>
        <w:rPr>
          <w:rFonts w:hint="eastAsia"/>
          <w:szCs w:val="24"/>
          <w:lang w:eastAsia="ja-JP"/>
        </w:rPr>
        <w:t>.</w:t>
      </w:r>
    </w:p>
    <w:p w:rsidR="00655A57" w:rsidRDefault="00655A57" w:rsidP="00AC360C">
      <w:pPr>
        <w:rPr>
          <w:u w:val="single"/>
          <w:lang w:eastAsia="ja-JP"/>
        </w:rPr>
      </w:pPr>
    </w:p>
    <w:p w:rsidR="00FE1AF5" w:rsidRDefault="00FE1AF5" w:rsidP="00973986">
      <w:pPr>
        <w:keepNext/>
        <w:keepLines/>
        <w:rPr>
          <w:color w:val="000000"/>
          <w:lang w:eastAsia="ja-JP"/>
        </w:rPr>
      </w:pPr>
    </w:p>
    <w:p w:rsidR="00FE1AF5" w:rsidRDefault="00FE1AF5" w:rsidP="00FE1AF5">
      <w:pPr>
        <w:keepNext/>
        <w:keepLines/>
        <w:rPr>
          <w:lang w:eastAsia="ja-JP"/>
        </w:rPr>
      </w:pPr>
      <w:r>
        <w:t>DEVELOPMENTS IN 201</w:t>
      </w:r>
      <w:r>
        <w:rPr>
          <w:rFonts w:hint="eastAsia"/>
          <w:lang w:eastAsia="ja-JP"/>
        </w:rPr>
        <w:t>4</w:t>
      </w:r>
    </w:p>
    <w:p w:rsidR="00311FB0" w:rsidRDefault="00311FB0" w:rsidP="00FE1AF5">
      <w:pPr>
        <w:keepNext/>
        <w:keepLines/>
        <w:rPr>
          <w:lang w:eastAsia="ja-JP"/>
        </w:rPr>
      </w:pPr>
    </w:p>
    <w:p w:rsidR="00311FB0" w:rsidRDefault="005B21A1" w:rsidP="00311FB0">
      <w:pPr>
        <w:pStyle w:val="Heading2"/>
        <w:rPr>
          <w:snapToGrid w:val="0"/>
          <w:lang w:eastAsia="ja-JP"/>
        </w:rPr>
      </w:pPr>
      <w:r>
        <w:rPr>
          <w:rFonts w:hint="eastAsia"/>
          <w:snapToGrid w:val="0"/>
          <w:lang w:eastAsia="ja-JP"/>
        </w:rPr>
        <w:t>T</w:t>
      </w:r>
      <w:r w:rsidR="00311FB0">
        <w:rPr>
          <w:rFonts w:hint="eastAsia"/>
          <w:snapToGrid w:val="0"/>
          <w:lang w:eastAsia="ja-JP"/>
        </w:rPr>
        <w:t xml:space="preserve">echnical </w:t>
      </w:r>
      <w:r>
        <w:rPr>
          <w:rFonts w:hint="eastAsia"/>
          <w:snapToGrid w:val="0"/>
          <w:lang w:eastAsia="ja-JP"/>
        </w:rPr>
        <w:t>C</w:t>
      </w:r>
      <w:r w:rsidR="00311FB0">
        <w:rPr>
          <w:rFonts w:hint="eastAsia"/>
          <w:snapToGrid w:val="0"/>
          <w:lang w:eastAsia="ja-JP"/>
        </w:rPr>
        <w:t>ommit</w:t>
      </w:r>
      <w:r w:rsidR="00253076">
        <w:rPr>
          <w:rFonts w:hint="eastAsia"/>
          <w:snapToGrid w:val="0"/>
          <w:lang w:eastAsia="ja-JP"/>
        </w:rPr>
        <w:t>tee</w:t>
      </w:r>
    </w:p>
    <w:p w:rsidR="00FE1AF5" w:rsidRDefault="00FE1AF5" w:rsidP="00973986">
      <w:pPr>
        <w:keepNext/>
        <w:keepLines/>
        <w:rPr>
          <w:color w:val="000000"/>
          <w:lang w:eastAsia="ja-JP"/>
        </w:rPr>
      </w:pPr>
    </w:p>
    <w:p w:rsidR="00FE1AF5" w:rsidRDefault="00FE1AF5" w:rsidP="00FE1AF5">
      <w:r>
        <w:rPr>
          <w:rFonts w:cs="Arial"/>
        </w:rPr>
        <w:fldChar w:fldCharType="begin"/>
      </w:r>
      <w:r>
        <w:rPr>
          <w:rFonts w:cs="Arial"/>
        </w:rPr>
        <w:instrText xml:space="preserve"> AUTONUM  </w:instrText>
      </w:r>
      <w:r>
        <w:rPr>
          <w:rFonts w:cs="Arial"/>
        </w:rPr>
        <w:fldChar w:fldCharType="end"/>
      </w:r>
      <w:r>
        <w:rPr>
          <w:rFonts w:cs="Arial"/>
        </w:rPr>
        <w:tab/>
        <w:t>The TC considered document TC/50/22 and received a presentation by Mr. Adrian Roberts, United Kingdom, on “Proposed Improvements to COYU”.</w:t>
      </w:r>
      <w:r w:rsidRPr="004D317C">
        <w:t xml:space="preserve"> </w:t>
      </w:r>
      <w:r>
        <w:t xml:space="preserve"> It noted that a copy of the presentation would be made available as an addendum to document TC/50/22</w:t>
      </w:r>
      <w:r w:rsidR="00E327A0">
        <w:rPr>
          <w:rFonts w:hint="eastAsia"/>
          <w:lang w:eastAsia="ja-JP"/>
        </w:rPr>
        <w:t xml:space="preserve"> (see document TC/50/36 </w:t>
      </w:r>
      <w:r w:rsidR="00E327A0">
        <w:rPr>
          <w:lang w:eastAsia="ja-JP"/>
        </w:rPr>
        <w:t>“</w:t>
      </w:r>
      <w:r w:rsidR="00171C75">
        <w:rPr>
          <w:rFonts w:hint="eastAsia"/>
          <w:lang w:eastAsia="ja-JP"/>
        </w:rPr>
        <w:t>R</w:t>
      </w:r>
      <w:r w:rsidR="00E327A0">
        <w:rPr>
          <w:rFonts w:hint="eastAsia"/>
          <w:lang w:eastAsia="ja-JP"/>
        </w:rPr>
        <w:t>eport on the Conclusions</w:t>
      </w:r>
      <w:r w:rsidR="00E327A0">
        <w:rPr>
          <w:lang w:eastAsia="ja-JP"/>
        </w:rPr>
        <w:t>”</w:t>
      </w:r>
      <w:r w:rsidR="00E327A0">
        <w:rPr>
          <w:rFonts w:hint="eastAsia"/>
          <w:lang w:eastAsia="ja-JP"/>
        </w:rPr>
        <w:t>, paragraph 48)</w:t>
      </w:r>
      <w:r>
        <w:t xml:space="preserve">. </w:t>
      </w:r>
    </w:p>
    <w:p w:rsidR="00FE1AF5" w:rsidRDefault="00FE1AF5" w:rsidP="00FE1AF5">
      <w:pPr>
        <w:rPr>
          <w:rFonts w:cs="Arial"/>
        </w:rPr>
      </w:pPr>
    </w:p>
    <w:p w:rsidR="00FE1AF5" w:rsidRPr="006B6D27" w:rsidRDefault="00FE1AF5" w:rsidP="00FE1AF5">
      <w:r w:rsidRPr="006B6D27">
        <w:fldChar w:fldCharType="begin"/>
      </w:r>
      <w:r w:rsidRPr="006B6D27">
        <w:instrText xml:space="preserve"> AUTONUM  </w:instrText>
      </w:r>
      <w:r w:rsidRPr="006B6D27">
        <w:fldChar w:fldCharType="end"/>
      </w:r>
      <w:r w:rsidRPr="006B6D27">
        <w:tab/>
        <w:t>The TC note</w:t>
      </w:r>
      <w:r>
        <w:t>d</w:t>
      </w:r>
      <w:r w:rsidRPr="006B6D27">
        <w:t xml:space="preserve"> the developments in the work concerning the proposals to address the bias in the present method of calculation of COYU, as set out in document</w:t>
      </w:r>
      <w:r>
        <w:t xml:space="preserve"> TC/50/22, paragraphs 8 to 21</w:t>
      </w:r>
      <w:r w:rsidR="00E327A0">
        <w:rPr>
          <w:rFonts w:hint="eastAsia"/>
          <w:lang w:eastAsia="ja-JP"/>
        </w:rPr>
        <w:t xml:space="preserve"> (see document TC/50/36 </w:t>
      </w:r>
      <w:r w:rsidR="00E327A0">
        <w:rPr>
          <w:lang w:eastAsia="ja-JP"/>
        </w:rPr>
        <w:t>“</w:t>
      </w:r>
      <w:r w:rsidR="00171C75">
        <w:rPr>
          <w:rFonts w:hint="eastAsia"/>
          <w:lang w:eastAsia="ja-JP"/>
        </w:rPr>
        <w:t>R</w:t>
      </w:r>
      <w:r w:rsidR="00E327A0">
        <w:rPr>
          <w:rFonts w:hint="eastAsia"/>
          <w:lang w:eastAsia="ja-JP"/>
        </w:rPr>
        <w:t>eport on the Conclusions</w:t>
      </w:r>
      <w:r w:rsidR="00E327A0">
        <w:rPr>
          <w:lang w:eastAsia="ja-JP"/>
        </w:rPr>
        <w:t>”</w:t>
      </w:r>
      <w:r w:rsidR="00E327A0">
        <w:rPr>
          <w:rFonts w:hint="eastAsia"/>
          <w:lang w:eastAsia="ja-JP"/>
        </w:rPr>
        <w:t>, paragraph 49)</w:t>
      </w:r>
      <w:r>
        <w:t>.</w:t>
      </w:r>
    </w:p>
    <w:p w:rsidR="00FE1AF5" w:rsidRDefault="00FE1AF5" w:rsidP="00FE1AF5"/>
    <w:p w:rsidR="0015112C" w:rsidRDefault="0015112C">
      <w:pPr>
        <w:jc w:val="left"/>
      </w:pPr>
      <w:r>
        <w:br w:type="page"/>
      </w:r>
    </w:p>
    <w:p w:rsidR="00FE1AF5" w:rsidRDefault="00FE1AF5" w:rsidP="00FE1AF5">
      <w:r>
        <w:lastRenderedPageBreak/>
        <w:fldChar w:fldCharType="begin"/>
      </w:r>
      <w:r>
        <w:instrText xml:space="preserve"> AUTONUM  </w:instrText>
      </w:r>
      <w:r>
        <w:fldChar w:fldCharType="end"/>
      </w:r>
      <w:r>
        <w:tab/>
        <w:t>The TC agreed that the development of a demonstration module in DUST should be continued and demonstrated to the TWC at its session in 2014</w:t>
      </w:r>
      <w:r w:rsidRPr="006B6D27">
        <w:t>.</w:t>
      </w:r>
      <w:r>
        <w:t xml:space="preserve">  The TC agreed that a practical exercise should be conducted using real data to compare decisions made using the current and the proposed improved method</w:t>
      </w:r>
      <w:r w:rsidR="00E327A0">
        <w:rPr>
          <w:rFonts w:hint="eastAsia"/>
          <w:lang w:eastAsia="ja-JP"/>
        </w:rPr>
        <w:t xml:space="preserve"> (see document TC/50/36 </w:t>
      </w:r>
      <w:r w:rsidR="00E327A0">
        <w:rPr>
          <w:lang w:eastAsia="ja-JP"/>
        </w:rPr>
        <w:t>“</w:t>
      </w:r>
      <w:r w:rsidR="00171C75">
        <w:rPr>
          <w:rFonts w:hint="eastAsia"/>
          <w:lang w:eastAsia="ja-JP"/>
        </w:rPr>
        <w:t>R</w:t>
      </w:r>
      <w:r w:rsidR="00E327A0">
        <w:rPr>
          <w:rFonts w:hint="eastAsia"/>
          <w:lang w:eastAsia="ja-JP"/>
        </w:rPr>
        <w:t>eport on the Conclusions</w:t>
      </w:r>
      <w:r w:rsidR="00E327A0">
        <w:rPr>
          <w:lang w:eastAsia="ja-JP"/>
        </w:rPr>
        <w:t>”</w:t>
      </w:r>
      <w:r w:rsidR="00E327A0">
        <w:rPr>
          <w:rFonts w:hint="eastAsia"/>
          <w:lang w:eastAsia="ja-JP"/>
        </w:rPr>
        <w:t>, paragraph 50)</w:t>
      </w:r>
      <w:r>
        <w:t>.</w:t>
      </w:r>
    </w:p>
    <w:p w:rsidR="00FE1AF5" w:rsidRDefault="00FE1AF5" w:rsidP="00FE1AF5"/>
    <w:p w:rsidR="00FE1AF5" w:rsidRDefault="00FE1AF5" w:rsidP="00FE1AF5">
      <w:pPr>
        <w:rPr>
          <w:rFonts w:cs="Arial"/>
        </w:rPr>
      </w:pPr>
      <w:r>
        <w:rPr>
          <w:rFonts w:cs="Arial"/>
        </w:rPr>
        <w:fldChar w:fldCharType="begin"/>
      </w:r>
      <w:r>
        <w:rPr>
          <w:rFonts w:cs="Arial"/>
        </w:rPr>
        <w:instrText xml:space="preserve"> AUTONUM  </w:instrText>
      </w:r>
      <w:r>
        <w:rPr>
          <w:rFonts w:cs="Arial"/>
        </w:rPr>
        <w:fldChar w:fldCharType="end"/>
      </w:r>
      <w:r>
        <w:rPr>
          <w:rFonts w:cs="Arial"/>
        </w:rPr>
        <w:tab/>
      </w:r>
      <w:r>
        <w:t xml:space="preserve">The TC requested the Office of the Union to issue </w:t>
      </w:r>
      <w:proofErr w:type="gramStart"/>
      <w:r>
        <w:t>a new</w:t>
      </w:r>
      <w:proofErr w:type="gramEnd"/>
      <w:r>
        <w:t xml:space="preserve"> circular inviting further </w:t>
      </w:r>
      <w:r>
        <w:rPr>
          <w:rFonts w:cs="Arial"/>
        </w:rPr>
        <w:t xml:space="preserve">information on the extent and modalities </w:t>
      </w:r>
      <w:r>
        <w:t>of use of the current COYU method, in advance of the thirty-second session of the TWC</w:t>
      </w:r>
      <w:r w:rsidR="00E327A0">
        <w:rPr>
          <w:rFonts w:hint="eastAsia"/>
          <w:lang w:eastAsia="ja-JP"/>
        </w:rPr>
        <w:t xml:space="preserve"> (see document TC/50/36 </w:t>
      </w:r>
      <w:r w:rsidR="00E327A0">
        <w:rPr>
          <w:lang w:eastAsia="ja-JP"/>
        </w:rPr>
        <w:t>“</w:t>
      </w:r>
      <w:r w:rsidR="00171C75">
        <w:rPr>
          <w:rFonts w:hint="eastAsia"/>
          <w:lang w:eastAsia="ja-JP"/>
        </w:rPr>
        <w:t>R</w:t>
      </w:r>
      <w:r w:rsidR="00E327A0">
        <w:rPr>
          <w:rFonts w:hint="eastAsia"/>
          <w:lang w:eastAsia="ja-JP"/>
        </w:rPr>
        <w:t>eport on the Conclusions</w:t>
      </w:r>
      <w:r w:rsidR="00E327A0">
        <w:rPr>
          <w:lang w:eastAsia="ja-JP"/>
        </w:rPr>
        <w:t>”</w:t>
      </w:r>
      <w:r w:rsidR="00E327A0">
        <w:rPr>
          <w:rFonts w:hint="eastAsia"/>
          <w:lang w:eastAsia="ja-JP"/>
        </w:rPr>
        <w:t>, paragraph 51)</w:t>
      </w:r>
      <w:r w:rsidRPr="00E423D0">
        <w:t>.</w:t>
      </w:r>
    </w:p>
    <w:p w:rsidR="00FE1AF5" w:rsidRDefault="00FE1AF5" w:rsidP="00973986">
      <w:pPr>
        <w:keepNext/>
        <w:keepLines/>
        <w:rPr>
          <w:color w:val="000000"/>
          <w:lang w:eastAsia="ja-JP"/>
        </w:rPr>
      </w:pPr>
    </w:p>
    <w:p w:rsidR="00311FB0" w:rsidRDefault="00253076" w:rsidP="00311FB0">
      <w:pPr>
        <w:pStyle w:val="Heading2"/>
        <w:rPr>
          <w:snapToGrid w:val="0"/>
          <w:lang w:eastAsia="ja-JP"/>
        </w:rPr>
      </w:pPr>
      <w:r>
        <w:rPr>
          <w:rFonts w:hint="eastAsia"/>
          <w:lang w:eastAsia="ja-JP"/>
        </w:rPr>
        <w:t>Technical Working Parties</w:t>
      </w:r>
    </w:p>
    <w:p w:rsidR="00311FB0" w:rsidRDefault="00311FB0" w:rsidP="00973986">
      <w:pPr>
        <w:keepNext/>
        <w:keepLines/>
        <w:rPr>
          <w:color w:val="000000"/>
          <w:lang w:eastAsia="ja-JP"/>
        </w:rPr>
      </w:pPr>
    </w:p>
    <w:p w:rsidR="00311FB0" w:rsidRDefault="00311FB0" w:rsidP="00311FB0">
      <w:pPr>
        <w:rPr>
          <w:snapToGrid w:val="0"/>
          <w:color w:val="000000"/>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 xml:space="preserve">At their sessions in 2014, the TWO, TWF, TWC, TWV and TWA </w:t>
      </w:r>
      <w:r w:rsidRPr="00BB7708">
        <w:rPr>
          <w:snapToGrid w:val="0"/>
          <w:color w:val="000000"/>
        </w:rPr>
        <w:t xml:space="preserve">considered documents </w:t>
      </w:r>
      <w:r>
        <w:rPr>
          <w:snapToGrid w:val="0"/>
          <w:color w:val="000000"/>
        </w:rPr>
        <w:t>TWO/4</w:t>
      </w:r>
      <w:r>
        <w:rPr>
          <w:rFonts w:hint="eastAsia"/>
          <w:snapToGrid w:val="0"/>
          <w:color w:val="000000"/>
          <w:lang w:eastAsia="ja-JP"/>
        </w:rPr>
        <w:t>7</w:t>
      </w:r>
      <w:r>
        <w:rPr>
          <w:snapToGrid w:val="0"/>
          <w:color w:val="000000"/>
        </w:rPr>
        <w:t>/1</w:t>
      </w:r>
      <w:r>
        <w:rPr>
          <w:rFonts w:hint="eastAsia"/>
          <w:snapToGrid w:val="0"/>
          <w:color w:val="000000"/>
          <w:lang w:eastAsia="ja-JP"/>
        </w:rPr>
        <w:t>6</w:t>
      </w:r>
      <w:r>
        <w:rPr>
          <w:snapToGrid w:val="0"/>
          <w:color w:val="000000"/>
        </w:rPr>
        <w:t>, TWF/4</w:t>
      </w:r>
      <w:r>
        <w:rPr>
          <w:rFonts w:hint="eastAsia"/>
          <w:snapToGrid w:val="0"/>
          <w:color w:val="000000"/>
          <w:lang w:eastAsia="ja-JP"/>
        </w:rPr>
        <w:t>5</w:t>
      </w:r>
      <w:r w:rsidRPr="00BB7708">
        <w:rPr>
          <w:snapToGrid w:val="0"/>
          <w:color w:val="000000"/>
        </w:rPr>
        <w:t>/1</w:t>
      </w:r>
      <w:r>
        <w:rPr>
          <w:rFonts w:hint="eastAsia"/>
          <w:snapToGrid w:val="0"/>
          <w:color w:val="000000"/>
          <w:lang w:eastAsia="ja-JP"/>
        </w:rPr>
        <w:t>6</w:t>
      </w:r>
      <w:r w:rsidRPr="00BB7708">
        <w:rPr>
          <w:snapToGrid w:val="0"/>
          <w:color w:val="000000"/>
        </w:rPr>
        <w:t xml:space="preserve">, </w:t>
      </w:r>
      <w:r>
        <w:rPr>
          <w:snapToGrid w:val="0"/>
          <w:color w:val="000000"/>
        </w:rPr>
        <w:t>TWC/3</w:t>
      </w:r>
      <w:r>
        <w:rPr>
          <w:rFonts w:hint="eastAsia"/>
          <w:snapToGrid w:val="0"/>
          <w:color w:val="000000"/>
          <w:lang w:eastAsia="ja-JP"/>
        </w:rPr>
        <w:t>2</w:t>
      </w:r>
      <w:r w:rsidRPr="00BB7708">
        <w:rPr>
          <w:snapToGrid w:val="0"/>
          <w:color w:val="000000"/>
        </w:rPr>
        <w:t>/1</w:t>
      </w:r>
      <w:r>
        <w:rPr>
          <w:rFonts w:hint="eastAsia"/>
          <w:snapToGrid w:val="0"/>
          <w:color w:val="000000"/>
          <w:lang w:eastAsia="ja-JP"/>
        </w:rPr>
        <w:t>6,</w:t>
      </w:r>
      <w:r w:rsidRPr="008C297F">
        <w:rPr>
          <w:snapToGrid w:val="0"/>
          <w:color w:val="000000"/>
        </w:rPr>
        <w:t xml:space="preserve"> </w:t>
      </w:r>
      <w:r w:rsidR="00107F66">
        <w:rPr>
          <w:rFonts w:hint="eastAsia"/>
          <w:snapToGrid w:val="0"/>
          <w:color w:val="000000"/>
          <w:lang w:eastAsia="ja-JP"/>
        </w:rPr>
        <w:t xml:space="preserve">TWC/32/16 Add., </w:t>
      </w:r>
      <w:r w:rsidRPr="00BB7708">
        <w:rPr>
          <w:snapToGrid w:val="0"/>
          <w:color w:val="000000"/>
        </w:rPr>
        <w:t>TWV/4</w:t>
      </w:r>
      <w:r>
        <w:rPr>
          <w:rFonts w:hint="eastAsia"/>
          <w:snapToGrid w:val="0"/>
          <w:color w:val="000000"/>
          <w:lang w:eastAsia="ja-JP"/>
        </w:rPr>
        <w:t>8</w:t>
      </w:r>
      <w:r w:rsidRPr="00BB7708">
        <w:rPr>
          <w:snapToGrid w:val="0"/>
          <w:color w:val="000000"/>
        </w:rPr>
        <w:t>/1</w:t>
      </w:r>
      <w:r>
        <w:rPr>
          <w:rFonts w:hint="eastAsia"/>
          <w:snapToGrid w:val="0"/>
          <w:color w:val="000000"/>
          <w:lang w:eastAsia="ja-JP"/>
        </w:rPr>
        <w:t>6</w:t>
      </w:r>
      <w:r w:rsidRPr="00BB7708">
        <w:rPr>
          <w:snapToGrid w:val="0"/>
          <w:color w:val="000000"/>
        </w:rPr>
        <w:t xml:space="preserve"> and</w:t>
      </w:r>
      <w:r>
        <w:rPr>
          <w:snapToGrid w:val="0"/>
          <w:color w:val="000000"/>
        </w:rPr>
        <w:t xml:space="preserve"> TWA/4</w:t>
      </w:r>
      <w:r>
        <w:rPr>
          <w:rFonts w:hint="eastAsia"/>
          <w:snapToGrid w:val="0"/>
          <w:color w:val="000000"/>
          <w:lang w:eastAsia="ja-JP"/>
        </w:rPr>
        <w:t>3</w:t>
      </w:r>
      <w:r>
        <w:rPr>
          <w:snapToGrid w:val="0"/>
          <w:color w:val="000000"/>
        </w:rPr>
        <w:t>/1</w:t>
      </w:r>
      <w:r>
        <w:rPr>
          <w:rFonts w:hint="eastAsia"/>
          <w:snapToGrid w:val="0"/>
          <w:color w:val="000000"/>
          <w:lang w:eastAsia="ja-JP"/>
        </w:rPr>
        <w:t>6</w:t>
      </w:r>
      <w:r w:rsidRPr="00BB7708">
        <w:rPr>
          <w:snapToGrid w:val="0"/>
          <w:color w:val="000000"/>
        </w:rPr>
        <w:t>, respectively.</w:t>
      </w:r>
    </w:p>
    <w:p w:rsidR="00311FB0" w:rsidRDefault="00311FB0" w:rsidP="00973986">
      <w:pPr>
        <w:keepNext/>
        <w:keepLines/>
        <w:rPr>
          <w:color w:val="000000"/>
          <w:lang w:eastAsia="ja-JP"/>
        </w:rPr>
      </w:pPr>
    </w:p>
    <w:p w:rsidR="00FE1AF5" w:rsidRDefault="00FE1AF5" w:rsidP="00FE1AF5">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t>The TWO</w:t>
      </w:r>
      <w:r w:rsidR="007878E4">
        <w:rPr>
          <w:rFonts w:hint="eastAsia"/>
          <w:snapToGrid w:val="0"/>
          <w:lang w:eastAsia="ja-JP"/>
        </w:rPr>
        <w:t>, TWF, TWV and TWA</w:t>
      </w:r>
      <w:r w:rsidRPr="00AF2207">
        <w:rPr>
          <w:snapToGrid w:val="0"/>
        </w:rPr>
        <w:t xml:space="preserve"> </w:t>
      </w:r>
      <w:r>
        <w:rPr>
          <w:snapToGrid w:val="0"/>
        </w:rPr>
        <w:t>noted</w:t>
      </w:r>
      <w:r w:rsidRPr="00AF2207">
        <w:t xml:space="preserve"> the developments</w:t>
      </w:r>
      <w:r w:rsidR="007878E4">
        <w:t xml:space="preserve"> </w:t>
      </w:r>
      <w:r w:rsidRPr="00AF2207">
        <w:t>concerning the method of c</w:t>
      </w:r>
      <w:r>
        <w:t>alculation of COYU, including the development of a demonstration module in DUST and the practical exercise that would be conducted using real data to compare decisions made using the current and the proposed improved method</w:t>
      </w:r>
      <w:r w:rsidR="00E327A0">
        <w:rPr>
          <w:rFonts w:hint="eastAsia"/>
          <w:lang w:eastAsia="ja-JP"/>
        </w:rPr>
        <w:t xml:space="preserve"> (see document</w:t>
      </w:r>
      <w:r w:rsidR="007878E4">
        <w:rPr>
          <w:rFonts w:hint="eastAsia"/>
          <w:lang w:eastAsia="ja-JP"/>
        </w:rPr>
        <w:t>s</w:t>
      </w:r>
      <w:r w:rsidR="00E327A0">
        <w:rPr>
          <w:rFonts w:hint="eastAsia"/>
          <w:lang w:eastAsia="ja-JP"/>
        </w:rPr>
        <w:t xml:space="preserve"> TWO/47/28 </w:t>
      </w:r>
      <w:r w:rsidR="00E327A0">
        <w:rPr>
          <w:lang w:eastAsia="ja-JP"/>
        </w:rPr>
        <w:t>“</w:t>
      </w:r>
      <w:r w:rsidR="00171C75">
        <w:rPr>
          <w:rFonts w:hint="eastAsia"/>
          <w:lang w:eastAsia="ja-JP"/>
        </w:rPr>
        <w:t>R</w:t>
      </w:r>
      <w:r w:rsidR="00E327A0">
        <w:rPr>
          <w:rFonts w:hint="eastAsia"/>
          <w:lang w:eastAsia="ja-JP"/>
        </w:rPr>
        <w:t>eport</w:t>
      </w:r>
      <w:r w:rsidR="00E327A0">
        <w:rPr>
          <w:lang w:eastAsia="ja-JP"/>
        </w:rPr>
        <w:t>”</w:t>
      </w:r>
      <w:r w:rsidR="00E327A0">
        <w:rPr>
          <w:rFonts w:hint="eastAsia"/>
          <w:lang w:eastAsia="ja-JP"/>
        </w:rPr>
        <w:t>, paragraph 42</w:t>
      </w:r>
      <w:r w:rsidR="007878E4">
        <w:rPr>
          <w:rFonts w:hint="eastAsia"/>
          <w:lang w:eastAsia="ja-JP"/>
        </w:rPr>
        <w:t xml:space="preserve">, TWF/45/32 </w:t>
      </w:r>
      <w:r w:rsidR="007878E4">
        <w:rPr>
          <w:lang w:eastAsia="ja-JP"/>
        </w:rPr>
        <w:t>“</w:t>
      </w:r>
      <w:r w:rsidR="007878E4">
        <w:rPr>
          <w:rFonts w:hint="eastAsia"/>
          <w:lang w:eastAsia="ja-JP"/>
        </w:rPr>
        <w:t>Report</w:t>
      </w:r>
      <w:r w:rsidR="007878E4">
        <w:rPr>
          <w:lang w:eastAsia="ja-JP"/>
        </w:rPr>
        <w:t>”</w:t>
      </w:r>
      <w:r w:rsidR="007878E4">
        <w:rPr>
          <w:rFonts w:hint="eastAsia"/>
          <w:lang w:eastAsia="ja-JP"/>
        </w:rPr>
        <w:t xml:space="preserve">, paragraph 33, TWV/48/43 </w:t>
      </w:r>
      <w:r w:rsidR="007878E4">
        <w:rPr>
          <w:lang w:eastAsia="ja-JP"/>
        </w:rPr>
        <w:t>“</w:t>
      </w:r>
      <w:r w:rsidR="007878E4">
        <w:rPr>
          <w:rFonts w:hint="eastAsia"/>
          <w:lang w:eastAsia="ja-JP"/>
        </w:rPr>
        <w:t>Report</w:t>
      </w:r>
      <w:r w:rsidR="007878E4">
        <w:rPr>
          <w:lang w:eastAsia="ja-JP"/>
        </w:rPr>
        <w:t>”</w:t>
      </w:r>
      <w:r w:rsidR="007878E4">
        <w:rPr>
          <w:rFonts w:hint="eastAsia"/>
          <w:lang w:eastAsia="ja-JP"/>
        </w:rPr>
        <w:t xml:space="preserve">, paragraph 38 and TWA/43/27 </w:t>
      </w:r>
      <w:r w:rsidR="007878E4">
        <w:rPr>
          <w:lang w:eastAsia="ja-JP"/>
        </w:rPr>
        <w:t>“</w:t>
      </w:r>
      <w:r w:rsidR="007878E4">
        <w:rPr>
          <w:rFonts w:hint="eastAsia"/>
          <w:lang w:eastAsia="ja-JP"/>
        </w:rPr>
        <w:t>Report</w:t>
      </w:r>
      <w:r w:rsidR="007878E4">
        <w:rPr>
          <w:lang w:eastAsia="ja-JP"/>
        </w:rPr>
        <w:t>”</w:t>
      </w:r>
      <w:r w:rsidR="007878E4">
        <w:rPr>
          <w:rFonts w:hint="eastAsia"/>
          <w:lang w:eastAsia="ja-JP"/>
        </w:rPr>
        <w:t>, paragraph 35</w:t>
      </w:r>
      <w:r w:rsidR="00E327A0">
        <w:rPr>
          <w:rFonts w:hint="eastAsia"/>
          <w:lang w:eastAsia="ja-JP"/>
        </w:rPr>
        <w:t>)</w:t>
      </w:r>
      <w:r w:rsidR="00E327A0" w:rsidRPr="00E423D0">
        <w:t>.</w:t>
      </w:r>
    </w:p>
    <w:p w:rsidR="00FE1AF5" w:rsidRPr="00AF2207" w:rsidRDefault="00FE1AF5" w:rsidP="00FE1AF5">
      <w:pPr>
        <w:rPr>
          <w:lang w:eastAsia="ja-JP"/>
        </w:rPr>
      </w:pPr>
    </w:p>
    <w:p w:rsidR="00FE1AF5" w:rsidRPr="00BD5B6E" w:rsidRDefault="00FE1AF5" w:rsidP="00FE1AF5">
      <w:r w:rsidRPr="00BD5B6E">
        <w:fldChar w:fldCharType="begin"/>
      </w:r>
      <w:r w:rsidRPr="00BD5B6E">
        <w:instrText xml:space="preserve"> AUTONUM  </w:instrText>
      </w:r>
      <w:r w:rsidRPr="00BD5B6E">
        <w:fldChar w:fldCharType="end"/>
      </w:r>
      <w:r w:rsidRPr="00BD5B6E">
        <w:tab/>
        <w:t>The TWC received a presentation by an expert from the United Kingdom on the method for improving the calculation of COYU, including a demonstration version of a module for the DUST software</w:t>
      </w:r>
      <w:r w:rsidR="00107F66">
        <w:rPr>
          <w:rFonts w:hint="eastAsia"/>
          <w:lang w:eastAsia="ja-JP"/>
        </w:rPr>
        <w:t xml:space="preserve"> (see document TWC/32/28 </w:t>
      </w:r>
      <w:r w:rsidR="00107F66">
        <w:rPr>
          <w:lang w:eastAsia="ja-JP"/>
        </w:rPr>
        <w:t>“</w:t>
      </w:r>
      <w:r w:rsidR="00107F66">
        <w:rPr>
          <w:rFonts w:hint="eastAsia"/>
          <w:lang w:eastAsia="ja-JP"/>
        </w:rPr>
        <w:t>Report</w:t>
      </w:r>
      <w:r w:rsidR="00107F66">
        <w:rPr>
          <w:lang w:eastAsia="ja-JP"/>
        </w:rPr>
        <w:t>”</w:t>
      </w:r>
      <w:r w:rsidR="00107F66">
        <w:rPr>
          <w:rFonts w:hint="eastAsia"/>
          <w:lang w:eastAsia="ja-JP"/>
        </w:rPr>
        <w:t>, paragraph 13)</w:t>
      </w:r>
      <w:r w:rsidRPr="00BD5B6E">
        <w:t>.</w:t>
      </w:r>
      <w:r w:rsidR="00612D26">
        <w:rPr>
          <w:rFonts w:hint="eastAsia"/>
          <w:lang w:eastAsia="ja-JP"/>
        </w:rPr>
        <w:t xml:space="preserve">  </w:t>
      </w:r>
      <w:proofErr w:type="gramStart"/>
      <w:r w:rsidR="00612D26">
        <w:rPr>
          <w:rFonts w:hint="eastAsia"/>
          <w:lang w:eastAsia="ja-JP"/>
        </w:rPr>
        <w:t>The Annex to document TWC/32/16 Add.</w:t>
      </w:r>
      <w:proofErr w:type="gramEnd"/>
      <w:r w:rsidR="00612D26">
        <w:rPr>
          <w:rFonts w:hint="eastAsia"/>
          <w:lang w:eastAsia="ja-JP"/>
        </w:rPr>
        <w:t xml:space="preserve"> </w:t>
      </w:r>
      <w:r w:rsidR="007878E4">
        <w:rPr>
          <w:lang w:eastAsia="ja-JP"/>
        </w:rPr>
        <w:t>“</w:t>
      </w:r>
      <w:r w:rsidR="007878E4" w:rsidRPr="007878E4">
        <w:rPr>
          <w:lang w:eastAsia="ja-JP"/>
        </w:rPr>
        <w:t>Addendum to Development of the Combined-Over-Year Uniformity Criterion</w:t>
      </w:r>
      <w:r w:rsidR="007878E4">
        <w:rPr>
          <w:lang w:eastAsia="ja-JP"/>
        </w:rPr>
        <w:t>”</w:t>
      </w:r>
      <w:r w:rsidR="007878E4">
        <w:rPr>
          <w:rFonts w:hint="eastAsia"/>
          <w:lang w:eastAsia="ja-JP"/>
        </w:rPr>
        <w:t xml:space="preserve"> </w:t>
      </w:r>
      <w:r w:rsidR="00612D26">
        <w:rPr>
          <w:rFonts w:hint="eastAsia"/>
          <w:lang w:eastAsia="ja-JP"/>
        </w:rPr>
        <w:t>is reproduced as Annex to this document.</w:t>
      </w:r>
      <w:r w:rsidRPr="00BD5B6E">
        <w:t xml:space="preserve"> </w:t>
      </w:r>
    </w:p>
    <w:p w:rsidR="00FE1AF5" w:rsidRPr="00BD5B6E" w:rsidRDefault="00FE1AF5" w:rsidP="00FE1AF5"/>
    <w:p w:rsidR="00FE1AF5" w:rsidRPr="00BD5B6E" w:rsidRDefault="00FE1AF5" w:rsidP="00FE1AF5">
      <w:pPr>
        <w:rPr>
          <w:lang w:val="en-GB"/>
        </w:rPr>
      </w:pPr>
      <w:r w:rsidRPr="00BD5B6E">
        <w:fldChar w:fldCharType="begin"/>
      </w:r>
      <w:r w:rsidRPr="00BD5B6E">
        <w:instrText xml:space="preserve"> AUTONUM  </w:instrText>
      </w:r>
      <w:r w:rsidRPr="00BD5B6E">
        <w:fldChar w:fldCharType="end"/>
      </w:r>
      <w:r w:rsidRPr="00BD5B6E">
        <w:tab/>
      </w:r>
      <w:r w:rsidRPr="00BD5B6E">
        <w:rPr>
          <w:lang w:val="en-GB"/>
        </w:rPr>
        <w:t xml:space="preserve">The TWC agreed to request the experts from China, </w:t>
      </w:r>
      <w:r>
        <w:rPr>
          <w:lang w:val="en-GB"/>
        </w:rPr>
        <w:t xml:space="preserve">Czech Republic, </w:t>
      </w:r>
      <w:r w:rsidRPr="00BD5B6E">
        <w:rPr>
          <w:lang w:val="en-GB"/>
        </w:rPr>
        <w:t>France, Finland, Germany, Kenya, Netherlands and Poland to test the new software on COYU</w:t>
      </w:r>
      <w:r w:rsidR="00171C75">
        <w:rPr>
          <w:rFonts w:hint="eastAsia"/>
          <w:lang w:val="en-GB" w:eastAsia="ja-JP"/>
        </w:rPr>
        <w:t xml:space="preserve"> </w:t>
      </w:r>
      <w:r w:rsidR="00171C75">
        <w:rPr>
          <w:rFonts w:hint="eastAsia"/>
          <w:lang w:eastAsia="ja-JP"/>
        </w:rPr>
        <w:t xml:space="preserve">(see document TWC/32/28 </w:t>
      </w:r>
      <w:r w:rsidR="00171C75">
        <w:rPr>
          <w:lang w:eastAsia="ja-JP"/>
        </w:rPr>
        <w:t>“</w:t>
      </w:r>
      <w:r w:rsidR="00171C75">
        <w:rPr>
          <w:rFonts w:hint="eastAsia"/>
          <w:lang w:eastAsia="ja-JP"/>
        </w:rPr>
        <w:t>Report</w:t>
      </w:r>
      <w:r w:rsidR="00171C75">
        <w:rPr>
          <w:lang w:eastAsia="ja-JP"/>
        </w:rPr>
        <w:t>”</w:t>
      </w:r>
      <w:r w:rsidR="00171C75">
        <w:rPr>
          <w:rFonts w:hint="eastAsia"/>
          <w:lang w:eastAsia="ja-JP"/>
        </w:rPr>
        <w:t>, paragraph 14)</w:t>
      </w:r>
      <w:r w:rsidRPr="00BD5B6E">
        <w:rPr>
          <w:lang w:val="en-GB"/>
        </w:rPr>
        <w:t xml:space="preserve">.  </w:t>
      </w:r>
    </w:p>
    <w:p w:rsidR="00FE1AF5" w:rsidRPr="00BD5B6E" w:rsidRDefault="00FE1AF5" w:rsidP="00FE1AF5"/>
    <w:p w:rsidR="00FE1AF5" w:rsidRPr="00BD5B6E" w:rsidRDefault="00FE1AF5" w:rsidP="00FE1AF5">
      <w:pPr>
        <w:rPr>
          <w:lang w:val="en-GB"/>
        </w:rPr>
      </w:pPr>
      <w:r w:rsidRPr="00BD5B6E">
        <w:fldChar w:fldCharType="begin"/>
      </w:r>
      <w:r w:rsidRPr="00BD5B6E">
        <w:instrText xml:space="preserve"> AUTONUM  </w:instrText>
      </w:r>
      <w:r w:rsidRPr="00BD5B6E">
        <w:fldChar w:fldCharType="end"/>
      </w:r>
      <w:r w:rsidRPr="00BD5B6E">
        <w:tab/>
      </w:r>
      <w:r w:rsidRPr="00BD5B6E">
        <w:rPr>
          <w:lang w:val="en-GB"/>
        </w:rPr>
        <w:t>The TWC agreed to invite other users of the COYU method to test the new software. The TWC agreed that an invitation should be developed by the Leading Expert and sent by the Office of the Union to the users of the DUST software package</w:t>
      </w:r>
      <w:r w:rsidR="00171C75">
        <w:rPr>
          <w:rFonts w:hint="eastAsia"/>
          <w:lang w:val="en-GB" w:eastAsia="ja-JP"/>
        </w:rPr>
        <w:t xml:space="preserve"> </w:t>
      </w:r>
      <w:r w:rsidR="00171C75">
        <w:rPr>
          <w:rFonts w:hint="eastAsia"/>
          <w:lang w:eastAsia="ja-JP"/>
        </w:rPr>
        <w:t xml:space="preserve">(see document TWC/32/28 </w:t>
      </w:r>
      <w:r w:rsidR="00171C75">
        <w:rPr>
          <w:lang w:eastAsia="ja-JP"/>
        </w:rPr>
        <w:t>“</w:t>
      </w:r>
      <w:r w:rsidR="00171C75">
        <w:rPr>
          <w:rFonts w:hint="eastAsia"/>
          <w:lang w:eastAsia="ja-JP"/>
        </w:rPr>
        <w:t>Report</w:t>
      </w:r>
      <w:r w:rsidR="00171C75">
        <w:rPr>
          <w:lang w:eastAsia="ja-JP"/>
        </w:rPr>
        <w:t>”</w:t>
      </w:r>
      <w:r w:rsidR="00171C75">
        <w:rPr>
          <w:rFonts w:hint="eastAsia"/>
          <w:lang w:eastAsia="ja-JP"/>
        </w:rPr>
        <w:t>, paragraph 15)</w:t>
      </w:r>
      <w:r w:rsidRPr="00BD5B6E">
        <w:rPr>
          <w:lang w:val="en-GB"/>
        </w:rPr>
        <w:t xml:space="preserve">. </w:t>
      </w:r>
    </w:p>
    <w:p w:rsidR="00FE1AF5" w:rsidRPr="00BD5B6E" w:rsidRDefault="00FE1AF5" w:rsidP="00FE1AF5"/>
    <w:p w:rsidR="00FE1AF5" w:rsidRPr="00BD5B6E" w:rsidRDefault="00FE1AF5" w:rsidP="00FE1AF5">
      <w:pPr>
        <w:rPr>
          <w:lang w:val="en-GB"/>
        </w:rPr>
      </w:pPr>
      <w:r w:rsidRPr="00BD5B6E">
        <w:fldChar w:fldCharType="begin"/>
      </w:r>
      <w:r w:rsidRPr="00BD5B6E">
        <w:instrText xml:space="preserve"> AUTONUM  </w:instrText>
      </w:r>
      <w:r w:rsidRPr="00BD5B6E">
        <w:fldChar w:fldCharType="end"/>
      </w:r>
      <w:r w:rsidRPr="00BD5B6E">
        <w:tab/>
      </w:r>
      <w:r w:rsidRPr="00BD5B6E">
        <w:rPr>
          <w:lang w:val="en-GB"/>
        </w:rPr>
        <w:t xml:space="preserve">The TWC agreed that the software module for calculation of COYU developed using the “R” software should be sent to the interested experts that use other systems than DUST (e.g. SAS and </w:t>
      </w:r>
      <w:proofErr w:type="spellStart"/>
      <w:r w:rsidRPr="00BD5B6E">
        <w:rPr>
          <w:lang w:val="en-GB"/>
        </w:rPr>
        <w:t>GenStat</w:t>
      </w:r>
      <w:proofErr w:type="spellEnd"/>
      <w:r w:rsidRPr="00BD5B6E">
        <w:rPr>
          <w:lang w:val="en-GB"/>
        </w:rPr>
        <w:t>) for testing the new method</w:t>
      </w:r>
      <w:r w:rsidR="00171C75">
        <w:rPr>
          <w:rFonts w:hint="eastAsia"/>
          <w:lang w:val="en-GB" w:eastAsia="ja-JP"/>
        </w:rPr>
        <w:t xml:space="preserve"> </w:t>
      </w:r>
      <w:r w:rsidR="00171C75">
        <w:rPr>
          <w:rFonts w:hint="eastAsia"/>
          <w:lang w:eastAsia="ja-JP"/>
        </w:rPr>
        <w:t xml:space="preserve">(see document TWC/32/28 </w:t>
      </w:r>
      <w:r w:rsidR="00171C75">
        <w:rPr>
          <w:lang w:eastAsia="ja-JP"/>
        </w:rPr>
        <w:t>“</w:t>
      </w:r>
      <w:r w:rsidR="00171C75">
        <w:rPr>
          <w:rFonts w:hint="eastAsia"/>
          <w:lang w:eastAsia="ja-JP"/>
        </w:rPr>
        <w:t>Report</w:t>
      </w:r>
      <w:r w:rsidR="00171C75">
        <w:rPr>
          <w:lang w:eastAsia="ja-JP"/>
        </w:rPr>
        <w:t>”</w:t>
      </w:r>
      <w:r w:rsidR="00171C75">
        <w:rPr>
          <w:rFonts w:hint="eastAsia"/>
          <w:lang w:eastAsia="ja-JP"/>
        </w:rPr>
        <w:t>, paragraph 16)</w:t>
      </w:r>
      <w:r w:rsidRPr="00BD5B6E">
        <w:rPr>
          <w:lang w:val="en-GB"/>
        </w:rPr>
        <w:t xml:space="preserve">. </w:t>
      </w:r>
    </w:p>
    <w:p w:rsidR="00FE1AF5" w:rsidRPr="00BD5B6E" w:rsidRDefault="00FE1AF5" w:rsidP="00FE1AF5">
      <w:pPr>
        <w:rPr>
          <w:lang w:val="en-GB"/>
        </w:rPr>
      </w:pPr>
    </w:p>
    <w:p w:rsidR="00FE1AF5" w:rsidRPr="00BD5B6E" w:rsidRDefault="00FE1AF5" w:rsidP="00FE1AF5">
      <w:r w:rsidRPr="00BD5B6E">
        <w:fldChar w:fldCharType="begin"/>
      </w:r>
      <w:r w:rsidRPr="00BD5B6E">
        <w:instrText xml:space="preserve"> AUTONUM  </w:instrText>
      </w:r>
      <w:r w:rsidRPr="00BD5B6E">
        <w:fldChar w:fldCharType="end"/>
      </w:r>
      <w:r w:rsidRPr="00BD5B6E">
        <w:tab/>
      </w:r>
      <w:r w:rsidRPr="00BD5B6E">
        <w:rPr>
          <w:lang w:val="en-GB"/>
        </w:rPr>
        <w:t xml:space="preserve">The TWC agreed that participants should seek to </w:t>
      </w:r>
      <w:r w:rsidRPr="00BD5B6E">
        <w:t>define probability levels to match decisions using the previous COYU method for continuity in decisions and that the test should be run for rejection probabilities of 1, 2 and 5% levels. The TWC agreed that participants should assess whether the results are consistent in all crops</w:t>
      </w:r>
      <w:r w:rsidR="00171C75">
        <w:rPr>
          <w:rFonts w:hint="eastAsia"/>
          <w:lang w:val="en-GB" w:eastAsia="ja-JP"/>
        </w:rPr>
        <w:t xml:space="preserve"> </w:t>
      </w:r>
      <w:r w:rsidR="00171C75">
        <w:rPr>
          <w:rFonts w:hint="eastAsia"/>
          <w:lang w:eastAsia="ja-JP"/>
        </w:rPr>
        <w:t xml:space="preserve">(see document TWC/32/28 </w:t>
      </w:r>
      <w:r w:rsidR="00171C75">
        <w:rPr>
          <w:lang w:eastAsia="ja-JP"/>
        </w:rPr>
        <w:t>“</w:t>
      </w:r>
      <w:r w:rsidR="00171C75">
        <w:rPr>
          <w:rFonts w:hint="eastAsia"/>
          <w:lang w:eastAsia="ja-JP"/>
        </w:rPr>
        <w:t>Report</w:t>
      </w:r>
      <w:r w:rsidR="00171C75">
        <w:rPr>
          <w:lang w:eastAsia="ja-JP"/>
        </w:rPr>
        <w:t>”</w:t>
      </w:r>
      <w:r w:rsidR="00171C75">
        <w:rPr>
          <w:rFonts w:hint="eastAsia"/>
          <w:lang w:eastAsia="ja-JP"/>
        </w:rPr>
        <w:t>, paragraph 17)</w:t>
      </w:r>
      <w:r w:rsidRPr="00BD5B6E">
        <w:t>.</w:t>
      </w:r>
    </w:p>
    <w:p w:rsidR="00FE1AF5" w:rsidRPr="00BD5B6E" w:rsidRDefault="00FE1AF5" w:rsidP="00FE1AF5"/>
    <w:p w:rsidR="00FE1AF5" w:rsidRPr="00BD5B6E" w:rsidRDefault="00FE1AF5" w:rsidP="00FE1AF5">
      <w:pPr>
        <w:rPr>
          <w:lang w:val="en-GB"/>
        </w:rPr>
      </w:pPr>
      <w:r w:rsidRPr="00BD5B6E">
        <w:fldChar w:fldCharType="begin"/>
      </w:r>
      <w:r w:rsidRPr="00BD5B6E">
        <w:instrText xml:space="preserve"> AUTONUM  </w:instrText>
      </w:r>
      <w:r w:rsidRPr="00BD5B6E">
        <w:fldChar w:fldCharType="end"/>
      </w:r>
      <w:r w:rsidRPr="00BD5B6E">
        <w:tab/>
      </w:r>
      <w:r w:rsidRPr="00BD5B6E">
        <w:rPr>
          <w:lang w:val="en-GB"/>
        </w:rPr>
        <w:t>The TWC agreed with the timetable for the development of the new software package for the COYU method as follows</w:t>
      </w:r>
      <w:r w:rsidR="00171C75">
        <w:rPr>
          <w:rFonts w:hint="eastAsia"/>
          <w:lang w:val="en-GB" w:eastAsia="ja-JP"/>
        </w:rPr>
        <w:t xml:space="preserve"> </w:t>
      </w:r>
      <w:r w:rsidR="00171C75">
        <w:rPr>
          <w:rFonts w:hint="eastAsia"/>
          <w:lang w:eastAsia="ja-JP"/>
        </w:rPr>
        <w:t xml:space="preserve">(see document TWC/32/28 </w:t>
      </w:r>
      <w:r w:rsidR="00171C75">
        <w:rPr>
          <w:lang w:eastAsia="ja-JP"/>
        </w:rPr>
        <w:t>“</w:t>
      </w:r>
      <w:r w:rsidR="00171C75">
        <w:rPr>
          <w:rFonts w:hint="eastAsia"/>
          <w:lang w:eastAsia="ja-JP"/>
        </w:rPr>
        <w:t>Report</w:t>
      </w:r>
      <w:r w:rsidR="00171C75">
        <w:rPr>
          <w:lang w:eastAsia="ja-JP"/>
        </w:rPr>
        <w:t>”</w:t>
      </w:r>
      <w:r w:rsidR="00171C75">
        <w:rPr>
          <w:rFonts w:hint="eastAsia"/>
          <w:lang w:eastAsia="ja-JP"/>
        </w:rPr>
        <w:t>, paragraph 18)</w:t>
      </w:r>
      <w:r w:rsidRPr="00BD5B6E">
        <w:rPr>
          <w:lang w:val="en-GB"/>
        </w:rPr>
        <w:t xml:space="preserve">: </w:t>
      </w:r>
    </w:p>
    <w:p w:rsidR="00FE1AF5" w:rsidRPr="00BD5B6E" w:rsidRDefault="00FE1AF5" w:rsidP="00FE1AF5">
      <w:pPr>
        <w:jc w:val="left"/>
        <w:rPr>
          <w:lang w:val="en-GB"/>
        </w:rPr>
      </w:pPr>
    </w:p>
    <w:p w:rsidR="00FE1AF5" w:rsidRPr="00BD5B6E" w:rsidRDefault="00FE1AF5" w:rsidP="00FE1AF5">
      <w:pPr>
        <w:ind w:left="567"/>
      </w:pPr>
      <w:r w:rsidRPr="00BD5B6E">
        <w:t>•</w:t>
      </w:r>
      <w:r w:rsidRPr="00BD5B6E">
        <w:tab/>
        <w:t>By the end of July 2014, the UPOV Office with assistance from the expert of the United Kingdom would invite participants for the practical exercise.</w:t>
      </w:r>
    </w:p>
    <w:p w:rsidR="00FE1AF5" w:rsidRPr="00BD5B6E" w:rsidRDefault="00FE1AF5" w:rsidP="00FE1AF5">
      <w:pPr>
        <w:ind w:left="567"/>
      </w:pPr>
      <w:r w:rsidRPr="00BD5B6E">
        <w:t>•</w:t>
      </w:r>
      <w:r w:rsidRPr="00BD5B6E">
        <w:tab/>
        <w:t>By the end of September 2014, the expert of the United Kingdom would develop further the DUST module demonstrated at the thirty-second session of the TWC for evaluation by the participants and would prepare code for “R” software for participants that prefer this option to</w:t>
      </w:r>
      <w:r>
        <w:t xml:space="preserve"> the</w:t>
      </w:r>
      <w:r w:rsidRPr="00BD5B6E">
        <w:t xml:space="preserve"> DUST module.</w:t>
      </w:r>
    </w:p>
    <w:p w:rsidR="00FE1AF5" w:rsidRPr="00BD5B6E" w:rsidRDefault="00FE1AF5" w:rsidP="00FE1AF5">
      <w:pPr>
        <w:ind w:left="567"/>
      </w:pPr>
      <w:r w:rsidRPr="00BD5B6E">
        <w:t>•</w:t>
      </w:r>
      <w:r w:rsidRPr="00BD5B6E">
        <w:tab/>
        <w:t>By early October 2014, the expert of the United Kingdom would send details of the practical exercise, including access to software, to the participants</w:t>
      </w:r>
      <w:r>
        <w:t>.</w:t>
      </w:r>
    </w:p>
    <w:p w:rsidR="00754BAA" w:rsidRDefault="00FE1AF5" w:rsidP="00754BAA">
      <w:pPr>
        <w:ind w:left="567"/>
        <w:rPr>
          <w:lang w:eastAsia="ja-JP"/>
        </w:rPr>
      </w:pPr>
      <w:r w:rsidRPr="00BD5B6E">
        <w:t>•</w:t>
      </w:r>
      <w:r w:rsidRPr="00BD5B6E">
        <w:tab/>
        <w:t>By March 15, 2015, participants of the practical exercise should send a report on their experiences to the expert of the United Kingdom.</w:t>
      </w:r>
    </w:p>
    <w:p w:rsidR="00754BAA" w:rsidRDefault="00FE1AF5" w:rsidP="00754BAA">
      <w:pPr>
        <w:ind w:left="567"/>
        <w:rPr>
          <w:lang w:eastAsia="ja-JP"/>
        </w:rPr>
      </w:pPr>
      <w:r w:rsidRPr="00BD5B6E">
        <w:t>•</w:t>
      </w:r>
      <w:r w:rsidRPr="00BD5B6E">
        <w:tab/>
        <w:t>The expert of the United Kingdom would compile a report on the practical exercise and the development of DUST module for the thirty-third session of the TWC.</w:t>
      </w:r>
    </w:p>
    <w:p w:rsidR="00097D5C" w:rsidRDefault="00097D5C" w:rsidP="00864082">
      <w:pPr>
        <w:keepNext/>
        <w:keepLines/>
        <w:rPr>
          <w:color w:val="000000"/>
          <w:lang w:eastAsia="ja-JP"/>
        </w:rPr>
      </w:pPr>
    </w:p>
    <w:p w:rsidR="00253076" w:rsidRDefault="00253076" w:rsidP="00253076">
      <w:pPr>
        <w:keepNext/>
        <w:keepLines/>
        <w:rPr>
          <w:lang w:eastAsia="ja-JP"/>
        </w:rPr>
      </w:pPr>
      <w:r w:rsidRPr="00BD5B6E">
        <w:fldChar w:fldCharType="begin"/>
      </w:r>
      <w:r w:rsidRPr="00BD5B6E">
        <w:instrText xml:space="preserve"> AUTONUM  </w:instrText>
      </w:r>
      <w:r w:rsidRPr="00BD5B6E">
        <w:fldChar w:fldCharType="end"/>
      </w:r>
      <w:r w:rsidRPr="00BD5B6E">
        <w:tab/>
      </w:r>
      <w:r>
        <w:rPr>
          <w:rFonts w:hint="eastAsia"/>
          <w:lang w:eastAsia="ja-JP"/>
        </w:rPr>
        <w:t xml:space="preserve">On July 21, 2014, a circular E 14/193 </w:t>
      </w:r>
      <w:r>
        <w:rPr>
          <w:lang w:eastAsia="ja-JP"/>
        </w:rPr>
        <w:t>“</w:t>
      </w:r>
      <w:r>
        <w:rPr>
          <w:rFonts w:hint="eastAsia"/>
          <w:lang w:eastAsia="ja-JP"/>
        </w:rPr>
        <w:t xml:space="preserve">TWC/32: Participation in Practical </w:t>
      </w:r>
      <w:r>
        <w:rPr>
          <w:lang w:eastAsia="ja-JP"/>
        </w:rPr>
        <w:t>Exercise</w:t>
      </w:r>
      <w:r>
        <w:rPr>
          <w:rFonts w:hint="eastAsia"/>
          <w:lang w:eastAsia="ja-JP"/>
        </w:rPr>
        <w:t xml:space="preserve"> (COYU)</w:t>
      </w:r>
      <w:r>
        <w:rPr>
          <w:lang w:eastAsia="ja-JP"/>
        </w:rPr>
        <w:t>”</w:t>
      </w:r>
      <w:r>
        <w:rPr>
          <w:rFonts w:hint="eastAsia"/>
          <w:lang w:eastAsia="ja-JP"/>
        </w:rPr>
        <w:t xml:space="preserve"> was sent to the TC and the TWC members.  On October 15, 2014, followed by October 21, 2014, for the new version with </w:t>
      </w:r>
      <w:r w:rsidR="0015112C">
        <w:rPr>
          <w:rFonts w:hint="eastAsia"/>
          <w:lang w:eastAsia="ja-JP"/>
        </w:rPr>
        <w:t>explanation</w:t>
      </w:r>
      <w:r>
        <w:rPr>
          <w:rFonts w:hint="eastAsia"/>
          <w:lang w:eastAsia="ja-JP"/>
        </w:rPr>
        <w:t xml:space="preserve">, an expert of the United Kingdom announced the availability of </w:t>
      </w:r>
      <w:r w:rsidRPr="00BD5B6E">
        <w:t>software for participants.</w:t>
      </w:r>
    </w:p>
    <w:p w:rsidR="0015112C" w:rsidRDefault="0015112C" w:rsidP="00253076">
      <w:pPr>
        <w:keepNext/>
        <w:keepLines/>
        <w:rPr>
          <w:lang w:eastAsia="ja-JP"/>
        </w:rPr>
      </w:pPr>
    </w:p>
    <w:p w:rsidR="0015112C" w:rsidRPr="00BD5B6E" w:rsidRDefault="0015112C" w:rsidP="00253076">
      <w:pPr>
        <w:keepNext/>
        <w:keepLines/>
        <w:rPr>
          <w:lang w:eastAsia="ja-JP"/>
        </w:rPr>
      </w:pPr>
    </w:p>
    <w:p w:rsidR="00253076" w:rsidRDefault="00253076" w:rsidP="00864082">
      <w:pPr>
        <w:keepNext/>
        <w:keepLines/>
        <w:rPr>
          <w:color w:val="000000"/>
          <w:lang w:eastAsia="ja-JP"/>
        </w:rPr>
      </w:pPr>
    </w:p>
    <w:p w:rsidR="00097D5C" w:rsidRDefault="00097D5C" w:rsidP="0073381B">
      <w:pPr>
        <w:pStyle w:val="DecisionParagraphs"/>
        <w:tabs>
          <w:tab w:val="left" w:pos="5400"/>
        </w:tabs>
        <w:ind w:left="4820"/>
        <w:rPr>
          <w:iCs/>
          <w:spacing w:val="-4"/>
          <w:sz w:val="20"/>
          <w:lang w:eastAsia="ja-JP"/>
        </w:rPr>
      </w:pPr>
      <w:r w:rsidRPr="00C616F4">
        <w:rPr>
          <w:sz w:val="20"/>
        </w:rPr>
        <w:fldChar w:fldCharType="begin"/>
      </w:r>
      <w:r w:rsidRPr="00C616F4">
        <w:rPr>
          <w:sz w:val="20"/>
        </w:rPr>
        <w:instrText xml:space="preserve"> AUTONUM  </w:instrText>
      </w:r>
      <w:r w:rsidRPr="00C616F4">
        <w:rPr>
          <w:sz w:val="20"/>
        </w:rPr>
        <w:fldChar w:fldCharType="end"/>
      </w:r>
      <w:r w:rsidR="0073381B">
        <w:rPr>
          <w:sz w:val="20"/>
        </w:rPr>
        <w:tab/>
      </w:r>
      <w:r w:rsidRPr="00C616F4">
        <w:rPr>
          <w:iCs/>
          <w:spacing w:val="-4"/>
          <w:sz w:val="20"/>
        </w:rPr>
        <w:t>The TC-EDC is invited to note the information in this document to be presented to the TC and propose any improvements to the document in that regard.</w:t>
      </w:r>
    </w:p>
    <w:p w:rsidR="0015112C" w:rsidRDefault="0015112C" w:rsidP="0073381B">
      <w:pPr>
        <w:pStyle w:val="DecisionParagraphs"/>
        <w:tabs>
          <w:tab w:val="left" w:pos="5400"/>
        </w:tabs>
        <w:ind w:left="4820"/>
        <w:rPr>
          <w:iCs/>
          <w:spacing w:val="-4"/>
          <w:sz w:val="20"/>
          <w:lang w:eastAsia="ja-JP"/>
        </w:rPr>
      </w:pPr>
    </w:p>
    <w:p w:rsidR="0015112C" w:rsidRDefault="0015112C" w:rsidP="0073381B">
      <w:pPr>
        <w:pStyle w:val="DecisionParagraphs"/>
        <w:tabs>
          <w:tab w:val="left" w:pos="5400"/>
        </w:tabs>
        <w:ind w:left="4820"/>
        <w:rPr>
          <w:iCs/>
          <w:spacing w:val="-4"/>
          <w:sz w:val="20"/>
          <w:lang w:eastAsia="ja-JP"/>
        </w:rPr>
      </w:pPr>
    </w:p>
    <w:p w:rsidR="0015112C" w:rsidRDefault="0015112C" w:rsidP="0073381B">
      <w:pPr>
        <w:pStyle w:val="DecisionParagraphs"/>
        <w:tabs>
          <w:tab w:val="left" w:pos="5400"/>
        </w:tabs>
        <w:ind w:left="4820"/>
        <w:rPr>
          <w:iCs/>
          <w:spacing w:val="-4"/>
          <w:sz w:val="20"/>
          <w:lang w:eastAsia="ja-JP"/>
        </w:rPr>
      </w:pPr>
    </w:p>
    <w:p w:rsidR="00612D26" w:rsidRPr="00612D26" w:rsidRDefault="00612D26" w:rsidP="00612D26">
      <w:pPr>
        <w:pStyle w:val="DecisionParagraphs"/>
        <w:tabs>
          <w:tab w:val="left" w:pos="5400"/>
        </w:tabs>
        <w:ind w:left="4820"/>
        <w:jc w:val="right"/>
        <w:rPr>
          <w:i w:val="0"/>
          <w:iCs/>
          <w:spacing w:val="-4"/>
          <w:sz w:val="20"/>
          <w:lang w:eastAsia="ja-JP"/>
        </w:rPr>
      </w:pPr>
      <w:r w:rsidRPr="00612D26">
        <w:rPr>
          <w:rFonts w:hint="eastAsia"/>
          <w:i w:val="0"/>
          <w:iCs/>
          <w:spacing w:val="-4"/>
          <w:sz w:val="20"/>
          <w:lang w:eastAsia="ja-JP"/>
        </w:rPr>
        <w:t>[Annex follows]</w:t>
      </w:r>
    </w:p>
    <w:p w:rsidR="00612D26" w:rsidRDefault="00612D26" w:rsidP="0073381B">
      <w:pPr>
        <w:pStyle w:val="DecisionParagraphs"/>
        <w:tabs>
          <w:tab w:val="left" w:pos="5400"/>
        </w:tabs>
        <w:ind w:left="4820"/>
        <w:rPr>
          <w:iCs/>
          <w:spacing w:val="-4"/>
          <w:sz w:val="20"/>
          <w:lang w:eastAsia="ja-JP"/>
        </w:rPr>
        <w:sectPr w:rsidR="00612D26" w:rsidSect="00655A57">
          <w:headerReference w:type="default" r:id="rId10"/>
          <w:pgSz w:w="11907" w:h="16840" w:code="9"/>
          <w:pgMar w:top="510" w:right="1134" w:bottom="1134" w:left="1134" w:header="510" w:footer="680" w:gutter="0"/>
          <w:pgNumType w:start="1"/>
          <w:cols w:space="720"/>
          <w:titlePg/>
        </w:sectPr>
      </w:pPr>
    </w:p>
    <w:p w:rsidR="00612D26" w:rsidRDefault="00612D26" w:rsidP="00612D26">
      <w:pPr>
        <w:pStyle w:val="DecisionParagraphs"/>
        <w:tabs>
          <w:tab w:val="left" w:pos="5400"/>
        </w:tabs>
        <w:ind w:left="0"/>
        <w:jc w:val="center"/>
        <w:rPr>
          <w:i w:val="0"/>
          <w:iCs/>
          <w:spacing w:val="-4"/>
          <w:sz w:val="20"/>
          <w:lang w:eastAsia="ja-JP"/>
        </w:rPr>
      </w:pPr>
    </w:p>
    <w:p w:rsidR="00612D26" w:rsidRDefault="00612D26" w:rsidP="00612D26">
      <w:pPr>
        <w:pStyle w:val="DecisionParagraphs"/>
        <w:tabs>
          <w:tab w:val="left" w:pos="5400"/>
        </w:tabs>
        <w:ind w:left="0"/>
        <w:jc w:val="center"/>
        <w:rPr>
          <w:i w:val="0"/>
          <w:iCs/>
          <w:spacing w:val="-4"/>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D96D24" w:rsidRDefault="00612D26" w:rsidP="00612D26">
      <w:pPr>
        <w:pStyle w:val="DecisionParagraphs"/>
        <w:tabs>
          <w:tab w:val="left" w:pos="5400"/>
        </w:tabs>
        <w:ind w:left="0"/>
        <w:jc w:val="center"/>
        <w:rPr>
          <w:i w:val="0"/>
          <w:sz w:val="20"/>
          <w:lang w:eastAsia="ja-JP"/>
        </w:rPr>
      </w:pPr>
      <w:r>
        <w:rPr>
          <w:i w:val="0"/>
          <w:noProof/>
          <w:sz w:val="20"/>
        </w:rPr>
        <w:drawing>
          <wp:inline distT="0" distB="0" distL="0" distR="0" wp14:anchorId="786FC5DB">
            <wp:extent cx="4572635" cy="342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612D26" w:rsidRDefault="00612D26" w:rsidP="0073381B">
      <w:pPr>
        <w:pStyle w:val="DecisionParagraphs"/>
        <w:tabs>
          <w:tab w:val="left" w:pos="5400"/>
        </w:tabs>
        <w:ind w:left="4820"/>
        <w:rPr>
          <w:i w:val="0"/>
          <w:sz w:val="20"/>
          <w:lang w:eastAsia="ja-JP"/>
        </w:rPr>
      </w:pPr>
    </w:p>
    <w:p w:rsidR="00612D26" w:rsidRDefault="00612D26" w:rsidP="0073381B">
      <w:pPr>
        <w:pStyle w:val="DecisionParagraphs"/>
        <w:tabs>
          <w:tab w:val="left" w:pos="5400"/>
        </w:tabs>
        <w:ind w:left="4820"/>
        <w:rPr>
          <w:i w:val="0"/>
          <w:sz w:val="20"/>
          <w:lang w:eastAsia="ja-JP"/>
        </w:rPr>
      </w:pPr>
    </w:p>
    <w:p w:rsidR="00612D26" w:rsidRDefault="00612D26" w:rsidP="0073381B">
      <w:pPr>
        <w:pStyle w:val="DecisionParagraphs"/>
        <w:tabs>
          <w:tab w:val="left" w:pos="5400"/>
        </w:tabs>
        <w:ind w:left="4820"/>
        <w:rPr>
          <w:i w:val="0"/>
          <w:sz w:val="20"/>
          <w:lang w:eastAsia="ja-JP"/>
        </w:rPr>
      </w:pPr>
    </w:p>
    <w:p w:rsidR="00612D26" w:rsidRDefault="00612D26" w:rsidP="0073381B">
      <w:pPr>
        <w:pStyle w:val="DecisionParagraphs"/>
        <w:tabs>
          <w:tab w:val="left" w:pos="5400"/>
        </w:tabs>
        <w:ind w:left="4820"/>
        <w:rPr>
          <w:i w:val="0"/>
          <w:sz w:val="20"/>
          <w:lang w:eastAsia="ja-JP"/>
        </w:rPr>
      </w:pPr>
    </w:p>
    <w:p w:rsidR="00612D26" w:rsidRDefault="00612D26" w:rsidP="0073381B">
      <w:pPr>
        <w:pStyle w:val="DecisionParagraphs"/>
        <w:tabs>
          <w:tab w:val="left" w:pos="5400"/>
        </w:tabs>
        <w:ind w:left="4820"/>
        <w:rPr>
          <w:i w:val="0"/>
          <w:sz w:val="20"/>
          <w:lang w:eastAsia="ja-JP"/>
        </w:rPr>
      </w:pPr>
    </w:p>
    <w:p w:rsidR="00612D26" w:rsidRDefault="00612D26" w:rsidP="0073381B">
      <w:pPr>
        <w:pStyle w:val="DecisionParagraphs"/>
        <w:tabs>
          <w:tab w:val="left" w:pos="5400"/>
        </w:tabs>
        <w:ind w:left="4820"/>
        <w:rPr>
          <w:i w:val="0"/>
          <w:sz w:val="20"/>
          <w:lang w:eastAsia="ja-JP"/>
        </w:rPr>
      </w:pPr>
    </w:p>
    <w:p w:rsidR="00612D26" w:rsidRDefault="00612D26" w:rsidP="0073381B">
      <w:pPr>
        <w:pStyle w:val="DecisionParagraphs"/>
        <w:tabs>
          <w:tab w:val="left" w:pos="5400"/>
        </w:tabs>
        <w:ind w:left="4820"/>
        <w:rPr>
          <w:i w:val="0"/>
          <w:sz w:val="20"/>
          <w:lang w:eastAsia="ja-JP"/>
        </w:rPr>
      </w:pPr>
    </w:p>
    <w:p w:rsidR="00612D26" w:rsidRDefault="00612D26" w:rsidP="00612D26">
      <w:pPr>
        <w:pStyle w:val="DecisionParagraphs"/>
        <w:tabs>
          <w:tab w:val="left" w:pos="5400"/>
        </w:tabs>
        <w:ind w:left="0"/>
        <w:jc w:val="center"/>
        <w:rPr>
          <w:i w:val="0"/>
          <w:sz w:val="20"/>
          <w:lang w:eastAsia="ja-JP"/>
        </w:rPr>
      </w:pPr>
      <w:r w:rsidRPr="00612D26">
        <w:rPr>
          <w:i w:val="0"/>
          <w:noProof/>
          <w:sz w:val="20"/>
        </w:rPr>
        <w:drawing>
          <wp:inline distT="0" distB="0" distL="0" distR="0" wp14:anchorId="6EE583E7" wp14:editId="76021978">
            <wp:extent cx="4572638"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72638" cy="3429479"/>
                    </a:xfrm>
                    <a:prstGeom prst="rect">
                      <a:avLst/>
                    </a:prstGeom>
                  </pic:spPr>
                </pic:pic>
              </a:graphicData>
            </a:graphic>
          </wp:inline>
        </w:drawing>
      </w: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r w:rsidRPr="00612D26">
        <w:rPr>
          <w:i w:val="0"/>
          <w:noProof/>
          <w:sz w:val="20"/>
        </w:rPr>
        <w:drawing>
          <wp:inline distT="0" distB="0" distL="0" distR="0" wp14:anchorId="5D92B3AA" wp14:editId="60036F20">
            <wp:extent cx="4572638"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638" cy="3429479"/>
                    </a:xfrm>
                    <a:prstGeom prst="rect">
                      <a:avLst/>
                    </a:prstGeom>
                  </pic:spPr>
                </pic:pic>
              </a:graphicData>
            </a:graphic>
          </wp:inline>
        </w:drawing>
      </w: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r w:rsidRPr="00612D26">
        <w:rPr>
          <w:i w:val="0"/>
          <w:noProof/>
          <w:sz w:val="20"/>
        </w:rPr>
        <w:drawing>
          <wp:inline distT="0" distB="0" distL="0" distR="0" wp14:anchorId="74E3780C" wp14:editId="55816B01">
            <wp:extent cx="4572638"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72638" cy="3429479"/>
                    </a:xfrm>
                    <a:prstGeom prst="rect">
                      <a:avLst/>
                    </a:prstGeom>
                  </pic:spPr>
                </pic:pic>
              </a:graphicData>
            </a:graphic>
          </wp:inline>
        </w:drawing>
      </w: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r w:rsidRPr="00612D26">
        <w:rPr>
          <w:i w:val="0"/>
          <w:noProof/>
          <w:sz w:val="20"/>
        </w:rPr>
        <w:drawing>
          <wp:inline distT="0" distB="0" distL="0" distR="0" wp14:anchorId="41996286" wp14:editId="346585AC">
            <wp:extent cx="4572638"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pic:spPr>
                </pic:pic>
              </a:graphicData>
            </a:graphic>
          </wp:inline>
        </w:drawing>
      </w: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r w:rsidRPr="00612D26">
        <w:rPr>
          <w:i w:val="0"/>
          <w:noProof/>
          <w:sz w:val="20"/>
        </w:rPr>
        <w:drawing>
          <wp:inline distT="0" distB="0" distL="0" distR="0" wp14:anchorId="03D50C08" wp14:editId="1F3B52CB">
            <wp:extent cx="4572638" cy="34294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pic:spPr>
                </pic:pic>
              </a:graphicData>
            </a:graphic>
          </wp:inline>
        </w:drawing>
      </w: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r w:rsidRPr="00612D26">
        <w:rPr>
          <w:i w:val="0"/>
          <w:noProof/>
          <w:sz w:val="20"/>
        </w:rPr>
        <w:drawing>
          <wp:inline distT="0" distB="0" distL="0" distR="0" wp14:anchorId="5BDCC9C8" wp14:editId="4035DAA4">
            <wp:extent cx="4572638" cy="3429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pic:spPr>
                </pic:pic>
              </a:graphicData>
            </a:graphic>
          </wp:inline>
        </w:drawing>
      </w: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r w:rsidRPr="00612D26">
        <w:rPr>
          <w:i w:val="0"/>
          <w:noProof/>
          <w:sz w:val="20"/>
        </w:rPr>
        <w:drawing>
          <wp:inline distT="0" distB="0" distL="0" distR="0" wp14:anchorId="518569B6" wp14:editId="063541D0">
            <wp:extent cx="4572638" cy="34294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pic:spPr>
                </pic:pic>
              </a:graphicData>
            </a:graphic>
          </wp:inline>
        </w:drawing>
      </w: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r w:rsidRPr="00612D26">
        <w:rPr>
          <w:i w:val="0"/>
          <w:noProof/>
          <w:sz w:val="20"/>
        </w:rPr>
        <w:drawing>
          <wp:inline distT="0" distB="0" distL="0" distR="0" wp14:anchorId="6CAC06F1" wp14:editId="1E93361A">
            <wp:extent cx="4572638" cy="34294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pic:spPr>
                </pic:pic>
              </a:graphicData>
            </a:graphic>
          </wp:inline>
        </w:drawing>
      </w: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r w:rsidRPr="00612D26">
        <w:rPr>
          <w:i w:val="0"/>
          <w:noProof/>
          <w:sz w:val="20"/>
        </w:rPr>
        <w:drawing>
          <wp:inline distT="0" distB="0" distL="0" distR="0" wp14:anchorId="3AF12F14" wp14:editId="51A7E01E">
            <wp:extent cx="4572638" cy="34294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pic:spPr>
                </pic:pic>
              </a:graphicData>
            </a:graphic>
          </wp:inline>
        </w:drawing>
      </w: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r w:rsidRPr="00612D26">
        <w:rPr>
          <w:i w:val="0"/>
          <w:noProof/>
          <w:sz w:val="20"/>
        </w:rPr>
        <w:drawing>
          <wp:inline distT="0" distB="0" distL="0" distR="0" wp14:anchorId="1B7CB9F5" wp14:editId="1AF6B12A">
            <wp:extent cx="4572638" cy="34294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72638" cy="3429479"/>
                    </a:xfrm>
                    <a:prstGeom prst="rect">
                      <a:avLst/>
                    </a:prstGeom>
                  </pic:spPr>
                </pic:pic>
              </a:graphicData>
            </a:graphic>
          </wp:inline>
        </w:drawing>
      </w: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r w:rsidRPr="00612D26">
        <w:rPr>
          <w:i w:val="0"/>
          <w:noProof/>
          <w:sz w:val="20"/>
        </w:rPr>
        <w:drawing>
          <wp:inline distT="0" distB="0" distL="0" distR="0" wp14:anchorId="461BB111" wp14:editId="2F64BBEF">
            <wp:extent cx="4572638" cy="34294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2638" cy="3429479"/>
                    </a:xfrm>
                    <a:prstGeom prst="rect">
                      <a:avLst/>
                    </a:prstGeom>
                  </pic:spPr>
                </pic:pic>
              </a:graphicData>
            </a:graphic>
          </wp:inline>
        </w:drawing>
      </w: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r w:rsidRPr="00612D26">
        <w:rPr>
          <w:i w:val="0"/>
          <w:noProof/>
          <w:sz w:val="20"/>
        </w:rPr>
        <w:drawing>
          <wp:inline distT="0" distB="0" distL="0" distR="0" wp14:anchorId="3EFD8BE2" wp14:editId="1FEC2A34">
            <wp:extent cx="4572638" cy="34294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2638" cy="3429479"/>
                    </a:xfrm>
                    <a:prstGeom prst="rect">
                      <a:avLst/>
                    </a:prstGeom>
                  </pic:spPr>
                </pic:pic>
              </a:graphicData>
            </a:graphic>
          </wp:inline>
        </w:drawing>
      </w: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r w:rsidRPr="00612D26">
        <w:rPr>
          <w:i w:val="0"/>
          <w:noProof/>
          <w:sz w:val="20"/>
        </w:rPr>
        <w:drawing>
          <wp:inline distT="0" distB="0" distL="0" distR="0" wp14:anchorId="6B0D105C" wp14:editId="6F397787">
            <wp:extent cx="4572638" cy="34294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72638" cy="3429479"/>
                    </a:xfrm>
                    <a:prstGeom prst="rect">
                      <a:avLst/>
                    </a:prstGeom>
                  </pic:spPr>
                </pic:pic>
              </a:graphicData>
            </a:graphic>
          </wp:inline>
        </w:drawing>
      </w: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r w:rsidRPr="00612D26">
        <w:rPr>
          <w:i w:val="0"/>
          <w:noProof/>
          <w:sz w:val="20"/>
        </w:rPr>
        <w:drawing>
          <wp:inline distT="0" distB="0" distL="0" distR="0" wp14:anchorId="7EBD79EE" wp14:editId="45FB9686">
            <wp:extent cx="4572638" cy="342947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72638" cy="3429479"/>
                    </a:xfrm>
                    <a:prstGeom prst="rect">
                      <a:avLst/>
                    </a:prstGeom>
                  </pic:spPr>
                </pic:pic>
              </a:graphicData>
            </a:graphic>
          </wp:inline>
        </w:drawing>
      </w:r>
    </w:p>
    <w:p w:rsidR="00612D26" w:rsidRDefault="00612D26" w:rsidP="00612D26">
      <w:pPr>
        <w:pStyle w:val="DecisionParagraphs"/>
        <w:tabs>
          <w:tab w:val="left" w:pos="5400"/>
        </w:tabs>
        <w:ind w:left="0"/>
        <w:jc w:val="center"/>
        <w:rPr>
          <w:i w:val="0"/>
          <w:sz w:val="20"/>
          <w:lang w:eastAsia="ja-JP"/>
        </w:rPr>
      </w:pPr>
    </w:p>
    <w:p w:rsidR="00612D26" w:rsidRDefault="00612D26" w:rsidP="00612D26">
      <w:pPr>
        <w:pStyle w:val="DecisionParagraphs"/>
        <w:tabs>
          <w:tab w:val="left" w:pos="5400"/>
        </w:tabs>
        <w:ind w:left="0"/>
        <w:jc w:val="center"/>
        <w:rPr>
          <w:i w:val="0"/>
          <w:sz w:val="20"/>
          <w:lang w:eastAsia="ja-JP"/>
        </w:rPr>
      </w:pPr>
    </w:p>
    <w:p w:rsidR="00612D26" w:rsidRDefault="00612D26" w:rsidP="0073381B">
      <w:pPr>
        <w:pStyle w:val="DecisionParagraphs"/>
        <w:tabs>
          <w:tab w:val="left" w:pos="5400"/>
        </w:tabs>
        <w:ind w:left="4820"/>
        <w:rPr>
          <w:i w:val="0"/>
          <w:sz w:val="20"/>
          <w:lang w:eastAsia="ja-JP"/>
        </w:rPr>
      </w:pPr>
    </w:p>
    <w:p w:rsidR="00612D26" w:rsidRPr="00612D26" w:rsidRDefault="00612D26" w:rsidP="0073381B">
      <w:pPr>
        <w:pStyle w:val="DecisionParagraphs"/>
        <w:tabs>
          <w:tab w:val="left" w:pos="5400"/>
        </w:tabs>
        <w:ind w:left="4820"/>
        <w:rPr>
          <w:i w:val="0"/>
          <w:sz w:val="20"/>
          <w:lang w:eastAsia="ja-JP"/>
        </w:rPr>
      </w:pPr>
    </w:p>
    <w:p w:rsidR="0047445B" w:rsidRPr="00612D26" w:rsidRDefault="00655A57" w:rsidP="0047445B">
      <w:pPr>
        <w:pStyle w:val="Header"/>
        <w:ind w:right="200"/>
        <w:jc w:val="right"/>
        <w:rPr>
          <w:lang w:val="en-US"/>
        </w:rPr>
      </w:pPr>
      <w:r w:rsidRPr="00612D26">
        <w:rPr>
          <w:lang w:val="en-US"/>
        </w:rPr>
        <w:t xml:space="preserve"> [End </w:t>
      </w:r>
      <w:r w:rsidR="0047445B" w:rsidRPr="00612D26">
        <w:rPr>
          <w:lang w:val="en-US"/>
        </w:rPr>
        <w:t xml:space="preserve">of </w:t>
      </w:r>
      <w:r w:rsidR="00612D26">
        <w:rPr>
          <w:rFonts w:hint="eastAsia"/>
          <w:lang w:val="en-US" w:eastAsia="ja-JP"/>
        </w:rPr>
        <w:t xml:space="preserve">Annex and of </w:t>
      </w:r>
      <w:r w:rsidR="0047445B" w:rsidRPr="00612D26">
        <w:rPr>
          <w:lang w:val="en-US"/>
        </w:rPr>
        <w:t>document]</w:t>
      </w:r>
    </w:p>
    <w:sectPr w:rsidR="0047445B" w:rsidRPr="00612D26" w:rsidSect="00655A57">
      <w:headerReference w:type="default" r:id="rId25"/>
      <w:headerReference w:type="first" r:id="rId2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BFF" w:rsidRDefault="00E01BFF" w:rsidP="006655D3">
      <w:r>
        <w:separator/>
      </w:r>
    </w:p>
    <w:p w:rsidR="00E01BFF" w:rsidRDefault="00E01BFF" w:rsidP="006655D3"/>
    <w:p w:rsidR="00E01BFF" w:rsidRDefault="00E01BFF" w:rsidP="006655D3"/>
  </w:endnote>
  <w:endnote w:type="continuationSeparator" w:id="0">
    <w:p w:rsidR="00E01BFF" w:rsidRDefault="00E01BFF" w:rsidP="006655D3">
      <w:r>
        <w:separator/>
      </w:r>
    </w:p>
    <w:p w:rsidR="00E01BFF" w:rsidRPr="00311399" w:rsidRDefault="00E01BFF">
      <w:pPr>
        <w:pStyle w:val="Footer"/>
        <w:spacing w:after="60"/>
        <w:rPr>
          <w:sz w:val="18"/>
          <w:lang w:val="fr-CH"/>
        </w:rPr>
      </w:pPr>
      <w:r w:rsidRPr="00311399">
        <w:rPr>
          <w:sz w:val="18"/>
          <w:lang w:val="fr-CH"/>
        </w:rPr>
        <w:t>[Suite de la note de la page précédente]</w:t>
      </w:r>
    </w:p>
    <w:p w:rsidR="00E01BFF" w:rsidRPr="00311399" w:rsidRDefault="00E01BFF" w:rsidP="006655D3">
      <w:pPr>
        <w:rPr>
          <w:lang w:val="fr-CH"/>
        </w:rPr>
      </w:pPr>
    </w:p>
    <w:p w:rsidR="00E01BFF" w:rsidRPr="00311399" w:rsidRDefault="00E01BFF" w:rsidP="006655D3">
      <w:pPr>
        <w:rPr>
          <w:lang w:val="fr-CH"/>
        </w:rPr>
      </w:pPr>
    </w:p>
  </w:endnote>
  <w:endnote w:type="continuationNotice" w:id="1">
    <w:p w:rsidR="00E01BFF" w:rsidRPr="00311399" w:rsidRDefault="00E01BFF" w:rsidP="006655D3">
      <w:pPr>
        <w:rPr>
          <w:lang w:val="fr-CH"/>
        </w:rPr>
      </w:pPr>
      <w:r w:rsidRPr="00311399">
        <w:rPr>
          <w:lang w:val="fr-CH"/>
        </w:rPr>
        <w:t>[Suite de la note page suivante]</w:t>
      </w:r>
    </w:p>
    <w:p w:rsidR="00E01BFF" w:rsidRPr="00311399" w:rsidRDefault="00E01BFF" w:rsidP="006655D3">
      <w:pPr>
        <w:rPr>
          <w:lang w:val="fr-CH"/>
        </w:rPr>
      </w:pPr>
    </w:p>
    <w:p w:rsidR="00E01BFF" w:rsidRPr="00311399" w:rsidRDefault="00E01BFF"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BFF" w:rsidRDefault="00E01BFF" w:rsidP="006655D3">
      <w:r>
        <w:separator/>
      </w:r>
    </w:p>
  </w:footnote>
  <w:footnote w:type="continuationSeparator" w:id="0">
    <w:p w:rsidR="00E01BFF" w:rsidRDefault="00E01BFF" w:rsidP="006655D3">
      <w:r>
        <w:separator/>
      </w:r>
    </w:p>
    <w:p w:rsidR="00E01BFF" w:rsidRPr="00311399" w:rsidRDefault="00E01BFF">
      <w:pPr>
        <w:pStyle w:val="Footer"/>
        <w:spacing w:after="60"/>
        <w:rPr>
          <w:sz w:val="18"/>
          <w:lang w:val="fr-CH"/>
        </w:rPr>
      </w:pPr>
      <w:r w:rsidRPr="00311399">
        <w:rPr>
          <w:sz w:val="18"/>
          <w:lang w:val="fr-CH"/>
        </w:rPr>
        <w:t>[Suite de la note de la page précédente]</w:t>
      </w:r>
    </w:p>
    <w:p w:rsidR="00E01BFF" w:rsidRPr="00311399" w:rsidRDefault="00E01BFF" w:rsidP="006655D3">
      <w:pPr>
        <w:rPr>
          <w:lang w:val="fr-CH"/>
        </w:rPr>
      </w:pPr>
    </w:p>
    <w:p w:rsidR="00E01BFF" w:rsidRPr="00311399" w:rsidRDefault="00E01BFF" w:rsidP="006655D3">
      <w:pPr>
        <w:rPr>
          <w:lang w:val="fr-CH"/>
        </w:rPr>
      </w:pPr>
    </w:p>
    <w:p w:rsidR="00E01BFF" w:rsidRPr="00311399" w:rsidRDefault="00E01BFF" w:rsidP="006655D3">
      <w:pPr>
        <w:rPr>
          <w:lang w:val="fr-CH"/>
        </w:rPr>
      </w:pPr>
    </w:p>
  </w:footnote>
  <w:footnote w:type="continuationNotice" w:id="1">
    <w:p w:rsidR="00E01BFF" w:rsidRPr="00311399" w:rsidRDefault="00E01BFF" w:rsidP="006655D3">
      <w:pPr>
        <w:rPr>
          <w:lang w:val="fr-CH"/>
        </w:rPr>
      </w:pPr>
      <w:r w:rsidRPr="00311399">
        <w:rPr>
          <w:lang w:val="fr-CH"/>
        </w:rPr>
        <w:t>[Suite de la note page suivante]</w:t>
      </w:r>
    </w:p>
    <w:p w:rsidR="00E01BFF" w:rsidRPr="00311399" w:rsidRDefault="00E01BFF" w:rsidP="006655D3">
      <w:pPr>
        <w:rPr>
          <w:lang w:val="fr-CH"/>
        </w:rPr>
      </w:pPr>
    </w:p>
    <w:p w:rsidR="00E01BFF" w:rsidRPr="00311399" w:rsidRDefault="00E01BFF"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540676"/>
      <w:docPartObj>
        <w:docPartGallery w:val="Page Numbers (Top of Page)"/>
        <w:docPartUnique/>
      </w:docPartObj>
    </w:sdtPr>
    <w:sdtEndPr>
      <w:rPr>
        <w:noProof/>
      </w:rPr>
    </w:sdtEndPr>
    <w:sdtContent>
      <w:p w:rsidR="00E01BFF" w:rsidRPr="00824A90" w:rsidRDefault="00E01BFF" w:rsidP="002F2BDB">
        <w:pPr>
          <w:pStyle w:val="Header"/>
          <w:rPr>
            <w:lang w:val="en-US" w:eastAsia="ja-JP"/>
          </w:rPr>
        </w:pPr>
        <w:r w:rsidRPr="00824A90">
          <w:rPr>
            <w:lang w:val="en-US"/>
          </w:rPr>
          <w:t>TC-EDC/Jan1</w:t>
        </w:r>
        <w:r w:rsidR="00655A57">
          <w:rPr>
            <w:rFonts w:hint="eastAsia"/>
            <w:lang w:val="en-US" w:eastAsia="ja-JP"/>
          </w:rPr>
          <w:t>5</w:t>
        </w:r>
        <w:r w:rsidR="00655A57">
          <w:rPr>
            <w:lang w:val="en-US"/>
          </w:rPr>
          <w:t>/</w:t>
        </w:r>
        <w:r w:rsidR="00655A57">
          <w:rPr>
            <w:rFonts w:hint="eastAsia"/>
            <w:lang w:val="en-US" w:eastAsia="ja-JP"/>
          </w:rPr>
          <w:t>7</w:t>
        </w:r>
      </w:p>
      <w:p w:rsidR="00E01BFF" w:rsidRPr="00824A90" w:rsidRDefault="00E01BFF" w:rsidP="002F2BDB">
        <w:pPr>
          <w:pStyle w:val="Header"/>
          <w:rPr>
            <w:lang w:val="en-US"/>
          </w:rPr>
        </w:pPr>
        <w:proofErr w:type="gramStart"/>
        <w:r w:rsidRPr="00824A90">
          <w:rPr>
            <w:lang w:val="en-US"/>
          </w:rPr>
          <w:t>page</w:t>
        </w:r>
        <w:proofErr w:type="gramEnd"/>
        <w:r w:rsidRPr="00824A90">
          <w:rPr>
            <w:lang w:val="en-US"/>
          </w:rPr>
          <w:t xml:space="preserve"> </w:t>
        </w:r>
        <w:r>
          <w:fldChar w:fldCharType="begin"/>
        </w:r>
        <w:r w:rsidRPr="00824A90">
          <w:rPr>
            <w:lang w:val="en-US"/>
          </w:rPr>
          <w:instrText xml:space="preserve"> PAGE   \* MERGEFORMAT </w:instrText>
        </w:r>
        <w:r>
          <w:fldChar w:fldCharType="separate"/>
        </w:r>
        <w:r w:rsidR="00AA1A28">
          <w:rPr>
            <w:noProof/>
            <w:lang w:val="en-US"/>
          </w:rPr>
          <w:t>2</w:t>
        </w:r>
        <w:r>
          <w:rPr>
            <w:noProof/>
          </w:rPr>
          <w:fldChar w:fldCharType="end"/>
        </w:r>
      </w:p>
    </w:sdtContent>
  </w:sdt>
  <w:p w:rsidR="00E01BFF" w:rsidRPr="00E96CD3" w:rsidRDefault="00E01BFF"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480528"/>
      <w:docPartObj>
        <w:docPartGallery w:val="Page Numbers (Top of Page)"/>
        <w:docPartUnique/>
      </w:docPartObj>
    </w:sdtPr>
    <w:sdtEndPr>
      <w:rPr>
        <w:noProof/>
      </w:rPr>
    </w:sdtEndPr>
    <w:sdtContent>
      <w:p w:rsidR="00612D26" w:rsidRPr="00824A90" w:rsidRDefault="00612D26" w:rsidP="002F2BDB">
        <w:pPr>
          <w:pStyle w:val="Header"/>
          <w:rPr>
            <w:lang w:val="en-US" w:eastAsia="ja-JP"/>
          </w:rPr>
        </w:pPr>
        <w:r w:rsidRPr="00824A90">
          <w:rPr>
            <w:lang w:val="en-US"/>
          </w:rPr>
          <w:t>TC-EDC/Jan1</w:t>
        </w:r>
        <w:r>
          <w:rPr>
            <w:rFonts w:hint="eastAsia"/>
            <w:lang w:val="en-US" w:eastAsia="ja-JP"/>
          </w:rPr>
          <w:t>5</w:t>
        </w:r>
        <w:r>
          <w:rPr>
            <w:lang w:val="en-US"/>
          </w:rPr>
          <w:t>/</w:t>
        </w:r>
        <w:r>
          <w:rPr>
            <w:rFonts w:hint="eastAsia"/>
            <w:lang w:val="en-US" w:eastAsia="ja-JP"/>
          </w:rPr>
          <w:t>7</w:t>
        </w:r>
      </w:p>
      <w:p w:rsidR="00612D26" w:rsidRPr="00824A90" w:rsidRDefault="00612D26" w:rsidP="002F2BDB">
        <w:pPr>
          <w:pStyle w:val="Header"/>
          <w:rPr>
            <w:lang w:val="en-US"/>
          </w:rPr>
        </w:pPr>
        <w:r>
          <w:rPr>
            <w:rFonts w:hint="eastAsia"/>
            <w:lang w:val="en-US" w:eastAsia="ja-JP"/>
          </w:rPr>
          <w:t xml:space="preserve">Annex, </w:t>
        </w:r>
        <w:r w:rsidRPr="00824A90">
          <w:rPr>
            <w:lang w:val="en-US"/>
          </w:rPr>
          <w:t xml:space="preserve">page </w:t>
        </w:r>
        <w:r>
          <w:fldChar w:fldCharType="begin"/>
        </w:r>
        <w:r w:rsidRPr="00824A90">
          <w:rPr>
            <w:lang w:val="en-US"/>
          </w:rPr>
          <w:instrText xml:space="preserve"> PAGE   \* MERGEFORMAT </w:instrText>
        </w:r>
        <w:r>
          <w:fldChar w:fldCharType="separate"/>
        </w:r>
        <w:r w:rsidR="00AA1A28">
          <w:rPr>
            <w:noProof/>
            <w:lang w:val="en-US"/>
          </w:rPr>
          <w:t>2</w:t>
        </w:r>
        <w:r>
          <w:rPr>
            <w:noProof/>
          </w:rPr>
          <w:fldChar w:fldCharType="end"/>
        </w:r>
      </w:p>
    </w:sdtContent>
  </w:sdt>
  <w:p w:rsidR="00612D26" w:rsidRPr="00E96CD3" w:rsidRDefault="00612D26"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674024"/>
      <w:docPartObj>
        <w:docPartGallery w:val="Page Numbers (Top of Page)"/>
        <w:docPartUnique/>
      </w:docPartObj>
    </w:sdtPr>
    <w:sdtEndPr>
      <w:rPr>
        <w:noProof/>
      </w:rPr>
    </w:sdtEndPr>
    <w:sdtContent>
      <w:p w:rsidR="00612D26" w:rsidRDefault="00612D26">
        <w:pPr>
          <w:pStyle w:val="Header"/>
          <w:rPr>
            <w:lang w:eastAsia="ja-JP"/>
          </w:rPr>
        </w:pPr>
        <w:r>
          <w:rPr>
            <w:rFonts w:hint="eastAsia"/>
            <w:lang w:eastAsia="ja-JP"/>
          </w:rPr>
          <w:t>TC-EDC/Jan 15/7</w:t>
        </w:r>
      </w:p>
      <w:p w:rsidR="00612D26" w:rsidRDefault="00612D26">
        <w:pPr>
          <w:pStyle w:val="Header"/>
          <w:rPr>
            <w:lang w:eastAsia="ja-JP"/>
          </w:rPr>
        </w:pPr>
      </w:p>
      <w:p w:rsidR="00612D26" w:rsidRDefault="00612D26">
        <w:pPr>
          <w:pStyle w:val="Header"/>
        </w:pPr>
        <w:r>
          <w:rPr>
            <w:rFonts w:hint="eastAsia"/>
            <w:lang w:eastAsia="ja-JP"/>
          </w:rPr>
          <w:t>ANNEX</w:t>
        </w:r>
      </w:p>
    </w:sdtContent>
  </w:sdt>
  <w:p w:rsidR="00612D26" w:rsidRDefault="00612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4">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493B7D"/>
    <w:multiLevelType w:val="hybridMultilevel"/>
    <w:tmpl w:val="C756D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C214FD4"/>
    <w:multiLevelType w:val="hybridMultilevel"/>
    <w:tmpl w:val="710C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4"/>
  </w:num>
  <w:num w:numId="6">
    <w:abstractNumId w:val="2"/>
  </w:num>
  <w:num w:numId="7">
    <w:abstractNumId w:val="7"/>
  </w:num>
  <w:num w:numId="8">
    <w:abstractNumId w:val="6"/>
  </w:num>
  <w:num w:numId="9">
    <w:abstractNumId w:val="8"/>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10CF3"/>
    <w:rsid w:val="00011E27"/>
    <w:rsid w:val="000148BC"/>
    <w:rsid w:val="00021B2D"/>
    <w:rsid w:val="00024AB8"/>
    <w:rsid w:val="00030854"/>
    <w:rsid w:val="00036028"/>
    <w:rsid w:val="00036F8F"/>
    <w:rsid w:val="00044642"/>
    <w:rsid w:val="000446B9"/>
    <w:rsid w:val="00047E21"/>
    <w:rsid w:val="00083EE0"/>
    <w:rsid w:val="00085505"/>
    <w:rsid w:val="00097D5C"/>
    <w:rsid w:val="000C23A8"/>
    <w:rsid w:val="000C7021"/>
    <w:rsid w:val="000C7C99"/>
    <w:rsid w:val="000D6BBC"/>
    <w:rsid w:val="000D7780"/>
    <w:rsid w:val="00105929"/>
    <w:rsid w:val="00107F66"/>
    <w:rsid w:val="001131D5"/>
    <w:rsid w:val="00125EFC"/>
    <w:rsid w:val="00141DB8"/>
    <w:rsid w:val="001451AC"/>
    <w:rsid w:val="0015112C"/>
    <w:rsid w:val="00165CF3"/>
    <w:rsid w:val="00171C75"/>
    <w:rsid w:val="0017474A"/>
    <w:rsid w:val="001758C6"/>
    <w:rsid w:val="00182B99"/>
    <w:rsid w:val="001A4241"/>
    <w:rsid w:val="001E0BE7"/>
    <w:rsid w:val="001E30F9"/>
    <w:rsid w:val="002126CE"/>
    <w:rsid w:val="0021332C"/>
    <w:rsid w:val="00213982"/>
    <w:rsid w:val="0024416D"/>
    <w:rsid w:val="002446EF"/>
    <w:rsid w:val="00246A94"/>
    <w:rsid w:val="00253076"/>
    <w:rsid w:val="00266165"/>
    <w:rsid w:val="002800A0"/>
    <w:rsid w:val="002801B3"/>
    <w:rsid w:val="00281060"/>
    <w:rsid w:val="002940E8"/>
    <w:rsid w:val="002A6E50"/>
    <w:rsid w:val="002C0481"/>
    <w:rsid w:val="002C256A"/>
    <w:rsid w:val="002C30F1"/>
    <w:rsid w:val="002D0191"/>
    <w:rsid w:val="002F2BDB"/>
    <w:rsid w:val="00305A7F"/>
    <w:rsid w:val="00311399"/>
    <w:rsid w:val="00311FB0"/>
    <w:rsid w:val="003152FE"/>
    <w:rsid w:val="00327436"/>
    <w:rsid w:val="00344BD6"/>
    <w:rsid w:val="0035528D"/>
    <w:rsid w:val="00361821"/>
    <w:rsid w:val="003A173D"/>
    <w:rsid w:val="003D227C"/>
    <w:rsid w:val="003D2B4D"/>
    <w:rsid w:val="003D620E"/>
    <w:rsid w:val="003E174C"/>
    <w:rsid w:val="00444A88"/>
    <w:rsid w:val="00472D31"/>
    <w:rsid w:val="0047445B"/>
    <w:rsid w:val="00474DA4"/>
    <w:rsid w:val="00476B4D"/>
    <w:rsid w:val="004805FA"/>
    <w:rsid w:val="00494A5B"/>
    <w:rsid w:val="004D047D"/>
    <w:rsid w:val="004D3B68"/>
    <w:rsid w:val="004F305A"/>
    <w:rsid w:val="00512164"/>
    <w:rsid w:val="00520297"/>
    <w:rsid w:val="005338F9"/>
    <w:rsid w:val="0054281C"/>
    <w:rsid w:val="0055268D"/>
    <w:rsid w:val="00576BE4"/>
    <w:rsid w:val="005A400A"/>
    <w:rsid w:val="005B21A1"/>
    <w:rsid w:val="00612379"/>
    <w:rsid w:val="00612D26"/>
    <w:rsid w:val="0061555F"/>
    <w:rsid w:val="00616CF7"/>
    <w:rsid w:val="00641200"/>
    <w:rsid w:val="00655A57"/>
    <w:rsid w:val="00655FE0"/>
    <w:rsid w:val="006655D3"/>
    <w:rsid w:val="00682F1A"/>
    <w:rsid w:val="00687EB4"/>
    <w:rsid w:val="00692DEB"/>
    <w:rsid w:val="006B17D2"/>
    <w:rsid w:val="006B3329"/>
    <w:rsid w:val="006C224E"/>
    <w:rsid w:val="006D780A"/>
    <w:rsid w:val="00721915"/>
    <w:rsid w:val="00732DEC"/>
    <w:rsid w:val="0073381B"/>
    <w:rsid w:val="00735BD5"/>
    <w:rsid w:val="00754BAA"/>
    <w:rsid w:val="007556F6"/>
    <w:rsid w:val="00760EEF"/>
    <w:rsid w:val="0077020F"/>
    <w:rsid w:val="00777EE5"/>
    <w:rsid w:val="00784836"/>
    <w:rsid w:val="007878E4"/>
    <w:rsid w:val="0079023E"/>
    <w:rsid w:val="007A2854"/>
    <w:rsid w:val="007D0B9D"/>
    <w:rsid w:val="007D19B0"/>
    <w:rsid w:val="007F027D"/>
    <w:rsid w:val="007F498F"/>
    <w:rsid w:val="0080679D"/>
    <w:rsid w:val="008108B0"/>
    <w:rsid w:val="00811B20"/>
    <w:rsid w:val="0082296E"/>
    <w:rsid w:val="00824099"/>
    <w:rsid w:val="00824A90"/>
    <w:rsid w:val="00864082"/>
    <w:rsid w:val="00867AC1"/>
    <w:rsid w:val="008A743F"/>
    <w:rsid w:val="008C0970"/>
    <w:rsid w:val="008D0460"/>
    <w:rsid w:val="008D2CF7"/>
    <w:rsid w:val="00900C26"/>
    <w:rsid w:val="0090197F"/>
    <w:rsid w:val="00906DDC"/>
    <w:rsid w:val="00934E09"/>
    <w:rsid w:val="00936253"/>
    <w:rsid w:val="00952DD4"/>
    <w:rsid w:val="00970FED"/>
    <w:rsid w:val="00973986"/>
    <w:rsid w:val="00997029"/>
    <w:rsid w:val="009A0C21"/>
    <w:rsid w:val="009D690D"/>
    <w:rsid w:val="009E65B6"/>
    <w:rsid w:val="00A42AC3"/>
    <w:rsid w:val="00A430CF"/>
    <w:rsid w:val="00A54309"/>
    <w:rsid w:val="00A63CBC"/>
    <w:rsid w:val="00A67DE6"/>
    <w:rsid w:val="00AA1A28"/>
    <w:rsid w:val="00AB2B93"/>
    <w:rsid w:val="00AB7E5B"/>
    <w:rsid w:val="00AC360C"/>
    <w:rsid w:val="00AD25A3"/>
    <w:rsid w:val="00AE0EF1"/>
    <w:rsid w:val="00AE2937"/>
    <w:rsid w:val="00B07301"/>
    <w:rsid w:val="00B126D6"/>
    <w:rsid w:val="00B224DE"/>
    <w:rsid w:val="00B46575"/>
    <w:rsid w:val="00B52004"/>
    <w:rsid w:val="00B84BBD"/>
    <w:rsid w:val="00BA43FB"/>
    <w:rsid w:val="00BC127D"/>
    <w:rsid w:val="00BC1FE6"/>
    <w:rsid w:val="00BF3687"/>
    <w:rsid w:val="00C01157"/>
    <w:rsid w:val="00C061B6"/>
    <w:rsid w:val="00C2446C"/>
    <w:rsid w:val="00C33DF3"/>
    <w:rsid w:val="00C36AE5"/>
    <w:rsid w:val="00C41F17"/>
    <w:rsid w:val="00C5280D"/>
    <w:rsid w:val="00C5791C"/>
    <w:rsid w:val="00C616F4"/>
    <w:rsid w:val="00C66290"/>
    <w:rsid w:val="00C72B7A"/>
    <w:rsid w:val="00C973F2"/>
    <w:rsid w:val="00CA304C"/>
    <w:rsid w:val="00CA774A"/>
    <w:rsid w:val="00CC021D"/>
    <w:rsid w:val="00CC11B0"/>
    <w:rsid w:val="00CD191E"/>
    <w:rsid w:val="00CF7E36"/>
    <w:rsid w:val="00D0138F"/>
    <w:rsid w:val="00D3708D"/>
    <w:rsid w:val="00D40426"/>
    <w:rsid w:val="00D57C96"/>
    <w:rsid w:val="00D73637"/>
    <w:rsid w:val="00D91203"/>
    <w:rsid w:val="00D95174"/>
    <w:rsid w:val="00D96D24"/>
    <w:rsid w:val="00DA059B"/>
    <w:rsid w:val="00DA6F36"/>
    <w:rsid w:val="00DB596E"/>
    <w:rsid w:val="00DC00EA"/>
    <w:rsid w:val="00E01BFF"/>
    <w:rsid w:val="00E327A0"/>
    <w:rsid w:val="00E32F7E"/>
    <w:rsid w:val="00E72D49"/>
    <w:rsid w:val="00E7593C"/>
    <w:rsid w:val="00E7678A"/>
    <w:rsid w:val="00E90BAB"/>
    <w:rsid w:val="00E935F1"/>
    <w:rsid w:val="00E94A81"/>
    <w:rsid w:val="00E96CD3"/>
    <w:rsid w:val="00EA1FFB"/>
    <w:rsid w:val="00EB048E"/>
    <w:rsid w:val="00ED11FC"/>
    <w:rsid w:val="00EE34DF"/>
    <w:rsid w:val="00EF2F89"/>
    <w:rsid w:val="00F1237A"/>
    <w:rsid w:val="00F22CBD"/>
    <w:rsid w:val="00F45372"/>
    <w:rsid w:val="00F560F7"/>
    <w:rsid w:val="00F6027A"/>
    <w:rsid w:val="00F6334D"/>
    <w:rsid w:val="00FA49AB"/>
    <w:rsid w:val="00FE1AF5"/>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style>
  <w:style w:type="table" w:styleId="TableGrid">
    <w:name w:val="Table Grid"/>
    <w:basedOn w:val="TableNormal"/>
    <w:rsid w:val="00864082"/>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style>
  <w:style w:type="table" w:styleId="TableGrid">
    <w:name w:val="Table Grid"/>
    <w:basedOn w:val="TableNormal"/>
    <w:rsid w:val="00864082"/>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2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C6742-F71F-4EF1-B359-EC5F1608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983</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6561</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LONG Victoria</cp:lastModifiedBy>
  <cp:revision>17</cp:revision>
  <cp:lastPrinted>2014-11-28T18:30:00Z</cp:lastPrinted>
  <dcterms:created xsi:type="dcterms:W3CDTF">2014-11-05T18:31:00Z</dcterms:created>
  <dcterms:modified xsi:type="dcterms:W3CDTF">2014-12-05T09:39:00Z</dcterms:modified>
</cp:coreProperties>
</file>