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AC2A51">
              <w:t>T</w:t>
            </w:r>
            <w:r w:rsidR="0017474A" w:rsidRPr="00AC2A51">
              <w:t>C</w:t>
            </w:r>
            <w:r w:rsidR="00125EFC" w:rsidRPr="00AC2A51">
              <w:t>-EDC</w:t>
            </w:r>
            <w:r w:rsidR="0017474A" w:rsidRPr="00AC2A51">
              <w:t>/</w:t>
            </w:r>
            <w:r w:rsidR="00125EFC" w:rsidRPr="00AC2A51">
              <w:t>Jan1</w:t>
            </w:r>
            <w:r w:rsidR="00105127" w:rsidRPr="00AC2A51">
              <w:t>5</w:t>
            </w:r>
            <w:r w:rsidR="0017474A" w:rsidRPr="00AC2A51">
              <w:t>/</w:t>
            </w:r>
            <w:bookmarkStart w:id="0" w:name="Code"/>
            <w:bookmarkEnd w:id="0"/>
            <w:r w:rsidR="005C056F" w:rsidRPr="00AC2A51">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AC2A51">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0271F" w:rsidRPr="00AC2A51">
              <w:rPr>
                <w:b w:val="0"/>
                <w:spacing w:val="0"/>
              </w:rPr>
              <w:t xml:space="preserve">December </w:t>
            </w:r>
            <w:r w:rsidR="00AC2A51">
              <w:rPr>
                <w:b w:val="0"/>
                <w:spacing w:val="0"/>
              </w:rPr>
              <w:t>5</w:t>
            </w:r>
            <w:bookmarkStart w:id="3" w:name="_GoBack"/>
            <w:bookmarkEnd w:id="3"/>
            <w:r w:rsidR="0024416D" w:rsidRPr="00AC2A51">
              <w:rPr>
                <w:b w:val="0"/>
                <w:spacing w:val="0"/>
              </w:rPr>
              <w:t xml:space="preserve">, </w:t>
            </w:r>
            <w:r w:rsidR="001131D5" w:rsidRPr="00AC2A51">
              <w:rPr>
                <w:b w:val="0"/>
                <w:spacing w:val="0"/>
              </w:rPr>
              <w:t>20</w:t>
            </w:r>
            <w:r w:rsidR="001131D5" w:rsidRPr="009E4D91">
              <w:rPr>
                <w:b w:val="0"/>
                <w:spacing w:val="0"/>
              </w:rPr>
              <w:t>1</w:t>
            </w:r>
            <w:r w:rsidR="00105127" w:rsidRPr="009E4D91">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8600C">
        <w:t>7</w:t>
      </w:r>
      <w:r w:rsidR="00125EFC">
        <w:t xml:space="preserve"> and </w:t>
      </w:r>
      <w:r w:rsidR="0078600C">
        <w:t>8</w:t>
      </w:r>
      <w:r w:rsidR="0061555F" w:rsidRPr="00C5280D">
        <w:t>,</w:t>
      </w:r>
      <w:r w:rsidR="00125EFC">
        <w:t xml:space="preserve"> 201</w:t>
      </w:r>
      <w:r w:rsidR="0078600C">
        <w:t>5</w:t>
      </w:r>
    </w:p>
    <w:p w:rsidR="005C056F" w:rsidRPr="00C5280D" w:rsidRDefault="0060271F" w:rsidP="005C056F">
      <w:pPr>
        <w:pStyle w:val="Titleofdoc0"/>
      </w:pPr>
      <w:bookmarkStart w:id="4" w:name="TitleOfDoc"/>
      <w:bookmarkEnd w:id="4"/>
      <w:r w:rsidRPr="0060271F">
        <w:rPr>
          <w:rFonts w:cs="Arial"/>
        </w:rPr>
        <w:t xml:space="preserve">Revision of document TGP/10: New section: </w:t>
      </w:r>
      <w:r w:rsidR="005C056F" w:rsidRPr="0060271F">
        <w:t xml:space="preserve">Assessing uniformity by off-types </w:t>
      </w:r>
      <w:r>
        <w:br/>
      </w:r>
      <w:r w:rsidR="005C056F" w:rsidRPr="0060271F">
        <w:t>on</w:t>
      </w:r>
      <w:r w:rsidR="005C056F">
        <w:t xml:space="preserve"> basis of more than one sample or sub-samples</w:t>
      </w:r>
    </w:p>
    <w:p w:rsidR="005C056F" w:rsidRPr="00C5280D" w:rsidRDefault="005C056F" w:rsidP="005C056F">
      <w:pPr>
        <w:pStyle w:val="preparedby1"/>
      </w:pPr>
      <w:bookmarkStart w:id="5" w:name="Prepared"/>
      <w:bookmarkEnd w:id="5"/>
      <w:r>
        <w:rPr>
          <w:color w:val="A6A6A6" w:themeColor="background1" w:themeShade="A6"/>
        </w:rPr>
        <w:t>Disclaimer:  this document does not represent UPOV policies or guidance</w:t>
      </w:r>
    </w:p>
    <w:p w:rsidR="005C056F" w:rsidRPr="00ED3415" w:rsidRDefault="005C056F" w:rsidP="005C056F">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w:t>
      </w:r>
      <w:r w:rsidR="0060271F" w:rsidRPr="005D7A1E">
        <w:rPr>
          <w:rFonts w:eastAsia="MS Mincho"/>
          <w:color w:val="000000"/>
          <w:szCs w:val="24"/>
          <w:lang w:eastAsia="ja-JP"/>
        </w:rPr>
        <w:t xml:space="preserve">present a proposal for revision of document TGP/10 “Examining uniformity” to provide guidance on </w:t>
      </w:r>
      <w:r w:rsidRPr="005D7A1E">
        <w:rPr>
          <w:rFonts w:eastAsia="MS Mincho"/>
          <w:color w:val="000000"/>
          <w:szCs w:val="24"/>
          <w:lang w:eastAsia="ja-JP"/>
        </w:rPr>
        <w:t>assessing uniformity by off-types on the basis of more than</w:t>
      </w:r>
      <w:r>
        <w:rPr>
          <w:rFonts w:eastAsia="MS Mincho"/>
          <w:color w:val="000000"/>
          <w:szCs w:val="24"/>
          <w:lang w:eastAsia="ja-JP"/>
        </w:rPr>
        <w:t xml:space="preserve"> one sample or sub-sample. </w:t>
      </w:r>
      <w:r w:rsidRPr="00ED3415">
        <w:rPr>
          <w:rFonts w:eastAsia="MS Mincho"/>
          <w:color w:val="000000"/>
          <w:szCs w:val="24"/>
          <w:lang w:eastAsia="ja-JP"/>
        </w:rPr>
        <w:t xml:space="preserve"> </w:t>
      </w:r>
    </w:p>
    <w:p w:rsidR="005C056F" w:rsidRDefault="005C056F" w:rsidP="005C056F">
      <w:pPr>
        <w:autoSpaceDE w:val="0"/>
        <w:autoSpaceDN w:val="0"/>
        <w:adjustRightInd w:val="0"/>
        <w:rPr>
          <w:rFonts w:eastAsia="MS Mincho"/>
          <w:color w:val="000000"/>
          <w:szCs w:val="24"/>
          <w:lang w:eastAsia="ja-JP"/>
        </w:rPr>
      </w:pPr>
    </w:p>
    <w:p w:rsidR="005C056F" w:rsidRDefault="005C056F" w:rsidP="005C056F">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5C056F" w:rsidRDefault="005C056F" w:rsidP="005C056F">
      <w:pPr>
        <w:rPr>
          <w:rFonts w:cs="Arial"/>
          <w:color w:val="000000"/>
        </w:rPr>
      </w:pPr>
    </w:p>
    <w:p w:rsidR="005C056F" w:rsidRPr="00322838" w:rsidRDefault="005C056F" w:rsidP="005C056F">
      <w:pPr>
        <w:rPr>
          <w:rFonts w:cs="Arial"/>
        </w:rPr>
      </w:pPr>
      <w:r w:rsidRPr="00322838">
        <w:rPr>
          <w:rFonts w:cs="Arial"/>
        </w:rPr>
        <w:tab/>
        <w:t>TC:</w:t>
      </w:r>
      <w:r w:rsidRPr="00322838">
        <w:rPr>
          <w:rFonts w:cs="Arial"/>
        </w:rPr>
        <w:tab/>
      </w:r>
      <w:r w:rsidRPr="00322838">
        <w:rPr>
          <w:rFonts w:cs="Arial"/>
        </w:rPr>
        <w:tab/>
        <w:t>Technical Committee</w:t>
      </w:r>
    </w:p>
    <w:p w:rsidR="005C056F" w:rsidRPr="00322838" w:rsidRDefault="005C056F" w:rsidP="005C056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5C056F" w:rsidRPr="00322838" w:rsidRDefault="005C056F" w:rsidP="005C056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5C056F" w:rsidRPr="00322838" w:rsidRDefault="005C056F" w:rsidP="005C056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5C056F" w:rsidRPr="00322838" w:rsidRDefault="005C056F" w:rsidP="005C056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5C056F" w:rsidRPr="00322838" w:rsidRDefault="005C056F" w:rsidP="005C056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5C056F" w:rsidRPr="00322838" w:rsidRDefault="005C056F" w:rsidP="005C056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5C056F" w:rsidRDefault="005C056F" w:rsidP="005C056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5C056F" w:rsidRPr="00FF5F20" w:rsidRDefault="005C056F" w:rsidP="005C056F">
      <w:pPr>
        <w:rPr>
          <w:rFonts w:eastAsia="PMingLiU" w:cs="Arial"/>
          <w:szCs w:val="24"/>
        </w:rPr>
      </w:pPr>
    </w:p>
    <w:p w:rsidR="005C056F" w:rsidRDefault="005C056F" w:rsidP="005C056F">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5C056F" w:rsidRPr="00A70561" w:rsidRDefault="005C056F" w:rsidP="005C056F">
      <w:pPr>
        <w:autoSpaceDE w:val="0"/>
        <w:autoSpaceDN w:val="0"/>
        <w:adjustRightInd w:val="0"/>
        <w:rPr>
          <w:rFonts w:eastAsia="MS Mincho"/>
          <w:color w:val="000000"/>
          <w:szCs w:val="16"/>
          <w:lang w:eastAsia="ja-JP"/>
        </w:rPr>
      </w:pPr>
    </w:p>
    <w:p w:rsidR="00AF0479" w:rsidRDefault="005C056F">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05386456" w:history="1">
        <w:r w:rsidR="00AF0479" w:rsidRPr="004C4FC1">
          <w:rPr>
            <w:rStyle w:val="Hyperlink"/>
            <w:rFonts w:eastAsia="MS Mincho"/>
            <w:noProof/>
            <w:lang w:eastAsia="ja-JP"/>
          </w:rPr>
          <w:t>BACKGROUND</w:t>
        </w:r>
        <w:r w:rsidR="00AF0479">
          <w:rPr>
            <w:noProof/>
            <w:webHidden/>
          </w:rPr>
          <w:tab/>
        </w:r>
        <w:r w:rsidR="00AF0479">
          <w:rPr>
            <w:noProof/>
            <w:webHidden/>
          </w:rPr>
          <w:fldChar w:fldCharType="begin"/>
        </w:r>
        <w:r w:rsidR="00AF0479">
          <w:rPr>
            <w:noProof/>
            <w:webHidden/>
          </w:rPr>
          <w:instrText xml:space="preserve"> PAGEREF _Toc405386456 \h </w:instrText>
        </w:r>
        <w:r w:rsidR="00AF0479">
          <w:rPr>
            <w:noProof/>
            <w:webHidden/>
          </w:rPr>
        </w:r>
        <w:r w:rsidR="00AF0479">
          <w:rPr>
            <w:noProof/>
            <w:webHidden/>
          </w:rPr>
          <w:fldChar w:fldCharType="separate"/>
        </w:r>
        <w:r w:rsidR="00453306">
          <w:rPr>
            <w:noProof/>
            <w:webHidden/>
          </w:rPr>
          <w:t>2</w:t>
        </w:r>
        <w:r w:rsidR="00AF0479">
          <w:rPr>
            <w:noProof/>
            <w:webHidden/>
          </w:rPr>
          <w:fldChar w:fldCharType="end"/>
        </w:r>
      </w:hyperlink>
    </w:p>
    <w:p w:rsidR="00AF0479" w:rsidRDefault="00453306">
      <w:pPr>
        <w:pStyle w:val="TOC1"/>
        <w:rPr>
          <w:rFonts w:asciiTheme="minorHAnsi" w:eastAsiaTheme="minorEastAsia" w:hAnsiTheme="minorHAnsi" w:cstheme="minorBidi"/>
          <w:caps w:val="0"/>
          <w:noProof/>
          <w:sz w:val="22"/>
          <w:szCs w:val="22"/>
        </w:rPr>
      </w:pPr>
      <w:hyperlink w:anchor="_Toc405386457" w:history="1">
        <w:r w:rsidR="00AF0479" w:rsidRPr="004C4FC1">
          <w:rPr>
            <w:rStyle w:val="Hyperlink"/>
            <w:noProof/>
          </w:rPr>
          <w:t>DEVELOPMENTS IN 2014</w:t>
        </w:r>
        <w:r w:rsidR="00AF0479">
          <w:rPr>
            <w:noProof/>
            <w:webHidden/>
          </w:rPr>
          <w:tab/>
        </w:r>
        <w:r w:rsidR="00AF0479">
          <w:rPr>
            <w:noProof/>
            <w:webHidden/>
          </w:rPr>
          <w:fldChar w:fldCharType="begin"/>
        </w:r>
        <w:r w:rsidR="00AF0479">
          <w:rPr>
            <w:noProof/>
            <w:webHidden/>
          </w:rPr>
          <w:instrText xml:space="preserve"> PAGEREF _Toc405386457 \h </w:instrText>
        </w:r>
        <w:r w:rsidR="00AF0479">
          <w:rPr>
            <w:noProof/>
            <w:webHidden/>
          </w:rPr>
        </w:r>
        <w:r w:rsidR="00AF0479">
          <w:rPr>
            <w:noProof/>
            <w:webHidden/>
          </w:rPr>
          <w:fldChar w:fldCharType="separate"/>
        </w:r>
        <w:r>
          <w:rPr>
            <w:noProof/>
            <w:webHidden/>
          </w:rPr>
          <w:t>2</w:t>
        </w:r>
        <w:r w:rsidR="00AF0479">
          <w:rPr>
            <w:noProof/>
            <w:webHidden/>
          </w:rPr>
          <w:fldChar w:fldCharType="end"/>
        </w:r>
      </w:hyperlink>
    </w:p>
    <w:p w:rsidR="00AF0479" w:rsidRDefault="00453306">
      <w:pPr>
        <w:pStyle w:val="TOC2"/>
        <w:rPr>
          <w:rFonts w:asciiTheme="minorHAnsi" w:eastAsiaTheme="minorEastAsia" w:hAnsiTheme="minorHAnsi" w:cstheme="minorBidi"/>
          <w:smallCaps w:val="0"/>
          <w:noProof/>
          <w:sz w:val="22"/>
          <w:szCs w:val="22"/>
        </w:rPr>
      </w:pPr>
      <w:hyperlink w:anchor="_Toc405386458" w:history="1">
        <w:r w:rsidR="00AF0479" w:rsidRPr="004C4FC1">
          <w:rPr>
            <w:rStyle w:val="Hyperlink"/>
            <w:noProof/>
          </w:rPr>
          <w:t>Technical Committee</w:t>
        </w:r>
        <w:r w:rsidR="00AF0479">
          <w:rPr>
            <w:noProof/>
            <w:webHidden/>
          </w:rPr>
          <w:tab/>
        </w:r>
        <w:r w:rsidR="00AF0479">
          <w:rPr>
            <w:noProof/>
            <w:webHidden/>
          </w:rPr>
          <w:fldChar w:fldCharType="begin"/>
        </w:r>
        <w:r w:rsidR="00AF0479">
          <w:rPr>
            <w:noProof/>
            <w:webHidden/>
          </w:rPr>
          <w:instrText xml:space="preserve"> PAGEREF _Toc405386458 \h </w:instrText>
        </w:r>
        <w:r w:rsidR="00AF0479">
          <w:rPr>
            <w:noProof/>
            <w:webHidden/>
          </w:rPr>
        </w:r>
        <w:r w:rsidR="00AF0479">
          <w:rPr>
            <w:noProof/>
            <w:webHidden/>
          </w:rPr>
          <w:fldChar w:fldCharType="separate"/>
        </w:r>
        <w:r>
          <w:rPr>
            <w:noProof/>
            <w:webHidden/>
          </w:rPr>
          <w:t>2</w:t>
        </w:r>
        <w:r w:rsidR="00AF0479">
          <w:rPr>
            <w:noProof/>
            <w:webHidden/>
          </w:rPr>
          <w:fldChar w:fldCharType="end"/>
        </w:r>
      </w:hyperlink>
    </w:p>
    <w:p w:rsidR="00AF0479" w:rsidRDefault="00453306">
      <w:pPr>
        <w:pStyle w:val="TOC2"/>
        <w:rPr>
          <w:rFonts w:asciiTheme="minorHAnsi" w:eastAsiaTheme="minorEastAsia" w:hAnsiTheme="minorHAnsi" w:cstheme="minorBidi"/>
          <w:smallCaps w:val="0"/>
          <w:noProof/>
          <w:sz w:val="22"/>
          <w:szCs w:val="22"/>
        </w:rPr>
      </w:pPr>
      <w:hyperlink w:anchor="_Toc405386459" w:history="1">
        <w:r w:rsidR="00AF0479" w:rsidRPr="004C4FC1">
          <w:rPr>
            <w:rStyle w:val="Hyperlink"/>
            <w:noProof/>
          </w:rPr>
          <w:t>Technical Working Parties</w:t>
        </w:r>
        <w:r w:rsidR="00AF0479">
          <w:rPr>
            <w:noProof/>
            <w:webHidden/>
          </w:rPr>
          <w:tab/>
        </w:r>
        <w:r w:rsidR="00AF0479">
          <w:rPr>
            <w:noProof/>
            <w:webHidden/>
          </w:rPr>
          <w:fldChar w:fldCharType="begin"/>
        </w:r>
        <w:r w:rsidR="00AF0479">
          <w:rPr>
            <w:noProof/>
            <w:webHidden/>
          </w:rPr>
          <w:instrText xml:space="preserve"> PAGEREF _Toc405386459 \h </w:instrText>
        </w:r>
        <w:r w:rsidR="00AF0479">
          <w:rPr>
            <w:noProof/>
            <w:webHidden/>
          </w:rPr>
        </w:r>
        <w:r w:rsidR="00AF0479">
          <w:rPr>
            <w:noProof/>
            <w:webHidden/>
          </w:rPr>
          <w:fldChar w:fldCharType="separate"/>
        </w:r>
        <w:r>
          <w:rPr>
            <w:noProof/>
            <w:webHidden/>
          </w:rPr>
          <w:t>2</w:t>
        </w:r>
        <w:r w:rsidR="00AF0479">
          <w:rPr>
            <w:noProof/>
            <w:webHidden/>
          </w:rPr>
          <w:fldChar w:fldCharType="end"/>
        </w:r>
      </w:hyperlink>
    </w:p>
    <w:p w:rsidR="00AF0479" w:rsidRDefault="00453306">
      <w:pPr>
        <w:pStyle w:val="TOC3"/>
        <w:rPr>
          <w:rFonts w:asciiTheme="minorHAnsi" w:eastAsiaTheme="minorEastAsia" w:hAnsiTheme="minorHAnsi" w:cstheme="minorBidi"/>
          <w:noProof/>
          <w:sz w:val="22"/>
          <w:szCs w:val="22"/>
          <w:lang w:val="en-US"/>
        </w:rPr>
      </w:pPr>
      <w:hyperlink w:anchor="_Toc405386460" w:history="1">
        <w:r w:rsidR="00AF0479" w:rsidRPr="004C4FC1">
          <w:rPr>
            <w:rStyle w:val="Hyperlink"/>
            <w:noProof/>
          </w:rPr>
          <w:t>Technical Working Party for Ornamental Plants and Forest Trees</w:t>
        </w:r>
        <w:r w:rsidR="00AF0479">
          <w:rPr>
            <w:noProof/>
            <w:webHidden/>
          </w:rPr>
          <w:tab/>
        </w:r>
        <w:r w:rsidR="00AF0479">
          <w:rPr>
            <w:noProof/>
            <w:webHidden/>
          </w:rPr>
          <w:fldChar w:fldCharType="begin"/>
        </w:r>
        <w:r w:rsidR="00AF0479">
          <w:rPr>
            <w:noProof/>
            <w:webHidden/>
          </w:rPr>
          <w:instrText xml:space="preserve"> PAGEREF _Toc405386460 \h </w:instrText>
        </w:r>
        <w:r w:rsidR="00AF0479">
          <w:rPr>
            <w:noProof/>
            <w:webHidden/>
          </w:rPr>
        </w:r>
        <w:r w:rsidR="00AF0479">
          <w:rPr>
            <w:noProof/>
            <w:webHidden/>
          </w:rPr>
          <w:fldChar w:fldCharType="separate"/>
        </w:r>
        <w:r>
          <w:rPr>
            <w:noProof/>
            <w:webHidden/>
          </w:rPr>
          <w:t>2</w:t>
        </w:r>
        <w:r w:rsidR="00AF0479">
          <w:rPr>
            <w:noProof/>
            <w:webHidden/>
          </w:rPr>
          <w:fldChar w:fldCharType="end"/>
        </w:r>
      </w:hyperlink>
    </w:p>
    <w:p w:rsidR="00AF0479" w:rsidRDefault="00453306">
      <w:pPr>
        <w:pStyle w:val="TOC3"/>
        <w:rPr>
          <w:rFonts w:asciiTheme="minorHAnsi" w:eastAsiaTheme="minorEastAsia" w:hAnsiTheme="minorHAnsi" w:cstheme="minorBidi"/>
          <w:noProof/>
          <w:sz w:val="22"/>
          <w:szCs w:val="22"/>
          <w:lang w:val="en-US"/>
        </w:rPr>
      </w:pPr>
      <w:hyperlink w:anchor="_Toc405386461" w:history="1">
        <w:r w:rsidR="00AF0479" w:rsidRPr="004C4FC1">
          <w:rPr>
            <w:rStyle w:val="Hyperlink"/>
            <w:noProof/>
          </w:rPr>
          <w:t>Technical Working Party for Fruit Crops</w:t>
        </w:r>
        <w:r w:rsidR="00AF0479">
          <w:rPr>
            <w:noProof/>
            <w:webHidden/>
          </w:rPr>
          <w:tab/>
        </w:r>
        <w:r w:rsidR="00AF0479">
          <w:rPr>
            <w:noProof/>
            <w:webHidden/>
          </w:rPr>
          <w:fldChar w:fldCharType="begin"/>
        </w:r>
        <w:r w:rsidR="00AF0479">
          <w:rPr>
            <w:noProof/>
            <w:webHidden/>
          </w:rPr>
          <w:instrText xml:space="preserve"> PAGEREF _Toc405386461 \h </w:instrText>
        </w:r>
        <w:r w:rsidR="00AF0479">
          <w:rPr>
            <w:noProof/>
            <w:webHidden/>
          </w:rPr>
        </w:r>
        <w:r w:rsidR="00AF0479">
          <w:rPr>
            <w:noProof/>
            <w:webHidden/>
          </w:rPr>
          <w:fldChar w:fldCharType="separate"/>
        </w:r>
        <w:r>
          <w:rPr>
            <w:noProof/>
            <w:webHidden/>
          </w:rPr>
          <w:t>2</w:t>
        </w:r>
        <w:r w:rsidR="00AF0479">
          <w:rPr>
            <w:noProof/>
            <w:webHidden/>
          </w:rPr>
          <w:fldChar w:fldCharType="end"/>
        </w:r>
      </w:hyperlink>
    </w:p>
    <w:p w:rsidR="00AF0479" w:rsidRDefault="00453306">
      <w:pPr>
        <w:pStyle w:val="TOC3"/>
        <w:rPr>
          <w:rFonts w:asciiTheme="minorHAnsi" w:eastAsiaTheme="minorEastAsia" w:hAnsiTheme="minorHAnsi" w:cstheme="minorBidi"/>
          <w:noProof/>
          <w:sz w:val="22"/>
          <w:szCs w:val="22"/>
          <w:lang w:val="en-US"/>
        </w:rPr>
      </w:pPr>
      <w:hyperlink w:anchor="_Toc405386462" w:history="1">
        <w:r w:rsidR="00AF0479" w:rsidRPr="004C4FC1">
          <w:rPr>
            <w:rStyle w:val="Hyperlink"/>
            <w:noProof/>
          </w:rPr>
          <w:t>Technical Working Party on Automation and Computer Programs</w:t>
        </w:r>
        <w:r w:rsidR="00AF0479">
          <w:rPr>
            <w:noProof/>
            <w:webHidden/>
          </w:rPr>
          <w:tab/>
        </w:r>
        <w:r w:rsidR="00AF0479">
          <w:rPr>
            <w:noProof/>
            <w:webHidden/>
          </w:rPr>
          <w:fldChar w:fldCharType="begin"/>
        </w:r>
        <w:r w:rsidR="00AF0479">
          <w:rPr>
            <w:noProof/>
            <w:webHidden/>
          </w:rPr>
          <w:instrText xml:space="preserve"> PAGEREF _Toc405386462 \h </w:instrText>
        </w:r>
        <w:r w:rsidR="00AF0479">
          <w:rPr>
            <w:noProof/>
            <w:webHidden/>
          </w:rPr>
        </w:r>
        <w:r w:rsidR="00AF0479">
          <w:rPr>
            <w:noProof/>
            <w:webHidden/>
          </w:rPr>
          <w:fldChar w:fldCharType="separate"/>
        </w:r>
        <w:r>
          <w:rPr>
            <w:noProof/>
            <w:webHidden/>
          </w:rPr>
          <w:t>2</w:t>
        </w:r>
        <w:r w:rsidR="00AF0479">
          <w:rPr>
            <w:noProof/>
            <w:webHidden/>
          </w:rPr>
          <w:fldChar w:fldCharType="end"/>
        </w:r>
      </w:hyperlink>
    </w:p>
    <w:p w:rsidR="00AF0479" w:rsidRDefault="00453306">
      <w:pPr>
        <w:pStyle w:val="TOC3"/>
        <w:rPr>
          <w:rFonts w:asciiTheme="minorHAnsi" w:eastAsiaTheme="minorEastAsia" w:hAnsiTheme="minorHAnsi" w:cstheme="minorBidi"/>
          <w:noProof/>
          <w:sz w:val="22"/>
          <w:szCs w:val="22"/>
          <w:lang w:val="en-US"/>
        </w:rPr>
      </w:pPr>
      <w:hyperlink w:anchor="_Toc405386463" w:history="1">
        <w:r w:rsidR="00AF0479" w:rsidRPr="004C4FC1">
          <w:rPr>
            <w:rStyle w:val="Hyperlink"/>
            <w:noProof/>
            <w:lang w:eastAsia="de-DE" w:bidi="de-DE"/>
          </w:rPr>
          <w:t>Technical Working Party for Vegetables</w:t>
        </w:r>
        <w:r w:rsidR="00AF0479">
          <w:rPr>
            <w:noProof/>
            <w:webHidden/>
          </w:rPr>
          <w:tab/>
        </w:r>
        <w:r w:rsidR="00AF0479">
          <w:rPr>
            <w:noProof/>
            <w:webHidden/>
          </w:rPr>
          <w:fldChar w:fldCharType="begin"/>
        </w:r>
        <w:r w:rsidR="00AF0479">
          <w:rPr>
            <w:noProof/>
            <w:webHidden/>
          </w:rPr>
          <w:instrText xml:space="preserve"> PAGEREF _Toc405386463 \h </w:instrText>
        </w:r>
        <w:r w:rsidR="00AF0479">
          <w:rPr>
            <w:noProof/>
            <w:webHidden/>
          </w:rPr>
        </w:r>
        <w:r w:rsidR="00AF0479">
          <w:rPr>
            <w:noProof/>
            <w:webHidden/>
          </w:rPr>
          <w:fldChar w:fldCharType="separate"/>
        </w:r>
        <w:r>
          <w:rPr>
            <w:noProof/>
            <w:webHidden/>
          </w:rPr>
          <w:t>3</w:t>
        </w:r>
        <w:r w:rsidR="00AF0479">
          <w:rPr>
            <w:noProof/>
            <w:webHidden/>
          </w:rPr>
          <w:fldChar w:fldCharType="end"/>
        </w:r>
      </w:hyperlink>
    </w:p>
    <w:p w:rsidR="00AF0479" w:rsidRDefault="00453306">
      <w:pPr>
        <w:pStyle w:val="TOC3"/>
        <w:rPr>
          <w:rStyle w:val="Hyperlink"/>
          <w:noProof/>
        </w:rPr>
      </w:pPr>
      <w:hyperlink w:anchor="_Toc405386464" w:history="1">
        <w:r w:rsidR="00AF0479" w:rsidRPr="004C4FC1">
          <w:rPr>
            <w:rStyle w:val="Hyperlink"/>
            <w:noProof/>
          </w:rPr>
          <w:t>Technical Working Party for Agricultural Crops</w:t>
        </w:r>
        <w:r w:rsidR="00AF0479">
          <w:rPr>
            <w:noProof/>
            <w:webHidden/>
          </w:rPr>
          <w:tab/>
        </w:r>
        <w:r w:rsidR="00AF0479">
          <w:rPr>
            <w:noProof/>
            <w:webHidden/>
          </w:rPr>
          <w:fldChar w:fldCharType="begin"/>
        </w:r>
        <w:r w:rsidR="00AF0479">
          <w:rPr>
            <w:noProof/>
            <w:webHidden/>
          </w:rPr>
          <w:instrText xml:space="preserve"> PAGEREF _Toc405386464 \h </w:instrText>
        </w:r>
        <w:r w:rsidR="00AF0479">
          <w:rPr>
            <w:noProof/>
            <w:webHidden/>
          </w:rPr>
        </w:r>
        <w:r w:rsidR="00AF0479">
          <w:rPr>
            <w:noProof/>
            <w:webHidden/>
          </w:rPr>
          <w:fldChar w:fldCharType="separate"/>
        </w:r>
        <w:r>
          <w:rPr>
            <w:noProof/>
            <w:webHidden/>
          </w:rPr>
          <w:t>4</w:t>
        </w:r>
        <w:r w:rsidR="00AF0479">
          <w:rPr>
            <w:noProof/>
            <w:webHidden/>
          </w:rPr>
          <w:fldChar w:fldCharType="end"/>
        </w:r>
      </w:hyperlink>
    </w:p>
    <w:p w:rsidR="00AF0479" w:rsidRPr="00AF0479" w:rsidRDefault="00AF0479" w:rsidP="00AF0479">
      <w:pPr>
        <w:rPr>
          <w:rFonts w:eastAsiaTheme="minorEastAsia"/>
          <w:noProof/>
          <w:lang w:val="fr-FR"/>
        </w:rPr>
      </w:pPr>
    </w:p>
    <w:p w:rsidR="00AF0479" w:rsidRDefault="00453306">
      <w:pPr>
        <w:pStyle w:val="TOC1"/>
        <w:rPr>
          <w:rStyle w:val="Hyperlink"/>
          <w:noProof/>
        </w:rPr>
      </w:pPr>
      <w:hyperlink w:anchor="_Toc405386465" w:history="1">
        <w:r w:rsidR="00AF0479" w:rsidRPr="004C4FC1">
          <w:rPr>
            <w:rStyle w:val="Hyperlink"/>
            <w:noProof/>
          </w:rPr>
          <w:t>Summary of approaches</w:t>
        </w:r>
        <w:r w:rsidR="00AF0479">
          <w:rPr>
            <w:noProof/>
            <w:webHidden/>
          </w:rPr>
          <w:tab/>
        </w:r>
        <w:r w:rsidR="00AF0479">
          <w:rPr>
            <w:noProof/>
            <w:webHidden/>
          </w:rPr>
          <w:fldChar w:fldCharType="begin"/>
        </w:r>
        <w:r w:rsidR="00AF0479">
          <w:rPr>
            <w:noProof/>
            <w:webHidden/>
          </w:rPr>
          <w:instrText xml:space="preserve"> PAGEREF _Toc405386465 \h </w:instrText>
        </w:r>
        <w:r w:rsidR="00AF0479">
          <w:rPr>
            <w:noProof/>
            <w:webHidden/>
          </w:rPr>
        </w:r>
        <w:r w:rsidR="00AF0479">
          <w:rPr>
            <w:noProof/>
            <w:webHidden/>
          </w:rPr>
          <w:fldChar w:fldCharType="separate"/>
        </w:r>
        <w:r>
          <w:rPr>
            <w:noProof/>
            <w:webHidden/>
          </w:rPr>
          <w:t>4</w:t>
        </w:r>
        <w:r w:rsidR="00AF0479">
          <w:rPr>
            <w:noProof/>
            <w:webHidden/>
          </w:rPr>
          <w:fldChar w:fldCharType="end"/>
        </w:r>
      </w:hyperlink>
    </w:p>
    <w:p w:rsidR="00AF0479" w:rsidRPr="00AF0479" w:rsidRDefault="00AF0479" w:rsidP="00AF0479">
      <w:pPr>
        <w:rPr>
          <w:rFonts w:eastAsiaTheme="minorEastAsia"/>
          <w:noProof/>
        </w:rPr>
      </w:pPr>
    </w:p>
    <w:p w:rsidR="00AF0479" w:rsidRDefault="00453306">
      <w:pPr>
        <w:pStyle w:val="TOC1"/>
        <w:rPr>
          <w:rFonts w:asciiTheme="minorHAnsi" w:eastAsiaTheme="minorEastAsia" w:hAnsiTheme="minorHAnsi" w:cstheme="minorBidi"/>
          <w:caps w:val="0"/>
          <w:noProof/>
          <w:sz w:val="22"/>
          <w:szCs w:val="22"/>
        </w:rPr>
      </w:pPr>
      <w:hyperlink w:anchor="_Toc405386466" w:history="1">
        <w:r w:rsidR="00AF0479" w:rsidRPr="004C4FC1">
          <w:rPr>
            <w:rStyle w:val="Hyperlink"/>
            <w:noProof/>
          </w:rPr>
          <w:t>proposal</w:t>
        </w:r>
        <w:r w:rsidR="00AF0479">
          <w:rPr>
            <w:noProof/>
            <w:webHidden/>
          </w:rPr>
          <w:tab/>
        </w:r>
        <w:r w:rsidR="00AF0479">
          <w:rPr>
            <w:noProof/>
            <w:webHidden/>
          </w:rPr>
          <w:fldChar w:fldCharType="begin"/>
        </w:r>
        <w:r w:rsidR="00AF0479">
          <w:rPr>
            <w:noProof/>
            <w:webHidden/>
          </w:rPr>
          <w:instrText xml:space="preserve"> PAGEREF _Toc405386466 \h </w:instrText>
        </w:r>
        <w:r w:rsidR="00AF0479">
          <w:rPr>
            <w:noProof/>
            <w:webHidden/>
          </w:rPr>
        </w:r>
        <w:r w:rsidR="00AF0479">
          <w:rPr>
            <w:noProof/>
            <w:webHidden/>
          </w:rPr>
          <w:fldChar w:fldCharType="separate"/>
        </w:r>
        <w:r>
          <w:rPr>
            <w:noProof/>
            <w:webHidden/>
          </w:rPr>
          <w:t>5</w:t>
        </w:r>
        <w:r w:rsidR="00AF0479">
          <w:rPr>
            <w:noProof/>
            <w:webHidden/>
          </w:rPr>
          <w:fldChar w:fldCharType="end"/>
        </w:r>
      </w:hyperlink>
    </w:p>
    <w:p w:rsidR="005C056F" w:rsidRDefault="005C056F" w:rsidP="005C056F">
      <w:pPr>
        <w:rPr>
          <w:snapToGrid w:val="0"/>
        </w:rPr>
      </w:pPr>
      <w:r>
        <w:rPr>
          <w:snapToGrid w:val="0"/>
        </w:rPr>
        <w:fldChar w:fldCharType="end"/>
      </w:r>
    </w:p>
    <w:p w:rsidR="005C056F" w:rsidRDefault="005C056F" w:rsidP="005C056F">
      <w:pPr>
        <w:autoSpaceDE w:val="0"/>
        <w:autoSpaceDN w:val="0"/>
        <w:adjustRightInd w:val="0"/>
        <w:spacing w:before="60"/>
        <w:jc w:val="left"/>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5C056F" w:rsidRDefault="005C056F" w:rsidP="005C056F">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5C056F" w:rsidRDefault="005C056F" w:rsidP="005C056F">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5C056F" w:rsidRPr="00ED3415" w:rsidRDefault="005C056F" w:rsidP="005C056F">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5C056F" w:rsidRDefault="005C056F" w:rsidP="005C056F">
      <w:r>
        <w:rPr>
          <w:rFonts w:eastAsia="MS Mincho"/>
          <w:color w:val="000000"/>
          <w:szCs w:val="24"/>
          <w:lang w:eastAsia="ja-JP"/>
        </w:rPr>
        <w:t>ANNEX V:</w:t>
      </w:r>
      <w:r>
        <w:rPr>
          <w:rFonts w:eastAsia="MS Mincho"/>
          <w:color w:val="000000"/>
          <w:szCs w:val="24"/>
          <w:lang w:eastAsia="ja-JP"/>
        </w:rPr>
        <w:tab/>
      </w:r>
      <w:r>
        <w:rPr>
          <w:rFonts w:eastAsia="MS Mincho"/>
          <w:color w:val="000000"/>
          <w:szCs w:val="24"/>
          <w:lang w:eastAsia="ja-JP"/>
        </w:rPr>
        <w:tab/>
      </w:r>
      <w:r w:rsidRPr="00B40556">
        <w:t>Use of a stepwise approach in the off-type procedure within the same growing cycle</w:t>
      </w:r>
    </w:p>
    <w:p w:rsidR="00D549E4" w:rsidRDefault="00D549E4" w:rsidP="005C056F"/>
    <w:p w:rsidR="00234D5D" w:rsidRPr="00B40556" w:rsidRDefault="00234D5D" w:rsidP="005C056F"/>
    <w:p w:rsidR="005C056F" w:rsidRPr="00D65E68" w:rsidRDefault="005C056F" w:rsidP="005C056F">
      <w:pPr>
        <w:pStyle w:val="Heading1"/>
        <w:rPr>
          <w:rFonts w:eastAsia="MS Mincho"/>
          <w:lang w:eastAsia="ja-JP"/>
        </w:rPr>
      </w:pPr>
      <w:bookmarkStart w:id="6" w:name="_Toc380150989"/>
      <w:bookmarkStart w:id="7" w:name="_Toc405386456"/>
      <w:r w:rsidRPr="00D65E68">
        <w:rPr>
          <w:rFonts w:eastAsia="MS Mincho"/>
          <w:lang w:eastAsia="ja-JP"/>
        </w:rPr>
        <w:lastRenderedPageBreak/>
        <w:t>BAC</w:t>
      </w:r>
      <w:r>
        <w:rPr>
          <w:rFonts w:eastAsia="MS Mincho"/>
          <w:lang w:eastAsia="ja-JP"/>
        </w:rPr>
        <w:t>K</w:t>
      </w:r>
      <w:r w:rsidRPr="00D65E68">
        <w:rPr>
          <w:rFonts w:eastAsia="MS Mincho"/>
          <w:lang w:eastAsia="ja-JP"/>
        </w:rPr>
        <w:t>GROUND</w:t>
      </w:r>
      <w:bookmarkEnd w:id="6"/>
      <w:bookmarkEnd w:id="7"/>
    </w:p>
    <w:p w:rsidR="005C056F" w:rsidRPr="00D65E68" w:rsidRDefault="005C056F" w:rsidP="00D549E4">
      <w:pPr>
        <w:rPr>
          <w:rFonts w:eastAsia="MS Mincho"/>
          <w:lang w:eastAsia="ja-JP"/>
        </w:rPr>
      </w:pPr>
    </w:p>
    <w:p w:rsidR="005C056F" w:rsidRDefault="005C056F" w:rsidP="005C056F">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 and TC/50/12 “Assessing Uniformity by Off-Types on the Basis of More than One Sample or Sub-Sample”.</w:t>
      </w:r>
    </w:p>
    <w:p w:rsidR="005D7A1E" w:rsidRDefault="005D7A1E" w:rsidP="005C056F"/>
    <w:p w:rsidR="005C056F" w:rsidRDefault="005C056F" w:rsidP="005C056F">
      <w:pPr>
        <w:pStyle w:val="Heading1"/>
      </w:pPr>
      <w:bookmarkStart w:id="8" w:name="_Toc380151003"/>
      <w:bookmarkStart w:id="9" w:name="_Toc405386457"/>
      <w:r>
        <w:t>DEVELOPMENTS IN 2014</w:t>
      </w:r>
      <w:bookmarkEnd w:id="8"/>
      <w:bookmarkEnd w:id="9"/>
    </w:p>
    <w:p w:rsidR="005C056F" w:rsidRDefault="005C056F" w:rsidP="005C056F">
      <w:pPr>
        <w:rPr>
          <w:caps/>
        </w:rPr>
      </w:pPr>
    </w:p>
    <w:p w:rsidR="005C056F" w:rsidRDefault="005C056F" w:rsidP="005C056F">
      <w:pPr>
        <w:pStyle w:val="Heading2"/>
      </w:pPr>
      <w:bookmarkStart w:id="10" w:name="_Toc405386458"/>
      <w:bookmarkStart w:id="11" w:name="_Toc380151005"/>
      <w:r>
        <w:t>Technical Committee</w:t>
      </w:r>
      <w:bookmarkEnd w:id="10"/>
    </w:p>
    <w:p w:rsidR="005C056F" w:rsidRDefault="005C056F" w:rsidP="00D549E4"/>
    <w:p w:rsidR="005C056F" w:rsidRDefault="005C056F" w:rsidP="00D549E4">
      <w:r>
        <w:fldChar w:fldCharType="begin"/>
      </w:r>
      <w:r>
        <w:instrText xml:space="preserve"> AUTONUM  </w:instrText>
      </w:r>
      <w:r>
        <w:fldChar w:fldCharType="end"/>
      </w:r>
      <w:r>
        <w:tab/>
        <w:t>The TC considered document TC/50/12.</w:t>
      </w:r>
    </w:p>
    <w:p w:rsidR="005C056F" w:rsidRDefault="005C056F" w:rsidP="00D549E4"/>
    <w:p w:rsidR="005C056F" w:rsidRPr="001142CD" w:rsidRDefault="005C056F" w:rsidP="005C056F">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w:t>
      </w:r>
      <w:proofErr w:type="gramStart"/>
      <w:r>
        <w:t>B,</w:t>
      </w:r>
      <w:proofErr w:type="gramEnd"/>
      <w:r>
        <w:t xml:space="preserve"> a variety might be rejected after a single growing cycle under certain circumstances.</w:t>
      </w:r>
    </w:p>
    <w:p w:rsidR="005C056F" w:rsidRDefault="005C056F" w:rsidP="005C056F">
      <w:pPr>
        <w:rPr>
          <w:i/>
        </w:rPr>
      </w:pPr>
    </w:p>
    <w:p w:rsidR="005C056F" w:rsidRDefault="005C056F" w:rsidP="005C056F">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5C056F" w:rsidRDefault="005C056F" w:rsidP="005C056F"/>
    <w:p w:rsidR="005C056F" w:rsidRPr="00DD41C2" w:rsidRDefault="005C056F" w:rsidP="005C056F">
      <w:r>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5C056F" w:rsidRPr="003232C8" w:rsidRDefault="005C056F" w:rsidP="005C056F"/>
    <w:p w:rsidR="005C056F" w:rsidRPr="003232C8" w:rsidRDefault="005C056F" w:rsidP="005C056F">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 (see document TC/50/36 “Report on the Conclusions”, paragraphs 123 to 127).</w:t>
      </w:r>
    </w:p>
    <w:p w:rsidR="00D549E4" w:rsidRDefault="00D549E4" w:rsidP="00D549E4"/>
    <w:p w:rsidR="0060271F" w:rsidRPr="0060271F" w:rsidRDefault="0060271F" w:rsidP="0060271F">
      <w:pPr>
        <w:pStyle w:val="Heading2"/>
      </w:pPr>
      <w:bookmarkStart w:id="12" w:name="_Toc405386459"/>
      <w:r w:rsidRPr="0060271F">
        <w:t>Technical Working Parties</w:t>
      </w:r>
      <w:bookmarkEnd w:id="12"/>
    </w:p>
    <w:p w:rsidR="0060271F" w:rsidRDefault="0060271F" w:rsidP="00D549E4"/>
    <w:p w:rsidR="00D549E4" w:rsidRDefault="00D549E4" w:rsidP="0060271F">
      <w:pPr>
        <w:pStyle w:val="Heading3"/>
      </w:pPr>
      <w:bookmarkStart w:id="13" w:name="_Toc405386460"/>
      <w:r w:rsidRPr="00FA78B5">
        <w:t>Technical Working Party for Ornamental Plants and Forest Trees</w:t>
      </w:r>
      <w:bookmarkEnd w:id="13"/>
      <w:r w:rsidRPr="00FA78B5">
        <w:t xml:space="preserve"> </w:t>
      </w:r>
    </w:p>
    <w:p w:rsidR="00D549E4" w:rsidRDefault="00D549E4" w:rsidP="00D549E4">
      <w:pPr>
        <w:rPr>
          <w:rFonts w:eastAsia="MS Mincho"/>
          <w:lang w:eastAsia="ja-JP"/>
        </w:rPr>
      </w:pPr>
    </w:p>
    <w:p w:rsidR="000A3E66" w:rsidRDefault="000A3E66" w:rsidP="000A3E66">
      <w:r w:rsidRPr="005E5CEE">
        <w:fldChar w:fldCharType="begin"/>
      </w:r>
      <w:r w:rsidRPr="005E5CEE">
        <w:instrText xml:space="preserve"> AUTONUM  </w:instrText>
      </w:r>
      <w:r w:rsidRPr="005E5CEE">
        <w:fldChar w:fldCharType="end"/>
      </w:r>
      <w:r w:rsidRPr="005E5CEE">
        <w:tab/>
        <w:t>The TWO consid</w:t>
      </w:r>
      <w:r>
        <w:t>ered document TWO/47/9 and the s</w:t>
      </w:r>
      <w:r w:rsidRPr="005E5CEE">
        <w:t xml:space="preserve">ituations described in the Annexes I to IV as a basis to develop guidance in document TGP/10. </w:t>
      </w:r>
    </w:p>
    <w:p w:rsidR="000A3E66" w:rsidRDefault="000A3E66" w:rsidP="000A3E66"/>
    <w:p w:rsidR="000A3E66" w:rsidRDefault="000A3E66" w:rsidP="000A3E66">
      <w:r w:rsidRPr="005E5CEE">
        <w:fldChar w:fldCharType="begin"/>
      </w:r>
      <w:r w:rsidRPr="005E5CEE">
        <w:instrText xml:space="preserve"> AUTONUM  </w:instrText>
      </w:r>
      <w:r w:rsidRPr="005E5CEE">
        <w:fldChar w:fldCharType="end"/>
      </w:r>
      <w:r w:rsidRPr="005E5CEE">
        <w:tab/>
        <w:t>The TWO agreed that clarification should be provided on the decision to be taken in Situation B, Alternative (a) “the trial is repeated at both locations for a second</w:t>
      </w:r>
      <w:r w:rsidRPr="003C44B7">
        <w:t xml:space="preserve"> year</w:t>
      </w:r>
      <w:r>
        <w:t xml:space="preserve">”, in case after repeating a trial for the second year a </w:t>
      </w:r>
      <w:r w:rsidRPr="006556B3">
        <w:rPr>
          <w:rFonts w:eastAsia="SimSun"/>
          <w:szCs w:val="24"/>
          <w:lang w:eastAsia="zh-CN"/>
        </w:rPr>
        <w:t>variety is within the uniformity standard in one growing location but is not within the uniformity standard in the other growing location</w:t>
      </w:r>
      <w:r>
        <w:rPr>
          <w:rFonts w:eastAsia="SimSun"/>
          <w:szCs w:val="24"/>
          <w:lang w:eastAsia="zh-CN"/>
        </w:rPr>
        <w:t xml:space="preserve"> </w:t>
      </w:r>
      <w:r>
        <w:t>(see document TWO/47/28 “Report”, paragraphs 61 and 62)</w:t>
      </w:r>
      <w:r>
        <w:rPr>
          <w:rFonts w:eastAsia="SimSun"/>
          <w:szCs w:val="24"/>
          <w:lang w:eastAsia="zh-CN"/>
        </w:rPr>
        <w:t>.</w:t>
      </w:r>
    </w:p>
    <w:p w:rsidR="00D549E4" w:rsidRPr="00D549E4" w:rsidRDefault="00D549E4" w:rsidP="00D549E4">
      <w:pPr>
        <w:rPr>
          <w:rFonts w:eastAsia="MS Mincho"/>
          <w:lang w:eastAsia="ja-JP"/>
        </w:rPr>
      </w:pPr>
    </w:p>
    <w:p w:rsidR="00D549E4" w:rsidRDefault="00D549E4" w:rsidP="0060271F">
      <w:pPr>
        <w:pStyle w:val="Heading3"/>
      </w:pPr>
      <w:bookmarkStart w:id="14" w:name="_Toc405386461"/>
      <w:r w:rsidRPr="00ED3415">
        <w:t xml:space="preserve">Technical Working Party </w:t>
      </w:r>
      <w:r>
        <w:t>for</w:t>
      </w:r>
      <w:r w:rsidRPr="00ED3415">
        <w:t xml:space="preserve"> Fruit Crops</w:t>
      </w:r>
      <w:bookmarkEnd w:id="14"/>
      <w:r w:rsidRPr="00ED3415">
        <w:t xml:space="preserve"> </w:t>
      </w:r>
    </w:p>
    <w:p w:rsidR="00D549E4" w:rsidRDefault="00D549E4" w:rsidP="00D549E4">
      <w:pPr>
        <w:rPr>
          <w:rFonts w:eastAsia="MS Mincho"/>
          <w:lang w:eastAsia="ja-JP"/>
        </w:rPr>
      </w:pPr>
    </w:p>
    <w:p w:rsidR="000A3E66" w:rsidRPr="00653DEB" w:rsidRDefault="000A3E66" w:rsidP="000A3E66">
      <w:r w:rsidRPr="00653DEB">
        <w:fldChar w:fldCharType="begin"/>
      </w:r>
      <w:r w:rsidRPr="00653DEB">
        <w:instrText xml:space="preserve"> AUTONUM  </w:instrText>
      </w:r>
      <w:r w:rsidRPr="00653DEB">
        <w:fldChar w:fldCharType="end"/>
      </w:r>
      <w:r w:rsidRPr="00653DEB">
        <w:tab/>
        <w:t>The TWF considered document TWF/45/9 and the situations described in the Annexes I to IV as a basis to develop guidance in document TGP/10.</w:t>
      </w:r>
    </w:p>
    <w:p w:rsidR="000A3E66" w:rsidRPr="00653DEB" w:rsidRDefault="000A3E66" w:rsidP="000A3E66"/>
    <w:p w:rsidR="000A3E66" w:rsidRPr="00653DEB" w:rsidRDefault="000A3E66" w:rsidP="000A3E66">
      <w:r w:rsidRPr="00653DEB">
        <w:fldChar w:fldCharType="begin"/>
      </w:r>
      <w:r w:rsidRPr="00653DEB">
        <w:instrText xml:space="preserve"> AUTONUM  </w:instrText>
      </w:r>
      <w:r w:rsidRPr="00653DEB">
        <w:fldChar w:fldCharType="end"/>
      </w:r>
      <w:r w:rsidRPr="00653DEB">
        <w:tab/>
        <w:t xml:space="preserve">The TWF agreed with the comment made by the TWO at its forty-seventh session that clarification should be provided on the decision to be taken in Situation B, Alternative (a) “the trial is repeated at both locations for a second year”, in case after repeating a trial for the second year a </w:t>
      </w:r>
      <w:r w:rsidRPr="00653DEB">
        <w:rPr>
          <w:rFonts w:eastAsia="SimSun"/>
          <w:szCs w:val="24"/>
          <w:lang w:eastAsia="zh-CN"/>
        </w:rPr>
        <w:t xml:space="preserve">variety is within the uniformity standard in one growing location </w:t>
      </w:r>
      <w:r>
        <w:rPr>
          <w:rFonts w:eastAsia="SimSun"/>
          <w:szCs w:val="24"/>
          <w:lang w:eastAsia="zh-CN"/>
        </w:rPr>
        <w:t xml:space="preserve">or year </w:t>
      </w:r>
      <w:r w:rsidRPr="00653DEB">
        <w:rPr>
          <w:rFonts w:eastAsia="SimSun"/>
          <w:szCs w:val="24"/>
          <w:lang w:eastAsia="zh-CN"/>
        </w:rPr>
        <w:t>but is not within the uniformity standard in the other growing location</w:t>
      </w:r>
      <w:r>
        <w:rPr>
          <w:rFonts w:eastAsia="SimSun"/>
          <w:szCs w:val="24"/>
          <w:lang w:eastAsia="zh-CN"/>
        </w:rPr>
        <w:t xml:space="preserve"> or year</w:t>
      </w:r>
      <w:r w:rsidRPr="00653DEB">
        <w:rPr>
          <w:rFonts w:eastAsia="SimSun"/>
          <w:szCs w:val="24"/>
          <w:lang w:eastAsia="zh-CN"/>
        </w:rPr>
        <w:t>.</w:t>
      </w:r>
    </w:p>
    <w:p w:rsidR="000A3E66" w:rsidRPr="00653DEB" w:rsidRDefault="000A3E66" w:rsidP="000A3E66"/>
    <w:p w:rsidR="000A3E66" w:rsidRPr="00653DEB" w:rsidRDefault="000A3E66" w:rsidP="000A3E66">
      <w:r w:rsidRPr="00653DEB">
        <w:fldChar w:fldCharType="begin"/>
      </w:r>
      <w:r w:rsidRPr="00653DEB">
        <w:instrText xml:space="preserve"> AUTONUM  </w:instrText>
      </w:r>
      <w:r w:rsidRPr="00653DEB">
        <w:fldChar w:fldCharType="end"/>
      </w:r>
      <w:r w:rsidRPr="00653DEB">
        <w:tab/>
        <w:t xml:space="preserve">The TWF </w:t>
      </w:r>
      <w:r>
        <w:t>agreed that the</w:t>
      </w:r>
      <w:r w:rsidRPr="00653DEB">
        <w:t xml:space="preserve"> approaches </w:t>
      </w:r>
      <w:r>
        <w:t xml:space="preserve">were </w:t>
      </w:r>
      <w:r w:rsidRPr="00653DEB">
        <w:t>not relevant for the fruit sector</w:t>
      </w:r>
      <w:r>
        <w:t>, because</w:t>
      </w:r>
      <w:r w:rsidRPr="00653DEB">
        <w:t xml:space="preserve"> vegeta</w:t>
      </w:r>
      <w:r>
        <w:t>tively propagated varieties did</w:t>
      </w:r>
      <w:r w:rsidRPr="00653DEB">
        <w:t xml:space="preserve"> not a</w:t>
      </w:r>
      <w:r>
        <w:t>ppear to be in the scope of the</w:t>
      </w:r>
      <w:r w:rsidRPr="00653DEB">
        <w:t xml:space="preserve"> document</w:t>
      </w:r>
      <w:r>
        <w:t xml:space="preserve"> (see document TWF/45/32 “Report”, paragraphs 66 to 68)</w:t>
      </w:r>
      <w:r w:rsidRPr="00653DEB">
        <w:t>.</w:t>
      </w:r>
    </w:p>
    <w:p w:rsidR="000A3E66" w:rsidRPr="00D549E4" w:rsidRDefault="000A3E66" w:rsidP="00D549E4">
      <w:pPr>
        <w:rPr>
          <w:rFonts w:eastAsia="MS Mincho"/>
          <w:lang w:eastAsia="ja-JP"/>
        </w:rPr>
      </w:pPr>
    </w:p>
    <w:p w:rsidR="00D549E4" w:rsidRPr="00ED3415" w:rsidRDefault="00D549E4" w:rsidP="0060271F">
      <w:pPr>
        <w:pStyle w:val="Heading3"/>
      </w:pPr>
      <w:bookmarkStart w:id="15" w:name="_Toc405386462"/>
      <w:r w:rsidRPr="00ED3415">
        <w:t>Technical Working Party on Automation and Computer Programs</w:t>
      </w:r>
      <w:bookmarkEnd w:id="15"/>
      <w:r w:rsidRPr="00ED3415">
        <w:t xml:space="preserve"> </w:t>
      </w:r>
    </w:p>
    <w:p w:rsidR="005C056F" w:rsidRDefault="005C056F" w:rsidP="005C056F"/>
    <w:p w:rsidR="00235D1F" w:rsidRPr="00BD5B6E" w:rsidRDefault="00235D1F" w:rsidP="00235D1F">
      <w:r w:rsidRPr="00BD5B6E">
        <w:fldChar w:fldCharType="begin"/>
      </w:r>
      <w:r w:rsidRPr="00BD5B6E">
        <w:instrText xml:space="preserve"> AUTONUM  </w:instrText>
      </w:r>
      <w:r w:rsidRPr="00BD5B6E">
        <w:fldChar w:fldCharType="end"/>
      </w:r>
      <w:r w:rsidRPr="00BD5B6E">
        <w:tab/>
        <w:t xml:space="preserve">The TWC considered document TWC/32/9. </w:t>
      </w:r>
    </w:p>
    <w:p w:rsidR="00235D1F" w:rsidRPr="00BD5B6E" w:rsidRDefault="00235D1F" w:rsidP="00235D1F"/>
    <w:p w:rsidR="00235D1F" w:rsidRPr="00BD5B6E" w:rsidRDefault="00235D1F" w:rsidP="00235D1F">
      <w:r w:rsidRPr="00BD5B6E">
        <w:fldChar w:fldCharType="begin"/>
      </w:r>
      <w:r w:rsidRPr="00BD5B6E">
        <w:instrText xml:space="preserve"> AUTONUM  </w:instrText>
      </w:r>
      <w:r w:rsidRPr="00BD5B6E">
        <w:fldChar w:fldCharType="end"/>
      </w:r>
      <w:r w:rsidRPr="00BD5B6E">
        <w:tab/>
        <w:t xml:space="preserve">The TWC agreed that the values for </w:t>
      </w:r>
      <w:r>
        <w:t>t</w:t>
      </w:r>
      <w:r w:rsidRPr="00BD5B6E">
        <w:t xml:space="preserve">ype I and </w:t>
      </w:r>
      <w:r>
        <w:t>t</w:t>
      </w:r>
      <w:r w:rsidRPr="00BD5B6E">
        <w:t xml:space="preserve">ype II errors should be included in each of the examples described in situations A and B for the development of guidance in document TGP/10. The </w:t>
      </w:r>
      <w:r>
        <w:t>t</w:t>
      </w:r>
      <w:r w:rsidRPr="00BD5B6E">
        <w:t xml:space="preserve">ype I </w:t>
      </w:r>
      <w:r w:rsidRPr="00BD5B6E">
        <w:lastRenderedPageBreak/>
        <w:t xml:space="preserve">error is associated with a decision for non-uniformity (rejection of the </w:t>
      </w:r>
      <w:r>
        <w:t xml:space="preserve">true </w:t>
      </w:r>
      <w:r w:rsidRPr="00BD5B6E">
        <w:t xml:space="preserve">null hypothesis) and the </w:t>
      </w:r>
      <w:r>
        <w:t>t</w:t>
      </w:r>
      <w:r w:rsidRPr="00BD5B6E">
        <w:t xml:space="preserve">ype II error is associated with a decision for uniformity (acceptance of the </w:t>
      </w:r>
      <w:r>
        <w:t xml:space="preserve">alternative </w:t>
      </w:r>
      <w:r w:rsidRPr="00BD5B6E">
        <w:t>hypothesis).</w:t>
      </w:r>
    </w:p>
    <w:p w:rsidR="00235D1F" w:rsidRPr="00BD5B6E" w:rsidRDefault="00235D1F" w:rsidP="00235D1F"/>
    <w:p w:rsidR="00235D1F" w:rsidRPr="00BD5B6E" w:rsidRDefault="00235D1F" w:rsidP="00235D1F">
      <w:pPr>
        <w:rPr>
          <w:szCs w:val="24"/>
        </w:rPr>
      </w:pPr>
      <w:r w:rsidRPr="00BD5B6E">
        <w:fldChar w:fldCharType="begin"/>
      </w:r>
      <w:r w:rsidRPr="00BD5B6E">
        <w:instrText xml:space="preserve"> AUTONUM  </w:instrText>
      </w:r>
      <w:r w:rsidRPr="00BD5B6E">
        <w:fldChar w:fldCharType="end"/>
      </w:r>
      <w:r w:rsidRPr="00BD5B6E">
        <w:tab/>
      </w:r>
      <w:r w:rsidRPr="00BD5B6E">
        <w:rPr>
          <w:szCs w:val="24"/>
        </w:rPr>
        <w:t xml:space="preserve">The TWC agreed that the guidance provided in document TGP/10 “Examining Uniformity”, Section 6 “Combining all observations on a variety” was sufficient to address situation C “More than one sample or subsample for a characteristic in the same growing trial”, Annex III to document TWC/32/9. </w:t>
      </w:r>
      <w:r w:rsidRPr="00BD5B6E">
        <w:rPr>
          <w:rFonts w:eastAsia="SimSun"/>
          <w:szCs w:val="24"/>
          <w:lang w:eastAsia="zh-CN"/>
        </w:rPr>
        <w:t xml:space="preserve"> The TWC agreed that the example provided could be considered as a special test and that results of the uniformity assessment should be considered independently.</w:t>
      </w:r>
    </w:p>
    <w:p w:rsidR="00235D1F" w:rsidRPr="00BD5B6E" w:rsidRDefault="00235D1F" w:rsidP="00235D1F">
      <w:pPr>
        <w:rPr>
          <w:szCs w:val="24"/>
        </w:rPr>
      </w:pPr>
    </w:p>
    <w:p w:rsidR="00235D1F" w:rsidRPr="00BD5B6E" w:rsidRDefault="00235D1F" w:rsidP="00235D1F">
      <w:pPr>
        <w:rPr>
          <w:szCs w:val="24"/>
        </w:rPr>
      </w:pPr>
      <w:r w:rsidRPr="00BD5B6E">
        <w:fldChar w:fldCharType="begin"/>
      </w:r>
      <w:r w:rsidRPr="00BD5B6E">
        <w:instrText xml:space="preserve"> AUTONUM  </w:instrText>
      </w:r>
      <w:r w:rsidRPr="00BD5B6E">
        <w:fldChar w:fldCharType="end"/>
      </w:r>
      <w:r w:rsidRPr="00BD5B6E">
        <w:tab/>
      </w:r>
      <w:r>
        <w:t xml:space="preserve">In relation to situation D, </w:t>
      </w:r>
      <w:r>
        <w:rPr>
          <w:szCs w:val="24"/>
        </w:rPr>
        <w:t>t</w:t>
      </w:r>
      <w:r w:rsidRPr="00BD5B6E">
        <w:rPr>
          <w:szCs w:val="24"/>
        </w:rPr>
        <w:t xml:space="preserve">he TWC considered the </w:t>
      </w:r>
      <w:r w:rsidRPr="00BD5B6E">
        <w:t xml:space="preserve">use of a stepwise approach in the off-type procedure within the same growing cycle and the </w:t>
      </w:r>
      <w:r w:rsidRPr="00BD5B6E">
        <w:rPr>
          <w:szCs w:val="24"/>
        </w:rPr>
        <w:t xml:space="preserve">statistical basis for the acceptable number of off-types in the subsample of 20 plants used in the context of a sample size of 100 plants, as provided in Annex V to document TWC/32/9, which was introduced by an expert from Germany.  </w:t>
      </w:r>
    </w:p>
    <w:p w:rsidR="00235D1F" w:rsidRPr="00BD5B6E" w:rsidRDefault="00235D1F" w:rsidP="00235D1F">
      <w:pPr>
        <w:rPr>
          <w:szCs w:val="24"/>
        </w:rPr>
      </w:pPr>
    </w:p>
    <w:p w:rsidR="00235D1F" w:rsidRPr="00BD5B6E" w:rsidRDefault="00235D1F" w:rsidP="00235D1F">
      <w:pPr>
        <w:rPr>
          <w:szCs w:val="24"/>
        </w:rPr>
      </w:pPr>
      <w:r w:rsidRPr="00BD5B6E">
        <w:fldChar w:fldCharType="begin"/>
      </w:r>
      <w:r w:rsidRPr="00BD5B6E">
        <w:instrText xml:space="preserve"> AUTONUM  </w:instrText>
      </w:r>
      <w:r w:rsidRPr="00BD5B6E">
        <w:fldChar w:fldCharType="end"/>
      </w:r>
      <w:r w:rsidRPr="00BD5B6E">
        <w:tab/>
      </w:r>
      <w:r w:rsidRPr="00BD5B6E">
        <w:rPr>
          <w:szCs w:val="24"/>
        </w:rPr>
        <w:t xml:space="preserve">The TWC agreed that the </w:t>
      </w:r>
      <w:r>
        <w:rPr>
          <w:szCs w:val="24"/>
        </w:rPr>
        <w:t>t</w:t>
      </w:r>
      <w:r w:rsidRPr="00BD5B6E">
        <w:rPr>
          <w:szCs w:val="24"/>
        </w:rPr>
        <w:t xml:space="preserve">ype I and </w:t>
      </w:r>
      <w:r>
        <w:rPr>
          <w:szCs w:val="24"/>
        </w:rPr>
        <w:t>t</w:t>
      </w:r>
      <w:r w:rsidRPr="00BD5B6E">
        <w:rPr>
          <w:szCs w:val="24"/>
        </w:rPr>
        <w:t xml:space="preserve">ype II errors used in the statistical basis for the acceptable number of off-types in the subsample of 20 plants used in the context of a sample size of 100 plants were comparable to those of the entire sample for the example provided in wheat and barley.  </w:t>
      </w:r>
    </w:p>
    <w:p w:rsidR="00235D1F" w:rsidRPr="00BD5B6E" w:rsidRDefault="00235D1F" w:rsidP="00235D1F">
      <w:pPr>
        <w:rPr>
          <w:szCs w:val="24"/>
        </w:rPr>
      </w:pPr>
    </w:p>
    <w:p w:rsidR="00235D1F" w:rsidRPr="00BD5B6E" w:rsidRDefault="00235D1F" w:rsidP="00235D1F">
      <w:pPr>
        <w:rPr>
          <w:rFonts w:cs="Arial"/>
        </w:rPr>
      </w:pPr>
      <w:r w:rsidRPr="00BD5B6E">
        <w:fldChar w:fldCharType="begin"/>
      </w:r>
      <w:r w:rsidRPr="00BD5B6E">
        <w:instrText xml:space="preserve"> AUTONUM  </w:instrText>
      </w:r>
      <w:r w:rsidRPr="00BD5B6E">
        <w:fldChar w:fldCharType="end"/>
      </w:r>
      <w:r w:rsidRPr="00BD5B6E">
        <w:tab/>
      </w:r>
      <w:r w:rsidRPr="00BD5B6E">
        <w:rPr>
          <w:szCs w:val="24"/>
        </w:rPr>
        <w:t xml:space="preserve">The TWC noted that the </w:t>
      </w:r>
      <w:r w:rsidRPr="00BD5B6E">
        <w:t xml:space="preserve">stepwise approach in the off-type procedure was intended to </w:t>
      </w:r>
      <w:r w:rsidRPr="00BD5B6E">
        <w:rPr>
          <w:szCs w:val="24"/>
        </w:rPr>
        <w:t>reduce costs without increasing risks in the uniformity assessment. The TWC agreed to propose the guidance as follows</w:t>
      </w:r>
      <w:r>
        <w:rPr>
          <w:szCs w:val="24"/>
        </w:rPr>
        <w:t xml:space="preserve"> </w:t>
      </w:r>
      <w:r>
        <w:t>(see document TWC/32/28 “Report”, paragraphs 19 to 24)</w:t>
      </w:r>
      <w:r w:rsidRPr="00BD5B6E">
        <w:rPr>
          <w:szCs w:val="24"/>
        </w:rPr>
        <w:t>:</w:t>
      </w:r>
    </w:p>
    <w:p w:rsidR="00235D1F" w:rsidRPr="00BD5B6E" w:rsidRDefault="00235D1F" w:rsidP="00235D1F">
      <w:pPr>
        <w:ind w:left="567" w:right="567"/>
        <w:jc w:val="left"/>
        <w:rPr>
          <w:sz w:val="18"/>
        </w:rPr>
      </w:pPr>
    </w:p>
    <w:p w:rsidR="00235D1F" w:rsidRPr="00BD5B6E" w:rsidRDefault="00235D1F" w:rsidP="00235D1F">
      <w:pPr>
        <w:ind w:left="567" w:right="567"/>
        <w:rPr>
          <w:rFonts w:cs="Arial"/>
          <w:sz w:val="18"/>
        </w:rPr>
      </w:pPr>
    </w:p>
    <w:p w:rsidR="00235D1F" w:rsidRPr="00BD5B6E" w:rsidRDefault="00235D1F" w:rsidP="00235D1F">
      <w:pPr>
        <w:ind w:left="567" w:right="567"/>
        <w:rPr>
          <w:sz w:val="18"/>
          <w:szCs w:val="24"/>
        </w:rPr>
      </w:pPr>
      <w:r w:rsidRPr="00BD5B6E">
        <w:rPr>
          <w:rFonts w:eastAsia="SimSun"/>
          <w:sz w:val="18"/>
          <w:szCs w:val="24"/>
          <w:lang w:eastAsia="zh-CN"/>
        </w:rPr>
        <w:t xml:space="preserve">“SITUATION D:  ASSESSING </w:t>
      </w:r>
      <w:r w:rsidRPr="00BD5B6E">
        <w:rPr>
          <w:sz w:val="18"/>
          <w:szCs w:val="24"/>
        </w:rPr>
        <w:t>SUB-SAMPLES WITHIN A SINGLE TEST/TRIAL</w:t>
      </w:r>
    </w:p>
    <w:p w:rsidR="00235D1F" w:rsidRPr="00BD5B6E" w:rsidRDefault="00235D1F" w:rsidP="00235D1F">
      <w:pPr>
        <w:ind w:left="567" w:right="567"/>
        <w:rPr>
          <w:sz w:val="18"/>
          <w:szCs w:val="24"/>
        </w:rPr>
      </w:pPr>
    </w:p>
    <w:p w:rsidR="00235D1F" w:rsidRPr="00BD5B6E" w:rsidRDefault="00235D1F" w:rsidP="00235D1F">
      <w:pPr>
        <w:ind w:left="567"/>
        <w:rPr>
          <w:b/>
          <w:sz w:val="18"/>
        </w:rPr>
      </w:pPr>
      <w:r w:rsidRPr="00BD5B6E">
        <w:rPr>
          <w:b/>
          <w:sz w:val="18"/>
        </w:rPr>
        <w:t>“Approach:  Use of sub-sample as a first step of assessment</w:t>
      </w:r>
    </w:p>
    <w:p w:rsidR="00235D1F" w:rsidRPr="00BD5B6E" w:rsidRDefault="00235D1F" w:rsidP="00235D1F">
      <w:pPr>
        <w:ind w:left="567" w:right="567"/>
        <w:rPr>
          <w:rFonts w:cs="Arial"/>
          <w:sz w:val="18"/>
        </w:rPr>
      </w:pPr>
    </w:p>
    <w:p w:rsidR="00235D1F" w:rsidRPr="00BD5B6E" w:rsidRDefault="00235D1F" w:rsidP="00235D1F">
      <w:pPr>
        <w:ind w:left="567" w:right="567"/>
        <w:rPr>
          <w:rFonts w:cs="Arial"/>
          <w:sz w:val="18"/>
        </w:rPr>
      </w:pPr>
      <w:r w:rsidRPr="00BD5B6E">
        <w:rPr>
          <w:rFonts w:cs="Arial"/>
          <w:sz w:val="18"/>
        </w:rPr>
        <w:t xml:space="preserve">“A variety is considered uniform if the number of off-types does not exceed a predefined lower limit in the sub-sample. </w:t>
      </w:r>
    </w:p>
    <w:p w:rsidR="00235D1F" w:rsidRPr="00BD5B6E" w:rsidRDefault="00235D1F" w:rsidP="00235D1F">
      <w:pPr>
        <w:ind w:left="567" w:right="567"/>
        <w:rPr>
          <w:rFonts w:cs="Arial"/>
          <w:sz w:val="18"/>
        </w:rPr>
      </w:pPr>
    </w:p>
    <w:p w:rsidR="00235D1F" w:rsidRPr="00BD5B6E" w:rsidRDefault="00235D1F" w:rsidP="00235D1F">
      <w:pPr>
        <w:ind w:left="567" w:right="567"/>
        <w:rPr>
          <w:rFonts w:cs="Arial"/>
          <w:sz w:val="18"/>
        </w:rPr>
      </w:pPr>
      <w:r w:rsidRPr="00BD5B6E">
        <w:rPr>
          <w:rFonts w:cs="Arial"/>
          <w:sz w:val="18"/>
        </w:rPr>
        <w:t>“A variety is considered non-uniform if the number of off-types exceeds a predefined upper limit in the sub</w:t>
      </w:r>
      <w:r>
        <w:rPr>
          <w:rFonts w:cs="Arial"/>
          <w:sz w:val="18"/>
        </w:rPr>
        <w:noBreakHyphen/>
      </w:r>
      <w:r w:rsidRPr="00BD5B6E">
        <w:rPr>
          <w:rFonts w:cs="Arial"/>
          <w:sz w:val="18"/>
        </w:rPr>
        <w:t>sample.</w:t>
      </w:r>
    </w:p>
    <w:p w:rsidR="00235D1F" w:rsidRPr="00BD5B6E" w:rsidRDefault="00235D1F" w:rsidP="00235D1F">
      <w:pPr>
        <w:ind w:left="567" w:right="567"/>
        <w:rPr>
          <w:rFonts w:cs="Arial"/>
          <w:sz w:val="18"/>
        </w:rPr>
      </w:pPr>
    </w:p>
    <w:p w:rsidR="00235D1F" w:rsidRPr="00BD5B6E" w:rsidRDefault="00235D1F" w:rsidP="00235D1F">
      <w:pPr>
        <w:ind w:left="567" w:right="567"/>
        <w:rPr>
          <w:rFonts w:cs="Arial"/>
          <w:sz w:val="18"/>
        </w:rPr>
      </w:pPr>
      <w:r w:rsidRPr="00BD5B6E">
        <w:rPr>
          <w:rFonts w:cs="Arial"/>
          <w:sz w:val="18"/>
        </w:rPr>
        <w:t>“If the number of off-types is between the predefined lower and upper limits the whole sample is assessed. The lower and upper limits have to be chosen considering comparable type I and type II errors in the sub</w:t>
      </w:r>
      <w:r w:rsidRPr="00BD5B6E">
        <w:rPr>
          <w:rFonts w:cs="Arial"/>
          <w:sz w:val="18"/>
        </w:rPr>
        <w:noBreakHyphen/>
        <w:t>sample and the whole sample.</w:t>
      </w:r>
    </w:p>
    <w:p w:rsidR="00235D1F" w:rsidRPr="00BD5B6E" w:rsidRDefault="00235D1F" w:rsidP="00235D1F">
      <w:pPr>
        <w:ind w:left="567" w:right="567"/>
        <w:rPr>
          <w:rFonts w:cs="Arial"/>
          <w:sz w:val="18"/>
        </w:rPr>
      </w:pPr>
    </w:p>
    <w:p w:rsidR="00235D1F" w:rsidRPr="00BD5B6E" w:rsidRDefault="00235D1F" w:rsidP="00235D1F">
      <w:pPr>
        <w:ind w:left="567" w:right="567"/>
        <w:rPr>
          <w:rFonts w:cs="Arial"/>
          <w:sz w:val="18"/>
        </w:rPr>
      </w:pPr>
      <w:r w:rsidRPr="00BD5B6E">
        <w:rPr>
          <w:rFonts w:cs="Arial"/>
          <w:sz w:val="18"/>
        </w:rPr>
        <w:t>“Example:</w:t>
      </w:r>
    </w:p>
    <w:p w:rsidR="00235D1F" w:rsidRPr="00BD5B6E" w:rsidRDefault="00235D1F" w:rsidP="00235D1F">
      <w:pPr>
        <w:ind w:left="567" w:right="567"/>
        <w:rPr>
          <w:rFonts w:cs="Arial"/>
          <w:sz w:val="18"/>
        </w:rPr>
      </w:pPr>
    </w:p>
    <w:p w:rsidR="00235D1F" w:rsidRPr="00BD5B6E" w:rsidRDefault="00235D1F" w:rsidP="00235D1F">
      <w:pPr>
        <w:autoSpaceDE w:val="0"/>
        <w:autoSpaceDN w:val="0"/>
        <w:adjustRightInd w:val="0"/>
        <w:ind w:left="567" w:right="567"/>
        <w:rPr>
          <w:rFonts w:cs="Arial"/>
          <w:sz w:val="18"/>
        </w:rPr>
      </w:pPr>
      <w:r w:rsidRPr="00BD5B6E">
        <w:rPr>
          <w:rFonts w:cs="Arial"/>
          <w:sz w:val="18"/>
        </w:rPr>
        <w:t>“In a sample size of 100 plants, the acceptable number of off-types is 3 (based on a population standard of 1% and an acceptance probability of at least 95%).</w:t>
      </w:r>
    </w:p>
    <w:p w:rsidR="00235D1F" w:rsidRPr="00BD5B6E" w:rsidRDefault="00235D1F" w:rsidP="00235D1F">
      <w:pPr>
        <w:autoSpaceDE w:val="0"/>
        <w:autoSpaceDN w:val="0"/>
        <w:adjustRightInd w:val="0"/>
        <w:ind w:left="567" w:right="567"/>
        <w:rPr>
          <w:rFonts w:cs="Arial"/>
          <w:sz w:val="18"/>
        </w:rPr>
      </w:pPr>
    </w:p>
    <w:p w:rsidR="00235D1F" w:rsidRPr="00BD5B6E" w:rsidRDefault="00235D1F" w:rsidP="00235D1F">
      <w:pPr>
        <w:autoSpaceDE w:val="0"/>
        <w:autoSpaceDN w:val="0"/>
        <w:adjustRightInd w:val="0"/>
        <w:ind w:left="567" w:right="567"/>
        <w:rPr>
          <w:rFonts w:cs="Arial"/>
          <w:sz w:val="18"/>
        </w:rPr>
      </w:pPr>
      <w:r w:rsidRPr="00BD5B6E">
        <w:rPr>
          <w:rFonts w:cs="Arial"/>
          <w:sz w:val="18"/>
        </w:rPr>
        <w:t>“In a subsample of 20 plants used in the context of the sample size of 100 plants above:</w:t>
      </w:r>
    </w:p>
    <w:p w:rsidR="00235D1F" w:rsidRPr="00BD5B6E" w:rsidRDefault="00235D1F" w:rsidP="00235D1F">
      <w:pPr>
        <w:autoSpaceDE w:val="0"/>
        <w:autoSpaceDN w:val="0"/>
        <w:adjustRightInd w:val="0"/>
        <w:ind w:left="1134" w:right="567"/>
        <w:rPr>
          <w:rFonts w:cs="Arial"/>
          <w:sz w:val="18"/>
        </w:rPr>
      </w:pPr>
    </w:p>
    <w:p w:rsidR="00235D1F" w:rsidRPr="00BD5B6E" w:rsidRDefault="00235D1F" w:rsidP="00235D1F">
      <w:pPr>
        <w:ind w:left="1134" w:right="567"/>
        <w:rPr>
          <w:rFonts w:cs="Arial"/>
          <w:sz w:val="18"/>
        </w:rPr>
      </w:pPr>
      <w:r w:rsidRPr="00BD5B6E">
        <w:rPr>
          <w:rFonts w:cs="Arial"/>
          <w:sz w:val="18"/>
        </w:rPr>
        <w:t>“A variety is considered uniform if no off-types are observed in the sub-sample.</w:t>
      </w:r>
    </w:p>
    <w:p w:rsidR="00235D1F" w:rsidRPr="00BD5B6E" w:rsidRDefault="00235D1F" w:rsidP="00235D1F">
      <w:pPr>
        <w:ind w:left="1134" w:right="567"/>
        <w:rPr>
          <w:rFonts w:cs="Arial"/>
          <w:sz w:val="18"/>
        </w:rPr>
      </w:pPr>
    </w:p>
    <w:p w:rsidR="00235D1F" w:rsidRPr="00BD5B6E" w:rsidRDefault="00235D1F" w:rsidP="00235D1F">
      <w:pPr>
        <w:ind w:left="1134" w:right="567"/>
        <w:rPr>
          <w:rFonts w:cs="Arial"/>
          <w:sz w:val="18"/>
        </w:rPr>
      </w:pPr>
      <w:r w:rsidRPr="00BD5B6E">
        <w:rPr>
          <w:rFonts w:cs="Arial"/>
          <w:sz w:val="18"/>
        </w:rPr>
        <w:t>“A variety is considered non–uniform if the number of off-types in the sub-sample exceeds 3.</w:t>
      </w:r>
    </w:p>
    <w:p w:rsidR="00235D1F" w:rsidRPr="00BD5B6E" w:rsidRDefault="00235D1F" w:rsidP="00235D1F">
      <w:pPr>
        <w:ind w:left="1134" w:right="567"/>
        <w:rPr>
          <w:rFonts w:cs="Arial"/>
          <w:sz w:val="18"/>
        </w:rPr>
      </w:pPr>
    </w:p>
    <w:p w:rsidR="00235D1F" w:rsidRPr="00BD5B6E" w:rsidRDefault="00235D1F" w:rsidP="00235D1F">
      <w:pPr>
        <w:ind w:left="1134" w:right="567"/>
        <w:rPr>
          <w:rFonts w:cs="Arial"/>
          <w:sz w:val="18"/>
        </w:rPr>
      </w:pPr>
      <w:r w:rsidRPr="00BD5B6E">
        <w:rPr>
          <w:rFonts w:cs="Arial"/>
          <w:sz w:val="18"/>
        </w:rPr>
        <w:t>“If the number of off-types is 1 to 3, the whole sample of 100 plants is assessed.</w:t>
      </w:r>
    </w:p>
    <w:p w:rsidR="00235D1F" w:rsidRPr="00BD5B6E" w:rsidRDefault="00235D1F" w:rsidP="00235D1F">
      <w:pPr>
        <w:ind w:left="567" w:right="567"/>
        <w:rPr>
          <w:rFonts w:cs="Arial"/>
          <w:sz w:val="18"/>
        </w:rPr>
      </w:pPr>
    </w:p>
    <w:p w:rsidR="00235D1F" w:rsidRPr="00BD5B6E" w:rsidRDefault="00235D1F" w:rsidP="00235D1F">
      <w:pPr>
        <w:ind w:left="567" w:right="567"/>
        <w:rPr>
          <w:rFonts w:cs="Arial"/>
          <w:b/>
          <w:sz w:val="18"/>
        </w:rPr>
      </w:pPr>
      <w:r w:rsidRPr="00BD5B6E">
        <w:rPr>
          <w:rFonts w:cs="Arial"/>
          <w:sz w:val="18"/>
        </w:rPr>
        <w:t>“Annex V to document TWC/32/9 provides a full description of the statistical basis for this approach.”</w:t>
      </w:r>
    </w:p>
    <w:p w:rsidR="00235D1F" w:rsidRDefault="00235D1F" w:rsidP="00D549E4">
      <w:pPr>
        <w:pStyle w:val="Heading2"/>
        <w:rPr>
          <w:lang w:eastAsia="de-DE" w:bidi="de-DE"/>
        </w:rPr>
      </w:pPr>
    </w:p>
    <w:p w:rsidR="00235D1F" w:rsidRPr="00235D1F" w:rsidRDefault="00235D1F" w:rsidP="00235D1F">
      <w:pPr>
        <w:rPr>
          <w:lang w:eastAsia="de-DE" w:bidi="de-DE"/>
        </w:rPr>
      </w:pPr>
    </w:p>
    <w:p w:rsidR="00D549E4" w:rsidRDefault="00D549E4" w:rsidP="0060271F">
      <w:pPr>
        <w:pStyle w:val="Heading3"/>
        <w:rPr>
          <w:lang w:eastAsia="de-DE" w:bidi="de-DE"/>
        </w:rPr>
      </w:pPr>
      <w:bookmarkStart w:id="16" w:name="_Toc405386463"/>
      <w:r w:rsidRPr="001576B7">
        <w:rPr>
          <w:lang w:eastAsia="de-DE" w:bidi="de-DE"/>
        </w:rPr>
        <w:t>Technical Working Party for Vegetables</w:t>
      </w:r>
      <w:bookmarkEnd w:id="16"/>
      <w:r w:rsidRPr="001576B7">
        <w:rPr>
          <w:lang w:eastAsia="de-DE" w:bidi="de-DE"/>
        </w:rPr>
        <w:t xml:space="preserve"> </w:t>
      </w:r>
    </w:p>
    <w:p w:rsidR="00D549E4" w:rsidRDefault="00D549E4" w:rsidP="005C056F"/>
    <w:p w:rsidR="00235D1F" w:rsidRPr="00142558" w:rsidRDefault="00235D1F" w:rsidP="00235D1F">
      <w:pPr>
        <w:ind w:right="-425"/>
      </w:pPr>
      <w:r w:rsidRPr="00142558">
        <w:fldChar w:fldCharType="begin"/>
      </w:r>
      <w:r w:rsidRPr="00142558">
        <w:instrText xml:space="preserve"> AUTONUM  </w:instrText>
      </w:r>
      <w:r w:rsidRPr="00142558">
        <w:fldChar w:fldCharType="end"/>
      </w:r>
      <w:r w:rsidRPr="00142558">
        <w:tab/>
        <w:t xml:space="preserve">The TWV considered document TWV/48/9 </w:t>
      </w:r>
      <w:r w:rsidRPr="00142558">
        <w:rPr>
          <w:rFonts w:cs="Arial"/>
        </w:rPr>
        <w:t>and the situations described in the Annexes I to IV as a basis to develop guidance in document TGP/10.</w:t>
      </w:r>
    </w:p>
    <w:p w:rsidR="00235D1F" w:rsidRPr="00142558" w:rsidRDefault="00235D1F" w:rsidP="00235D1F"/>
    <w:p w:rsidR="00235D1F" w:rsidRPr="00142558" w:rsidRDefault="00235D1F" w:rsidP="00235D1F">
      <w:pPr>
        <w:ind w:right="-425"/>
      </w:pPr>
      <w:r w:rsidRPr="00142558">
        <w:fldChar w:fldCharType="begin"/>
      </w:r>
      <w:r w:rsidRPr="00142558">
        <w:instrText xml:space="preserve"> AUTONUM  </w:instrText>
      </w:r>
      <w:r w:rsidRPr="00142558">
        <w:fldChar w:fldCharType="end"/>
      </w:r>
      <w:r w:rsidRPr="00142558">
        <w:tab/>
        <w:t>The TWV agreed on the importance of assessing uniformity in each independent growing cycle and is not in favor of combining results from 2 cycles</w:t>
      </w:r>
      <w:r>
        <w:t xml:space="preserve"> (see document TWV/48/43 “Report”, paragraphs 79 and 80)</w:t>
      </w:r>
      <w:r w:rsidRPr="00142558">
        <w:t>.</w:t>
      </w:r>
    </w:p>
    <w:p w:rsidR="00D549E4" w:rsidRDefault="00D549E4" w:rsidP="005C056F"/>
    <w:p w:rsidR="00235D1F" w:rsidRDefault="00235D1F" w:rsidP="005C056F"/>
    <w:p w:rsidR="005D7A1E" w:rsidRDefault="005D7A1E" w:rsidP="005C056F"/>
    <w:p w:rsidR="005D7A1E" w:rsidRDefault="005D7A1E" w:rsidP="005C056F"/>
    <w:p w:rsidR="00D549E4" w:rsidRPr="00D549E4" w:rsidRDefault="00D549E4" w:rsidP="0060271F">
      <w:pPr>
        <w:pStyle w:val="Heading3"/>
      </w:pPr>
      <w:bookmarkStart w:id="17" w:name="_Toc405386464"/>
      <w:r w:rsidRPr="00D549E4">
        <w:lastRenderedPageBreak/>
        <w:t>Technical Working Party for Agricultural Crops</w:t>
      </w:r>
      <w:bookmarkEnd w:id="17"/>
    </w:p>
    <w:p w:rsidR="00D549E4" w:rsidRDefault="00D549E4" w:rsidP="005C056F"/>
    <w:p w:rsidR="00235D1F" w:rsidRPr="004E00D0" w:rsidRDefault="00235D1F" w:rsidP="00235D1F">
      <w:r w:rsidRPr="004E00D0">
        <w:fldChar w:fldCharType="begin"/>
      </w:r>
      <w:r w:rsidRPr="004E00D0">
        <w:instrText xml:space="preserve"> AUTONUM  </w:instrText>
      </w:r>
      <w:r w:rsidRPr="004E00D0">
        <w:fldChar w:fldCharType="end"/>
      </w:r>
      <w:r w:rsidRPr="004E00D0">
        <w:tab/>
        <w:t>The TWA considered document TWA/43/9</w:t>
      </w:r>
      <w:r>
        <w:t>, including</w:t>
      </w:r>
      <w:r w:rsidRPr="004E00D0">
        <w:t xml:space="preserve"> Annexes I to IV</w:t>
      </w:r>
      <w:r>
        <w:t>,</w:t>
      </w:r>
      <w:r w:rsidRPr="004E00D0">
        <w:t xml:space="preserve"> as a basis to develop guidance in document TGP/10.</w:t>
      </w:r>
    </w:p>
    <w:p w:rsidR="00235D1F" w:rsidRPr="004E00D0" w:rsidRDefault="00235D1F" w:rsidP="00235D1F"/>
    <w:p w:rsidR="00235D1F" w:rsidRPr="004E00D0" w:rsidRDefault="00235D1F" w:rsidP="00235D1F">
      <w:r w:rsidRPr="004E00D0">
        <w:fldChar w:fldCharType="begin"/>
      </w:r>
      <w:r w:rsidRPr="004E00D0">
        <w:instrText xml:space="preserve"> AUTONUM  </w:instrText>
      </w:r>
      <w:r w:rsidRPr="004E00D0">
        <w:fldChar w:fldCharType="end"/>
      </w:r>
      <w:r w:rsidRPr="004E00D0">
        <w:tab/>
        <w:t>The TWA noted that the TWC had been invited to provide an analysis of the consequences of the different approaches presented in the Annexes of document TWA/43/9 and, in particular, whether approach 2 in Situations A and B was appropriate.</w:t>
      </w:r>
    </w:p>
    <w:p w:rsidR="00235D1F" w:rsidRPr="004E00D0" w:rsidRDefault="00235D1F" w:rsidP="00235D1F"/>
    <w:p w:rsidR="00235D1F" w:rsidRDefault="00235D1F" w:rsidP="00235D1F">
      <w:pPr>
        <w:rPr>
          <w:rFonts w:eastAsiaTheme="minorEastAsia"/>
        </w:rPr>
      </w:pPr>
      <w:r w:rsidRPr="004E00D0">
        <w:fldChar w:fldCharType="begin"/>
      </w:r>
      <w:r w:rsidRPr="004E00D0">
        <w:instrText xml:space="preserve"> AUTONUM  </w:instrText>
      </w:r>
      <w:r w:rsidRPr="004E00D0">
        <w:fldChar w:fldCharType="end"/>
      </w:r>
      <w:r w:rsidRPr="004E00D0">
        <w:tab/>
        <w:t xml:space="preserve">The TWA agreed with the TWV </w:t>
      </w:r>
      <w:r w:rsidRPr="004E00D0">
        <w:rPr>
          <w:rFonts w:eastAsiaTheme="minorEastAsia"/>
        </w:rPr>
        <w:t>on the importance of assessing uniformity in each independent growing cycle and was not in favor of combining results from 2 cycles.</w:t>
      </w:r>
    </w:p>
    <w:p w:rsidR="005D7A1E" w:rsidRPr="004E00D0" w:rsidRDefault="005D7A1E" w:rsidP="00235D1F">
      <w:pPr>
        <w:rPr>
          <w:rFonts w:eastAsiaTheme="minorEastAsia"/>
        </w:rPr>
      </w:pPr>
    </w:p>
    <w:p w:rsidR="00235D1F" w:rsidRPr="004E00D0" w:rsidRDefault="00235D1F" w:rsidP="00235D1F">
      <w:r w:rsidRPr="004E00D0">
        <w:fldChar w:fldCharType="begin"/>
      </w:r>
      <w:r w:rsidRPr="004E00D0">
        <w:instrText xml:space="preserve"> AUTONUM  </w:instrText>
      </w:r>
      <w:r w:rsidRPr="004E00D0">
        <w:fldChar w:fldCharType="end"/>
      </w:r>
      <w:r w:rsidRPr="004E00D0">
        <w:tab/>
        <w:t xml:space="preserve">The TWA agreed </w:t>
      </w:r>
      <w:r>
        <w:t xml:space="preserve">that </w:t>
      </w:r>
      <w:r w:rsidRPr="004E00D0">
        <w:t xml:space="preserve">an introduction paragraph should be added to Situation B to explain that years could be replaced by locations of DUS </w:t>
      </w:r>
      <w:r>
        <w:t xml:space="preserve">testing </w:t>
      </w:r>
      <w:r w:rsidRPr="004E00D0">
        <w:t xml:space="preserve">trials only when </w:t>
      </w:r>
      <w:r>
        <w:t xml:space="preserve">specific requirements are fulfilled such as </w:t>
      </w:r>
      <w:r w:rsidRPr="004E00D0">
        <w:t xml:space="preserve">no </w:t>
      </w:r>
      <w:r>
        <w:t xml:space="preserve">significant </w:t>
      </w:r>
      <w:r w:rsidRPr="004E00D0">
        <w:t xml:space="preserve">genotype x </w:t>
      </w:r>
      <w:r>
        <w:t xml:space="preserve">location </w:t>
      </w:r>
      <w:r w:rsidRPr="004E00D0">
        <w:t xml:space="preserve">interaction for </w:t>
      </w:r>
      <w:r>
        <w:t>any of the</w:t>
      </w:r>
      <w:r w:rsidRPr="004E00D0">
        <w:t xml:space="preserve"> characteristics used in DUS examination.  </w:t>
      </w:r>
    </w:p>
    <w:p w:rsidR="00235D1F" w:rsidRPr="004E00D0" w:rsidRDefault="00235D1F" w:rsidP="00235D1F"/>
    <w:p w:rsidR="00235D1F" w:rsidRPr="004E00D0" w:rsidRDefault="00235D1F" w:rsidP="00235D1F">
      <w:r w:rsidRPr="004E00D0">
        <w:fldChar w:fldCharType="begin"/>
      </w:r>
      <w:r w:rsidRPr="004E00D0">
        <w:instrText xml:space="preserve"> AUTONUM  </w:instrText>
      </w:r>
      <w:r w:rsidRPr="004E00D0">
        <w:fldChar w:fldCharType="end"/>
      </w:r>
      <w:r w:rsidRPr="004E00D0">
        <w:tab/>
        <w:t xml:space="preserve">The TWA agreed with the TWC that the guidance provided in document TGP/10 “Examining Uniformity”, Section 6 “Combining all observations on a variety” was sufficient to address situation C “More than one sample or subsample for a characteristic in the same growing trial”, Annex III to document TWA/43/9. </w:t>
      </w:r>
    </w:p>
    <w:p w:rsidR="00235D1F" w:rsidRPr="004E00D0" w:rsidRDefault="00235D1F" w:rsidP="00235D1F"/>
    <w:p w:rsidR="00235D1F" w:rsidRPr="004E00D0" w:rsidRDefault="00235D1F" w:rsidP="00235D1F">
      <w:r w:rsidRPr="004E00D0">
        <w:fldChar w:fldCharType="begin"/>
      </w:r>
      <w:r w:rsidRPr="004E00D0">
        <w:instrText xml:space="preserve"> AUTONUM  </w:instrText>
      </w:r>
      <w:r w:rsidRPr="004E00D0">
        <w:fldChar w:fldCharType="end"/>
      </w:r>
      <w:r w:rsidRPr="004E00D0">
        <w:tab/>
        <w:t>The TWA agreed with the TWC that guidance in Situation D should read as follows</w:t>
      </w:r>
      <w:r w:rsidR="009E38FD">
        <w:t xml:space="preserve"> (see document TWA/43/27 “Report”, paragraphs 66 to 71)</w:t>
      </w:r>
      <w:r w:rsidRPr="004E00D0">
        <w:t xml:space="preserve">: </w:t>
      </w:r>
    </w:p>
    <w:p w:rsidR="00235D1F" w:rsidRPr="004E00D0" w:rsidRDefault="00235D1F" w:rsidP="00235D1F"/>
    <w:p w:rsidR="00235D1F" w:rsidRPr="004E00D0" w:rsidRDefault="00235D1F" w:rsidP="00235D1F">
      <w:pPr>
        <w:ind w:left="567" w:right="567"/>
        <w:rPr>
          <w:sz w:val="18"/>
        </w:rPr>
      </w:pPr>
      <w:r w:rsidRPr="004E00D0">
        <w:rPr>
          <w:rFonts w:eastAsia="SimSun"/>
          <w:sz w:val="18"/>
          <w:lang w:eastAsia="zh-CN"/>
        </w:rPr>
        <w:t xml:space="preserve">“SITUATION D:  ASSESSING </w:t>
      </w:r>
      <w:r w:rsidRPr="004E00D0">
        <w:rPr>
          <w:sz w:val="18"/>
        </w:rPr>
        <w:t>SUB-SAMPLES WITHIN A SINGLE TEST/TRIAL</w:t>
      </w:r>
    </w:p>
    <w:p w:rsidR="00235D1F" w:rsidRPr="004E00D0" w:rsidRDefault="00235D1F" w:rsidP="00235D1F">
      <w:pPr>
        <w:ind w:left="567" w:right="567"/>
        <w:rPr>
          <w:sz w:val="18"/>
        </w:rPr>
      </w:pPr>
    </w:p>
    <w:p w:rsidR="00235D1F" w:rsidRPr="004E00D0" w:rsidRDefault="00235D1F" w:rsidP="00235D1F">
      <w:pPr>
        <w:ind w:left="567"/>
        <w:rPr>
          <w:b/>
          <w:sz w:val="18"/>
        </w:rPr>
      </w:pPr>
      <w:r w:rsidRPr="004E00D0">
        <w:rPr>
          <w:b/>
          <w:sz w:val="18"/>
        </w:rPr>
        <w:t>“Approach:  Use of sub-sample as a first step of assessment</w:t>
      </w:r>
    </w:p>
    <w:p w:rsidR="00235D1F" w:rsidRPr="004E00D0" w:rsidRDefault="00235D1F" w:rsidP="00235D1F">
      <w:pPr>
        <w:ind w:left="567" w:right="567"/>
        <w:rPr>
          <w:sz w:val="18"/>
        </w:rPr>
      </w:pPr>
    </w:p>
    <w:p w:rsidR="00235D1F" w:rsidRPr="004E00D0" w:rsidRDefault="00235D1F" w:rsidP="00235D1F">
      <w:pPr>
        <w:ind w:left="567" w:right="567"/>
        <w:rPr>
          <w:sz w:val="18"/>
        </w:rPr>
      </w:pPr>
      <w:r w:rsidRPr="004E00D0">
        <w:rPr>
          <w:sz w:val="18"/>
        </w:rPr>
        <w:t xml:space="preserve">“A variety is considered uniform if the number of off-types does not exceed a predefined lower limit in the sub-sample. </w:t>
      </w:r>
    </w:p>
    <w:p w:rsidR="00235D1F" w:rsidRPr="004E00D0" w:rsidRDefault="00235D1F" w:rsidP="00235D1F">
      <w:pPr>
        <w:ind w:left="567" w:right="567"/>
        <w:rPr>
          <w:sz w:val="18"/>
        </w:rPr>
      </w:pPr>
    </w:p>
    <w:p w:rsidR="00235D1F" w:rsidRPr="004E00D0" w:rsidRDefault="00235D1F" w:rsidP="00235D1F">
      <w:pPr>
        <w:ind w:left="567" w:right="567"/>
        <w:rPr>
          <w:sz w:val="18"/>
        </w:rPr>
      </w:pPr>
      <w:r w:rsidRPr="004E00D0">
        <w:rPr>
          <w:sz w:val="18"/>
        </w:rPr>
        <w:t>“A variety is considered non-uniform if the number of off-types exceeds a predefined upper limit in the sub</w:t>
      </w:r>
      <w:r w:rsidRPr="004E00D0">
        <w:rPr>
          <w:sz w:val="18"/>
        </w:rPr>
        <w:noBreakHyphen/>
        <w:t>sample.</w:t>
      </w:r>
    </w:p>
    <w:p w:rsidR="00235D1F" w:rsidRPr="004E00D0" w:rsidRDefault="00235D1F" w:rsidP="00235D1F">
      <w:pPr>
        <w:ind w:left="567" w:right="567"/>
        <w:rPr>
          <w:sz w:val="18"/>
        </w:rPr>
      </w:pPr>
    </w:p>
    <w:p w:rsidR="00235D1F" w:rsidRPr="004E00D0" w:rsidRDefault="00235D1F" w:rsidP="00235D1F">
      <w:pPr>
        <w:ind w:left="567" w:right="567"/>
        <w:rPr>
          <w:sz w:val="18"/>
        </w:rPr>
      </w:pPr>
      <w:r w:rsidRPr="004E00D0">
        <w:rPr>
          <w:sz w:val="18"/>
        </w:rPr>
        <w:t>“If the number of off-types is between the predefined lower and upper limits the whole sample is assessed. The lower and upper limits have to be chosen considering comparable type I and type II errors in the sub</w:t>
      </w:r>
      <w:r w:rsidRPr="004E00D0">
        <w:rPr>
          <w:sz w:val="18"/>
        </w:rPr>
        <w:noBreakHyphen/>
        <w:t>sample and the whole sample.</w:t>
      </w:r>
    </w:p>
    <w:p w:rsidR="00235D1F" w:rsidRPr="004E00D0" w:rsidRDefault="00235D1F" w:rsidP="00235D1F">
      <w:pPr>
        <w:ind w:left="567" w:right="567"/>
        <w:rPr>
          <w:sz w:val="18"/>
        </w:rPr>
      </w:pPr>
    </w:p>
    <w:p w:rsidR="00235D1F" w:rsidRPr="004E00D0" w:rsidRDefault="00235D1F" w:rsidP="00235D1F">
      <w:pPr>
        <w:ind w:left="567" w:right="567"/>
        <w:rPr>
          <w:sz w:val="18"/>
        </w:rPr>
      </w:pPr>
      <w:r w:rsidRPr="004E00D0">
        <w:rPr>
          <w:sz w:val="18"/>
        </w:rPr>
        <w:t>“Example:</w:t>
      </w:r>
    </w:p>
    <w:p w:rsidR="00235D1F" w:rsidRPr="004E00D0" w:rsidRDefault="00235D1F" w:rsidP="00235D1F">
      <w:pPr>
        <w:ind w:left="567" w:right="567"/>
        <w:rPr>
          <w:sz w:val="18"/>
        </w:rPr>
      </w:pPr>
    </w:p>
    <w:p w:rsidR="00235D1F" w:rsidRPr="004E00D0" w:rsidRDefault="00235D1F" w:rsidP="00235D1F">
      <w:pPr>
        <w:autoSpaceDE w:val="0"/>
        <w:autoSpaceDN w:val="0"/>
        <w:adjustRightInd w:val="0"/>
        <w:ind w:left="567" w:right="567"/>
        <w:rPr>
          <w:sz w:val="18"/>
        </w:rPr>
      </w:pPr>
      <w:r w:rsidRPr="004E00D0">
        <w:rPr>
          <w:sz w:val="18"/>
        </w:rPr>
        <w:t>“In a sample size of 100 plants, the acceptable number of off-types is 3 (based on a population standard of 1% and an acceptance probability of at least 95%).</w:t>
      </w:r>
    </w:p>
    <w:p w:rsidR="00235D1F" w:rsidRPr="004E00D0" w:rsidRDefault="00235D1F" w:rsidP="00235D1F">
      <w:pPr>
        <w:autoSpaceDE w:val="0"/>
        <w:autoSpaceDN w:val="0"/>
        <w:adjustRightInd w:val="0"/>
        <w:ind w:left="567" w:right="567"/>
        <w:rPr>
          <w:sz w:val="18"/>
        </w:rPr>
      </w:pPr>
    </w:p>
    <w:p w:rsidR="00235D1F" w:rsidRPr="004E00D0" w:rsidRDefault="00235D1F" w:rsidP="00235D1F">
      <w:pPr>
        <w:autoSpaceDE w:val="0"/>
        <w:autoSpaceDN w:val="0"/>
        <w:adjustRightInd w:val="0"/>
        <w:ind w:left="567" w:right="567"/>
        <w:rPr>
          <w:sz w:val="18"/>
        </w:rPr>
      </w:pPr>
      <w:r w:rsidRPr="004E00D0">
        <w:rPr>
          <w:sz w:val="18"/>
        </w:rPr>
        <w:t>“In a subsample of 20 plants used in the context of the sample size of 100 plants above:</w:t>
      </w:r>
    </w:p>
    <w:p w:rsidR="00235D1F" w:rsidRPr="004E00D0" w:rsidRDefault="00235D1F" w:rsidP="00235D1F">
      <w:pPr>
        <w:autoSpaceDE w:val="0"/>
        <w:autoSpaceDN w:val="0"/>
        <w:adjustRightInd w:val="0"/>
        <w:ind w:left="1134" w:right="567"/>
        <w:rPr>
          <w:sz w:val="18"/>
        </w:rPr>
      </w:pPr>
    </w:p>
    <w:p w:rsidR="00235D1F" w:rsidRPr="004E00D0" w:rsidRDefault="00235D1F" w:rsidP="00235D1F">
      <w:pPr>
        <w:ind w:left="1134" w:right="567"/>
        <w:rPr>
          <w:sz w:val="18"/>
        </w:rPr>
      </w:pPr>
      <w:r w:rsidRPr="004E00D0">
        <w:rPr>
          <w:sz w:val="18"/>
        </w:rPr>
        <w:t>“A variety is considered uniform if no off-types are observed in the sub-sample.</w:t>
      </w:r>
    </w:p>
    <w:p w:rsidR="00235D1F" w:rsidRPr="004E00D0" w:rsidRDefault="00235D1F" w:rsidP="00235D1F">
      <w:pPr>
        <w:ind w:left="1134" w:right="567"/>
        <w:rPr>
          <w:sz w:val="18"/>
        </w:rPr>
      </w:pPr>
    </w:p>
    <w:p w:rsidR="00235D1F" w:rsidRPr="004E00D0" w:rsidRDefault="00235D1F" w:rsidP="00235D1F">
      <w:pPr>
        <w:ind w:left="1134" w:right="567"/>
        <w:rPr>
          <w:sz w:val="18"/>
        </w:rPr>
      </w:pPr>
      <w:r w:rsidRPr="004E00D0">
        <w:rPr>
          <w:sz w:val="18"/>
        </w:rPr>
        <w:t>“A variety is considered non–uniform if the number of off-types in the sub-sample exceeds 3.</w:t>
      </w:r>
    </w:p>
    <w:p w:rsidR="00235D1F" w:rsidRPr="004E00D0" w:rsidRDefault="00235D1F" w:rsidP="00235D1F">
      <w:pPr>
        <w:ind w:left="1134" w:right="567"/>
        <w:rPr>
          <w:sz w:val="18"/>
        </w:rPr>
      </w:pPr>
    </w:p>
    <w:p w:rsidR="00235D1F" w:rsidRPr="004E00D0" w:rsidRDefault="00235D1F" w:rsidP="00235D1F">
      <w:pPr>
        <w:ind w:left="1134" w:right="567"/>
        <w:rPr>
          <w:sz w:val="18"/>
        </w:rPr>
      </w:pPr>
      <w:r w:rsidRPr="004E00D0">
        <w:rPr>
          <w:sz w:val="18"/>
        </w:rPr>
        <w:t>“If the number of off-types is 1 to 3, the whole sample of 100 plants is assessed.</w:t>
      </w:r>
    </w:p>
    <w:p w:rsidR="00235D1F" w:rsidRPr="004E00D0" w:rsidRDefault="00235D1F" w:rsidP="00235D1F">
      <w:pPr>
        <w:ind w:left="567" w:right="567"/>
        <w:rPr>
          <w:sz w:val="18"/>
        </w:rPr>
      </w:pPr>
    </w:p>
    <w:p w:rsidR="00235D1F" w:rsidRPr="00BD5B6E" w:rsidRDefault="00235D1F" w:rsidP="00235D1F">
      <w:pPr>
        <w:ind w:left="567" w:right="567"/>
        <w:rPr>
          <w:b/>
          <w:sz w:val="18"/>
        </w:rPr>
      </w:pPr>
      <w:r w:rsidRPr="004E00D0">
        <w:rPr>
          <w:sz w:val="18"/>
        </w:rPr>
        <w:t>“Annex V to document TWC/32/9 provides a full description of the statistical basis for this approach.”</w:t>
      </w:r>
    </w:p>
    <w:p w:rsidR="00235D1F" w:rsidRDefault="00235D1F" w:rsidP="005C056F"/>
    <w:p w:rsidR="009E38FD" w:rsidRDefault="009E38FD" w:rsidP="005C056F"/>
    <w:p w:rsidR="005C056F" w:rsidRPr="00D65E68" w:rsidRDefault="005C056F" w:rsidP="005C056F">
      <w:pPr>
        <w:pStyle w:val="Heading1"/>
      </w:pPr>
      <w:bookmarkStart w:id="18" w:name="_Toc405386465"/>
      <w:r w:rsidRPr="00D65E68">
        <w:t>Summary of approaches</w:t>
      </w:r>
      <w:bookmarkEnd w:id="11"/>
      <w:bookmarkEnd w:id="18"/>
    </w:p>
    <w:p w:rsidR="005C056F" w:rsidRPr="00D65E68" w:rsidRDefault="005C056F" w:rsidP="005C056F">
      <w:pPr>
        <w:rPr>
          <w:rFonts w:cs="Arial"/>
          <w:caps/>
          <w:snapToGrid w:val="0"/>
        </w:rPr>
      </w:pPr>
    </w:p>
    <w:p w:rsidR="005C056F" w:rsidRDefault="005C056F" w:rsidP="005C056F">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conclusions of the TC at its fiftieth </w:t>
      </w:r>
      <w:r w:rsidRPr="005D7A1E">
        <w:rPr>
          <w:szCs w:val="24"/>
        </w:rPr>
        <w:t>session</w:t>
      </w:r>
      <w:r w:rsidR="00ED5B06" w:rsidRPr="005D7A1E">
        <w:rPr>
          <w:szCs w:val="24"/>
        </w:rPr>
        <w:t xml:space="preserve"> </w:t>
      </w:r>
      <w:r w:rsidR="005D7A1E" w:rsidRPr="005D7A1E">
        <w:rPr>
          <w:szCs w:val="24"/>
        </w:rPr>
        <w:t>on the basis of the proposals made</w:t>
      </w:r>
      <w:r w:rsidR="00ED5B06" w:rsidRPr="005D7A1E">
        <w:rPr>
          <w:szCs w:val="24"/>
        </w:rPr>
        <w:t xml:space="preserve"> by the TWPs at their sessions in 2014, as follows:</w:t>
      </w:r>
    </w:p>
    <w:p w:rsidR="00AF4F80" w:rsidRDefault="00AF4F80" w:rsidP="00AF4F80">
      <w:pPr>
        <w:jc w:val="left"/>
        <w:rPr>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AF4F80" w:rsidRPr="004229F4" w:rsidTr="003114B2">
        <w:trPr>
          <w:cantSplit/>
          <w:jc w:val="center"/>
        </w:trPr>
        <w:tc>
          <w:tcPr>
            <w:tcW w:w="6664" w:type="dxa"/>
            <w:shd w:val="clear" w:color="auto" w:fill="E6E6E6"/>
          </w:tcPr>
          <w:p w:rsidR="00AF4F80" w:rsidRPr="008365E7" w:rsidRDefault="00AF4F80" w:rsidP="003114B2">
            <w:pPr>
              <w:jc w:val="center"/>
              <w:rPr>
                <w:rFonts w:cs="Arial"/>
                <w:sz w:val="18"/>
                <w:szCs w:val="22"/>
                <w:u w:val="single"/>
              </w:rPr>
            </w:pPr>
            <w:r w:rsidRPr="008365E7">
              <w:rPr>
                <w:rFonts w:cs="Arial"/>
                <w:sz w:val="18"/>
                <w:szCs w:val="22"/>
                <w:u w:val="single"/>
              </w:rPr>
              <w:lastRenderedPageBreak/>
              <w:t xml:space="preserve">Note for </w:t>
            </w:r>
            <w:r>
              <w:rPr>
                <w:rFonts w:cs="Arial"/>
                <w:sz w:val="18"/>
                <w:szCs w:val="22"/>
                <w:u w:val="single"/>
              </w:rPr>
              <w:t>revision</w:t>
            </w:r>
            <w:r w:rsidR="007B695E">
              <w:rPr>
                <w:rFonts w:cs="Arial"/>
                <w:sz w:val="18"/>
                <w:szCs w:val="22"/>
                <w:u w:val="single"/>
              </w:rPr>
              <w:t>s</w:t>
            </w:r>
            <w:r>
              <w:rPr>
                <w:rFonts w:cs="Arial"/>
                <w:sz w:val="18"/>
                <w:szCs w:val="22"/>
                <w:u w:val="single"/>
              </w:rPr>
              <w:t xml:space="preserve"> of Annexes I to IV</w:t>
            </w:r>
          </w:p>
          <w:p w:rsidR="00AF4F80" w:rsidRPr="008365E7" w:rsidRDefault="00AF4F80" w:rsidP="003114B2">
            <w:pPr>
              <w:rPr>
                <w:rFonts w:cs="Arial"/>
                <w:sz w:val="18"/>
                <w:szCs w:val="22"/>
                <w:u w:val="single"/>
              </w:rPr>
            </w:pPr>
          </w:p>
          <w:p w:rsidR="00AF4F80" w:rsidRPr="008365E7" w:rsidRDefault="00AF4F80" w:rsidP="003114B2">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2014</w:t>
            </w:r>
            <w:r>
              <w:rPr>
                <w:rFonts w:cs="Arial"/>
                <w:sz w:val="18"/>
                <w:szCs w:val="22"/>
              </w:rPr>
              <w:t>.</w:t>
            </w:r>
          </w:p>
          <w:p w:rsidR="00AF4F80" w:rsidRPr="008365E7" w:rsidRDefault="00AF4F80" w:rsidP="003114B2">
            <w:pPr>
              <w:rPr>
                <w:rFonts w:cs="Arial"/>
                <w:sz w:val="18"/>
                <w:szCs w:val="22"/>
              </w:rPr>
            </w:pPr>
          </w:p>
          <w:p w:rsidR="00AF4F80" w:rsidRPr="002B1964" w:rsidRDefault="00AF4F80" w:rsidP="003114B2">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2014</w:t>
            </w:r>
            <w:r>
              <w:rPr>
                <w:rFonts w:cs="Arial"/>
                <w:sz w:val="18"/>
                <w:szCs w:val="22"/>
              </w:rPr>
              <w:t>.</w:t>
            </w:r>
          </w:p>
        </w:tc>
      </w:tr>
    </w:tbl>
    <w:p w:rsidR="00AF4F80" w:rsidRDefault="00AF4F80" w:rsidP="00AF4F80">
      <w:pPr>
        <w:snapToGrid w:val="0"/>
        <w:jc w:val="left"/>
        <w:rPr>
          <w:szCs w:val="24"/>
        </w:rPr>
      </w:pPr>
    </w:p>
    <w:p w:rsidR="005C056F" w:rsidRPr="00F971AF" w:rsidRDefault="005C056F" w:rsidP="005C056F">
      <w:pPr>
        <w:autoSpaceDE w:val="0"/>
        <w:autoSpaceDN w:val="0"/>
        <w:adjustRightInd w:val="0"/>
        <w:snapToGrid w:val="0"/>
        <w:rPr>
          <w:i/>
          <w:szCs w:val="24"/>
        </w:rPr>
      </w:pPr>
      <w:r w:rsidRPr="00F971AF">
        <w:rPr>
          <w:i/>
          <w:szCs w:val="24"/>
        </w:rPr>
        <w:t>Annex I: Situation A:  Two growing cycles in a single location</w:t>
      </w:r>
    </w:p>
    <w:p w:rsidR="005C056F" w:rsidRPr="00F971AF" w:rsidRDefault="005C056F" w:rsidP="005C056F">
      <w:pPr>
        <w:autoSpaceDE w:val="0"/>
        <w:autoSpaceDN w:val="0"/>
        <w:adjustRightInd w:val="0"/>
        <w:snapToGrid w:val="0"/>
        <w:ind w:left="567"/>
        <w:rPr>
          <w:szCs w:val="24"/>
        </w:rPr>
      </w:pPr>
    </w:p>
    <w:p w:rsidR="005C056F" w:rsidRPr="00F971AF" w:rsidRDefault="005C056F" w:rsidP="005C056F">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5C056F" w:rsidRPr="00F971AF" w:rsidRDefault="005C056F" w:rsidP="005C056F">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D549E4" w:rsidRDefault="00D549E4" w:rsidP="005C056F">
      <w:pPr>
        <w:jc w:val="left"/>
        <w:rPr>
          <w:szCs w:val="24"/>
        </w:rPr>
      </w:pPr>
    </w:p>
    <w:p w:rsidR="005C056F" w:rsidRPr="00F971AF" w:rsidRDefault="005C056F" w:rsidP="005C056F">
      <w:pPr>
        <w:snapToGrid w:val="0"/>
        <w:jc w:val="left"/>
        <w:rPr>
          <w:i/>
          <w:szCs w:val="24"/>
        </w:rPr>
      </w:pPr>
      <w:r w:rsidRPr="00F971AF">
        <w:rPr>
          <w:i/>
          <w:szCs w:val="24"/>
        </w:rPr>
        <w:t xml:space="preserve">Annex II: Situation B:  Two growing locations in the same year </w:t>
      </w:r>
    </w:p>
    <w:p w:rsidR="005C056F" w:rsidRPr="00F971AF" w:rsidRDefault="005C056F" w:rsidP="005C056F">
      <w:pPr>
        <w:snapToGrid w:val="0"/>
        <w:ind w:left="567"/>
        <w:jc w:val="left"/>
      </w:pPr>
    </w:p>
    <w:p w:rsidR="005C056F" w:rsidRPr="00F971AF" w:rsidRDefault="005C056F" w:rsidP="005C056F">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5C056F" w:rsidRPr="00F971AF" w:rsidRDefault="005C056F" w:rsidP="005C056F">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5C056F" w:rsidRPr="00F971AF" w:rsidRDefault="005C056F" w:rsidP="005C056F">
      <w:pPr>
        <w:autoSpaceDE w:val="0"/>
        <w:autoSpaceDN w:val="0"/>
        <w:adjustRightInd w:val="0"/>
        <w:snapToGrid w:val="0"/>
        <w:ind w:left="567"/>
        <w:rPr>
          <w:szCs w:val="24"/>
        </w:rPr>
      </w:pPr>
    </w:p>
    <w:p w:rsidR="005C056F" w:rsidRPr="00ED5B06" w:rsidRDefault="005C056F" w:rsidP="005C056F">
      <w:pPr>
        <w:snapToGrid w:val="0"/>
        <w:jc w:val="left"/>
        <w:rPr>
          <w:i/>
          <w:strike/>
          <w:highlight w:val="lightGray"/>
        </w:rPr>
      </w:pPr>
      <w:r w:rsidRPr="00ED5B06">
        <w:rPr>
          <w:i/>
          <w:strike/>
          <w:szCs w:val="24"/>
          <w:highlight w:val="lightGray"/>
        </w:rPr>
        <w:t xml:space="preserve">Annex III: Situation C:  </w:t>
      </w:r>
      <w:r w:rsidRPr="00ED5B06">
        <w:rPr>
          <w:i/>
          <w:strike/>
          <w:highlight w:val="lightGray"/>
        </w:rPr>
        <w:t>More than one sample/sub-sample for a characteristic in the same growing cycle</w:t>
      </w:r>
    </w:p>
    <w:p w:rsidR="005C056F" w:rsidRPr="00ED5B06" w:rsidRDefault="005C056F" w:rsidP="005C056F">
      <w:pPr>
        <w:snapToGrid w:val="0"/>
        <w:ind w:left="567"/>
        <w:jc w:val="left"/>
        <w:rPr>
          <w:i/>
          <w:strike/>
          <w:highlight w:val="lightGray"/>
        </w:rPr>
      </w:pPr>
    </w:p>
    <w:p w:rsidR="005C056F" w:rsidRPr="00ED5B06" w:rsidRDefault="005C056F" w:rsidP="005C056F">
      <w:pPr>
        <w:snapToGrid w:val="0"/>
        <w:ind w:left="567" w:firstLine="273"/>
        <w:jc w:val="left"/>
      </w:pPr>
      <w:r w:rsidRPr="00ED5B06">
        <w:rPr>
          <w:strike/>
          <w:highlight w:val="lightGray"/>
        </w:rPr>
        <w:t>Approach:  Additional growing cycle in the case of inconsistent results</w:t>
      </w:r>
      <w:r w:rsidR="00ED5B06">
        <w:rPr>
          <w:strike/>
        </w:rPr>
        <w:t xml:space="preserve"> </w:t>
      </w:r>
      <w:r w:rsidR="00ED5B06" w:rsidRPr="005D7A1E">
        <w:t>(to be deleted)</w:t>
      </w:r>
    </w:p>
    <w:p w:rsidR="005C056F" w:rsidRDefault="005C056F" w:rsidP="005C056F">
      <w:pPr>
        <w:autoSpaceDE w:val="0"/>
        <w:autoSpaceDN w:val="0"/>
        <w:adjustRightInd w:val="0"/>
        <w:snapToGrid w:val="0"/>
        <w:ind w:left="567"/>
        <w:rPr>
          <w:szCs w:val="24"/>
        </w:rPr>
      </w:pPr>
    </w:p>
    <w:p w:rsidR="005C056F" w:rsidRPr="00F971AF" w:rsidRDefault="005C056F" w:rsidP="005C056F">
      <w:pPr>
        <w:snapToGrid w:val="0"/>
        <w:jc w:val="left"/>
        <w:rPr>
          <w:i/>
          <w:szCs w:val="24"/>
        </w:rPr>
      </w:pPr>
      <w:r w:rsidRPr="00F971AF">
        <w:rPr>
          <w:i/>
          <w:szCs w:val="24"/>
        </w:rPr>
        <w:t xml:space="preserve">Annex IV: Situation D:  Assessing sub-samples within a single test/trial </w:t>
      </w:r>
    </w:p>
    <w:p w:rsidR="005C056F" w:rsidRPr="00F971AF" w:rsidRDefault="005C056F" w:rsidP="005C056F">
      <w:pPr>
        <w:snapToGrid w:val="0"/>
        <w:ind w:left="567"/>
        <w:jc w:val="left"/>
        <w:rPr>
          <w:i/>
          <w:szCs w:val="24"/>
        </w:rPr>
      </w:pPr>
    </w:p>
    <w:p w:rsidR="005C056F" w:rsidRPr="00966299" w:rsidRDefault="005C056F" w:rsidP="005C056F">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5C056F" w:rsidRDefault="005C056F" w:rsidP="005C056F">
      <w:pPr>
        <w:snapToGrid w:val="0"/>
        <w:jc w:val="left"/>
        <w:rPr>
          <w:szCs w:val="24"/>
        </w:rPr>
      </w:pPr>
    </w:p>
    <w:p w:rsidR="005C056F" w:rsidRDefault="005C056F" w:rsidP="005C056F">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5C056F" w:rsidRDefault="005C056F" w:rsidP="005C056F">
      <w:pPr>
        <w:jc w:val="left"/>
        <w:rPr>
          <w:szCs w:val="24"/>
        </w:rPr>
      </w:pPr>
    </w:p>
    <w:p w:rsidR="005C056F" w:rsidRDefault="005C056F" w:rsidP="005C056F">
      <w:pPr>
        <w:jc w:val="left"/>
        <w:rPr>
          <w:szCs w:val="24"/>
        </w:rPr>
      </w:pPr>
      <w:r>
        <w:rPr>
          <w:szCs w:val="24"/>
        </w:rPr>
        <w:fldChar w:fldCharType="begin"/>
      </w:r>
      <w:r>
        <w:rPr>
          <w:szCs w:val="24"/>
        </w:rPr>
        <w:instrText xml:space="preserve"> AUTONUM  </w:instrText>
      </w:r>
      <w:r>
        <w:rPr>
          <w:szCs w:val="24"/>
        </w:rPr>
        <w:fldChar w:fldCharType="end"/>
      </w:r>
      <w:r>
        <w:rPr>
          <w:szCs w:val="24"/>
        </w:rPr>
        <w:tab/>
        <w:t>Annex V to this document presents a memorandum provided by the experts from Germany on the u</w:t>
      </w:r>
      <w:r w:rsidRPr="00B40556">
        <w:t>se of a stepwise approach in the off-type procedure within the same growing cycle</w:t>
      </w:r>
      <w:r>
        <w:t xml:space="preserve"> in Situation D.</w:t>
      </w:r>
    </w:p>
    <w:p w:rsidR="005C056F" w:rsidRDefault="005C056F" w:rsidP="005C056F">
      <w:pPr>
        <w:jc w:val="left"/>
        <w:rPr>
          <w:szCs w:val="24"/>
        </w:rPr>
      </w:pPr>
    </w:p>
    <w:p w:rsidR="00450FEE" w:rsidRDefault="00450FEE" w:rsidP="005C056F">
      <w:pPr>
        <w:jc w:val="left"/>
        <w:rPr>
          <w:szCs w:val="24"/>
        </w:rPr>
      </w:pPr>
    </w:p>
    <w:p w:rsidR="00ED5B06" w:rsidRDefault="00ED5B06" w:rsidP="00ED5B06">
      <w:pPr>
        <w:pStyle w:val="Heading1"/>
      </w:pPr>
      <w:bookmarkStart w:id="19" w:name="_Toc405386466"/>
      <w:r>
        <w:t>proposal</w:t>
      </w:r>
      <w:bookmarkEnd w:id="19"/>
    </w:p>
    <w:p w:rsidR="00ED5B06" w:rsidRDefault="00ED5B06" w:rsidP="00ED5B06"/>
    <w:p w:rsidR="00ED5B06" w:rsidRPr="00ED5B06" w:rsidRDefault="00ED5B06" w:rsidP="00ED5B06">
      <w:r>
        <w:fldChar w:fldCharType="begin"/>
      </w:r>
      <w:r>
        <w:instrText xml:space="preserve"> AUTONUM  </w:instrText>
      </w:r>
      <w:r>
        <w:fldChar w:fldCharType="end"/>
      </w:r>
      <w:r>
        <w:tab/>
        <w:t>It is proposed that Annexes I, II and IV</w:t>
      </w:r>
      <w:r w:rsidR="006D1365">
        <w:t xml:space="preserve"> to this document</w:t>
      </w:r>
      <w:r>
        <w:t xml:space="preserve"> are considered </w:t>
      </w:r>
      <w:r w:rsidR="006D1365">
        <w:t>as guidance on “</w:t>
      </w:r>
      <w:r w:rsidR="006D1365">
        <w:rPr>
          <w:rFonts w:eastAsia="MS Mincho"/>
          <w:color w:val="000000"/>
          <w:szCs w:val="24"/>
          <w:lang w:eastAsia="ja-JP"/>
        </w:rPr>
        <w:t xml:space="preserve">assessing </w:t>
      </w:r>
      <w:r w:rsidR="006D1365" w:rsidRPr="00ED3415">
        <w:rPr>
          <w:rFonts w:eastAsia="MS Mincho"/>
          <w:color w:val="000000"/>
          <w:szCs w:val="24"/>
          <w:lang w:eastAsia="ja-JP"/>
        </w:rPr>
        <w:t>uniformity by off-types on the basis of more</w:t>
      </w:r>
      <w:r w:rsidR="006D1365">
        <w:rPr>
          <w:rFonts w:eastAsia="MS Mincho"/>
          <w:color w:val="000000"/>
          <w:szCs w:val="24"/>
          <w:lang w:eastAsia="ja-JP"/>
        </w:rPr>
        <w:t xml:space="preserve"> than one sample or sub-sample”</w:t>
      </w:r>
      <w:r w:rsidR="006D1365">
        <w:t xml:space="preserve"> for inclusion in a future revision of document TGP/10 “Examining distinctness”.</w:t>
      </w:r>
    </w:p>
    <w:p w:rsidR="00ED5B06" w:rsidRDefault="00ED5B06" w:rsidP="005C056F">
      <w:pPr>
        <w:jc w:val="left"/>
        <w:rPr>
          <w:szCs w:val="24"/>
        </w:rPr>
      </w:pPr>
    </w:p>
    <w:p w:rsidR="00D549E4" w:rsidRPr="00046F70" w:rsidRDefault="00D549E4" w:rsidP="00D549E4">
      <w:pPr>
        <w:pStyle w:val="DecisionParagraphs"/>
        <w:tabs>
          <w:tab w:val="num" w:pos="5387"/>
        </w:tabs>
        <w:rPr>
          <w:sz w:val="20"/>
        </w:rPr>
      </w:pPr>
      <w:r w:rsidRPr="00046F70">
        <w:rPr>
          <w:sz w:val="20"/>
        </w:rPr>
        <w:fldChar w:fldCharType="begin"/>
      </w:r>
      <w:r w:rsidRPr="00046F70">
        <w:rPr>
          <w:sz w:val="20"/>
        </w:rPr>
        <w:instrText xml:space="preserve"> AUTONUM  </w:instrText>
      </w:r>
      <w:r w:rsidRPr="00046F70">
        <w:rPr>
          <w:sz w:val="20"/>
        </w:rPr>
        <w:fldChar w:fldCharType="end"/>
      </w:r>
      <w:r w:rsidRPr="00046F70">
        <w:rPr>
          <w:sz w:val="20"/>
        </w:rPr>
        <w:tab/>
        <w:t>The TC-EDC is invited to note the information in this document to be presented to the TC and propose any improvements to the document in that regard.</w:t>
      </w:r>
    </w:p>
    <w:p w:rsidR="00D549E4" w:rsidRDefault="00D549E4" w:rsidP="00D549E4"/>
    <w:p w:rsidR="005C056F" w:rsidRDefault="005C056F" w:rsidP="005C056F">
      <w:pPr>
        <w:jc w:val="right"/>
      </w:pPr>
    </w:p>
    <w:p w:rsidR="005C056F" w:rsidRDefault="005C056F" w:rsidP="005C056F">
      <w:pPr>
        <w:jc w:val="right"/>
      </w:pPr>
    </w:p>
    <w:p w:rsidR="005C056F" w:rsidRDefault="005C056F" w:rsidP="005C056F">
      <w:pPr>
        <w:jc w:val="right"/>
      </w:pPr>
      <w:r>
        <w:t>[Annexes follow]</w:t>
      </w:r>
    </w:p>
    <w:p w:rsidR="005C056F" w:rsidRDefault="005C056F" w:rsidP="005C056F"/>
    <w:p w:rsidR="005C056F" w:rsidRDefault="005C056F" w:rsidP="005C056F">
      <w:pPr>
        <w:rPr>
          <w:snapToGrid w:val="0"/>
        </w:rPr>
        <w:sectPr w:rsidR="005C056F" w:rsidSect="009E38FD">
          <w:headerReference w:type="default" r:id="rId10"/>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5C056F" w:rsidRPr="00ED3415" w:rsidTr="009E38FD">
        <w:trPr>
          <w:trHeight w:val="350"/>
        </w:trPr>
        <w:tc>
          <w:tcPr>
            <w:tcW w:w="10206" w:type="dxa"/>
          </w:tcPr>
          <w:p w:rsidR="005C056F" w:rsidRPr="002A2C89" w:rsidRDefault="005C056F" w:rsidP="009E38FD">
            <w:pPr>
              <w:autoSpaceDE w:val="0"/>
              <w:autoSpaceDN w:val="0"/>
              <w:adjustRightInd w:val="0"/>
              <w:spacing w:before="120"/>
              <w:jc w:val="center"/>
              <w:rPr>
                <w:rFonts w:eastAsia="SimSun"/>
                <w:szCs w:val="24"/>
                <w:lang w:eastAsia="zh-CN"/>
              </w:rPr>
            </w:pPr>
            <w:r>
              <w:rPr>
                <w:rFonts w:eastAsia="SimSun"/>
                <w:szCs w:val="24"/>
                <w:lang w:eastAsia="zh-CN"/>
              </w:rPr>
              <w:lastRenderedPageBreak/>
              <w:t>SITUATION A:  TWO GROWING CYCLES IN A SINGLE LOCATION</w:t>
            </w:r>
          </w:p>
        </w:tc>
      </w:tr>
      <w:tr w:rsidR="005C056F" w:rsidRPr="00ED3415" w:rsidTr="009E38FD">
        <w:trPr>
          <w:trHeight w:val="13251"/>
        </w:trPr>
        <w:tc>
          <w:tcPr>
            <w:tcW w:w="10206" w:type="dxa"/>
          </w:tcPr>
          <w:p w:rsidR="005C056F" w:rsidRDefault="005C056F" w:rsidP="009E38FD">
            <w:pPr>
              <w:rPr>
                <w:b/>
                <w:szCs w:val="24"/>
              </w:rPr>
            </w:pPr>
          </w:p>
          <w:p w:rsidR="005C056F" w:rsidRDefault="005C056F" w:rsidP="009E38FD">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5C056F" w:rsidRPr="00C9028D" w:rsidRDefault="005C056F" w:rsidP="009E38FD">
            <w:pPr>
              <w:rPr>
                <w:b/>
                <w:szCs w:val="24"/>
              </w:rPr>
            </w:pPr>
          </w:p>
          <w:p w:rsidR="005C056F" w:rsidRDefault="005C056F" w:rsidP="009E38FD">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5C056F" w:rsidRPr="00ED3415" w:rsidRDefault="005C056F" w:rsidP="009E38FD">
            <w:pPr>
              <w:rPr>
                <w:rFonts w:eastAsia="SimSun"/>
                <w:szCs w:val="24"/>
                <w:lang w:eastAsia="zh-CN"/>
              </w:rPr>
            </w:pPr>
          </w:p>
          <w:p w:rsidR="005C056F" w:rsidRDefault="005C056F" w:rsidP="009E38FD">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5C056F" w:rsidRPr="00ED3415" w:rsidRDefault="005C056F" w:rsidP="009E38FD">
            <w:pPr>
              <w:rPr>
                <w:rFonts w:eastAsia="SimSun"/>
                <w:szCs w:val="24"/>
                <w:lang w:eastAsia="zh-CN"/>
              </w:rPr>
            </w:pPr>
          </w:p>
          <w:p w:rsidR="005C056F" w:rsidRDefault="005C056F" w:rsidP="009E38FD">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5C056F" w:rsidRDefault="005C056F" w:rsidP="009E38FD">
            <w:pPr>
              <w:keepNext/>
              <w:keepLines/>
              <w:rPr>
                <w:color w:val="000000"/>
                <w:szCs w:val="24"/>
              </w:rPr>
            </w:pPr>
          </w:p>
          <w:p w:rsidR="005C056F" w:rsidRDefault="005C056F" w:rsidP="009E38FD">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5C056F" w:rsidRDefault="005C056F" w:rsidP="009E38FD">
            <w:pPr>
              <w:keepNext/>
              <w:keepLines/>
              <w:rPr>
                <w:rFonts w:eastAsia="SimSun"/>
                <w:szCs w:val="24"/>
                <w:lang w:eastAsia="zh-CN"/>
              </w:rPr>
            </w:pPr>
          </w:p>
          <w:p w:rsidR="005C056F" w:rsidRDefault="005C056F" w:rsidP="009E38FD">
            <w:pPr>
              <w:keepNext/>
              <w:keepLines/>
              <w:rPr>
                <w:rFonts w:eastAsia="SimSun"/>
                <w:szCs w:val="24"/>
                <w:lang w:eastAsia="zh-CN"/>
              </w:rPr>
            </w:pPr>
            <w:r>
              <w:rPr>
                <w:rFonts w:eastAsia="SimSun"/>
                <w:szCs w:val="24"/>
                <w:lang w:eastAsia="zh-CN"/>
              </w:rPr>
              <w:t>A variety may be rejected after a single growing cycle, under certain circumstances.</w:t>
            </w:r>
          </w:p>
          <w:p w:rsidR="005C056F" w:rsidRDefault="005C056F" w:rsidP="009E38FD">
            <w:pPr>
              <w:keepNext/>
              <w:keepLines/>
              <w:rPr>
                <w:rFonts w:eastAsia="SimSun"/>
                <w:szCs w:val="24"/>
                <w:lang w:eastAsia="zh-CN"/>
              </w:rPr>
            </w:pPr>
          </w:p>
          <w:p w:rsidR="005C056F" w:rsidRDefault="005C056F" w:rsidP="009E38FD">
            <w:pPr>
              <w:rPr>
                <w:b/>
                <w:szCs w:val="24"/>
              </w:rPr>
            </w:pPr>
            <w:r>
              <w:rPr>
                <w:b/>
                <w:szCs w:val="24"/>
              </w:rPr>
              <w:t>Approach 2:  Combining the results of two growing cycles</w:t>
            </w:r>
          </w:p>
          <w:p w:rsidR="005C056F" w:rsidRPr="00AE31A9" w:rsidRDefault="005C056F" w:rsidP="009E38FD">
            <w:pPr>
              <w:keepNext/>
              <w:keepLines/>
              <w:rPr>
                <w:rFonts w:eastAsia="MS Mincho"/>
                <w:color w:val="000000"/>
                <w:lang w:eastAsia="ja-JP"/>
              </w:rPr>
            </w:pPr>
          </w:p>
          <w:p w:rsidR="005C056F" w:rsidRDefault="005C056F" w:rsidP="009E38FD">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5C056F" w:rsidRDefault="005C056F" w:rsidP="009E38FD">
            <w:pPr>
              <w:rPr>
                <w:rFonts w:eastAsia="SimSun"/>
                <w:lang w:eastAsia="zh-CN"/>
              </w:rPr>
            </w:pPr>
          </w:p>
          <w:p w:rsidR="005C056F" w:rsidRPr="002302DC" w:rsidRDefault="005C056F" w:rsidP="009E38FD">
            <w:pPr>
              <w:rPr>
                <w:rFonts w:eastAsia="SimSun"/>
                <w:lang w:eastAsia="zh-CN"/>
              </w:rPr>
            </w:pPr>
            <w:r w:rsidRPr="002302DC">
              <w:rPr>
                <w:rFonts w:eastAsia="SimSun"/>
                <w:lang w:eastAsia="zh-CN"/>
              </w:rPr>
              <w:t>A variety is considered non-uniform if it fails to meet the uniformity standard in both of the two growing cycles.</w:t>
            </w:r>
          </w:p>
          <w:p w:rsidR="005C056F" w:rsidRPr="00160D6F" w:rsidRDefault="005C056F" w:rsidP="009E38FD">
            <w:pPr>
              <w:rPr>
                <w:rFonts w:eastAsia="SimSun"/>
                <w:lang w:eastAsia="zh-CN"/>
              </w:rPr>
            </w:pPr>
          </w:p>
          <w:p w:rsidR="005C056F" w:rsidRPr="00183337" w:rsidRDefault="005C056F" w:rsidP="009E38FD">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5C056F" w:rsidRPr="00183337" w:rsidRDefault="005C056F" w:rsidP="009E38FD">
            <w:pPr>
              <w:keepNext/>
              <w:keepLines/>
              <w:ind w:right="459"/>
              <w:rPr>
                <w:rFonts w:eastAsia="SimSun"/>
                <w:lang w:eastAsia="zh-CN"/>
              </w:rPr>
            </w:pPr>
          </w:p>
          <w:p w:rsidR="005C056F" w:rsidRDefault="005C056F" w:rsidP="009E38FD">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5C056F" w:rsidRDefault="005C056F" w:rsidP="009E38FD">
            <w:pPr>
              <w:keepNext/>
              <w:keepLines/>
              <w:rPr>
                <w:rFonts w:eastAsia="SimSun"/>
                <w:szCs w:val="24"/>
                <w:lang w:eastAsia="zh-CN"/>
              </w:rPr>
            </w:pPr>
          </w:p>
          <w:p w:rsidR="005C056F" w:rsidRDefault="005C056F" w:rsidP="009E38FD">
            <w:pPr>
              <w:keepNext/>
              <w:keepLines/>
              <w:rPr>
                <w:rFonts w:eastAsia="SimSun"/>
                <w:szCs w:val="24"/>
                <w:lang w:eastAsia="zh-CN"/>
              </w:rPr>
            </w:pPr>
            <w:r>
              <w:rPr>
                <w:rFonts w:eastAsia="SimSun"/>
                <w:szCs w:val="24"/>
                <w:lang w:eastAsia="zh-CN"/>
              </w:rPr>
              <w:t>A variety may be rejected after a single growing cycle, under certain circumstances.</w:t>
            </w:r>
          </w:p>
          <w:p w:rsidR="005C056F" w:rsidRDefault="005C056F" w:rsidP="009E38FD">
            <w:pPr>
              <w:keepNext/>
              <w:keepLines/>
              <w:rPr>
                <w:rFonts w:eastAsia="SimSun"/>
                <w:szCs w:val="24"/>
                <w:lang w:eastAsia="zh-CN"/>
              </w:rPr>
            </w:pPr>
          </w:p>
          <w:p w:rsidR="005C056F" w:rsidRPr="00BD2498" w:rsidRDefault="00453306" w:rsidP="009E38FD">
            <w:pPr>
              <w:keepNext/>
              <w:keepLines/>
              <w:jc w:val="left"/>
              <w:rPr>
                <w:szCs w:val="24"/>
              </w:rPr>
            </w:pPr>
            <w:r>
              <w:rPr>
                <w:rFonts w:eastAsia="SimSun"/>
                <w:szCs w:val="24"/>
                <w:lang w:eastAsia="zh-CN"/>
              </w:rPr>
              <w:pict>
                <v:rect id="_x0000_i1025" style="width:0;height:1.5pt" o:hralign="center" o:hrstd="t" o:hr="t" fillcolor="#a0a0a0" stroked="f"/>
              </w:pict>
            </w:r>
            <w:r w:rsidR="005C056F" w:rsidRPr="00BD2498">
              <w:rPr>
                <w:szCs w:val="24"/>
              </w:rPr>
              <w:t>Example:</w:t>
            </w:r>
          </w:p>
          <w:p w:rsidR="005C056F" w:rsidRDefault="005C056F" w:rsidP="009E38FD">
            <w:pPr>
              <w:keepNext/>
              <w:keepLines/>
              <w:rPr>
                <w:rFonts w:eastAsia="SimSun"/>
                <w:szCs w:val="24"/>
                <w:lang w:eastAsia="zh-CN"/>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5C056F" w:rsidRPr="00304612" w:rsidTr="009E38FD">
              <w:trPr>
                <w:trHeight w:val="255"/>
              </w:trPr>
              <w:tc>
                <w:tcPr>
                  <w:tcW w:w="1120" w:type="dxa"/>
                  <w:gridSpan w:val="2"/>
                  <w:tcBorders>
                    <w:top w:val="nil"/>
                    <w:left w:val="nil"/>
                    <w:bottom w:val="nil"/>
                  </w:tcBorders>
                  <w:shd w:val="clear" w:color="auto" w:fill="auto"/>
                  <w:noWrap/>
                  <w:vAlign w:val="bottom"/>
                </w:tcPr>
                <w:p w:rsidR="005C056F" w:rsidRPr="00304612" w:rsidRDefault="005C056F" w:rsidP="009E38FD">
                  <w:pPr>
                    <w:jc w:val="left"/>
                    <w:rPr>
                      <w:rFonts w:cs="Arial"/>
                      <w:color w:val="000000"/>
                    </w:rPr>
                  </w:pPr>
                </w:p>
              </w:tc>
              <w:tc>
                <w:tcPr>
                  <w:tcW w:w="6380" w:type="dxa"/>
                  <w:gridSpan w:val="6"/>
                  <w:tcBorders>
                    <w:top w:val="nil"/>
                    <w:right w:val="nil"/>
                  </w:tcBorders>
                  <w:shd w:val="clear" w:color="auto" w:fill="auto"/>
                  <w:vAlign w:val="bottom"/>
                </w:tcPr>
                <w:p w:rsidR="005C056F" w:rsidRPr="00304612" w:rsidRDefault="005C056F" w:rsidP="009E38FD">
                  <w:pPr>
                    <w:jc w:val="left"/>
                    <w:rPr>
                      <w:rFonts w:cs="Arial"/>
                      <w:color w:val="000000"/>
                    </w:rPr>
                  </w:pPr>
                  <w:r w:rsidRPr="00304612">
                    <w:rPr>
                      <w:rFonts w:cs="Arial"/>
                      <w:color w:val="000000"/>
                    </w:rPr>
                    <w:t xml:space="preserve">Population Standard  = 1%  </w:t>
                  </w:r>
                </w:p>
              </w:tc>
            </w:tr>
            <w:tr w:rsidR="005C056F" w:rsidRPr="00304612" w:rsidTr="009E38FD">
              <w:trPr>
                <w:trHeight w:val="270"/>
              </w:trPr>
              <w:tc>
                <w:tcPr>
                  <w:tcW w:w="1120" w:type="dxa"/>
                  <w:gridSpan w:val="2"/>
                  <w:tcBorders>
                    <w:top w:val="nil"/>
                    <w:left w:val="nil"/>
                    <w:bottom w:val="nil"/>
                  </w:tcBorders>
                  <w:shd w:val="clear" w:color="auto" w:fill="auto"/>
                  <w:noWrap/>
                  <w:vAlign w:val="bottom"/>
                  <w:hideMark/>
                </w:tcPr>
                <w:p w:rsidR="005C056F" w:rsidRPr="00304612" w:rsidRDefault="005C056F" w:rsidP="009E38FD">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5C056F" w:rsidRPr="00304612" w:rsidRDefault="005C056F" w:rsidP="009E38FD">
                  <w:pPr>
                    <w:jc w:val="left"/>
                    <w:rPr>
                      <w:rFonts w:cs="Arial"/>
                      <w:color w:val="000000"/>
                    </w:rPr>
                  </w:pPr>
                  <w:r w:rsidRPr="00304612">
                    <w:rPr>
                      <w:rFonts w:cs="Arial"/>
                      <w:color w:val="000000"/>
                    </w:rPr>
                    <w:t>Acceptance Probability ≥ 95%</w:t>
                  </w:r>
                </w:p>
              </w:tc>
            </w:tr>
            <w:tr w:rsidR="005C056F" w:rsidRPr="00304612" w:rsidTr="009E38FD">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5C056F" w:rsidRPr="00304612" w:rsidRDefault="005C056F" w:rsidP="009E38FD">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5C056F" w:rsidRPr="00304612" w:rsidTr="009E38FD">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5C056F" w:rsidRPr="00304612" w:rsidRDefault="005C056F" w:rsidP="009E38FD">
                  <w:pPr>
                    <w:jc w:val="left"/>
                    <w:rPr>
                      <w:rFonts w:cs="Arial"/>
                      <w:color w:val="000000"/>
                    </w:rPr>
                  </w:pPr>
                  <w:r w:rsidRPr="00304612">
                    <w:rPr>
                      <w:rFonts w:cs="Arial"/>
                      <w:color w:val="000000"/>
                    </w:rPr>
                    <w:t>Maximum number of Off-Types = 2</w:t>
                  </w:r>
                </w:p>
              </w:tc>
            </w:tr>
            <w:tr w:rsidR="005C056F" w:rsidRPr="00304612" w:rsidTr="009E38FD">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5C056F" w:rsidRPr="00304612" w:rsidRDefault="005C056F" w:rsidP="009E38FD">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5C056F" w:rsidRPr="00304612" w:rsidTr="009E38FD">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5C056F" w:rsidRPr="00304612" w:rsidRDefault="005C056F" w:rsidP="009E38FD">
                  <w:pPr>
                    <w:jc w:val="left"/>
                    <w:rPr>
                      <w:rFonts w:cs="Arial"/>
                      <w:color w:val="000000"/>
                    </w:rPr>
                  </w:pPr>
                  <w:r w:rsidRPr="00304612">
                    <w:rPr>
                      <w:rFonts w:cs="Arial"/>
                      <w:color w:val="000000"/>
                    </w:rPr>
                    <w:t>Maximum number of Off-Types = 3</w:t>
                  </w:r>
                </w:p>
              </w:tc>
            </w:tr>
            <w:tr w:rsidR="005C056F" w:rsidRPr="00BD2498" w:rsidTr="009E38FD">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r>
            <w:tr w:rsidR="005C056F" w:rsidRPr="00BD2498" w:rsidTr="009E38FD">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Growing cycle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Decision</w:t>
                  </w:r>
                </w:p>
              </w:tc>
            </w:tr>
            <w:tr w:rsidR="005C056F" w:rsidRPr="00BD2498" w:rsidTr="009E38FD">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5C056F" w:rsidRPr="00BD2498" w:rsidRDefault="005C056F" w:rsidP="009E38FD">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Approach 2</w:t>
                  </w:r>
                </w:p>
              </w:tc>
            </w:tr>
            <w:tr w:rsidR="005C056F" w:rsidRPr="00BD2498" w:rsidTr="009E38FD">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5C056F" w:rsidRPr="00BD2498" w:rsidRDefault="005C056F" w:rsidP="009E38FD">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uniform</w:t>
                  </w:r>
                </w:p>
              </w:tc>
            </w:tr>
            <w:tr w:rsidR="005C056F" w:rsidRPr="00BD2498" w:rsidTr="009E38FD">
              <w:trPr>
                <w:gridBefore w:val="1"/>
                <w:wBefore w:w="426" w:type="dxa"/>
                <w:trHeight w:val="273"/>
              </w:trPr>
              <w:tc>
                <w:tcPr>
                  <w:tcW w:w="694" w:type="dxa"/>
                  <w:vMerge/>
                  <w:tcBorders>
                    <w:left w:val="single" w:sz="4" w:space="0" w:color="auto"/>
                    <w:right w:val="single" w:sz="4" w:space="0" w:color="000000"/>
                  </w:tcBorders>
                  <w:vAlign w:val="center"/>
                  <w:hideMark/>
                </w:tcPr>
                <w:p w:rsidR="005C056F" w:rsidRPr="00BD2498" w:rsidRDefault="005C056F" w:rsidP="009E38FD">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uniform</w:t>
                  </w:r>
                </w:p>
              </w:tc>
            </w:tr>
            <w:tr w:rsidR="005C056F" w:rsidRPr="00BD2498" w:rsidTr="009E38FD">
              <w:trPr>
                <w:gridBefore w:val="1"/>
                <w:wBefore w:w="426" w:type="dxa"/>
                <w:trHeight w:val="248"/>
              </w:trPr>
              <w:tc>
                <w:tcPr>
                  <w:tcW w:w="694" w:type="dxa"/>
                  <w:vMerge/>
                  <w:tcBorders>
                    <w:left w:val="single" w:sz="4" w:space="0" w:color="auto"/>
                    <w:right w:val="single" w:sz="4" w:space="0" w:color="000000"/>
                  </w:tcBorders>
                  <w:vAlign w:val="center"/>
                  <w:hideMark/>
                </w:tcPr>
                <w:p w:rsidR="005C056F" w:rsidRPr="00BD2498" w:rsidRDefault="005C056F" w:rsidP="009E38FD">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8"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non-</w:t>
                  </w:r>
                  <w:r w:rsidRPr="00BD2498">
                    <w:rPr>
                      <w:rFonts w:cs="Arial"/>
                      <w:color w:val="000000"/>
                    </w:rPr>
                    <w:t>uniform</w:t>
                  </w:r>
                </w:p>
              </w:tc>
            </w:tr>
            <w:tr w:rsidR="005C056F" w:rsidRPr="00BD2498" w:rsidTr="009E38FD">
              <w:trPr>
                <w:gridBefore w:val="1"/>
                <w:wBefore w:w="426" w:type="dxa"/>
                <w:trHeight w:val="267"/>
              </w:trPr>
              <w:tc>
                <w:tcPr>
                  <w:tcW w:w="694" w:type="dxa"/>
                  <w:vMerge/>
                  <w:tcBorders>
                    <w:left w:val="single" w:sz="4" w:space="0" w:color="auto"/>
                    <w:right w:val="single" w:sz="4" w:space="0" w:color="000000"/>
                  </w:tcBorders>
                  <w:vAlign w:val="center"/>
                  <w:hideMark/>
                </w:tcPr>
                <w:p w:rsidR="005C056F" w:rsidRPr="00BD2498" w:rsidRDefault="005C056F" w:rsidP="009E38FD">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10</w:t>
                  </w:r>
                  <w:r>
                    <w:rPr>
                      <w:rFonts w:cs="Arial"/>
                      <w:color w:val="000000"/>
                    </w:rPr>
                    <w:t>*</w:t>
                  </w:r>
                </w:p>
              </w:tc>
              <w:tc>
                <w:tcPr>
                  <w:tcW w:w="2127" w:type="dxa"/>
                  <w:gridSpan w:val="2"/>
                  <w:tcBorders>
                    <w:top w:val="nil"/>
                    <w:left w:val="nil"/>
                    <w:bottom w:val="single" w:sz="4"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non-uniform</w:t>
                  </w:r>
                  <w:r>
                    <w:rPr>
                      <w:rFonts w:cs="Arial"/>
                      <w:color w:val="000000"/>
                    </w:rPr>
                    <w:t>*</w:t>
                  </w:r>
                </w:p>
              </w:tc>
            </w:tr>
            <w:tr w:rsidR="005C056F" w:rsidRPr="00BD2498" w:rsidTr="009E38FD">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5C056F" w:rsidRPr="00BD2498" w:rsidRDefault="005C056F" w:rsidP="009E38FD">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non-uniform</w:t>
                  </w:r>
                  <w:r>
                    <w:rPr>
                      <w:rFonts w:cs="Arial"/>
                      <w:color w:val="000000"/>
                    </w:rPr>
                    <w:t>**</w:t>
                  </w:r>
                </w:p>
              </w:tc>
            </w:tr>
          </w:tbl>
          <w:p w:rsidR="005C056F" w:rsidRDefault="005C056F" w:rsidP="009E38FD">
            <w:pPr>
              <w:pStyle w:val="Titleofdoc0"/>
              <w:spacing w:before="0"/>
              <w:jc w:val="both"/>
              <w:rPr>
                <w:szCs w:val="24"/>
              </w:rPr>
            </w:pPr>
          </w:p>
          <w:p w:rsidR="005C056F" w:rsidRPr="00C1030A" w:rsidRDefault="005C056F" w:rsidP="009E38FD">
            <w:pPr>
              <w:keepNext/>
              <w:keepLines/>
              <w:ind w:left="1026"/>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5C056F" w:rsidRPr="00C1030A" w:rsidRDefault="005C056F" w:rsidP="009E38FD">
            <w:pPr>
              <w:keepNext/>
              <w:keepLines/>
              <w:ind w:left="1026"/>
              <w:rPr>
                <w:rFonts w:eastAsia="SimSun"/>
                <w:sz w:val="18"/>
                <w:szCs w:val="24"/>
                <w:lang w:eastAsia="zh-CN"/>
              </w:rPr>
            </w:pPr>
          </w:p>
          <w:p w:rsidR="005C056F" w:rsidRDefault="005C056F" w:rsidP="009E38FD">
            <w:pPr>
              <w:keepNext/>
              <w:keepLines/>
              <w:ind w:left="1026"/>
              <w:rPr>
                <w:b/>
                <w:szCs w:val="24"/>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5C056F" w:rsidRDefault="005C056F" w:rsidP="005C056F">
      <w:pPr>
        <w:rPr>
          <w:rFonts w:eastAsia="MS Mincho"/>
          <w:color w:val="000000"/>
          <w:lang w:eastAsia="ja-JP"/>
        </w:rPr>
      </w:pPr>
    </w:p>
    <w:p w:rsidR="005C056F" w:rsidRDefault="005C056F" w:rsidP="005C056F">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5C056F" w:rsidRDefault="005C056F" w:rsidP="005C056F">
      <w:pPr>
        <w:rPr>
          <w:rFonts w:eastAsia="MS Mincho"/>
          <w:color w:val="000000"/>
          <w:lang w:eastAsia="ja-JP"/>
        </w:rPr>
      </w:pPr>
    </w:p>
    <w:p w:rsidR="005C056F" w:rsidRDefault="005C056F" w:rsidP="005C056F">
      <w:pPr>
        <w:sectPr w:rsidR="005C056F" w:rsidSect="009E38FD">
          <w:headerReference w:type="default" r:id="rId11"/>
          <w:headerReference w:type="first" r:id="rId12"/>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C056F" w:rsidRPr="00ED3415" w:rsidTr="009E38FD">
        <w:trPr>
          <w:trHeight w:val="291"/>
        </w:trPr>
        <w:tc>
          <w:tcPr>
            <w:tcW w:w="10206" w:type="dxa"/>
          </w:tcPr>
          <w:p w:rsidR="005C056F" w:rsidRPr="002A2C89" w:rsidRDefault="005C056F" w:rsidP="009E38FD">
            <w:pPr>
              <w:autoSpaceDE w:val="0"/>
              <w:autoSpaceDN w:val="0"/>
              <w:adjustRightInd w:val="0"/>
              <w:spacing w:before="120"/>
              <w:jc w:val="center"/>
              <w:rPr>
                <w:rFonts w:eastAsia="SimSun"/>
                <w:szCs w:val="24"/>
                <w:lang w:eastAsia="zh-CN"/>
              </w:rPr>
            </w:pPr>
            <w:r>
              <w:rPr>
                <w:rFonts w:eastAsia="SimSun"/>
                <w:szCs w:val="24"/>
                <w:lang w:eastAsia="zh-CN"/>
              </w:rPr>
              <w:lastRenderedPageBreak/>
              <w:t>SITUATION B: TWO GROWING LOCATIONS IN THE SAME YEAR</w:t>
            </w:r>
          </w:p>
        </w:tc>
      </w:tr>
      <w:tr w:rsidR="005C056F" w:rsidRPr="00ED3415" w:rsidTr="009E38FD">
        <w:trPr>
          <w:trHeight w:val="13109"/>
        </w:trPr>
        <w:tc>
          <w:tcPr>
            <w:tcW w:w="10206" w:type="dxa"/>
          </w:tcPr>
          <w:p w:rsidR="007738E2" w:rsidRPr="007738E2" w:rsidRDefault="007738E2" w:rsidP="009E38FD">
            <w:pPr>
              <w:rPr>
                <w:b/>
                <w:sz w:val="16"/>
                <w:szCs w:val="24"/>
                <w:highlight w:val="lightGray"/>
                <w:u w:val="single"/>
              </w:rPr>
            </w:pPr>
          </w:p>
          <w:p w:rsidR="005C056F" w:rsidRPr="00A96AB2" w:rsidRDefault="009E38FD" w:rsidP="009E38FD">
            <w:pPr>
              <w:rPr>
                <w:u w:val="single"/>
              </w:rPr>
            </w:pPr>
            <w:r w:rsidRPr="00A96AB2">
              <w:rPr>
                <w:b/>
                <w:szCs w:val="24"/>
                <w:highlight w:val="lightGray"/>
                <w:u w:val="single"/>
              </w:rPr>
              <w:t xml:space="preserve">Introduction: </w:t>
            </w:r>
            <w:r w:rsidRPr="00A96AB2">
              <w:rPr>
                <w:szCs w:val="24"/>
                <w:highlight w:val="lightGray"/>
                <w:u w:val="single"/>
              </w:rPr>
              <w:t>Different</w:t>
            </w:r>
            <w:r w:rsidRPr="00A96AB2">
              <w:rPr>
                <w:b/>
                <w:szCs w:val="24"/>
                <w:highlight w:val="lightGray"/>
                <w:u w:val="single"/>
              </w:rPr>
              <w:t xml:space="preserve"> </w:t>
            </w:r>
            <w:r w:rsidRPr="00A96AB2">
              <w:rPr>
                <w:highlight w:val="lightGray"/>
                <w:u w:val="single"/>
              </w:rPr>
              <w:t xml:space="preserve">years </w:t>
            </w:r>
            <w:r w:rsidR="00A96AB2">
              <w:rPr>
                <w:highlight w:val="lightGray"/>
                <w:u w:val="single"/>
              </w:rPr>
              <w:t>can</w:t>
            </w:r>
            <w:r w:rsidRPr="00A96AB2">
              <w:rPr>
                <w:highlight w:val="lightGray"/>
                <w:u w:val="single"/>
              </w:rPr>
              <w:t xml:space="preserve"> be replaced by different locations of DUS testing trials only when specific requirements are fulfilled</w:t>
            </w:r>
            <w:r w:rsidR="00DB4588" w:rsidRPr="00A96AB2">
              <w:rPr>
                <w:highlight w:val="lightGray"/>
                <w:u w:val="single"/>
              </w:rPr>
              <w:t>,</w:t>
            </w:r>
            <w:r w:rsidRPr="00A96AB2">
              <w:rPr>
                <w:highlight w:val="lightGray"/>
                <w:u w:val="single"/>
              </w:rPr>
              <w:t xml:space="preserve"> such as no significant genotype x location interaction for any of the characteristics used in DUS examination</w:t>
            </w:r>
            <w:r w:rsidR="00A96AB2">
              <w:rPr>
                <w:u w:val="single"/>
              </w:rPr>
              <w:t>.</w:t>
            </w:r>
          </w:p>
          <w:p w:rsidR="009E38FD" w:rsidRPr="00DB4588" w:rsidRDefault="009E38FD" w:rsidP="00DB4588">
            <w:pPr>
              <w:ind w:firstLine="567"/>
              <w:rPr>
                <w:b/>
                <w:sz w:val="16"/>
                <w:szCs w:val="24"/>
              </w:rPr>
            </w:pPr>
          </w:p>
          <w:p w:rsidR="005C056F" w:rsidRPr="006556B3" w:rsidRDefault="005C056F" w:rsidP="009E38FD">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5C056F" w:rsidRPr="00DB4588" w:rsidRDefault="005C056F" w:rsidP="009E38FD">
            <w:pPr>
              <w:rPr>
                <w:rFonts w:eastAsia="SimSun"/>
                <w:sz w:val="16"/>
                <w:szCs w:val="24"/>
                <w:lang w:eastAsia="zh-CN"/>
              </w:rPr>
            </w:pPr>
          </w:p>
          <w:p w:rsidR="005C056F" w:rsidRPr="006556B3" w:rsidRDefault="005C056F" w:rsidP="009E38FD">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5C056F" w:rsidRPr="00DB4588" w:rsidRDefault="005C056F" w:rsidP="009E38FD">
            <w:pPr>
              <w:rPr>
                <w:rFonts w:eastAsia="SimSun"/>
                <w:sz w:val="16"/>
                <w:szCs w:val="24"/>
                <w:lang w:eastAsia="zh-CN"/>
              </w:rPr>
            </w:pPr>
          </w:p>
          <w:p w:rsidR="005C056F" w:rsidRPr="006556B3" w:rsidRDefault="005C056F" w:rsidP="009E38FD">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5C056F" w:rsidRPr="00DB4588" w:rsidRDefault="005C056F" w:rsidP="009E38FD">
            <w:pPr>
              <w:rPr>
                <w:rFonts w:eastAsia="SimSun"/>
                <w:sz w:val="16"/>
                <w:szCs w:val="24"/>
                <w:lang w:eastAsia="zh-CN"/>
              </w:rPr>
            </w:pPr>
          </w:p>
          <w:p w:rsidR="005C056F" w:rsidRPr="006556B3" w:rsidRDefault="005C056F" w:rsidP="006872B1">
            <w:pPr>
              <w:keepNext/>
              <w:keepLines/>
              <w:rPr>
                <w:rFonts w:eastAsia="SimSun"/>
                <w:szCs w:val="24"/>
                <w:lang w:eastAsia="zh-CN"/>
              </w:rPr>
            </w:pPr>
            <w:r w:rsidRPr="006556B3">
              <w:rPr>
                <w:rFonts w:eastAsia="SimSun"/>
                <w:szCs w:val="24"/>
                <w:lang w:eastAsia="zh-CN"/>
              </w:rPr>
              <w:t>If the variety is within the uniformity standard in one growing location but is not within the uniformity standard in the other growing loc</w:t>
            </w:r>
            <w:r w:rsidR="006872B1">
              <w:rPr>
                <w:rFonts w:eastAsia="SimSun"/>
                <w:szCs w:val="24"/>
                <w:lang w:eastAsia="zh-CN"/>
              </w:rPr>
              <w:t>ation, then</w:t>
            </w:r>
            <w:r w:rsidR="006872B1">
              <w:rPr>
                <w:rFonts w:eastAsia="SimSun"/>
                <w:szCs w:val="24"/>
                <w:highlight w:val="lightGray"/>
                <w:u w:val="single"/>
                <w:lang w:eastAsia="zh-CN"/>
              </w:rPr>
              <w:t xml:space="preserve"> </w:t>
            </w:r>
            <w:r w:rsidR="00F60B55" w:rsidRPr="00F60B55">
              <w:rPr>
                <w:rFonts w:eastAsia="SimSun"/>
                <w:highlight w:val="lightGray"/>
                <w:u w:val="single"/>
                <w:lang w:eastAsia="zh-CN"/>
              </w:rPr>
              <w:t xml:space="preserve">the trial is repeated at the </w:t>
            </w:r>
            <w:r w:rsidR="006D1365">
              <w:rPr>
                <w:rFonts w:eastAsia="SimSun"/>
                <w:highlight w:val="lightGray"/>
                <w:u w:val="single"/>
                <w:lang w:eastAsia="zh-CN"/>
              </w:rPr>
              <w:t>l</w:t>
            </w:r>
            <w:r w:rsidR="00F60B55" w:rsidRPr="00F60B55">
              <w:rPr>
                <w:rFonts w:eastAsia="SimSun"/>
                <w:highlight w:val="lightGray"/>
                <w:u w:val="single"/>
                <w:lang w:eastAsia="zh-CN"/>
              </w:rPr>
              <w:t>eading station (location)</w:t>
            </w:r>
          </w:p>
          <w:p w:rsidR="005C056F" w:rsidRPr="00DB4588" w:rsidRDefault="005C056F" w:rsidP="009E38FD">
            <w:pPr>
              <w:keepNext/>
              <w:keepLines/>
              <w:rPr>
                <w:rFonts w:eastAsia="SimSun"/>
                <w:sz w:val="16"/>
                <w:szCs w:val="24"/>
                <w:lang w:eastAsia="zh-CN"/>
              </w:rPr>
            </w:pPr>
          </w:p>
          <w:p w:rsidR="005C056F" w:rsidRPr="006872B1" w:rsidRDefault="005C056F" w:rsidP="009E38FD">
            <w:pPr>
              <w:keepNext/>
              <w:keepLines/>
              <w:ind w:left="561" w:right="709"/>
              <w:rPr>
                <w:rFonts w:eastAsia="SimSun"/>
                <w:strike/>
                <w:highlight w:val="lightGray"/>
                <w:lang w:eastAsia="zh-CN"/>
              </w:rPr>
            </w:pPr>
            <w:r w:rsidRPr="006872B1">
              <w:rPr>
                <w:rFonts w:eastAsia="SimSun"/>
                <w:strike/>
                <w:highlight w:val="lightGray"/>
                <w:lang w:eastAsia="zh-CN"/>
              </w:rPr>
              <w:t>Alternative (a)</w:t>
            </w:r>
            <w:r w:rsidRPr="006872B1">
              <w:rPr>
                <w:rFonts w:eastAsia="SimSun"/>
                <w:strike/>
                <w:highlight w:val="lightGray"/>
                <w:lang w:eastAsia="zh-CN"/>
              </w:rPr>
              <w:tab/>
              <w:t>the trial is repeated at both locations for a second year;</w:t>
            </w:r>
          </w:p>
          <w:p w:rsidR="005C056F" w:rsidRPr="006872B1" w:rsidRDefault="005C056F" w:rsidP="009E38FD">
            <w:pPr>
              <w:keepNext/>
              <w:keepLines/>
              <w:ind w:left="561" w:right="709"/>
              <w:rPr>
                <w:rFonts w:eastAsia="SimSun"/>
                <w:strike/>
                <w:sz w:val="16"/>
                <w:highlight w:val="lightGray"/>
                <w:lang w:eastAsia="zh-CN"/>
              </w:rPr>
            </w:pPr>
          </w:p>
          <w:p w:rsidR="005C056F" w:rsidRPr="006872B1" w:rsidRDefault="005C056F" w:rsidP="009E38FD">
            <w:pPr>
              <w:keepNext/>
              <w:keepLines/>
              <w:ind w:left="561" w:right="709"/>
              <w:rPr>
                <w:rFonts w:eastAsia="SimSun"/>
                <w:strike/>
                <w:lang w:eastAsia="zh-CN"/>
              </w:rPr>
            </w:pPr>
            <w:r w:rsidRPr="006872B1">
              <w:rPr>
                <w:rFonts w:eastAsia="SimSun"/>
                <w:strike/>
                <w:highlight w:val="lightGray"/>
                <w:lang w:eastAsia="zh-CN"/>
              </w:rPr>
              <w:t>Alternative (b)</w:t>
            </w:r>
            <w:r w:rsidRPr="006872B1">
              <w:rPr>
                <w:rFonts w:eastAsia="SimSun"/>
                <w:strike/>
                <w:highlight w:val="lightGray"/>
                <w:lang w:eastAsia="zh-CN"/>
              </w:rPr>
              <w:tab/>
              <w:t>the trial is repeated at the Leading station (location)</w:t>
            </w:r>
          </w:p>
          <w:p w:rsidR="005C056F" w:rsidRPr="00DB4588" w:rsidRDefault="005C056F" w:rsidP="009E38FD">
            <w:pPr>
              <w:keepNext/>
              <w:keepLines/>
              <w:ind w:left="561" w:right="709"/>
              <w:rPr>
                <w:sz w:val="16"/>
              </w:rPr>
            </w:pPr>
          </w:p>
          <w:p w:rsidR="005C056F" w:rsidRDefault="005C056F" w:rsidP="009E38FD">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5C056F" w:rsidRPr="00DB4588" w:rsidRDefault="005C056F" w:rsidP="009E38FD">
            <w:pPr>
              <w:keepNext/>
              <w:keepLines/>
              <w:rPr>
                <w:rFonts w:eastAsia="SimSun"/>
                <w:sz w:val="16"/>
                <w:szCs w:val="24"/>
                <w:lang w:eastAsia="zh-CN"/>
              </w:rPr>
            </w:pPr>
          </w:p>
          <w:p w:rsidR="005C056F" w:rsidRDefault="005C056F" w:rsidP="009E38FD">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5C056F" w:rsidRPr="00DB4588" w:rsidRDefault="005C056F" w:rsidP="009E38FD">
            <w:pPr>
              <w:rPr>
                <w:sz w:val="16"/>
              </w:rPr>
            </w:pPr>
          </w:p>
          <w:p w:rsidR="005C056F" w:rsidRPr="006556B3" w:rsidRDefault="005C056F" w:rsidP="009E38FD">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5C056F" w:rsidRPr="00DB4588" w:rsidRDefault="005C056F" w:rsidP="009E38FD">
            <w:pPr>
              <w:rPr>
                <w:rFonts w:eastAsia="SimSun"/>
                <w:b/>
                <w:sz w:val="16"/>
                <w:szCs w:val="24"/>
                <w:lang w:eastAsia="zh-CN"/>
              </w:rPr>
            </w:pPr>
          </w:p>
          <w:p w:rsidR="005C056F" w:rsidRPr="006556B3" w:rsidRDefault="005C056F" w:rsidP="009E38FD">
            <w:pPr>
              <w:rPr>
                <w:rFonts w:eastAsia="SimSun"/>
                <w:szCs w:val="24"/>
                <w:lang w:eastAsia="zh-CN"/>
              </w:rPr>
            </w:pPr>
            <w:r w:rsidRPr="006556B3">
              <w:rPr>
                <w:rFonts w:eastAsia="SimSun"/>
                <w:szCs w:val="24"/>
                <w:lang w:eastAsia="zh-CN"/>
              </w:rPr>
              <w:t>A variety is considered uniform if it is within the uniformity standard in both locations.</w:t>
            </w:r>
          </w:p>
          <w:p w:rsidR="005C056F" w:rsidRPr="00DB4588" w:rsidRDefault="005C056F" w:rsidP="009E38FD">
            <w:pPr>
              <w:rPr>
                <w:rFonts w:eastAsia="SimSun"/>
                <w:sz w:val="16"/>
                <w:szCs w:val="24"/>
                <w:lang w:eastAsia="zh-CN"/>
              </w:rPr>
            </w:pPr>
          </w:p>
          <w:p w:rsidR="005C056F" w:rsidRPr="006556B3" w:rsidRDefault="005C056F" w:rsidP="009E38FD">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5C056F" w:rsidRPr="00DB4588" w:rsidRDefault="005C056F" w:rsidP="009E38FD">
            <w:pPr>
              <w:keepNext/>
              <w:keepLines/>
              <w:tabs>
                <w:tab w:val="left" w:pos="1985"/>
              </w:tabs>
              <w:rPr>
                <w:rFonts w:eastAsia="SimSun"/>
                <w:sz w:val="16"/>
                <w:szCs w:val="24"/>
                <w:lang w:eastAsia="zh-CN"/>
              </w:rPr>
            </w:pPr>
          </w:p>
          <w:p w:rsidR="005C056F" w:rsidRPr="006556B3" w:rsidRDefault="005C056F" w:rsidP="009E38FD">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5C056F" w:rsidRPr="00DB4588" w:rsidRDefault="005C056F" w:rsidP="009E38FD">
            <w:pPr>
              <w:keepNext/>
              <w:keepLines/>
              <w:rPr>
                <w:rFonts w:eastAsia="SimSun"/>
                <w:sz w:val="16"/>
                <w:szCs w:val="24"/>
                <w:lang w:eastAsia="zh-CN"/>
              </w:rPr>
            </w:pPr>
          </w:p>
          <w:p w:rsidR="005C056F" w:rsidRDefault="005C056F" w:rsidP="009E38FD">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5C056F" w:rsidRPr="00DB4588" w:rsidRDefault="005C056F" w:rsidP="009E38FD">
            <w:pPr>
              <w:keepNext/>
              <w:keepLines/>
              <w:rPr>
                <w:rFonts w:eastAsia="SimSun"/>
                <w:sz w:val="16"/>
                <w:szCs w:val="24"/>
                <w:lang w:eastAsia="zh-CN"/>
              </w:rPr>
            </w:pPr>
          </w:p>
          <w:p w:rsidR="005C056F" w:rsidRDefault="005C056F" w:rsidP="009E38FD">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5C056F" w:rsidRPr="00DB4588" w:rsidRDefault="005C056F" w:rsidP="009E38FD">
            <w:pPr>
              <w:rPr>
                <w:sz w:val="16"/>
                <w:szCs w:val="24"/>
              </w:rPr>
            </w:pPr>
          </w:p>
          <w:p w:rsidR="005C056F" w:rsidRPr="00BD2498" w:rsidRDefault="00453306" w:rsidP="009E38FD">
            <w:pPr>
              <w:rPr>
                <w:szCs w:val="24"/>
              </w:rPr>
            </w:pPr>
            <w:r>
              <w:rPr>
                <w:rFonts w:eastAsia="SimSun"/>
                <w:szCs w:val="24"/>
                <w:lang w:eastAsia="zh-CN"/>
              </w:rPr>
              <w:pict>
                <v:rect id="_x0000_i1026" style="width:0;height:1.5pt" o:hralign="center" o:hrstd="t" o:hr="t" fillcolor="#a0a0a0" stroked="f"/>
              </w:pict>
            </w:r>
            <w:r w:rsidR="005C056F" w:rsidRPr="00BD2498">
              <w:rPr>
                <w:szCs w:val="24"/>
              </w:rPr>
              <w:t>Example:</w:t>
            </w:r>
          </w:p>
          <w:tbl>
            <w:tblPr>
              <w:tblW w:w="6520" w:type="dxa"/>
              <w:tblInd w:w="1593" w:type="dxa"/>
              <w:tblLook w:val="04A0" w:firstRow="1" w:lastRow="0" w:firstColumn="1" w:lastColumn="0" w:noHBand="0" w:noVBand="1"/>
            </w:tblPr>
            <w:tblGrid>
              <w:gridCol w:w="6520"/>
            </w:tblGrid>
            <w:tr w:rsidR="005C056F" w:rsidRPr="00304612" w:rsidTr="009E38FD">
              <w:trPr>
                <w:trHeight w:val="255"/>
              </w:trPr>
              <w:tc>
                <w:tcPr>
                  <w:tcW w:w="6520" w:type="dxa"/>
                  <w:tcBorders>
                    <w:top w:val="nil"/>
                    <w:left w:val="nil"/>
                    <w:bottom w:val="nil"/>
                    <w:right w:val="nil"/>
                  </w:tcBorders>
                  <w:shd w:val="clear" w:color="auto" w:fill="auto"/>
                  <w:noWrap/>
                  <w:vAlign w:val="bottom"/>
                  <w:hideMark/>
                </w:tcPr>
                <w:p w:rsidR="005C056F" w:rsidRPr="00304612" w:rsidRDefault="005C056F" w:rsidP="009E38FD">
                  <w:pPr>
                    <w:jc w:val="left"/>
                    <w:rPr>
                      <w:rFonts w:cs="Arial"/>
                      <w:color w:val="000000"/>
                    </w:rPr>
                  </w:pPr>
                  <w:r w:rsidRPr="00304612">
                    <w:rPr>
                      <w:rFonts w:cs="Arial"/>
                      <w:color w:val="000000"/>
                    </w:rPr>
                    <w:t xml:space="preserve">Population Standard  = 1%  </w:t>
                  </w:r>
                </w:p>
              </w:tc>
            </w:tr>
            <w:tr w:rsidR="005C056F" w:rsidRPr="00304612" w:rsidTr="009E38FD">
              <w:trPr>
                <w:trHeight w:val="270"/>
              </w:trPr>
              <w:tc>
                <w:tcPr>
                  <w:tcW w:w="6520" w:type="dxa"/>
                  <w:tcBorders>
                    <w:top w:val="nil"/>
                    <w:left w:val="nil"/>
                    <w:bottom w:val="nil"/>
                    <w:right w:val="nil"/>
                  </w:tcBorders>
                  <w:shd w:val="clear" w:color="auto" w:fill="auto"/>
                  <w:noWrap/>
                  <w:vAlign w:val="bottom"/>
                  <w:hideMark/>
                </w:tcPr>
                <w:p w:rsidR="005C056F" w:rsidRPr="00304612" w:rsidRDefault="005C056F" w:rsidP="009E38FD">
                  <w:pPr>
                    <w:jc w:val="left"/>
                    <w:rPr>
                      <w:rFonts w:cs="Arial"/>
                      <w:color w:val="000000"/>
                    </w:rPr>
                  </w:pPr>
                  <w:r w:rsidRPr="00304612">
                    <w:rPr>
                      <w:rFonts w:cs="Arial"/>
                      <w:color w:val="000000"/>
                    </w:rPr>
                    <w:t>Acceptance Probability ≥ 95%</w:t>
                  </w:r>
                </w:p>
              </w:tc>
            </w:tr>
            <w:tr w:rsidR="005C056F" w:rsidRPr="00304612" w:rsidTr="009E38FD">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5C056F" w:rsidRPr="00304612" w:rsidRDefault="005C056F" w:rsidP="009E38FD">
                  <w:pPr>
                    <w:jc w:val="left"/>
                    <w:rPr>
                      <w:rFonts w:cs="Arial"/>
                      <w:color w:val="000000"/>
                    </w:rPr>
                  </w:pPr>
                  <w:r w:rsidRPr="00304612">
                    <w:rPr>
                      <w:rFonts w:cs="Arial"/>
                      <w:color w:val="000000"/>
                    </w:rPr>
                    <w:t>Sample Size</w:t>
                  </w:r>
                  <w:r>
                    <w:rPr>
                      <w:rFonts w:cs="Arial"/>
                      <w:color w:val="000000"/>
                    </w:rPr>
                    <w:t xml:space="preserve"> in each of growing locations 1 and 2</w:t>
                  </w:r>
                  <w:r w:rsidRPr="00304612">
                    <w:rPr>
                      <w:rFonts w:cs="Arial"/>
                      <w:color w:val="000000"/>
                    </w:rPr>
                    <w:t xml:space="preserve"> = 50</w:t>
                  </w:r>
                </w:p>
              </w:tc>
            </w:tr>
            <w:tr w:rsidR="005C056F" w:rsidRPr="00304612" w:rsidTr="009E38FD">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5C056F" w:rsidRPr="00304612" w:rsidRDefault="005C056F" w:rsidP="009E38FD">
                  <w:pPr>
                    <w:jc w:val="left"/>
                    <w:rPr>
                      <w:rFonts w:cs="Arial"/>
                      <w:color w:val="000000"/>
                    </w:rPr>
                  </w:pPr>
                  <w:r w:rsidRPr="00304612">
                    <w:rPr>
                      <w:rFonts w:cs="Arial"/>
                      <w:color w:val="000000"/>
                    </w:rPr>
                    <w:t>Maximum number of Off-Types = 2</w:t>
                  </w:r>
                </w:p>
              </w:tc>
            </w:tr>
            <w:tr w:rsidR="005C056F" w:rsidRPr="00304612" w:rsidTr="009E38FD">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5C056F" w:rsidRPr="00304612" w:rsidRDefault="005C056F" w:rsidP="009E38FD">
                  <w:pPr>
                    <w:jc w:val="left"/>
                    <w:rPr>
                      <w:rFonts w:cs="Arial"/>
                      <w:color w:val="000000"/>
                    </w:rPr>
                  </w:pPr>
                  <w:r w:rsidRPr="00304612">
                    <w:rPr>
                      <w:rFonts w:cs="Arial"/>
                      <w:color w:val="000000"/>
                    </w:rPr>
                    <w:t xml:space="preserve">Sample Size </w:t>
                  </w:r>
                  <w:r>
                    <w:rPr>
                      <w:rFonts w:cs="Arial"/>
                      <w:color w:val="000000"/>
                    </w:rPr>
                    <w:t xml:space="preserve">in growing locations 1 and 2 combined </w:t>
                  </w:r>
                  <w:r w:rsidRPr="00304612">
                    <w:rPr>
                      <w:rFonts w:cs="Arial"/>
                      <w:color w:val="000000"/>
                    </w:rPr>
                    <w:t>= 100</w:t>
                  </w:r>
                </w:p>
              </w:tc>
            </w:tr>
            <w:tr w:rsidR="005C056F" w:rsidRPr="00304612" w:rsidTr="009E38FD">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5C056F" w:rsidRPr="00304612" w:rsidRDefault="005C056F" w:rsidP="009E38FD">
                  <w:pPr>
                    <w:jc w:val="left"/>
                    <w:rPr>
                      <w:rFonts w:cs="Arial"/>
                      <w:color w:val="000000"/>
                    </w:rPr>
                  </w:pPr>
                  <w:r w:rsidRPr="00304612">
                    <w:rPr>
                      <w:rFonts w:cs="Arial"/>
                      <w:color w:val="000000"/>
                    </w:rPr>
                    <w:t>Maximum number of Off-Types = 3</w:t>
                  </w:r>
                </w:p>
              </w:tc>
            </w:tr>
          </w:tbl>
          <w:p w:rsidR="005C056F" w:rsidRDefault="005C056F" w:rsidP="009E38FD">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5C056F" w:rsidRPr="00BD2498" w:rsidTr="009E38FD">
              <w:trPr>
                <w:trHeight w:val="366"/>
              </w:trPr>
              <w:tc>
                <w:tcPr>
                  <w:tcW w:w="709" w:type="dxa"/>
                  <w:tcBorders>
                    <w:top w:val="nil"/>
                    <w:left w:val="nil"/>
                    <w:bottom w:val="nil"/>
                    <w:right w:val="single" w:sz="4" w:space="0" w:color="auto"/>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 xml:space="preserve">Growing </w:t>
                  </w:r>
                  <w:r>
                    <w:rPr>
                      <w:rFonts w:cs="Arial"/>
                      <w:color w:val="000000"/>
                    </w:rPr>
                    <w:t>location</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Decision</w:t>
                  </w:r>
                </w:p>
              </w:tc>
            </w:tr>
            <w:tr w:rsidR="005C056F" w:rsidRPr="00BD2498" w:rsidTr="009E38FD">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5C056F" w:rsidRPr="00BD2498" w:rsidRDefault="005C056F" w:rsidP="009E38FD">
                  <w:pPr>
                    <w:jc w:val="left"/>
                    <w:rPr>
                      <w:rFonts w:cs="Arial"/>
                      <w:color w:val="000000"/>
                    </w:rPr>
                  </w:pPr>
                  <w:r w:rsidRPr="00BD2498">
                    <w:rPr>
                      <w:rFonts w:cs="Arial"/>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First</w:t>
                  </w:r>
                </w:p>
              </w:tc>
              <w:tc>
                <w:tcPr>
                  <w:tcW w:w="1443" w:type="dxa"/>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Second</w:t>
                  </w:r>
                </w:p>
              </w:tc>
              <w:tc>
                <w:tcPr>
                  <w:tcW w:w="1817" w:type="dxa"/>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Approach 1</w:t>
                  </w:r>
                </w:p>
              </w:tc>
              <w:tc>
                <w:tcPr>
                  <w:tcW w:w="1843" w:type="dxa"/>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Approach 2</w:t>
                  </w:r>
                </w:p>
              </w:tc>
            </w:tr>
            <w:tr w:rsidR="005C056F" w:rsidRPr="00BD2498" w:rsidTr="009E38FD">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5C056F" w:rsidRPr="00BD2498" w:rsidRDefault="005C056F" w:rsidP="009E38FD">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u</w:t>
                  </w:r>
                  <w:r w:rsidRPr="00BD2498">
                    <w:rPr>
                      <w:rFonts w:cs="Arial"/>
                      <w:color w:val="000000"/>
                    </w:rPr>
                    <w:t>niform</w:t>
                  </w:r>
                </w:p>
              </w:tc>
              <w:tc>
                <w:tcPr>
                  <w:tcW w:w="1843" w:type="dxa"/>
                  <w:tcBorders>
                    <w:top w:val="nil"/>
                    <w:left w:val="nil"/>
                    <w:bottom w:val="single" w:sz="8" w:space="0" w:color="auto"/>
                    <w:right w:val="single" w:sz="8"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uniform</w:t>
                  </w:r>
                </w:p>
              </w:tc>
            </w:tr>
            <w:tr w:rsidR="005C056F" w:rsidRPr="00BD2498" w:rsidTr="009E38FD">
              <w:trPr>
                <w:trHeight w:val="257"/>
              </w:trPr>
              <w:tc>
                <w:tcPr>
                  <w:tcW w:w="709" w:type="dxa"/>
                  <w:vMerge/>
                  <w:tcBorders>
                    <w:left w:val="single" w:sz="4" w:space="0" w:color="auto"/>
                    <w:right w:val="single" w:sz="4" w:space="0" w:color="auto"/>
                  </w:tcBorders>
                  <w:vAlign w:val="center"/>
                  <w:hideMark/>
                </w:tcPr>
                <w:p w:rsidR="005C056F" w:rsidRPr="00BD2498" w:rsidRDefault="005C056F" w:rsidP="009E38FD">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repeat trial</w:t>
                  </w:r>
                </w:p>
              </w:tc>
              <w:tc>
                <w:tcPr>
                  <w:tcW w:w="1843" w:type="dxa"/>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uniform</w:t>
                  </w:r>
                </w:p>
              </w:tc>
            </w:tr>
            <w:tr w:rsidR="005C056F" w:rsidRPr="00BD2498" w:rsidTr="009E38FD">
              <w:trPr>
                <w:trHeight w:val="260"/>
              </w:trPr>
              <w:tc>
                <w:tcPr>
                  <w:tcW w:w="709" w:type="dxa"/>
                  <w:vMerge/>
                  <w:tcBorders>
                    <w:left w:val="single" w:sz="4" w:space="0" w:color="auto"/>
                    <w:right w:val="single" w:sz="4" w:space="0" w:color="auto"/>
                  </w:tcBorders>
                  <w:vAlign w:val="center"/>
                  <w:hideMark/>
                </w:tcPr>
                <w:p w:rsidR="005C056F" w:rsidRPr="00BD2498" w:rsidRDefault="005C056F" w:rsidP="009E38FD">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repeat trial</w:t>
                  </w:r>
                </w:p>
              </w:tc>
              <w:tc>
                <w:tcPr>
                  <w:tcW w:w="1843" w:type="dxa"/>
                  <w:tcBorders>
                    <w:top w:val="nil"/>
                    <w:left w:val="nil"/>
                    <w:bottom w:val="single" w:sz="8" w:space="0" w:color="auto"/>
                    <w:right w:val="single" w:sz="8"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non-</w:t>
                  </w:r>
                  <w:r w:rsidRPr="00BD2498">
                    <w:rPr>
                      <w:rFonts w:cs="Arial"/>
                      <w:color w:val="000000"/>
                    </w:rPr>
                    <w:t>uniform</w:t>
                  </w:r>
                </w:p>
              </w:tc>
            </w:tr>
            <w:tr w:rsidR="005C056F" w:rsidRPr="00BD2498" w:rsidTr="009E38FD">
              <w:trPr>
                <w:trHeight w:val="279"/>
              </w:trPr>
              <w:tc>
                <w:tcPr>
                  <w:tcW w:w="709" w:type="dxa"/>
                  <w:vMerge/>
                  <w:tcBorders>
                    <w:left w:val="single" w:sz="4" w:space="0" w:color="auto"/>
                    <w:right w:val="single" w:sz="4" w:space="0" w:color="auto"/>
                  </w:tcBorders>
                  <w:vAlign w:val="center"/>
                  <w:hideMark/>
                </w:tcPr>
                <w:p w:rsidR="005C056F" w:rsidRPr="00BD2498" w:rsidRDefault="005C056F" w:rsidP="009E38FD">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10</w:t>
                  </w:r>
                  <w:r>
                    <w:rPr>
                      <w:rFonts w:cs="Arial"/>
                      <w:color w:val="000000"/>
                    </w:rPr>
                    <w:t>*</w:t>
                  </w:r>
                </w:p>
              </w:tc>
              <w:tc>
                <w:tcPr>
                  <w:tcW w:w="1817" w:type="dxa"/>
                  <w:tcBorders>
                    <w:top w:val="nil"/>
                    <w:left w:val="nil"/>
                    <w:bottom w:val="single" w:sz="4"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Pr>
                      <w:rFonts w:cs="Arial"/>
                      <w:color w:val="000000"/>
                    </w:rPr>
                    <w:t>repeat trial*</w:t>
                  </w:r>
                </w:p>
              </w:tc>
              <w:tc>
                <w:tcPr>
                  <w:tcW w:w="1843" w:type="dxa"/>
                  <w:tcBorders>
                    <w:top w:val="nil"/>
                    <w:left w:val="nil"/>
                    <w:bottom w:val="single" w:sz="4" w:space="0" w:color="auto"/>
                    <w:right w:val="single" w:sz="4" w:space="0" w:color="auto"/>
                  </w:tcBorders>
                  <w:shd w:val="clear" w:color="auto" w:fill="auto"/>
                  <w:vAlign w:val="center"/>
                  <w:hideMark/>
                </w:tcPr>
                <w:p w:rsidR="005C056F" w:rsidRPr="00BD2498" w:rsidRDefault="005C056F" w:rsidP="009E38FD">
                  <w:pPr>
                    <w:jc w:val="center"/>
                    <w:rPr>
                      <w:rFonts w:cs="Arial"/>
                      <w:color w:val="000000"/>
                    </w:rPr>
                  </w:pPr>
                  <w:r w:rsidRPr="00BD2498">
                    <w:rPr>
                      <w:rFonts w:cs="Arial"/>
                      <w:color w:val="000000"/>
                    </w:rPr>
                    <w:t>non-uniform</w:t>
                  </w:r>
                  <w:r>
                    <w:rPr>
                      <w:rFonts w:cs="Arial"/>
                      <w:color w:val="000000"/>
                    </w:rPr>
                    <w:t>*</w:t>
                  </w:r>
                </w:p>
              </w:tc>
            </w:tr>
            <w:tr w:rsidR="005C056F" w:rsidRPr="00BD2498" w:rsidTr="009E38FD">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5C056F" w:rsidRPr="00BD2498" w:rsidRDefault="005C056F" w:rsidP="009E38FD">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Pr>
                      <w:rFonts w:cs="Arial"/>
                      <w:color w:val="000000"/>
                    </w:rPr>
                    <w:t>repeat trial**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C056F" w:rsidRPr="00BD2498" w:rsidRDefault="005C056F" w:rsidP="009E38FD">
                  <w:pPr>
                    <w:jc w:val="center"/>
                    <w:rPr>
                      <w:rFonts w:cs="Arial"/>
                      <w:color w:val="000000"/>
                    </w:rPr>
                  </w:pPr>
                  <w:r w:rsidRPr="00BD2498">
                    <w:rPr>
                      <w:rFonts w:cs="Arial"/>
                      <w:color w:val="000000"/>
                    </w:rPr>
                    <w:t>non-uniform</w:t>
                  </w:r>
                  <w:r>
                    <w:rPr>
                      <w:rFonts w:cs="Arial"/>
                      <w:color w:val="000000"/>
                    </w:rPr>
                    <w:t>**</w:t>
                  </w:r>
                </w:p>
              </w:tc>
            </w:tr>
          </w:tbl>
          <w:p w:rsidR="005C056F" w:rsidRDefault="005C056F" w:rsidP="009E38FD">
            <w:pPr>
              <w:pStyle w:val="Titleofdoc0"/>
              <w:spacing w:before="0"/>
              <w:jc w:val="both"/>
              <w:rPr>
                <w:szCs w:val="24"/>
              </w:rPr>
            </w:pPr>
          </w:p>
          <w:p w:rsidR="005C056F" w:rsidRPr="00C1030A" w:rsidRDefault="005C056F" w:rsidP="009E38FD">
            <w:pPr>
              <w:keepNext/>
              <w:keepLines/>
              <w:ind w:left="88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5C056F" w:rsidRPr="00C1030A" w:rsidRDefault="005C056F" w:rsidP="009E38FD">
            <w:pPr>
              <w:keepNext/>
              <w:keepLines/>
              <w:ind w:left="884"/>
              <w:rPr>
                <w:rFonts w:eastAsia="SimSun"/>
                <w:sz w:val="18"/>
                <w:szCs w:val="24"/>
                <w:lang w:eastAsia="zh-CN"/>
              </w:rPr>
            </w:pPr>
          </w:p>
          <w:p w:rsidR="005C056F" w:rsidRDefault="005C056F" w:rsidP="009E38FD">
            <w:pPr>
              <w:keepNext/>
              <w:keepLines/>
              <w:ind w:left="885"/>
              <w:rPr>
                <w:rFonts w:eastAsia="SimSun"/>
                <w:szCs w:val="24"/>
                <w:lang w:eastAsia="zh-CN"/>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5C056F" w:rsidRDefault="005C056F" w:rsidP="005C056F"/>
    <w:p w:rsidR="005C056F" w:rsidRDefault="005C056F" w:rsidP="005C056F">
      <w:pPr>
        <w:jc w:val="right"/>
        <w:rPr>
          <w:rFonts w:eastAsia="MS Mincho"/>
          <w:color w:val="000000"/>
          <w:lang w:eastAsia="ja-JP"/>
        </w:rPr>
      </w:pPr>
      <w:r w:rsidRPr="00E27A9E">
        <w:rPr>
          <w:rFonts w:eastAsia="MS Mincho"/>
          <w:color w:val="000000"/>
          <w:lang w:eastAsia="ja-JP"/>
        </w:rPr>
        <w:t>[Annex III follows]</w:t>
      </w:r>
    </w:p>
    <w:p w:rsidR="005C056F" w:rsidRDefault="005C056F" w:rsidP="005C056F">
      <w:pPr>
        <w:rPr>
          <w:rFonts w:eastAsia="MS Mincho"/>
          <w:color w:val="000000"/>
          <w:lang w:eastAsia="ja-JP"/>
        </w:rPr>
      </w:pPr>
    </w:p>
    <w:p w:rsidR="005C056F" w:rsidRDefault="005C056F" w:rsidP="005C056F">
      <w:pPr>
        <w:jc w:val="right"/>
        <w:rPr>
          <w:rFonts w:eastAsia="MS Mincho"/>
          <w:color w:val="000000"/>
          <w:lang w:eastAsia="ja-JP"/>
        </w:rPr>
        <w:sectPr w:rsidR="005C056F" w:rsidSect="009E38FD">
          <w:headerReference w:type="first" r:id="rId13"/>
          <w:pgSz w:w="11907" w:h="16840" w:code="9"/>
          <w:pgMar w:top="510" w:right="1134" w:bottom="851" w:left="1134" w:header="510" w:footer="680" w:gutter="0"/>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5C056F" w:rsidRPr="0056487C" w:rsidTr="009E38FD">
        <w:trPr>
          <w:trHeight w:val="632"/>
        </w:trPr>
        <w:tc>
          <w:tcPr>
            <w:tcW w:w="9355" w:type="dxa"/>
          </w:tcPr>
          <w:p w:rsidR="005C056F" w:rsidRPr="0056487C" w:rsidRDefault="005C056F" w:rsidP="009E38FD">
            <w:pPr>
              <w:autoSpaceDE w:val="0"/>
              <w:autoSpaceDN w:val="0"/>
              <w:adjustRightInd w:val="0"/>
              <w:spacing w:before="120" w:after="120"/>
              <w:jc w:val="center"/>
              <w:rPr>
                <w:rFonts w:eastAsia="SimSun"/>
                <w:strike/>
                <w:szCs w:val="24"/>
                <w:highlight w:val="lightGray"/>
                <w:lang w:eastAsia="zh-CN"/>
              </w:rPr>
            </w:pPr>
            <w:r w:rsidRPr="0056487C">
              <w:rPr>
                <w:rFonts w:eastAsia="SimSun"/>
                <w:strike/>
                <w:szCs w:val="24"/>
                <w:highlight w:val="lightGray"/>
                <w:lang w:eastAsia="zh-CN"/>
              </w:rPr>
              <w:lastRenderedPageBreak/>
              <w:t xml:space="preserve">SITUATION C:  </w:t>
            </w:r>
            <w:r w:rsidRPr="0056487C">
              <w:rPr>
                <w:strike/>
                <w:szCs w:val="24"/>
                <w:highlight w:val="lightGray"/>
              </w:rPr>
              <w:t>MORE THAN ONE SAMPLE OR SUBSAMPLE FOR A CHARACTERISTIC IN THE SAME GROWING CYCLE</w:t>
            </w:r>
          </w:p>
        </w:tc>
      </w:tr>
      <w:tr w:rsidR="005C056F" w:rsidRPr="0056487C" w:rsidTr="009E38FD">
        <w:trPr>
          <w:trHeight w:val="2880"/>
        </w:trPr>
        <w:tc>
          <w:tcPr>
            <w:tcW w:w="9355" w:type="dxa"/>
            <w:tcBorders>
              <w:bottom w:val="single" w:sz="4" w:space="0" w:color="auto"/>
            </w:tcBorders>
          </w:tcPr>
          <w:p w:rsidR="005C056F" w:rsidRPr="0056487C" w:rsidRDefault="005C056F" w:rsidP="009E38FD">
            <w:pPr>
              <w:rPr>
                <w:b/>
                <w:strike/>
                <w:szCs w:val="24"/>
                <w:highlight w:val="lightGray"/>
              </w:rPr>
            </w:pPr>
          </w:p>
          <w:p w:rsidR="005C056F" w:rsidRPr="0056487C" w:rsidRDefault="005C056F" w:rsidP="009E38FD">
            <w:pPr>
              <w:rPr>
                <w:strike/>
                <w:highlight w:val="lightGray"/>
              </w:rPr>
            </w:pPr>
            <w:r w:rsidRPr="0056487C">
              <w:rPr>
                <w:b/>
                <w:strike/>
                <w:szCs w:val="24"/>
                <w:highlight w:val="lightGray"/>
              </w:rPr>
              <w:t>Approach:  Additional growing cycle in the case of inconsistent results</w:t>
            </w:r>
          </w:p>
          <w:p w:rsidR="005C056F" w:rsidRPr="0056487C" w:rsidRDefault="005C056F" w:rsidP="009E38FD">
            <w:pPr>
              <w:jc w:val="left"/>
              <w:rPr>
                <w:rFonts w:eastAsia="MS Mincho"/>
                <w:strike/>
                <w:color w:val="000000"/>
                <w:highlight w:val="lightGray"/>
                <w:lang w:eastAsia="ja-JP"/>
              </w:rPr>
            </w:pPr>
          </w:p>
          <w:p w:rsidR="005C056F" w:rsidRPr="0056487C" w:rsidRDefault="005C056F" w:rsidP="009E38FD">
            <w:pPr>
              <w:rPr>
                <w:strike/>
                <w:szCs w:val="24"/>
                <w:highlight w:val="lightGray"/>
                <w:u w:val="single"/>
              </w:rPr>
            </w:pPr>
            <w:r w:rsidRPr="0056487C">
              <w:rPr>
                <w:rFonts w:eastAsia="SimSun"/>
                <w:strike/>
                <w:szCs w:val="24"/>
                <w:highlight w:val="lightGray"/>
                <w:lang w:eastAsia="zh-CN"/>
              </w:rPr>
              <w:t>A variety is considered to be uniform for a characteristic if it is within the uniformity standard for the characteristic in all samples or subsamples.</w:t>
            </w:r>
          </w:p>
          <w:p w:rsidR="005C056F" w:rsidRPr="0056487C" w:rsidRDefault="005C056F" w:rsidP="009E38FD">
            <w:pPr>
              <w:rPr>
                <w:rFonts w:eastAsia="SimSun"/>
                <w:strike/>
                <w:szCs w:val="24"/>
                <w:highlight w:val="lightGray"/>
                <w:lang w:eastAsia="zh-CN"/>
              </w:rPr>
            </w:pPr>
          </w:p>
          <w:p w:rsidR="005C056F" w:rsidRPr="0056487C" w:rsidRDefault="005C056F" w:rsidP="009E38FD">
            <w:pPr>
              <w:rPr>
                <w:rFonts w:eastAsia="SimSun"/>
                <w:strike/>
                <w:szCs w:val="24"/>
                <w:highlight w:val="lightGray"/>
                <w:lang w:eastAsia="zh-CN"/>
              </w:rPr>
            </w:pPr>
            <w:r w:rsidRPr="0056487C">
              <w:rPr>
                <w:rFonts w:eastAsia="SimSun"/>
                <w:strike/>
                <w:szCs w:val="24"/>
                <w:highlight w:val="lightGray"/>
                <w:lang w:eastAsia="zh-CN"/>
              </w:rPr>
              <w:t>A variety is considered non-uniform if it fails to meet the uniformity standard for the characteristic in all samples or subsamples.</w:t>
            </w:r>
          </w:p>
          <w:p w:rsidR="005C056F" w:rsidRPr="0056487C" w:rsidRDefault="005C056F" w:rsidP="009E38FD">
            <w:pPr>
              <w:rPr>
                <w:strike/>
                <w:szCs w:val="24"/>
                <w:highlight w:val="lightGray"/>
              </w:rPr>
            </w:pPr>
          </w:p>
          <w:p w:rsidR="005C056F" w:rsidRPr="0056487C" w:rsidRDefault="005C056F" w:rsidP="009E38FD">
            <w:pPr>
              <w:rPr>
                <w:strike/>
                <w:szCs w:val="24"/>
                <w:highlight w:val="lightGray"/>
              </w:rPr>
            </w:pPr>
            <w:r w:rsidRPr="0056487C">
              <w:rPr>
                <w:strike/>
                <w:szCs w:val="24"/>
                <w:highlight w:val="lightGray"/>
              </w:rPr>
              <w:t xml:space="preserve">In the case where a variety is within the uniformity standard </w:t>
            </w:r>
            <w:r w:rsidRPr="0056487C">
              <w:rPr>
                <w:rFonts w:eastAsia="SimSun"/>
                <w:strike/>
                <w:szCs w:val="24"/>
                <w:highlight w:val="lightGray"/>
                <w:lang w:eastAsia="zh-CN"/>
              </w:rPr>
              <w:t xml:space="preserve">for the characteristic </w:t>
            </w:r>
            <w:r w:rsidRPr="0056487C">
              <w:rPr>
                <w:strike/>
                <w:szCs w:val="24"/>
                <w:highlight w:val="lightGray"/>
              </w:rPr>
              <w:t xml:space="preserve">in one </w:t>
            </w:r>
            <w:r w:rsidRPr="0056487C">
              <w:rPr>
                <w:rFonts w:eastAsia="SimSun"/>
                <w:strike/>
                <w:szCs w:val="24"/>
                <w:highlight w:val="lightGray"/>
                <w:lang w:eastAsia="zh-CN"/>
              </w:rPr>
              <w:t>sample or subsample</w:t>
            </w:r>
            <w:r w:rsidRPr="0056487C">
              <w:rPr>
                <w:strike/>
                <w:szCs w:val="24"/>
                <w:highlight w:val="lightGray"/>
              </w:rPr>
              <w:t xml:space="preserve"> (e.g. main trial) and not in another </w:t>
            </w:r>
            <w:r w:rsidRPr="0056487C">
              <w:rPr>
                <w:rFonts w:eastAsia="SimSun"/>
                <w:strike/>
                <w:szCs w:val="24"/>
                <w:highlight w:val="lightGray"/>
                <w:lang w:eastAsia="zh-CN"/>
              </w:rPr>
              <w:t>sample or subsample</w:t>
            </w:r>
            <w:r w:rsidRPr="0056487C">
              <w:rPr>
                <w:strike/>
                <w:szCs w:val="24"/>
                <w:highlight w:val="lightGray"/>
              </w:rPr>
              <w:t xml:space="preserve"> (e.g. ear-row plot), both</w:t>
            </w:r>
            <w:r w:rsidRPr="0056487C">
              <w:rPr>
                <w:rFonts w:eastAsia="SimSun"/>
                <w:strike/>
                <w:szCs w:val="24"/>
                <w:highlight w:val="lightGray"/>
                <w:lang w:eastAsia="zh-CN"/>
              </w:rPr>
              <w:t xml:space="preserve"> samples or subsamples</w:t>
            </w:r>
            <w:r w:rsidRPr="0056487C">
              <w:rPr>
                <w:strike/>
                <w:szCs w:val="24"/>
                <w:highlight w:val="lightGray"/>
              </w:rPr>
              <w:t xml:space="preserve"> are examined in a further growing cycle.</w:t>
            </w:r>
          </w:p>
          <w:p w:rsidR="005C056F" w:rsidRPr="0056487C" w:rsidRDefault="00453306" w:rsidP="009E38FD">
            <w:pPr>
              <w:rPr>
                <w:strike/>
                <w:szCs w:val="24"/>
                <w:highlight w:val="lightGray"/>
              </w:rPr>
            </w:pPr>
            <w:r>
              <w:rPr>
                <w:rFonts w:eastAsia="SimSun"/>
                <w:strike/>
                <w:szCs w:val="24"/>
                <w:highlight w:val="lightGray"/>
                <w:lang w:eastAsia="zh-CN"/>
              </w:rPr>
              <w:pict>
                <v:rect id="_x0000_i1027" style="width:0;height:1.5pt" o:hralign="center" o:hrstd="t" o:hr="t" fillcolor="#a0a0a0" stroked="f"/>
              </w:pict>
            </w:r>
          </w:p>
          <w:p w:rsidR="005C056F" w:rsidRPr="0056487C" w:rsidRDefault="005C056F" w:rsidP="009E38FD">
            <w:pPr>
              <w:rPr>
                <w:strike/>
                <w:szCs w:val="24"/>
                <w:highlight w:val="lightGray"/>
              </w:rPr>
            </w:pPr>
          </w:p>
          <w:p w:rsidR="005C056F" w:rsidRPr="0056487C" w:rsidRDefault="005C056F" w:rsidP="009E38FD">
            <w:pPr>
              <w:rPr>
                <w:strike/>
                <w:szCs w:val="24"/>
                <w:highlight w:val="lightGray"/>
              </w:rPr>
            </w:pPr>
            <w:r w:rsidRPr="0056487C">
              <w:rPr>
                <w:strike/>
                <w:szCs w:val="24"/>
                <w:highlight w:val="lightGray"/>
                <w:u w:val="single"/>
              </w:rPr>
              <w:t xml:space="preserve">Note: </w:t>
            </w:r>
            <w:r w:rsidRPr="0056487C">
              <w:rPr>
                <w:strike/>
                <w:szCs w:val="24"/>
                <w:highlight w:val="lightGray"/>
              </w:rPr>
              <w:t>to consider whether Situation C is already covered by document TGP/10 “Examining Uniformity”, Section 6 “Combining all observations on a variety”.</w:t>
            </w:r>
          </w:p>
          <w:p w:rsidR="005C056F" w:rsidRPr="0056487C" w:rsidRDefault="005C056F" w:rsidP="009E38FD">
            <w:pPr>
              <w:rPr>
                <w:strike/>
                <w:szCs w:val="24"/>
                <w:highlight w:val="lightGray"/>
              </w:rPr>
            </w:pPr>
          </w:p>
          <w:p w:rsidR="005C056F" w:rsidRPr="0056487C" w:rsidRDefault="005C056F" w:rsidP="009E38FD">
            <w:pPr>
              <w:ind w:left="33"/>
              <w:rPr>
                <w:strike/>
                <w:snapToGrid w:val="0"/>
                <w:highlight w:val="lightGray"/>
              </w:rPr>
            </w:pPr>
            <w:r w:rsidRPr="0056487C">
              <w:rPr>
                <w:strike/>
                <w:snapToGrid w:val="0"/>
                <w:highlight w:val="lightGray"/>
              </w:rPr>
              <w:t>Extract from document TGP/10 “Examining Uniformity”</w:t>
            </w:r>
          </w:p>
          <w:p w:rsidR="005C056F" w:rsidRPr="0056487C" w:rsidRDefault="005C056F" w:rsidP="009E38FD">
            <w:pPr>
              <w:ind w:left="426"/>
              <w:rPr>
                <w:strike/>
                <w:snapToGrid w:val="0"/>
                <w:highlight w:val="lightGray"/>
              </w:rPr>
            </w:pPr>
          </w:p>
          <w:p w:rsidR="005C056F" w:rsidRPr="0056487C" w:rsidRDefault="005C056F" w:rsidP="009E38FD">
            <w:pPr>
              <w:spacing w:line="276" w:lineRule="auto"/>
              <w:ind w:left="742" w:right="601"/>
              <w:rPr>
                <w:strike/>
                <w:snapToGrid w:val="0"/>
                <w:sz w:val="18"/>
                <w:highlight w:val="lightGray"/>
              </w:rPr>
            </w:pPr>
            <w:r w:rsidRPr="0056487C">
              <w:rPr>
                <w:strike/>
                <w:snapToGrid w:val="0"/>
                <w:sz w:val="18"/>
                <w:highlight w:val="lightGray"/>
              </w:rPr>
              <w:t>“SECTION 6:</w:t>
            </w:r>
            <w:r w:rsidRPr="0056487C">
              <w:rPr>
                <w:strike/>
                <w:snapToGrid w:val="0"/>
                <w:sz w:val="18"/>
                <w:highlight w:val="lightGray"/>
              </w:rPr>
              <w:tab/>
              <w:t>Combining all observations on a variety</w:t>
            </w:r>
          </w:p>
          <w:p w:rsidR="005C056F" w:rsidRPr="0056487C" w:rsidRDefault="005C056F" w:rsidP="009E38FD">
            <w:pPr>
              <w:spacing w:line="276" w:lineRule="auto"/>
              <w:ind w:left="742" w:right="601"/>
              <w:rPr>
                <w:strike/>
                <w:snapToGrid w:val="0"/>
                <w:sz w:val="18"/>
                <w:highlight w:val="lightGray"/>
              </w:rPr>
            </w:pPr>
          </w:p>
          <w:p w:rsidR="005C056F" w:rsidRPr="0056487C" w:rsidRDefault="005C056F" w:rsidP="009E38FD">
            <w:pPr>
              <w:spacing w:line="276" w:lineRule="auto"/>
              <w:ind w:left="742" w:right="601"/>
              <w:rPr>
                <w:strike/>
                <w:snapToGrid w:val="0"/>
                <w:sz w:val="18"/>
                <w:highlight w:val="lightGray"/>
              </w:rPr>
            </w:pPr>
            <w:r w:rsidRPr="0056487C">
              <w:rPr>
                <w:strike/>
                <w:snapToGrid w:val="0"/>
                <w:sz w:val="18"/>
                <w:highlight w:val="lightGray"/>
              </w:rPr>
              <w:t>[…]</w:t>
            </w:r>
          </w:p>
          <w:p w:rsidR="005C056F" w:rsidRPr="0056487C" w:rsidRDefault="005C056F" w:rsidP="009E38FD">
            <w:pPr>
              <w:spacing w:line="276" w:lineRule="auto"/>
              <w:ind w:left="742" w:right="601"/>
              <w:rPr>
                <w:strike/>
                <w:snapToGrid w:val="0"/>
                <w:sz w:val="18"/>
                <w:highlight w:val="lightGray"/>
              </w:rPr>
            </w:pPr>
          </w:p>
          <w:p w:rsidR="005C056F" w:rsidRPr="0056487C" w:rsidRDefault="005C056F" w:rsidP="009E38FD">
            <w:pPr>
              <w:spacing w:line="276" w:lineRule="auto"/>
              <w:ind w:left="742" w:right="601"/>
              <w:rPr>
                <w:strike/>
                <w:snapToGrid w:val="0"/>
                <w:sz w:val="18"/>
                <w:highlight w:val="lightGray"/>
                <w:lang w:val="en-GB"/>
              </w:rPr>
            </w:pPr>
            <w:r w:rsidRPr="0056487C">
              <w:rPr>
                <w:strike/>
                <w:snapToGrid w:val="0"/>
                <w:sz w:val="18"/>
                <w:highlight w:val="lightGray"/>
                <w:lang w:val="en-GB"/>
              </w:rPr>
              <w:t>“6.3</w:t>
            </w:r>
            <w:r w:rsidRPr="0056487C">
              <w:rPr>
                <w:strike/>
                <w:snapToGrid w:val="0"/>
                <w:sz w:val="18"/>
                <w:highlight w:val="lightGray"/>
                <w:lang w:val="en-GB"/>
              </w:rPr>
              <w:tab/>
              <w:t xml:space="preserve">Off-types only:  characteristics observed on different samples </w:t>
            </w:r>
          </w:p>
          <w:p w:rsidR="005C056F" w:rsidRPr="0056487C" w:rsidRDefault="005C056F" w:rsidP="009E38FD">
            <w:pPr>
              <w:spacing w:line="276" w:lineRule="auto"/>
              <w:ind w:left="742" w:right="601"/>
              <w:rPr>
                <w:strike/>
                <w:snapToGrid w:val="0"/>
                <w:sz w:val="18"/>
                <w:highlight w:val="lightGray"/>
                <w:lang w:val="en-GB"/>
              </w:rPr>
            </w:pPr>
          </w:p>
          <w:p w:rsidR="005C056F" w:rsidRPr="0056487C" w:rsidRDefault="005C056F" w:rsidP="009E38FD">
            <w:pPr>
              <w:spacing w:line="276" w:lineRule="auto"/>
              <w:ind w:left="742" w:right="601"/>
              <w:rPr>
                <w:strike/>
                <w:snapToGrid w:val="0"/>
                <w:sz w:val="18"/>
                <w:lang w:val="en-GB"/>
              </w:rPr>
            </w:pPr>
            <w:r w:rsidRPr="0056487C">
              <w:rPr>
                <w:strike/>
                <w:snapToGrid w:val="0"/>
                <w:sz w:val="18"/>
                <w:highlight w:val="lightGray"/>
                <w:lang w:val="en-GB"/>
              </w:rPr>
              <w:t xml:space="preserve">“In many cases, uniformity is assessed by observations on different samples of plants or parts of plants.  For example, for uniformity in wheat (see UPOV </w:t>
            </w:r>
            <w:r w:rsidRPr="0056487C">
              <w:rPr>
                <w:strike/>
                <w:snapToGrid w:val="0"/>
                <w:sz w:val="18"/>
                <w:highlight w:val="lightGray"/>
              </w:rPr>
              <w:t>Test Guidelines</w:t>
            </w:r>
            <w:r w:rsidRPr="0056487C">
              <w:rPr>
                <w:strike/>
                <w:snapToGrid w:val="0"/>
                <w:sz w:val="18"/>
                <w:highlight w:val="lightGray"/>
                <w:lang w:val="en-GB"/>
              </w:rPr>
              <w:t xml:space="preserve"> for Wheat:  TG/3), some characteristics are observed on a sample of 2,000 plants, whilst some other characteristics are observed on a sample of 100 parts of plants taken from 100 plants.  Off</w:t>
            </w:r>
            <w:r w:rsidRPr="0056487C">
              <w:rPr>
                <w:strike/>
                <w:snapToGrid w:val="0"/>
                <w:sz w:val="18"/>
                <w:highlight w:val="lightGray"/>
                <w:lang w:val="en-GB"/>
              </w:rPr>
              <w:noBreakHyphen/>
              <w:t>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5C056F" w:rsidRPr="0056487C" w:rsidRDefault="005C056F" w:rsidP="009E38FD">
            <w:pPr>
              <w:rPr>
                <w:strike/>
                <w:szCs w:val="24"/>
                <w:lang w:val="en-GB"/>
              </w:rPr>
            </w:pPr>
          </w:p>
          <w:p w:rsidR="005C056F" w:rsidRPr="0056487C" w:rsidRDefault="005C056F" w:rsidP="009E38FD">
            <w:pPr>
              <w:rPr>
                <w:strike/>
                <w:szCs w:val="24"/>
              </w:rPr>
            </w:pPr>
          </w:p>
        </w:tc>
      </w:tr>
    </w:tbl>
    <w:p w:rsidR="005C056F" w:rsidRDefault="005C056F" w:rsidP="005C056F">
      <w:pPr>
        <w:rPr>
          <w:snapToGrid w:val="0"/>
        </w:rPr>
      </w:pPr>
    </w:p>
    <w:p w:rsidR="005C056F" w:rsidRPr="00104C37" w:rsidRDefault="005C056F" w:rsidP="005C056F">
      <w:pPr>
        <w:rPr>
          <w:snapToGrid w:val="0"/>
          <w:lang w:val="en-GB"/>
        </w:rPr>
      </w:pPr>
    </w:p>
    <w:p w:rsidR="005C056F" w:rsidRDefault="005C056F" w:rsidP="005C056F">
      <w:pPr>
        <w:rPr>
          <w:snapToGrid w:val="0"/>
        </w:rPr>
      </w:pPr>
    </w:p>
    <w:p w:rsidR="005C056F" w:rsidRDefault="005C056F" w:rsidP="005C056F">
      <w:pPr>
        <w:jc w:val="right"/>
      </w:pPr>
      <w:r>
        <w:t>[Annex IV follows]</w:t>
      </w:r>
    </w:p>
    <w:p w:rsidR="005C056F" w:rsidRDefault="005C056F" w:rsidP="005C056F">
      <w:pPr>
        <w:rPr>
          <w:snapToGrid w:val="0"/>
        </w:rPr>
      </w:pPr>
    </w:p>
    <w:p w:rsidR="005C056F" w:rsidRDefault="005C056F" w:rsidP="005C056F">
      <w:pPr>
        <w:rPr>
          <w:snapToGrid w:val="0"/>
        </w:rPr>
        <w:sectPr w:rsidR="005C056F" w:rsidSect="00906DDC">
          <w:headerReference w:type="first" r:id="rId14"/>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C056F" w:rsidRPr="00ED3415" w:rsidTr="009E38FD">
        <w:trPr>
          <w:trHeight w:val="350"/>
        </w:trPr>
        <w:tc>
          <w:tcPr>
            <w:tcW w:w="10206" w:type="dxa"/>
          </w:tcPr>
          <w:p w:rsidR="005C056F" w:rsidRPr="002A2C89" w:rsidRDefault="005C056F" w:rsidP="009E38FD">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5C056F" w:rsidRPr="00ED3415" w:rsidTr="00BA4717">
        <w:trPr>
          <w:trHeight w:val="6949"/>
        </w:trPr>
        <w:tc>
          <w:tcPr>
            <w:tcW w:w="10206" w:type="dxa"/>
          </w:tcPr>
          <w:p w:rsidR="005C056F" w:rsidRPr="00443AD8" w:rsidRDefault="005C056F" w:rsidP="009E38FD"/>
          <w:p w:rsidR="005C056F" w:rsidRDefault="005C056F" w:rsidP="009E38FD">
            <w:pPr>
              <w:rPr>
                <w:b/>
              </w:rPr>
            </w:pPr>
            <w:r w:rsidRPr="00443AD8">
              <w:rPr>
                <w:b/>
              </w:rPr>
              <w:t xml:space="preserve">Approach:  Use of sub-sample as </w:t>
            </w:r>
            <w:r>
              <w:rPr>
                <w:b/>
              </w:rPr>
              <w:t xml:space="preserve">a </w:t>
            </w:r>
            <w:r w:rsidRPr="00443AD8">
              <w:rPr>
                <w:b/>
              </w:rPr>
              <w:t>first step of assessment</w:t>
            </w:r>
          </w:p>
          <w:p w:rsidR="005C056F" w:rsidRPr="00443AD8" w:rsidRDefault="005C056F" w:rsidP="009E38FD">
            <w:pPr>
              <w:rPr>
                <w:b/>
              </w:rPr>
            </w:pPr>
          </w:p>
          <w:p w:rsidR="005C056F" w:rsidRDefault="005C056F" w:rsidP="009E38FD">
            <w:r w:rsidRPr="00443AD8">
              <w:t>A variety is considered unif</w:t>
            </w:r>
            <w:r>
              <w:t>orm</w:t>
            </w:r>
            <w:r w:rsidRPr="00443AD8">
              <w:t xml:space="preserve"> if </w:t>
            </w:r>
            <w:r w:rsidRPr="00CE2070">
              <w:rPr>
                <w:strike/>
                <w:highlight w:val="lightGray"/>
              </w:rPr>
              <w:t>no</w:t>
            </w:r>
            <w:r w:rsidRPr="00CE2070">
              <w:rPr>
                <w:highlight w:val="lightGray"/>
              </w:rPr>
              <w:t xml:space="preserve"> </w:t>
            </w:r>
            <w:r w:rsidR="00CE2070" w:rsidRPr="00CE2070">
              <w:rPr>
                <w:highlight w:val="lightGray"/>
                <w:u w:val="single"/>
              </w:rPr>
              <w:t>the number of</w:t>
            </w:r>
            <w:r w:rsidR="00CE2070">
              <w:t xml:space="preserve"> </w:t>
            </w:r>
            <w:r w:rsidRPr="00443AD8">
              <w:t xml:space="preserve">off-types </w:t>
            </w:r>
            <w:r w:rsidRPr="00CE2070">
              <w:rPr>
                <w:strike/>
                <w:highlight w:val="lightGray"/>
              </w:rPr>
              <w:t>are observed in a</w:t>
            </w:r>
            <w:r w:rsidRPr="00CE2070">
              <w:rPr>
                <w:highlight w:val="lightGray"/>
              </w:rPr>
              <w:t xml:space="preserve"> </w:t>
            </w:r>
            <w:r w:rsidR="00CE2070" w:rsidRPr="00CE2070">
              <w:rPr>
                <w:highlight w:val="lightGray"/>
                <w:u w:val="single"/>
              </w:rPr>
              <w:t>does not exceed a predefined lower limit in the</w:t>
            </w:r>
            <w:r w:rsidR="00CE2070">
              <w:t xml:space="preserve"> </w:t>
            </w:r>
            <w:r w:rsidRPr="00443AD8">
              <w:t>sub-sample.</w:t>
            </w:r>
          </w:p>
          <w:p w:rsidR="005C056F" w:rsidRPr="00443AD8" w:rsidRDefault="005C056F" w:rsidP="009E38FD"/>
          <w:p w:rsidR="005C056F" w:rsidRDefault="005C056F" w:rsidP="009E38FD">
            <w:r>
              <w:t>A variety is considered non–</w:t>
            </w:r>
            <w:r w:rsidRPr="00443AD8">
              <w:t xml:space="preserve">uniform if the number of off-types </w:t>
            </w:r>
            <w:r w:rsidRPr="00CE2070">
              <w:rPr>
                <w:strike/>
                <w:highlight w:val="lightGray"/>
              </w:rPr>
              <w:t>in the</w:t>
            </w:r>
            <w:r w:rsidRPr="00CE2070">
              <w:rPr>
                <w:highlight w:val="lightGray"/>
              </w:rPr>
              <w:t xml:space="preserve"> </w:t>
            </w:r>
            <w:r w:rsidR="00CE2070" w:rsidRPr="00CE2070">
              <w:rPr>
                <w:highlight w:val="lightGray"/>
                <w:u w:val="single"/>
              </w:rPr>
              <w:t>exceeds a predefined upper limit in the</w:t>
            </w:r>
            <w:r w:rsidR="00CE2070">
              <w:t xml:space="preserve"> </w:t>
            </w:r>
            <w:r w:rsidRPr="00443AD8">
              <w:t xml:space="preserve">sub-sample </w:t>
            </w:r>
            <w:r w:rsidRPr="00BA4717">
              <w:rPr>
                <w:strike/>
                <w:highlight w:val="lightGray"/>
              </w:rPr>
              <w:t>exceeds the accepted number of off-types for the whole sample</w:t>
            </w:r>
            <w:r w:rsidRPr="00443AD8">
              <w:t>.</w:t>
            </w:r>
          </w:p>
          <w:p w:rsidR="005C056F" w:rsidRPr="00443AD8" w:rsidRDefault="005C056F" w:rsidP="009E38FD"/>
          <w:p w:rsidR="005C056F" w:rsidRDefault="005C056F" w:rsidP="009E38FD">
            <w:r w:rsidRPr="00443AD8">
              <w:t xml:space="preserve">If the number of off-types is </w:t>
            </w:r>
            <w:r w:rsidRPr="00BA4717">
              <w:rPr>
                <w:strike/>
                <w:highlight w:val="lightGray"/>
              </w:rPr>
              <w:t>1 or more, but below the accepted number of off-types for the whole sample</w:t>
            </w:r>
            <w:r w:rsidR="00BA4717" w:rsidRPr="00BA4717">
              <w:rPr>
                <w:highlight w:val="lightGray"/>
              </w:rPr>
              <w:t xml:space="preserve"> </w:t>
            </w:r>
            <w:r w:rsidR="00BA4717" w:rsidRPr="00BA4717">
              <w:rPr>
                <w:highlight w:val="lightGray"/>
                <w:u w:val="single"/>
              </w:rPr>
              <w:t>between the predefined lower and upper limits</w:t>
            </w:r>
            <w:r w:rsidRPr="00443AD8">
              <w:t>, the whole sample is assessed.</w:t>
            </w:r>
            <w:r w:rsidR="00BA4717">
              <w:t xml:space="preserve"> </w:t>
            </w:r>
            <w:r w:rsidR="00BA4717" w:rsidRPr="00BA4717">
              <w:rPr>
                <w:highlight w:val="lightGray"/>
                <w:u w:val="single"/>
              </w:rPr>
              <w:t>The lower and upper limits have to be chosen considering comparable type I and type II errors in the sub</w:t>
            </w:r>
            <w:r w:rsidR="00BA4717" w:rsidRPr="00BA4717">
              <w:rPr>
                <w:highlight w:val="lightGray"/>
                <w:u w:val="single"/>
              </w:rPr>
              <w:noBreakHyphen/>
              <w:t>sample and the whole sample.</w:t>
            </w:r>
          </w:p>
          <w:p w:rsidR="005C056F" w:rsidRDefault="00453306" w:rsidP="009E38FD">
            <w:r>
              <w:rPr>
                <w:rFonts w:eastAsia="SimSun"/>
                <w:szCs w:val="24"/>
                <w:lang w:eastAsia="zh-CN"/>
              </w:rPr>
              <w:pict>
                <v:rect id="_x0000_i1028" style="width:0;height:1.5pt" o:hralign="center" o:hrstd="t" o:hr="t" fillcolor="#a0a0a0" stroked="f"/>
              </w:pict>
            </w:r>
          </w:p>
          <w:p w:rsidR="005C056F" w:rsidRDefault="005C056F" w:rsidP="009E38FD">
            <w:pPr>
              <w:rPr>
                <w:szCs w:val="24"/>
              </w:rPr>
            </w:pPr>
          </w:p>
          <w:p w:rsidR="005C056F" w:rsidRPr="00BF512B" w:rsidRDefault="005C056F" w:rsidP="009E38FD">
            <w:pPr>
              <w:rPr>
                <w:szCs w:val="24"/>
              </w:rPr>
            </w:pPr>
            <w:r>
              <w:rPr>
                <w:szCs w:val="24"/>
              </w:rPr>
              <w:t>Example:</w:t>
            </w:r>
          </w:p>
          <w:p w:rsidR="005C056F" w:rsidRDefault="005C056F" w:rsidP="009E38FD">
            <w:pPr>
              <w:rPr>
                <w:szCs w:val="24"/>
              </w:rPr>
            </w:pPr>
          </w:p>
          <w:p w:rsidR="005C056F" w:rsidRDefault="005C056F" w:rsidP="009E38FD">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5C056F" w:rsidRDefault="005C056F" w:rsidP="009E38FD">
            <w:pPr>
              <w:autoSpaceDE w:val="0"/>
              <w:autoSpaceDN w:val="0"/>
              <w:adjustRightInd w:val="0"/>
              <w:rPr>
                <w:color w:val="000000"/>
                <w:szCs w:val="24"/>
              </w:rPr>
            </w:pPr>
          </w:p>
          <w:p w:rsidR="005C056F" w:rsidRDefault="005C056F" w:rsidP="009E38FD">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5C056F" w:rsidRDefault="005C056F" w:rsidP="009E38FD">
            <w:pPr>
              <w:autoSpaceDE w:val="0"/>
              <w:autoSpaceDN w:val="0"/>
              <w:adjustRightInd w:val="0"/>
              <w:rPr>
                <w:color w:val="000000"/>
                <w:szCs w:val="24"/>
              </w:rPr>
            </w:pPr>
          </w:p>
          <w:p w:rsidR="005C056F" w:rsidRDefault="005C056F" w:rsidP="009E38FD">
            <w:pPr>
              <w:ind w:left="567"/>
            </w:pPr>
            <w:r w:rsidRPr="00443AD8">
              <w:t>A variety is considered unif</w:t>
            </w:r>
            <w:r>
              <w:t>orm</w:t>
            </w:r>
            <w:r w:rsidRPr="00443AD8">
              <w:t xml:space="preserve"> if no off-types are observed in </w:t>
            </w:r>
            <w:r>
              <w:t>the</w:t>
            </w:r>
            <w:r w:rsidRPr="00443AD8">
              <w:t xml:space="preserve"> sub-sample.</w:t>
            </w:r>
          </w:p>
          <w:p w:rsidR="005C056F" w:rsidRPr="00443AD8" w:rsidRDefault="005C056F" w:rsidP="009E38FD"/>
          <w:p w:rsidR="005C056F" w:rsidRDefault="005C056F" w:rsidP="009E38FD">
            <w:pPr>
              <w:ind w:left="567"/>
            </w:pPr>
            <w:r>
              <w:t>A variety is considered non–</w:t>
            </w:r>
            <w:r w:rsidRPr="00443AD8">
              <w:t xml:space="preserve">uniform if the number of off-types in the sub-sample exceeds </w:t>
            </w:r>
            <w:r>
              <w:t>3</w:t>
            </w:r>
            <w:r w:rsidRPr="00443AD8">
              <w:t>.</w:t>
            </w:r>
          </w:p>
          <w:p w:rsidR="005C056F" w:rsidRPr="00443AD8" w:rsidRDefault="005C056F" w:rsidP="009E38FD"/>
          <w:p w:rsidR="005C056F" w:rsidRDefault="005C056F" w:rsidP="009E38FD">
            <w:pPr>
              <w:ind w:left="567"/>
            </w:pPr>
            <w:r w:rsidRPr="00443AD8">
              <w:t xml:space="preserve">If the number of off-types is 1 </w:t>
            </w:r>
            <w:r>
              <w:t>to 3</w:t>
            </w:r>
            <w:r w:rsidRPr="00443AD8">
              <w:t xml:space="preserve">, the whole sample </w:t>
            </w:r>
            <w:r>
              <w:t xml:space="preserve">of 100 plants </w:t>
            </w:r>
            <w:r w:rsidRPr="00443AD8">
              <w:t>is assessed.</w:t>
            </w:r>
          </w:p>
          <w:p w:rsidR="005C056F" w:rsidRDefault="005C056F" w:rsidP="009E38FD">
            <w:pPr>
              <w:rPr>
                <w:szCs w:val="24"/>
              </w:rPr>
            </w:pPr>
          </w:p>
          <w:p w:rsidR="005C056F" w:rsidRPr="00BA4717" w:rsidRDefault="005C056F" w:rsidP="009E38FD">
            <w:pPr>
              <w:ind w:left="34" w:right="600"/>
              <w:rPr>
                <w:strike/>
                <w:szCs w:val="24"/>
                <w:highlight w:val="lightGray"/>
              </w:rPr>
            </w:pPr>
            <w:r w:rsidRPr="00BA4717">
              <w:rPr>
                <w:strike/>
                <w:szCs w:val="24"/>
                <w:highlight w:val="lightGray"/>
              </w:rPr>
              <w:t xml:space="preserve">(The background to this example is provided in Annex V to this document) </w:t>
            </w:r>
          </w:p>
          <w:p w:rsidR="00BA4717" w:rsidRPr="00BA4717" w:rsidRDefault="00BA4717" w:rsidP="009E38FD">
            <w:pPr>
              <w:ind w:left="34" w:right="600"/>
              <w:rPr>
                <w:szCs w:val="24"/>
                <w:u w:val="single"/>
              </w:rPr>
            </w:pPr>
            <w:r w:rsidRPr="00BA4717">
              <w:rPr>
                <w:szCs w:val="24"/>
                <w:highlight w:val="lightGray"/>
                <w:u w:val="single"/>
              </w:rPr>
              <w:t>Annex V to document TWC/32/9 provides a full description of the statistical basis for this approach.</w:t>
            </w:r>
          </w:p>
          <w:p w:rsidR="00851E13" w:rsidRPr="0071257F" w:rsidRDefault="00851E13" w:rsidP="009E38FD">
            <w:pPr>
              <w:ind w:left="34" w:right="600"/>
              <w:rPr>
                <w:szCs w:val="24"/>
              </w:rPr>
            </w:pPr>
          </w:p>
        </w:tc>
      </w:tr>
    </w:tbl>
    <w:p w:rsidR="005C056F" w:rsidRDefault="005C056F" w:rsidP="005C056F">
      <w:pPr>
        <w:pStyle w:val="endofdoc"/>
        <w:rPr>
          <w:snapToGrid w:val="0"/>
        </w:rPr>
      </w:pPr>
    </w:p>
    <w:p w:rsidR="005C056F" w:rsidRDefault="005C056F" w:rsidP="005C056F">
      <w:pPr>
        <w:pStyle w:val="endofdoc"/>
        <w:rPr>
          <w:snapToGrid w:val="0"/>
        </w:rPr>
      </w:pPr>
      <w:r>
        <w:rPr>
          <w:snapToGrid w:val="0"/>
        </w:rPr>
        <w:t>[Annex V follows]</w:t>
      </w:r>
    </w:p>
    <w:p w:rsidR="005C056F" w:rsidRDefault="005C056F" w:rsidP="005C056F">
      <w:pPr>
        <w:sectPr w:rsidR="005C056F" w:rsidSect="00906DDC">
          <w:headerReference w:type="default" r:id="rId15"/>
          <w:headerReference w:type="first" r:id="rId16"/>
          <w:footerReference w:type="first" r:id="rId17"/>
          <w:pgSz w:w="11907" w:h="16840" w:code="9"/>
          <w:pgMar w:top="510" w:right="1134" w:bottom="1134" w:left="1134" w:header="510" w:footer="680" w:gutter="0"/>
          <w:cols w:space="720"/>
          <w:titlePg/>
        </w:sectPr>
      </w:pPr>
    </w:p>
    <w:p w:rsidR="005C056F" w:rsidRDefault="005C056F" w:rsidP="005C056F">
      <w:pPr>
        <w:jc w:val="center"/>
      </w:pPr>
      <w:r>
        <w:lastRenderedPageBreak/>
        <w:t>MEMORANDUM FROM THE EXPERT FROM GERMANY</w:t>
      </w:r>
    </w:p>
    <w:p w:rsidR="005C056F" w:rsidRDefault="005C056F" w:rsidP="005C056F">
      <w:pPr>
        <w:rPr>
          <w:rFonts w:cs="Arial"/>
          <w:caps/>
          <w:sz w:val="22"/>
          <w:szCs w:val="22"/>
        </w:rPr>
      </w:pPr>
    </w:p>
    <w:p w:rsidR="005C056F" w:rsidRPr="00F13DEF" w:rsidRDefault="005C056F" w:rsidP="005C056F">
      <w:pPr>
        <w:rPr>
          <w:u w:val="single"/>
        </w:rPr>
      </w:pPr>
      <w:r w:rsidRPr="00F13DEF">
        <w:rPr>
          <w:u w:val="single"/>
        </w:rPr>
        <w:t>Use of a stepwise approach in the off-type procedure within the same growing cycle</w:t>
      </w:r>
    </w:p>
    <w:p w:rsidR="005C056F" w:rsidRPr="00B40556" w:rsidRDefault="005C056F" w:rsidP="005C056F">
      <w:pPr>
        <w:rPr>
          <w:rFonts w:cs="Arial"/>
          <w:caps/>
        </w:rPr>
      </w:pPr>
    </w:p>
    <w:p w:rsidR="005C056F" w:rsidRPr="00F13DEF" w:rsidRDefault="005C056F" w:rsidP="005C056F">
      <w:pPr>
        <w:rPr>
          <w:i/>
        </w:rPr>
      </w:pPr>
      <w:r w:rsidRPr="00F13DEF">
        <w:rPr>
          <w:i/>
        </w:rPr>
        <w:t>Background</w:t>
      </w:r>
    </w:p>
    <w:p w:rsidR="005C056F" w:rsidRPr="00B40556" w:rsidRDefault="005C056F" w:rsidP="005C056F">
      <w:pPr>
        <w:rPr>
          <w:rFonts w:cs="Arial"/>
        </w:rPr>
      </w:pPr>
    </w:p>
    <w:p w:rsidR="005C056F" w:rsidRPr="00B40556" w:rsidRDefault="005C056F" w:rsidP="005C056F">
      <w:pPr>
        <w:rPr>
          <w:rFonts w:cs="Arial"/>
        </w:rPr>
      </w:pPr>
      <w:r w:rsidRPr="00B40556">
        <w:rPr>
          <w:rFonts w:cs="Arial"/>
        </w:rPr>
        <w:t>The TC noted that the TWC had proposed that the statistical basis for the acceptable number of off</w:t>
      </w:r>
      <w:r w:rsidRPr="00B40556">
        <w:rPr>
          <w:rFonts w:cs="Arial"/>
        </w:rPr>
        <w:noBreakHyphen/>
        <w:t>types in situation D be considered further at its session in 2014, as set out in document TC/50/12, paragraphs 34 and 35.</w:t>
      </w:r>
    </w:p>
    <w:p w:rsidR="005C056F" w:rsidRPr="00B40556" w:rsidRDefault="005C056F" w:rsidP="005C056F">
      <w:pPr>
        <w:rPr>
          <w:rFonts w:cs="Arial"/>
        </w:rPr>
      </w:pPr>
    </w:p>
    <w:p w:rsidR="005C056F" w:rsidRPr="00B40556" w:rsidRDefault="005C056F" w:rsidP="005C056F">
      <w:pPr>
        <w:rPr>
          <w:rFonts w:cs="Arial"/>
        </w:rPr>
      </w:pPr>
      <w:r w:rsidRPr="00B40556">
        <w:rPr>
          <w:rFonts w:cs="Arial"/>
        </w:rPr>
        <w:t>The following text is based on document TWC/31/22 Annex V.</w:t>
      </w:r>
    </w:p>
    <w:p w:rsidR="005C056F" w:rsidRPr="00B40556" w:rsidRDefault="005C056F" w:rsidP="005C056F">
      <w:pPr>
        <w:rPr>
          <w:rFonts w:cs="Arial"/>
        </w:rPr>
      </w:pPr>
    </w:p>
    <w:p w:rsidR="005C056F" w:rsidRPr="00B40556" w:rsidRDefault="005C056F" w:rsidP="005C056F">
      <w:pPr>
        <w:rPr>
          <w:rFonts w:cs="Arial"/>
        </w:rPr>
      </w:pPr>
      <w:r w:rsidRPr="00B40556">
        <w:rPr>
          <w:rFonts w:cs="Arial"/>
        </w:rPr>
        <w:t xml:space="preserve">The method of uniformity assessment on the basis of off-types (off-types procedure) was described in document TGP/8. Paragraph 8.1.7 provides guidance on the use of the off-types procedure on more than one single test, including a combined test, a two-stage test and sequential tests.  </w:t>
      </w:r>
    </w:p>
    <w:p w:rsidR="005C056F" w:rsidRPr="00B40556" w:rsidRDefault="005C056F" w:rsidP="005C056F">
      <w:pPr>
        <w:rPr>
          <w:rFonts w:cs="Arial"/>
        </w:rPr>
      </w:pPr>
    </w:p>
    <w:p w:rsidR="005C056F" w:rsidRPr="00B40556" w:rsidRDefault="005C056F" w:rsidP="005C056F">
      <w:pPr>
        <w:rPr>
          <w:rFonts w:cs="Arial"/>
        </w:rPr>
      </w:pPr>
      <w:r w:rsidRPr="00B40556">
        <w:rPr>
          <w:rFonts w:cs="Arial"/>
        </w:rPr>
        <w:t>A combined test is described as follows:</w:t>
      </w:r>
    </w:p>
    <w:p w:rsidR="005C056F" w:rsidRPr="00B40556" w:rsidRDefault="005C056F" w:rsidP="005C056F">
      <w:pPr>
        <w:rPr>
          <w:rFonts w:cs="Arial"/>
        </w:rPr>
      </w:pPr>
      <w:r w:rsidRPr="00B40556">
        <w:rPr>
          <w:rFonts w:cs="Arial"/>
        </w:rPr>
        <w:t>Make a decision after two (or three) years based on the total number of plants examined and the total number of off-types recorded.</w:t>
      </w:r>
    </w:p>
    <w:p w:rsidR="005C056F" w:rsidRPr="00B40556" w:rsidRDefault="005C056F" w:rsidP="005C056F">
      <w:pPr>
        <w:rPr>
          <w:rFonts w:cs="Arial"/>
        </w:rPr>
      </w:pPr>
    </w:p>
    <w:p w:rsidR="005C056F" w:rsidRPr="00B40556" w:rsidRDefault="005C056F" w:rsidP="005C056F">
      <w:pPr>
        <w:rPr>
          <w:rFonts w:cs="Arial"/>
        </w:rPr>
      </w:pPr>
      <w:r w:rsidRPr="00B40556">
        <w:rPr>
          <w:rFonts w:cs="Arial"/>
        </w:rPr>
        <w:t>A two-stage test is described as follows:</w:t>
      </w:r>
    </w:p>
    <w:p w:rsidR="005C056F" w:rsidRPr="00B40556" w:rsidRDefault="005C056F" w:rsidP="005C056F">
      <w:pPr>
        <w:rPr>
          <w:rFonts w:cs="Arial"/>
        </w:rPr>
      </w:pPr>
      <w:r w:rsidRPr="00B40556">
        <w:rPr>
          <w:rFonts w:cs="Arial"/>
        </w:rPr>
        <w:t>Use the result of the first year to see if the data suggests a clear decision (reject or accept). If the decision is not clear then proceed with the second year and decide after the second year.</w:t>
      </w:r>
    </w:p>
    <w:p w:rsidR="005C056F" w:rsidRPr="00B40556" w:rsidRDefault="005C056F" w:rsidP="005C056F">
      <w:pPr>
        <w:rPr>
          <w:rFonts w:cs="Arial"/>
        </w:rPr>
      </w:pPr>
    </w:p>
    <w:p w:rsidR="005C056F" w:rsidRPr="00B40556" w:rsidRDefault="005C056F" w:rsidP="005C056F">
      <w:pPr>
        <w:rPr>
          <w:rFonts w:cs="Arial"/>
        </w:rPr>
      </w:pPr>
      <w:r w:rsidRPr="00B40556">
        <w:rPr>
          <w:rFonts w:cs="Arial"/>
        </w:rPr>
        <w:t xml:space="preserve">A sequential test is a multi-stage test where decision rules can be defined dependently or independently on results of the test. </w:t>
      </w:r>
    </w:p>
    <w:p w:rsidR="005C056F" w:rsidRPr="00B40556" w:rsidRDefault="005C056F" w:rsidP="005C056F">
      <w:pPr>
        <w:rPr>
          <w:rFonts w:cs="Arial"/>
        </w:rPr>
      </w:pPr>
    </w:p>
    <w:p w:rsidR="005C056F" w:rsidRPr="00B40556" w:rsidRDefault="005C056F" w:rsidP="005C056F">
      <w:pPr>
        <w:rPr>
          <w:rFonts w:cs="Arial"/>
        </w:rPr>
      </w:pPr>
      <w:r w:rsidRPr="00B40556">
        <w:rPr>
          <w:rFonts w:cs="Arial"/>
        </w:rPr>
        <w:t>A specific example for the use of a two-step test is provided in document TWC/29/09 “Assessing uniformity by off-types on the basis of more than one sample or sub-sample”, Annex I, page 13. The following specific approach is applied by several European examination offices in wheat and barley for the assessment of uniformity in case of characteristics observed on a sample size of 100 plants or parts of plants. The population standard is fixed at 1% with an acceptance probability of 95% for each decision.</w:t>
      </w:r>
    </w:p>
    <w:p w:rsidR="005C056F" w:rsidRPr="00B40556" w:rsidRDefault="005C056F" w:rsidP="005C056F">
      <w:pPr>
        <w:rPr>
          <w:rFonts w:cs="Arial"/>
        </w:rPr>
      </w:pPr>
    </w:p>
    <w:p w:rsidR="005C056F" w:rsidRPr="00B40556" w:rsidRDefault="005C056F" w:rsidP="005C056F">
      <w:pPr>
        <w:rPr>
          <w:rFonts w:cs="Arial"/>
        </w:rPr>
      </w:pPr>
      <w:r w:rsidRPr="00B40556">
        <w:rPr>
          <w:rFonts w:cs="Arial"/>
        </w:rPr>
        <w:t xml:space="preserve">In the first step 20 plants or parts of plants are observed. </w:t>
      </w:r>
    </w:p>
    <w:p w:rsidR="005C056F" w:rsidRPr="00B40556" w:rsidRDefault="005C056F" w:rsidP="005C056F">
      <w:pPr>
        <w:rPr>
          <w:rFonts w:cs="Arial"/>
        </w:rPr>
      </w:pPr>
    </w:p>
    <w:p w:rsidR="005C056F" w:rsidRPr="00B40556" w:rsidRDefault="005C056F" w:rsidP="005C056F">
      <w:pPr>
        <w:pStyle w:val="ListParagraph"/>
        <w:numPr>
          <w:ilvl w:val="0"/>
          <w:numId w:val="1"/>
        </w:numPr>
        <w:rPr>
          <w:rFonts w:cs="Arial"/>
        </w:rPr>
      </w:pPr>
      <w:r w:rsidRPr="00B40556">
        <w:rPr>
          <w:rFonts w:cs="Arial"/>
        </w:rPr>
        <w:t>If there are no off-type plants in 20 plants then the variety does not exceed the number of allowed off-types for this characteristic for this growing cycle</w:t>
      </w:r>
    </w:p>
    <w:p w:rsidR="005C056F" w:rsidRPr="00B40556" w:rsidRDefault="005C056F" w:rsidP="005C056F">
      <w:pPr>
        <w:pStyle w:val="ListParagraph"/>
        <w:numPr>
          <w:ilvl w:val="0"/>
          <w:numId w:val="1"/>
        </w:numPr>
        <w:rPr>
          <w:rFonts w:cs="Arial"/>
        </w:rPr>
      </w:pPr>
      <w:r w:rsidRPr="00B40556">
        <w:rPr>
          <w:rFonts w:cs="Arial"/>
        </w:rPr>
        <w:t>If there are more than 3 off-type plants then the variety exceeds the number of allowed off-types for this characteristic for this growing cycle.</w:t>
      </w:r>
    </w:p>
    <w:p w:rsidR="005C056F" w:rsidRPr="00B40556" w:rsidRDefault="005C056F" w:rsidP="005C056F">
      <w:pPr>
        <w:pStyle w:val="ListParagraph"/>
        <w:numPr>
          <w:ilvl w:val="0"/>
          <w:numId w:val="1"/>
        </w:numPr>
        <w:rPr>
          <w:rFonts w:cs="Arial"/>
        </w:rPr>
      </w:pPr>
      <w:r w:rsidRPr="00B40556">
        <w:rPr>
          <w:rFonts w:cs="Arial"/>
        </w:rPr>
        <w:t>If there are 1, 2 or 3 off-type plants then the second step follows.</w:t>
      </w:r>
    </w:p>
    <w:p w:rsidR="005C056F" w:rsidRPr="00B40556" w:rsidRDefault="005C056F" w:rsidP="005C056F">
      <w:pPr>
        <w:rPr>
          <w:rFonts w:cs="Arial"/>
        </w:rPr>
      </w:pPr>
    </w:p>
    <w:p w:rsidR="005C056F" w:rsidRPr="00B40556" w:rsidRDefault="005C056F" w:rsidP="005C056F">
      <w:pPr>
        <w:rPr>
          <w:rFonts w:cs="Arial"/>
        </w:rPr>
      </w:pPr>
      <w:r w:rsidRPr="00B40556">
        <w:rPr>
          <w:rFonts w:cs="Arial"/>
        </w:rPr>
        <w:t>In the second step further 80 plants or part of plants are observed.</w:t>
      </w:r>
    </w:p>
    <w:p w:rsidR="005C056F" w:rsidRPr="00B40556" w:rsidRDefault="005C056F" w:rsidP="005C056F">
      <w:pPr>
        <w:rPr>
          <w:rFonts w:cs="Arial"/>
        </w:rPr>
      </w:pPr>
    </w:p>
    <w:p w:rsidR="005C056F" w:rsidRPr="00B40556" w:rsidRDefault="005C056F" w:rsidP="005C056F">
      <w:pPr>
        <w:pStyle w:val="ListParagraph"/>
        <w:numPr>
          <w:ilvl w:val="0"/>
          <w:numId w:val="1"/>
        </w:numPr>
        <w:rPr>
          <w:rFonts w:cs="Arial"/>
        </w:rPr>
      </w:pPr>
      <w:r w:rsidRPr="00B40556">
        <w:rPr>
          <w:rFonts w:cs="Arial"/>
        </w:rPr>
        <w:t>If there are 3 or less off-type plants in 100 (20 of step 1 + 80 of step 2) plants then the variety does not exceed the number of allowed off-types for this characteristic for this growing cycle</w:t>
      </w:r>
    </w:p>
    <w:p w:rsidR="005C056F" w:rsidRPr="00B40556" w:rsidRDefault="005C056F" w:rsidP="005C056F">
      <w:pPr>
        <w:pStyle w:val="ListParagraph"/>
        <w:numPr>
          <w:ilvl w:val="0"/>
          <w:numId w:val="1"/>
        </w:numPr>
        <w:rPr>
          <w:rFonts w:cs="Arial"/>
        </w:rPr>
      </w:pPr>
      <w:r w:rsidRPr="00B40556">
        <w:rPr>
          <w:rFonts w:cs="Arial"/>
        </w:rPr>
        <w:t>If there are more than 3 off-type plants in 100 (20 of step 1 + 80 of step 2) plants then the variety exceeds the number of allowed off-types for this characteristic for this growing cycle</w:t>
      </w:r>
    </w:p>
    <w:p w:rsidR="005C056F" w:rsidRPr="00B40556" w:rsidRDefault="005C056F" w:rsidP="005C056F">
      <w:pPr>
        <w:rPr>
          <w:rFonts w:cs="Arial"/>
        </w:rPr>
      </w:pPr>
    </w:p>
    <w:p w:rsidR="005C056F" w:rsidRPr="00B40556" w:rsidRDefault="005C056F" w:rsidP="005C056F">
      <w:pPr>
        <w:rPr>
          <w:rFonts w:cs="Arial"/>
        </w:rPr>
      </w:pPr>
      <w:r w:rsidRPr="00B40556">
        <w:rPr>
          <w:rFonts w:cs="Arial"/>
        </w:rPr>
        <w:t>The decision rule is defined as follows:</w:t>
      </w:r>
    </w:p>
    <w:p w:rsidR="005C056F" w:rsidRPr="00B40556" w:rsidRDefault="005C056F" w:rsidP="005C056F">
      <w:pPr>
        <w:rPr>
          <w:rFonts w:cs="Arial"/>
        </w:rPr>
      </w:pPr>
    </w:p>
    <w:p w:rsidR="005C056F" w:rsidRPr="00B40556" w:rsidRDefault="005C056F" w:rsidP="005C056F">
      <w:pPr>
        <w:ind w:left="709" w:right="567"/>
        <w:rPr>
          <w:rFonts w:cs="Arial"/>
        </w:rPr>
      </w:pPr>
      <w:r w:rsidRPr="00B40556">
        <w:rPr>
          <w:rFonts w:cs="Arial"/>
        </w:rPr>
        <w:t>A variety is considered to be within the uniformity standard in a given growing cycle if the number of off-types in all samples does not exceed the number of allowed off-types in either of the samples.</w:t>
      </w:r>
    </w:p>
    <w:p w:rsidR="005C056F" w:rsidRPr="00B40556" w:rsidRDefault="005C056F" w:rsidP="005C056F">
      <w:pPr>
        <w:ind w:left="709" w:right="567"/>
        <w:rPr>
          <w:rFonts w:cs="Arial"/>
        </w:rPr>
      </w:pPr>
    </w:p>
    <w:p w:rsidR="005C056F" w:rsidRPr="00B40556" w:rsidRDefault="005C056F" w:rsidP="005C056F">
      <w:pPr>
        <w:ind w:left="709" w:right="567"/>
        <w:rPr>
          <w:rFonts w:cs="Arial"/>
        </w:rPr>
      </w:pPr>
      <w:r w:rsidRPr="00B40556">
        <w:rPr>
          <w:rFonts w:cs="Arial"/>
        </w:rPr>
        <w:t>A variety is considered to be uniform if it is within the uniformity standard in both of the two growing cycles.</w:t>
      </w:r>
    </w:p>
    <w:p w:rsidR="005C056F" w:rsidRDefault="005C056F" w:rsidP="005C056F">
      <w:pPr>
        <w:ind w:left="709" w:right="567"/>
        <w:jc w:val="left"/>
        <w:rPr>
          <w:rFonts w:cs="Arial"/>
        </w:rPr>
      </w:pPr>
      <w:r>
        <w:rPr>
          <w:rFonts w:cs="Arial"/>
        </w:rPr>
        <w:br w:type="page"/>
      </w:r>
    </w:p>
    <w:p w:rsidR="005C056F" w:rsidRPr="00B40556" w:rsidRDefault="005C056F" w:rsidP="005C056F">
      <w:pPr>
        <w:ind w:left="709" w:right="567"/>
        <w:rPr>
          <w:rFonts w:cs="Arial"/>
        </w:rPr>
      </w:pPr>
      <w:r w:rsidRPr="00B40556">
        <w:rPr>
          <w:rFonts w:cs="Arial"/>
        </w:rPr>
        <w:lastRenderedPageBreak/>
        <w:t>If at the end of two growing cycles the variety is within the uniformity standard in one cycle but not in the other cycle, the test will be continued for a third growing cycle. If at the end of the third growing cycle the variety is within the uniformity standard, the variety is considered to be uniform. If at the end of the third growing cycle the variety fails to meet the uniformity standard, the variety is considered to be non-uniform.</w:t>
      </w:r>
    </w:p>
    <w:p w:rsidR="005C056F" w:rsidRPr="00B40556" w:rsidRDefault="005C056F" w:rsidP="005C056F">
      <w:pPr>
        <w:rPr>
          <w:rFonts w:cs="Arial"/>
        </w:rPr>
      </w:pPr>
    </w:p>
    <w:p w:rsidR="005C056F" w:rsidRPr="00B40556" w:rsidRDefault="005C056F" w:rsidP="005C056F">
      <w:pPr>
        <w:rPr>
          <w:rFonts w:cs="Arial"/>
        </w:rPr>
      </w:pPr>
    </w:p>
    <w:p w:rsidR="005C056F" w:rsidRPr="00B40556" w:rsidRDefault="005C056F" w:rsidP="005C056F">
      <w:pPr>
        <w:rPr>
          <w:rFonts w:cs="Arial"/>
        </w:rPr>
      </w:pPr>
      <w:r w:rsidRPr="00B40556">
        <w:rPr>
          <w:rFonts w:cs="Arial"/>
        </w:rPr>
        <w:t xml:space="preserve">This so-called stepwise approach can be used for a number of characteristics in each growing cycle in which the steps are represented by the samples (20 plants or 20 + 80 plants).  </w:t>
      </w:r>
    </w:p>
    <w:p w:rsidR="005C056F" w:rsidRPr="00B40556" w:rsidRDefault="005C056F" w:rsidP="005C056F">
      <w:pPr>
        <w:rPr>
          <w:rFonts w:cs="Arial"/>
        </w:rPr>
      </w:pPr>
    </w:p>
    <w:p w:rsidR="005C056F" w:rsidRPr="00B40556" w:rsidRDefault="005C056F" w:rsidP="005C056F">
      <w:pPr>
        <w:rPr>
          <w:rFonts w:cs="Arial"/>
        </w:rPr>
      </w:pPr>
      <w:r w:rsidRPr="00B40556">
        <w:rPr>
          <w:rFonts w:cs="Arial"/>
        </w:rPr>
        <w:t>In order to compare different tests and decision rules it is useful to compare appropriate type-I and type-II errors. Basic ideas were described by experts from France in document TWC/13/17 “Sequential analysis”.</w:t>
      </w:r>
    </w:p>
    <w:p w:rsidR="005C056F" w:rsidRPr="00B40556" w:rsidRDefault="005C056F" w:rsidP="005C056F">
      <w:pPr>
        <w:rPr>
          <w:rFonts w:cs="Arial"/>
        </w:rPr>
      </w:pPr>
    </w:p>
    <w:p w:rsidR="005C056F" w:rsidRPr="00B40556" w:rsidRDefault="005C056F" w:rsidP="005C056F">
      <w:pPr>
        <w:rPr>
          <w:rFonts w:cs="Arial"/>
        </w:rPr>
      </w:pPr>
      <w:r w:rsidRPr="00B40556">
        <w:rPr>
          <w:rFonts w:cs="Arial"/>
        </w:rPr>
        <w:t>It should be reminded that a decision for uniformity of a variety has always a so-called type-II error (acceptance of null hypothesis) whereas a decision for non-uniformity of a variety has a so-called type-I error (rejection of null hypothesis).</w:t>
      </w:r>
      <w:r w:rsidRPr="00B40556" w:rsidDel="002E0C26">
        <w:rPr>
          <w:rFonts w:cs="Arial"/>
        </w:rPr>
        <w:t xml:space="preserve"> </w:t>
      </w:r>
      <w:r w:rsidRPr="00B40556">
        <w:rPr>
          <w:rFonts w:cs="Arial"/>
        </w:rPr>
        <w:t>The following applies for the described cereal example:</w:t>
      </w:r>
    </w:p>
    <w:p w:rsidR="005C056F" w:rsidRPr="00B40556" w:rsidRDefault="005C056F" w:rsidP="005C056F">
      <w:pPr>
        <w:rPr>
          <w:rFonts w:cs="Arial"/>
        </w:rPr>
      </w:pPr>
    </w:p>
    <w:p w:rsidR="005C056F" w:rsidRPr="00B40556" w:rsidRDefault="005C056F" w:rsidP="005C056F">
      <w:pPr>
        <w:rPr>
          <w:rFonts w:cs="Arial"/>
        </w:rPr>
      </w:pPr>
      <w:r w:rsidRPr="00B40556">
        <w:rPr>
          <w:rFonts w:cs="Arial"/>
        </w:rPr>
        <w:t>It is assumed that the population standard is 1% and the acceptance probability is 95%. The number of allowed off-types within 100 plants is 3. All risks are evaluated on the basis of the binomial distribution. To compute the type-II error the population standard for the non-uniform varieties is assumed to be 2% (two times 1%).</w:t>
      </w:r>
    </w:p>
    <w:p w:rsidR="005C056F" w:rsidRPr="00B40556" w:rsidRDefault="005C056F" w:rsidP="005C056F">
      <w:pPr>
        <w:rPr>
          <w:rFonts w:cs="Arial"/>
        </w:rPr>
      </w:pPr>
    </w:p>
    <w:p w:rsidR="005C056F" w:rsidRPr="00B40556" w:rsidRDefault="005C056F" w:rsidP="005C056F">
      <w:pPr>
        <w:rPr>
          <w:rFonts w:cs="Arial"/>
        </w:rPr>
      </w:pPr>
      <w:r w:rsidRPr="00B40556">
        <w:rPr>
          <w:rFonts w:cs="Arial"/>
        </w:rPr>
        <w:t>For 20 plants the number of allowed off-types is normally 1. However, for 20 plants in the first step of the two-step procedure (see above) it is defined that no off-type is allowed. If we have 20 plants in the first step and no off-type the type-II error (beta risk) is 66.8%. This is high but comparable with 2 off-types in 100 plants. In this case the type-II error is 67.7%.</w:t>
      </w:r>
    </w:p>
    <w:p w:rsidR="005C056F" w:rsidRPr="00B40556" w:rsidRDefault="005C056F" w:rsidP="005C056F">
      <w:pPr>
        <w:rPr>
          <w:rFonts w:cs="Arial"/>
        </w:rPr>
      </w:pPr>
    </w:p>
    <w:p w:rsidR="005C056F" w:rsidRPr="00B40556" w:rsidRDefault="005C056F" w:rsidP="005C056F">
      <w:pPr>
        <w:rPr>
          <w:rFonts w:cs="Arial"/>
        </w:rPr>
      </w:pPr>
      <w:r w:rsidRPr="00B40556">
        <w:rPr>
          <w:rFonts w:cs="Arial"/>
        </w:rPr>
        <w:t>Looking on the type-I error, the actual error is 1.7 % in case of 20 plants and 1 off- type, and 1.8 % in case of 3 off-types in 100 plants. A decision on the basis of a sample of 20 plants is only taken if there are no off-types which represents a smaller error than the decision taken on 100 plants.</w:t>
      </w:r>
    </w:p>
    <w:p w:rsidR="005C056F" w:rsidRPr="00B40556" w:rsidRDefault="005C056F" w:rsidP="005C056F">
      <w:pPr>
        <w:rPr>
          <w:rFonts w:cs="Arial"/>
        </w:rPr>
      </w:pPr>
    </w:p>
    <w:p w:rsidR="005C056F" w:rsidRPr="00B40556" w:rsidRDefault="005C056F" w:rsidP="005C056F">
      <w:pPr>
        <w:rPr>
          <w:rFonts w:cs="Arial"/>
        </w:rPr>
      </w:pPr>
      <w:r w:rsidRPr="00B40556">
        <w:rPr>
          <w:rFonts w:cs="Arial"/>
        </w:rPr>
        <w:t xml:space="preserve">In case of 20 plants in the first step and more than 3 off-types the type-I error (alpha risk) is almost zero. It is very small and smaller than in case of more than 3 off-types in 100 plants. In this case the type-I error (alpha risk) is 0.3 %. </w:t>
      </w:r>
    </w:p>
    <w:p w:rsidR="005C056F" w:rsidRPr="00B40556" w:rsidRDefault="005C056F" w:rsidP="005C056F">
      <w:pPr>
        <w:rPr>
          <w:rFonts w:cs="Arial"/>
        </w:rPr>
      </w:pPr>
    </w:p>
    <w:p w:rsidR="005C056F" w:rsidRPr="00B40556" w:rsidRDefault="005C056F" w:rsidP="005C056F">
      <w:pPr>
        <w:rPr>
          <w:rFonts w:cs="Arial"/>
        </w:rPr>
      </w:pPr>
      <w:r w:rsidRPr="00B40556">
        <w:rPr>
          <w:rFonts w:cs="Arial"/>
        </w:rPr>
        <w:t>If in the first step there are 1, 2 or 3 off-types in 20 plants the next 80 plants are assessed and the decision is taken on the basis of 100 plants. In that case the type-I and type-II errors have to be evaluated using special formulas or using the software from France (</w:t>
      </w:r>
      <w:hyperlink r:id="rId18" w:history="1">
        <w:r w:rsidRPr="00B40556">
          <w:rPr>
            <w:rStyle w:val="Hyperlink"/>
            <w:rFonts w:cs="Arial"/>
          </w:rPr>
          <w:t>http://www.seedtest.org/en/stats_tool_box_content---1--1143.html</w:t>
        </w:r>
      </w:hyperlink>
      <w:r w:rsidRPr="00B40556">
        <w:rPr>
          <w:rFonts w:cs="Arial"/>
        </w:rPr>
        <w:t xml:space="preserve"> ). </w:t>
      </w:r>
    </w:p>
    <w:p w:rsidR="005C056F" w:rsidRPr="00B40556" w:rsidRDefault="005C056F" w:rsidP="005C056F">
      <w:pPr>
        <w:rPr>
          <w:rFonts w:cs="Arial"/>
        </w:rPr>
      </w:pPr>
    </w:p>
    <w:p w:rsidR="005C056F" w:rsidRPr="00B40556" w:rsidRDefault="005C056F" w:rsidP="005C056F">
      <w:pPr>
        <w:rPr>
          <w:rFonts w:cs="Arial"/>
        </w:rPr>
      </w:pPr>
      <w:r w:rsidRPr="00B40556">
        <w:rPr>
          <w:rFonts w:cs="Arial"/>
        </w:rPr>
        <w:t>So it is possible to compare all the other situations.</w:t>
      </w:r>
    </w:p>
    <w:p w:rsidR="005C056F" w:rsidRPr="00B40556" w:rsidRDefault="005C056F" w:rsidP="005C056F">
      <w:pPr>
        <w:rPr>
          <w:rFonts w:cs="Arial"/>
        </w:rPr>
      </w:pPr>
    </w:p>
    <w:p w:rsidR="005C056F" w:rsidRPr="00B40556" w:rsidRDefault="005C056F" w:rsidP="005C056F">
      <w:pPr>
        <w:rPr>
          <w:rFonts w:cs="Arial"/>
        </w:rPr>
      </w:pPr>
      <w:r w:rsidRPr="00B40556">
        <w:rPr>
          <w:rFonts w:cs="Arial"/>
        </w:rPr>
        <w:t>The open question is: Do we need a statement regarding to the different types of errors for each decision or do we need a statement over all decisions. This should be discussed with statistical experts.</w:t>
      </w:r>
    </w:p>
    <w:p w:rsidR="005C056F" w:rsidRPr="00B40556" w:rsidRDefault="005C056F" w:rsidP="005C056F">
      <w:pPr>
        <w:rPr>
          <w:rFonts w:cs="Arial"/>
        </w:rPr>
      </w:pPr>
      <w:r w:rsidRPr="00B40556">
        <w:rPr>
          <w:rFonts w:cs="Arial"/>
        </w:rPr>
        <w:t>Because of underlying nonlinear formulas there are no general rules for all practical cases usable in DUS tests.</w:t>
      </w:r>
    </w:p>
    <w:p w:rsidR="005C056F" w:rsidRPr="0048474A" w:rsidRDefault="005C056F" w:rsidP="005C056F">
      <w:pPr>
        <w:rPr>
          <w:rFonts w:cs="Arial"/>
          <w:sz w:val="22"/>
          <w:szCs w:val="22"/>
        </w:rPr>
      </w:pPr>
    </w:p>
    <w:p w:rsidR="005C056F" w:rsidRPr="00C5280D" w:rsidRDefault="005C056F" w:rsidP="005C056F"/>
    <w:p w:rsidR="005C056F" w:rsidRDefault="005C056F" w:rsidP="005C056F">
      <w:pPr>
        <w:pStyle w:val="endofdoc"/>
        <w:rPr>
          <w:snapToGrid w:val="0"/>
        </w:rPr>
      </w:pPr>
      <w:r>
        <w:rPr>
          <w:snapToGrid w:val="0"/>
        </w:rPr>
        <w:t>[End of Annex V and of document]</w:t>
      </w:r>
    </w:p>
    <w:p w:rsidR="006B17D2" w:rsidRPr="00C5280D" w:rsidRDefault="006B17D2" w:rsidP="005C056F">
      <w:pPr>
        <w:pStyle w:val="Titleofdoc0"/>
      </w:pPr>
    </w:p>
    <w:sectPr w:rsidR="006B17D2" w:rsidRPr="00C5280D" w:rsidSect="005C056F">
      <w:headerReference w:type="default" r:id="rId19"/>
      <w:headerReference w:type="first" r:id="rId20"/>
      <w:foot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1F" w:rsidRDefault="0060271F" w:rsidP="006655D3">
      <w:r>
        <w:separator/>
      </w:r>
    </w:p>
    <w:p w:rsidR="0060271F" w:rsidRDefault="0060271F" w:rsidP="006655D3"/>
    <w:p w:rsidR="0060271F" w:rsidRDefault="0060271F" w:rsidP="006655D3"/>
  </w:endnote>
  <w:endnote w:type="continuationSeparator" w:id="0">
    <w:p w:rsidR="0060271F" w:rsidRDefault="0060271F" w:rsidP="006655D3">
      <w:r>
        <w:separator/>
      </w:r>
    </w:p>
    <w:p w:rsidR="0060271F" w:rsidRPr="00311399" w:rsidRDefault="0060271F">
      <w:pPr>
        <w:pStyle w:val="Footer"/>
        <w:spacing w:after="60"/>
        <w:rPr>
          <w:sz w:val="18"/>
          <w:lang w:val="fr-CH"/>
        </w:rPr>
      </w:pPr>
      <w:r w:rsidRPr="00311399">
        <w:rPr>
          <w:sz w:val="18"/>
          <w:lang w:val="fr-CH"/>
        </w:rPr>
        <w:t>[Suite de la note de la page précédente]</w:t>
      </w:r>
    </w:p>
    <w:p w:rsidR="0060271F" w:rsidRPr="00311399" w:rsidRDefault="0060271F" w:rsidP="006655D3">
      <w:pPr>
        <w:rPr>
          <w:lang w:val="fr-CH"/>
        </w:rPr>
      </w:pPr>
    </w:p>
    <w:p w:rsidR="0060271F" w:rsidRPr="00311399" w:rsidRDefault="0060271F" w:rsidP="006655D3">
      <w:pPr>
        <w:rPr>
          <w:lang w:val="fr-CH"/>
        </w:rPr>
      </w:pPr>
    </w:p>
  </w:endnote>
  <w:endnote w:type="continuationNotice" w:id="1">
    <w:p w:rsidR="0060271F" w:rsidRPr="00311399" w:rsidRDefault="0060271F" w:rsidP="006655D3">
      <w:pPr>
        <w:rPr>
          <w:lang w:val="fr-CH"/>
        </w:rPr>
      </w:pPr>
      <w:r w:rsidRPr="00311399">
        <w:rPr>
          <w:lang w:val="fr-CH"/>
        </w:rPr>
        <w:t>[Suite de la note page suivante]</w:t>
      </w:r>
    </w:p>
    <w:p w:rsidR="0060271F" w:rsidRPr="00311399" w:rsidRDefault="0060271F" w:rsidP="006655D3">
      <w:pPr>
        <w:rPr>
          <w:lang w:val="fr-CH"/>
        </w:rPr>
      </w:pPr>
    </w:p>
    <w:p w:rsidR="0060271F" w:rsidRPr="00311399" w:rsidRDefault="0060271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AE0EF1" w:rsidRDefault="00602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9E38FD" w:rsidRDefault="0060271F" w:rsidP="009E3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1F" w:rsidRDefault="0060271F" w:rsidP="006655D3">
      <w:r>
        <w:separator/>
      </w:r>
    </w:p>
  </w:footnote>
  <w:footnote w:type="continuationSeparator" w:id="0">
    <w:p w:rsidR="0060271F" w:rsidRDefault="0060271F" w:rsidP="006655D3">
      <w:r>
        <w:separator/>
      </w:r>
    </w:p>
    <w:p w:rsidR="0060271F" w:rsidRPr="00311399" w:rsidRDefault="0060271F">
      <w:pPr>
        <w:pStyle w:val="Footer"/>
        <w:spacing w:after="60"/>
        <w:rPr>
          <w:sz w:val="18"/>
          <w:lang w:val="fr-CH"/>
        </w:rPr>
      </w:pPr>
      <w:r w:rsidRPr="00311399">
        <w:rPr>
          <w:sz w:val="18"/>
          <w:lang w:val="fr-CH"/>
        </w:rPr>
        <w:t>[Suite de la note de la page précédente]</w:t>
      </w:r>
    </w:p>
    <w:p w:rsidR="0060271F" w:rsidRPr="00311399" w:rsidRDefault="0060271F" w:rsidP="006655D3">
      <w:pPr>
        <w:rPr>
          <w:lang w:val="fr-CH"/>
        </w:rPr>
      </w:pPr>
    </w:p>
    <w:p w:rsidR="0060271F" w:rsidRPr="00311399" w:rsidRDefault="0060271F" w:rsidP="006655D3">
      <w:pPr>
        <w:rPr>
          <w:lang w:val="fr-CH"/>
        </w:rPr>
      </w:pPr>
    </w:p>
    <w:p w:rsidR="0060271F" w:rsidRPr="00311399" w:rsidRDefault="0060271F" w:rsidP="006655D3">
      <w:pPr>
        <w:rPr>
          <w:lang w:val="fr-CH"/>
        </w:rPr>
      </w:pPr>
    </w:p>
  </w:footnote>
  <w:footnote w:type="continuationNotice" w:id="1">
    <w:p w:rsidR="0060271F" w:rsidRPr="00311399" w:rsidRDefault="0060271F" w:rsidP="006655D3">
      <w:pPr>
        <w:rPr>
          <w:lang w:val="fr-CH"/>
        </w:rPr>
      </w:pPr>
      <w:r w:rsidRPr="00311399">
        <w:rPr>
          <w:lang w:val="fr-CH"/>
        </w:rPr>
        <w:t>[Suite de la note page suivante]</w:t>
      </w:r>
    </w:p>
    <w:p w:rsidR="0060271F" w:rsidRPr="00311399" w:rsidRDefault="0060271F" w:rsidP="006655D3">
      <w:pPr>
        <w:rPr>
          <w:lang w:val="fr-CH"/>
        </w:rPr>
      </w:pPr>
    </w:p>
    <w:p w:rsidR="0060271F" w:rsidRPr="00311399" w:rsidRDefault="0060271F"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Default="0060271F" w:rsidP="00EB048E">
    <w:pPr>
      <w:pStyle w:val="Header"/>
    </w:pPr>
    <w:r w:rsidRPr="00C5280D">
      <w:t>TC</w:t>
    </w:r>
    <w:r>
      <w:t>-EDC</w:t>
    </w:r>
    <w:r w:rsidRPr="00C5280D">
      <w:t>/</w:t>
    </w:r>
    <w:proofErr w:type="spellStart"/>
    <w:r>
      <w:t>Jan15</w:t>
    </w:r>
    <w:proofErr w:type="spellEnd"/>
    <w:r w:rsidRPr="00C5280D">
      <w:t>/</w:t>
    </w:r>
    <w:r>
      <w:t>5</w:t>
    </w:r>
  </w:p>
  <w:p w:rsidR="0060271F" w:rsidRPr="00C5280D" w:rsidRDefault="0060271F"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3306">
      <w:rPr>
        <w:rStyle w:val="PageNumber"/>
        <w:noProof/>
      </w:rPr>
      <w:t>5</w:t>
    </w:r>
    <w:r w:rsidRPr="00C5280D">
      <w:rPr>
        <w:rStyle w:val="PageNumber"/>
      </w:rPr>
      <w:fldChar w:fldCharType="end"/>
    </w:r>
  </w:p>
  <w:p w:rsidR="0060271F" w:rsidRDefault="0060271F" w:rsidP="009E38FD">
    <w:pPr>
      <w:tabs>
        <w:tab w:val="left" w:pos="5556"/>
      </w:tabs>
    </w:pPr>
  </w:p>
  <w:p w:rsidR="0060271F" w:rsidRPr="00C5280D" w:rsidRDefault="0060271F" w:rsidP="009E38FD">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C5280D" w:rsidRDefault="0060271F" w:rsidP="00EB048E">
    <w:pPr>
      <w:pStyle w:val="Header"/>
      <w:rPr>
        <w:rStyle w:val="PageNumber"/>
      </w:rPr>
    </w:pPr>
    <w:r>
      <w:rPr>
        <w:rStyle w:val="PageNumber"/>
      </w:rPr>
      <w:t>TWO/47/9</w:t>
    </w:r>
  </w:p>
  <w:p w:rsidR="0060271F" w:rsidRPr="00C5280D" w:rsidRDefault="0060271F" w:rsidP="00EB048E">
    <w:pPr>
      <w:pStyle w:val="Header"/>
    </w:pPr>
    <w:r>
      <w:t>ANNEX III</w:t>
    </w:r>
  </w:p>
  <w:p w:rsidR="0060271F" w:rsidRDefault="0060271F" w:rsidP="009E38FD">
    <w:pPr>
      <w:tabs>
        <w:tab w:val="left" w:pos="5556"/>
      </w:tabs>
    </w:pPr>
    <w:r>
      <w:tab/>
    </w:r>
  </w:p>
  <w:p w:rsidR="0060271F" w:rsidRPr="00C5280D" w:rsidRDefault="0060271F" w:rsidP="009E38FD">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5C056F" w:rsidRDefault="0060271F" w:rsidP="009E38FD">
    <w:pPr>
      <w:pStyle w:val="Header"/>
      <w:rPr>
        <w:rStyle w:val="PageNumber"/>
        <w:lang w:val="en-US"/>
      </w:rPr>
    </w:pPr>
    <w:r w:rsidRPr="005C056F">
      <w:rPr>
        <w:lang w:val="en-US"/>
      </w:rPr>
      <w:t>T</w:t>
    </w:r>
    <w:r w:rsidR="00AC2A51">
      <w:rPr>
        <w:lang w:val="en-US"/>
      </w:rPr>
      <w:t>C-EDC/</w:t>
    </w:r>
    <w:proofErr w:type="spellStart"/>
    <w:r w:rsidR="00AC2A51">
      <w:rPr>
        <w:lang w:val="en-US"/>
      </w:rPr>
      <w:t>Jan15</w:t>
    </w:r>
    <w:proofErr w:type="spellEnd"/>
    <w:r w:rsidR="00AC2A51">
      <w:rPr>
        <w:lang w:val="en-US"/>
      </w:rPr>
      <w:t>/</w:t>
    </w:r>
    <w:r w:rsidRPr="005C056F">
      <w:rPr>
        <w:lang w:val="en-US"/>
      </w:rPr>
      <w:t>5</w:t>
    </w:r>
  </w:p>
  <w:p w:rsidR="0060271F" w:rsidRPr="005C056F" w:rsidRDefault="0060271F" w:rsidP="009E38FD">
    <w:pPr>
      <w:pStyle w:val="Header"/>
      <w:rPr>
        <w:rStyle w:val="PageNumber"/>
        <w:lang w:val="en-US"/>
      </w:rPr>
    </w:pPr>
  </w:p>
  <w:p w:rsidR="0060271F" w:rsidRPr="005C056F" w:rsidRDefault="0060271F" w:rsidP="009E38FD">
    <w:pPr>
      <w:pStyle w:val="Header"/>
      <w:rPr>
        <w:lang w:val="en-US"/>
      </w:rPr>
    </w:pPr>
    <w:r w:rsidRPr="005C056F">
      <w:rPr>
        <w:lang w:val="en-US"/>
      </w:rPr>
      <w:t xml:space="preserve">ANNEX </w:t>
    </w:r>
    <w:r w:rsidR="00AC2A51">
      <w:rPr>
        <w:lang w:val="en-US"/>
      </w:rPr>
      <w:t>I</w:t>
    </w:r>
  </w:p>
  <w:p w:rsidR="0060271F" w:rsidRPr="005C056F" w:rsidRDefault="0060271F" w:rsidP="009E38FD">
    <w:pPr>
      <w:pStyle w:val="Header"/>
      <w:rPr>
        <w:rFonts w:eastAsia="MS Mincho"/>
        <w:lang w:val="en-US"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5C056F" w:rsidRDefault="0060271F" w:rsidP="009E38FD">
    <w:pPr>
      <w:pStyle w:val="Header"/>
      <w:rPr>
        <w:rStyle w:val="PageNumber"/>
        <w:lang w:val="en-US"/>
      </w:rPr>
    </w:pPr>
    <w:r w:rsidRPr="005C056F">
      <w:rPr>
        <w:lang w:val="en-US"/>
      </w:rPr>
      <w:t>TC-EDC/Jan15/25</w:t>
    </w:r>
  </w:p>
  <w:p w:rsidR="0060271F" w:rsidRPr="005C056F" w:rsidRDefault="0060271F" w:rsidP="009E38FD">
    <w:pPr>
      <w:pStyle w:val="Header"/>
      <w:rPr>
        <w:rStyle w:val="PageNumber"/>
        <w:lang w:val="en-US"/>
      </w:rPr>
    </w:pPr>
  </w:p>
  <w:p w:rsidR="0060271F" w:rsidRPr="005C056F" w:rsidRDefault="0060271F" w:rsidP="009E38FD">
    <w:pPr>
      <w:pStyle w:val="Header"/>
      <w:rPr>
        <w:lang w:val="en-US"/>
      </w:rPr>
    </w:pPr>
    <w:r w:rsidRPr="005C056F">
      <w:rPr>
        <w:lang w:val="en-US"/>
      </w:rPr>
      <w:t>ANNEX II</w:t>
    </w:r>
  </w:p>
  <w:p w:rsidR="0060271F" w:rsidRPr="005C056F" w:rsidRDefault="0060271F" w:rsidP="009E38FD">
    <w:pPr>
      <w:pStyle w:val="Header"/>
      <w:rPr>
        <w:rFonts w:eastAsia="MS Mincho"/>
        <w:lang w:val="en-US" w:eastAsia="ja-JP"/>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5C056F" w:rsidRDefault="0060271F" w:rsidP="009E38FD">
    <w:pPr>
      <w:pStyle w:val="Header"/>
      <w:rPr>
        <w:rStyle w:val="PageNumber"/>
        <w:lang w:val="en-US"/>
      </w:rPr>
    </w:pPr>
    <w:r w:rsidRPr="005C056F">
      <w:rPr>
        <w:lang w:val="en-US"/>
      </w:rPr>
      <w:t>TC-EDC/Jan15/25</w:t>
    </w:r>
  </w:p>
  <w:p w:rsidR="0060271F" w:rsidRPr="005C056F" w:rsidRDefault="0060271F" w:rsidP="009E38FD">
    <w:pPr>
      <w:pStyle w:val="Header"/>
      <w:rPr>
        <w:rStyle w:val="PageNumber"/>
        <w:lang w:val="en-US"/>
      </w:rPr>
    </w:pPr>
  </w:p>
  <w:p w:rsidR="0060271F" w:rsidRPr="005C056F" w:rsidRDefault="0060271F" w:rsidP="009E38FD">
    <w:pPr>
      <w:pStyle w:val="Header"/>
      <w:rPr>
        <w:lang w:val="en-US"/>
      </w:rPr>
    </w:pPr>
    <w:r w:rsidRPr="005C056F">
      <w:rPr>
        <w:lang w:val="en-US"/>
      </w:rPr>
      <w:t>ANNEX III</w:t>
    </w:r>
  </w:p>
  <w:p w:rsidR="0060271F" w:rsidRPr="005C056F" w:rsidRDefault="0060271F" w:rsidP="009E38FD">
    <w:pPr>
      <w:pStyle w:val="Header"/>
      <w:rPr>
        <w:rFonts w:eastAsia="MS Mincho"/>
        <w:lang w:val="en-US"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832298" w:rsidRDefault="0060271F" w:rsidP="009E38FD">
    <w:pPr>
      <w:pStyle w:val="Header"/>
    </w:pPr>
    <w:r w:rsidRPr="00832298">
      <w:t>T</w:t>
    </w:r>
    <w:r>
      <w:t>WO/47</w:t>
    </w:r>
    <w:r w:rsidRPr="00832298">
      <w:t>/</w:t>
    </w:r>
    <w:r>
      <w:t>9</w:t>
    </w:r>
  </w:p>
  <w:p w:rsidR="0060271F" w:rsidRPr="00C5280D" w:rsidRDefault="0060271F"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46691">
      <w:rPr>
        <w:noProof/>
      </w:rPr>
      <w:t>5</w:t>
    </w:r>
    <w:r w:rsidRPr="00832298">
      <w:fldChar w:fldCharType="end"/>
    </w:r>
  </w:p>
  <w:p w:rsidR="0060271F" w:rsidRPr="00C5280D" w:rsidRDefault="0060271F" w:rsidP="009E38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5C056F" w:rsidRDefault="0060271F" w:rsidP="009E38FD">
    <w:pPr>
      <w:pStyle w:val="Header"/>
      <w:rPr>
        <w:rStyle w:val="PageNumber"/>
        <w:lang w:val="en-US"/>
      </w:rPr>
    </w:pPr>
    <w:r w:rsidRPr="005C056F">
      <w:rPr>
        <w:lang w:val="en-US"/>
      </w:rPr>
      <w:t>TC-EDC/Jan15/25</w:t>
    </w:r>
  </w:p>
  <w:p w:rsidR="0060271F" w:rsidRPr="005C056F" w:rsidRDefault="0060271F" w:rsidP="009E38FD">
    <w:pPr>
      <w:pStyle w:val="Header"/>
      <w:rPr>
        <w:lang w:val="en-US"/>
      </w:rPr>
    </w:pPr>
  </w:p>
  <w:p w:rsidR="0060271F" w:rsidRPr="005C056F" w:rsidRDefault="0060271F" w:rsidP="009E38FD">
    <w:pPr>
      <w:pStyle w:val="Header"/>
      <w:rPr>
        <w:lang w:val="en-US"/>
      </w:rPr>
    </w:pPr>
    <w:r w:rsidRPr="005C056F">
      <w:rPr>
        <w:lang w:val="en-US"/>
      </w:rPr>
      <w:t>ANNEX IV</w:t>
    </w:r>
  </w:p>
  <w:p w:rsidR="0060271F" w:rsidRPr="005C056F" w:rsidRDefault="0060271F">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C5280D" w:rsidRDefault="0060271F"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25</w:t>
    </w:r>
  </w:p>
  <w:p w:rsidR="0060271F" w:rsidRPr="00C5280D" w:rsidRDefault="0060271F"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3306">
      <w:rPr>
        <w:rStyle w:val="PageNumber"/>
        <w:noProof/>
        <w:lang w:val="en-US"/>
      </w:rPr>
      <w:t>2</w:t>
    </w:r>
    <w:r w:rsidRPr="00C5280D">
      <w:rPr>
        <w:rStyle w:val="PageNumber"/>
        <w:lang w:val="en-US"/>
      </w:rPr>
      <w:fldChar w:fldCharType="end"/>
    </w:r>
  </w:p>
  <w:p w:rsidR="0060271F" w:rsidRPr="00C5280D" w:rsidRDefault="0060271F"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1F" w:rsidRPr="005C056F" w:rsidRDefault="0060271F" w:rsidP="009E38FD">
    <w:pPr>
      <w:pStyle w:val="Header"/>
      <w:rPr>
        <w:rStyle w:val="PageNumber"/>
        <w:lang w:val="en-US"/>
      </w:rPr>
    </w:pPr>
    <w:r w:rsidRPr="005C056F">
      <w:rPr>
        <w:lang w:val="en-US"/>
      </w:rPr>
      <w:t>TC-EDC/Jan15/25</w:t>
    </w:r>
  </w:p>
  <w:p w:rsidR="0060271F" w:rsidRPr="005C056F" w:rsidRDefault="0060271F" w:rsidP="009E38FD">
    <w:pPr>
      <w:pStyle w:val="Header"/>
      <w:rPr>
        <w:lang w:val="en-US"/>
      </w:rPr>
    </w:pPr>
  </w:p>
  <w:p w:rsidR="0060271F" w:rsidRPr="005C056F" w:rsidRDefault="0060271F" w:rsidP="009E38FD">
    <w:pPr>
      <w:pStyle w:val="Header"/>
      <w:rPr>
        <w:lang w:val="en-US"/>
      </w:rPr>
    </w:pPr>
    <w:r w:rsidRPr="005C056F">
      <w:rPr>
        <w:lang w:val="en-US"/>
      </w:rPr>
      <w:t>ANNEX V</w:t>
    </w:r>
  </w:p>
  <w:p w:rsidR="0060271F" w:rsidRPr="005C056F" w:rsidRDefault="0060271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91"/>
    <w:rsid w:val="00010CF3"/>
    <w:rsid w:val="00011E27"/>
    <w:rsid w:val="000148BC"/>
    <w:rsid w:val="00024AB8"/>
    <w:rsid w:val="00030854"/>
    <w:rsid w:val="00036028"/>
    <w:rsid w:val="00044642"/>
    <w:rsid w:val="000446B9"/>
    <w:rsid w:val="00047E21"/>
    <w:rsid w:val="00083EE0"/>
    <w:rsid w:val="00085505"/>
    <w:rsid w:val="000A3E66"/>
    <w:rsid w:val="000C7021"/>
    <w:rsid w:val="000D6BBC"/>
    <w:rsid w:val="000D7780"/>
    <w:rsid w:val="00105127"/>
    <w:rsid w:val="00105929"/>
    <w:rsid w:val="001131D5"/>
    <w:rsid w:val="00125EFC"/>
    <w:rsid w:val="00141DB8"/>
    <w:rsid w:val="0017474A"/>
    <w:rsid w:val="001758C6"/>
    <w:rsid w:val="00182B99"/>
    <w:rsid w:val="001E30F9"/>
    <w:rsid w:val="0021332C"/>
    <w:rsid w:val="00213982"/>
    <w:rsid w:val="00234D5D"/>
    <w:rsid w:val="00235D1F"/>
    <w:rsid w:val="0024416D"/>
    <w:rsid w:val="00246691"/>
    <w:rsid w:val="00246F79"/>
    <w:rsid w:val="00266165"/>
    <w:rsid w:val="00266B39"/>
    <w:rsid w:val="0026748A"/>
    <w:rsid w:val="002800A0"/>
    <w:rsid w:val="002801B3"/>
    <w:rsid w:val="00281060"/>
    <w:rsid w:val="002940E8"/>
    <w:rsid w:val="002A6E50"/>
    <w:rsid w:val="002B1964"/>
    <w:rsid w:val="002C256A"/>
    <w:rsid w:val="00305A7F"/>
    <w:rsid w:val="00311399"/>
    <w:rsid w:val="003152FE"/>
    <w:rsid w:val="00327436"/>
    <w:rsid w:val="00344BD6"/>
    <w:rsid w:val="0035528D"/>
    <w:rsid w:val="00361821"/>
    <w:rsid w:val="003D227C"/>
    <w:rsid w:val="003D2B4D"/>
    <w:rsid w:val="003E2D0A"/>
    <w:rsid w:val="00444A88"/>
    <w:rsid w:val="00450A30"/>
    <w:rsid w:val="00450FEE"/>
    <w:rsid w:val="00453306"/>
    <w:rsid w:val="00474DA4"/>
    <w:rsid w:val="00476B4D"/>
    <w:rsid w:val="004805FA"/>
    <w:rsid w:val="004D047D"/>
    <w:rsid w:val="004D3B68"/>
    <w:rsid w:val="004F305A"/>
    <w:rsid w:val="00512164"/>
    <w:rsid w:val="00520297"/>
    <w:rsid w:val="005338F9"/>
    <w:rsid w:val="0054281C"/>
    <w:rsid w:val="0055268D"/>
    <w:rsid w:val="00562F9D"/>
    <w:rsid w:val="0056487C"/>
    <w:rsid w:val="00576BE4"/>
    <w:rsid w:val="005A400A"/>
    <w:rsid w:val="005C056F"/>
    <w:rsid w:val="005D7A1E"/>
    <w:rsid w:val="0060271F"/>
    <w:rsid w:val="00612379"/>
    <w:rsid w:val="0061555F"/>
    <w:rsid w:val="00641200"/>
    <w:rsid w:val="006655D3"/>
    <w:rsid w:val="006872B1"/>
    <w:rsid w:val="00687EB4"/>
    <w:rsid w:val="006B17D2"/>
    <w:rsid w:val="006C224E"/>
    <w:rsid w:val="006D1365"/>
    <w:rsid w:val="006D780A"/>
    <w:rsid w:val="006F25B6"/>
    <w:rsid w:val="00732DEC"/>
    <w:rsid w:val="00735BD5"/>
    <w:rsid w:val="007556F6"/>
    <w:rsid w:val="00760EEF"/>
    <w:rsid w:val="007738E2"/>
    <w:rsid w:val="00777EE5"/>
    <w:rsid w:val="00784836"/>
    <w:rsid w:val="0078600C"/>
    <w:rsid w:val="0079023E"/>
    <w:rsid w:val="007A2854"/>
    <w:rsid w:val="007B695E"/>
    <w:rsid w:val="007D0B9D"/>
    <w:rsid w:val="007D19B0"/>
    <w:rsid w:val="007F498F"/>
    <w:rsid w:val="0080679D"/>
    <w:rsid w:val="008108B0"/>
    <w:rsid w:val="00811B20"/>
    <w:rsid w:val="0082296E"/>
    <w:rsid w:val="00824099"/>
    <w:rsid w:val="008241D0"/>
    <w:rsid w:val="00851E13"/>
    <w:rsid w:val="00867AC1"/>
    <w:rsid w:val="008A743F"/>
    <w:rsid w:val="008C0970"/>
    <w:rsid w:val="008D2CF7"/>
    <w:rsid w:val="00900C26"/>
    <w:rsid w:val="0090197F"/>
    <w:rsid w:val="00906DDC"/>
    <w:rsid w:val="00926AB3"/>
    <w:rsid w:val="00934E09"/>
    <w:rsid w:val="00936253"/>
    <w:rsid w:val="00952DD4"/>
    <w:rsid w:val="00970FED"/>
    <w:rsid w:val="00997029"/>
    <w:rsid w:val="009A0C21"/>
    <w:rsid w:val="009D690D"/>
    <w:rsid w:val="009E1971"/>
    <w:rsid w:val="009E38FD"/>
    <w:rsid w:val="009E4D91"/>
    <w:rsid w:val="009E65B6"/>
    <w:rsid w:val="00A42AC3"/>
    <w:rsid w:val="00A430CF"/>
    <w:rsid w:val="00A54309"/>
    <w:rsid w:val="00A63CBC"/>
    <w:rsid w:val="00A67DE6"/>
    <w:rsid w:val="00A96AB2"/>
    <w:rsid w:val="00AB2B93"/>
    <w:rsid w:val="00AB7E5B"/>
    <w:rsid w:val="00AC2A51"/>
    <w:rsid w:val="00AE0EF1"/>
    <w:rsid w:val="00AE2937"/>
    <w:rsid w:val="00AF0479"/>
    <w:rsid w:val="00AF4F80"/>
    <w:rsid w:val="00B07301"/>
    <w:rsid w:val="00B224DE"/>
    <w:rsid w:val="00B27506"/>
    <w:rsid w:val="00B46575"/>
    <w:rsid w:val="00B84BBD"/>
    <w:rsid w:val="00BA43FB"/>
    <w:rsid w:val="00BA4717"/>
    <w:rsid w:val="00BC127D"/>
    <w:rsid w:val="00BC1FE6"/>
    <w:rsid w:val="00C01157"/>
    <w:rsid w:val="00C061B6"/>
    <w:rsid w:val="00C21C04"/>
    <w:rsid w:val="00C2446C"/>
    <w:rsid w:val="00C36AE5"/>
    <w:rsid w:val="00C41F17"/>
    <w:rsid w:val="00C5280D"/>
    <w:rsid w:val="00C5791C"/>
    <w:rsid w:val="00C66290"/>
    <w:rsid w:val="00C72B7A"/>
    <w:rsid w:val="00C973F2"/>
    <w:rsid w:val="00CA304C"/>
    <w:rsid w:val="00CA774A"/>
    <w:rsid w:val="00CC11B0"/>
    <w:rsid w:val="00CE2070"/>
    <w:rsid w:val="00CF7E36"/>
    <w:rsid w:val="00D3708D"/>
    <w:rsid w:val="00D40426"/>
    <w:rsid w:val="00D5220A"/>
    <w:rsid w:val="00D549E4"/>
    <w:rsid w:val="00D57C96"/>
    <w:rsid w:val="00D91203"/>
    <w:rsid w:val="00D95174"/>
    <w:rsid w:val="00DA6F36"/>
    <w:rsid w:val="00DB4588"/>
    <w:rsid w:val="00DB596E"/>
    <w:rsid w:val="00DC00EA"/>
    <w:rsid w:val="00E01807"/>
    <w:rsid w:val="00E32F7E"/>
    <w:rsid w:val="00E72D49"/>
    <w:rsid w:val="00E7593C"/>
    <w:rsid w:val="00E7678A"/>
    <w:rsid w:val="00E935F1"/>
    <w:rsid w:val="00E94A81"/>
    <w:rsid w:val="00EA1FFB"/>
    <w:rsid w:val="00EB048E"/>
    <w:rsid w:val="00ED5B06"/>
    <w:rsid w:val="00EE34DF"/>
    <w:rsid w:val="00EF2F89"/>
    <w:rsid w:val="00F1237A"/>
    <w:rsid w:val="00F22CBD"/>
    <w:rsid w:val="00F45372"/>
    <w:rsid w:val="00F560F7"/>
    <w:rsid w:val="00F60B55"/>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60271F"/>
    <w:pPr>
      <w:jc w:val="both"/>
      <w:outlineLvl w:val="1"/>
    </w:pPr>
    <w:rPr>
      <w:rFonts w:ascii="Arial" w:eastAsia="MS Mincho" w:hAnsi="Arial"/>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9E4D91"/>
    <w:rPr>
      <w:rFonts w:ascii="Tahoma" w:hAnsi="Tahoma" w:cs="Tahoma"/>
      <w:sz w:val="16"/>
      <w:szCs w:val="16"/>
    </w:rPr>
  </w:style>
  <w:style w:type="character" w:customStyle="1" w:styleId="BalloonTextChar">
    <w:name w:val="Balloon Text Char"/>
    <w:basedOn w:val="DefaultParagraphFont"/>
    <w:link w:val="BalloonText"/>
    <w:rsid w:val="009E4D91"/>
    <w:rPr>
      <w:rFonts w:ascii="Tahoma" w:hAnsi="Tahoma" w:cs="Tahoma"/>
      <w:sz w:val="16"/>
      <w:szCs w:val="16"/>
    </w:rPr>
  </w:style>
  <w:style w:type="paragraph" w:styleId="ListParagraph">
    <w:name w:val="List Paragraph"/>
    <w:basedOn w:val="Normal"/>
    <w:uiPriority w:val="34"/>
    <w:qFormat/>
    <w:rsid w:val="005C056F"/>
    <w:pPr>
      <w:ind w:left="720"/>
      <w:contextualSpacing/>
    </w:pPr>
  </w:style>
  <w:style w:type="paragraph" w:customStyle="1" w:styleId="Style1">
    <w:name w:val="Style1"/>
    <w:basedOn w:val="Normal"/>
    <w:rsid w:val="000A3E66"/>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F60B55"/>
    <w:rPr>
      <w:color w:val="800080" w:themeColor="followedHyperlink"/>
      <w:u w:val="single"/>
    </w:rPr>
  </w:style>
  <w:style w:type="table" w:styleId="TableGrid">
    <w:name w:val="Table Grid"/>
    <w:basedOn w:val="TableNormal"/>
    <w:rsid w:val="00AF4F8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60271F"/>
    <w:pPr>
      <w:jc w:val="both"/>
      <w:outlineLvl w:val="1"/>
    </w:pPr>
    <w:rPr>
      <w:rFonts w:ascii="Arial" w:eastAsia="MS Mincho" w:hAnsi="Arial"/>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9E4D91"/>
    <w:rPr>
      <w:rFonts w:ascii="Tahoma" w:hAnsi="Tahoma" w:cs="Tahoma"/>
      <w:sz w:val="16"/>
      <w:szCs w:val="16"/>
    </w:rPr>
  </w:style>
  <w:style w:type="character" w:customStyle="1" w:styleId="BalloonTextChar">
    <w:name w:val="Balloon Text Char"/>
    <w:basedOn w:val="DefaultParagraphFont"/>
    <w:link w:val="BalloonText"/>
    <w:rsid w:val="009E4D91"/>
    <w:rPr>
      <w:rFonts w:ascii="Tahoma" w:hAnsi="Tahoma" w:cs="Tahoma"/>
      <w:sz w:val="16"/>
      <w:szCs w:val="16"/>
    </w:rPr>
  </w:style>
  <w:style w:type="paragraph" w:styleId="ListParagraph">
    <w:name w:val="List Paragraph"/>
    <w:basedOn w:val="Normal"/>
    <w:uiPriority w:val="34"/>
    <w:qFormat/>
    <w:rsid w:val="005C056F"/>
    <w:pPr>
      <w:ind w:left="720"/>
      <w:contextualSpacing/>
    </w:pPr>
  </w:style>
  <w:style w:type="paragraph" w:customStyle="1" w:styleId="Style1">
    <w:name w:val="Style1"/>
    <w:basedOn w:val="Normal"/>
    <w:rsid w:val="000A3E66"/>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F60B55"/>
    <w:rPr>
      <w:color w:val="800080" w:themeColor="followedHyperlink"/>
      <w:u w:val="single"/>
    </w:rPr>
  </w:style>
  <w:style w:type="table" w:styleId="TableGrid">
    <w:name w:val="Table Grid"/>
    <w:basedOn w:val="TableNormal"/>
    <w:rsid w:val="00AF4F8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eedtest.org/en/stats_tool_box_content---1--1143.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_EDC\TC_EDC_15_Jan_Mtg\Templates\template%20TC_EDC_Jan_1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C456-172A-4750-B6F0-99712034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TC_EDC_Jan_15_EN</Template>
  <TotalTime>195</TotalTime>
  <Pages>11</Pages>
  <Words>4853</Words>
  <Characters>25390</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30183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PASIEKA Allie</dc:creator>
  <cp:lastModifiedBy>LONG Victoria</cp:lastModifiedBy>
  <cp:revision>28</cp:revision>
  <cp:lastPrinted>2014-12-05T16:06:00Z</cp:lastPrinted>
  <dcterms:created xsi:type="dcterms:W3CDTF">2014-11-27T13:34:00Z</dcterms:created>
  <dcterms:modified xsi:type="dcterms:W3CDTF">2014-12-05T16:07:00Z</dcterms:modified>
</cp:coreProperties>
</file>