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D3D42" w:rsidP="006655D3">
            <w:pPr>
              <w:pStyle w:val="LogoUPOV"/>
            </w:pPr>
            <w:r>
              <w:rPr>
                <w:noProof/>
              </w:rPr>
              <w:drawing>
                <wp:inline distT="0" distB="0" distL="0" distR="0">
                  <wp:extent cx="972820" cy="446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820" cy="44640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E84A64">
              <w:t>24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D01CAF">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D01CAF" w:rsidRPr="00D01CAF">
              <w:rPr>
                <w:b w:val="0"/>
                <w:spacing w:val="0"/>
              </w:rPr>
              <w:t>December 16</w:t>
            </w:r>
            <w:r w:rsidR="0024416D" w:rsidRPr="00D01CAF">
              <w:rPr>
                <w:b w:val="0"/>
                <w:spacing w:val="0"/>
              </w:rPr>
              <w:t xml:space="preserve">, </w:t>
            </w:r>
            <w:r w:rsidR="001131D5" w:rsidRPr="00D01CAF">
              <w:rPr>
                <w:b w:val="0"/>
                <w:spacing w:val="0"/>
              </w:rPr>
              <w:t>201</w:t>
            </w:r>
            <w:r w:rsidR="00266165" w:rsidRPr="00D01CAF">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C5280D" w:rsidRDefault="00E84A64" w:rsidP="006655D3">
      <w:pPr>
        <w:pStyle w:val="Titleofdoc0"/>
      </w:pPr>
      <w:bookmarkStart w:id="3" w:name="TitleOfDoc"/>
      <w:bookmarkEnd w:id="3"/>
      <w:r>
        <w:t>Molecular techniques</w:t>
      </w:r>
    </w:p>
    <w:p w:rsidR="000D7780" w:rsidRPr="00C5280D" w:rsidRDefault="00AE0EF1" w:rsidP="006655D3">
      <w:pPr>
        <w:pStyle w:val="preparedby1"/>
      </w:pPr>
      <w:bookmarkStart w:id="4" w:name="Prepared"/>
      <w:bookmarkEnd w:id="4"/>
      <w:r w:rsidRPr="00A65471">
        <w:t xml:space="preserve">Document </w:t>
      </w:r>
      <w:r w:rsidR="0061555F" w:rsidRPr="00A65471">
        <w:t>prepared by the Office of the Union</w:t>
      </w:r>
      <w:r w:rsidR="00C21C04">
        <w:br/>
      </w:r>
      <w:r w:rsidR="00C21C04">
        <w:br/>
      </w:r>
      <w:r w:rsidR="00C21C04" w:rsidRPr="00C21C04">
        <w:rPr>
          <w:color w:val="A6A6A6"/>
        </w:rPr>
        <w:t>Disclaimer:  this document does not represent UPOV policies or guidance</w:t>
      </w:r>
    </w:p>
    <w:p w:rsidR="00EB4912" w:rsidRPr="00EE7171" w:rsidRDefault="00EB4912" w:rsidP="00EB4912">
      <w:pPr>
        <w:pStyle w:val="Heading1"/>
        <w:rPr>
          <w:rFonts w:cs="Arial"/>
        </w:rPr>
      </w:pPr>
      <w:bookmarkStart w:id="5" w:name="_Toc374716168"/>
      <w:r w:rsidRPr="00EE7171">
        <w:rPr>
          <w:rFonts w:cs="Arial"/>
        </w:rPr>
        <w:t>i.</w:t>
      </w:r>
      <w:r w:rsidRPr="00EE7171">
        <w:rPr>
          <w:rFonts w:cs="Arial"/>
        </w:rPr>
        <w:tab/>
        <w:t>BACKGROUND</w:t>
      </w:r>
      <w:bookmarkEnd w:id="5"/>
    </w:p>
    <w:p w:rsidR="00EB4912" w:rsidRPr="00EE7171" w:rsidRDefault="00EB4912" w:rsidP="00EB4912">
      <w:pPr>
        <w:keepNext/>
        <w:autoSpaceDE w:val="0"/>
        <w:autoSpaceDN w:val="0"/>
        <w:adjustRightInd w:val="0"/>
        <w:rPr>
          <w:rFonts w:eastAsia="MS Mincho" w:cs="Arial"/>
          <w:color w:val="000000"/>
          <w:lang w:eastAsia="ja-JP"/>
        </w:rPr>
      </w:pPr>
    </w:p>
    <w:p w:rsidR="00AB6221" w:rsidRDefault="00AB6221" w:rsidP="00AB6221">
      <w:pPr>
        <w:rPr>
          <w:rFonts w:cs="Arial"/>
        </w:rPr>
      </w:pPr>
      <w:r w:rsidRPr="00EE7171">
        <w:rPr>
          <w:rFonts w:cs="Arial"/>
        </w:rPr>
        <w:fldChar w:fldCharType="begin"/>
      </w:r>
      <w:r w:rsidRPr="00EE7171">
        <w:rPr>
          <w:rFonts w:cs="Arial"/>
        </w:rPr>
        <w:instrText xml:space="preserve"> AUTONUM  </w:instrText>
      </w:r>
      <w:r w:rsidRPr="00EE7171">
        <w:rPr>
          <w:rFonts w:cs="Arial"/>
        </w:rPr>
        <w:fldChar w:fldCharType="end"/>
      </w:r>
      <w:r w:rsidRPr="00EE7171">
        <w:rPr>
          <w:rFonts w:cs="Arial"/>
        </w:rPr>
        <w:tab/>
        <w:t>The 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w:t>
      </w:r>
      <w:r>
        <w:rPr>
          <w:rFonts w:cs="Arial"/>
        </w:rPr>
        <w:t>s</w:t>
      </w:r>
      <w:r w:rsidRPr="00EE7171">
        <w:rPr>
          <w:rFonts w:cs="Arial"/>
        </w:rPr>
        <w:t xml:space="preserve"> </w:t>
      </w:r>
      <w:r>
        <w:rPr>
          <w:rFonts w:cs="Arial"/>
        </w:rPr>
        <w:t>136</w:t>
      </w:r>
      <w:r w:rsidRPr="00EE7171">
        <w:rPr>
          <w:rFonts w:cs="Arial"/>
        </w:rPr>
        <w:t>).</w:t>
      </w:r>
    </w:p>
    <w:p w:rsidR="00AB6221" w:rsidRPr="00EE7171" w:rsidRDefault="00AB6221" w:rsidP="00AB6221">
      <w:pPr>
        <w:rPr>
          <w:rFonts w:cs="Arial"/>
        </w:rPr>
      </w:pPr>
    </w:p>
    <w:p w:rsidR="00362A50" w:rsidRPr="00EE7171" w:rsidRDefault="00EB4912" w:rsidP="00362A50">
      <w:pPr>
        <w:shd w:val="clear" w:color="auto" w:fill="FFFFFF"/>
        <w:rPr>
          <w:rFonts w:cs="Arial"/>
        </w:rPr>
      </w:pPr>
      <w:r w:rsidRPr="00EE7171">
        <w:rPr>
          <w:rFonts w:cs="Arial"/>
        </w:rPr>
        <w:fldChar w:fldCharType="begin"/>
      </w:r>
      <w:r w:rsidRPr="00EE7171">
        <w:rPr>
          <w:rFonts w:cs="Arial"/>
        </w:rPr>
        <w:instrText xml:space="preserve"> AUTONUM  </w:instrText>
      </w:r>
      <w:r w:rsidRPr="00EE7171">
        <w:rPr>
          <w:rFonts w:cs="Arial"/>
        </w:rPr>
        <w:fldChar w:fldCharType="end"/>
      </w:r>
      <w:r w:rsidRPr="00EE7171">
        <w:rPr>
          <w:rFonts w:cs="Arial"/>
        </w:rPr>
        <w:tab/>
      </w:r>
      <w:r w:rsidR="00362A50" w:rsidRPr="00EE7171">
        <w:rPr>
          <w:rFonts w:cs="Arial"/>
        </w:rPr>
        <w:t xml:space="preserve">The Consultative Committee, at its eighty-sixth session, held in Geneva on October 23 and on the morning of October 24, 2013, </w:t>
      </w:r>
      <w:r w:rsidR="00DB7E24">
        <w:rPr>
          <w:rFonts w:cs="Arial"/>
        </w:rPr>
        <w:t>considered</w:t>
      </w:r>
      <w:r w:rsidR="00362A50" w:rsidRPr="00EE7171">
        <w:rPr>
          <w:rFonts w:cs="Arial"/>
        </w:rPr>
        <w:t xml:space="preserve"> a series of answers to frequently asked questions</w:t>
      </w:r>
      <w:r w:rsidR="00DB7E24">
        <w:rPr>
          <w:rFonts w:cs="Arial"/>
        </w:rPr>
        <w:t>. One of the questions included was “does UPOV allow molecular techniques (DNA profiles) in the DUS examination?”</w:t>
      </w:r>
      <w:r w:rsidR="00AB6221">
        <w:rPr>
          <w:rFonts w:cs="Arial"/>
        </w:rPr>
        <w:t xml:space="preserve"> In that regard the Consultative Committee agreed that the answer should be developed via the Technical Committee. </w:t>
      </w:r>
      <w:r w:rsidR="001A53F6" w:rsidRPr="00EE7171">
        <w:rPr>
          <w:rFonts w:cs="Arial"/>
        </w:rPr>
        <w:t xml:space="preserve"> </w:t>
      </w:r>
      <w:r w:rsidRPr="00EE7171">
        <w:rPr>
          <w:rFonts w:cs="Arial"/>
        </w:rPr>
        <w:t>The Consultative Committee</w:t>
      </w:r>
      <w:r w:rsidR="00362A50" w:rsidRPr="00EE7171">
        <w:rPr>
          <w:rFonts w:cs="Arial"/>
        </w:rPr>
        <w:t xml:space="preserve"> </w:t>
      </w:r>
      <w:r w:rsidRPr="00EE7171">
        <w:rPr>
          <w:rFonts w:cs="Arial"/>
        </w:rPr>
        <w:t xml:space="preserve">agreed </w:t>
      </w:r>
      <w:r w:rsidR="00362A50" w:rsidRPr="00EE7171">
        <w:rPr>
          <w:rFonts w:cs="Arial"/>
        </w:rPr>
        <w:t xml:space="preserve">to consider draft answers to </w:t>
      </w:r>
      <w:r w:rsidR="00AB6221">
        <w:rPr>
          <w:rFonts w:cs="Arial"/>
        </w:rPr>
        <w:t xml:space="preserve">this and </w:t>
      </w:r>
      <w:r w:rsidR="00362A50" w:rsidRPr="00EE7171">
        <w:rPr>
          <w:rFonts w:cs="Arial"/>
        </w:rPr>
        <w:t>other frequently asked questions at its eighty-seventh session</w:t>
      </w:r>
      <w:r w:rsidR="00FD5BDF">
        <w:rPr>
          <w:rFonts w:cs="Arial"/>
        </w:rPr>
        <w:t>, to be held in Geneva on April 11, 2014</w:t>
      </w:r>
      <w:r w:rsidR="00362A50" w:rsidRPr="00EE7171">
        <w:rPr>
          <w:rFonts w:cs="Arial"/>
        </w:rPr>
        <w:t xml:space="preserve">. </w:t>
      </w:r>
    </w:p>
    <w:p w:rsidR="00362A50" w:rsidRDefault="00362A50" w:rsidP="00362A50">
      <w:pPr>
        <w:rPr>
          <w:rFonts w:cs="Arial"/>
        </w:rPr>
      </w:pPr>
    </w:p>
    <w:p w:rsidR="00723194" w:rsidRDefault="00723194" w:rsidP="00362A50">
      <w:pPr>
        <w:rPr>
          <w:rFonts w:cs="Arial"/>
        </w:rPr>
      </w:pPr>
    </w:p>
    <w:p w:rsidR="00113A2E" w:rsidRDefault="00A65471" w:rsidP="00A65471">
      <w:pPr>
        <w:pStyle w:val="Heading1"/>
      </w:pPr>
      <w:bookmarkStart w:id="6" w:name="_Toc374716170"/>
      <w:r>
        <w:t>ii.</w:t>
      </w:r>
      <w:r>
        <w:tab/>
      </w:r>
      <w:r w:rsidR="00113A2E">
        <w:t>PROPOSAL</w:t>
      </w:r>
      <w:bookmarkEnd w:id="6"/>
    </w:p>
    <w:p w:rsidR="00113A2E" w:rsidRDefault="00113A2E" w:rsidP="00E84A64">
      <w:pPr>
        <w:rPr>
          <w:rFonts w:cs="Arial"/>
        </w:rPr>
      </w:pPr>
    </w:p>
    <w:p w:rsidR="00113A2E" w:rsidRDefault="00113A2E" w:rsidP="00E84A64">
      <w:pPr>
        <w:rPr>
          <w:rFonts w:cs="Arial"/>
        </w:rPr>
      </w:pPr>
      <w:r>
        <w:rPr>
          <w:rFonts w:cs="Arial"/>
        </w:rPr>
        <w:t xml:space="preserve">The following text is proposed </w:t>
      </w:r>
      <w:r w:rsidR="00723194">
        <w:rPr>
          <w:rFonts w:cs="Arial"/>
        </w:rPr>
        <w:t xml:space="preserve">in order </w:t>
      </w:r>
      <w:r w:rsidR="00723194" w:rsidRPr="00EE7171">
        <w:rPr>
          <w:rFonts w:cs="Arial"/>
        </w:rPr>
        <w:t>to provide information on the situation in UPOV with regard to the use of molecular techniques</w:t>
      </w:r>
      <w:r w:rsidR="0084432D">
        <w:rPr>
          <w:rFonts w:cs="Arial"/>
        </w:rPr>
        <w:t xml:space="preserve"> (extracts from document TGP/15 and UPOV/INF/18/1 are highlighted)</w:t>
      </w:r>
      <w:r>
        <w:rPr>
          <w:rFonts w:cs="Arial"/>
        </w:rPr>
        <w:t>:</w:t>
      </w:r>
    </w:p>
    <w:p w:rsidR="00113A2E" w:rsidRDefault="00113A2E" w:rsidP="00E84A64">
      <w:pPr>
        <w:rPr>
          <w:rFonts w:cs="Arial"/>
        </w:rPr>
      </w:pPr>
    </w:p>
    <w:p w:rsidR="00AB6221" w:rsidRDefault="00AB6221" w:rsidP="00AD59C4">
      <w:pPr>
        <w:ind w:left="567" w:right="567"/>
      </w:pPr>
      <w:r>
        <w:rPr>
          <w:rFonts w:cs="Arial"/>
        </w:rPr>
        <w:t>Question: Does UPOV allow molecular techniques (DNA profiles) in the DUS examination?</w:t>
      </w:r>
    </w:p>
    <w:p w:rsidR="00AB6221" w:rsidRDefault="00AB6221" w:rsidP="00AD59C4">
      <w:pPr>
        <w:ind w:left="567" w:right="567"/>
      </w:pPr>
    </w:p>
    <w:p w:rsidR="00FD5BDF" w:rsidRPr="00FD5BDF" w:rsidRDefault="00AB6221" w:rsidP="00FD5BDF">
      <w:pPr>
        <w:ind w:left="567" w:right="567"/>
        <w:rPr>
          <w:snapToGrid w:val="0"/>
        </w:rPr>
      </w:pPr>
      <w:r>
        <w:t xml:space="preserve">Answer: </w:t>
      </w:r>
      <w:r w:rsidR="00FD5BDF">
        <w:t>“</w:t>
      </w:r>
      <w:r w:rsidR="00F02967">
        <w:t>I</w:t>
      </w:r>
      <w:r w:rsidR="00FD5BDF" w:rsidRPr="00FD5BDF">
        <w:rPr>
          <w:snapToGrid w:val="0"/>
        </w:rPr>
        <w:t>t is important to note that, in some cases, varieties may have a different DNA profile but be morphologically identical (e.g. if the difference is in a non-coding region of the DNA), whilst</w:t>
      </w:r>
      <w:r w:rsidR="00C4501B">
        <w:rPr>
          <w:snapToGrid w:val="0"/>
        </w:rPr>
        <w:t>,</w:t>
      </w:r>
      <w:r w:rsidR="00FD5BDF" w:rsidRPr="00FD5BDF">
        <w:rPr>
          <w:snapToGrid w:val="0"/>
        </w:rPr>
        <w:t xml:space="preserve"> in other cases</w:t>
      </w:r>
      <w:r w:rsidR="00C4501B">
        <w:rPr>
          <w:snapToGrid w:val="0"/>
        </w:rPr>
        <w:t>,</w:t>
      </w:r>
      <w:r w:rsidR="00FD5BDF" w:rsidRPr="00FD5BDF">
        <w:rPr>
          <w:snapToGrid w:val="0"/>
        </w:rPr>
        <w:t xml:space="preserve"> varieties which have a large phenotypic difference may have the same DNA profile (e.g. </w:t>
      </w:r>
      <w:r w:rsidR="00C4501B">
        <w:rPr>
          <w:snapToGrid w:val="0"/>
        </w:rPr>
        <w:t xml:space="preserve">some </w:t>
      </w:r>
      <w:r w:rsidR="00FD5BDF" w:rsidRPr="00FD5BDF">
        <w:rPr>
          <w:snapToGrid w:val="0"/>
        </w:rPr>
        <w:t>mutations).</w:t>
      </w:r>
      <w:bookmarkStart w:id="7" w:name="_GoBack"/>
      <w:bookmarkEnd w:id="7"/>
    </w:p>
    <w:p w:rsidR="00FD5BDF" w:rsidRPr="00FD5BDF" w:rsidRDefault="00FD5BDF" w:rsidP="00FD5BDF">
      <w:pPr>
        <w:ind w:left="567" w:right="567"/>
        <w:rPr>
          <w:snapToGrid w:val="0"/>
        </w:rPr>
      </w:pPr>
    </w:p>
    <w:p w:rsidR="00FD5BDF" w:rsidRDefault="00FD5BDF" w:rsidP="00FD5BDF">
      <w:pPr>
        <w:ind w:left="567" w:right="567"/>
        <w:rPr>
          <w:snapToGrid w:val="0"/>
        </w:rPr>
      </w:pPr>
      <w:r>
        <w:rPr>
          <w:snapToGrid w:val="0"/>
        </w:rPr>
        <w:t>“</w:t>
      </w:r>
      <w:r w:rsidRPr="00FD5BDF">
        <w:rPr>
          <w:snapToGrid w:val="0"/>
        </w:rPr>
        <w:t xml:space="preserve">In relation to the </w:t>
      </w:r>
      <w:r w:rsidRPr="00FD5BDF">
        <w:rPr>
          <w:snapToGrid w:val="0"/>
          <w:highlight w:val="lightGray"/>
        </w:rPr>
        <w:t>use of molecular markers</w:t>
      </w:r>
      <w:r w:rsidRPr="00FD5BDF">
        <w:rPr>
          <w:snapToGrid w:val="0"/>
        </w:rPr>
        <w:t xml:space="preserve"> that are not related to phenotypic differences, the </w:t>
      </w:r>
      <w:r w:rsidRPr="00FD5BDF">
        <w:rPr>
          <w:snapToGrid w:val="0"/>
          <w:highlight w:val="lightGray"/>
        </w:rPr>
        <w:t>concern</w:t>
      </w:r>
      <w:r w:rsidRPr="00FD5BDF">
        <w:rPr>
          <w:snapToGrid w:val="0"/>
        </w:rPr>
        <w:t xml:space="preserve"> is that </w:t>
      </w:r>
      <w:r w:rsidRPr="00FD5BDF">
        <w:rPr>
          <w:snapToGrid w:val="0"/>
          <w:highlight w:val="lightGray"/>
        </w:rPr>
        <w:t xml:space="preserve">it might be possible to use a limitless number of markers to find differences between varieties.  </w:t>
      </w:r>
      <w:r w:rsidRPr="00C4501B">
        <w:rPr>
          <w:snapToGrid w:val="0"/>
        </w:rPr>
        <w:t xml:space="preserve">In particular, </w:t>
      </w:r>
      <w:r w:rsidRPr="00FD5BDF">
        <w:rPr>
          <w:snapToGrid w:val="0"/>
          <w:highlight w:val="lightGray"/>
        </w:rPr>
        <w:t xml:space="preserve">differences </w:t>
      </w:r>
      <w:r w:rsidRPr="00C4501B">
        <w:rPr>
          <w:snapToGrid w:val="0"/>
        </w:rPr>
        <w:t xml:space="preserve">could </w:t>
      </w:r>
      <w:r w:rsidRPr="00FD5BDF">
        <w:rPr>
          <w:snapToGrid w:val="0"/>
          <w:highlight w:val="lightGray"/>
        </w:rPr>
        <w:t xml:space="preserve">be found at the genetic </w:t>
      </w:r>
      <w:proofErr w:type="gramStart"/>
      <w:r w:rsidRPr="00FD5BDF">
        <w:rPr>
          <w:snapToGrid w:val="0"/>
          <w:highlight w:val="lightGray"/>
        </w:rPr>
        <w:t xml:space="preserve">level </w:t>
      </w:r>
      <w:r w:rsidR="00C4501B">
        <w:rPr>
          <w:snapToGrid w:val="0"/>
        </w:rPr>
        <w:t xml:space="preserve">that </w:t>
      </w:r>
      <w:r w:rsidRPr="00C4501B">
        <w:rPr>
          <w:snapToGrid w:val="0"/>
        </w:rPr>
        <w:t>are</w:t>
      </w:r>
      <w:proofErr w:type="gramEnd"/>
      <w:r w:rsidRPr="00FD5BDF">
        <w:rPr>
          <w:snapToGrid w:val="0"/>
          <w:highlight w:val="lightGray"/>
        </w:rPr>
        <w:t xml:space="preserve"> not reflected in morphological characteristics.</w:t>
      </w:r>
    </w:p>
    <w:p w:rsidR="00F02967" w:rsidRPr="00FD5BDF" w:rsidRDefault="00F02967" w:rsidP="00FD5BDF">
      <w:pPr>
        <w:ind w:left="567" w:right="567"/>
        <w:rPr>
          <w:snapToGrid w:val="0"/>
        </w:rPr>
      </w:pPr>
    </w:p>
    <w:p w:rsidR="00FD5BDF" w:rsidRDefault="00F02967" w:rsidP="00FD5BDF">
      <w:pPr>
        <w:ind w:left="567" w:right="567"/>
        <w:rPr>
          <w:snapToGrid w:val="0"/>
        </w:rPr>
      </w:pPr>
      <w:r>
        <w:rPr>
          <w:snapToGrid w:val="0"/>
        </w:rPr>
        <w:t>“On the above basis, UPOV has agreed the following use</w:t>
      </w:r>
      <w:r w:rsidR="00C4501B">
        <w:rPr>
          <w:snapToGrid w:val="0"/>
        </w:rPr>
        <w:t>s</w:t>
      </w:r>
      <w:r>
        <w:rPr>
          <w:snapToGrid w:val="0"/>
        </w:rPr>
        <w:t xml:space="preserve"> of molecular markers in relation to DUS examination: </w:t>
      </w:r>
    </w:p>
    <w:p w:rsidR="00F02967" w:rsidRPr="00FD5BDF" w:rsidRDefault="00F02967" w:rsidP="00FD5BDF">
      <w:pPr>
        <w:ind w:left="567" w:right="567"/>
        <w:rPr>
          <w:snapToGrid w:val="0"/>
        </w:rPr>
      </w:pPr>
    </w:p>
    <w:p w:rsidR="00FD5BDF" w:rsidRPr="00FD5BDF" w:rsidRDefault="00F02967" w:rsidP="00FD5BDF">
      <w:pPr>
        <w:ind w:left="567" w:right="567"/>
        <w:rPr>
          <w:snapToGrid w:val="0"/>
        </w:rPr>
      </w:pPr>
      <w:r w:rsidRPr="00C4501B">
        <w:rPr>
          <w:snapToGrid w:val="0"/>
        </w:rPr>
        <w:lastRenderedPageBreak/>
        <w:t>“</w:t>
      </w:r>
      <w:r w:rsidR="00C4501B" w:rsidRPr="00C4501B">
        <w:rPr>
          <w:snapToGrid w:val="0"/>
        </w:rPr>
        <w:t>(</w:t>
      </w:r>
      <w:proofErr w:type="gramStart"/>
      <w:r w:rsidR="00C4501B" w:rsidRPr="00C4501B">
        <w:rPr>
          <w:snapToGrid w:val="0"/>
        </w:rPr>
        <w:t>a</w:t>
      </w:r>
      <w:proofErr w:type="gramEnd"/>
      <w:r w:rsidR="00C4501B" w:rsidRPr="00C4501B">
        <w:rPr>
          <w:snapToGrid w:val="0"/>
        </w:rPr>
        <w:t xml:space="preserve">) </w:t>
      </w:r>
      <w:r w:rsidR="00FD5BDF" w:rsidRPr="00FD5BDF">
        <w:rPr>
          <w:snapToGrid w:val="0"/>
          <w:highlight w:val="lightGray"/>
        </w:rPr>
        <w:t>Molecular markers can be used as a method of examining DUS characteristics that satisfy the criteria for characteristics set out in the General Introduction</w:t>
      </w:r>
      <w:r w:rsidR="00FD5BDF" w:rsidRPr="00FD5BDF">
        <w:rPr>
          <w:snapToGrid w:val="0"/>
        </w:rPr>
        <w:t xml:space="preserve"> if there is a reliable </w:t>
      </w:r>
      <w:r w:rsidR="00FD5BDF" w:rsidRPr="00F02967">
        <w:rPr>
          <w:snapToGrid w:val="0"/>
          <w:highlight w:val="lightGray"/>
        </w:rPr>
        <w:t>link between the marker and the characteristic.</w:t>
      </w:r>
      <w:r w:rsidR="00FD5BDF" w:rsidRPr="00FD5BDF">
        <w:rPr>
          <w:snapToGrid w:val="0"/>
        </w:rPr>
        <w:t xml:space="preserve"> </w:t>
      </w:r>
    </w:p>
    <w:p w:rsidR="00FD5BDF" w:rsidRPr="00FD5BDF" w:rsidRDefault="00FD5BDF" w:rsidP="00FD5BDF">
      <w:pPr>
        <w:ind w:left="567" w:right="567"/>
        <w:rPr>
          <w:snapToGrid w:val="0"/>
        </w:rPr>
      </w:pPr>
    </w:p>
    <w:p w:rsidR="00FD5BDF" w:rsidRPr="00FD5BDF" w:rsidRDefault="00C4501B" w:rsidP="00FD5BDF">
      <w:pPr>
        <w:ind w:left="567" w:right="567"/>
        <w:rPr>
          <w:snapToGrid w:val="0"/>
        </w:rPr>
      </w:pPr>
      <w:r>
        <w:rPr>
          <w:snapToGrid w:val="0"/>
        </w:rPr>
        <w:t xml:space="preserve">“(b) </w:t>
      </w:r>
      <w:r>
        <w:rPr>
          <w:snapToGrid w:val="0"/>
          <w:highlight w:val="lightGray"/>
        </w:rPr>
        <w:t>A</w:t>
      </w:r>
      <w:r w:rsidR="00FD5BDF" w:rsidRPr="00F02967">
        <w:rPr>
          <w:snapToGrid w:val="0"/>
          <w:highlight w:val="lightGray"/>
        </w:rPr>
        <w:t xml:space="preserve"> combination of phenotypic differences and molecular distances can be used to improve the selection of varieties</w:t>
      </w:r>
      <w:r w:rsidR="00FD5BDF" w:rsidRPr="00FD5BDF">
        <w:rPr>
          <w:snapToGrid w:val="0"/>
        </w:rPr>
        <w:t xml:space="preserve"> to be compared in the growing trial </w:t>
      </w:r>
      <w:r w:rsidR="00FD5BDF" w:rsidRPr="00F02967">
        <w:rPr>
          <w:snapToGrid w:val="0"/>
          <w:highlight w:val="lightGray"/>
        </w:rPr>
        <w:t>if the molecular distances are sufficiently related to phenotypic differences</w:t>
      </w:r>
      <w:r w:rsidR="00FD5BDF" w:rsidRPr="00FD5BDF">
        <w:rPr>
          <w:snapToGrid w:val="0"/>
        </w:rPr>
        <w:t xml:space="preserve"> and </w:t>
      </w:r>
      <w:r w:rsidR="00FD5BDF" w:rsidRPr="00F02967">
        <w:rPr>
          <w:snapToGrid w:val="0"/>
          <w:highlight w:val="lightGray"/>
        </w:rPr>
        <w:t xml:space="preserve">the method does not create an increased risk of not selecting a variety in the variety collection which should be compared to candidate varieties in the </w:t>
      </w:r>
      <w:r w:rsidRPr="00C4501B">
        <w:rPr>
          <w:snapToGrid w:val="0"/>
        </w:rPr>
        <w:t>DUS</w:t>
      </w:r>
      <w:r>
        <w:rPr>
          <w:snapToGrid w:val="0"/>
          <w:highlight w:val="lightGray"/>
        </w:rPr>
        <w:t xml:space="preserve"> </w:t>
      </w:r>
      <w:r w:rsidR="00FD5BDF" w:rsidRPr="00F02967">
        <w:rPr>
          <w:snapToGrid w:val="0"/>
          <w:highlight w:val="lightGray"/>
        </w:rPr>
        <w:t>growing trial.</w:t>
      </w:r>
      <w:r w:rsidR="00F02967">
        <w:rPr>
          <w:snapToGrid w:val="0"/>
        </w:rPr>
        <w:t>”</w:t>
      </w:r>
    </w:p>
    <w:p w:rsidR="00FD5BDF" w:rsidRDefault="00FD5BDF" w:rsidP="00FD5BDF">
      <w:pPr>
        <w:ind w:left="567" w:right="567"/>
        <w:rPr>
          <w:snapToGrid w:val="0"/>
        </w:rPr>
      </w:pPr>
    </w:p>
    <w:p w:rsidR="00C4501B" w:rsidRPr="00FD5BDF" w:rsidRDefault="00C4501B" w:rsidP="00FD5BDF">
      <w:pPr>
        <w:ind w:left="567" w:right="567"/>
        <w:rPr>
          <w:snapToGrid w:val="0"/>
        </w:rPr>
      </w:pPr>
      <w:r>
        <w:rPr>
          <w:snapToGrid w:val="0"/>
        </w:rPr>
        <w:t xml:space="preserve">“The situation in UPOV is explained in documents </w:t>
      </w:r>
      <w:r>
        <w:rPr>
          <w:rFonts w:cs="Arial"/>
        </w:rPr>
        <w:t>UPOV/INF/18/1: “</w:t>
      </w:r>
      <w:r>
        <w:t>Possible use of Molecular Markers in the Examination of Distinctness, Uniformity and Stability (DUS)” and document </w:t>
      </w:r>
      <w:r>
        <w:rPr>
          <w:rFonts w:cs="Arial"/>
        </w:rPr>
        <w:t>TGP/15: “</w:t>
      </w:r>
      <w:r>
        <w:t>Guidance on the Use of Biochemical and Molecular Markers in the Examination of Distinctness, Uniformity and Stability (DUS)”.</w:t>
      </w:r>
      <w:r>
        <w:rPr>
          <w:rFonts w:cs="Arial"/>
        </w:rPr>
        <w:t xml:space="preserve"> </w:t>
      </w:r>
    </w:p>
    <w:p w:rsidR="00900C26" w:rsidRPr="00EE7171" w:rsidRDefault="00900C26" w:rsidP="00B07301">
      <w:pPr>
        <w:pStyle w:val="TOC1"/>
        <w:rPr>
          <w:rFonts w:cs="Arial"/>
          <w:snapToGrid w:val="0"/>
        </w:rPr>
      </w:pPr>
    </w:p>
    <w:p w:rsidR="006B17D2" w:rsidRPr="00EE7171" w:rsidRDefault="00EE7171" w:rsidP="006655D3">
      <w:pPr>
        <w:pStyle w:val="endofdoc"/>
        <w:rPr>
          <w:rFonts w:cs="Arial"/>
        </w:rPr>
      </w:pPr>
      <w:r w:rsidRPr="00EE7171">
        <w:rPr>
          <w:rFonts w:cs="Arial"/>
        </w:rPr>
        <w:t xml:space="preserve"> </w:t>
      </w:r>
      <w:r w:rsidR="0061555F" w:rsidRPr="00EE7171">
        <w:rPr>
          <w:rFonts w:cs="Arial"/>
        </w:rPr>
        <w:t>[End of document]</w:t>
      </w:r>
    </w:p>
    <w:sectPr w:rsidR="006B17D2" w:rsidRPr="00EE7171"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D42" w:rsidRDefault="007D3D42" w:rsidP="006655D3">
      <w:r>
        <w:separator/>
      </w:r>
    </w:p>
    <w:p w:rsidR="007D3D42" w:rsidRDefault="007D3D42" w:rsidP="006655D3"/>
    <w:p w:rsidR="007D3D42" w:rsidRDefault="007D3D42" w:rsidP="006655D3"/>
  </w:endnote>
  <w:endnote w:type="continuationSeparator" w:id="0">
    <w:p w:rsidR="007D3D42" w:rsidRDefault="007D3D42" w:rsidP="006655D3">
      <w:r>
        <w:separator/>
      </w:r>
    </w:p>
    <w:p w:rsidR="007D3D42" w:rsidRPr="00311399" w:rsidRDefault="007D3D42">
      <w:pPr>
        <w:pStyle w:val="Footer"/>
        <w:spacing w:after="60"/>
        <w:rPr>
          <w:sz w:val="18"/>
          <w:lang w:val="fr-CH"/>
        </w:rPr>
      </w:pPr>
      <w:r w:rsidRPr="00311399">
        <w:rPr>
          <w:sz w:val="18"/>
          <w:lang w:val="fr-CH"/>
        </w:rPr>
        <w:t>[Suite de la note de la page précédente]</w:t>
      </w:r>
    </w:p>
    <w:p w:rsidR="007D3D42" w:rsidRPr="00311399" w:rsidRDefault="007D3D42" w:rsidP="006655D3">
      <w:pPr>
        <w:rPr>
          <w:lang w:val="fr-CH"/>
        </w:rPr>
      </w:pPr>
    </w:p>
    <w:p w:rsidR="007D3D42" w:rsidRPr="00311399" w:rsidRDefault="007D3D42" w:rsidP="006655D3">
      <w:pPr>
        <w:rPr>
          <w:lang w:val="fr-CH"/>
        </w:rPr>
      </w:pPr>
    </w:p>
  </w:endnote>
  <w:endnote w:type="continuationNotice" w:id="1">
    <w:p w:rsidR="007D3D42" w:rsidRPr="00311399" w:rsidRDefault="007D3D42" w:rsidP="006655D3">
      <w:pPr>
        <w:rPr>
          <w:lang w:val="fr-CH"/>
        </w:rPr>
      </w:pPr>
      <w:r w:rsidRPr="00311399">
        <w:rPr>
          <w:lang w:val="fr-CH"/>
        </w:rPr>
        <w:t>[Suite de la note page suivante]</w:t>
      </w:r>
    </w:p>
    <w:p w:rsidR="007D3D42" w:rsidRPr="00311399" w:rsidRDefault="007D3D42" w:rsidP="006655D3">
      <w:pPr>
        <w:rPr>
          <w:lang w:val="fr-CH"/>
        </w:rPr>
      </w:pPr>
    </w:p>
    <w:p w:rsidR="007D3D42" w:rsidRPr="00311399" w:rsidRDefault="007D3D4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D42" w:rsidRDefault="007D3D42" w:rsidP="006655D3">
      <w:r>
        <w:separator/>
      </w:r>
    </w:p>
  </w:footnote>
  <w:footnote w:type="continuationSeparator" w:id="0">
    <w:p w:rsidR="007D3D42" w:rsidRDefault="007D3D42" w:rsidP="006655D3">
      <w:r>
        <w:separator/>
      </w:r>
    </w:p>
    <w:p w:rsidR="007D3D42" w:rsidRPr="00311399" w:rsidRDefault="007D3D42">
      <w:pPr>
        <w:pStyle w:val="Footer"/>
        <w:spacing w:after="60"/>
        <w:rPr>
          <w:sz w:val="18"/>
          <w:lang w:val="fr-CH"/>
        </w:rPr>
      </w:pPr>
      <w:r w:rsidRPr="00311399">
        <w:rPr>
          <w:sz w:val="18"/>
          <w:lang w:val="fr-CH"/>
        </w:rPr>
        <w:t>[Suite de la note de la page précédente]</w:t>
      </w:r>
    </w:p>
    <w:p w:rsidR="007D3D42" w:rsidRPr="00311399" w:rsidRDefault="007D3D42" w:rsidP="006655D3">
      <w:pPr>
        <w:rPr>
          <w:lang w:val="fr-CH"/>
        </w:rPr>
      </w:pPr>
    </w:p>
    <w:p w:rsidR="007D3D42" w:rsidRPr="00311399" w:rsidRDefault="007D3D42" w:rsidP="006655D3">
      <w:pPr>
        <w:rPr>
          <w:lang w:val="fr-CH"/>
        </w:rPr>
      </w:pPr>
    </w:p>
    <w:p w:rsidR="007D3D42" w:rsidRPr="00311399" w:rsidRDefault="007D3D42" w:rsidP="006655D3">
      <w:pPr>
        <w:rPr>
          <w:lang w:val="fr-CH"/>
        </w:rPr>
      </w:pPr>
    </w:p>
  </w:footnote>
  <w:footnote w:type="continuationNotice" w:id="1">
    <w:p w:rsidR="007D3D42" w:rsidRPr="00311399" w:rsidRDefault="007D3D42" w:rsidP="006655D3">
      <w:pPr>
        <w:rPr>
          <w:lang w:val="fr-CH"/>
        </w:rPr>
      </w:pPr>
      <w:r w:rsidRPr="00311399">
        <w:rPr>
          <w:lang w:val="fr-CH"/>
        </w:rPr>
        <w:t>[Suite de la note page suivante]</w:t>
      </w:r>
    </w:p>
    <w:p w:rsidR="007D3D42" w:rsidRPr="00311399" w:rsidRDefault="007D3D42" w:rsidP="006655D3">
      <w:pPr>
        <w:rPr>
          <w:lang w:val="fr-CH"/>
        </w:rPr>
      </w:pPr>
    </w:p>
    <w:p w:rsidR="007D3D42" w:rsidRPr="00311399" w:rsidRDefault="007D3D42"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w:t>
    </w:r>
    <w:r w:rsidR="00311399">
      <w:rPr>
        <w:rStyle w:val="PageNumber"/>
        <w:lang w:val="en-US"/>
      </w:rPr>
      <w:t>4</w:t>
    </w:r>
    <w:r w:rsidRPr="00C5280D">
      <w:rPr>
        <w:rStyle w:val="PageNumber"/>
        <w:lang w:val="en-US"/>
      </w:rPr>
      <w:t>/</w:t>
    </w:r>
    <w:r w:rsidR="00E84A64">
      <w:rPr>
        <w:rStyle w:val="PageNumber"/>
        <w:lang w:val="en-US"/>
      </w:rPr>
      <w:t>24</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42A8D">
      <w:rPr>
        <w:rStyle w:val="PageNumber"/>
        <w:noProof/>
        <w:lang w:val="en-US"/>
      </w:rPr>
      <w:t>2</w:t>
    </w:r>
    <w:r w:rsidRPr="00C5280D">
      <w:rPr>
        <w:rStyle w:val="PageNumber"/>
        <w:lang w:val="en-US"/>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585"/>
    <w:multiLevelType w:val="hybridMultilevel"/>
    <w:tmpl w:val="F86034CA"/>
    <w:lvl w:ilvl="0" w:tplc="FEBE71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00AF5"/>
    <w:multiLevelType w:val="hybridMultilevel"/>
    <w:tmpl w:val="F9720F4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D35390F"/>
    <w:multiLevelType w:val="multilevel"/>
    <w:tmpl w:val="8158A7D6"/>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4EB408CC"/>
    <w:multiLevelType w:val="hybridMultilevel"/>
    <w:tmpl w:val="CC323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4F1C36"/>
    <w:multiLevelType w:val="hybridMultilevel"/>
    <w:tmpl w:val="8494C8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D824FA"/>
    <w:multiLevelType w:val="hybridMultilevel"/>
    <w:tmpl w:val="A896F1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EC43E74"/>
    <w:multiLevelType w:val="hybridMultilevel"/>
    <w:tmpl w:val="EB5A6C3A"/>
    <w:lvl w:ilvl="0" w:tplc="918069B0">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21A5459"/>
    <w:multiLevelType w:val="hybridMultilevel"/>
    <w:tmpl w:val="A3BAAFDA"/>
    <w:lvl w:ilvl="0" w:tplc="49F802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63225AAF"/>
    <w:multiLevelType w:val="hybridMultilevel"/>
    <w:tmpl w:val="8FA8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3168ED"/>
    <w:multiLevelType w:val="hybridMultilevel"/>
    <w:tmpl w:val="BE38E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A42814"/>
    <w:multiLevelType w:val="hybridMultilevel"/>
    <w:tmpl w:val="8A78AEC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7"/>
  </w:num>
  <w:num w:numId="6">
    <w:abstractNumId w:val="2"/>
  </w:num>
  <w:num w:numId="7">
    <w:abstractNumId w:val="10"/>
  </w:num>
  <w:num w:numId="8">
    <w:abstractNumId w:val="5"/>
  </w:num>
  <w:num w:numId="9">
    <w:abstractNumId w:val="3"/>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42"/>
    <w:rsid w:val="00010CF3"/>
    <w:rsid w:val="00011E27"/>
    <w:rsid w:val="000148BC"/>
    <w:rsid w:val="00024AB8"/>
    <w:rsid w:val="00030854"/>
    <w:rsid w:val="00036028"/>
    <w:rsid w:val="00044642"/>
    <w:rsid w:val="000446B9"/>
    <w:rsid w:val="00047E21"/>
    <w:rsid w:val="00083EE0"/>
    <w:rsid w:val="00085505"/>
    <w:rsid w:val="000C7021"/>
    <w:rsid w:val="000D6BBC"/>
    <w:rsid w:val="000D7780"/>
    <w:rsid w:val="00105929"/>
    <w:rsid w:val="001131D5"/>
    <w:rsid w:val="00113A2E"/>
    <w:rsid w:val="00125EFC"/>
    <w:rsid w:val="00141DB8"/>
    <w:rsid w:val="0017474A"/>
    <w:rsid w:val="001758C6"/>
    <w:rsid w:val="00175A85"/>
    <w:rsid w:val="00182B99"/>
    <w:rsid w:val="001A53F6"/>
    <w:rsid w:val="001E30F9"/>
    <w:rsid w:val="00203877"/>
    <w:rsid w:val="0021332C"/>
    <w:rsid w:val="00213982"/>
    <w:rsid w:val="0024416D"/>
    <w:rsid w:val="00266165"/>
    <w:rsid w:val="002800A0"/>
    <w:rsid w:val="002801B3"/>
    <w:rsid w:val="00281060"/>
    <w:rsid w:val="002940E8"/>
    <w:rsid w:val="002A1900"/>
    <w:rsid w:val="002A6E50"/>
    <w:rsid w:val="002C256A"/>
    <w:rsid w:val="00305A7F"/>
    <w:rsid w:val="00311399"/>
    <w:rsid w:val="003152FE"/>
    <w:rsid w:val="00327436"/>
    <w:rsid w:val="003317B0"/>
    <w:rsid w:val="00344BD6"/>
    <w:rsid w:val="0035528D"/>
    <w:rsid w:val="00361821"/>
    <w:rsid w:val="00362A50"/>
    <w:rsid w:val="003B62F6"/>
    <w:rsid w:val="003D227C"/>
    <w:rsid w:val="003D2B4D"/>
    <w:rsid w:val="00444A88"/>
    <w:rsid w:val="00447BEE"/>
    <w:rsid w:val="00474DA4"/>
    <w:rsid w:val="00476B4D"/>
    <w:rsid w:val="004805FA"/>
    <w:rsid w:val="004A4D94"/>
    <w:rsid w:val="004D047D"/>
    <w:rsid w:val="004D3B68"/>
    <w:rsid w:val="004D60EF"/>
    <w:rsid w:val="004F305A"/>
    <w:rsid w:val="00512164"/>
    <w:rsid w:val="00520297"/>
    <w:rsid w:val="005338F9"/>
    <w:rsid w:val="0054281C"/>
    <w:rsid w:val="0055268D"/>
    <w:rsid w:val="005730D8"/>
    <w:rsid w:val="00576BE4"/>
    <w:rsid w:val="005A400A"/>
    <w:rsid w:val="00612379"/>
    <w:rsid w:val="0061555F"/>
    <w:rsid w:val="00641200"/>
    <w:rsid w:val="006655D3"/>
    <w:rsid w:val="00687EB4"/>
    <w:rsid w:val="006B17D2"/>
    <w:rsid w:val="006C224E"/>
    <w:rsid w:val="006D780A"/>
    <w:rsid w:val="00723194"/>
    <w:rsid w:val="00732DEC"/>
    <w:rsid w:val="00735BD5"/>
    <w:rsid w:val="007556F6"/>
    <w:rsid w:val="00760EEF"/>
    <w:rsid w:val="00777EE5"/>
    <w:rsid w:val="00784836"/>
    <w:rsid w:val="0079023E"/>
    <w:rsid w:val="007A2854"/>
    <w:rsid w:val="007D0B9D"/>
    <w:rsid w:val="007D19B0"/>
    <w:rsid w:val="007D3D42"/>
    <w:rsid w:val="007F498F"/>
    <w:rsid w:val="0080679D"/>
    <w:rsid w:val="008108B0"/>
    <w:rsid w:val="00811B20"/>
    <w:rsid w:val="0082296E"/>
    <w:rsid w:val="00824099"/>
    <w:rsid w:val="0084432D"/>
    <w:rsid w:val="00850894"/>
    <w:rsid w:val="00867AC1"/>
    <w:rsid w:val="008A743F"/>
    <w:rsid w:val="008C0970"/>
    <w:rsid w:val="008D2CF7"/>
    <w:rsid w:val="008F5559"/>
    <w:rsid w:val="00900C26"/>
    <w:rsid w:val="0090197F"/>
    <w:rsid w:val="00906DDC"/>
    <w:rsid w:val="00926AB3"/>
    <w:rsid w:val="00934E09"/>
    <w:rsid w:val="00936253"/>
    <w:rsid w:val="00952DD4"/>
    <w:rsid w:val="00970FED"/>
    <w:rsid w:val="00997029"/>
    <w:rsid w:val="009A0810"/>
    <w:rsid w:val="009A0C21"/>
    <w:rsid w:val="009A1EF8"/>
    <w:rsid w:val="009D690D"/>
    <w:rsid w:val="009E65B6"/>
    <w:rsid w:val="00A42AC3"/>
    <w:rsid w:val="00A430CF"/>
    <w:rsid w:val="00A54309"/>
    <w:rsid w:val="00A60259"/>
    <w:rsid w:val="00A63CBC"/>
    <w:rsid w:val="00A65471"/>
    <w:rsid w:val="00A67DE6"/>
    <w:rsid w:val="00AB2B93"/>
    <w:rsid w:val="00AB6221"/>
    <w:rsid w:val="00AB7E5B"/>
    <w:rsid w:val="00AD59C4"/>
    <w:rsid w:val="00AE0EF1"/>
    <w:rsid w:val="00AE2937"/>
    <w:rsid w:val="00B07301"/>
    <w:rsid w:val="00B224DE"/>
    <w:rsid w:val="00B34322"/>
    <w:rsid w:val="00B42A8D"/>
    <w:rsid w:val="00B46575"/>
    <w:rsid w:val="00B84BBD"/>
    <w:rsid w:val="00BA43FB"/>
    <w:rsid w:val="00BC127D"/>
    <w:rsid w:val="00BC1FE6"/>
    <w:rsid w:val="00C01157"/>
    <w:rsid w:val="00C061B6"/>
    <w:rsid w:val="00C21C04"/>
    <w:rsid w:val="00C2446C"/>
    <w:rsid w:val="00C36AE5"/>
    <w:rsid w:val="00C41F17"/>
    <w:rsid w:val="00C4501B"/>
    <w:rsid w:val="00C5280D"/>
    <w:rsid w:val="00C5791C"/>
    <w:rsid w:val="00C66290"/>
    <w:rsid w:val="00C72B7A"/>
    <w:rsid w:val="00C973F2"/>
    <w:rsid w:val="00CA304C"/>
    <w:rsid w:val="00CA774A"/>
    <w:rsid w:val="00CC11B0"/>
    <w:rsid w:val="00CF7E36"/>
    <w:rsid w:val="00D01CAF"/>
    <w:rsid w:val="00D3708D"/>
    <w:rsid w:val="00D40426"/>
    <w:rsid w:val="00D57C96"/>
    <w:rsid w:val="00D71B9B"/>
    <w:rsid w:val="00D91203"/>
    <w:rsid w:val="00D95174"/>
    <w:rsid w:val="00DA6F36"/>
    <w:rsid w:val="00DB596E"/>
    <w:rsid w:val="00DB7E24"/>
    <w:rsid w:val="00DC00EA"/>
    <w:rsid w:val="00E32F7E"/>
    <w:rsid w:val="00E72D49"/>
    <w:rsid w:val="00E74FCC"/>
    <w:rsid w:val="00E7593C"/>
    <w:rsid w:val="00E7678A"/>
    <w:rsid w:val="00E84A64"/>
    <w:rsid w:val="00E935F1"/>
    <w:rsid w:val="00E94A81"/>
    <w:rsid w:val="00EA1FFB"/>
    <w:rsid w:val="00EB048E"/>
    <w:rsid w:val="00EB4912"/>
    <w:rsid w:val="00EE34DF"/>
    <w:rsid w:val="00EE7171"/>
    <w:rsid w:val="00EF2F89"/>
    <w:rsid w:val="00F02967"/>
    <w:rsid w:val="00F04CB8"/>
    <w:rsid w:val="00F1237A"/>
    <w:rsid w:val="00F22CBD"/>
    <w:rsid w:val="00F26B4F"/>
    <w:rsid w:val="00F45118"/>
    <w:rsid w:val="00F45372"/>
    <w:rsid w:val="00F560F7"/>
    <w:rsid w:val="00F6334D"/>
    <w:rsid w:val="00F852E4"/>
    <w:rsid w:val="00FA49AB"/>
    <w:rsid w:val="00FD5BDF"/>
    <w:rsid w:val="00FE39C7"/>
    <w:rsid w:val="00FE4E59"/>
    <w:rsid w:val="00FE5631"/>
    <w:rsid w:val="00FF6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EE7171"/>
    <w:pPr>
      <w:jc w:val="both"/>
      <w:outlineLvl w:val="0"/>
    </w:pPr>
    <w:rPr>
      <w:rFonts w:ascii="Arial" w:eastAsia="MS Mincho" w:hAnsi="Arial"/>
      <w:caps/>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uiPriority w:val="34"/>
    <w:qFormat/>
    <w:rsid w:val="00E84A64"/>
    <w:pPr>
      <w:ind w:left="720"/>
      <w:contextualSpacing/>
    </w:pPr>
  </w:style>
  <w:style w:type="paragraph" w:styleId="BalloonText">
    <w:name w:val="Balloon Text"/>
    <w:basedOn w:val="Normal"/>
    <w:link w:val="BalloonTextChar"/>
    <w:rsid w:val="00D01CAF"/>
    <w:rPr>
      <w:rFonts w:ascii="Tahoma" w:hAnsi="Tahoma" w:cs="Tahoma"/>
      <w:sz w:val="16"/>
      <w:szCs w:val="16"/>
    </w:rPr>
  </w:style>
  <w:style w:type="character" w:customStyle="1" w:styleId="BalloonTextChar">
    <w:name w:val="Balloon Text Char"/>
    <w:basedOn w:val="DefaultParagraphFont"/>
    <w:link w:val="BalloonText"/>
    <w:rsid w:val="00D01C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EE7171"/>
    <w:pPr>
      <w:jc w:val="both"/>
      <w:outlineLvl w:val="0"/>
    </w:pPr>
    <w:rPr>
      <w:rFonts w:ascii="Arial" w:eastAsia="MS Mincho" w:hAnsi="Arial"/>
      <w:caps/>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ListParagraph">
    <w:name w:val="List Paragraph"/>
    <w:basedOn w:val="Normal"/>
    <w:uiPriority w:val="34"/>
    <w:qFormat/>
    <w:rsid w:val="00E84A64"/>
    <w:pPr>
      <w:ind w:left="720"/>
      <w:contextualSpacing/>
    </w:pPr>
  </w:style>
  <w:style w:type="paragraph" w:styleId="BalloonText">
    <w:name w:val="Balloon Text"/>
    <w:basedOn w:val="Normal"/>
    <w:link w:val="BalloonTextChar"/>
    <w:rsid w:val="00D01CAF"/>
    <w:rPr>
      <w:rFonts w:ascii="Tahoma" w:hAnsi="Tahoma" w:cs="Tahoma"/>
      <w:sz w:val="16"/>
      <w:szCs w:val="16"/>
    </w:rPr>
  </w:style>
  <w:style w:type="character" w:customStyle="1" w:styleId="BalloonTextChar">
    <w:name w:val="Balloon Text Char"/>
    <w:basedOn w:val="DefaultParagraphFont"/>
    <w:link w:val="BalloonText"/>
    <w:rsid w:val="00D01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233">
      <w:bodyDiv w:val="1"/>
      <w:marLeft w:val="0"/>
      <w:marRight w:val="0"/>
      <w:marTop w:val="0"/>
      <w:marBottom w:val="0"/>
      <w:divBdr>
        <w:top w:val="none" w:sz="0" w:space="0" w:color="auto"/>
        <w:left w:val="none" w:sz="0" w:space="0" w:color="auto"/>
        <w:bottom w:val="none" w:sz="0" w:space="0" w:color="auto"/>
        <w:right w:val="none" w:sz="0" w:space="0" w:color="auto"/>
      </w:divBdr>
    </w:div>
    <w:div w:id="227768622">
      <w:bodyDiv w:val="1"/>
      <w:marLeft w:val="0"/>
      <w:marRight w:val="0"/>
      <w:marTop w:val="0"/>
      <w:marBottom w:val="0"/>
      <w:divBdr>
        <w:top w:val="none" w:sz="0" w:space="0" w:color="auto"/>
        <w:left w:val="none" w:sz="0" w:space="0" w:color="auto"/>
        <w:bottom w:val="none" w:sz="0" w:space="0" w:color="auto"/>
        <w:right w:val="none" w:sz="0" w:space="0" w:color="auto"/>
      </w:divBdr>
    </w:div>
    <w:div w:id="613100098">
      <w:bodyDiv w:val="1"/>
      <w:marLeft w:val="0"/>
      <w:marRight w:val="0"/>
      <w:marTop w:val="0"/>
      <w:marBottom w:val="0"/>
      <w:divBdr>
        <w:top w:val="none" w:sz="0" w:space="0" w:color="auto"/>
        <w:left w:val="none" w:sz="0" w:space="0" w:color="auto"/>
        <w:bottom w:val="none" w:sz="0" w:space="0" w:color="auto"/>
        <w:right w:val="none" w:sz="0" w:space="0" w:color="auto"/>
      </w:divBdr>
    </w:div>
    <w:div w:id="857427446">
      <w:bodyDiv w:val="1"/>
      <w:marLeft w:val="0"/>
      <w:marRight w:val="0"/>
      <w:marTop w:val="0"/>
      <w:marBottom w:val="0"/>
      <w:divBdr>
        <w:top w:val="none" w:sz="0" w:space="0" w:color="auto"/>
        <w:left w:val="none" w:sz="0" w:space="0" w:color="auto"/>
        <w:bottom w:val="none" w:sz="0" w:space="0" w:color="auto"/>
        <w:right w:val="none" w:sz="0" w:space="0" w:color="auto"/>
      </w:divBdr>
    </w:div>
    <w:div w:id="980384142">
      <w:bodyDiv w:val="1"/>
      <w:marLeft w:val="0"/>
      <w:marRight w:val="0"/>
      <w:marTop w:val="0"/>
      <w:marBottom w:val="0"/>
      <w:divBdr>
        <w:top w:val="none" w:sz="0" w:space="0" w:color="auto"/>
        <w:left w:val="none" w:sz="0" w:space="0" w:color="auto"/>
        <w:bottom w:val="none" w:sz="0" w:space="0" w:color="auto"/>
        <w:right w:val="none" w:sz="0" w:space="0" w:color="auto"/>
      </w:divBdr>
    </w:div>
    <w:div w:id="1111778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4_Jan_Mtg\Template\template%20TC_EDC_Jan_1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TC_EDC_Jan_14_EN.dotx</Template>
  <TotalTime>387</TotalTime>
  <Pages>2</Pages>
  <Words>545</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3553</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REZENDE TAVEIRA Leontino</dc:creator>
  <cp:lastModifiedBy>FAVA Alexandra</cp:lastModifiedBy>
  <cp:revision>17</cp:revision>
  <cp:lastPrinted>2013-12-16T13:14:00Z</cp:lastPrinted>
  <dcterms:created xsi:type="dcterms:W3CDTF">2013-12-13T11:03:00Z</dcterms:created>
  <dcterms:modified xsi:type="dcterms:W3CDTF">2013-12-16T13:50:00Z</dcterms:modified>
</cp:coreProperties>
</file>