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815738" w14:paraId="3612A074" w14:textId="77777777" w:rsidTr="00F26786">
        <w:tc>
          <w:tcPr>
            <w:tcW w:w="6522" w:type="dxa"/>
          </w:tcPr>
          <w:p w14:paraId="334F9761" w14:textId="11EE6AAE" w:rsidR="00421571" w:rsidRPr="00AC2883" w:rsidRDefault="00C16B87" w:rsidP="00F26786">
            <w:r>
              <w:rPr>
                <w:noProof/>
              </w:rPr>
              <w:drawing>
                <wp:inline distT="0" distB="0" distL="0" distR="0" wp14:anchorId="027F4B9E" wp14:editId="68848B91">
                  <wp:extent cx="933450" cy="266408"/>
                  <wp:effectExtent l="0" t="0" r="0" b="635"/>
                  <wp:docPr id="45706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06048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8200" cy="267764"/>
                          </a:xfrm>
                          <a:prstGeom prst="rect">
                            <a:avLst/>
                          </a:prstGeom>
                          <a:noFill/>
                          <a:ln>
                            <a:noFill/>
                          </a:ln>
                        </pic:spPr>
                      </pic:pic>
                    </a:graphicData>
                  </a:graphic>
                </wp:inline>
              </w:drawing>
            </w:r>
          </w:p>
        </w:tc>
        <w:tc>
          <w:tcPr>
            <w:tcW w:w="3117" w:type="dxa"/>
          </w:tcPr>
          <w:p w14:paraId="0F6F2607" w14:textId="77777777" w:rsidR="00421571" w:rsidRPr="007C1D92" w:rsidRDefault="00421571" w:rsidP="00F26786">
            <w:pPr>
              <w:pStyle w:val="Lettrine"/>
            </w:pPr>
            <w:r w:rsidRPr="00172084">
              <w:t>E</w:t>
            </w:r>
          </w:p>
        </w:tc>
      </w:tr>
      <w:tr w:rsidR="00421571" w:rsidRPr="00DA4973" w14:paraId="58F1FB94" w14:textId="77777777" w:rsidTr="00F26786">
        <w:trPr>
          <w:trHeight w:val="219"/>
        </w:trPr>
        <w:tc>
          <w:tcPr>
            <w:tcW w:w="6522" w:type="dxa"/>
          </w:tcPr>
          <w:p w14:paraId="03A247AE" w14:textId="77777777" w:rsidR="00421571" w:rsidRPr="00AC2883" w:rsidRDefault="00421571" w:rsidP="00F26786">
            <w:pPr>
              <w:pStyle w:val="upove"/>
            </w:pPr>
            <w:r w:rsidRPr="00AC2883">
              <w:t>International Union for the Protection of New Varieties of Plants</w:t>
            </w:r>
          </w:p>
        </w:tc>
        <w:tc>
          <w:tcPr>
            <w:tcW w:w="3117" w:type="dxa"/>
          </w:tcPr>
          <w:p w14:paraId="03A480E8" w14:textId="77777777" w:rsidR="00421571" w:rsidRPr="00DA4973" w:rsidRDefault="00421571" w:rsidP="00F26786"/>
        </w:tc>
      </w:tr>
    </w:tbl>
    <w:p w14:paraId="564D388D" w14:textId="77777777" w:rsidR="00421571" w:rsidRDefault="00421571" w:rsidP="00421571"/>
    <w:p w14:paraId="6B7F669E" w14:textId="77777777" w:rsidR="00F96C11" w:rsidRPr="00365DC1" w:rsidRDefault="00F96C11" w:rsidP="00F96C11"/>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C5280D" w14:paraId="524487DA" w14:textId="77777777" w:rsidTr="00B314FB">
        <w:tc>
          <w:tcPr>
            <w:tcW w:w="6512" w:type="dxa"/>
          </w:tcPr>
          <w:p w14:paraId="11909CBC" w14:textId="77777777" w:rsidR="00F96C11" w:rsidRPr="00AC2883" w:rsidRDefault="00F96C11" w:rsidP="00B314FB">
            <w:pPr>
              <w:pStyle w:val="Sessiontc"/>
              <w:spacing w:line="240" w:lineRule="auto"/>
            </w:pPr>
            <w:r w:rsidRPr="00DA4973">
              <w:t>Technical Committee</w:t>
            </w:r>
          </w:p>
          <w:p w14:paraId="73D989F9" w14:textId="77777777" w:rsidR="00F96C11" w:rsidRDefault="00F96C11" w:rsidP="00B314FB">
            <w:pPr>
              <w:pStyle w:val="Sessiontcplacedate"/>
            </w:pPr>
            <w:r>
              <w:t>Sixty-First</w:t>
            </w:r>
            <w:r w:rsidRPr="00DA4973">
              <w:t xml:space="preserve"> Session</w:t>
            </w:r>
          </w:p>
          <w:p w14:paraId="7B8EFFB4" w14:textId="77777777" w:rsidR="00F96C11" w:rsidRPr="00DC3802" w:rsidRDefault="00F96C11" w:rsidP="00B314FB">
            <w:pPr>
              <w:pStyle w:val="Sessiontcplacedate"/>
              <w:rPr>
                <w:sz w:val="22"/>
              </w:rPr>
            </w:pPr>
            <w:r w:rsidRPr="00DA4973">
              <w:t xml:space="preserve">Geneva, </w:t>
            </w:r>
            <w:r>
              <w:t>October 20 and 21, 2025</w:t>
            </w:r>
          </w:p>
        </w:tc>
        <w:tc>
          <w:tcPr>
            <w:tcW w:w="3127" w:type="dxa"/>
          </w:tcPr>
          <w:p w14:paraId="37F48C1C" w14:textId="69E8D929" w:rsidR="00F96C11" w:rsidRPr="003C7FBE" w:rsidRDefault="00F96C11" w:rsidP="00B314FB">
            <w:pPr>
              <w:pStyle w:val="Doccode"/>
            </w:pPr>
            <w:r>
              <w:t>TC/61/</w:t>
            </w:r>
            <w:r w:rsidR="00F54661">
              <w:t>3</w:t>
            </w:r>
          </w:p>
          <w:p w14:paraId="3BAFE16B" w14:textId="77777777" w:rsidR="00F96C11" w:rsidRPr="003C7FBE" w:rsidRDefault="00F96C11" w:rsidP="00B314FB">
            <w:pPr>
              <w:pStyle w:val="Docoriginal"/>
            </w:pPr>
            <w:r w:rsidRPr="00AC2883">
              <w:t>Original:</w:t>
            </w:r>
            <w:r w:rsidRPr="000E636A">
              <w:rPr>
                <w:b w:val="0"/>
                <w:spacing w:val="0"/>
              </w:rPr>
              <w:t xml:space="preserve">  English</w:t>
            </w:r>
          </w:p>
          <w:p w14:paraId="65679824" w14:textId="48DC0766" w:rsidR="00F96C11" w:rsidRPr="007C1D92" w:rsidRDefault="00F96C11" w:rsidP="00B314FB">
            <w:pPr>
              <w:pStyle w:val="Docoriginal"/>
            </w:pPr>
            <w:r w:rsidRPr="00AC2883">
              <w:t>Date</w:t>
            </w:r>
            <w:proofErr w:type="gramStart"/>
            <w:r w:rsidRPr="00AC2883">
              <w:t>:</w:t>
            </w:r>
            <w:r>
              <w:rPr>
                <w:b w:val="0"/>
                <w:spacing w:val="0"/>
              </w:rPr>
              <w:t xml:space="preserve">  </w:t>
            </w:r>
            <w:r w:rsidR="00F70CD4" w:rsidRPr="00397554">
              <w:rPr>
                <w:b w:val="0"/>
                <w:spacing w:val="0"/>
              </w:rPr>
              <w:t>September</w:t>
            </w:r>
            <w:proofErr w:type="gramEnd"/>
            <w:r w:rsidR="00F70CD4" w:rsidRPr="00397554">
              <w:rPr>
                <w:b w:val="0"/>
                <w:spacing w:val="0"/>
              </w:rPr>
              <w:t xml:space="preserve"> </w:t>
            </w:r>
            <w:r w:rsidR="00397554" w:rsidRPr="00397554">
              <w:rPr>
                <w:b w:val="0"/>
                <w:spacing w:val="0"/>
              </w:rPr>
              <w:t>22</w:t>
            </w:r>
            <w:r w:rsidRPr="00397554">
              <w:rPr>
                <w:b w:val="0"/>
                <w:spacing w:val="0"/>
              </w:rPr>
              <w:t>, 2025</w:t>
            </w:r>
          </w:p>
        </w:tc>
      </w:tr>
    </w:tbl>
    <w:p w14:paraId="2A1C89D1" w14:textId="3E8D6E23" w:rsidR="00F96C11" w:rsidRPr="006A644A" w:rsidRDefault="00F54661" w:rsidP="00F96C11">
      <w:pPr>
        <w:pStyle w:val="Titleofdoc0"/>
      </w:pPr>
      <w:r w:rsidRPr="00F54661">
        <w:t>Matters arising from the Technical Working Parties</w:t>
      </w:r>
    </w:p>
    <w:p w14:paraId="23DFE5AD" w14:textId="77777777" w:rsidR="003D0839" w:rsidRPr="006A644A" w:rsidRDefault="003D0839" w:rsidP="003D0839">
      <w:pPr>
        <w:pStyle w:val="preparedby1"/>
        <w:jc w:val="left"/>
      </w:pPr>
      <w:r w:rsidRPr="000C4E25">
        <w:t>Document prepared by the Office of the Union</w:t>
      </w:r>
    </w:p>
    <w:p w14:paraId="5F7AF403" w14:textId="77777777" w:rsidR="003D0839" w:rsidRPr="006A644A" w:rsidRDefault="003D0839" w:rsidP="003D0839">
      <w:pPr>
        <w:pStyle w:val="Disclaimer"/>
      </w:pPr>
      <w:r w:rsidRPr="006A644A">
        <w:t>Disclaimer</w:t>
      </w:r>
      <w:proofErr w:type="gramStart"/>
      <w:r w:rsidRPr="006A644A">
        <w:t>:  this</w:t>
      </w:r>
      <w:proofErr w:type="gramEnd"/>
      <w:r w:rsidRPr="006A644A">
        <w:t xml:space="preserve"> document does not represent UPOV policies or guidance</w:t>
      </w:r>
    </w:p>
    <w:p w14:paraId="02679996" w14:textId="77777777" w:rsidR="00F21482" w:rsidRPr="00F21482" w:rsidRDefault="00F21482" w:rsidP="00F21482">
      <w:pPr>
        <w:keepNext/>
        <w:outlineLvl w:val="0"/>
        <w:rPr>
          <w:caps/>
        </w:rPr>
      </w:pPr>
      <w:bookmarkStart w:id="0" w:name="_Toc20505077"/>
      <w:bookmarkStart w:id="1" w:name="_Toc208828849"/>
      <w:r w:rsidRPr="00F21482">
        <w:rPr>
          <w:caps/>
        </w:rPr>
        <w:t>EXECUTIVE SUMMARY</w:t>
      </w:r>
      <w:bookmarkEnd w:id="0"/>
      <w:bookmarkEnd w:id="1"/>
    </w:p>
    <w:p w14:paraId="5B7BC1B1" w14:textId="77777777" w:rsidR="00F21482" w:rsidRPr="00F21482" w:rsidRDefault="00F21482" w:rsidP="00F21482">
      <w:pPr>
        <w:rPr>
          <w:color w:val="000000"/>
        </w:rPr>
      </w:pPr>
    </w:p>
    <w:p w14:paraId="35C297F8" w14:textId="770671AA" w:rsidR="00F21482" w:rsidRPr="00F21482" w:rsidRDefault="00F21482" w:rsidP="00F21482">
      <w:pPr>
        <w:rPr>
          <w:color w:val="000000"/>
        </w:rPr>
      </w:pPr>
      <w:r w:rsidRPr="00F21482">
        <w:rPr>
          <w:color w:val="000000"/>
        </w:rPr>
        <w:fldChar w:fldCharType="begin"/>
      </w:r>
      <w:r w:rsidRPr="00F21482">
        <w:rPr>
          <w:color w:val="000000"/>
        </w:rPr>
        <w:instrText xml:space="preserve"> AUTONUM  </w:instrText>
      </w:r>
      <w:r w:rsidRPr="00F21482">
        <w:rPr>
          <w:color w:val="000000"/>
        </w:rPr>
        <w:fldChar w:fldCharType="end"/>
      </w:r>
      <w:r w:rsidRPr="00F21482">
        <w:rPr>
          <w:color w:val="000000"/>
        </w:rPr>
        <w:tab/>
        <w:t>This document compiles matters not expressly covered by specific agenda items arising from the 202</w:t>
      </w:r>
      <w:r>
        <w:rPr>
          <w:color w:val="000000"/>
        </w:rPr>
        <w:t>5</w:t>
      </w:r>
      <w:r w:rsidRPr="00F21482">
        <w:rPr>
          <w:color w:val="000000"/>
        </w:rPr>
        <w:t xml:space="preserve"> sessions of the </w:t>
      </w:r>
      <w:r w:rsidRPr="00F21482">
        <w:rPr>
          <w:rFonts w:eastAsia="PMingLiU"/>
          <w:szCs w:val="24"/>
        </w:rPr>
        <w:t>Technical Working Party for Ornamental Plants and Forest Trees (TWO)</w:t>
      </w:r>
      <w:r w:rsidRPr="00F21482">
        <w:rPr>
          <w:rFonts w:eastAsia="PMingLiU"/>
          <w:szCs w:val="24"/>
          <w:vertAlign w:val="superscript"/>
        </w:rPr>
        <w:footnoteReference w:id="2"/>
      </w:r>
      <w:r w:rsidRPr="00F21482">
        <w:rPr>
          <w:rFonts w:eastAsia="PMingLiU"/>
          <w:szCs w:val="24"/>
        </w:rPr>
        <w:t>, Technical Working Party for Vegetables (TWV)</w:t>
      </w:r>
      <w:r w:rsidRPr="00F21482">
        <w:rPr>
          <w:rFonts w:eastAsia="PMingLiU"/>
          <w:szCs w:val="24"/>
          <w:vertAlign w:val="superscript"/>
        </w:rPr>
        <w:footnoteReference w:id="3"/>
      </w:r>
      <w:r w:rsidRPr="00F21482">
        <w:rPr>
          <w:rFonts w:eastAsia="PMingLiU"/>
          <w:szCs w:val="24"/>
        </w:rPr>
        <w:t xml:space="preserve">, </w:t>
      </w:r>
      <w:r w:rsidRPr="00F21482">
        <w:rPr>
          <w:color w:val="000000"/>
        </w:rPr>
        <w:t>Technical Working Party on Testing Methods and Techniques (TWM)</w:t>
      </w:r>
      <w:r w:rsidRPr="00F21482">
        <w:rPr>
          <w:rFonts w:eastAsia="PMingLiU"/>
          <w:szCs w:val="24"/>
          <w:vertAlign w:val="superscript"/>
        </w:rPr>
        <w:footnoteReference w:id="4"/>
      </w:r>
      <w:r w:rsidRPr="00F21482">
        <w:rPr>
          <w:rFonts w:eastAsia="PMingLiU"/>
          <w:szCs w:val="24"/>
        </w:rPr>
        <w:t>,</w:t>
      </w:r>
      <w:r w:rsidRPr="00F21482">
        <w:rPr>
          <w:color w:val="000000"/>
        </w:rPr>
        <w:t xml:space="preserve"> </w:t>
      </w:r>
      <w:r w:rsidRPr="00F21482">
        <w:rPr>
          <w:rFonts w:eastAsia="PMingLiU"/>
          <w:szCs w:val="24"/>
        </w:rPr>
        <w:t>Technical Working Party for Agricultural Crops (TWA)</w:t>
      </w:r>
      <w:r w:rsidRPr="00F21482">
        <w:rPr>
          <w:rFonts w:eastAsia="PMingLiU"/>
          <w:szCs w:val="24"/>
          <w:vertAlign w:val="superscript"/>
        </w:rPr>
        <w:footnoteReference w:id="5"/>
      </w:r>
      <w:r w:rsidRPr="00F21482">
        <w:rPr>
          <w:color w:val="000000"/>
        </w:rPr>
        <w:t xml:space="preserve"> </w:t>
      </w:r>
      <w:r w:rsidRPr="00F21482">
        <w:rPr>
          <w:rFonts w:eastAsia="PMingLiU"/>
          <w:szCs w:val="24"/>
        </w:rPr>
        <w:t>and Technical Working Party for Fruit Crops</w:t>
      </w:r>
      <w:r w:rsidRPr="00F21482">
        <w:rPr>
          <w:color w:val="000000"/>
        </w:rPr>
        <w:t xml:space="preserve"> (TWF)</w:t>
      </w:r>
      <w:r w:rsidRPr="00F21482">
        <w:rPr>
          <w:color w:val="000000"/>
          <w:vertAlign w:val="superscript"/>
        </w:rPr>
        <w:footnoteReference w:id="6"/>
      </w:r>
      <w:r w:rsidRPr="00F21482">
        <w:rPr>
          <w:color w:val="000000"/>
        </w:rPr>
        <w:t xml:space="preserve">.  </w:t>
      </w:r>
    </w:p>
    <w:p w14:paraId="054CC875" w14:textId="77777777" w:rsidR="00F21482" w:rsidRPr="00F21482" w:rsidRDefault="00F21482" w:rsidP="00F21482">
      <w:pPr>
        <w:rPr>
          <w:color w:val="000000"/>
        </w:rPr>
      </w:pPr>
    </w:p>
    <w:p w14:paraId="6DB2EF4B" w14:textId="77777777" w:rsidR="00F21482" w:rsidRPr="00F21482" w:rsidRDefault="00F21482" w:rsidP="00F21482">
      <w:r w:rsidRPr="00F21482">
        <w:rPr>
          <w:color w:val="000000"/>
        </w:rPr>
        <w:fldChar w:fldCharType="begin"/>
      </w:r>
      <w:r w:rsidRPr="00F21482">
        <w:rPr>
          <w:color w:val="000000"/>
        </w:rPr>
        <w:instrText xml:space="preserve"> AUTONUM  </w:instrText>
      </w:r>
      <w:r w:rsidRPr="00F21482">
        <w:rPr>
          <w:color w:val="000000"/>
        </w:rPr>
        <w:fldChar w:fldCharType="end"/>
      </w:r>
      <w:r w:rsidRPr="00F21482">
        <w:rPr>
          <w:color w:val="000000"/>
        </w:rPr>
        <w:tab/>
        <w:t>This document is</w:t>
      </w:r>
      <w:r w:rsidRPr="00F21482">
        <w:t xml:space="preserve"> presented in two sections.  The first section, “Matters for information and for a possible decision to be taken by the Technical Committee (TC)</w:t>
      </w:r>
      <w:r w:rsidRPr="00F21482">
        <w:rPr>
          <w:caps/>
        </w:rPr>
        <w:t>”,</w:t>
      </w:r>
      <w:r w:rsidRPr="00F21482">
        <w:t xml:space="preserve"> identifies matters which may require a decision to be taken by the TC.  The Office of the Union (Office) has highlighted aspects where the TC may wish to take a decision by introducing a proposed decision paragraph.  The second section, “Matters for information”, is provided for the information of the </w:t>
      </w:r>
      <w:r w:rsidRPr="00F21482">
        <w:rPr>
          <w:color w:val="000000"/>
        </w:rPr>
        <w:t>TC</w:t>
      </w:r>
      <w:r w:rsidRPr="00F21482">
        <w:t xml:space="preserve"> but does not require decisions at this stage.</w:t>
      </w:r>
    </w:p>
    <w:p w14:paraId="0492F255" w14:textId="77777777" w:rsidR="00F21482" w:rsidRPr="00F21482" w:rsidRDefault="00F21482" w:rsidP="00F21482">
      <w:pPr>
        <w:tabs>
          <w:tab w:val="left" w:pos="567"/>
          <w:tab w:val="left" w:pos="1701"/>
        </w:tabs>
        <w:ind w:left="1695" w:hanging="1695"/>
        <w:rPr>
          <w:rFonts w:eastAsia="PMingLiU"/>
          <w:szCs w:val="24"/>
        </w:rPr>
      </w:pPr>
    </w:p>
    <w:p w14:paraId="14675184" w14:textId="77777777" w:rsidR="00F21482" w:rsidRPr="00F21482" w:rsidRDefault="00F21482" w:rsidP="00F21482">
      <w:pPr>
        <w:tabs>
          <w:tab w:val="left" w:pos="567"/>
        </w:tabs>
      </w:pPr>
      <w:r w:rsidRPr="00F21482">
        <w:fldChar w:fldCharType="begin"/>
      </w:r>
      <w:r w:rsidRPr="00F21482">
        <w:instrText xml:space="preserve"> AUTONUM  </w:instrText>
      </w:r>
      <w:r w:rsidRPr="00F21482">
        <w:fldChar w:fldCharType="end"/>
      </w:r>
      <w:r w:rsidRPr="00F21482">
        <w:tab/>
      </w:r>
      <w:proofErr w:type="gramStart"/>
      <w:r w:rsidRPr="00F21482">
        <w:t>The TC</w:t>
      </w:r>
      <w:proofErr w:type="gramEnd"/>
      <w:r w:rsidRPr="00F21482">
        <w:t xml:space="preserve"> is invited to: </w:t>
      </w:r>
    </w:p>
    <w:p w14:paraId="5AAEF5FD" w14:textId="77777777" w:rsidR="00F21482" w:rsidRPr="00F21482" w:rsidRDefault="00F21482" w:rsidP="00F21482">
      <w:pPr>
        <w:tabs>
          <w:tab w:val="left" w:pos="567"/>
        </w:tabs>
      </w:pPr>
    </w:p>
    <w:p w14:paraId="051FDE3B" w14:textId="0829E20C" w:rsidR="00F21482" w:rsidRPr="0082202C" w:rsidRDefault="008872DC" w:rsidP="008872DC">
      <w:pPr>
        <w:pStyle w:val="ListParagraph"/>
        <w:keepNext/>
        <w:keepLines/>
        <w:numPr>
          <w:ilvl w:val="0"/>
          <w:numId w:val="5"/>
        </w:numPr>
        <w:tabs>
          <w:tab w:val="left" w:pos="5387"/>
        </w:tabs>
        <w:rPr>
          <w:iCs/>
          <w:lang w:eastAsia="fr-FR"/>
        </w:rPr>
      </w:pPr>
      <w:r w:rsidRPr="00D90661">
        <w:rPr>
          <w:iCs/>
        </w:rPr>
        <w:t>consider the proposal from the TWV for a survey among UPOV members on whether additional characteristics not included in Test Guidelines could constitute a barrier to taking over test reports</w:t>
      </w:r>
      <w:r w:rsidRPr="00D90661">
        <w:rPr>
          <w:iCs/>
          <w:lang w:eastAsia="fr-FR"/>
        </w:rPr>
        <w:t xml:space="preserve">, as set out </w:t>
      </w:r>
      <w:r w:rsidRPr="0082202C">
        <w:rPr>
          <w:iCs/>
          <w:lang w:eastAsia="fr-FR"/>
        </w:rPr>
        <w:t xml:space="preserve">in paragraphs 10 and 11 of this </w:t>
      </w:r>
      <w:proofErr w:type="gramStart"/>
      <w:r w:rsidRPr="0082202C">
        <w:rPr>
          <w:iCs/>
          <w:lang w:eastAsia="fr-FR"/>
        </w:rPr>
        <w:t>document</w:t>
      </w:r>
      <w:proofErr w:type="gramEnd"/>
      <w:r w:rsidRPr="0082202C">
        <w:rPr>
          <w:iCs/>
          <w:lang w:eastAsia="fr-FR"/>
        </w:rPr>
        <w:t>.</w:t>
      </w:r>
      <w:r w:rsidR="00F21482" w:rsidRPr="0082202C">
        <w:rPr>
          <w:iCs/>
          <w:lang w:eastAsia="fr-FR"/>
        </w:rPr>
        <w:t>; and</w:t>
      </w:r>
    </w:p>
    <w:p w14:paraId="329D1F74" w14:textId="77777777" w:rsidR="00F21482" w:rsidRPr="0082202C" w:rsidRDefault="00F21482" w:rsidP="00F21482">
      <w:pPr>
        <w:tabs>
          <w:tab w:val="left" w:pos="567"/>
          <w:tab w:val="left" w:pos="1134"/>
        </w:tabs>
        <w:contextualSpacing/>
        <w:rPr>
          <w:rFonts w:eastAsiaTheme="minorEastAsia"/>
          <w:lang w:eastAsia="fr-FR"/>
        </w:rPr>
      </w:pPr>
    </w:p>
    <w:p w14:paraId="50CC6A73" w14:textId="77777777" w:rsidR="00F21482" w:rsidRPr="00365B2A" w:rsidRDefault="00F21482" w:rsidP="00F21482">
      <w:pPr>
        <w:numPr>
          <w:ilvl w:val="0"/>
          <w:numId w:val="5"/>
        </w:numPr>
        <w:tabs>
          <w:tab w:val="left" w:pos="567"/>
          <w:tab w:val="left" w:pos="1134"/>
        </w:tabs>
        <w:contextualSpacing/>
        <w:rPr>
          <w:rFonts w:eastAsiaTheme="minorEastAsia"/>
          <w:lang w:eastAsia="fr-FR"/>
        </w:rPr>
      </w:pPr>
      <w:r w:rsidRPr="00365B2A">
        <w:rPr>
          <w:rFonts w:eastAsiaTheme="minorEastAsia"/>
        </w:rPr>
        <w:t>note developments in the TWPs concerning:</w:t>
      </w:r>
    </w:p>
    <w:p w14:paraId="4D1C984A" w14:textId="4EF0C46E" w:rsidR="00F21482" w:rsidRPr="00365B2A" w:rsidRDefault="00F21482" w:rsidP="00563347"/>
    <w:p w14:paraId="5D0B38E8" w14:textId="252C4C26"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MS Mincho"/>
        </w:rPr>
        <w:t xml:space="preserve">Disease resistance </w:t>
      </w:r>
      <w:proofErr w:type="gramStart"/>
      <w:r w:rsidRPr="00365B2A">
        <w:rPr>
          <w:rFonts w:eastAsia="MS Mincho"/>
        </w:rPr>
        <w:t>characteristics</w:t>
      </w:r>
      <w:r w:rsidR="00F21482" w:rsidRPr="00365B2A">
        <w:rPr>
          <w:rFonts w:eastAsiaTheme="minorEastAsia"/>
        </w:rPr>
        <w:t>;</w:t>
      </w:r>
      <w:proofErr w:type="gramEnd"/>
    </w:p>
    <w:p w14:paraId="1292F6F3" w14:textId="6223C2E4"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MS Mincho"/>
        </w:rPr>
        <w:t xml:space="preserve">Characteristics observed in one growing cycle in DUS testing where the minimum duration of tests should normally be two independent growing </w:t>
      </w:r>
      <w:proofErr w:type="gramStart"/>
      <w:r w:rsidRPr="00365B2A">
        <w:rPr>
          <w:rFonts w:eastAsia="MS Mincho"/>
        </w:rPr>
        <w:t>cycles</w:t>
      </w:r>
      <w:r w:rsidR="00F21482" w:rsidRPr="00365B2A">
        <w:rPr>
          <w:rFonts w:eastAsiaTheme="minorEastAsia"/>
        </w:rPr>
        <w:t>;</w:t>
      </w:r>
      <w:proofErr w:type="gramEnd"/>
    </w:p>
    <w:p w14:paraId="2B187383" w14:textId="25EE329C"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Theme="minorEastAsia"/>
        </w:rPr>
        <w:t xml:space="preserve">Uniformity assessment of characteristics not listed in test </w:t>
      </w:r>
      <w:proofErr w:type="gramStart"/>
      <w:r w:rsidRPr="00365B2A">
        <w:rPr>
          <w:rFonts w:eastAsiaTheme="minorEastAsia"/>
        </w:rPr>
        <w:t>guidelines</w:t>
      </w:r>
      <w:r w:rsidR="00F21482" w:rsidRPr="00365B2A">
        <w:rPr>
          <w:rFonts w:eastAsiaTheme="minorEastAsia"/>
        </w:rPr>
        <w:t>;</w:t>
      </w:r>
      <w:proofErr w:type="gramEnd"/>
    </w:p>
    <w:p w14:paraId="64143B02" w14:textId="15FC5D40"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Theme="minorEastAsia"/>
        </w:rPr>
        <w:t>Report on court cases dealing with technical matters: Allium cepa L. “SK20</w:t>
      </w:r>
      <w:proofErr w:type="gramStart"/>
      <w:r w:rsidRPr="00365B2A">
        <w:rPr>
          <w:rFonts w:eastAsiaTheme="minorEastAsia"/>
        </w:rPr>
        <w:t>”</w:t>
      </w:r>
      <w:r w:rsidR="00F21482" w:rsidRPr="00365B2A">
        <w:rPr>
          <w:rFonts w:eastAsiaTheme="minorEastAsia"/>
        </w:rPr>
        <w:t>;</w:t>
      </w:r>
      <w:proofErr w:type="gramEnd"/>
    </w:p>
    <w:p w14:paraId="7728B46F" w14:textId="123D3F85" w:rsidR="00F21482" w:rsidRPr="00365B2A" w:rsidRDefault="00365B2A" w:rsidP="00F21482">
      <w:pPr>
        <w:numPr>
          <w:ilvl w:val="0"/>
          <w:numId w:val="4"/>
        </w:numPr>
        <w:tabs>
          <w:tab w:val="left" w:pos="1701"/>
        </w:tabs>
        <w:ind w:left="1134" w:hanging="567"/>
        <w:contextualSpacing/>
        <w:rPr>
          <w:rFonts w:eastAsiaTheme="minorEastAsia" w:cs="Arial"/>
        </w:rPr>
      </w:pPr>
      <w:r w:rsidRPr="00365B2A">
        <w:rPr>
          <w:rFonts w:eastAsiaTheme="minorEastAsia"/>
        </w:rPr>
        <w:t xml:space="preserve">Information databases: The value and reliability of botanical names in </w:t>
      </w:r>
      <w:proofErr w:type="gramStart"/>
      <w:r w:rsidRPr="00365B2A">
        <w:rPr>
          <w:rFonts w:eastAsiaTheme="minorEastAsia"/>
        </w:rPr>
        <w:t>ornamentals</w:t>
      </w:r>
      <w:r w:rsidR="00F21482" w:rsidRPr="00365B2A">
        <w:rPr>
          <w:rFonts w:eastAsiaTheme="minorEastAsia"/>
        </w:rPr>
        <w:t>;</w:t>
      </w:r>
      <w:proofErr w:type="gramEnd"/>
    </w:p>
    <w:p w14:paraId="6F9EF810" w14:textId="3385EFE9"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Theme="minorEastAsia"/>
        </w:rPr>
        <w:t xml:space="preserve">Software and statistical analysis methods for DUS </w:t>
      </w:r>
      <w:proofErr w:type="gramStart"/>
      <w:r w:rsidRPr="00365B2A">
        <w:rPr>
          <w:rFonts w:eastAsiaTheme="minorEastAsia"/>
        </w:rPr>
        <w:t>examination</w:t>
      </w:r>
      <w:r w:rsidR="00F21482" w:rsidRPr="00365B2A">
        <w:rPr>
          <w:rFonts w:eastAsiaTheme="minorEastAsia"/>
        </w:rPr>
        <w:t>;</w:t>
      </w:r>
      <w:proofErr w:type="gramEnd"/>
    </w:p>
    <w:p w14:paraId="409F73D3" w14:textId="0BF11227"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Theme="minorEastAsia"/>
        </w:rPr>
        <w:t xml:space="preserve">Phenotyping and image </w:t>
      </w:r>
      <w:proofErr w:type="gramStart"/>
      <w:r w:rsidRPr="00365B2A">
        <w:rPr>
          <w:rFonts w:eastAsiaTheme="minorEastAsia"/>
        </w:rPr>
        <w:t>analysis</w:t>
      </w:r>
      <w:r w:rsidR="00F21482" w:rsidRPr="00365B2A">
        <w:rPr>
          <w:rFonts w:eastAsiaTheme="minorEastAsia"/>
        </w:rPr>
        <w:t>;</w:t>
      </w:r>
      <w:proofErr w:type="gramEnd"/>
    </w:p>
    <w:p w14:paraId="402B42CA" w14:textId="7131BAF5" w:rsidR="00F21482" w:rsidRPr="00365B2A" w:rsidRDefault="00365B2A" w:rsidP="00F21482">
      <w:pPr>
        <w:numPr>
          <w:ilvl w:val="0"/>
          <w:numId w:val="4"/>
        </w:numPr>
        <w:tabs>
          <w:tab w:val="left" w:pos="1701"/>
        </w:tabs>
        <w:ind w:left="1134" w:hanging="567"/>
        <w:contextualSpacing/>
        <w:rPr>
          <w:rFonts w:eastAsiaTheme="minorEastAsia"/>
        </w:rPr>
      </w:pPr>
      <w:r w:rsidRPr="00365B2A">
        <w:rPr>
          <w:rFonts w:eastAsiaTheme="minorEastAsia"/>
        </w:rPr>
        <w:t xml:space="preserve">Variety collections: Variety collection of fruit crops in </w:t>
      </w:r>
      <w:proofErr w:type="gramStart"/>
      <w:r w:rsidRPr="00365B2A">
        <w:rPr>
          <w:rFonts w:eastAsiaTheme="minorEastAsia"/>
        </w:rPr>
        <w:t>Ukraine</w:t>
      </w:r>
      <w:r w:rsidR="00F21482" w:rsidRPr="00365B2A">
        <w:rPr>
          <w:rFonts w:eastAsiaTheme="minorEastAsia"/>
        </w:rPr>
        <w:t>;</w:t>
      </w:r>
      <w:proofErr w:type="gramEnd"/>
    </w:p>
    <w:p w14:paraId="0C93DACE" w14:textId="77777777" w:rsidR="00F21482" w:rsidRDefault="00F21482" w:rsidP="00F21482">
      <w:pPr>
        <w:tabs>
          <w:tab w:val="left" w:pos="1701"/>
        </w:tabs>
        <w:rPr>
          <w:rFonts w:cs="Arial"/>
        </w:rPr>
      </w:pPr>
    </w:p>
    <w:p w14:paraId="154C2C02" w14:textId="2DBED997" w:rsidR="00D30834" w:rsidRPr="00AA35F9" w:rsidRDefault="00D30834" w:rsidP="00D30834">
      <w:pPr>
        <w:rPr>
          <w:snapToGrid w:val="0"/>
        </w:rPr>
      </w:pPr>
      <w:r>
        <w:rPr>
          <w:snapToGrid w:val="0"/>
        </w:rPr>
        <w:fldChar w:fldCharType="begin"/>
      </w:r>
      <w:r>
        <w:rPr>
          <w:snapToGrid w:val="0"/>
        </w:rPr>
        <w:instrText xml:space="preserve"> AUTONUM  </w:instrText>
      </w:r>
      <w:r>
        <w:rPr>
          <w:snapToGrid w:val="0"/>
        </w:rPr>
        <w:fldChar w:fldCharType="end"/>
      </w:r>
      <w:r>
        <w:rPr>
          <w:snapToGrid w:val="0"/>
        </w:rPr>
        <w:tab/>
      </w:r>
      <w:r w:rsidRPr="00D30834">
        <w:rPr>
          <w:snapToGrid w:val="0"/>
        </w:rPr>
        <w:t xml:space="preserve">Discussions on “Number of growing cycles and concluding examination of fruit crops” (TWF) </w:t>
      </w:r>
      <w:r>
        <w:rPr>
          <w:snapToGrid w:val="0"/>
        </w:rPr>
        <w:t>are reported</w:t>
      </w:r>
      <w:r w:rsidRPr="00D30834">
        <w:rPr>
          <w:snapToGrid w:val="0"/>
        </w:rPr>
        <w:t xml:space="preserve"> in document SESSIONS/2025/2 “Development of Guidance and information Materials”.</w:t>
      </w:r>
      <w:r>
        <w:rPr>
          <w:snapToGrid w:val="0"/>
        </w:rPr>
        <w:t xml:space="preserve"> </w:t>
      </w:r>
    </w:p>
    <w:p w14:paraId="196AE87C" w14:textId="77777777" w:rsidR="00D30834" w:rsidRPr="00F21482" w:rsidRDefault="00D30834" w:rsidP="00F21482">
      <w:pPr>
        <w:tabs>
          <w:tab w:val="left" w:pos="1701"/>
        </w:tabs>
        <w:rPr>
          <w:rFonts w:cs="Arial"/>
        </w:rPr>
      </w:pPr>
    </w:p>
    <w:p w14:paraId="1F3DC48A" w14:textId="77777777" w:rsidR="00F21482" w:rsidRPr="00F21482" w:rsidRDefault="00F21482" w:rsidP="00F21482">
      <w:pPr>
        <w:keepNext/>
        <w:rPr>
          <w:color w:val="000000"/>
        </w:rPr>
      </w:pPr>
      <w:r w:rsidRPr="00F21482">
        <w:rPr>
          <w:color w:val="000000"/>
        </w:rPr>
        <w:lastRenderedPageBreak/>
        <w:fldChar w:fldCharType="begin"/>
      </w:r>
      <w:r w:rsidRPr="00F21482">
        <w:rPr>
          <w:color w:val="000000"/>
        </w:rPr>
        <w:instrText xml:space="preserve"> AUTONUM  </w:instrText>
      </w:r>
      <w:r w:rsidRPr="00F21482">
        <w:rPr>
          <w:color w:val="000000"/>
        </w:rPr>
        <w:fldChar w:fldCharType="end"/>
      </w:r>
      <w:r w:rsidRPr="00F21482">
        <w:rPr>
          <w:color w:val="000000"/>
        </w:rPr>
        <w:tab/>
        <w:t>The following abbreviations are used in this document:</w:t>
      </w:r>
    </w:p>
    <w:p w14:paraId="1FA9A259" w14:textId="77777777" w:rsidR="00F21482" w:rsidRPr="00F21482" w:rsidRDefault="00F21482" w:rsidP="00F21482">
      <w:pPr>
        <w:keepNext/>
        <w:ind w:left="1692" w:hanging="1125"/>
        <w:jc w:val="left"/>
        <w:rPr>
          <w:color w:val="000000"/>
        </w:rPr>
      </w:pPr>
    </w:p>
    <w:p w14:paraId="49C5FD5C" w14:textId="77777777" w:rsidR="00F21482" w:rsidRPr="00F21482" w:rsidRDefault="00F21482" w:rsidP="00F21482">
      <w:pPr>
        <w:keepNext/>
        <w:tabs>
          <w:tab w:val="left" w:pos="567"/>
          <w:tab w:val="left" w:pos="1701"/>
        </w:tabs>
      </w:pPr>
      <w:r w:rsidRPr="00F21482">
        <w:tab/>
        <w:t>TC:</w:t>
      </w:r>
      <w:r w:rsidRPr="00F21482">
        <w:tab/>
        <w:t>Technical Committee</w:t>
      </w:r>
    </w:p>
    <w:p w14:paraId="4B9581C5" w14:textId="77777777" w:rsidR="00F21482" w:rsidRPr="00F21482" w:rsidRDefault="00F21482" w:rsidP="00F21482">
      <w:pPr>
        <w:keepNext/>
        <w:tabs>
          <w:tab w:val="left" w:pos="567"/>
          <w:tab w:val="left" w:pos="1701"/>
        </w:tabs>
        <w:rPr>
          <w:rFonts w:eastAsia="PMingLiU"/>
          <w:szCs w:val="24"/>
        </w:rPr>
      </w:pPr>
      <w:r w:rsidRPr="00F21482">
        <w:rPr>
          <w:rFonts w:eastAsia="PMingLiU"/>
          <w:szCs w:val="24"/>
        </w:rPr>
        <w:tab/>
        <w:t>TWA:</w:t>
      </w:r>
      <w:r w:rsidRPr="00F21482">
        <w:rPr>
          <w:rFonts w:eastAsia="PMingLiU"/>
          <w:szCs w:val="24"/>
        </w:rPr>
        <w:tab/>
        <w:t>Technical Working Party for Agricultural Crops</w:t>
      </w:r>
    </w:p>
    <w:p w14:paraId="41A04A1E" w14:textId="77777777" w:rsidR="00F21482" w:rsidRPr="00F21482" w:rsidRDefault="00F21482" w:rsidP="00F21482">
      <w:pPr>
        <w:tabs>
          <w:tab w:val="left" w:pos="567"/>
          <w:tab w:val="left" w:pos="1701"/>
        </w:tabs>
        <w:rPr>
          <w:rFonts w:eastAsia="PMingLiU"/>
          <w:szCs w:val="24"/>
        </w:rPr>
      </w:pPr>
      <w:r w:rsidRPr="00F21482">
        <w:rPr>
          <w:rFonts w:eastAsia="PMingLiU"/>
          <w:szCs w:val="24"/>
        </w:rPr>
        <w:tab/>
        <w:t>TWF</w:t>
      </w:r>
      <w:proofErr w:type="gramStart"/>
      <w:r w:rsidRPr="00F21482">
        <w:rPr>
          <w:rFonts w:eastAsia="PMingLiU"/>
          <w:szCs w:val="24"/>
        </w:rPr>
        <w:t xml:space="preserve">: </w:t>
      </w:r>
      <w:r w:rsidRPr="00F21482">
        <w:rPr>
          <w:rFonts w:eastAsia="PMingLiU"/>
          <w:szCs w:val="24"/>
        </w:rPr>
        <w:tab/>
        <w:t>Technical</w:t>
      </w:r>
      <w:proofErr w:type="gramEnd"/>
      <w:r w:rsidRPr="00F21482">
        <w:rPr>
          <w:rFonts w:eastAsia="PMingLiU"/>
          <w:szCs w:val="24"/>
        </w:rPr>
        <w:t xml:space="preserve"> Working Party for Fruit Crops</w:t>
      </w:r>
    </w:p>
    <w:p w14:paraId="3D483BC9" w14:textId="77777777" w:rsidR="00F21482" w:rsidRPr="00F21482" w:rsidRDefault="00F21482" w:rsidP="00F21482">
      <w:pPr>
        <w:tabs>
          <w:tab w:val="left" w:pos="567"/>
          <w:tab w:val="left" w:pos="1701"/>
        </w:tabs>
        <w:rPr>
          <w:rFonts w:eastAsia="PMingLiU"/>
          <w:szCs w:val="24"/>
        </w:rPr>
      </w:pPr>
      <w:r w:rsidRPr="00F21482">
        <w:rPr>
          <w:rFonts w:eastAsia="PMingLiU"/>
          <w:szCs w:val="24"/>
        </w:rPr>
        <w:tab/>
        <w:t>TWM</w:t>
      </w:r>
      <w:proofErr w:type="gramStart"/>
      <w:r w:rsidRPr="00F21482">
        <w:rPr>
          <w:rFonts w:eastAsia="PMingLiU"/>
          <w:szCs w:val="24"/>
        </w:rPr>
        <w:t xml:space="preserve">: </w:t>
      </w:r>
      <w:r w:rsidRPr="00F21482">
        <w:rPr>
          <w:rFonts w:eastAsia="PMingLiU"/>
          <w:szCs w:val="24"/>
        </w:rPr>
        <w:tab/>
      </w:r>
      <w:r w:rsidRPr="00F21482">
        <w:rPr>
          <w:color w:val="000000"/>
        </w:rPr>
        <w:t>Technical</w:t>
      </w:r>
      <w:proofErr w:type="gramEnd"/>
      <w:r w:rsidRPr="00F21482">
        <w:rPr>
          <w:color w:val="000000"/>
        </w:rPr>
        <w:t xml:space="preserve"> Working Party on Testing Methods and Techniques</w:t>
      </w:r>
    </w:p>
    <w:p w14:paraId="172A7486" w14:textId="77777777" w:rsidR="00F21482" w:rsidRPr="00F21482" w:rsidRDefault="00F21482" w:rsidP="00F21482">
      <w:pPr>
        <w:tabs>
          <w:tab w:val="left" w:pos="567"/>
          <w:tab w:val="left" w:pos="1701"/>
        </w:tabs>
        <w:rPr>
          <w:rFonts w:eastAsia="PMingLiU"/>
          <w:szCs w:val="24"/>
        </w:rPr>
      </w:pPr>
      <w:r w:rsidRPr="00F21482">
        <w:rPr>
          <w:rFonts w:eastAsia="PMingLiU"/>
          <w:szCs w:val="24"/>
        </w:rPr>
        <w:tab/>
        <w:t>TWO:</w:t>
      </w:r>
      <w:r w:rsidRPr="00F21482">
        <w:rPr>
          <w:rFonts w:eastAsia="PMingLiU"/>
          <w:szCs w:val="24"/>
        </w:rPr>
        <w:tab/>
        <w:t>Technical Working Party for Ornamental Plants and Forest Trees</w:t>
      </w:r>
    </w:p>
    <w:p w14:paraId="52C4FEBD" w14:textId="77777777" w:rsidR="00F21482" w:rsidRPr="00F21482" w:rsidRDefault="00F21482" w:rsidP="00F21482">
      <w:pPr>
        <w:tabs>
          <w:tab w:val="left" w:pos="567"/>
          <w:tab w:val="left" w:pos="1701"/>
        </w:tabs>
        <w:rPr>
          <w:rFonts w:eastAsia="PMingLiU"/>
          <w:szCs w:val="24"/>
        </w:rPr>
      </w:pPr>
      <w:r w:rsidRPr="00F21482">
        <w:rPr>
          <w:rFonts w:eastAsia="PMingLiU"/>
          <w:szCs w:val="24"/>
        </w:rPr>
        <w:tab/>
        <w:t>TWPs:</w:t>
      </w:r>
      <w:r w:rsidRPr="00F21482">
        <w:rPr>
          <w:rFonts w:eastAsia="PMingLiU"/>
          <w:szCs w:val="24"/>
        </w:rPr>
        <w:tab/>
        <w:t>Technical Working Parties</w:t>
      </w:r>
    </w:p>
    <w:p w14:paraId="6A6D6C21" w14:textId="77777777" w:rsidR="00F21482" w:rsidRPr="00F21482" w:rsidRDefault="00F21482" w:rsidP="00F21482">
      <w:pPr>
        <w:tabs>
          <w:tab w:val="left" w:pos="567"/>
          <w:tab w:val="left" w:pos="1701"/>
        </w:tabs>
        <w:rPr>
          <w:rFonts w:eastAsia="PMingLiU"/>
          <w:szCs w:val="24"/>
        </w:rPr>
      </w:pPr>
      <w:r w:rsidRPr="00F21482">
        <w:rPr>
          <w:rFonts w:eastAsia="PMingLiU"/>
          <w:szCs w:val="24"/>
        </w:rPr>
        <w:tab/>
        <w:t>TWV:</w:t>
      </w:r>
      <w:r w:rsidRPr="00F21482">
        <w:rPr>
          <w:rFonts w:eastAsia="PMingLiU"/>
          <w:szCs w:val="24"/>
        </w:rPr>
        <w:tab/>
        <w:t>Technical Working Party for Vegetables</w:t>
      </w:r>
    </w:p>
    <w:p w14:paraId="02DA152B" w14:textId="77777777" w:rsidR="00F21482" w:rsidRPr="00F21482" w:rsidRDefault="00F21482" w:rsidP="00F21482">
      <w:pPr>
        <w:rPr>
          <w:highlight w:val="cyan"/>
        </w:rPr>
      </w:pPr>
    </w:p>
    <w:p w14:paraId="036ACAAC" w14:textId="77777777" w:rsidR="00F21482" w:rsidRPr="00F21482" w:rsidRDefault="00F21482" w:rsidP="00F21482">
      <w:pPr>
        <w:keepNext/>
      </w:pPr>
      <w:r w:rsidRPr="00F21482">
        <w:rPr>
          <w:color w:val="000000"/>
        </w:rPr>
        <w:fldChar w:fldCharType="begin"/>
      </w:r>
      <w:r w:rsidRPr="00F21482">
        <w:rPr>
          <w:color w:val="000000"/>
        </w:rPr>
        <w:instrText xml:space="preserve"> AUTONUM  </w:instrText>
      </w:r>
      <w:r w:rsidRPr="00F21482">
        <w:rPr>
          <w:color w:val="000000"/>
        </w:rPr>
        <w:fldChar w:fldCharType="end"/>
      </w:r>
      <w:r w:rsidRPr="00F21482">
        <w:rPr>
          <w:color w:val="000000"/>
        </w:rPr>
        <w:tab/>
      </w:r>
      <w:r w:rsidRPr="00F21482">
        <w:t>The structure of this document is as follows:</w:t>
      </w:r>
    </w:p>
    <w:p w14:paraId="32EDD6DE" w14:textId="77777777" w:rsidR="00F21482" w:rsidRPr="00F21482" w:rsidRDefault="00F21482" w:rsidP="00F21482">
      <w:pPr>
        <w:keepNext/>
      </w:pPr>
    </w:p>
    <w:p w14:paraId="50948755" w14:textId="55EC848C" w:rsidR="005639BE" w:rsidRDefault="00F21482">
      <w:pPr>
        <w:pStyle w:val="TOC1"/>
        <w:rPr>
          <w:rFonts w:asciiTheme="minorHAnsi" w:eastAsiaTheme="minorEastAsia" w:hAnsiTheme="minorHAnsi" w:cstheme="minorBidi"/>
          <w:caps w:val="0"/>
          <w:noProof/>
          <w:kern w:val="2"/>
          <w:sz w:val="24"/>
          <w:szCs w:val="24"/>
          <w14:ligatures w14:val="standardContextual"/>
        </w:rPr>
      </w:pPr>
      <w:r w:rsidRPr="00F21482">
        <w:rPr>
          <w:rFonts w:eastAsia="MS Mincho" w:cs="Arial"/>
          <w:noProof/>
          <w:lang w:eastAsia="ja-JP"/>
        </w:rPr>
        <w:fldChar w:fldCharType="begin"/>
      </w:r>
      <w:r w:rsidRPr="00F21482">
        <w:rPr>
          <w:rFonts w:eastAsia="MS Mincho" w:cs="Arial"/>
          <w:noProof/>
          <w:lang w:eastAsia="ja-JP"/>
        </w:rPr>
        <w:instrText xml:space="preserve"> TOC \o "1-3" \u </w:instrText>
      </w:r>
      <w:r w:rsidRPr="00F21482">
        <w:rPr>
          <w:rFonts w:eastAsia="MS Mincho" w:cs="Arial"/>
          <w:noProof/>
          <w:lang w:eastAsia="ja-JP"/>
        </w:rPr>
        <w:fldChar w:fldCharType="separate"/>
      </w:r>
      <w:r w:rsidR="005639BE" w:rsidRPr="0055266B">
        <w:rPr>
          <w:noProof/>
        </w:rPr>
        <w:t>EXECUTIVE SUMMARY</w:t>
      </w:r>
      <w:r w:rsidR="005639BE">
        <w:rPr>
          <w:noProof/>
        </w:rPr>
        <w:tab/>
      </w:r>
      <w:r w:rsidR="005639BE">
        <w:rPr>
          <w:noProof/>
        </w:rPr>
        <w:fldChar w:fldCharType="begin"/>
      </w:r>
      <w:r w:rsidR="005639BE">
        <w:rPr>
          <w:noProof/>
        </w:rPr>
        <w:instrText xml:space="preserve"> PAGEREF _Toc208828849 \h </w:instrText>
      </w:r>
      <w:r w:rsidR="005639BE">
        <w:rPr>
          <w:noProof/>
        </w:rPr>
      </w:r>
      <w:r w:rsidR="005639BE">
        <w:rPr>
          <w:noProof/>
        </w:rPr>
        <w:fldChar w:fldCharType="separate"/>
      </w:r>
      <w:r w:rsidR="005639BE">
        <w:rPr>
          <w:noProof/>
        </w:rPr>
        <w:t>1</w:t>
      </w:r>
      <w:r w:rsidR="005639BE">
        <w:rPr>
          <w:noProof/>
        </w:rPr>
        <w:fldChar w:fldCharType="end"/>
      </w:r>
    </w:p>
    <w:p w14:paraId="6D18A5C3" w14:textId="0E9AEF7A" w:rsidR="005639BE" w:rsidRDefault="005639BE">
      <w:pPr>
        <w:pStyle w:val="TOC1"/>
        <w:rPr>
          <w:rFonts w:asciiTheme="minorHAnsi" w:eastAsiaTheme="minorEastAsia" w:hAnsiTheme="minorHAnsi" w:cstheme="minorBidi"/>
          <w:caps w:val="0"/>
          <w:noProof/>
          <w:kern w:val="2"/>
          <w:sz w:val="24"/>
          <w:szCs w:val="24"/>
          <w14:ligatures w14:val="standardContextual"/>
        </w:rPr>
      </w:pPr>
      <w:r>
        <w:rPr>
          <w:noProof/>
        </w:rPr>
        <w:t>Matters for information and for a possible decision to be taken by the Technical Committee (TC)</w:t>
      </w:r>
      <w:r>
        <w:rPr>
          <w:noProof/>
        </w:rPr>
        <w:tab/>
      </w:r>
      <w:r>
        <w:rPr>
          <w:noProof/>
        </w:rPr>
        <w:fldChar w:fldCharType="begin"/>
      </w:r>
      <w:r>
        <w:rPr>
          <w:noProof/>
        </w:rPr>
        <w:instrText xml:space="preserve"> PAGEREF _Toc208828850 \h </w:instrText>
      </w:r>
      <w:r>
        <w:rPr>
          <w:noProof/>
        </w:rPr>
      </w:r>
      <w:r>
        <w:rPr>
          <w:noProof/>
        </w:rPr>
        <w:fldChar w:fldCharType="separate"/>
      </w:r>
      <w:r>
        <w:rPr>
          <w:noProof/>
        </w:rPr>
        <w:t>2</w:t>
      </w:r>
      <w:r>
        <w:rPr>
          <w:noProof/>
        </w:rPr>
        <w:fldChar w:fldCharType="end"/>
      </w:r>
    </w:p>
    <w:p w14:paraId="659C1A88" w14:textId="381DCCEC"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MS Mincho"/>
          <w:noProof/>
        </w:rPr>
        <w:t>Survey proposal: barriers to taking over test reports: additional characteristics not included in Test Guidelines</w:t>
      </w:r>
      <w:r>
        <w:rPr>
          <w:noProof/>
        </w:rPr>
        <w:tab/>
      </w:r>
      <w:r>
        <w:rPr>
          <w:noProof/>
        </w:rPr>
        <w:fldChar w:fldCharType="begin"/>
      </w:r>
      <w:r>
        <w:rPr>
          <w:noProof/>
        </w:rPr>
        <w:instrText xml:space="preserve"> PAGEREF _Toc208828851 \h </w:instrText>
      </w:r>
      <w:r>
        <w:rPr>
          <w:noProof/>
        </w:rPr>
      </w:r>
      <w:r>
        <w:rPr>
          <w:noProof/>
        </w:rPr>
        <w:fldChar w:fldCharType="separate"/>
      </w:r>
      <w:r>
        <w:rPr>
          <w:noProof/>
        </w:rPr>
        <w:t>2</w:t>
      </w:r>
      <w:r>
        <w:rPr>
          <w:noProof/>
        </w:rPr>
        <w:fldChar w:fldCharType="end"/>
      </w:r>
    </w:p>
    <w:p w14:paraId="30B2B471" w14:textId="662B4793"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MS Mincho"/>
          <w:noProof/>
          <w:lang w:val="en-US"/>
        </w:rPr>
        <w:t>Background</w:t>
      </w:r>
      <w:r w:rsidRPr="005639BE">
        <w:rPr>
          <w:noProof/>
          <w:lang w:val="en-US"/>
        </w:rPr>
        <w:tab/>
      </w:r>
      <w:r>
        <w:rPr>
          <w:noProof/>
        </w:rPr>
        <w:fldChar w:fldCharType="begin"/>
      </w:r>
      <w:r w:rsidRPr="005639BE">
        <w:rPr>
          <w:noProof/>
          <w:lang w:val="en-US"/>
        </w:rPr>
        <w:instrText xml:space="preserve"> PAGEREF _Toc208828852 \h </w:instrText>
      </w:r>
      <w:r>
        <w:rPr>
          <w:noProof/>
        </w:rPr>
      </w:r>
      <w:r>
        <w:rPr>
          <w:noProof/>
        </w:rPr>
        <w:fldChar w:fldCharType="separate"/>
      </w:r>
      <w:r w:rsidRPr="005639BE">
        <w:rPr>
          <w:noProof/>
          <w:lang w:val="en-US"/>
        </w:rPr>
        <w:t>2</w:t>
      </w:r>
      <w:r>
        <w:rPr>
          <w:noProof/>
        </w:rPr>
        <w:fldChar w:fldCharType="end"/>
      </w:r>
    </w:p>
    <w:p w14:paraId="52C10F24" w14:textId="49CF89B6"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noProof/>
          <w:lang w:val="en-US"/>
        </w:rPr>
        <w:t>Proposal</w:t>
      </w:r>
      <w:r w:rsidRPr="005639BE">
        <w:rPr>
          <w:noProof/>
          <w:lang w:val="en-US"/>
        </w:rPr>
        <w:tab/>
      </w:r>
      <w:r>
        <w:rPr>
          <w:noProof/>
        </w:rPr>
        <w:fldChar w:fldCharType="begin"/>
      </w:r>
      <w:r w:rsidRPr="005639BE">
        <w:rPr>
          <w:noProof/>
          <w:lang w:val="en-US"/>
        </w:rPr>
        <w:instrText xml:space="preserve"> PAGEREF _Toc208828853 \h </w:instrText>
      </w:r>
      <w:r>
        <w:rPr>
          <w:noProof/>
        </w:rPr>
      </w:r>
      <w:r>
        <w:rPr>
          <w:noProof/>
        </w:rPr>
        <w:fldChar w:fldCharType="separate"/>
      </w:r>
      <w:r w:rsidRPr="005639BE">
        <w:rPr>
          <w:noProof/>
          <w:lang w:val="en-US"/>
        </w:rPr>
        <w:t>3</w:t>
      </w:r>
      <w:r>
        <w:rPr>
          <w:noProof/>
        </w:rPr>
        <w:fldChar w:fldCharType="end"/>
      </w:r>
    </w:p>
    <w:p w14:paraId="536ECBD7" w14:textId="50371F85" w:rsidR="005639BE" w:rsidRDefault="005639BE">
      <w:pPr>
        <w:pStyle w:val="TOC1"/>
        <w:rPr>
          <w:rFonts w:asciiTheme="minorHAnsi" w:eastAsiaTheme="minorEastAsia" w:hAnsiTheme="minorHAnsi" w:cstheme="minorBidi"/>
          <w:caps w:val="0"/>
          <w:noProof/>
          <w:kern w:val="2"/>
          <w:sz w:val="24"/>
          <w:szCs w:val="24"/>
          <w14:ligatures w14:val="standardContextual"/>
        </w:rPr>
      </w:pPr>
      <w:r>
        <w:rPr>
          <w:noProof/>
        </w:rPr>
        <w:t>Matters for information</w:t>
      </w:r>
      <w:r>
        <w:rPr>
          <w:noProof/>
        </w:rPr>
        <w:tab/>
      </w:r>
      <w:r>
        <w:rPr>
          <w:noProof/>
        </w:rPr>
        <w:fldChar w:fldCharType="begin"/>
      </w:r>
      <w:r>
        <w:rPr>
          <w:noProof/>
        </w:rPr>
        <w:instrText xml:space="preserve"> PAGEREF _Toc208828854 \h </w:instrText>
      </w:r>
      <w:r>
        <w:rPr>
          <w:noProof/>
        </w:rPr>
      </w:r>
      <w:r>
        <w:rPr>
          <w:noProof/>
        </w:rPr>
        <w:fldChar w:fldCharType="separate"/>
      </w:r>
      <w:r>
        <w:rPr>
          <w:noProof/>
        </w:rPr>
        <w:t>3</w:t>
      </w:r>
      <w:r>
        <w:rPr>
          <w:noProof/>
        </w:rPr>
        <w:fldChar w:fldCharType="end"/>
      </w:r>
    </w:p>
    <w:p w14:paraId="5C8EE94B" w14:textId="23DB37ED"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MS Mincho"/>
          <w:noProof/>
        </w:rPr>
        <w:t>Disease resistance characteristics</w:t>
      </w:r>
      <w:r>
        <w:rPr>
          <w:noProof/>
        </w:rPr>
        <w:tab/>
      </w:r>
      <w:r>
        <w:rPr>
          <w:noProof/>
        </w:rPr>
        <w:fldChar w:fldCharType="begin"/>
      </w:r>
      <w:r>
        <w:rPr>
          <w:noProof/>
        </w:rPr>
        <w:instrText xml:space="preserve"> PAGEREF _Toc208828855 \h </w:instrText>
      </w:r>
      <w:r>
        <w:rPr>
          <w:noProof/>
        </w:rPr>
      </w:r>
      <w:r>
        <w:rPr>
          <w:noProof/>
        </w:rPr>
        <w:fldChar w:fldCharType="separate"/>
      </w:r>
      <w:r>
        <w:rPr>
          <w:noProof/>
        </w:rPr>
        <w:t>3</w:t>
      </w:r>
      <w:r>
        <w:rPr>
          <w:noProof/>
        </w:rPr>
        <w:fldChar w:fldCharType="end"/>
      </w:r>
    </w:p>
    <w:p w14:paraId="7198DB8D" w14:textId="2F4FD79F"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MS Mincho"/>
          <w:noProof/>
          <w:lang w:val="en-US"/>
        </w:rPr>
        <w:t>Disease resistance characteristics in Test Guidelines</w:t>
      </w:r>
      <w:r w:rsidRPr="005639BE">
        <w:rPr>
          <w:noProof/>
          <w:lang w:val="en-US"/>
        </w:rPr>
        <w:tab/>
      </w:r>
      <w:r>
        <w:rPr>
          <w:noProof/>
        </w:rPr>
        <w:fldChar w:fldCharType="begin"/>
      </w:r>
      <w:r w:rsidRPr="005639BE">
        <w:rPr>
          <w:noProof/>
          <w:lang w:val="en-US"/>
        </w:rPr>
        <w:instrText xml:space="preserve"> PAGEREF _Toc208828856 \h </w:instrText>
      </w:r>
      <w:r>
        <w:rPr>
          <w:noProof/>
        </w:rPr>
      </w:r>
      <w:r>
        <w:rPr>
          <w:noProof/>
        </w:rPr>
        <w:fldChar w:fldCharType="separate"/>
      </w:r>
      <w:r w:rsidRPr="005639BE">
        <w:rPr>
          <w:noProof/>
          <w:lang w:val="en-US"/>
        </w:rPr>
        <w:t>3</w:t>
      </w:r>
      <w:r>
        <w:rPr>
          <w:noProof/>
        </w:rPr>
        <w:fldChar w:fldCharType="end"/>
      </w:r>
    </w:p>
    <w:p w14:paraId="102BB35A" w14:textId="68F45499"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noProof/>
          <w:lang w:val="en-US"/>
        </w:rPr>
        <w:t>Resistance to Cucumber green mottle mosaic virus (CGMMV)</w:t>
      </w:r>
      <w:r w:rsidRPr="005639BE">
        <w:rPr>
          <w:noProof/>
          <w:lang w:val="en-US"/>
        </w:rPr>
        <w:tab/>
      </w:r>
      <w:r>
        <w:rPr>
          <w:noProof/>
        </w:rPr>
        <w:fldChar w:fldCharType="begin"/>
      </w:r>
      <w:r w:rsidRPr="005639BE">
        <w:rPr>
          <w:noProof/>
          <w:lang w:val="en-US"/>
        </w:rPr>
        <w:instrText xml:space="preserve"> PAGEREF _Toc208828857 \h </w:instrText>
      </w:r>
      <w:r>
        <w:rPr>
          <w:noProof/>
        </w:rPr>
      </w:r>
      <w:r>
        <w:rPr>
          <w:noProof/>
        </w:rPr>
        <w:fldChar w:fldCharType="separate"/>
      </w:r>
      <w:r w:rsidRPr="005639BE">
        <w:rPr>
          <w:noProof/>
          <w:lang w:val="en-US"/>
        </w:rPr>
        <w:t>3</w:t>
      </w:r>
      <w:r>
        <w:rPr>
          <w:noProof/>
        </w:rPr>
        <w:fldChar w:fldCharType="end"/>
      </w:r>
    </w:p>
    <w:p w14:paraId="778C325F" w14:textId="41098BA9"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MS Mincho"/>
          <w:noProof/>
        </w:rPr>
        <w:t>Characteristics observed in one growing cycle in DUS testing where the minimum duration of tests should normally be two independent growing cycles</w:t>
      </w:r>
      <w:r>
        <w:rPr>
          <w:noProof/>
        </w:rPr>
        <w:tab/>
      </w:r>
      <w:r>
        <w:rPr>
          <w:noProof/>
        </w:rPr>
        <w:fldChar w:fldCharType="begin"/>
      </w:r>
      <w:r>
        <w:rPr>
          <w:noProof/>
        </w:rPr>
        <w:instrText xml:space="preserve"> PAGEREF _Toc208828858 \h </w:instrText>
      </w:r>
      <w:r>
        <w:rPr>
          <w:noProof/>
        </w:rPr>
      </w:r>
      <w:r>
        <w:rPr>
          <w:noProof/>
        </w:rPr>
        <w:fldChar w:fldCharType="separate"/>
      </w:r>
      <w:r>
        <w:rPr>
          <w:noProof/>
        </w:rPr>
        <w:t>4</w:t>
      </w:r>
      <w:r>
        <w:rPr>
          <w:noProof/>
        </w:rPr>
        <w:fldChar w:fldCharType="end"/>
      </w:r>
    </w:p>
    <w:p w14:paraId="58756CEF" w14:textId="7163B503"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MS Mincho"/>
          <w:noProof/>
        </w:rPr>
        <w:t>Uniformity assessment of characteristics not listed in test guidelines</w:t>
      </w:r>
      <w:r>
        <w:rPr>
          <w:noProof/>
        </w:rPr>
        <w:tab/>
      </w:r>
      <w:r>
        <w:rPr>
          <w:noProof/>
        </w:rPr>
        <w:fldChar w:fldCharType="begin"/>
      </w:r>
      <w:r>
        <w:rPr>
          <w:noProof/>
        </w:rPr>
        <w:instrText xml:space="preserve"> PAGEREF _Toc208828859 \h </w:instrText>
      </w:r>
      <w:r>
        <w:rPr>
          <w:noProof/>
        </w:rPr>
      </w:r>
      <w:r>
        <w:rPr>
          <w:noProof/>
        </w:rPr>
        <w:fldChar w:fldCharType="separate"/>
      </w:r>
      <w:r>
        <w:rPr>
          <w:noProof/>
        </w:rPr>
        <w:t>5</w:t>
      </w:r>
      <w:r>
        <w:rPr>
          <w:noProof/>
        </w:rPr>
        <w:fldChar w:fldCharType="end"/>
      </w:r>
    </w:p>
    <w:p w14:paraId="2BE0E192" w14:textId="19A41947"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MS Mincho"/>
          <w:noProof/>
        </w:rPr>
        <w:t xml:space="preserve">Report on court cases dealing with technical matters: </w:t>
      </w:r>
      <w:r w:rsidRPr="0055266B">
        <w:rPr>
          <w:rFonts w:eastAsia="MS Mincho"/>
          <w:i/>
          <w:iCs/>
          <w:noProof/>
        </w:rPr>
        <w:t>Allium cepa</w:t>
      </w:r>
      <w:r w:rsidRPr="0055266B">
        <w:rPr>
          <w:rFonts w:eastAsia="MS Mincho"/>
          <w:noProof/>
        </w:rPr>
        <w:t xml:space="preserve"> L. “SK20”</w:t>
      </w:r>
      <w:r>
        <w:rPr>
          <w:noProof/>
        </w:rPr>
        <w:tab/>
      </w:r>
      <w:r>
        <w:rPr>
          <w:noProof/>
        </w:rPr>
        <w:fldChar w:fldCharType="begin"/>
      </w:r>
      <w:r>
        <w:rPr>
          <w:noProof/>
        </w:rPr>
        <w:instrText xml:space="preserve"> PAGEREF _Toc208828860 \h </w:instrText>
      </w:r>
      <w:r>
        <w:rPr>
          <w:noProof/>
        </w:rPr>
      </w:r>
      <w:r>
        <w:rPr>
          <w:noProof/>
        </w:rPr>
        <w:fldChar w:fldCharType="separate"/>
      </w:r>
      <w:r>
        <w:rPr>
          <w:noProof/>
        </w:rPr>
        <w:t>5</w:t>
      </w:r>
      <w:r>
        <w:rPr>
          <w:noProof/>
        </w:rPr>
        <w:fldChar w:fldCharType="end"/>
      </w:r>
    </w:p>
    <w:p w14:paraId="6D3A6239" w14:textId="589786F0" w:rsidR="005639BE" w:rsidRDefault="005639BE">
      <w:pPr>
        <w:pStyle w:val="TOC2"/>
        <w:rPr>
          <w:rFonts w:asciiTheme="minorHAnsi" w:eastAsiaTheme="minorEastAsia" w:hAnsiTheme="minorHAnsi" w:cstheme="minorBidi"/>
          <w:noProof/>
          <w:kern w:val="2"/>
          <w:sz w:val="24"/>
          <w:szCs w:val="24"/>
          <w14:ligatures w14:val="standardContextual"/>
        </w:rPr>
      </w:pPr>
      <w:r>
        <w:rPr>
          <w:noProof/>
        </w:rPr>
        <w:t xml:space="preserve">Information databases: </w:t>
      </w:r>
      <w:r w:rsidRPr="0055266B">
        <w:rPr>
          <w:rFonts w:eastAsia="MS Mincho"/>
          <w:noProof/>
        </w:rPr>
        <w:t>The value and reliability of botanical names in ornamentals</w:t>
      </w:r>
      <w:r>
        <w:rPr>
          <w:noProof/>
        </w:rPr>
        <w:tab/>
      </w:r>
      <w:r>
        <w:rPr>
          <w:noProof/>
        </w:rPr>
        <w:fldChar w:fldCharType="begin"/>
      </w:r>
      <w:r>
        <w:rPr>
          <w:noProof/>
        </w:rPr>
        <w:instrText xml:space="preserve"> PAGEREF _Toc208828861 \h </w:instrText>
      </w:r>
      <w:r>
        <w:rPr>
          <w:noProof/>
        </w:rPr>
      </w:r>
      <w:r>
        <w:rPr>
          <w:noProof/>
        </w:rPr>
        <w:fldChar w:fldCharType="separate"/>
      </w:r>
      <w:r>
        <w:rPr>
          <w:noProof/>
        </w:rPr>
        <w:t>5</w:t>
      </w:r>
      <w:r>
        <w:rPr>
          <w:noProof/>
        </w:rPr>
        <w:fldChar w:fldCharType="end"/>
      </w:r>
    </w:p>
    <w:p w14:paraId="73D709C8" w14:textId="20A4ED81"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Theme="minorEastAsia"/>
          <w:noProof/>
        </w:rPr>
        <w:t>Software and statistical analysis methods for DUS examination</w:t>
      </w:r>
      <w:r>
        <w:rPr>
          <w:noProof/>
        </w:rPr>
        <w:tab/>
      </w:r>
      <w:r>
        <w:rPr>
          <w:noProof/>
        </w:rPr>
        <w:fldChar w:fldCharType="begin"/>
      </w:r>
      <w:r>
        <w:rPr>
          <w:noProof/>
        </w:rPr>
        <w:instrText xml:space="preserve"> PAGEREF _Toc208828862 \h </w:instrText>
      </w:r>
      <w:r>
        <w:rPr>
          <w:noProof/>
        </w:rPr>
      </w:r>
      <w:r>
        <w:rPr>
          <w:noProof/>
        </w:rPr>
        <w:fldChar w:fldCharType="separate"/>
      </w:r>
      <w:r>
        <w:rPr>
          <w:noProof/>
        </w:rPr>
        <w:t>6</w:t>
      </w:r>
      <w:r>
        <w:rPr>
          <w:noProof/>
        </w:rPr>
        <w:fldChar w:fldCharType="end"/>
      </w:r>
    </w:p>
    <w:p w14:paraId="1B9F3F36" w14:textId="6F806B79"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Theme="minorEastAsia"/>
          <w:noProof/>
          <w:lang w:val="en-US"/>
        </w:rPr>
        <w:t xml:space="preserve">Development of </w:t>
      </w:r>
      <w:r w:rsidRPr="005639BE">
        <w:rPr>
          <w:rFonts w:eastAsiaTheme="minorEastAsia"/>
          <w:noProof/>
          <w:lang w:val="en-US" w:eastAsia="ja-JP"/>
        </w:rPr>
        <w:t>b</w:t>
      </w:r>
      <w:r w:rsidRPr="005639BE">
        <w:rPr>
          <w:rFonts w:eastAsiaTheme="minorEastAsia"/>
          <w:noProof/>
          <w:lang w:val="en-US"/>
        </w:rPr>
        <w:t xml:space="preserve">ig </w:t>
      </w:r>
      <w:r w:rsidRPr="005639BE">
        <w:rPr>
          <w:rFonts w:eastAsiaTheme="minorEastAsia"/>
          <w:noProof/>
          <w:lang w:val="en-US" w:eastAsia="ja-JP"/>
        </w:rPr>
        <w:t>d</w:t>
      </w:r>
      <w:r w:rsidRPr="005639BE">
        <w:rPr>
          <w:rFonts w:eastAsiaTheme="minorEastAsia"/>
          <w:noProof/>
          <w:lang w:val="en-US"/>
        </w:rPr>
        <w:t>ata platform for DUS examination</w:t>
      </w:r>
      <w:r w:rsidRPr="005639BE">
        <w:rPr>
          <w:noProof/>
          <w:lang w:val="en-US"/>
        </w:rPr>
        <w:tab/>
      </w:r>
      <w:r>
        <w:rPr>
          <w:noProof/>
        </w:rPr>
        <w:fldChar w:fldCharType="begin"/>
      </w:r>
      <w:r w:rsidRPr="005639BE">
        <w:rPr>
          <w:noProof/>
          <w:lang w:val="en-US"/>
        </w:rPr>
        <w:instrText xml:space="preserve"> PAGEREF _Toc208828863 \h </w:instrText>
      </w:r>
      <w:r>
        <w:rPr>
          <w:noProof/>
        </w:rPr>
      </w:r>
      <w:r>
        <w:rPr>
          <w:noProof/>
        </w:rPr>
        <w:fldChar w:fldCharType="separate"/>
      </w:r>
      <w:r w:rsidRPr="005639BE">
        <w:rPr>
          <w:noProof/>
          <w:lang w:val="en-US"/>
        </w:rPr>
        <w:t>6</w:t>
      </w:r>
      <w:r>
        <w:rPr>
          <w:noProof/>
        </w:rPr>
        <w:fldChar w:fldCharType="end"/>
      </w:r>
    </w:p>
    <w:p w14:paraId="4748B057" w14:textId="408CBE52"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Theme="minorEastAsia"/>
          <w:noProof/>
          <w:lang w:val="en-US"/>
        </w:rPr>
        <w:t>Grading criteria of Anthurium DUS quantitative characteristics by multiple comparison</w:t>
      </w:r>
      <w:r w:rsidRPr="005639BE">
        <w:rPr>
          <w:noProof/>
          <w:lang w:val="en-US"/>
        </w:rPr>
        <w:tab/>
      </w:r>
      <w:r>
        <w:rPr>
          <w:noProof/>
        </w:rPr>
        <w:fldChar w:fldCharType="begin"/>
      </w:r>
      <w:r w:rsidRPr="005639BE">
        <w:rPr>
          <w:noProof/>
          <w:lang w:val="en-US"/>
        </w:rPr>
        <w:instrText xml:space="preserve"> PAGEREF _Toc208828864 \h </w:instrText>
      </w:r>
      <w:r>
        <w:rPr>
          <w:noProof/>
        </w:rPr>
      </w:r>
      <w:r>
        <w:rPr>
          <w:noProof/>
        </w:rPr>
        <w:fldChar w:fldCharType="separate"/>
      </w:r>
      <w:r w:rsidRPr="005639BE">
        <w:rPr>
          <w:noProof/>
          <w:lang w:val="en-US"/>
        </w:rPr>
        <w:t>6</w:t>
      </w:r>
      <w:r>
        <w:rPr>
          <w:noProof/>
        </w:rPr>
        <w:fldChar w:fldCharType="end"/>
      </w:r>
    </w:p>
    <w:p w14:paraId="4AA1DC83" w14:textId="050F5062"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Theme="minorEastAsia"/>
          <w:noProof/>
          <w:lang w:val="en-US"/>
        </w:rPr>
        <w:t>COYU development update 2025</w:t>
      </w:r>
      <w:r w:rsidRPr="005639BE">
        <w:rPr>
          <w:noProof/>
          <w:lang w:val="en-US"/>
        </w:rPr>
        <w:tab/>
      </w:r>
      <w:r>
        <w:rPr>
          <w:noProof/>
        </w:rPr>
        <w:fldChar w:fldCharType="begin"/>
      </w:r>
      <w:r w:rsidRPr="005639BE">
        <w:rPr>
          <w:noProof/>
          <w:lang w:val="en-US"/>
        </w:rPr>
        <w:instrText xml:space="preserve"> PAGEREF _Toc208828865 \h </w:instrText>
      </w:r>
      <w:r>
        <w:rPr>
          <w:noProof/>
        </w:rPr>
      </w:r>
      <w:r>
        <w:rPr>
          <w:noProof/>
        </w:rPr>
        <w:fldChar w:fldCharType="separate"/>
      </w:r>
      <w:r w:rsidRPr="005639BE">
        <w:rPr>
          <w:noProof/>
          <w:lang w:val="en-US"/>
        </w:rPr>
        <w:t>6</w:t>
      </w:r>
      <w:r>
        <w:rPr>
          <w:noProof/>
        </w:rPr>
        <w:fldChar w:fldCharType="end"/>
      </w:r>
    </w:p>
    <w:p w14:paraId="3E955E70" w14:textId="7B6E9C13" w:rsidR="005639BE" w:rsidRDefault="005639BE">
      <w:pPr>
        <w:pStyle w:val="TOC2"/>
        <w:rPr>
          <w:rFonts w:asciiTheme="minorHAnsi" w:eastAsiaTheme="minorEastAsia" w:hAnsiTheme="minorHAnsi" w:cstheme="minorBidi"/>
          <w:noProof/>
          <w:kern w:val="2"/>
          <w:sz w:val="24"/>
          <w:szCs w:val="24"/>
          <w14:ligatures w14:val="standardContextual"/>
        </w:rPr>
      </w:pPr>
      <w:r w:rsidRPr="0055266B">
        <w:rPr>
          <w:rFonts w:eastAsiaTheme="minorEastAsia"/>
          <w:noProof/>
        </w:rPr>
        <w:t>Phenotyping and image analysis</w:t>
      </w:r>
      <w:r>
        <w:rPr>
          <w:noProof/>
        </w:rPr>
        <w:tab/>
      </w:r>
      <w:r>
        <w:rPr>
          <w:noProof/>
        </w:rPr>
        <w:fldChar w:fldCharType="begin"/>
      </w:r>
      <w:r>
        <w:rPr>
          <w:noProof/>
        </w:rPr>
        <w:instrText xml:space="preserve"> PAGEREF _Toc208828866 \h </w:instrText>
      </w:r>
      <w:r>
        <w:rPr>
          <w:noProof/>
        </w:rPr>
      </w:r>
      <w:r>
        <w:rPr>
          <w:noProof/>
        </w:rPr>
        <w:fldChar w:fldCharType="separate"/>
      </w:r>
      <w:r>
        <w:rPr>
          <w:noProof/>
        </w:rPr>
        <w:t>6</w:t>
      </w:r>
      <w:r>
        <w:rPr>
          <w:noProof/>
        </w:rPr>
        <w:fldChar w:fldCharType="end"/>
      </w:r>
    </w:p>
    <w:p w14:paraId="0354C828" w14:textId="3DC01494"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Theme="minorEastAsia"/>
          <w:noProof/>
          <w:lang w:val="en-US"/>
        </w:rPr>
        <w:t>A new perspective on the DUS test of eggplant fruit color based on lab color parameters</w:t>
      </w:r>
      <w:r w:rsidRPr="005639BE">
        <w:rPr>
          <w:noProof/>
          <w:lang w:val="en-US"/>
        </w:rPr>
        <w:tab/>
      </w:r>
      <w:r>
        <w:rPr>
          <w:noProof/>
        </w:rPr>
        <w:fldChar w:fldCharType="begin"/>
      </w:r>
      <w:r w:rsidRPr="005639BE">
        <w:rPr>
          <w:noProof/>
          <w:lang w:val="en-US"/>
        </w:rPr>
        <w:instrText xml:space="preserve"> PAGEREF _Toc208828867 \h </w:instrText>
      </w:r>
      <w:r>
        <w:rPr>
          <w:noProof/>
        </w:rPr>
      </w:r>
      <w:r>
        <w:rPr>
          <w:noProof/>
        </w:rPr>
        <w:fldChar w:fldCharType="separate"/>
      </w:r>
      <w:r w:rsidRPr="005639BE">
        <w:rPr>
          <w:noProof/>
          <w:lang w:val="en-US"/>
        </w:rPr>
        <w:t>6</w:t>
      </w:r>
      <w:r>
        <w:rPr>
          <w:noProof/>
        </w:rPr>
        <w:fldChar w:fldCharType="end"/>
      </w:r>
    </w:p>
    <w:p w14:paraId="668F555C" w14:textId="5F0E3B67" w:rsidR="005639BE" w:rsidRDefault="005639BE">
      <w:pPr>
        <w:pStyle w:val="TOC3"/>
        <w:rPr>
          <w:rFonts w:asciiTheme="minorHAnsi" w:eastAsiaTheme="minorEastAsia" w:hAnsiTheme="minorHAnsi" w:cstheme="minorBidi"/>
          <w:i w:val="0"/>
          <w:noProof/>
          <w:kern w:val="2"/>
          <w:sz w:val="24"/>
          <w:szCs w:val="24"/>
          <w:lang w:val="en-US"/>
          <w14:ligatures w14:val="standardContextual"/>
        </w:rPr>
      </w:pPr>
      <w:r w:rsidRPr="005639BE">
        <w:rPr>
          <w:rFonts w:eastAsiaTheme="minorEastAsia"/>
          <w:noProof/>
          <w:lang w:val="en-US"/>
        </w:rPr>
        <w:t>Length data collection device pro</w:t>
      </w:r>
      <w:r w:rsidRPr="005639BE">
        <w:rPr>
          <w:noProof/>
          <w:lang w:val="en-US"/>
        </w:rPr>
        <w:tab/>
      </w:r>
      <w:r>
        <w:rPr>
          <w:noProof/>
        </w:rPr>
        <w:fldChar w:fldCharType="begin"/>
      </w:r>
      <w:r w:rsidRPr="005639BE">
        <w:rPr>
          <w:noProof/>
          <w:lang w:val="en-US"/>
        </w:rPr>
        <w:instrText xml:space="preserve"> PAGEREF _Toc208828868 \h </w:instrText>
      </w:r>
      <w:r>
        <w:rPr>
          <w:noProof/>
        </w:rPr>
      </w:r>
      <w:r>
        <w:rPr>
          <w:noProof/>
        </w:rPr>
        <w:fldChar w:fldCharType="separate"/>
      </w:r>
      <w:r w:rsidRPr="005639BE">
        <w:rPr>
          <w:noProof/>
          <w:lang w:val="en-US"/>
        </w:rPr>
        <w:t>6</w:t>
      </w:r>
      <w:r>
        <w:rPr>
          <w:noProof/>
        </w:rPr>
        <w:fldChar w:fldCharType="end"/>
      </w:r>
    </w:p>
    <w:p w14:paraId="23CA986C" w14:textId="538F03E0" w:rsidR="005639BE" w:rsidRDefault="005639BE">
      <w:pPr>
        <w:pStyle w:val="TOC2"/>
        <w:rPr>
          <w:rFonts w:asciiTheme="minorHAnsi" w:eastAsiaTheme="minorEastAsia" w:hAnsiTheme="minorHAnsi" w:cstheme="minorBidi"/>
          <w:noProof/>
          <w:kern w:val="2"/>
          <w:sz w:val="24"/>
          <w:szCs w:val="24"/>
          <w14:ligatures w14:val="standardContextual"/>
        </w:rPr>
      </w:pPr>
      <w:r>
        <w:rPr>
          <w:noProof/>
        </w:rPr>
        <w:t>Variety collections: Variety collection of fruit crops in Ukraine</w:t>
      </w:r>
      <w:r>
        <w:rPr>
          <w:noProof/>
        </w:rPr>
        <w:tab/>
      </w:r>
      <w:r>
        <w:rPr>
          <w:noProof/>
        </w:rPr>
        <w:fldChar w:fldCharType="begin"/>
      </w:r>
      <w:r>
        <w:rPr>
          <w:noProof/>
        </w:rPr>
        <w:instrText xml:space="preserve"> PAGEREF _Toc208828869 \h </w:instrText>
      </w:r>
      <w:r>
        <w:rPr>
          <w:noProof/>
        </w:rPr>
      </w:r>
      <w:r>
        <w:rPr>
          <w:noProof/>
        </w:rPr>
        <w:fldChar w:fldCharType="separate"/>
      </w:r>
      <w:r>
        <w:rPr>
          <w:noProof/>
        </w:rPr>
        <w:t>7</w:t>
      </w:r>
      <w:r>
        <w:rPr>
          <w:noProof/>
        </w:rPr>
        <w:fldChar w:fldCharType="end"/>
      </w:r>
    </w:p>
    <w:p w14:paraId="72BEA969" w14:textId="2E46243A" w:rsidR="00E84163" w:rsidRPr="005639BE" w:rsidRDefault="00F21482" w:rsidP="005639BE">
      <w:pPr>
        <w:rPr>
          <w:rFonts w:ascii="Calibri" w:hAnsi="Calibri"/>
          <w:noProof/>
        </w:rPr>
      </w:pPr>
      <w:r w:rsidRPr="00F21482">
        <w:rPr>
          <w:rFonts w:eastAsia="MS Mincho" w:cs="Arial"/>
          <w:caps/>
          <w:noProof/>
          <w:lang w:eastAsia="ja-JP"/>
        </w:rPr>
        <w:fldChar w:fldCharType="end"/>
      </w:r>
      <w:r w:rsidR="00E84163" w:rsidRPr="005639BE">
        <w:rPr>
          <w:caps/>
        </w:rPr>
        <w:fldChar w:fldCharType="begin"/>
      </w:r>
      <w:r w:rsidR="00E84163" w:rsidRPr="005639BE">
        <w:instrText xml:space="preserve"> TOC \o "1-3" \h \z \u </w:instrText>
      </w:r>
      <w:r w:rsidR="00E84163" w:rsidRPr="005639BE">
        <w:rPr>
          <w:caps/>
        </w:rPr>
        <w:fldChar w:fldCharType="separate"/>
      </w:r>
    </w:p>
    <w:p w14:paraId="17760AA5" w14:textId="77777777" w:rsidR="00E84163" w:rsidRPr="00372918" w:rsidRDefault="00E84163" w:rsidP="005639BE">
      <w:pPr>
        <w:rPr>
          <w:rFonts w:cs="Arial"/>
        </w:rPr>
      </w:pPr>
      <w:r w:rsidRPr="005639BE">
        <w:fldChar w:fldCharType="end"/>
      </w:r>
    </w:p>
    <w:p w14:paraId="26832C31" w14:textId="77777777" w:rsidR="00E84163" w:rsidRPr="00372918" w:rsidRDefault="00E84163" w:rsidP="005639BE">
      <w:pPr>
        <w:pStyle w:val="Heading1"/>
        <w:rPr>
          <w:rFonts w:eastAsia="PMingLiU"/>
          <w:szCs w:val="24"/>
        </w:rPr>
      </w:pPr>
      <w:bookmarkStart w:id="2" w:name="_Toc441497828"/>
      <w:bookmarkStart w:id="3" w:name="_Toc527377892"/>
      <w:bookmarkStart w:id="4" w:name="_Toc20505078"/>
      <w:bookmarkStart w:id="5" w:name="_Toc208828850"/>
      <w:r w:rsidRPr="00372918">
        <w:t>Matters for information and for a possible decision to be taken by the Technical Committee (TC)</w:t>
      </w:r>
      <w:bookmarkEnd w:id="2"/>
      <w:bookmarkEnd w:id="3"/>
      <w:bookmarkEnd w:id="4"/>
      <w:bookmarkEnd w:id="5"/>
    </w:p>
    <w:p w14:paraId="72CC17E7" w14:textId="77777777" w:rsidR="006F0A99" w:rsidRPr="00A207A5" w:rsidRDefault="006F0A99" w:rsidP="006F0A99"/>
    <w:p w14:paraId="31E5F03A" w14:textId="25858B00" w:rsidR="006F0A99" w:rsidRDefault="004A4BD7" w:rsidP="005639BE">
      <w:pPr>
        <w:pStyle w:val="Heading2"/>
        <w:rPr>
          <w:rFonts w:eastAsia="MS Mincho"/>
        </w:rPr>
      </w:pPr>
      <w:bookmarkStart w:id="6" w:name="_Toc208828851"/>
      <w:r w:rsidRPr="004A4BD7">
        <w:rPr>
          <w:rFonts w:eastAsia="MS Mincho"/>
        </w:rPr>
        <w:t>Survey proposal: barrier</w:t>
      </w:r>
      <w:r>
        <w:rPr>
          <w:rFonts w:eastAsia="MS Mincho"/>
        </w:rPr>
        <w:t>s</w:t>
      </w:r>
      <w:r w:rsidRPr="004A4BD7">
        <w:rPr>
          <w:rFonts w:eastAsia="MS Mincho"/>
        </w:rPr>
        <w:t xml:space="preserve"> to tak</w:t>
      </w:r>
      <w:r>
        <w:rPr>
          <w:rFonts w:eastAsia="MS Mincho"/>
        </w:rPr>
        <w:t>ing</w:t>
      </w:r>
      <w:r w:rsidRPr="004A4BD7">
        <w:rPr>
          <w:rFonts w:eastAsia="MS Mincho"/>
        </w:rPr>
        <w:t xml:space="preserve"> over test reports</w:t>
      </w:r>
      <w:r>
        <w:rPr>
          <w:rFonts w:eastAsia="MS Mincho"/>
        </w:rPr>
        <w:t>:</w:t>
      </w:r>
      <w:r w:rsidRPr="004A4BD7">
        <w:rPr>
          <w:rFonts w:eastAsia="MS Mincho"/>
        </w:rPr>
        <w:t xml:space="preserve"> additional characteristics not included in Test Guidelines</w:t>
      </w:r>
      <w:bookmarkEnd w:id="6"/>
      <w:r w:rsidRPr="004A4BD7">
        <w:rPr>
          <w:rFonts w:eastAsia="MS Mincho"/>
        </w:rPr>
        <w:t xml:space="preserve"> </w:t>
      </w:r>
    </w:p>
    <w:p w14:paraId="72F2CC49" w14:textId="77777777" w:rsidR="004A4BD7" w:rsidRDefault="004A4BD7" w:rsidP="006F0A99">
      <w:pPr>
        <w:rPr>
          <w:rFonts w:eastAsia="MS Mincho"/>
        </w:rPr>
      </w:pPr>
    </w:p>
    <w:p w14:paraId="7D02C1B8" w14:textId="1FCB200D" w:rsidR="00D50DFB" w:rsidRDefault="00D50DFB" w:rsidP="00D50DFB">
      <w:pPr>
        <w:pStyle w:val="Heading3"/>
        <w:rPr>
          <w:rFonts w:eastAsia="MS Mincho"/>
        </w:rPr>
      </w:pPr>
      <w:bookmarkStart w:id="7" w:name="_Toc208828852"/>
      <w:r>
        <w:rPr>
          <w:rFonts w:eastAsia="MS Mincho"/>
        </w:rPr>
        <w:t>Background</w:t>
      </w:r>
      <w:bookmarkEnd w:id="7"/>
    </w:p>
    <w:p w14:paraId="07FEBE2E" w14:textId="77777777" w:rsidR="00D50DFB" w:rsidRPr="00D50DFB" w:rsidRDefault="00D50DFB" w:rsidP="00D50DFB">
      <w:pPr>
        <w:rPr>
          <w:rFonts w:eastAsia="MS Mincho"/>
        </w:rPr>
      </w:pPr>
    </w:p>
    <w:p w14:paraId="5D3DB297" w14:textId="7107FA1C" w:rsidR="006F0A99" w:rsidRPr="00A207A5" w:rsidRDefault="0062210A" w:rsidP="006F0A99">
      <w:r>
        <w:fldChar w:fldCharType="begin"/>
      </w:r>
      <w:r>
        <w:instrText xml:space="preserve"> AUTONUM  </w:instrText>
      </w:r>
      <w:r>
        <w:fldChar w:fldCharType="end"/>
      </w:r>
      <w:r>
        <w:tab/>
      </w:r>
      <w:r w:rsidR="006F0A99" w:rsidRPr="00A207A5">
        <w:t>The TWV</w:t>
      </w:r>
      <w:r w:rsidR="0018066F">
        <w:rPr>
          <w:rStyle w:val="FootnoteReference"/>
        </w:rPr>
        <w:footnoteReference w:id="7"/>
      </w:r>
      <w:r w:rsidR="006F0A99" w:rsidRPr="00A207A5">
        <w:t xml:space="preserve"> received a presentation “Revision of the disease resistance characteristics in the EU”, from an expert from the European Union.  A copy of the presentation is provided in document </w:t>
      </w:r>
      <w:hyperlink r:id="rId9" w:history="1">
        <w:r w:rsidR="006F0A99" w:rsidRPr="00364964">
          <w:rPr>
            <w:rStyle w:val="Hyperlink"/>
            <w:rFonts w:eastAsia="MS Mincho"/>
          </w:rPr>
          <w:t>TWV/59/10</w:t>
        </w:r>
      </w:hyperlink>
      <w:r w:rsidR="006F0A99" w:rsidRPr="00A207A5">
        <w:rPr>
          <w:rFonts w:eastAsia="MS Mincho"/>
        </w:rPr>
        <w:t>.</w:t>
      </w:r>
    </w:p>
    <w:p w14:paraId="22F93CAC" w14:textId="77777777" w:rsidR="006F0A99" w:rsidRPr="00A207A5" w:rsidRDefault="006F0A99" w:rsidP="006F0A99"/>
    <w:p w14:paraId="4E9968F3" w14:textId="19E9EFD4" w:rsidR="006F0A99" w:rsidRPr="00A207A5" w:rsidRDefault="0062210A" w:rsidP="004915BA">
      <w:pPr>
        <w:keepLines/>
      </w:pPr>
      <w:r>
        <w:fldChar w:fldCharType="begin"/>
      </w:r>
      <w:r>
        <w:instrText xml:space="preserve"> AUTONUM  </w:instrText>
      </w:r>
      <w:r>
        <w:fldChar w:fldCharType="end"/>
      </w:r>
      <w:r>
        <w:tab/>
      </w:r>
      <w:r w:rsidR="006F0A99" w:rsidRPr="00A207A5">
        <w:t>The TWV noted the invitation from the European Union for UPOV members to join the regional working groups established to discuss disease resistance characteristics in French Bean, Cucumber, Melon, Pepper, Tomato and Tomato Rootstocks.  The TWV noted that interested experts should contact the Community Plant Variety Office of the European Union (CPVO) for further information.</w:t>
      </w:r>
    </w:p>
    <w:p w14:paraId="6E5C23A4" w14:textId="77777777" w:rsidR="006F0A99" w:rsidRPr="00A207A5" w:rsidRDefault="006F0A99" w:rsidP="006F0A99"/>
    <w:p w14:paraId="5FD043F6" w14:textId="77777777" w:rsidR="006F0A99" w:rsidRPr="00A207A5" w:rsidRDefault="006F0A99" w:rsidP="006F0A99">
      <w:r w:rsidRPr="00A207A5">
        <w:fldChar w:fldCharType="begin"/>
      </w:r>
      <w:r w:rsidRPr="00A207A5">
        <w:instrText xml:space="preserve"> AUTONUM  </w:instrText>
      </w:r>
      <w:r w:rsidRPr="00A207A5">
        <w:fldChar w:fldCharType="end"/>
      </w:r>
      <w:r w:rsidRPr="00A207A5">
        <w:tab/>
        <w:t>The TWV noted the comments made by the representative of the International Seed Federation (ISF) that characteristics used at national or regional level and not included in UPOV Test Guidelines (“additional characteristics”) could constitute a barrier to taking over test reports, although no such cases had been reported.</w:t>
      </w:r>
    </w:p>
    <w:p w14:paraId="53CC1819" w14:textId="77777777" w:rsidR="006F0A99" w:rsidRPr="00A207A5" w:rsidRDefault="006F0A99" w:rsidP="006F0A99"/>
    <w:p w14:paraId="57C547DB" w14:textId="2566AA77" w:rsidR="006F0A99" w:rsidRPr="00A207A5" w:rsidRDefault="006F0A99" w:rsidP="006F0A99">
      <w:r w:rsidRPr="00A207A5">
        <w:lastRenderedPageBreak/>
        <w:fldChar w:fldCharType="begin"/>
      </w:r>
      <w:r w:rsidRPr="00A207A5">
        <w:instrText xml:space="preserve"> AUTONUM  </w:instrText>
      </w:r>
      <w:r w:rsidRPr="00A207A5">
        <w:fldChar w:fldCharType="end"/>
      </w:r>
      <w:r w:rsidRPr="00A207A5">
        <w:tab/>
        <w:t>The TWV noted the report from Germany that additional characteristics not included in Test Guidelines were considered when deciding to takeover test reports on a case-by-case basis using similar criteria for all characteristics, including disease resistances.</w:t>
      </w:r>
    </w:p>
    <w:p w14:paraId="509C4B50" w14:textId="77777777" w:rsidR="00E566A0" w:rsidRDefault="00E566A0" w:rsidP="006F0A99"/>
    <w:p w14:paraId="159BCEEA" w14:textId="0B262A31" w:rsidR="004A4BD7" w:rsidRDefault="00E566A0" w:rsidP="00E566A0">
      <w:pPr>
        <w:pStyle w:val="Heading3"/>
      </w:pPr>
      <w:bookmarkStart w:id="8" w:name="_Toc208828853"/>
      <w:r>
        <w:t>Proposal</w:t>
      </w:r>
      <w:bookmarkEnd w:id="8"/>
    </w:p>
    <w:p w14:paraId="45BC9909" w14:textId="77777777" w:rsidR="004A4BD7" w:rsidRPr="00A207A5" w:rsidRDefault="004A4BD7" w:rsidP="006F0A99"/>
    <w:p w14:paraId="494B4566" w14:textId="77777777" w:rsidR="006F0A99" w:rsidRPr="00E566A0" w:rsidRDefault="006F0A99" w:rsidP="006F0A99">
      <w:r w:rsidRPr="00E566A0">
        <w:fldChar w:fldCharType="begin"/>
      </w:r>
      <w:r w:rsidRPr="00E566A0">
        <w:instrText xml:space="preserve"> AUTONUM  </w:instrText>
      </w:r>
      <w:r w:rsidRPr="00E566A0">
        <w:fldChar w:fldCharType="end"/>
      </w:r>
      <w:r w:rsidRPr="00E566A0">
        <w:tab/>
        <w:t xml:space="preserve">The TWV agreed to propose a survey among UPOV members on whether additional characteristics not included in UPOV Test Guidelines could constitute a barrier to takeover test reports, for instance disease resistance characteristics, </w:t>
      </w:r>
      <w:proofErr w:type="gramStart"/>
      <w:r w:rsidRPr="00E566A0">
        <w:t>in particular when</w:t>
      </w:r>
      <w:proofErr w:type="gramEnd"/>
      <w:r w:rsidRPr="00E566A0">
        <w:t xml:space="preserve"> they provided the basis for distinctness from the most similar variety.</w:t>
      </w:r>
    </w:p>
    <w:p w14:paraId="67B247AC" w14:textId="77777777" w:rsidR="006F0A99" w:rsidRPr="00E566A0" w:rsidRDefault="006F0A99" w:rsidP="006F0A99"/>
    <w:p w14:paraId="3D7487B9" w14:textId="08B535BD" w:rsidR="006F0A99" w:rsidRPr="00E566A0" w:rsidRDefault="0062210A" w:rsidP="006F0A99">
      <w:r w:rsidRPr="00E566A0">
        <w:fldChar w:fldCharType="begin"/>
      </w:r>
      <w:r w:rsidRPr="00E566A0">
        <w:instrText xml:space="preserve"> AUTONUM  </w:instrText>
      </w:r>
      <w:r w:rsidRPr="00E566A0">
        <w:fldChar w:fldCharType="end"/>
      </w:r>
      <w:r w:rsidRPr="00E566A0">
        <w:tab/>
      </w:r>
      <w:r w:rsidR="006F0A99" w:rsidRPr="00E566A0">
        <w:t xml:space="preserve">The TWV agreed that the survey should provide the context of discussions, including that disease resistance characteristics in UPOV Test Guidelines were not being assessed by all UPOV members.  </w:t>
      </w:r>
      <w:proofErr w:type="gramStart"/>
      <w:r w:rsidR="006F0A99" w:rsidRPr="00E566A0">
        <w:t>The TWV</w:t>
      </w:r>
      <w:proofErr w:type="gramEnd"/>
      <w:r w:rsidR="006F0A99" w:rsidRPr="00E566A0">
        <w:t xml:space="preserve"> agreed that the survey should include questions, such as: </w:t>
      </w:r>
    </w:p>
    <w:p w14:paraId="3A878FCF" w14:textId="77777777" w:rsidR="006F0A99" w:rsidRPr="00E566A0" w:rsidRDefault="006F0A99" w:rsidP="006F0A99"/>
    <w:p w14:paraId="7DA4DC9A" w14:textId="77777777" w:rsidR="006F0A99" w:rsidRPr="00E566A0" w:rsidRDefault="006F0A99" w:rsidP="006F0A99">
      <w:pPr>
        <w:pStyle w:val="ListParagraph"/>
        <w:numPr>
          <w:ilvl w:val="0"/>
          <w:numId w:val="2"/>
        </w:numPr>
      </w:pPr>
      <w:r w:rsidRPr="00E566A0">
        <w:t xml:space="preserve">Whether UPOV members would take-over test reports in case distinctness had been established based on an additional characteristic not included in the UPOV Test </w:t>
      </w:r>
      <w:proofErr w:type="gramStart"/>
      <w:r w:rsidRPr="00E566A0">
        <w:t>Guidelines;</w:t>
      </w:r>
      <w:proofErr w:type="gramEnd"/>
    </w:p>
    <w:p w14:paraId="38AFE912" w14:textId="77777777" w:rsidR="006F0A99" w:rsidRPr="00E566A0" w:rsidRDefault="006F0A99" w:rsidP="006F0A99"/>
    <w:p w14:paraId="4F8D2B62" w14:textId="77777777" w:rsidR="006F0A99" w:rsidRPr="00E566A0" w:rsidRDefault="006F0A99" w:rsidP="006F0A99">
      <w:pPr>
        <w:pStyle w:val="ListParagraph"/>
        <w:numPr>
          <w:ilvl w:val="0"/>
          <w:numId w:val="2"/>
        </w:numPr>
      </w:pPr>
      <w:r w:rsidRPr="00E566A0">
        <w:t>Whether there was a difference on decisions to take-over test reports based on whether the additional characteristic was a disease resistance characteristic.</w:t>
      </w:r>
    </w:p>
    <w:p w14:paraId="7DB3B67E" w14:textId="77777777" w:rsidR="00364964" w:rsidRPr="00E566A0" w:rsidRDefault="00364964" w:rsidP="00364964"/>
    <w:p w14:paraId="726D0511" w14:textId="65FC22BB" w:rsidR="00364964" w:rsidRPr="00372918" w:rsidRDefault="00364964" w:rsidP="00364964">
      <w:pPr>
        <w:keepNext/>
        <w:keepLines/>
        <w:tabs>
          <w:tab w:val="left" w:pos="5387"/>
        </w:tabs>
        <w:ind w:left="4536"/>
        <w:rPr>
          <w:i/>
          <w:lang w:eastAsia="fr-FR"/>
        </w:rPr>
      </w:pPr>
      <w:r w:rsidRPr="00E566A0">
        <w:rPr>
          <w:i/>
        </w:rPr>
        <w:fldChar w:fldCharType="begin"/>
      </w:r>
      <w:r w:rsidRPr="00E566A0">
        <w:rPr>
          <w:i/>
        </w:rPr>
        <w:instrText xml:space="preserve"> AUTONUM  </w:instrText>
      </w:r>
      <w:r w:rsidRPr="00E566A0">
        <w:rPr>
          <w:i/>
        </w:rPr>
        <w:fldChar w:fldCharType="end"/>
      </w:r>
      <w:r w:rsidRPr="00E566A0">
        <w:rPr>
          <w:i/>
        </w:rPr>
        <w:tab/>
        <w:t xml:space="preserve">The TC is invited to consider the </w:t>
      </w:r>
      <w:r w:rsidR="00CF497D">
        <w:rPr>
          <w:i/>
        </w:rPr>
        <w:t>proposal</w:t>
      </w:r>
      <w:r w:rsidRPr="00E566A0">
        <w:rPr>
          <w:i/>
        </w:rPr>
        <w:t xml:space="preserve"> from </w:t>
      </w:r>
      <w:proofErr w:type="gramStart"/>
      <w:r w:rsidRPr="00E566A0">
        <w:rPr>
          <w:i/>
        </w:rPr>
        <w:t>the TWV</w:t>
      </w:r>
      <w:proofErr w:type="gramEnd"/>
      <w:r w:rsidRPr="00E566A0">
        <w:rPr>
          <w:i/>
        </w:rPr>
        <w:t xml:space="preserve"> for </w:t>
      </w:r>
      <w:r w:rsidR="00CF497D">
        <w:rPr>
          <w:i/>
        </w:rPr>
        <w:t xml:space="preserve">a survey among UPOV members on whether </w:t>
      </w:r>
      <w:r w:rsidR="00CF497D" w:rsidRPr="00CF497D">
        <w:rPr>
          <w:i/>
        </w:rPr>
        <w:t xml:space="preserve">additional characteristics not included in Test Guidelines </w:t>
      </w:r>
      <w:r w:rsidR="00CF497D">
        <w:rPr>
          <w:i/>
        </w:rPr>
        <w:t xml:space="preserve">could </w:t>
      </w:r>
      <w:r w:rsidR="00CF497D" w:rsidRPr="00CF497D">
        <w:rPr>
          <w:i/>
        </w:rPr>
        <w:t>constitute a barrier to taking over test reports</w:t>
      </w:r>
      <w:r w:rsidRPr="00E566A0">
        <w:rPr>
          <w:i/>
          <w:lang w:eastAsia="fr-FR"/>
        </w:rPr>
        <w:t>, as set</w:t>
      </w:r>
      <w:r w:rsidR="00CF497D">
        <w:rPr>
          <w:i/>
          <w:lang w:eastAsia="fr-FR"/>
        </w:rPr>
        <w:t> </w:t>
      </w:r>
      <w:r w:rsidRPr="00E566A0">
        <w:rPr>
          <w:i/>
          <w:lang w:eastAsia="fr-FR"/>
        </w:rPr>
        <w:t xml:space="preserve">out </w:t>
      </w:r>
      <w:r w:rsidRPr="00EB7080">
        <w:rPr>
          <w:i/>
          <w:lang w:eastAsia="fr-FR"/>
        </w:rPr>
        <w:t>in paragraph</w:t>
      </w:r>
      <w:r w:rsidR="00CF497D" w:rsidRPr="00EB7080">
        <w:rPr>
          <w:i/>
          <w:lang w:eastAsia="fr-FR"/>
        </w:rPr>
        <w:t>s</w:t>
      </w:r>
      <w:r w:rsidRPr="00EB7080">
        <w:rPr>
          <w:i/>
          <w:lang w:eastAsia="fr-FR"/>
        </w:rPr>
        <w:t xml:space="preserve"> </w:t>
      </w:r>
      <w:r w:rsidR="00CF497D" w:rsidRPr="00EB7080">
        <w:rPr>
          <w:i/>
          <w:lang w:eastAsia="fr-FR"/>
        </w:rPr>
        <w:t>10 and 11</w:t>
      </w:r>
      <w:r w:rsidRPr="00EB7080">
        <w:rPr>
          <w:i/>
          <w:lang w:eastAsia="fr-FR"/>
        </w:rPr>
        <w:t xml:space="preserve"> of this</w:t>
      </w:r>
      <w:r w:rsidRPr="00E566A0">
        <w:rPr>
          <w:i/>
          <w:lang w:eastAsia="fr-FR"/>
        </w:rPr>
        <w:t xml:space="preserve"> </w:t>
      </w:r>
      <w:proofErr w:type="gramStart"/>
      <w:r w:rsidRPr="00E566A0">
        <w:rPr>
          <w:i/>
          <w:lang w:eastAsia="fr-FR"/>
        </w:rPr>
        <w:t>document</w:t>
      </w:r>
      <w:proofErr w:type="gramEnd"/>
      <w:r w:rsidRPr="00E566A0">
        <w:rPr>
          <w:i/>
          <w:lang w:eastAsia="fr-FR"/>
        </w:rPr>
        <w:t>.</w:t>
      </w:r>
    </w:p>
    <w:p w14:paraId="4EA21AAC" w14:textId="77777777" w:rsidR="00364964" w:rsidRPr="00350522" w:rsidRDefault="00364964" w:rsidP="00364964"/>
    <w:p w14:paraId="471812AA" w14:textId="77777777" w:rsidR="00AC0937" w:rsidRPr="00350522" w:rsidRDefault="00AC0937" w:rsidP="00AC0937"/>
    <w:p w14:paraId="0190D835" w14:textId="77777777" w:rsidR="00AC0937" w:rsidRPr="00350522" w:rsidRDefault="00AC0937" w:rsidP="005639BE">
      <w:pPr>
        <w:pStyle w:val="Heading1"/>
      </w:pPr>
      <w:bookmarkStart w:id="9" w:name="_Toc441497830"/>
      <w:bookmarkStart w:id="10" w:name="_Toc527377899"/>
      <w:bookmarkStart w:id="11" w:name="_Toc20505079"/>
      <w:bookmarkStart w:id="12" w:name="_Toc141461052"/>
      <w:bookmarkStart w:id="13" w:name="_Toc141461212"/>
      <w:bookmarkStart w:id="14" w:name="_Toc208828854"/>
      <w:r w:rsidRPr="00350522">
        <w:t>Matters for information</w:t>
      </w:r>
      <w:bookmarkEnd w:id="9"/>
      <w:bookmarkEnd w:id="10"/>
      <w:bookmarkEnd w:id="11"/>
      <w:bookmarkEnd w:id="12"/>
      <w:bookmarkEnd w:id="13"/>
      <w:bookmarkEnd w:id="14"/>
    </w:p>
    <w:p w14:paraId="4D0B51CF" w14:textId="77777777" w:rsidR="00AC0937" w:rsidRDefault="00AC0937" w:rsidP="003602B2">
      <w:pPr>
        <w:rPr>
          <w:rFonts w:eastAsia="MS Mincho"/>
        </w:rPr>
      </w:pPr>
    </w:p>
    <w:p w14:paraId="32AF6066" w14:textId="0D11FC01" w:rsidR="00D97966" w:rsidRPr="00A207A5" w:rsidRDefault="00D97966" w:rsidP="00365B2A">
      <w:pPr>
        <w:pStyle w:val="Heading2"/>
        <w:rPr>
          <w:rFonts w:eastAsia="MS Mincho"/>
        </w:rPr>
      </w:pPr>
      <w:bookmarkStart w:id="15" w:name="_Toc208828855"/>
      <w:r w:rsidRPr="00A207A5">
        <w:rPr>
          <w:rFonts w:eastAsia="MS Mincho"/>
        </w:rPr>
        <w:t>Disease resistance characteristics</w:t>
      </w:r>
      <w:bookmarkEnd w:id="15"/>
      <w:r w:rsidRPr="00A207A5">
        <w:rPr>
          <w:rFonts w:eastAsia="MS Mincho"/>
        </w:rPr>
        <w:t xml:space="preserve"> </w:t>
      </w:r>
    </w:p>
    <w:p w14:paraId="4489526F" w14:textId="77777777" w:rsidR="00D97966" w:rsidRPr="00A207A5" w:rsidRDefault="00D97966" w:rsidP="003602B2">
      <w:pPr>
        <w:rPr>
          <w:rFonts w:eastAsia="MS Mincho"/>
        </w:rPr>
      </w:pPr>
    </w:p>
    <w:p w14:paraId="7E78D36F" w14:textId="77777777" w:rsidR="003602B2" w:rsidRPr="00A207A5" w:rsidRDefault="003602B2" w:rsidP="00D97966">
      <w:pPr>
        <w:pStyle w:val="Heading3"/>
        <w:rPr>
          <w:rFonts w:eastAsia="MS Mincho"/>
        </w:rPr>
      </w:pPr>
      <w:bookmarkStart w:id="16" w:name="_Toc208828856"/>
      <w:r w:rsidRPr="00A207A5">
        <w:rPr>
          <w:rFonts w:eastAsia="MS Mincho"/>
        </w:rPr>
        <w:t>Disease resistance characteristics in Test Guidelines</w:t>
      </w:r>
      <w:bookmarkEnd w:id="16"/>
      <w:r w:rsidRPr="00A207A5">
        <w:rPr>
          <w:rFonts w:eastAsia="MS Mincho"/>
        </w:rPr>
        <w:t xml:space="preserve"> </w:t>
      </w:r>
    </w:p>
    <w:p w14:paraId="7C544481" w14:textId="77777777" w:rsidR="003602B2" w:rsidRPr="00A207A5" w:rsidRDefault="003602B2" w:rsidP="003602B2">
      <w:pPr>
        <w:rPr>
          <w:rFonts w:eastAsia="MS Mincho"/>
        </w:rPr>
      </w:pPr>
    </w:p>
    <w:p w14:paraId="47D4FA61" w14:textId="77777777" w:rsidR="003602B2" w:rsidRPr="00A207A5" w:rsidRDefault="003602B2" w:rsidP="003602B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A207A5">
        <w:rPr>
          <w:rFonts w:eastAsia="MS Mincho"/>
        </w:rPr>
        <w:t xml:space="preserve">The TWV considered document </w:t>
      </w:r>
      <w:hyperlink r:id="rId10" w:history="1">
        <w:r w:rsidRPr="00364964">
          <w:rPr>
            <w:rStyle w:val="Hyperlink"/>
            <w:rFonts w:eastAsia="MS Mincho"/>
          </w:rPr>
          <w:t>TWV/59/11</w:t>
        </w:r>
      </w:hyperlink>
      <w:r>
        <w:rPr>
          <w:rFonts w:eastAsia="MS Mincho"/>
        </w:rPr>
        <w:t xml:space="preserve"> “D</w:t>
      </w:r>
      <w:r w:rsidRPr="00364964">
        <w:rPr>
          <w:rFonts w:eastAsia="MS Mincho"/>
        </w:rPr>
        <w:t>isease resistance characteristics in Test Guidelines</w:t>
      </w:r>
      <w:r>
        <w:rPr>
          <w:rFonts w:eastAsia="MS Mincho"/>
        </w:rPr>
        <w:t>”</w:t>
      </w:r>
      <w:r>
        <w:rPr>
          <w:rStyle w:val="FootnoteReference"/>
          <w:rFonts w:eastAsia="MS Mincho"/>
        </w:rPr>
        <w:footnoteReference w:id="8"/>
      </w:r>
      <w:r w:rsidRPr="00A207A5">
        <w:rPr>
          <w:rFonts w:eastAsia="MS Mincho"/>
        </w:rPr>
        <w:t>.</w:t>
      </w:r>
    </w:p>
    <w:p w14:paraId="50963C45" w14:textId="77777777" w:rsidR="003602B2" w:rsidRPr="00A207A5" w:rsidRDefault="003602B2" w:rsidP="003602B2">
      <w:pPr>
        <w:rPr>
          <w:rFonts w:eastAsia="MS Mincho"/>
        </w:rPr>
      </w:pPr>
    </w:p>
    <w:p w14:paraId="2E930586" w14:textId="77777777" w:rsidR="003602B2" w:rsidRPr="00A207A5" w:rsidRDefault="003602B2" w:rsidP="003602B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Pr="00A207A5">
        <w:rPr>
          <w:rFonts w:eastAsia="MS Mincho"/>
        </w:rPr>
        <w:t xml:space="preserve">The TWV agreed to invite </w:t>
      </w:r>
      <w:r w:rsidRPr="00A207A5">
        <w:t xml:space="preserve">UPOV members’ reports on additional characteristics in DUS examination, including disease resistance characteristics.  The TWV agreed to invite leading experts to organize intersessional meetings of the subgroups of interested experts to advance discussions on partial revisions of Test Guidelines. </w:t>
      </w:r>
    </w:p>
    <w:p w14:paraId="5947B314" w14:textId="77777777" w:rsidR="003602B2" w:rsidRPr="00A207A5" w:rsidRDefault="003602B2" w:rsidP="003602B2"/>
    <w:p w14:paraId="2EADF875" w14:textId="77777777" w:rsidR="003602B2" w:rsidRPr="00A207A5" w:rsidRDefault="003602B2" w:rsidP="003602B2">
      <w:r>
        <w:fldChar w:fldCharType="begin"/>
      </w:r>
      <w:r>
        <w:instrText xml:space="preserve"> AUTONUM  </w:instrText>
      </w:r>
      <w:r>
        <w:fldChar w:fldCharType="end"/>
      </w:r>
      <w:r>
        <w:tab/>
      </w:r>
      <w:r w:rsidRPr="00A207A5">
        <w:t xml:space="preserve">The TWV noted there were different capabilities among UPOV members for assessing disease resistance characteristics and agreed this provided challenges for their use in DUS examination and international harmonization. </w:t>
      </w:r>
    </w:p>
    <w:p w14:paraId="6E8A6A9D" w14:textId="77777777" w:rsidR="00D97966" w:rsidRPr="00A207A5" w:rsidRDefault="00D97966" w:rsidP="00E33353"/>
    <w:p w14:paraId="464136BA" w14:textId="1892F3E3" w:rsidR="00E33353" w:rsidRPr="00A207A5" w:rsidRDefault="003602B2" w:rsidP="00A63DB9">
      <w:pPr>
        <w:pStyle w:val="Heading3"/>
        <w:keepLines/>
      </w:pPr>
      <w:bookmarkStart w:id="17" w:name="_Toc208828857"/>
      <w:r w:rsidRPr="00A207A5">
        <w:t>Resistance to Cucumber green mottle mosaic virus (CGMMV)</w:t>
      </w:r>
      <w:bookmarkEnd w:id="17"/>
      <w:r>
        <w:t xml:space="preserve"> </w:t>
      </w:r>
    </w:p>
    <w:p w14:paraId="4EDD535D" w14:textId="77777777" w:rsidR="00E33353" w:rsidRPr="00A207A5" w:rsidRDefault="00E33353" w:rsidP="00A63DB9">
      <w:pPr>
        <w:keepNext/>
        <w:keepLines/>
        <w:jc w:val="left"/>
      </w:pPr>
    </w:p>
    <w:p w14:paraId="2CA35D39" w14:textId="59DD53D3" w:rsidR="00E33353" w:rsidRDefault="0062210A" w:rsidP="00A63DB9">
      <w:pPr>
        <w:keepNext/>
        <w:keepLines/>
      </w:pPr>
      <w:r>
        <w:fldChar w:fldCharType="begin"/>
      </w:r>
      <w:r>
        <w:instrText xml:space="preserve"> AUTONUM  </w:instrText>
      </w:r>
      <w:r>
        <w:fldChar w:fldCharType="end"/>
      </w:r>
      <w:r>
        <w:tab/>
      </w:r>
      <w:r w:rsidR="00E33353" w:rsidRPr="00A207A5">
        <w:t>The TWV</w:t>
      </w:r>
      <w:r>
        <w:rPr>
          <w:rStyle w:val="FootnoteReference"/>
        </w:rPr>
        <w:footnoteReference w:id="9"/>
      </w:r>
      <w:r w:rsidR="00E33353" w:rsidRPr="00A207A5">
        <w:t xml:space="preserve"> considered the partial revision of the Test Guidelines for Cucumber for inclusion of the characteristic “Resistance to Cucumber green mottle mosaic virus (CGMMV)”, which had been put forward for adoption by the Technical Committee in 2024 (document </w:t>
      </w:r>
      <w:hyperlink r:id="rId11" w:history="1">
        <w:r w:rsidR="00E33353" w:rsidRPr="004D4458">
          <w:rPr>
            <w:rStyle w:val="Hyperlink"/>
          </w:rPr>
          <w:t>TWV/58/6</w:t>
        </w:r>
      </w:hyperlink>
      <w:r w:rsidR="00E33353" w:rsidRPr="00A207A5">
        <w:t xml:space="preserve">) and referred back to the TWV.  The TWV noted that the characteristic had been introduced in the </w:t>
      </w:r>
      <w:bookmarkStart w:id="18" w:name="_Hlk197533073"/>
      <w:r w:rsidR="00E33353" w:rsidRPr="00A207A5">
        <w:t>test guidelines of the European Union in 2025</w:t>
      </w:r>
      <w:r w:rsidR="003602B2">
        <w:t xml:space="preserve"> </w:t>
      </w:r>
      <w:r w:rsidR="003602B2" w:rsidRPr="00A207A5">
        <w:t xml:space="preserve">(documents TG/61/7 Rev. 3 and </w:t>
      </w:r>
      <w:hyperlink r:id="rId12" w:history="1">
        <w:r w:rsidR="003602B2" w:rsidRPr="0062210A">
          <w:rPr>
            <w:rStyle w:val="Hyperlink"/>
          </w:rPr>
          <w:t>TWV/59/12</w:t>
        </w:r>
      </w:hyperlink>
      <w:r w:rsidR="003602B2" w:rsidRPr="00A207A5">
        <w:t>)</w:t>
      </w:r>
      <w:r w:rsidR="003602B2">
        <w:t>.</w:t>
      </w:r>
    </w:p>
    <w:p w14:paraId="76C28F54" w14:textId="77777777" w:rsidR="003602B2" w:rsidRPr="00A207A5" w:rsidRDefault="003602B2" w:rsidP="00E33353"/>
    <w:p w14:paraId="123C0DB4" w14:textId="5E4C6523" w:rsidR="00E33353" w:rsidRPr="00A207A5" w:rsidRDefault="00E33353" w:rsidP="00E33353">
      <w:r w:rsidRPr="00A207A5">
        <w:fldChar w:fldCharType="begin"/>
      </w:r>
      <w:r w:rsidRPr="00A207A5">
        <w:instrText xml:space="preserve"> AUTONUM  </w:instrText>
      </w:r>
      <w:r w:rsidRPr="00A207A5">
        <w:fldChar w:fldCharType="end"/>
      </w:r>
      <w:r w:rsidRPr="00A207A5">
        <w:tab/>
        <w:t>The TWV agreed that the characteristic should be revised using a scale of three notes (QN)</w:t>
      </w:r>
      <w:r w:rsidR="00C1785B">
        <w:t xml:space="preserve"> [instead of QL: “absent”</w:t>
      </w:r>
      <w:proofErr w:type="gramStart"/>
      <w:r w:rsidR="00C1785B">
        <w:t>/”present</w:t>
      </w:r>
      <w:proofErr w:type="gramEnd"/>
      <w:r w:rsidR="00C1785B">
        <w:t>”]</w:t>
      </w:r>
      <w:r w:rsidRPr="00A207A5">
        <w:t xml:space="preserve">.  </w:t>
      </w:r>
    </w:p>
    <w:p w14:paraId="24E67C7F" w14:textId="77777777" w:rsidR="00E33353" w:rsidRPr="00A207A5" w:rsidRDefault="00E33353" w:rsidP="00E33353"/>
    <w:p w14:paraId="3942E044" w14:textId="77777777" w:rsidR="00E33353" w:rsidRPr="00A207A5" w:rsidRDefault="00E33353" w:rsidP="00E33353">
      <w:r w:rsidRPr="00A207A5">
        <w:fldChar w:fldCharType="begin"/>
      </w:r>
      <w:r w:rsidRPr="00A207A5">
        <w:instrText xml:space="preserve"> AUTONUM  </w:instrText>
      </w:r>
      <w:r w:rsidRPr="00A207A5">
        <w:fldChar w:fldCharType="end"/>
      </w:r>
      <w:r w:rsidRPr="00A207A5">
        <w:tab/>
      </w:r>
      <w:proofErr w:type="gramStart"/>
      <w:r w:rsidRPr="00A207A5">
        <w:t>The TWV</w:t>
      </w:r>
      <w:proofErr w:type="gramEnd"/>
      <w:r w:rsidRPr="00A207A5">
        <w:t xml:space="preserve"> considered the use of a qualitative (QL) scale of notes for the characteristic CGMMV, which was expressed with a continuous range of symptoms.  The TWV agreed there was no clear gap between the states of expression “absent / present”.  </w:t>
      </w:r>
    </w:p>
    <w:p w14:paraId="55A25928" w14:textId="77777777" w:rsidR="00E33353" w:rsidRPr="00A207A5" w:rsidRDefault="00E33353" w:rsidP="00E33353"/>
    <w:p w14:paraId="5043462C" w14:textId="77777777" w:rsidR="00E33353" w:rsidRPr="00A207A5" w:rsidRDefault="00E33353" w:rsidP="00E33353">
      <w:r w:rsidRPr="00A207A5">
        <w:fldChar w:fldCharType="begin"/>
      </w:r>
      <w:r w:rsidRPr="00A207A5">
        <w:instrText xml:space="preserve"> AUTONUM  </w:instrText>
      </w:r>
      <w:r w:rsidRPr="00A207A5">
        <w:fldChar w:fldCharType="end"/>
      </w:r>
      <w:r w:rsidRPr="00A207A5">
        <w:tab/>
      </w:r>
      <w:proofErr w:type="gramStart"/>
      <w:r w:rsidRPr="00A207A5">
        <w:t>The TWV</w:t>
      </w:r>
      <w:proofErr w:type="gramEnd"/>
      <w:r w:rsidRPr="00A207A5">
        <w:t xml:space="preserve"> considered the recommendation made by the Enlarged Editorial Committee (TC-EDC) to use a quantitative (QN) scale for the characteristic (e.g. three notes).  The TWV noted the explanation from France and the Netherlands (Kingdom of) that no robust threshold control variety had been identified to enable defining the cut-off point for a third state of expression, other than absent / present.</w:t>
      </w:r>
    </w:p>
    <w:p w14:paraId="3FE7DC61" w14:textId="77777777" w:rsidR="00E33353" w:rsidRPr="00A207A5" w:rsidRDefault="00E33353" w:rsidP="00E33353"/>
    <w:p w14:paraId="3CFE3946" w14:textId="77777777" w:rsidR="00E33353" w:rsidRPr="00A207A5" w:rsidRDefault="00E33353" w:rsidP="00E33353">
      <w:r w:rsidRPr="00A207A5">
        <w:fldChar w:fldCharType="begin"/>
      </w:r>
      <w:r w:rsidRPr="00A207A5">
        <w:instrText xml:space="preserve"> AUTONUM  </w:instrText>
      </w:r>
      <w:r w:rsidRPr="00A207A5">
        <w:fldChar w:fldCharType="end"/>
      </w:r>
      <w:r w:rsidRPr="00A207A5">
        <w:tab/>
        <w:t xml:space="preserve">The TWV noted that the requirement for example varieties in the case of QN characteristics with “1-5” / “1-3” scales was to provide example varieties for at least </w:t>
      </w:r>
      <w:r w:rsidRPr="00A207A5">
        <w:rPr>
          <w:u w:val="single"/>
        </w:rPr>
        <w:t>two</w:t>
      </w:r>
      <w:r w:rsidRPr="00A207A5">
        <w:t xml:space="preserve"> states of expression (see: document TGP/7 “Development of Test Guidelines”, GN 28, Sec. 2.4).  The TWV agreed that only two example varieties would be required for disease resistance characteristics with three states of expression. </w:t>
      </w:r>
    </w:p>
    <w:p w14:paraId="7FE80991" w14:textId="77777777" w:rsidR="00E33353" w:rsidRPr="00A207A5" w:rsidRDefault="00E33353" w:rsidP="00E33353"/>
    <w:p w14:paraId="03C40966" w14:textId="72E6BB02" w:rsidR="00E33353" w:rsidRPr="00A207A5" w:rsidRDefault="00E33353" w:rsidP="00E33353">
      <w:pPr>
        <w:rPr>
          <w:rFonts w:eastAsiaTheme="minorEastAsia" w:cs="Arial"/>
          <w:color w:val="333333"/>
          <w:shd w:val="clear" w:color="auto" w:fill="FFFFFF"/>
        </w:rPr>
      </w:pPr>
      <w:r w:rsidRPr="00A207A5">
        <w:rPr>
          <w:rFonts w:eastAsiaTheme="minorEastAsia" w:cs="Arial"/>
          <w:color w:val="333333"/>
          <w:shd w:val="clear" w:color="auto" w:fill="FFFFFF"/>
        </w:rPr>
        <w:fldChar w:fldCharType="begin"/>
      </w:r>
      <w:r w:rsidRPr="00A207A5">
        <w:rPr>
          <w:rFonts w:eastAsiaTheme="minorEastAsia" w:cs="Arial"/>
          <w:color w:val="333333"/>
          <w:shd w:val="clear" w:color="auto" w:fill="FFFFFF"/>
        </w:rPr>
        <w:instrText xml:space="preserve"> AUTONUM  </w:instrText>
      </w:r>
      <w:r w:rsidRPr="00A207A5">
        <w:rPr>
          <w:rFonts w:eastAsiaTheme="minorEastAsia" w:cs="Arial"/>
          <w:color w:val="333333"/>
          <w:shd w:val="clear" w:color="auto" w:fill="FFFFFF"/>
        </w:rPr>
        <w:fldChar w:fldCharType="end"/>
      </w:r>
      <w:r w:rsidRPr="00A207A5">
        <w:rPr>
          <w:rFonts w:eastAsiaTheme="minorEastAsia" w:cs="Arial"/>
          <w:color w:val="333333"/>
          <w:shd w:val="clear" w:color="auto" w:fill="FFFFFF"/>
        </w:rPr>
        <w:tab/>
        <w:t xml:space="preserve">The TWV discussed the borderline between two states of expression around the threshold control and the difference required to demonstrate a clear difference between two varieties close to the borderline (e.g. high end of </w:t>
      </w:r>
      <w:r w:rsidR="004D4458">
        <w:rPr>
          <w:rFonts w:eastAsiaTheme="minorEastAsia" w:cs="Arial"/>
          <w:color w:val="333333"/>
          <w:shd w:val="clear" w:color="auto" w:fill="FFFFFF"/>
        </w:rPr>
        <w:t>“</w:t>
      </w:r>
      <w:r w:rsidRPr="00A207A5">
        <w:rPr>
          <w:rFonts w:eastAsiaTheme="minorEastAsia" w:cs="Arial"/>
          <w:color w:val="333333"/>
          <w:shd w:val="clear" w:color="auto" w:fill="FFFFFF"/>
        </w:rPr>
        <w:t>absent</w:t>
      </w:r>
      <w:r w:rsidR="004D4458">
        <w:rPr>
          <w:rFonts w:eastAsiaTheme="minorEastAsia" w:cs="Arial"/>
          <w:color w:val="333333"/>
          <w:shd w:val="clear" w:color="auto" w:fill="FFFFFF"/>
        </w:rPr>
        <w:t>”</w:t>
      </w:r>
      <w:r w:rsidRPr="00A207A5">
        <w:rPr>
          <w:rFonts w:eastAsiaTheme="minorEastAsia" w:cs="Arial"/>
          <w:color w:val="333333"/>
          <w:shd w:val="clear" w:color="auto" w:fill="FFFFFF"/>
        </w:rPr>
        <w:t xml:space="preserve"> and low end of </w:t>
      </w:r>
      <w:r w:rsidR="004D4458">
        <w:rPr>
          <w:rFonts w:eastAsiaTheme="minorEastAsia" w:cs="Arial"/>
          <w:color w:val="333333"/>
          <w:shd w:val="clear" w:color="auto" w:fill="FFFFFF"/>
        </w:rPr>
        <w:t>“</w:t>
      </w:r>
      <w:r w:rsidRPr="00A207A5">
        <w:rPr>
          <w:rFonts w:eastAsiaTheme="minorEastAsia" w:cs="Arial"/>
          <w:color w:val="333333"/>
          <w:shd w:val="clear" w:color="auto" w:fill="FFFFFF"/>
        </w:rPr>
        <w:t>present</w:t>
      </w:r>
      <w:r w:rsidR="004D4458">
        <w:rPr>
          <w:rFonts w:eastAsiaTheme="minorEastAsia" w:cs="Arial"/>
          <w:color w:val="333333"/>
          <w:shd w:val="clear" w:color="auto" w:fill="FFFFFF"/>
        </w:rPr>
        <w:t>”</w:t>
      </w:r>
      <w:r w:rsidRPr="00A207A5">
        <w:rPr>
          <w:rFonts w:eastAsiaTheme="minorEastAsia" w:cs="Arial"/>
          <w:color w:val="333333"/>
          <w:shd w:val="clear" w:color="auto" w:fill="FFFFFF"/>
        </w:rPr>
        <w:t xml:space="preserve">).  The TWV noted the experience from France on the use of statistical analysis to establish distinctness between varieties in this situation. </w:t>
      </w:r>
    </w:p>
    <w:p w14:paraId="12A93C24" w14:textId="77777777" w:rsidR="00E33353" w:rsidRPr="00A207A5" w:rsidRDefault="00E33353" w:rsidP="00E33353"/>
    <w:p w14:paraId="0174D965" w14:textId="18A14167" w:rsidR="00E33353" w:rsidRPr="00A207A5" w:rsidRDefault="00E33353" w:rsidP="00E33353">
      <w:r w:rsidRPr="00A207A5">
        <w:fldChar w:fldCharType="begin"/>
      </w:r>
      <w:r w:rsidRPr="00A207A5">
        <w:instrText xml:space="preserve"> AUTONUM  </w:instrText>
      </w:r>
      <w:r w:rsidRPr="00A207A5">
        <w:fldChar w:fldCharType="end"/>
      </w:r>
      <w:r w:rsidRPr="00A207A5">
        <w:tab/>
        <w:t>The TWV agreed that the approach for QN disease resistance characteristics using threshold controls would be suitable for the assessment of distinctness on side-by-side comparisons, with the use of statistical analysis when required.  The TWV agreed that the approach would not be suitable for grouping varieties based on variety descriptions.</w:t>
      </w:r>
    </w:p>
    <w:p w14:paraId="7AC4A086" w14:textId="77777777" w:rsidR="00E33353" w:rsidRPr="00A207A5" w:rsidRDefault="00E33353" w:rsidP="00E33353"/>
    <w:p w14:paraId="644F34A8" w14:textId="77777777" w:rsidR="00E33353" w:rsidRPr="00A207A5" w:rsidRDefault="00E33353" w:rsidP="00E33353">
      <w:r w:rsidRPr="00A207A5">
        <w:fldChar w:fldCharType="begin"/>
      </w:r>
      <w:r w:rsidRPr="00A207A5">
        <w:instrText xml:space="preserve"> AUTONUM  </w:instrText>
      </w:r>
      <w:r w:rsidRPr="00A207A5">
        <w:fldChar w:fldCharType="end"/>
      </w:r>
      <w:r w:rsidRPr="00A207A5">
        <w:tab/>
      </w:r>
      <w:proofErr w:type="gramStart"/>
      <w:r w:rsidRPr="00A207A5">
        <w:t>The TWV</w:t>
      </w:r>
      <w:proofErr w:type="gramEnd"/>
      <w:r w:rsidRPr="00A207A5">
        <w:t xml:space="preserve"> noted the use of disease resistance characteristics for grouping varieties and agreed that the use of a qualitative scale (QL) for a quantitative (QN) characteristic addressed borderline varieties the same as consecutive notes in QN scales (e.g. notes 1/9 = 1/2 or 2/3).  </w:t>
      </w:r>
    </w:p>
    <w:p w14:paraId="4DA3FFB3" w14:textId="77777777" w:rsidR="00E33353" w:rsidRPr="00A207A5" w:rsidRDefault="00E33353" w:rsidP="00E33353"/>
    <w:p w14:paraId="27955ABC" w14:textId="77777777" w:rsidR="00E33353" w:rsidRPr="00A207A5" w:rsidRDefault="00E33353" w:rsidP="00E33353">
      <w:r w:rsidRPr="00A207A5">
        <w:fldChar w:fldCharType="begin"/>
      </w:r>
      <w:r w:rsidRPr="00A207A5">
        <w:instrText xml:space="preserve"> AUTONUM  </w:instrText>
      </w:r>
      <w:r w:rsidRPr="00A207A5">
        <w:fldChar w:fldCharType="end"/>
      </w:r>
      <w:r w:rsidRPr="00A207A5">
        <w:tab/>
      </w:r>
      <w:proofErr w:type="gramStart"/>
      <w:r w:rsidRPr="00A207A5">
        <w:t>The TWV</w:t>
      </w:r>
      <w:proofErr w:type="gramEnd"/>
      <w:r w:rsidRPr="00A207A5">
        <w:t xml:space="preserve"> discussed the assessment of uniformity of QN disease resistance characteristics described as QL and the possibility of having plants from the same variety in classes from different states of expression.  The TWV noted the explanation from France that uniformity assessment considered the distribution of plants across classes and off-types plants outside the expected range of distribution.</w:t>
      </w:r>
    </w:p>
    <w:p w14:paraId="27C69692" w14:textId="77777777" w:rsidR="00E33353" w:rsidRPr="00A207A5" w:rsidRDefault="00E33353" w:rsidP="00E33353"/>
    <w:p w14:paraId="088B2254" w14:textId="77777777" w:rsidR="00E33353" w:rsidRPr="00A207A5" w:rsidRDefault="00E33353" w:rsidP="00E33353">
      <w:r w:rsidRPr="00C1785B">
        <w:fldChar w:fldCharType="begin"/>
      </w:r>
      <w:r w:rsidRPr="00C1785B">
        <w:instrText xml:space="preserve"> AUTONUM  </w:instrText>
      </w:r>
      <w:r w:rsidRPr="00C1785B">
        <w:fldChar w:fldCharType="end"/>
      </w:r>
      <w:r w:rsidRPr="00C1785B">
        <w:tab/>
        <w:t xml:space="preserve">The TWV discussed general matters applying to quantitative disease resistance characteristics and agreed to invite the Netherlands (Kingdom of) to identify aspects in UPOV guidance that could be amended to reflect the </w:t>
      </w:r>
      <w:proofErr w:type="gramStart"/>
      <w:r w:rsidRPr="00C1785B">
        <w:t>particular features</w:t>
      </w:r>
      <w:proofErr w:type="gramEnd"/>
      <w:r w:rsidRPr="00C1785B">
        <w:t xml:space="preserve"> of quantitative disease resistance characteristics, such as procedures to address borderline varieties.</w:t>
      </w:r>
      <w:r w:rsidRPr="00A207A5">
        <w:t xml:space="preserve">  </w:t>
      </w:r>
    </w:p>
    <w:p w14:paraId="5CB0A856" w14:textId="77777777" w:rsidR="00E33353" w:rsidRPr="00A207A5" w:rsidRDefault="00E33353" w:rsidP="00E33353"/>
    <w:bookmarkEnd w:id="18"/>
    <w:p w14:paraId="0036D173" w14:textId="3A3216E3" w:rsidR="00E33353" w:rsidRPr="00A207A5" w:rsidRDefault="00C1785B" w:rsidP="00E33353">
      <w:r w:rsidRPr="00C1785B">
        <w:fldChar w:fldCharType="begin"/>
      </w:r>
      <w:r w:rsidRPr="00C1785B">
        <w:instrText xml:space="preserve"> AUTONUM  </w:instrText>
      </w:r>
      <w:r w:rsidRPr="00C1785B">
        <w:fldChar w:fldCharType="end"/>
      </w:r>
      <w:r w:rsidRPr="00C1785B">
        <w:tab/>
      </w:r>
      <w:r w:rsidR="00E33353" w:rsidRPr="00A207A5">
        <w:t xml:space="preserve">The TWV noted the comment from Japan that future discussions on disease resistance characteristics would benefit from the participation of legal experts, such as UPOV member representatives at the Administrative and Legal Committee (CAJ). </w:t>
      </w:r>
    </w:p>
    <w:p w14:paraId="6A05074D" w14:textId="77777777" w:rsidR="00302A22" w:rsidRDefault="00302A22" w:rsidP="003D0839">
      <w:pPr>
        <w:rPr>
          <w:snapToGrid w:val="0"/>
        </w:rPr>
      </w:pPr>
    </w:p>
    <w:p w14:paraId="017A4C92" w14:textId="77777777" w:rsidR="00FC0F25" w:rsidRDefault="00FC0F25" w:rsidP="003D0839">
      <w:pPr>
        <w:rPr>
          <w:snapToGrid w:val="0"/>
        </w:rPr>
      </w:pPr>
    </w:p>
    <w:p w14:paraId="506EE2B3" w14:textId="77777777" w:rsidR="00FC0F25" w:rsidRPr="005E7537" w:rsidRDefault="00FC0F25" w:rsidP="00365B2A">
      <w:pPr>
        <w:pStyle w:val="Heading2"/>
      </w:pPr>
      <w:bookmarkStart w:id="19" w:name="_Toc207646166"/>
      <w:bookmarkStart w:id="20" w:name="_Toc208828858"/>
      <w:bookmarkStart w:id="21" w:name="_Toc191917557"/>
      <w:r w:rsidRPr="005E7537">
        <w:rPr>
          <w:rFonts w:eastAsia="MS Mincho"/>
        </w:rPr>
        <w:t>Characteristics observed in one growing cycle in DUS testing where the minimum duration of tests should normally be two independent growing cycles</w:t>
      </w:r>
      <w:bookmarkEnd w:id="19"/>
      <w:bookmarkEnd w:id="20"/>
    </w:p>
    <w:p w14:paraId="48FBBD0D" w14:textId="77777777" w:rsidR="00FC0F25" w:rsidRPr="005E7537" w:rsidRDefault="00FC0F25" w:rsidP="00FC0F25"/>
    <w:p w14:paraId="7C907542" w14:textId="77777777" w:rsidR="00FC0F25" w:rsidRPr="005E7537" w:rsidRDefault="00FC0F25" w:rsidP="00FC0F25">
      <w:r w:rsidRPr="005E7537">
        <w:fldChar w:fldCharType="begin"/>
      </w:r>
      <w:r w:rsidRPr="005E7537">
        <w:instrText xml:space="preserve"> AUTONUM  </w:instrText>
      </w:r>
      <w:r w:rsidRPr="005E7537">
        <w:fldChar w:fldCharType="end"/>
      </w:r>
      <w:r w:rsidRPr="005E7537">
        <w:tab/>
        <w:t>At their sessions in 2025, the TWV and TWA received a presentation on</w:t>
      </w:r>
      <w:r w:rsidRPr="005E7537">
        <w:rPr>
          <w:rFonts w:ascii="CIDFont+F1" w:hAnsi="CIDFont+F1" w:cs="CIDFont+F1"/>
          <w:sz w:val="19"/>
          <w:szCs w:val="19"/>
        </w:rPr>
        <w:t xml:space="preserve"> </w:t>
      </w:r>
      <w:r w:rsidRPr="005E7537">
        <w:t xml:space="preserve">“Characteristics observed in one growing cycle in DUS testing where the minimum duration of tests should normally be two independent growing cycles” from an expert from the European Union.  </w:t>
      </w:r>
      <w:r>
        <w:t>T</w:t>
      </w:r>
      <w:r w:rsidRPr="005E7537">
        <w:t xml:space="preserve">he presentation is provided in documents </w:t>
      </w:r>
      <w:hyperlink r:id="rId13" w:history="1">
        <w:r w:rsidRPr="003C06EE">
          <w:rPr>
            <w:rStyle w:val="Hyperlink"/>
          </w:rPr>
          <w:t>TWV/59/9</w:t>
        </w:r>
      </w:hyperlink>
      <w:r w:rsidRPr="005E7537">
        <w:t xml:space="preserve"> and </w:t>
      </w:r>
      <w:hyperlink r:id="rId14" w:history="1">
        <w:r w:rsidRPr="003C06EE">
          <w:rPr>
            <w:rStyle w:val="Hyperlink"/>
          </w:rPr>
          <w:t>TWA/54/3</w:t>
        </w:r>
      </w:hyperlink>
      <w:r w:rsidRPr="005E7537">
        <w:t>.</w:t>
      </w:r>
    </w:p>
    <w:p w14:paraId="4CEF6780" w14:textId="77777777" w:rsidR="00FC0F25" w:rsidRPr="005E7537" w:rsidRDefault="00FC0F25" w:rsidP="00FC0F25"/>
    <w:p w14:paraId="17628387" w14:textId="77777777" w:rsidR="00FC0F25" w:rsidRPr="005E7537" w:rsidRDefault="00FC0F25" w:rsidP="00FC0F25">
      <w:pPr>
        <w:keepLines/>
      </w:pPr>
      <w:r w:rsidRPr="005E7537">
        <w:fldChar w:fldCharType="begin"/>
      </w:r>
      <w:r w:rsidRPr="005E7537">
        <w:instrText xml:space="preserve"> AUTONUM  </w:instrText>
      </w:r>
      <w:r w:rsidRPr="005E7537">
        <w:fldChar w:fldCharType="end"/>
      </w:r>
      <w:r w:rsidRPr="005E7537">
        <w:tab/>
        <w:t>The TWV considered whether the standard wording in UPOV Test Guidelines should be amended to clarify that certain characteristics could be assessed in one growing cycle only.  The TWV noted the reports from Japan and Kenya on how the guidance was interpreted in those countries.  The TWV agreed that the guidance provided flexibility for examination to be concluded after one growing cycle, in case a reliable result could be achieved or to conduct additional growing cycles, in case required.</w:t>
      </w:r>
    </w:p>
    <w:p w14:paraId="395C8658" w14:textId="77777777" w:rsidR="00FC0F25" w:rsidRPr="005E7537" w:rsidRDefault="00FC0F25" w:rsidP="00FC0F25">
      <w:pPr>
        <w:rPr>
          <w:rFonts w:cs="Arial"/>
          <w:color w:val="39394D"/>
        </w:rPr>
      </w:pPr>
    </w:p>
    <w:p w14:paraId="2D9AAF91" w14:textId="77777777" w:rsidR="00FC0F25" w:rsidRPr="005E7537" w:rsidRDefault="00FC0F25" w:rsidP="00FC0F25">
      <w:r w:rsidRPr="005E7537">
        <w:fldChar w:fldCharType="begin"/>
      </w:r>
      <w:r w:rsidRPr="005E7537">
        <w:instrText xml:space="preserve"> AUTONUM  </w:instrText>
      </w:r>
      <w:r w:rsidRPr="005E7537">
        <w:fldChar w:fldCharType="end"/>
      </w:r>
      <w:r w:rsidRPr="005E7537">
        <w:tab/>
        <w:t>The TWA agreed that the guidance in document TG/1/3</w:t>
      </w:r>
      <w:r>
        <w:t xml:space="preserve"> (</w:t>
      </w:r>
      <w:r w:rsidRPr="005E7537">
        <w:t>“</w:t>
      </w:r>
      <w:r w:rsidRPr="003C06EE">
        <w:t>General Introduction to the Examination of Distinctness, Uniformity and Stability and the Development of Harmonized Descriptions of new Varieties of Plants</w:t>
      </w:r>
      <w:r w:rsidRPr="005E7537">
        <w:t>”</w:t>
      </w:r>
      <w:r>
        <w:t>)</w:t>
      </w:r>
      <w:r w:rsidRPr="005E7537">
        <w:t xml:space="preserve"> and in the Test Guidelines provided sufficient flexibility for authorities to decide when two growing cycles would be required for the expression of characteristics to be considered sufficiently consistent and repeatable in a particular environment. </w:t>
      </w:r>
    </w:p>
    <w:p w14:paraId="224E2019" w14:textId="77777777" w:rsidR="00FC0F25" w:rsidRPr="005E7537" w:rsidRDefault="00FC0F25" w:rsidP="00FC0F25"/>
    <w:p w14:paraId="57D3EA4F" w14:textId="77777777" w:rsidR="00A44D2D" w:rsidRDefault="00A44D2D" w:rsidP="00A44D2D"/>
    <w:p w14:paraId="77D0CB90" w14:textId="62B130AD" w:rsidR="00A44D2D" w:rsidRPr="00D30834" w:rsidRDefault="00A44D2D" w:rsidP="005639BE">
      <w:pPr>
        <w:pStyle w:val="Heading2"/>
        <w:keepLines/>
        <w:rPr>
          <w:rFonts w:eastAsia="MS Mincho"/>
        </w:rPr>
      </w:pPr>
      <w:bookmarkStart w:id="22" w:name="_Toc207212888"/>
      <w:bookmarkStart w:id="23" w:name="_Toc208828859"/>
      <w:bookmarkStart w:id="24" w:name="_Hlk208828547"/>
      <w:r w:rsidRPr="00D30834">
        <w:rPr>
          <w:rFonts w:eastAsia="MS Mincho"/>
        </w:rPr>
        <w:lastRenderedPageBreak/>
        <w:t>Uniformity assessment of characteristics not listed in test guidelines</w:t>
      </w:r>
      <w:bookmarkEnd w:id="22"/>
      <w:bookmarkEnd w:id="23"/>
      <w:r w:rsidRPr="00D30834">
        <w:rPr>
          <w:rFonts w:eastAsia="MS Mincho"/>
        </w:rPr>
        <w:t xml:space="preserve"> </w:t>
      </w:r>
    </w:p>
    <w:bookmarkEnd w:id="24"/>
    <w:p w14:paraId="201E3E9D" w14:textId="77777777" w:rsidR="00A44D2D" w:rsidRPr="00D30834" w:rsidRDefault="00A44D2D" w:rsidP="005639BE">
      <w:pPr>
        <w:keepNext/>
        <w:keepLines/>
        <w:rPr>
          <w:rFonts w:eastAsia="MS Mincho"/>
        </w:rPr>
      </w:pPr>
    </w:p>
    <w:p w14:paraId="4354C4B5" w14:textId="77777777" w:rsidR="00A44D2D" w:rsidRPr="00D30834" w:rsidRDefault="00A44D2D" w:rsidP="005639BE">
      <w:pPr>
        <w:keepNext/>
        <w:keepLines/>
        <w:rPr>
          <w:rFonts w:eastAsia="MS Mincho"/>
        </w:rPr>
      </w:pPr>
      <w:r w:rsidRPr="00D30834">
        <w:fldChar w:fldCharType="begin"/>
      </w:r>
      <w:r w:rsidRPr="00D30834">
        <w:instrText xml:space="preserve"> AUTONUM  </w:instrText>
      </w:r>
      <w:r w:rsidRPr="00D30834">
        <w:fldChar w:fldCharType="end"/>
      </w:r>
      <w:r w:rsidRPr="00D30834">
        <w:tab/>
      </w:r>
      <w:r w:rsidRPr="00D30834">
        <w:rPr>
          <w:rFonts w:eastAsia="MS Mincho"/>
        </w:rPr>
        <w:t xml:space="preserve">The TWO considered document TWO/57/7 “Proposal for a revision of documents TGP/9/2 (Examining Distinctness) and TGP/10/2 (Examining Uniformity)” and agreed that it would not be necessary to amend guidance in documents TGP/9 and TGP/10 to clarify the possibility to use additional characteristics for DUS examination in addition to those in the UPOV Test Guidelines.  The TWO recalled guidance in document TG/1/3 “General Introduction to the Examination of Distinctness, Uniformity and Stability and the Development of Harmonized Descriptions of New Varieties of Plants” (the “General Introduction”), paragraph 4.2.3, that states: </w:t>
      </w:r>
    </w:p>
    <w:p w14:paraId="260B2C05" w14:textId="77777777" w:rsidR="00A44D2D" w:rsidRPr="00D30834" w:rsidRDefault="00A44D2D" w:rsidP="00A44D2D">
      <w:pPr>
        <w:rPr>
          <w:rFonts w:eastAsia="MS Mincho"/>
        </w:rPr>
      </w:pPr>
    </w:p>
    <w:p w14:paraId="15A4949C" w14:textId="77777777" w:rsidR="00A44D2D" w:rsidRPr="005639BE" w:rsidRDefault="00A44D2D" w:rsidP="00A44D2D">
      <w:pPr>
        <w:tabs>
          <w:tab w:val="left" w:pos="1276"/>
        </w:tabs>
        <w:ind w:left="567" w:right="567"/>
        <w:rPr>
          <w:rFonts w:eastAsia="MS Mincho"/>
          <w:sz w:val="18"/>
          <w:szCs w:val="18"/>
        </w:rPr>
      </w:pPr>
      <w:r w:rsidRPr="005639BE">
        <w:rPr>
          <w:rFonts w:eastAsia="MS Mincho"/>
          <w:sz w:val="18"/>
          <w:szCs w:val="18"/>
        </w:rPr>
        <w:t>“4.2.3</w:t>
      </w:r>
      <w:r w:rsidRPr="005639BE">
        <w:rPr>
          <w:rFonts w:eastAsia="MS Mincho"/>
          <w:sz w:val="18"/>
          <w:szCs w:val="18"/>
        </w:rPr>
        <w:tab/>
        <w:t>[…] The characteristics included in the individual Test Guidelines are not necessarily exhaustive and may be expanded with additional characteristics if that proves to be useful and the characteristics meet the conditions set out above.” [basic requirements that a characteristic should fulfill before it is used for DUS testing]</w:t>
      </w:r>
    </w:p>
    <w:p w14:paraId="65E5E183" w14:textId="77777777" w:rsidR="00A44D2D" w:rsidRPr="00D30834" w:rsidRDefault="00A44D2D" w:rsidP="00A44D2D"/>
    <w:p w14:paraId="3F094B50" w14:textId="77777777" w:rsidR="00A44D2D" w:rsidRPr="00D30834" w:rsidRDefault="00A44D2D" w:rsidP="00A44D2D">
      <w:r w:rsidRPr="00D30834">
        <w:fldChar w:fldCharType="begin"/>
      </w:r>
      <w:r w:rsidRPr="00D30834">
        <w:instrText xml:space="preserve"> AUTONUM  </w:instrText>
      </w:r>
      <w:r w:rsidRPr="00D30834">
        <w:fldChar w:fldCharType="end"/>
      </w:r>
      <w:r w:rsidRPr="00D30834">
        <w:tab/>
        <w:t xml:space="preserve">The TWO considered </w:t>
      </w:r>
      <w:bookmarkStart w:id="25" w:name="_Hlk207308398"/>
      <w:r w:rsidRPr="00D30834">
        <w:t>the assessment of additional characteristics not included in the UPOV Test Guidelines, as set out in document TWO/57/7, and whether it would be appropriate for such characteristics to be assessed for uniformity only and not for distinctness</w:t>
      </w:r>
      <w:bookmarkEnd w:id="25"/>
      <w:r w:rsidRPr="00D30834">
        <w:t xml:space="preserve">.  The TWO recalled that the UPOV Convention requires that a variety be examined for compliance with the conditions of distinctness, uniformity and stability and agreed that any additional characteristic would be subject to the same legal basis. </w:t>
      </w:r>
    </w:p>
    <w:p w14:paraId="629B050A" w14:textId="77777777" w:rsidR="00A44D2D" w:rsidRPr="00D30834" w:rsidRDefault="00A44D2D" w:rsidP="00A44D2D"/>
    <w:p w14:paraId="21E5C25C" w14:textId="77777777" w:rsidR="00A44D2D" w:rsidRPr="00A44D2D" w:rsidRDefault="00A44D2D" w:rsidP="00A44D2D"/>
    <w:p w14:paraId="4FCFD53B" w14:textId="124B1860" w:rsidR="00BA470A" w:rsidRDefault="00302A22" w:rsidP="00365B2A">
      <w:pPr>
        <w:pStyle w:val="Heading2"/>
        <w:rPr>
          <w:rFonts w:eastAsia="MS Mincho"/>
        </w:rPr>
      </w:pPr>
      <w:bookmarkStart w:id="26" w:name="_Toc208828860"/>
      <w:r w:rsidRPr="003E6ED8">
        <w:rPr>
          <w:rFonts w:eastAsia="MS Mincho"/>
        </w:rPr>
        <w:t>Report on court cases dealing with technical matters</w:t>
      </w:r>
      <w:bookmarkStart w:id="27" w:name="_Hlk205555062"/>
      <w:r w:rsidR="00AC0937">
        <w:rPr>
          <w:rFonts w:eastAsia="MS Mincho"/>
        </w:rPr>
        <w:t xml:space="preserve">: </w:t>
      </w:r>
      <w:r w:rsidR="00BA470A" w:rsidRPr="001B6C83">
        <w:rPr>
          <w:rFonts w:eastAsia="MS Mincho"/>
          <w:i/>
          <w:iCs/>
        </w:rPr>
        <w:t>Allium cepa</w:t>
      </w:r>
      <w:r w:rsidR="00BA470A" w:rsidRPr="00A207A5">
        <w:rPr>
          <w:rFonts w:eastAsia="MS Mincho"/>
        </w:rPr>
        <w:t xml:space="preserve"> L. “SK20”</w:t>
      </w:r>
      <w:bookmarkEnd w:id="26"/>
    </w:p>
    <w:bookmarkEnd w:id="27"/>
    <w:p w14:paraId="58EED9CC" w14:textId="77777777" w:rsidR="00BA470A" w:rsidRDefault="00BA470A" w:rsidP="00302A22">
      <w:pPr>
        <w:rPr>
          <w:rFonts w:eastAsia="MS Mincho"/>
        </w:rPr>
      </w:pPr>
    </w:p>
    <w:p w14:paraId="5966E818" w14:textId="7E1750B8" w:rsidR="00BA470A" w:rsidRDefault="001E6406" w:rsidP="00BA470A">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302A22">
        <w:rPr>
          <w:rFonts w:eastAsia="MS Mincho"/>
        </w:rPr>
        <w:t>The TWO</w:t>
      </w:r>
      <w:r w:rsidR="001B6C83">
        <w:rPr>
          <w:rFonts w:eastAsia="MS Mincho"/>
        </w:rPr>
        <w:t>, TWV and TWF</w:t>
      </w:r>
      <w:r w:rsidR="00302A22">
        <w:rPr>
          <w:rFonts w:eastAsia="MS Mincho"/>
        </w:rPr>
        <w:t xml:space="preserve"> received a presentation </w:t>
      </w:r>
      <w:r w:rsidR="001B6C83">
        <w:rPr>
          <w:rFonts w:eastAsia="MS Mincho"/>
        </w:rPr>
        <w:t xml:space="preserve">from </w:t>
      </w:r>
      <w:r w:rsidR="001B6C83" w:rsidRPr="008706D8">
        <w:rPr>
          <w:rFonts w:eastAsia="MS Mincho"/>
        </w:rPr>
        <w:t>the European Union</w:t>
      </w:r>
      <w:r w:rsidR="001B6C83">
        <w:rPr>
          <w:rFonts w:eastAsia="MS Mincho"/>
        </w:rPr>
        <w:t xml:space="preserve"> on the court case “</w:t>
      </w:r>
      <w:r w:rsidR="001B6C83" w:rsidRPr="001B6C83">
        <w:rPr>
          <w:rFonts w:eastAsia="MS Mincho"/>
          <w:i/>
          <w:iCs/>
        </w:rPr>
        <w:t>Allium</w:t>
      </w:r>
      <w:r w:rsidR="001B6C83">
        <w:rPr>
          <w:rFonts w:eastAsia="MS Mincho"/>
          <w:i/>
          <w:iCs/>
        </w:rPr>
        <w:t> </w:t>
      </w:r>
      <w:r w:rsidR="001B6C83" w:rsidRPr="001B6C83">
        <w:rPr>
          <w:rFonts w:eastAsia="MS Mincho"/>
          <w:i/>
          <w:iCs/>
        </w:rPr>
        <w:t>cepa</w:t>
      </w:r>
      <w:r w:rsidR="001B6C83" w:rsidRPr="001B6C83">
        <w:rPr>
          <w:rFonts w:eastAsia="MS Mincho"/>
        </w:rPr>
        <w:t xml:space="preserve"> L. </w:t>
      </w:r>
      <w:r w:rsidR="001B6C83">
        <w:rPr>
          <w:rFonts w:eastAsia="MS Mincho"/>
        </w:rPr>
        <w:t>‘</w:t>
      </w:r>
      <w:r w:rsidR="001B6C83" w:rsidRPr="001B6C83">
        <w:rPr>
          <w:rFonts w:eastAsia="MS Mincho"/>
        </w:rPr>
        <w:t>SK20</w:t>
      </w:r>
      <w:r w:rsidR="001B6C83">
        <w:rPr>
          <w:rFonts w:eastAsia="MS Mincho"/>
        </w:rPr>
        <w:t>’</w:t>
      </w:r>
      <w:r w:rsidR="001B6C83" w:rsidRPr="001B6C83">
        <w:rPr>
          <w:rFonts w:eastAsia="MS Mincho"/>
        </w:rPr>
        <w:t>”</w:t>
      </w:r>
      <w:r w:rsidR="001B6C83">
        <w:rPr>
          <w:rFonts w:eastAsia="MS Mincho"/>
        </w:rPr>
        <w:t xml:space="preserve">, as provided in documents </w:t>
      </w:r>
      <w:hyperlink r:id="rId15" w:history="1">
        <w:r w:rsidR="001B6C83" w:rsidRPr="001E6406">
          <w:rPr>
            <w:rStyle w:val="Hyperlink"/>
            <w:rFonts w:eastAsia="MS Mincho"/>
          </w:rPr>
          <w:t>TWO/57/4</w:t>
        </w:r>
      </w:hyperlink>
      <w:r w:rsidR="001B6C83">
        <w:rPr>
          <w:rFonts w:eastAsia="MS Mincho"/>
        </w:rPr>
        <w:t xml:space="preserve">, </w:t>
      </w:r>
      <w:hyperlink r:id="rId16" w:history="1">
        <w:r w:rsidR="00BA470A" w:rsidRPr="001E6406">
          <w:rPr>
            <w:rStyle w:val="Hyperlink"/>
          </w:rPr>
          <w:t>TWV/59/8</w:t>
        </w:r>
      </w:hyperlink>
      <w:r w:rsidR="001B6C83">
        <w:t xml:space="preserve"> and </w:t>
      </w:r>
      <w:hyperlink r:id="rId17" w:history="1">
        <w:r w:rsidR="00BA470A" w:rsidRPr="001E6406">
          <w:rPr>
            <w:rStyle w:val="Hyperlink"/>
          </w:rPr>
          <w:t>TWF/56/4</w:t>
        </w:r>
      </w:hyperlink>
      <w:r w:rsidR="001B6C83">
        <w:rPr>
          <w:rStyle w:val="FootnoteReference"/>
        </w:rPr>
        <w:footnoteReference w:id="10"/>
      </w:r>
      <w:r w:rsidR="00BA470A">
        <w:t>.</w:t>
      </w:r>
    </w:p>
    <w:p w14:paraId="4951999C" w14:textId="77777777" w:rsidR="00302A22" w:rsidRPr="008706D8" w:rsidRDefault="00302A22" w:rsidP="00302A22">
      <w:pPr>
        <w:rPr>
          <w:rFonts w:eastAsia="MS Mincho"/>
        </w:rPr>
      </w:pPr>
    </w:p>
    <w:p w14:paraId="5A7ECF23" w14:textId="1C8FEFED" w:rsidR="00302A22" w:rsidRDefault="001E6406" w:rsidP="00302A2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302A22" w:rsidRPr="008706D8">
        <w:rPr>
          <w:rFonts w:eastAsia="MS Mincho"/>
        </w:rPr>
        <w:t xml:space="preserve">The TWO considered the proposal </w:t>
      </w:r>
      <w:r w:rsidR="00302A22">
        <w:rPr>
          <w:rFonts w:eastAsia="MS Mincho"/>
        </w:rPr>
        <w:t>in document TWO/57/4 for</w:t>
      </w:r>
      <w:r w:rsidR="00302A22" w:rsidRPr="008706D8">
        <w:rPr>
          <w:rFonts w:eastAsia="MS Mincho"/>
        </w:rPr>
        <w:t xml:space="preserve"> variety descriptions to </w:t>
      </w:r>
      <w:r w:rsidR="00302A22">
        <w:rPr>
          <w:rFonts w:eastAsia="MS Mincho"/>
        </w:rPr>
        <w:t xml:space="preserve">reduce the information provided on </w:t>
      </w:r>
      <w:r w:rsidR="00302A22" w:rsidRPr="008706D8">
        <w:rPr>
          <w:rFonts w:eastAsia="MS Mincho"/>
        </w:rPr>
        <w:t>characteristics in which the candidate was distinct from the similar variety and agreed that information on the most relevant characteristics should be provided</w:t>
      </w:r>
      <w:r w:rsidR="00302A22">
        <w:rPr>
          <w:rFonts w:eastAsia="MS Mincho"/>
        </w:rPr>
        <w:t xml:space="preserve"> in </w:t>
      </w:r>
      <w:r w:rsidR="00302A22">
        <w:t>the report on technical examination</w:t>
      </w:r>
      <w:r w:rsidR="00302A22" w:rsidRPr="008706D8">
        <w:rPr>
          <w:rFonts w:eastAsia="MS Mincho"/>
        </w:rPr>
        <w:t xml:space="preserve">. </w:t>
      </w:r>
    </w:p>
    <w:bookmarkEnd w:id="21"/>
    <w:p w14:paraId="0B558C0D" w14:textId="77777777" w:rsidR="006F0A99" w:rsidRPr="00A207A5" w:rsidRDefault="006F0A99" w:rsidP="006F0A99"/>
    <w:p w14:paraId="6BEA7C47" w14:textId="249B0C1D" w:rsidR="006F0A99" w:rsidRPr="00A207A5" w:rsidRDefault="001E6406" w:rsidP="006F0A99">
      <w:r>
        <w:fldChar w:fldCharType="begin"/>
      </w:r>
      <w:r>
        <w:instrText xml:space="preserve"> AUTONUM  </w:instrText>
      </w:r>
      <w:r>
        <w:fldChar w:fldCharType="end"/>
      </w:r>
      <w:r>
        <w:tab/>
      </w:r>
      <w:r w:rsidR="006F0A99" w:rsidRPr="00A207A5">
        <w:t xml:space="preserve">The TWV discussed the use of additional characteristics not included in test guidelines and noted one of the reasons provided by the Court that characteristics in the variety description were “not intended to reflect the expression of all characteristics resulting from the variety genotype but only certain characteristics which suffice to demonstrate compliance with the distinctness requirement.”  </w:t>
      </w:r>
    </w:p>
    <w:p w14:paraId="1DAE9A6B" w14:textId="77777777" w:rsidR="006F0A99" w:rsidRPr="00A207A5" w:rsidRDefault="006F0A99" w:rsidP="006F0A99"/>
    <w:p w14:paraId="4E66C0A1" w14:textId="6ECD7D9C" w:rsidR="006F0A99" w:rsidRPr="00A207A5" w:rsidRDefault="001E6406" w:rsidP="006F0A99">
      <w:r>
        <w:fldChar w:fldCharType="begin"/>
      </w:r>
      <w:r>
        <w:instrText xml:space="preserve"> AUTONUM  </w:instrText>
      </w:r>
      <w:r>
        <w:fldChar w:fldCharType="end"/>
      </w:r>
      <w:r>
        <w:tab/>
      </w:r>
      <w:r w:rsidR="006F0A99" w:rsidRPr="00A207A5">
        <w:t>The TWV considered the proposal in document TWV/59/8 for variety descriptions to reduce the information provided on characteristics in which the candidate was distinct from the similar variety and agreed there were different views on the matter in the different Technical Working Parties (TWPs).</w:t>
      </w:r>
    </w:p>
    <w:p w14:paraId="34FA8E9A" w14:textId="77777777" w:rsidR="009357CF" w:rsidRDefault="009357CF" w:rsidP="009357CF"/>
    <w:p w14:paraId="0B3D8CDB" w14:textId="77777777" w:rsidR="009357CF" w:rsidRDefault="009357CF" w:rsidP="009357CF">
      <w:r>
        <w:fldChar w:fldCharType="begin"/>
      </w:r>
      <w:r>
        <w:instrText xml:space="preserve"> AUTONUM  </w:instrText>
      </w:r>
      <w:r>
        <w:fldChar w:fldCharType="end"/>
      </w:r>
      <w:r>
        <w:tab/>
        <w:t xml:space="preserve">The TWF discussed the number of characteristics in Test Guidelines and agreed there should be a balance between having </w:t>
      </w:r>
      <w:proofErr w:type="gramStart"/>
      <w:r>
        <w:t>a sufficient number of</w:t>
      </w:r>
      <w:proofErr w:type="gramEnd"/>
      <w:r>
        <w:t xml:space="preserve"> characteristics that allowed describing the variety while focusing on the characteristics most useful for distinctness. </w:t>
      </w:r>
    </w:p>
    <w:p w14:paraId="5351580B" w14:textId="77777777" w:rsidR="009357CF" w:rsidRDefault="009357CF" w:rsidP="009357CF"/>
    <w:p w14:paraId="72AB7775" w14:textId="7A147BC8" w:rsidR="009357CF" w:rsidRDefault="006B68C2" w:rsidP="009357CF">
      <w:r w:rsidRPr="006B68C2">
        <w:fldChar w:fldCharType="begin"/>
      </w:r>
      <w:r w:rsidRPr="006B68C2">
        <w:instrText xml:space="preserve"> AUTONUM  </w:instrText>
      </w:r>
      <w:r w:rsidRPr="006B68C2">
        <w:fldChar w:fldCharType="end"/>
      </w:r>
      <w:r w:rsidRPr="006B68C2">
        <w:tab/>
      </w:r>
      <w:r w:rsidR="009357CF" w:rsidRPr="006B68C2">
        <w:t>The TWF welcomed the initiative to present a court case dealing with technical matters and agreed to invite simi</w:t>
      </w:r>
      <w:r w:rsidR="009357CF">
        <w:t xml:space="preserve">lar presentations in future. </w:t>
      </w:r>
    </w:p>
    <w:p w14:paraId="3CF62047" w14:textId="77777777" w:rsidR="00302A22" w:rsidRDefault="00302A22" w:rsidP="00302A22">
      <w:pPr>
        <w:jc w:val="left"/>
        <w:rPr>
          <w:rFonts w:eastAsia="MS Mincho"/>
        </w:rPr>
      </w:pPr>
    </w:p>
    <w:p w14:paraId="07521527" w14:textId="77777777" w:rsidR="004675E5" w:rsidRDefault="004675E5" w:rsidP="00302A22">
      <w:pPr>
        <w:jc w:val="left"/>
        <w:rPr>
          <w:rFonts w:eastAsia="MS Mincho"/>
        </w:rPr>
      </w:pPr>
    </w:p>
    <w:p w14:paraId="1C3F74F5" w14:textId="2DBFAD48" w:rsidR="009C0E22" w:rsidRDefault="003B4826" w:rsidP="00365B2A">
      <w:pPr>
        <w:pStyle w:val="Heading2"/>
        <w:rPr>
          <w:rFonts w:eastAsia="MS Mincho"/>
        </w:rPr>
      </w:pPr>
      <w:bookmarkStart w:id="28" w:name="_Toc208828861"/>
      <w:r>
        <w:t>I</w:t>
      </w:r>
      <w:r w:rsidRPr="00895C70">
        <w:t>nformation databases</w:t>
      </w:r>
      <w:r w:rsidR="00AC0937">
        <w:t xml:space="preserve">: </w:t>
      </w:r>
      <w:r w:rsidR="009C0E22" w:rsidRPr="00FC1894">
        <w:rPr>
          <w:rFonts w:eastAsia="MS Mincho"/>
        </w:rPr>
        <w:t>The value and reliability of botanical names in ornamentals</w:t>
      </w:r>
      <w:bookmarkEnd w:id="28"/>
    </w:p>
    <w:p w14:paraId="4976911A" w14:textId="77777777" w:rsidR="009C0E22" w:rsidRDefault="009C0E22" w:rsidP="009C0E22">
      <w:pPr>
        <w:jc w:val="left"/>
        <w:rPr>
          <w:rFonts w:eastAsia="MS Mincho"/>
        </w:rPr>
      </w:pPr>
    </w:p>
    <w:p w14:paraId="64A971D4" w14:textId="4B1FC887" w:rsidR="009C0E22" w:rsidRDefault="00092C1C" w:rsidP="009C0E2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9C0E22">
        <w:rPr>
          <w:rFonts w:eastAsia="MS Mincho"/>
        </w:rPr>
        <w:t>The TWO</w:t>
      </w:r>
      <w:r w:rsidR="003B4826">
        <w:rPr>
          <w:rStyle w:val="FootnoteReference"/>
          <w:rFonts w:eastAsia="MS Mincho"/>
        </w:rPr>
        <w:footnoteReference w:id="11"/>
      </w:r>
      <w:r w:rsidR="009C0E22">
        <w:rPr>
          <w:rFonts w:eastAsia="MS Mincho"/>
        </w:rPr>
        <w:t xml:space="preserve"> received a presentation on “</w:t>
      </w:r>
      <w:r w:rsidR="009C0E22" w:rsidRPr="00FC1894">
        <w:rPr>
          <w:rFonts w:eastAsia="MS Mincho"/>
        </w:rPr>
        <w:t>The value and reliability of botanical names in ornamentals</w:t>
      </w:r>
      <w:r w:rsidR="009C0E22">
        <w:rPr>
          <w:rFonts w:eastAsia="MS Mincho"/>
        </w:rPr>
        <w:t xml:space="preserve">” from an expert from the Netherlands (Kingdom of). The presentation is provided in </w:t>
      </w:r>
      <w:r w:rsidR="009C0E22" w:rsidRPr="003E6ED8">
        <w:rPr>
          <w:rFonts w:eastAsia="MS Mincho"/>
        </w:rPr>
        <w:t xml:space="preserve">document </w:t>
      </w:r>
      <w:bookmarkStart w:id="29" w:name="OLE_LINK1"/>
      <w:r w:rsidR="003B4826">
        <w:rPr>
          <w:rFonts w:eastAsia="MS Mincho"/>
        </w:rPr>
        <w:fldChar w:fldCharType="begin"/>
      </w:r>
      <w:r w:rsidR="003B4826">
        <w:rPr>
          <w:rFonts w:eastAsia="MS Mincho"/>
        </w:rPr>
        <w:instrText>HYPERLINK "https://www.upov.int/edocs/mdocs/upov/en/two_57/two_57_8.pdf"</w:instrText>
      </w:r>
      <w:r w:rsidR="003B4826">
        <w:rPr>
          <w:rFonts w:eastAsia="MS Mincho"/>
        </w:rPr>
      </w:r>
      <w:r w:rsidR="003B4826">
        <w:rPr>
          <w:rFonts w:eastAsia="MS Mincho"/>
        </w:rPr>
        <w:fldChar w:fldCharType="separate"/>
      </w:r>
      <w:r w:rsidR="009C0E22" w:rsidRPr="003B4826">
        <w:rPr>
          <w:rStyle w:val="Hyperlink"/>
          <w:rFonts w:eastAsia="MS Mincho"/>
        </w:rPr>
        <w:t>TWO/57/8</w:t>
      </w:r>
      <w:bookmarkEnd w:id="29"/>
      <w:r w:rsidR="003B4826">
        <w:rPr>
          <w:rFonts w:eastAsia="MS Mincho"/>
        </w:rPr>
        <w:fldChar w:fldCharType="end"/>
      </w:r>
      <w:r w:rsidR="009C0E22">
        <w:rPr>
          <w:rFonts w:eastAsia="MS Mincho"/>
        </w:rPr>
        <w:t>.</w:t>
      </w:r>
    </w:p>
    <w:p w14:paraId="5380B49F" w14:textId="77777777" w:rsidR="009C0E22" w:rsidRDefault="009C0E22" w:rsidP="009C0E22">
      <w:pPr>
        <w:rPr>
          <w:rFonts w:eastAsia="MS Mincho"/>
        </w:rPr>
      </w:pPr>
    </w:p>
    <w:p w14:paraId="0B9E131A" w14:textId="75F2AFA1" w:rsidR="009C0E22" w:rsidRDefault="00092C1C" w:rsidP="009C0E2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9C0E22">
        <w:rPr>
          <w:rFonts w:eastAsia="MS Mincho"/>
        </w:rPr>
        <w:t>The TWO noted the report in document TWO/57/8 that unprecise taxonomical information provided by applicants could have administrative consequences for international cooperation and granting breeders rights.</w:t>
      </w:r>
    </w:p>
    <w:p w14:paraId="4A4F9008" w14:textId="77777777" w:rsidR="009C0E22" w:rsidRDefault="009C0E22" w:rsidP="009C0E22">
      <w:pPr>
        <w:rPr>
          <w:rFonts w:eastAsia="MS Mincho"/>
        </w:rPr>
      </w:pPr>
    </w:p>
    <w:p w14:paraId="69555699" w14:textId="71AE2CE6" w:rsidR="009C0E22" w:rsidRDefault="00092C1C" w:rsidP="009C0E2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9C0E22">
        <w:rPr>
          <w:rFonts w:eastAsia="MS Mincho"/>
        </w:rPr>
        <w:t xml:space="preserve">The TWO agreed that breeders could have difficulty providing precise taxonomical information for certain ornamental plants, </w:t>
      </w:r>
      <w:proofErr w:type="gramStart"/>
      <w:r w:rsidR="009C0E22">
        <w:rPr>
          <w:rFonts w:eastAsia="MS Mincho"/>
        </w:rPr>
        <w:t>in particular</w:t>
      </w:r>
      <w:proofErr w:type="gramEnd"/>
      <w:r w:rsidR="009C0E22">
        <w:rPr>
          <w:rFonts w:eastAsia="MS Mincho"/>
        </w:rPr>
        <w:t xml:space="preserve"> those with complex taxonomy.  </w:t>
      </w:r>
      <w:proofErr w:type="gramStart"/>
      <w:r w:rsidR="009C0E22">
        <w:rPr>
          <w:rFonts w:eastAsia="MS Mincho"/>
        </w:rPr>
        <w:t>The TWO</w:t>
      </w:r>
      <w:proofErr w:type="gramEnd"/>
      <w:r w:rsidR="009C0E22">
        <w:rPr>
          <w:rFonts w:eastAsia="MS Mincho"/>
        </w:rPr>
        <w:t xml:space="preserve"> agreed that, in such cases, </w:t>
      </w:r>
      <w:r w:rsidR="009C0E22">
        <w:rPr>
          <w:rFonts w:eastAsia="MS Mincho"/>
        </w:rPr>
        <w:lastRenderedPageBreak/>
        <w:t xml:space="preserve">the selection of similar varieties should consider the entire genus to avoid missing varieties for comparison in the growing trial.  </w:t>
      </w:r>
    </w:p>
    <w:p w14:paraId="09E827AB" w14:textId="77777777" w:rsidR="009C0E22" w:rsidRDefault="009C0E22" w:rsidP="009C0E22">
      <w:pPr>
        <w:rPr>
          <w:rFonts w:eastAsia="MS Mincho"/>
        </w:rPr>
      </w:pPr>
    </w:p>
    <w:p w14:paraId="2A4676CE" w14:textId="54E28589" w:rsidR="009C0E22" w:rsidRDefault="00092C1C" w:rsidP="009C0E22">
      <w:pPr>
        <w:rPr>
          <w:rFonts w:eastAsia="MS Mincho"/>
        </w:rPr>
      </w:pPr>
      <w:r>
        <w:rPr>
          <w:rFonts w:eastAsia="MS Mincho"/>
        </w:rPr>
        <w:fldChar w:fldCharType="begin"/>
      </w:r>
      <w:r>
        <w:rPr>
          <w:rFonts w:eastAsia="MS Mincho"/>
        </w:rPr>
        <w:instrText xml:space="preserve"> AUTONUM  </w:instrText>
      </w:r>
      <w:r>
        <w:rPr>
          <w:rFonts w:eastAsia="MS Mincho"/>
        </w:rPr>
        <w:fldChar w:fldCharType="end"/>
      </w:r>
      <w:r>
        <w:rPr>
          <w:rFonts w:eastAsia="MS Mincho"/>
        </w:rPr>
        <w:tab/>
      </w:r>
      <w:r w:rsidR="009C0E22">
        <w:rPr>
          <w:rFonts w:eastAsia="MS Mincho"/>
        </w:rPr>
        <w:t xml:space="preserve">The TWO considered the proposal in document TWO/57/8 for using group classification in case of ornamental plants with complex taxonomy and agreed that the approach should be considered on a case-by-case basis.  </w:t>
      </w:r>
    </w:p>
    <w:p w14:paraId="098A381B" w14:textId="77777777" w:rsidR="00445B73" w:rsidRDefault="00445B73" w:rsidP="00445B73"/>
    <w:p w14:paraId="7BE71397" w14:textId="77777777" w:rsidR="00852529" w:rsidRPr="00852529" w:rsidRDefault="00852529" w:rsidP="00852529">
      <w:pPr>
        <w:rPr>
          <w:rFonts w:eastAsiaTheme="minorEastAsia" w:cs="Calibri"/>
          <w:szCs w:val="22"/>
          <w14:ligatures w14:val="standardContextual"/>
        </w:rPr>
      </w:pPr>
    </w:p>
    <w:p w14:paraId="6AE791DF" w14:textId="77777777" w:rsidR="00852529" w:rsidRPr="00852529" w:rsidRDefault="00852529" w:rsidP="00365B2A">
      <w:pPr>
        <w:pStyle w:val="Heading2"/>
        <w:rPr>
          <w:rFonts w:eastAsiaTheme="minorEastAsia"/>
        </w:rPr>
      </w:pPr>
      <w:bookmarkStart w:id="30" w:name="_Toc208828862"/>
      <w:r w:rsidRPr="00852529">
        <w:rPr>
          <w:rFonts w:eastAsiaTheme="minorEastAsia"/>
        </w:rPr>
        <w:t>Software and statistical analysis methods for DUS examination</w:t>
      </w:r>
      <w:bookmarkEnd w:id="30"/>
    </w:p>
    <w:p w14:paraId="50D40854" w14:textId="77777777" w:rsidR="00852529" w:rsidRPr="00852529" w:rsidRDefault="00852529" w:rsidP="00852529">
      <w:pPr>
        <w:jc w:val="left"/>
        <w:rPr>
          <w:rFonts w:eastAsiaTheme="minorEastAsia" w:cs="Calibri"/>
          <w14:ligatures w14:val="standardContextual"/>
        </w:rPr>
      </w:pPr>
    </w:p>
    <w:p w14:paraId="71506324" w14:textId="77777777" w:rsidR="00852529" w:rsidRPr="00852529" w:rsidRDefault="00852529" w:rsidP="00642D69">
      <w:pPr>
        <w:pStyle w:val="Heading3"/>
        <w:rPr>
          <w:rFonts w:eastAsiaTheme="minorEastAsia"/>
        </w:rPr>
      </w:pPr>
      <w:bookmarkStart w:id="31" w:name="_Hlk193879452"/>
      <w:bookmarkStart w:id="32" w:name="_Toc208828863"/>
      <w:r w:rsidRPr="00852529">
        <w:rPr>
          <w:rFonts w:eastAsiaTheme="minorEastAsia"/>
        </w:rPr>
        <w:t xml:space="preserve">Development of </w:t>
      </w:r>
      <w:proofErr w:type="gramStart"/>
      <w:r w:rsidRPr="00852529">
        <w:rPr>
          <w:rFonts w:eastAsiaTheme="minorEastAsia" w:hint="eastAsia"/>
          <w:lang w:eastAsia="ja-JP"/>
        </w:rPr>
        <w:t>b</w:t>
      </w:r>
      <w:r w:rsidRPr="00852529">
        <w:rPr>
          <w:rFonts w:eastAsiaTheme="minorEastAsia"/>
        </w:rPr>
        <w:t>ig</w:t>
      </w:r>
      <w:proofErr w:type="gramEnd"/>
      <w:r w:rsidRPr="00852529">
        <w:rPr>
          <w:rFonts w:eastAsiaTheme="minorEastAsia"/>
        </w:rPr>
        <w:t xml:space="preserve"> </w:t>
      </w:r>
      <w:r w:rsidRPr="00852529">
        <w:rPr>
          <w:rFonts w:eastAsiaTheme="minorEastAsia" w:hint="eastAsia"/>
          <w:lang w:eastAsia="ja-JP"/>
        </w:rPr>
        <w:t>d</w:t>
      </w:r>
      <w:r w:rsidRPr="00852529">
        <w:rPr>
          <w:rFonts w:eastAsiaTheme="minorEastAsia"/>
        </w:rPr>
        <w:t>ata platform for DUS examination</w:t>
      </w:r>
      <w:bookmarkEnd w:id="31"/>
      <w:bookmarkEnd w:id="32"/>
    </w:p>
    <w:p w14:paraId="33F85A1C" w14:textId="77777777" w:rsidR="00852529" w:rsidRPr="00852529" w:rsidRDefault="00852529" w:rsidP="00852529">
      <w:pPr>
        <w:jc w:val="left"/>
        <w:rPr>
          <w:rFonts w:eastAsiaTheme="minorEastAsia" w:cs="Calibri"/>
          <w:szCs w:val="22"/>
          <w14:ligatures w14:val="standardContextual"/>
        </w:rPr>
      </w:pPr>
    </w:p>
    <w:p w14:paraId="59A5ABBA" w14:textId="1D38E895" w:rsidR="00852529" w:rsidRPr="00852529" w:rsidRDefault="00092C1C" w:rsidP="00852529">
      <w:pPr>
        <w:contextualSpacing/>
        <w:jc w:val="left"/>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The TWM</w:t>
      </w:r>
      <w:r w:rsidR="00693F23">
        <w:rPr>
          <w:rStyle w:val="FootnoteReference"/>
          <w:rFonts w:eastAsiaTheme="minorEastAsia" w:cs="Calibri"/>
          <w:szCs w:val="22"/>
          <w14:ligatures w14:val="standardContextual"/>
        </w:rPr>
        <w:footnoteReference w:id="12"/>
      </w:r>
      <w:r w:rsidR="00852529" w:rsidRPr="00852529">
        <w:rPr>
          <w:rFonts w:eastAsiaTheme="minorEastAsia" w:cs="Calibri"/>
          <w:szCs w:val="22"/>
          <w14:ligatures w14:val="standardContextual"/>
        </w:rPr>
        <w:t xml:space="preserve"> received a presentation from Mr. Kun</w:t>
      </w:r>
      <w:r w:rsidR="00852529" w:rsidRPr="00852529">
        <w:rPr>
          <w:rFonts w:eastAsiaTheme="minorEastAsia" w:cs="Calibri" w:hint="eastAsia"/>
          <w:szCs w:val="22"/>
          <w:lang w:eastAsia="ja-JP"/>
          <w14:ligatures w14:val="standardContextual"/>
        </w:rPr>
        <w:t xml:space="preserve"> </w:t>
      </w:r>
      <w:r w:rsidR="00852529" w:rsidRPr="00852529">
        <w:rPr>
          <w:rFonts w:eastAsiaTheme="minorEastAsia" w:cs="Calibri"/>
          <w:szCs w:val="22"/>
          <w14:ligatures w14:val="standardContextual"/>
        </w:rPr>
        <w:t xml:space="preserve">Yang </w:t>
      </w:r>
      <w:r w:rsidR="00852529" w:rsidRPr="00852529">
        <w:rPr>
          <w:rFonts w:eastAsiaTheme="minorEastAsia" w:cs="Calibri" w:hint="eastAsia"/>
          <w:szCs w:val="22"/>
          <w:lang w:eastAsia="ja-JP"/>
          <w14:ligatures w14:val="standardContextual"/>
        </w:rPr>
        <w:t>(China)</w:t>
      </w:r>
      <w:r w:rsidR="00852529" w:rsidRPr="00852529">
        <w:rPr>
          <w:rFonts w:eastAsiaTheme="minorEastAsia" w:cs="Calibri"/>
          <w:szCs w:val="22"/>
          <w14:ligatures w14:val="standardContextual"/>
        </w:rPr>
        <w:t xml:space="preserve"> on “Development of big data platform for DUS examination”, </w:t>
      </w:r>
      <w:r w:rsidR="00852529" w:rsidRPr="00852529">
        <w:rPr>
          <w:rFonts w:eastAsiaTheme="minorEastAsia" w:cs="Arial"/>
          <w:iCs/>
          <w:szCs w:val="22"/>
          <w14:ligatures w14:val="standardContextual"/>
        </w:rPr>
        <w:t>a copy of which is reproduced in document </w:t>
      </w:r>
      <w:hyperlink r:id="rId18" w:history="1">
        <w:r w:rsidR="00852529" w:rsidRPr="00852529">
          <w:rPr>
            <w:rStyle w:val="Hyperlink"/>
            <w:rFonts w:eastAsiaTheme="minorEastAsia" w:cs="Calibri"/>
            <w:szCs w:val="22"/>
            <w14:ligatures w14:val="standardContextual"/>
          </w:rPr>
          <w:t>TW</w:t>
        </w:r>
        <w:r w:rsidR="00852529" w:rsidRPr="00852529">
          <w:rPr>
            <w:rStyle w:val="Hyperlink"/>
            <w:rFonts w:eastAsiaTheme="minorEastAsia" w:cs="Calibri" w:hint="eastAsia"/>
            <w:szCs w:val="22"/>
            <w:lang w:eastAsia="ja-JP"/>
            <w14:ligatures w14:val="standardContextual"/>
          </w:rPr>
          <w:t>M</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3</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19</w:t>
        </w:r>
      </w:hyperlink>
      <w:r w:rsidR="00852529" w:rsidRPr="00852529">
        <w:rPr>
          <w:rFonts w:eastAsiaTheme="minorEastAsia" w:cs="Calibri"/>
          <w:szCs w:val="22"/>
          <w14:ligatures w14:val="standardContextual"/>
        </w:rPr>
        <w:t xml:space="preserve">.  </w:t>
      </w:r>
    </w:p>
    <w:p w14:paraId="43B9EA51" w14:textId="77777777" w:rsidR="00852529" w:rsidRPr="00852529" w:rsidRDefault="00852529" w:rsidP="00852529">
      <w:pPr>
        <w:contextualSpacing/>
        <w:rPr>
          <w:rFonts w:eastAsiaTheme="minorEastAsia" w:cs="Calibri"/>
          <w:szCs w:val="22"/>
          <w14:ligatures w14:val="standardContextual"/>
        </w:rPr>
      </w:pPr>
    </w:p>
    <w:p w14:paraId="4E5F06E8" w14:textId="3AEFEB31" w:rsidR="00852529" w:rsidRPr="00852529" w:rsidRDefault="00092C1C" w:rsidP="00092C1C">
      <w:pPr>
        <w:contextualSpacing/>
        <w:jc w:val="left"/>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 xml:space="preserve">The TWM noted </w:t>
      </w:r>
      <w:r w:rsidR="00852529" w:rsidRPr="00852529">
        <w:rPr>
          <w:rFonts w:eastAsiaTheme="minorEastAsia" w:cs="Calibri"/>
          <w:szCs w:val="22"/>
          <w:lang w:eastAsia="ja-JP"/>
          <w14:ligatures w14:val="standardContextual"/>
        </w:rPr>
        <w:t>the software used for management of DUS trial data, including data management, statistical and image analysis.  The TWM noted the plans for further developing the platform and invited the expert from China to report developments at its fourth session.</w:t>
      </w:r>
    </w:p>
    <w:p w14:paraId="7444AA8D" w14:textId="77777777" w:rsidR="00AC0937" w:rsidRPr="00852529" w:rsidRDefault="00AC0937" w:rsidP="00852529">
      <w:pPr>
        <w:jc w:val="left"/>
        <w:rPr>
          <w:rFonts w:eastAsiaTheme="minorEastAsia" w:cs="Calibri"/>
          <w:szCs w:val="22"/>
          <w14:ligatures w14:val="standardContextual"/>
        </w:rPr>
      </w:pPr>
    </w:p>
    <w:p w14:paraId="38AA5E1D" w14:textId="77777777" w:rsidR="00852529" w:rsidRPr="00852529" w:rsidRDefault="00852529" w:rsidP="00642D69">
      <w:pPr>
        <w:pStyle w:val="Heading3"/>
        <w:rPr>
          <w:rFonts w:eastAsiaTheme="minorEastAsia"/>
        </w:rPr>
      </w:pPr>
      <w:bookmarkStart w:id="33" w:name="_Toc208828864"/>
      <w:r w:rsidRPr="00852529">
        <w:rPr>
          <w:rFonts w:eastAsiaTheme="minorEastAsia"/>
        </w:rPr>
        <w:t>Grading criteria of Anthurium DUS quantitative characteristics by multiple comparison</w:t>
      </w:r>
      <w:bookmarkEnd w:id="33"/>
    </w:p>
    <w:p w14:paraId="7AE94C9B" w14:textId="77777777" w:rsidR="00852529" w:rsidRPr="00852529" w:rsidRDefault="00852529" w:rsidP="00852529">
      <w:pPr>
        <w:jc w:val="left"/>
        <w:rPr>
          <w:rFonts w:eastAsiaTheme="minorEastAsia" w:cs="Calibri"/>
          <w:szCs w:val="22"/>
          <w14:ligatures w14:val="standardContextual"/>
        </w:rPr>
      </w:pPr>
    </w:p>
    <w:p w14:paraId="632CE0D9" w14:textId="59FE8D74" w:rsidR="00852529" w:rsidRPr="00852529" w:rsidRDefault="00092C1C" w:rsidP="00092C1C">
      <w:pPr>
        <w:contextualSpacing/>
        <w:jc w:val="left"/>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The TWM</w:t>
      </w:r>
      <w:r w:rsidR="00693F23">
        <w:rPr>
          <w:rStyle w:val="FootnoteReference"/>
          <w:rFonts w:eastAsiaTheme="minorEastAsia" w:cs="Calibri"/>
          <w:szCs w:val="22"/>
          <w14:ligatures w14:val="standardContextual"/>
        </w:rPr>
        <w:footnoteReference w:id="13"/>
      </w:r>
      <w:r w:rsidR="00852529" w:rsidRPr="00852529">
        <w:rPr>
          <w:rFonts w:eastAsiaTheme="minorEastAsia" w:cs="Calibri"/>
          <w:szCs w:val="22"/>
          <w14:ligatures w14:val="standardContextual"/>
        </w:rPr>
        <w:t xml:space="preserve"> received a presentation from M</w:t>
      </w:r>
      <w:r w:rsidR="00852529" w:rsidRPr="00852529">
        <w:rPr>
          <w:rFonts w:eastAsiaTheme="minorEastAsia" w:cs="Calibri" w:hint="eastAsia"/>
          <w:szCs w:val="22"/>
          <w:lang w:eastAsia="ja-JP"/>
          <w14:ligatures w14:val="standardContextual"/>
        </w:rPr>
        <w:t>s</w:t>
      </w:r>
      <w:r w:rsidR="00852529" w:rsidRPr="00852529">
        <w:rPr>
          <w:rFonts w:eastAsiaTheme="minorEastAsia" w:cs="Calibri"/>
          <w:szCs w:val="22"/>
          <w14:ligatures w14:val="standardContextual"/>
        </w:rPr>
        <w:t xml:space="preserve">. </w:t>
      </w:r>
      <w:proofErr w:type="spellStart"/>
      <w:r w:rsidR="00852529" w:rsidRPr="00852529">
        <w:rPr>
          <w:rFonts w:eastAsiaTheme="minorEastAsia" w:cs="Calibri"/>
          <w:szCs w:val="22"/>
          <w14:ligatures w14:val="standardContextual"/>
        </w:rPr>
        <w:t>Yunxia</w:t>
      </w:r>
      <w:proofErr w:type="spellEnd"/>
      <w:r w:rsidR="00852529" w:rsidRPr="00852529">
        <w:rPr>
          <w:rFonts w:eastAsiaTheme="minorEastAsia" w:cs="Calibri"/>
          <w:szCs w:val="22"/>
          <w14:ligatures w14:val="standardContextual"/>
        </w:rPr>
        <w:t xml:space="preserve"> Chu</w:t>
      </w:r>
      <w:r w:rsidR="00852529" w:rsidRPr="00852529">
        <w:rPr>
          <w:rFonts w:eastAsiaTheme="minorEastAsia" w:cs="Calibri" w:hint="eastAsia"/>
          <w:szCs w:val="22"/>
          <w:lang w:eastAsia="ja-JP"/>
          <w14:ligatures w14:val="standardContextual"/>
        </w:rPr>
        <w:t xml:space="preserve"> (China)</w:t>
      </w:r>
      <w:r w:rsidR="00852529" w:rsidRPr="00852529">
        <w:rPr>
          <w:rFonts w:eastAsiaTheme="minorEastAsia" w:cs="Calibri"/>
          <w:szCs w:val="22"/>
          <w14:ligatures w14:val="standardContextual"/>
        </w:rPr>
        <w:t xml:space="preserve"> on “Grading criteria of Anthurium DUS quantitative characteristics by multiple comparison”, </w:t>
      </w:r>
      <w:r w:rsidR="00852529" w:rsidRPr="00852529">
        <w:rPr>
          <w:rFonts w:eastAsiaTheme="minorEastAsia" w:cs="Arial"/>
          <w:iCs/>
          <w:szCs w:val="22"/>
          <w14:ligatures w14:val="standardContextual"/>
        </w:rPr>
        <w:t>a copy of which is provided in document </w:t>
      </w:r>
      <w:hyperlink r:id="rId19" w:history="1">
        <w:r w:rsidR="00852529" w:rsidRPr="00852529">
          <w:rPr>
            <w:rStyle w:val="Hyperlink"/>
            <w:rFonts w:eastAsiaTheme="minorEastAsia" w:cs="Calibri"/>
            <w:szCs w:val="22"/>
            <w14:ligatures w14:val="standardContextual"/>
          </w:rPr>
          <w:t>TW</w:t>
        </w:r>
        <w:r w:rsidR="00852529" w:rsidRPr="00852529">
          <w:rPr>
            <w:rStyle w:val="Hyperlink"/>
            <w:rFonts w:eastAsiaTheme="minorEastAsia" w:cs="Calibri" w:hint="eastAsia"/>
            <w:szCs w:val="22"/>
            <w:lang w:eastAsia="ja-JP"/>
            <w14:ligatures w14:val="standardContextual"/>
          </w:rPr>
          <w:t>M</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3</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12</w:t>
        </w:r>
      </w:hyperlink>
      <w:r w:rsidR="00852529" w:rsidRPr="00852529">
        <w:rPr>
          <w:rFonts w:eastAsiaTheme="minorEastAsia" w:cs="Calibri"/>
          <w:szCs w:val="22"/>
          <w14:ligatures w14:val="standardContextual"/>
        </w:rPr>
        <w:t xml:space="preserve">.  </w:t>
      </w:r>
    </w:p>
    <w:p w14:paraId="4BBADF7D" w14:textId="77777777" w:rsidR="00852529" w:rsidRPr="00852529" w:rsidRDefault="00852529" w:rsidP="00852529">
      <w:pPr>
        <w:contextualSpacing/>
        <w:rPr>
          <w:rFonts w:eastAsiaTheme="minorEastAsia" w:cs="Calibri"/>
          <w:szCs w:val="22"/>
          <w14:ligatures w14:val="standardContextual"/>
        </w:rPr>
      </w:pPr>
    </w:p>
    <w:bookmarkStart w:id="34" w:name="_Hlk196746844"/>
    <w:p w14:paraId="5B1CA583" w14:textId="6CBE73FA" w:rsidR="00852529" w:rsidRPr="00852529" w:rsidRDefault="00092C1C" w:rsidP="00092C1C">
      <w:pPr>
        <w:contextualSpacing/>
        <w:jc w:val="left"/>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 xml:space="preserve">The TWM noted </w:t>
      </w:r>
      <w:r w:rsidR="00852529" w:rsidRPr="00852529">
        <w:rPr>
          <w:rFonts w:eastAsiaTheme="minorEastAsia" w:cs="Calibri"/>
          <w:szCs w:val="22"/>
          <w:lang w:eastAsia="ja-JP"/>
          <w14:ligatures w14:val="standardContextual"/>
        </w:rPr>
        <w:t>the possibility of reducing the error rate in the analysis of measured quantitative characteristics</w:t>
      </w:r>
      <w:r w:rsidR="00852529" w:rsidRPr="00852529">
        <w:rPr>
          <w:rFonts w:eastAsiaTheme="minorEastAsia" w:cs="Calibri" w:hint="eastAsia"/>
          <w:szCs w:val="22"/>
          <w:lang w:eastAsia="ja-JP"/>
          <w14:ligatures w14:val="standardContextual"/>
        </w:rPr>
        <w:t xml:space="preserve"> </w:t>
      </w:r>
      <w:r w:rsidR="00852529" w:rsidRPr="00852529">
        <w:rPr>
          <w:rFonts w:eastAsiaTheme="minorEastAsia" w:cs="Calibri"/>
          <w:szCs w:val="22"/>
          <w:lang w:eastAsia="ja-JP"/>
          <w14:ligatures w14:val="standardContextual"/>
        </w:rPr>
        <w:t xml:space="preserve">in Anthurium </w:t>
      </w:r>
      <w:r w:rsidR="00852529" w:rsidRPr="00852529">
        <w:rPr>
          <w:rFonts w:eastAsiaTheme="minorEastAsia" w:cs="Calibri" w:hint="eastAsia"/>
          <w:szCs w:val="22"/>
          <w:lang w:eastAsia="ja-JP"/>
          <w14:ligatures w14:val="standardContextual"/>
        </w:rPr>
        <w:t xml:space="preserve">by </w:t>
      </w:r>
      <w:r w:rsidR="00852529" w:rsidRPr="00852529">
        <w:rPr>
          <w:rFonts w:eastAsiaTheme="minorEastAsia" w:cs="Calibri"/>
          <w:szCs w:val="22"/>
          <w:lang w:eastAsia="ja-JP"/>
          <w14:ligatures w14:val="standardContextual"/>
        </w:rPr>
        <w:t xml:space="preserve">the </w:t>
      </w:r>
      <w:r w:rsidR="00852529" w:rsidRPr="00852529">
        <w:rPr>
          <w:rFonts w:eastAsiaTheme="minorEastAsia" w:cs="Calibri" w:hint="eastAsia"/>
          <w:szCs w:val="22"/>
          <w:lang w:eastAsia="ja-JP"/>
          <w14:ligatures w14:val="standardContextual"/>
        </w:rPr>
        <w:t>multiple comparison</w:t>
      </w:r>
      <w:r w:rsidR="00852529" w:rsidRPr="00852529">
        <w:rPr>
          <w:rFonts w:eastAsiaTheme="minorEastAsia" w:cs="Calibri"/>
          <w:szCs w:val="22"/>
          <w:lang w:eastAsia="ja-JP"/>
          <w14:ligatures w14:val="standardContextual"/>
        </w:rPr>
        <w:t>s method.</w:t>
      </w:r>
    </w:p>
    <w:bookmarkEnd w:id="34"/>
    <w:p w14:paraId="55C101C7" w14:textId="77777777" w:rsidR="00AC0937" w:rsidRPr="00852529" w:rsidRDefault="00AC0937" w:rsidP="00852529">
      <w:pPr>
        <w:contextualSpacing/>
        <w:rPr>
          <w:rFonts w:eastAsiaTheme="minorEastAsia" w:cs="Calibri"/>
          <w:szCs w:val="22"/>
          <w14:ligatures w14:val="standardContextual"/>
        </w:rPr>
      </w:pPr>
    </w:p>
    <w:p w14:paraId="121E8DC6" w14:textId="77777777" w:rsidR="00852529" w:rsidRPr="00852529" w:rsidRDefault="00852529" w:rsidP="00642D69">
      <w:pPr>
        <w:pStyle w:val="Heading3"/>
        <w:rPr>
          <w:rFonts w:eastAsiaTheme="minorEastAsia"/>
        </w:rPr>
      </w:pPr>
      <w:bookmarkStart w:id="35" w:name="_Toc208828865"/>
      <w:r w:rsidRPr="00852529">
        <w:rPr>
          <w:rFonts w:eastAsiaTheme="minorEastAsia"/>
        </w:rPr>
        <w:t>COYU development update 2025</w:t>
      </w:r>
      <w:bookmarkEnd w:id="35"/>
    </w:p>
    <w:p w14:paraId="3931A8E4" w14:textId="77777777" w:rsidR="00852529" w:rsidRPr="00852529" w:rsidRDefault="00852529" w:rsidP="00852529">
      <w:pPr>
        <w:jc w:val="left"/>
        <w:rPr>
          <w:rFonts w:eastAsiaTheme="minorEastAsia" w:cs="Calibri"/>
          <w:szCs w:val="22"/>
          <w14:ligatures w14:val="standardContextual"/>
        </w:rPr>
      </w:pPr>
    </w:p>
    <w:p w14:paraId="41290300" w14:textId="1A736206" w:rsidR="00852529" w:rsidRPr="00852529" w:rsidRDefault="00092C1C" w:rsidP="00092C1C">
      <w:pPr>
        <w:contextualSpacing/>
        <w:jc w:val="left"/>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The TWM</w:t>
      </w:r>
      <w:r w:rsidR="00693F23">
        <w:rPr>
          <w:rStyle w:val="FootnoteReference"/>
          <w:rFonts w:eastAsiaTheme="minorEastAsia" w:cs="Calibri"/>
          <w:szCs w:val="22"/>
          <w14:ligatures w14:val="standardContextual"/>
        </w:rPr>
        <w:footnoteReference w:id="14"/>
      </w:r>
      <w:r w:rsidR="00852529" w:rsidRPr="00852529">
        <w:rPr>
          <w:rFonts w:eastAsiaTheme="minorEastAsia" w:cs="Calibri"/>
          <w:szCs w:val="22"/>
          <w14:ligatures w14:val="standardContextual"/>
        </w:rPr>
        <w:t xml:space="preserve"> received a presentation from </w:t>
      </w:r>
      <w:bookmarkStart w:id="36" w:name="_Hlk195532654"/>
      <w:r w:rsidR="00852529" w:rsidRPr="00852529">
        <w:rPr>
          <w:rFonts w:eastAsiaTheme="minorEastAsia" w:cs="Calibri"/>
          <w:szCs w:val="22"/>
          <w14:ligatures w14:val="standardContextual"/>
        </w:rPr>
        <w:t>M</w:t>
      </w:r>
      <w:r w:rsidR="00852529" w:rsidRPr="00852529">
        <w:rPr>
          <w:rFonts w:eastAsiaTheme="minorEastAsia" w:cs="Calibri" w:hint="eastAsia"/>
          <w:szCs w:val="22"/>
          <w:lang w:eastAsia="ja-JP"/>
          <w14:ligatures w14:val="standardContextual"/>
        </w:rPr>
        <w:t>s</w:t>
      </w:r>
      <w:r w:rsidR="00852529" w:rsidRPr="00852529">
        <w:rPr>
          <w:rFonts w:eastAsiaTheme="minorEastAsia" w:cs="Calibri"/>
          <w:szCs w:val="22"/>
          <w14:ligatures w14:val="standardContextual"/>
        </w:rPr>
        <w:t xml:space="preserve">. </w:t>
      </w:r>
      <w:proofErr w:type="spellStart"/>
      <w:r w:rsidR="00852529" w:rsidRPr="00852529">
        <w:rPr>
          <w:rFonts w:eastAsiaTheme="minorEastAsia" w:cs="Calibri" w:hint="eastAsia"/>
          <w:szCs w:val="22"/>
          <w:lang w:eastAsia="ja-JP"/>
          <w14:ligatures w14:val="standardContextual"/>
        </w:rPr>
        <w:t>Trudyann</w:t>
      </w:r>
      <w:proofErr w:type="spellEnd"/>
      <w:r w:rsidR="00852529" w:rsidRPr="00852529">
        <w:rPr>
          <w:rFonts w:eastAsiaTheme="minorEastAsia" w:cs="Calibri" w:hint="eastAsia"/>
          <w:szCs w:val="22"/>
          <w:lang w:eastAsia="ja-JP"/>
          <w14:ligatures w14:val="standardContextual"/>
        </w:rPr>
        <w:t xml:space="preserve"> Kelly</w:t>
      </w:r>
      <w:r w:rsidR="00852529" w:rsidRPr="00852529">
        <w:rPr>
          <w:rFonts w:eastAsiaTheme="minorEastAsia" w:cs="Calibri"/>
          <w:szCs w:val="22"/>
          <w14:ligatures w14:val="standardContextual"/>
        </w:rPr>
        <w:t xml:space="preserve"> (United Kingdom)</w:t>
      </w:r>
      <w:bookmarkEnd w:id="36"/>
      <w:r w:rsidR="00852529" w:rsidRPr="00852529">
        <w:rPr>
          <w:rFonts w:eastAsiaTheme="minorEastAsia" w:cs="Calibri"/>
          <w:szCs w:val="22"/>
          <w14:ligatures w14:val="standardContextual"/>
        </w:rPr>
        <w:t xml:space="preserve"> on “COYU development update 2025”, </w:t>
      </w:r>
      <w:r w:rsidR="00852529" w:rsidRPr="00852529">
        <w:rPr>
          <w:rFonts w:eastAsiaTheme="minorEastAsia" w:cs="Arial"/>
          <w:iCs/>
          <w:szCs w:val="22"/>
          <w14:ligatures w14:val="standardContextual"/>
        </w:rPr>
        <w:t>a copy of which is provided in document </w:t>
      </w:r>
      <w:hyperlink r:id="rId20" w:history="1">
        <w:r w:rsidR="00852529" w:rsidRPr="00852529">
          <w:rPr>
            <w:rStyle w:val="Hyperlink"/>
            <w:rFonts w:eastAsiaTheme="minorEastAsia" w:cs="Calibri"/>
            <w:szCs w:val="22"/>
            <w14:ligatures w14:val="standardContextual"/>
          </w:rPr>
          <w:t>TW</w:t>
        </w:r>
        <w:r w:rsidR="00852529" w:rsidRPr="00852529">
          <w:rPr>
            <w:rStyle w:val="Hyperlink"/>
            <w:rFonts w:eastAsiaTheme="minorEastAsia" w:cs="Calibri" w:hint="eastAsia"/>
            <w:szCs w:val="22"/>
            <w:lang w:eastAsia="ja-JP"/>
            <w14:ligatures w14:val="standardContextual"/>
          </w:rPr>
          <w:t>M</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3</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5</w:t>
        </w:r>
      </w:hyperlink>
      <w:r w:rsidR="00852529" w:rsidRPr="00852529">
        <w:rPr>
          <w:rFonts w:eastAsiaTheme="minorEastAsia" w:cs="Calibri"/>
          <w:szCs w:val="22"/>
          <w14:ligatures w14:val="standardContextual"/>
        </w:rPr>
        <w:t xml:space="preserve">.  </w:t>
      </w:r>
    </w:p>
    <w:p w14:paraId="5D64FE79" w14:textId="77777777" w:rsidR="00852529" w:rsidRPr="00852529" w:rsidRDefault="00852529" w:rsidP="00852529">
      <w:pPr>
        <w:contextualSpacing/>
        <w:rPr>
          <w:rFonts w:eastAsiaTheme="minorEastAsia" w:cs="Calibri"/>
          <w:szCs w:val="22"/>
          <w14:ligatures w14:val="standardContextual"/>
        </w:rPr>
      </w:pPr>
    </w:p>
    <w:p w14:paraId="0683623E" w14:textId="34BBAE63" w:rsidR="00852529" w:rsidRPr="00852529" w:rsidRDefault="00092C1C" w:rsidP="00092C1C">
      <w:pPr>
        <w:contextualSpacing/>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 xml:space="preserve">The TWM received an update on the implementation of </w:t>
      </w:r>
      <w:r w:rsidR="00852529" w:rsidRPr="00852529">
        <w:rPr>
          <w:rFonts w:eastAsiaTheme="minorEastAsia" w:cs="Calibri"/>
          <w:szCs w:val="22"/>
          <w:lang w:eastAsia="ja-JP"/>
          <w14:ligatures w14:val="standardContextual"/>
        </w:rPr>
        <w:t xml:space="preserve">the </w:t>
      </w:r>
      <w:r w:rsidR="00852529" w:rsidRPr="00852529">
        <w:rPr>
          <w:rFonts w:eastAsiaTheme="minorEastAsia" w:cs="Calibri"/>
          <w:szCs w:val="22"/>
          <w14:ligatures w14:val="standardContextual"/>
        </w:rPr>
        <w:t xml:space="preserve">combined over years uniformity criterion with Splines (COYUs). The TWM noted that the analysis had been developed and tested in DUSTNT and R software and that the software would be updated </w:t>
      </w:r>
      <w:r w:rsidR="00852529" w:rsidRPr="00852529">
        <w:rPr>
          <w:rFonts w:eastAsiaTheme="minorEastAsia" w:cs="Calibri"/>
          <w:szCs w:val="22"/>
          <w:lang w:eastAsia="ja-JP"/>
          <w14:ligatures w14:val="standardContextual"/>
        </w:rPr>
        <w:t>f</w:t>
      </w:r>
      <w:r w:rsidR="00852529" w:rsidRPr="00852529">
        <w:rPr>
          <w:rFonts w:eastAsiaTheme="minorEastAsia" w:cs="Calibri"/>
          <w:szCs w:val="22"/>
          <w14:ligatures w14:val="standardContextual"/>
        </w:rPr>
        <w:t xml:space="preserve">ollowing feedback from test users </w:t>
      </w:r>
      <w:r w:rsidR="00852529" w:rsidRPr="00852529">
        <w:rPr>
          <w:rFonts w:eastAsiaTheme="minorEastAsia" w:cs="Calibri"/>
          <w:szCs w:val="22"/>
          <w:lang w:eastAsia="ja-JP"/>
          <w14:ligatures w14:val="standardContextual"/>
        </w:rPr>
        <w:t>(</w:t>
      </w:r>
      <w:r w:rsidR="00852529" w:rsidRPr="00852529">
        <w:rPr>
          <w:rFonts w:eastAsiaTheme="minorEastAsia" w:cs="Calibri"/>
          <w:szCs w:val="22"/>
          <w14:ligatures w14:val="standardContextual"/>
        </w:rPr>
        <w:t>Finland</w:t>
      </w:r>
      <w:r w:rsidR="00852529" w:rsidRPr="00852529">
        <w:rPr>
          <w:rFonts w:eastAsiaTheme="minorEastAsia" w:cs="Calibri"/>
          <w:szCs w:val="22"/>
          <w:lang w:eastAsia="ja-JP"/>
          <w14:ligatures w14:val="standardContextual"/>
        </w:rPr>
        <w:t>,</w:t>
      </w:r>
      <w:r w:rsidR="00852529" w:rsidRPr="00852529">
        <w:rPr>
          <w:rFonts w:eastAsiaTheme="minorEastAsia" w:cs="Calibri"/>
          <w:szCs w:val="22"/>
          <w14:ligatures w14:val="standardContextual"/>
        </w:rPr>
        <w:t xml:space="preserve"> Netherlands</w:t>
      </w:r>
      <w:r w:rsidR="00852529" w:rsidRPr="00852529">
        <w:rPr>
          <w:rFonts w:eastAsiaTheme="minorEastAsia" w:cs="Calibri"/>
          <w:szCs w:val="22"/>
          <w:lang w:eastAsia="ja-JP"/>
          <w14:ligatures w14:val="standardContextual"/>
        </w:rPr>
        <w:t xml:space="preserve"> (Kingdom of the)</w:t>
      </w:r>
      <w:r w:rsidR="00852529" w:rsidRPr="00852529">
        <w:rPr>
          <w:rFonts w:eastAsiaTheme="minorEastAsia" w:cs="Calibri"/>
          <w:szCs w:val="22"/>
          <w14:ligatures w14:val="standardContextual"/>
        </w:rPr>
        <w:t>, and U</w:t>
      </w:r>
      <w:r w:rsidR="00852529" w:rsidRPr="00852529">
        <w:rPr>
          <w:rFonts w:eastAsiaTheme="minorEastAsia" w:cs="Calibri"/>
          <w:szCs w:val="22"/>
          <w:lang w:eastAsia="ja-JP"/>
          <w14:ligatures w14:val="standardContextual"/>
        </w:rPr>
        <w:t>nited </w:t>
      </w:r>
      <w:r w:rsidR="00852529" w:rsidRPr="00852529">
        <w:rPr>
          <w:rFonts w:eastAsiaTheme="minorEastAsia" w:cs="Calibri"/>
          <w:szCs w:val="22"/>
          <w14:ligatures w14:val="standardContextual"/>
        </w:rPr>
        <w:t>K</w:t>
      </w:r>
      <w:r w:rsidR="00852529" w:rsidRPr="00852529">
        <w:rPr>
          <w:rFonts w:eastAsiaTheme="minorEastAsia" w:cs="Calibri"/>
          <w:szCs w:val="22"/>
          <w:lang w:eastAsia="ja-JP"/>
          <w14:ligatures w14:val="standardContextual"/>
        </w:rPr>
        <w:t>ingdom</w:t>
      </w:r>
      <w:r w:rsidR="00852529" w:rsidRPr="00852529">
        <w:rPr>
          <w:rFonts w:eastAsiaTheme="minorEastAsia" w:cs="Calibri"/>
          <w:szCs w:val="22"/>
          <w14:ligatures w14:val="standardContextual"/>
        </w:rPr>
        <w:t>).  The TWM noted that the software would be made available to U</w:t>
      </w:r>
      <w:r w:rsidR="00852529" w:rsidRPr="00852529">
        <w:rPr>
          <w:rFonts w:eastAsiaTheme="minorEastAsia" w:cs="Calibri"/>
          <w:szCs w:val="22"/>
          <w:lang w:eastAsia="ja-JP"/>
          <w14:ligatures w14:val="standardContextual"/>
        </w:rPr>
        <w:t xml:space="preserve">POV </w:t>
      </w:r>
      <w:r w:rsidR="00852529" w:rsidRPr="00852529">
        <w:rPr>
          <w:rFonts w:eastAsiaTheme="minorEastAsia" w:cs="Calibri"/>
          <w:szCs w:val="22"/>
          <w14:ligatures w14:val="standardContextual"/>
        </w:rPr>
        <w:t xml:space="preserve">members and invited </w:t>
      </w:r>
      <w:r w:rsidR="00852529" w:rsidRPr="00852529">
        <w:rPr>
          <w:rFonts w:eastAsiaTheme="minorEastAsia" w:cs="Calibri"/>
          <w:szCs w:val="22"/>
          <w:lang w:eastAsia="ja-JP"/>
          <w14:ligatures w14:val="standardContextual"/>
        </w:rPr>
        <w:t xml:space="preserve">the </w:t>
      </w:r>
      <w:r w:rsidR="00852529" w:rsidRPr="00852529">
        <w:rPr>
          <w:rFonts w:eastAsiaTheme="minorEastAsia" w:cs="Calibri"/>
          <w:szCs w:val="22"/>
          <w14:ligatures w14:val="standardContextual"/>
        </w:rPr>
        <w:t xml:space="preserve">United Kingdom to provide an update </w:t>
      </w:r>
      <w:r w:rsidR="00852529" w:rsidRPr="00852529">
        <w:rPr>
          <w:rFonts w:eastAsiaTheme="minorEastAsia" w:cs="Calibri" w:hint="eastAsia"/>
          <w:szCs w:val="22"/>
          <w:lang w:eastAsia="ja-JP"/>
          <w14:ligatures w14:val="standardContextual"/>
        </w:rPr>
        <w:t xml:space="preserve">on the software, the experience of implementation in United Kingdom, and guidance on how to manage </w:t>
      </w:r>
      <w:r w:rsidR="00852529" w:rsidRPr="00852529">
        <w:rPr>
          <w:rFonts w:eastAsiaTheme="minorEastAsia" w:cs="Calibri"/>
          <w:szCs w:val="22"/>
          <w14:ligatures w14:val="standardContextual"/>
        </w:rPr>
        <w:t>extrapolation within COYU, at its next session.</w:t>
      </w:r>
    </w:p>
    <w:p w14:paraId="795CA8C8" w14:textId="77777777" w:rsidR="00852529" w:rsidRDefault="00852529" w:rsidP="00092C1C">
      <w:pPr>
        <w:rPr>
          <w:rFonts w:eastAsiaTheme="minorEastAsia" w:cs="Calibri"/>
          <w:szCs w:val="22"/>
          <w14:ligatures w14:val="standardContextual"/>
        </w:rPr>
      </w:pPr>
    </w:p>
    <w:p w14:paraId="0E6C930D" w14:textId="77777777" w:rsidR="00D97966" w:rsidRPr="00852529" w:rsidRDefault="00D97966" w:rsidP="00092C1C">
      <w:pPr>
        <w:rPr>
          <w:rFonts w:eastAsiaTheme="minorEastAsia" w:cs="Calibri"/>
          <w:szCs w:val="22"/>
          <w14:ligatures w14:val="standardContextual"/>
        </w:rPr>
      </w:pPr>
    </w:p>
    <w:p w14:paraId="72C3ECB3" w14:textId="77777777" w:rsidR="00852529" w:rsidRPr="00852529" w:rsidRDefault="00852529" w:rsidP="00365B2A">
      <w:pPr>
        <w:pStyle w:val="Heading2"/>
        <w:rPr>
          <w:rFonts w:eastAsiaTheme="minorEastAsia"/>
        </w:rPr>
      </w:pPr>
      <w:bookmarkStart w:id="37" w:name="_Toc208828866"/>
      <w:r w:rsidRPr="00852529">
        <w:rPr>
          <w:rFonts w:eastAsiaTheme="minorEastAsia"/>
        </w:rPr>
        <w:t>Phenotyping and image analysis</w:t>
      </w:r>
      <w:bookmarkEnd w:id="37"/>
    </w:p>
    <w:p w14:paraId="615C8C88" w14:textId="77777777" w:rsidR="00852529" w:rsidRPr="00852529" w:rsidRDefault="00852529" w:rsidP="00092C1C">
      <w:pPr>
        <w:rPr>
          <w:rFonts w:eastAsiaTheme="minorEastAsia" w:cs="Calibri"/>
          <w:szCs w:val="22"/>
          <w14:ligatures w14:val="standardContextual"/>
        </w:rPr>
      </w:pPr>
    </w:p>
    <w:p w14:paraId="368820D6" w14:textId="77777777" w:rsidR="00852529" w:rsidRPr="00852529" w:rsidRDefault="00852529" w:rsidP="00092C1C">
      <w:pPr>
        <w:pStyle w:val="Heading3"/>
        <w:rPr>
          <w:rFonts w:eastAsiaTheme="minorEastAsia"/>
        </w:rPr>
      </w:pPr>
      <w:bookmarkStart w:id="38" w:name="_Toc208828867"/>
      <w:r w:rsidRPr="00852529">
        <w:rPr>
          <w:rFonts w:eastAsiaTheme="minorEastAsia"/>
        </w:rPr>
        <w:t>A new perspective on the DUS test of eggplant fruit color based on lab color parameters</w:t>
      </w:r>
      <w:bookmarkEnd w:id="38"/>
    </w:p>
    <w:p w14:paraId="1F608D02" w14:textId="77777777" w:rsidR="00852529" w:rsidRPr="00852529" w:rsidRDefault="00852529" w:rsidP="00092C1C">
      <w:pPr>
        <w:rPr>
          <w:rFonts w:eastAsiaTheme="minorEastAsia" w:cs="Calibri"/>
          <w:szCs w:val="22"/>
          <w14:ligatures w14:val="standardContextual"/>
        </w:rPr>
      </w:pPr>
    </w:p>
    <w:p w14:paraId="560E4258" w14:textId="30171495" w:rsidR="00852529" w:rsidRPr="00852529" w:rsidRDefault="00092C1C" w:rsidP="00092C1C">
      <w:pPr>
        <w:contextualSpacing/>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The TWM</w:t>
      </w:r>
      <w:r w:rsidR="00693F23">
        <w:rPr>
          <w:rStyle w:val="FootnoteReference"/>
          <w:rFonts w:eastAsiaTheme="minorEastAsia" w:cs="Calibri"/>
          <w:szCs w:val="22"/>
          <w14:ligatures w14:val="standardContextual"/>
        </w:rPr>
        <w:footnoteReference w:id="15"/>
      </w:r>
      <w:r w:rsidR="00852529" w:rsidRPr="00852529">
        <w:rPr>
          <w:rFonts w:eastAsiaTheme="minorEastAsia" w:cs="Calibri"/>
          <w:szCs w:val="22"/>
          <w14:ligatures w14:val="standardContextual"/>
        </w:rPr>
        <w:t xml:space="preserve"> received a presentation from M</w:t>
      </w:r>
      <w:r w:rsidR="00852529" w:rsidRPr="00852529">
        <w:rPr>
          <w:rFonts w:eastAsiaTheme="minorEastAsia" w:cs="Calibri" w:hint="eastAsia"/>
          <w:szCs w:val="22"/>
          <w:lang w:eastAsia="ja-JP"/>
          <w14:ligatures w14:val="standardContextual"/>
        </w:rPr>
        <w:t>s</w:t>
      </w:r>
      <w:r w:rsidR="00852529" w:rsidRPr="00852529">
        <w:rPr>
          <w:rFonts w:eastAsiaTheme="minorEastAsia" w:cs="Calibri"/>
          <w:szCs w:val="22"/>
          <w14:ligatures w14:val="standardContextual"/>
        </w:rPr>
        <w:t xml:space="preserve">. </w:t>
      </w:r>
      <w:proofErr w:type="spellStart"/>
      <w:r w:rsidR="00852529" w:rsidRPr="00852529">
        <w:rPr>
          <w:rFonts w:eastAsiaTheme="minorEastAsia" w:cs="Calibri"/>
          <w:szCs w:val="22"/>
          <w14:ligatures w14:val="standardContextual"/>
        </w:rPr>
        <w:t>Yiying</w:t>
      </w:r>
      <w:proofErr w:type="spellEnd"/>
      <w:r w:rsidR="00852529" w:rsidRPr="00852529">
        <w:rPr>
          <w:rFonts w:eastAsiaTheme="minorEastAsia" w:cs="Calibri"/>
          <w:szCs w:val="22"/>
          <w14:ligatures w14:val="standardContextual"/>
        </w:rPr>
        <w:t xml:space="preserve"> Zhang</w:t>
      </w:r>
      <w:r w:rsidR="00852529" w:rsidRPr="00852529">
        <w:rPr>
          <w:rFonts w:eastAsiaTheme="minorEastAsia" w:cs="Calibri" w:hint="eastAsia"/>
          <w:szCs w:val="22"/>
          <w:lang w:eastAsia="ja-JP"/>
          <w14:ligatures w14:val="standardContextual"/>
        </w:rPr>
        <w:t xml:space="preserve"> (China)</w:t>
      </w:r>
      <w:r w:rsidR="00852529" w:rsidRPr="00852529">
        <w:rPr>
          <w:rFonts w:eastAsiaTheme="minorEastAsia" w:cs="Calibri"/>
          <w:szCs w:val="22"/>
          <w14:ligatures w14:val="standardContextual"/>
        </w:rPr>
        <w:t xml:space="preserve"> on “A new perspective on the DUS test of eggplant fruit color based on lab color parameters”, </w:t>
      </w:r>
      <w:r w:rsidR="00852529" w:rsidRPr="00852529">
        <w:rPr>
          <w:rFonts w:eastAsiaTheme="minorEastAsia" w:cs="Arial"/>
          <w:iCs/>
          <w:szCs w:val="22"/>
          <w14:ligatures w14:val="standardContextual"/>
        </w:rPr>
        <w:t>a copy of which is provided in document </w:t>
      </w:r>
      <w:hyperlink r:id="rId21" w:history="1">
        <w:r w:rsidR="00852529" w:rsidRPr="00852529">
          <w:rPr>
            <w:rStyle w:val="Hyperlink"/>
            <w:rFonts w:eastAsiaTheme="minorEastAsia" w:cs="Calibri"/>
            <w:szCs w:val="22"/>
            <w14:ligatures w14:val="standardContextual"/>
          </w:rPr>
          <w:t>TW</w:t>
        </w:r>
        <w:r w:rsidR="00852529" w:rsidRPr="00852529">
          <w:rPr>
            <w:rStyle w:val="Hyperlink"/>
            <w:rFonts w:eastAsiaTheme="minorEastAsia" w:cs="Calibri" w:hint="eastAsia"/>
            <w:szCs w:val="22"/>
            <w:lang w:eastAsia="ja-JP"/>
            <w14:ligatures w14:val="standardContextual"/>
          </w:rPr>
          <w:t>M</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3</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13</w:t>
        </w:r>
      </w:hyperlink>
      <w:r w:rsidR="00852529" w:rsidRPr="00852529">
        <w:rPr>
          <w:rFonts w:eastAsiaTheme="minorEastAsia" w:cs="Calibri"/>
          <w:szCs w:val="22"/>
          <w14:ligatures w14:val="standardContextual"/>
        </w:rPr>
        <w:t xml:space="preserve">.  </w:t>
      </w:r>
    </w:p>
    <w:p w14:paraId="7C1401C8" w14:textId="77777777" w:rsidR="00852529" w:rsidRPr="00852529" w:rsidRDefault="00852529" w:rsidP="00092C1C">
      <w:pPr>
        <w:contextualSpacing/>
        <w:rPr>
          <w:rFonts w:eastAsiaTheme="minorEastAsia" w:cs="Calibri"/>
          <w:szCs w:val="22"/>
          <w14:ligatures w14:val="standardContextual"/>
        </w:rPr>
      </w:pPr>
    </w:p>
    <w:p w14:paraId="2695515D" w14:textId="5887F520" w:rsidR="00852529" w:rsidRPr="00852529" w:rsidRDefault="00092C1C" w:rsidP="00092C1C">
      <w:pPr>
        <w:contextualSpacing/>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proofErr w:type="gramStart"/>
      <w:r w:rsidR="00852529" w:rsidRPr="00852529">
        <w:rPr>
          <w:rFonts w:eastAsiaTheme="minorEastAsia" w:cs="Calibri"/>
          <w:szCs w:val="22"/>
          <w14:ligatures w14:val="standardContextual"/>
        </w:rPr>
        <w:t>The TWM</w:t>
      </w:r>
      <w:proofErr w:type="gramEnd"/>
      <w:r w:rsidR="00852529" w:rsidRPr="00852529">
        <w:rPr>
          <w:rFonts w:eastAsiaTheme="minorEastAsia" w:cs="Calibri"/>
          <w:szCs w:val="22"/>
          <w14:ligatures w14:val="standardContextual"/>
        </w:rPr>
        <w:t xml:space="preserve"> </w:t>
      </w:r>
      <w:r w:rsidR="00852529" w:rsidRPr="00852529">
        <w:rPr>
          <w:rFonts w:eastAsiaTheme="minorEastAsia" w:cs="Calibri"/>
          <w:szCs w:val="22"/>
          <w:lang w:eastAsia="ja-JP"/>
          <w14:ligatures w14:val="standardContextual"/>
        </w:rPr>
        <w:t>noted that the Test Guidelines for Eggplant were being revised and invited Ms. Zhang to present the analysis of fruit skin color to the subgroup of experts, at the next session of the TWV.</w:t>
      </w:r>
      <w:r w:rsidR="00852529" w:rsidRPr="00852529">
        <w:rPr>
          <w:rFonts w:eastAsiaTheme="minorEastAsia" w:cs="Calibri"/>
          <w:szCs w:val="22"/>
          <w14:ligatures w14:val="standardContextual"/>
        </w:rPr>
        <w:t xml:space="preserve"> </w:t>
      </w:r>
    </w:p>
    <w:p w14:paraId="495F326E" w14:textId="77777777" w:rsidR="00852529" w:rsidRDefault="00852529" w:rsidP="00092C1C">
      <w:pPr>
        <w:rPr>
          <w:rFonts w:eastAsiaTheme="minorEastAsia" w:cs="Calibri"/>
          <w:szCs w:val="22"/>
          <w14:ligatures w14:val="standardContextual"/>
        </w:rPr>
      </w:pPr>
    </w:p>
    <w:p w14:paraId="641E710A" w14:textId="77777777" w:rsidR="00852529" w:rsidRPr="00852529" w:rsidRDefault="00852529" w:rsidP="00092C1C">
      <w:pPr>
        <w:pStyle w:val="Heading3"/>
        <w:rPr>
          <w:rFonts w:eastAsiaTheme="minorEastAsia"/>
        </w:rPr>
      </w:pPr>
      <w:bookmarkStart w:id="39" w:name="_Toc208828868"/>
      <w:r w:rsidRPr="00852529">
        <w:rPr>
          <w:rFonts w:eastAsiaTheme="minorEastAsia"/>
        </w:rPr>
        <w:t>Length data collection device pro</w:t>
      </w:r>
      <w:bookmarkEnd w:id="39"/>
    </w:p>
    <w:p w14:paraId="7EE3669E" w14:textId="77777777" w:rsidR="00852529" w:rsidRPr="00852529" w:rsidRDefault="00852529" w:rsidP="00092C1C">
      <w:pPr>
        <w:rPr>
          <w:rFonts w:eastAsiaTheme="minorEastAsia" w:cs="Calibri"/>
          <w:szCs w:val="22"/>
          <w14:ligatures w14:val="standardContextual"/>
        </w:rPr>
      </w:pPr>
    </w:p>
    <w:p w14:paraId="74E4C15E" w14:textId="0A4A887A" w:rsidR="00852529" w:rsidRPr="00852529" w:rsidRDefault="00092C1C" w:rsidP="00092C1C">
      <w:pPr>
        <w:contextualSpacing/>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The TWM</w:t>
      </w:r>
      <w:r w:rsidR="00693F23">
        <w:rPr>
          <w:rStyle w:val="FootnoteReference"/>
          <w:rFonts w:eastAsiaTheme="minorEastAsia" w:cs="Calibri"/>
          <w:szCs w:val="22"/>
          <w14:ligatures w14:val="standardContextual"/>
        </w:rPr>
        <w:footnoteReference w:id="16"/>
      </w:r>
      <w:r w:rsidR="00852529" w:rsidRPr="00852529">
        <w:rPr>
          <w:rFonts w:eastAsiaTheme="minorEastAsia" w:cs="Calibri"/>
          <w:szCs w:val="22"/>
          <w14:ligatures w14:val="standardContextual"/>
        </w:rPr>
        <w:t xml:space="preserve"> received a presentation from M</w:t>
      </w:r>
      <w:r w:rsidR="00852529" w:rsidRPr="00852529">
        <w:rPr>
          <w:rFonts w:eastAsiaTheme="minorEastAsia" w:cs="Calibri" w:hint="eastAsia"/>
          <w:szCs w:val="22"/>
          <w:lang w:eastAsia="ja-JP"/>
          <w14:ligatures w14:val="standardContextual"/>
        </w:rPr>
        <w:t>s</w:t>
      </w:r>
      <w:r w:rsidR="00852529" w:rsidRPr="00852529">
        <w:rPr>
          <w:rFonts w:eastAsiaTheme="minorEastAsia" w:cs="Calibri"/>
          <w:szCs w:val="22"/>
          <w14:ligatures w14:val="standardContextual"/>
        </w:rPr>
        <w:t>. Shan Lu</w:t>
      </w:r>
      <w:r w:rsidR="00852529" w:rsidRPr="00852529">
        <w:rPr>
          <w:rFonts w:eastAsiaTheme="minorEastAsia" w:cs="Calibri" w:hint="eastAsia"/>
          <w:szCs w:val="22"/>
          <w14:ligatures w14:val="standardContextual"/>
        </w:rPr>
        <w:t xml:space="preserve"> </w:t>
      </w:r>
      <w:r w:rsidR="00852529" w:rsidRPr="00852529">
        <w:rPr>
          <w:rFonts w:eastAsiaTheme="minorEastAsia" w:cs="Calibri" w:hint="eastAsia"/>
          <w:szCs w:val="22"/>
          <w:lang w:eastAsia="ja-JP"/>
          <w14:ligatures w14:val="standardContextual"/>
        </w:rPr>
        <w:t>(China)</w:t>
      </w:r>
      <w:r w:rsidR="00852529" w:rsidRPr="00852529">
        <w:rPr>
          <w:rFonts w:eastAsiaTheme="minorEastAsia" w:cs="Calibri"/>
          <w:szCs w:val="22"/>
          <w14:ligatures w14:val="standardContextual"/>
        </w:rPr>
        <w:t xml:space="preserve"> on “Length data collection device pro”, </w:t>
      </w:r>
      <w:r w:rsidR="00852529" w:rsidRPr="00852529">
        <w:rPr>
          <w:rFonts w:eastAsiaTheme="minorEastAsia" w:cs="Arial"/>
          <w:iCs/>
          <w:szCs w:val="22"/>
          <w14:ligatures w14:val="standardContextual"/>
        </w:rPr>
        <w:t>a copy of which is provided in document </w:t>
      </w:r>
      <w:hyperlink r:id="rId22" w:history="1">
        <w:r w:rsidR="00852529" w:rsidRPr="00852529">
          <w:rPr>
            <w:rStyle w:val="Hyperlink"/>
            <w:rFonts w:eastAsiaTheme="minorEastAsia" w:cs="Calibri"/>
            <w:szCs w:val="22"/>
            <w14:ligatures w14:val="standardContextual"/>
          </w:rPr>
          <w:t>TW</w:t>
        </w:r>
        <w:r w:rsidR="00852529" w:rsidRPr="00852529">
          <w:rPr>
            <w:rStyle w:val="Hyperlink"/>
            <w:rFonts w:eastAsiaTheme="minorEastAsia" w:cs="Calibri" w:hint="eastAsia"/>
            <w:szCs w:val="22"/>
            <w:lang w:eastAsia="ja-JP"/>
            <w14:ligatures w14:val="standardContextual"/>
          </w:rPr>
          <w:t>M</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3</w:t>
        </w:r>
        <w:r w:rsidR="00852529" w:rsidRPr="00852529">
          <w:rPr>
            <w:rStyle w:val="Hyperlink"/>
            <w:rFonts w:eastAsiaTheme="minorEastAsia" w:cs="Calibri"/>
            <w:szCs w:val="22"/>
            <w14:ligatures w14:val="standardContextual"/>
          </w:rPr>
          <w:t>/</w:t>
        </w:r>
        <w:r w:rsidR="00852529" w:rsidRPr="00852529">
          <w:rPr>
            <w:rStyle w:val="Hyperlink"/>
            <w:rFonts w:eastAsiaTheme="minorEastAsia" w:cs="Calibri" w:hint="eastAsia"/>
            <w:szCs w:val="22"/>
            <w:lang w:eastAsia="ja-JP"/>
            <w14:ligatures w14:val="standardContextual"/>
          </w:rPr>
          <w:t>14</w:t>
        </w:r>
      </w:hyperlink>
      <w:r w:rsidR="00852529" w:rsidRPr="00852529">
        <w:rPr>
          <w:rFonts w:eastAsiaTheme="minorEastAsia" w:cs="Calibri"/>
          <w:szCs w:val="22"/>
          <w14:ligatures w14:val="standardContextual"/>
        </w:rPr>
        <w:t xml:space="preserve">.  </w:t>
      </w:r>
    </w:p>
    <w:p w14:paraId="06DB2AAA" w14:textId="77777777" w:rsidR="00852529" w:rsidRPr="00852529" w:rsidRDefault="00852529" w:rsidP="00092C1C">
      <w:pPr>
        <w:contextualSpacing/>
        <w:rPr>
          <w:rFonts w:eastAsiaTheme="minorEastAsia" w:cs="Calibri"/>
          <w:szCs w:val="22"/>
          <w14:ligatures w14:val="standardContextual"/>
        </w:rPr>
      </w:pPr>
    </w:p>
    <w:p w14:paraId="21006472" w14:textId="0F0245B1" w:rsidR="00852529" w:rsidRPr="00852529" w:rsidRDefault="00092C1C" w:rsidP="00092C1C">
      <w:pPr>
        <w:contextualSpacing/>
        <w:rPr>
          <w:rFonts w:eastAsiaTheme="minorEastAsia" w:cs="Calibri"/>
          <w:szCs w:val="22"/>
          <w14:ligatures w14:val="standardContextual"/>
        </w:rPr>
      </w:pPr>
      <w:r>
        <w:rPr>
          <w:rFonts w:eastAsiaTheme="minorEastAsia" w:cs="Calibri"/>
          <w:szCs w:val="22"/>
          <w14:ligatures w14:val="standardContextual"/>
        </w:rPr>
        <w:fldChar w:fldCharType="begin"/>
      </w:r>
      <w:r>
        <w:rPr>
          <w:rFonts w:eastAsiaTheme="minorEastAsia" w:cs="Calibri"/>
          <w:szCs w:val="22"/>
          <w14:ligatures w14:val="standardContextual"/>
        </w:rPr>
        <w:instrText xml:space="preserve"> AUTONUM  </w:instrText>
      </w:r>
      <w:r>
        <w:rPr>
          <w:rFonts w:eastAsiaTheme="minorEastAsia" w:cs="Calibri"/>
          <w:szCs w:val="22"/>
          <w14:ligatures w14:val="standardContextual"/>
        </w:rPr>
        <w:fldChar w:fldCharType="end"/>
      </w:r>
      <w:r>
        <w:rPr>
          <w:rFonts w:eastAsiaTheme="minorEastAsia" w:cs="Calibri"/>
          <w:szCs w:val="22"/>
          <w14:ligatures w14:val="standardContextual"/>
        </w:rPr>
        <w:tab/>
      </w:r>
      <w:r w:rsidR="00852529" w:rsidRPr="00852529">
        <w:rPr>
          <w:rFonts w:eastAsiaTheme="minorEastAsia" w:cs="Calibri"/>
          <w:szCs w:val="22"/>
          <w14:ligatures w14:val="standardContextual"/>
        </w:rPr>
        <w:t xml:space="preserve">The TWM noted </w:t>
      </w:r>
      <w:r w:rsidR="00852529" w:rsidRPr="00852529">
        <w:rPr>
          <w:rFonts w:eastAsiaTheme="minorEastAsia" w:cs="Calibri"/>
          <w:szCs w:val="22"/>
          <w:lang w:eastAsia="ja-JP"/>
          <w14:ligatures w14:val="standardContextual"/>
        </w:rPr>
        <w:t>that members and observers interested in the data collection device could contact the expert from China for further information and collaboration.</w:t>
      </w:r>
    </w:p>
    <w:p w14:paraId="16971C4F" w14:textId="77777777" w:rsidR="00445B73" w:rsidRDefault="00445B73" w:rsidP="00092C1C"/>
    <w:p w14:paraId="432FFB51" w14:textId="77777777" w:rsidR="00163DB6" w:rsidRDefault="00163DB6" w:rsidP="00092C1C">
      <w:pPr>
        <w:keepNext/>
      </w:pPr>
    </w:p>
    <w:p w14:paraId="22C92D51" w14:textId="12163858" w:rsidR="00163DB6" w:rsidRDefault="00AC0937" w:rsidP="00365B2A">
      <w:pPr>
        <w:pStyle w:val="Heading2"/>
      </w:pPr>
      <w:bookmarkStart w:id="40" w:name="_Toc208828869"/>
      <w:r>
        <w:t xml:space="preserve">Variety collections: </w:t>
      </w:r>
      <w:r w:rsidR="00163DB6" w:rsidRPr="00A206CE">
        <w:t>Variety collection of fruit crops in Ukraine</w:t>
      </w:r>
      <w:bookmarkEnd w:id="40"/>
    </w:p>
    <w:p w14:paraId="1ADC3C91" w14:textId="77777777" w:rsidR="00163DB6" w:rsidRDefault="00163DB6" w:rsidP="00092C1C"/>
    <w:p w14:paraId="0E0C4CBD" w14:textId="0779FCA9" w:rsidR="00163DB6" w:rsidRDefault="00163DB6" w:rsidP="00092C1C">
      <w:r>
        <w:fldChar w:fldCharType="begin"/>
      </w:r>
      <w:r>
        <w:instrText xml:space="preserve"> AUTONUM  </w:instrText>
      </w:r>
      <w:r>
        <w:fldChar w:fldCharType="end"/>
      </w:r>
      <w:r>
        <w:tab/>
        <w:t>The TWF</w:t>
      </w:r>
      <w:r w:rsidR="00B270F3">
        <w:rPr>
          <w:rStyle w:val="FootnoteReference"/>
        </w:rPr>
        <w:footnoteReference w:id="17"/>
      </w:r>
      <w:r>
        <w:t xml:space="preserve"> received a presentation </w:t>
      </w:r>
      <w:r w:rsidRPr="00A206CE">
        <w:t>“Variety Collection of Fruit Crops in Ukraine”</w:t>
      </w:r>
      <w:r>
        <w:t xml:space="preserve"> by an expert from Ukraine.  A copy of the presentation is provided in document </w:t>
      </w:r>
      <w:hyperlink r:id="rId23" w:history="1">
        <w:r w:rsidRPr="00B270F3">
          <w:rPr>
            <w:rStyle w:val="Hyperlink"/>
          </w:rPr>
          <w:t>TWF/56/5</w:t>
        </w:r>
      </w:hyperlink>
      <w:r>
        <w:t>.</w:t>
      </w:r>
    </w:p>
    <w:p w14:paraId="08E89BC5" w14:textId="77777777" w:rsidR="00163DB6" w:rsidRDefault="00163DB6" w:rsidP="00092C1C"/>
    <w:p w14:paraId="5EAC9561" w14:textId="77777777" w:rsidR="00163DB6" w:rsidRDefault="00163DB6" w:rsidP="00092C1C">
      <w:r>
        <w:fldChar w:fldCharType="begin"/>
      </w:r>
      <w:r>
        <w:instrText xml:space="preserve"> AUTONUM  </w:instrText>
      </w:r>
      <w:r>
        <w:fldChar w:fldCharType="end"/>
      </w:r>
      <w:r>
        <w:tab/>
        <w:t>The TWF noted the procedures for DUS examination, including cooperation with breeders. The TWF noted the report from Ukraine on the challenges for breeders to describe varieties, which would be addressed in the future with further support for cooperation in DUS examination.</w:t>
      </w:r>
    </w:p>
    <w:p w14:paraId="1DEB88A6" w14:textId="77777777" w:rsidR="00163DB6" w:rsidRDefault="00163DB6" w:rsidP="00092C1C"/>
    <w:p w14:paraId="6FE61D0C" w14:textId="77777777" w:rsidR="00163DB6" w:rsidRDefault="00163DB6" w:rsidP="00092C1C">
      <w:r>
        <w:fldChar w:fldCharType="begin"/>
      </w:r>
      <w:r>
        <w:instrText xml:space="preserve"> AUTONUM  </w:instrText>
      </w:r>
      <w:r>
        <w:fldChar w:fldCharType="end"/>
      </w:r>
      <w:r>
        <w:tab/>
        <w:t xml:space="preserve">The TWF noted that Ukraine provided access to the national plant variety database, which included variety descriptions (available at: </w:t>
      </w:r>
      <w:r w:rsidRPr="00E9593A">
        <w:t xml:space="preserve"> </w:t>
      </w:r>
      <w:hyperlink r:id="rId24" w:history="1">
        <w:r w:rsidRPr="002C167A">
          <w:rPr>
            <w:rStyle w:val="Hyperlink"/>
          </w:rPr>
          <w:t>http://sort.sops.gov.ua/search/search</w:t>
        </w:r>
      </w:hyperlink>
      <w:r>
        <w:t>).</w:t>
      </w:r>
    </w:p>
    <w:p w14:paraId="69F53FE8" w14:textId="77777777" w:rsidR="00163DB6" w:rsidRDefault="00163DB6" w:rsidP="00092C1C"/>
    <w:p w14:paraId="20FA0CB4" w14:textId="77777777" w:rsidR="00693F23" w:rsidRDefault="00693F23" w:rsidP="00163DB6"/>
    <w:p w14:paraId="3E25B487" w14:textId="77777777" w:rsidR="00445B73" w:rsidRPr="00C651CE" w:rsidRDefault="00445B73" w:rsidP="00445B73"/>
    <w:p w14:paraId="478B70DD" w14:textId="77777777" w:rsidR="00445B73" w:rsidRDefault="00445B73" w:rsidP="00445B73">
      <w:pPr>
        <w:jc w:val="right"/>
      </w:pPr>
      <w:r w:rsidRPr="00C5280D">
        <w:t xml:space="preserve"> [End of document]</w:t>
      </w:r>
    </w:p>
    <w:p w14:paraId="4B75B59C" w14:textId="77777777" w:rsidR="00445B73" w:rsidRPr="00C5280D" w:rsidRDefault="00445B73" w:rsidP="00445B73">
      <w:pPr>
        <w:jc w:val="left"/>
      </w:pPr>
    </w:p>
    <w:p w14:paraId="6236C102" w14:textId="33C6123C" w:rsidR="00B270F3" w:rsidRPr="00B270F3" w:rsidRDefault="00B270F3" w:rsidP="00B270F3">
      <w:pPr>
        <w:tabs>
          <w:tab w:val="left" w:pos="4308"/>
        </w:tabs>
      </w:pPr>
    </w:p>
    <w:sectPr w:rsidR="00B270F3" w:rsidRPr="00B270F3" w:rsidSect="0004198B">
      <w:headerReference w:type="default" r:id="rId25"/>
      <w:headerReference w:type="first" r:id="rId2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294751" w:rsidRDefault="00474A16">
      <w:pPr>
        <w:pStyle w:val="Footer"/>
        <w:spacing w:after="60"/>
        <w:rPr>
          <w:sz w:val="18"/>
          <w:lang w:val="fr-FR"/>
        </w:rPr>
      </w:pPr>
      <w:r w:rsidRPr="00294751">
        <w:rPr>
          <w:sz w:val="18"/>
          <w:lang w:val="fr-FR"/>
        </w:rPr>
        <w:t>[Suite de la note de la page précédente]</w:t>
      </w:r>
    </w:p>
    <w:p w14:paraId="5B4768D6" w14:textId="77777777" w:rsidR="00474A16" w:rsidRPr="00294751" w:rsidRDefault="00474A16" w:rsidP="006655D3">
      <w:pPr>
        <w:rPr>
          <w:lang w:val="fr-FR"/>
        </w:rPr>
      </w:pPr>
    </w:p>
    <w:p w14:paraId="5D8DBCB9" w14:textId="77777777" w:rsidR="00474A16" w:rsidRPr="00294751" w:rsidRDefault="00474A16" w:rsidP="006655D3">
      <w:pPr>
        <w:rPr>
          <w:lang w:val="fr-FR"/>
        </w:rPr>
      </w:pPr>
    </w:p>
  </w:endnote>
  <w:endnote w:type="continuationNotice" w:id="1">
    <w:p w14:paraId="5A650486" w14:textId="77777777" w:rsidR="00474A16" w:rsidRPr="00294751" w:rsidRDefault="00474A16" w:rsidP="006655D3">
      <w:pPr>
        <w:rPr>
          <w:lang w:val="fr-FR"/>
        </w:rPr>
      </w:pPr>
      <w:r w:rsidRPr="00294751">
        <w:rPr>
          <w:lang w:val="fr-FR"/>
        </w:rPr>
        <w:t>[Suite de la note page suivante]</w:t>
      </w:r>
    </w:p>
    <w:p w14:paraId="706B5E3F" w14:textId="77777777" w:rsidR="00474A16" w:rsidRPr="00294751" w:rsidRDefault="00474A16" w:rsidP="006655D3">
      <w:pPr>
        <w:rPr>
          <w:lang w:val="fr-FR"/>
        </w:rPr>
      </w:pPr>
    </w:p>
    <w:p w14:paraId="620B815C" w14:textId="77777777" w:rsidR="00474A16" w:rsidRPr="00294751" w:rsidRDefault="00474A1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4D43872F" w14:textId="67E9D218" w:rsidR="00F21482" w:rsidRDefault="00F21482" w:rsidP="00F21482">
      <w:pPr>
        <w:pStyle w:val="FootnoteText"/>
      </w:pPr>
      <w:r>
        <w:rPr>
          <w:rStyle w:val="FootnoteReference"/>
        </w:rPr>
        <w:footnoteRef/>
      </w:r>
      <w:r>
        <w:t xml:space="preserve"> TWO, at its fifty-seventh session, held in </w:t>
      </w:r>
      <w:proofErr w:type="spellStart"/>
      <w:r>
        <w:t>Roelofarendsveen</w:t>
      </w:r>
      <w:proofErr w:type="spellEnd"/>
      <w:r>
        <w:t>, the Netherlands (Kingdom of the), from March 31 to April 3, 2025.</w:t>
      </w:r>
    </w:p>
  </w:footnote>
  <w:footnote w:id="3">
    <w:p w14:paraId="4AEB2409" w14:textId="0C933320" w:rsidR="00F21482" w:rsidRDefault="00F21482" w:rsidP="00F21482">
      <w:pPr>
        <w:pStyle w:val="FootnoteText"/>
      </w:pPr>
      <w:r>
        <w:rPr>
          <w:rStyle w:val="FootnoteReference"/>
        </w:rPr>
        <w:footnoteRef/>
      </w:r>
      <w:r>
        <w:t xml:space="preserve"> TWV, at its fifty-ninth session, held via electronic means, from May 5 to 8, 2025.</w:t>
      </w:r>
    </w:p>
  </w:footnote>
  <w:footnote w:id="4">
    <w:p w14:paraId="3841BD0A" w14:textId="184F1994" w:rsidR="00F21482" w:rsidRDefault="00F21482" w:rsidP="00F21482">
      <w:pPr>
        <w:pStyle w:val="FootnoteText"/>
      </w:pPr>
      <w:r>
        <w:rPr>
          <w:rStyle w:val="FootnoteReference"/>
        </w:rPr>
        <w:footnoteRef/>
      </w:r>
      <w:r>
        <w:t xml:space="preserve"> TWM, at its third session,</w:t>
      </w:r>
      <w:r w:rsidRPr="00626A35">
        <w:t xml:space="preserve"> </w:t>
      </w:r>
      <w:r>
        <w:t xml:space="preserve">held in Beijing, China, from </w:t>
      </w:r>
      <w:r w:rsidR="004300F4">
        <w:t>April 28 to May 1</w:t>
      </w:r>
      <w:r>
        <w:t>, 2025.</w:t>
      </w:r>
    </w:p>
  </w:footnote>
  <w:footnote w:id="5">
    <w:p w14:paraId="52D3B0C8" w14:textId="1258E53D" w:rsidR="00F21482" w:rsidRDefault="00F21482" w:rsidP="00F21482">
      <w:pPr>
        <w:pStyle w:val="FootnoteText"/>
      </w:pPr>
      <w:r>
        <w:rPr>
          <w:rStyle w:val="FootnoteReference"/>
        </w:rPr>
        <w:footnoteRef/>
      </w:r>
      <w:r>
        <w:t xml:space="preserve"> TWA, at its fifty-</w:t>
      </w:r>
      <w:r w:rsidR="004300F4">
        <w:t>fourth</w:t>
      </w:r>
      <w:r>
        <w:t xml:space="preserve"> session, held </w:t>
      </w:r>
      <w:r w:rsidR="004300F4">
        <w:t>in Arusha, United Republic of Tanzania</w:t>
      </w:r>
      <w:r>
        <w:t xml:space="preserve">, from May </w:t>
      </w:r>
      <w:r w:rsidR="004300F4">
        <w:t>19</w:t>
      </w:r>
      <w:r>
        <w:t xml:space="preserve"> to </w:t>
      </w:r>
      <w:r w:rsidR="004300F4">
        <w:t>22</w:t>
      </w:r>
      <w:r>
        <w:t>, 202</w:t>
      </w:r>
      <w:r w:rsidR="004300F4">
        <w:t>5</w:t>
      </w:r>
      <w:r>
        <w:t>.</w:t>
      </w:r>
    </w:p>
  </w:footnote>
  <w:footnote w:id="6">
    <w:p w14:paraId="1E31D980" w14:textId="45469F1A" w:rsidR="00F21482" w:rsidRDefault="00F21482" w:rsidP="00F21482">
      <w:pPr>
        <w:pStyle w:val="FootnoteText"/>
      </w:pPr>
      <w:r>
        <w:rPr>
          <w:rStyle w:val="FootnoteReference"/>
        </w:rPr>
        <w:footnoteRef/>
      </w:r>
      <w:r>
        <w:t xml:space="preserve"> TWF, at its fifty-</w:t>
      </w:r>
      <w:r w:rsidR="004300F4">
        <w:t>sixth</w:t>
      </w:r>
      <w:r>
        <w:t xml:space="preserve"> session, held </w:t>
      </w:r>
      <w:r w:rsidR="004300F4">
        <w:t>in Bursa, Türkiye</w:t>
      </w:r>
      <w:r>
        <w:t xml:space="preserve">, from June </w:t>
      </w:r>
      <w:r w:rsidR="004300F4">
        <w:t>2</w:t>
      </w:r>
      <w:r>
        <w:t xml:space="preserve">3 to </w:t>
      </w:r>
      <w:r w:rsidR="004300F4">
        <w:t>2</w:t>
      </w:r>
      <w:r>
        <w:t>6, 202</w:t>
      </w:r>
      <w:r w:rsidR="004300F4">
        <w:t>5.</w:t>
      </w:r>
    </w:p>
  </w:footnote>
  <w:footnote w:id="7">
    <w:p w14:paraId="769DC14B" w14:textId="7E765A72" w:rsidR="0018066F" w:rsidRDefault="0018066F" w:rsidP="0018066F">
      <w:pPr>
        <w:pStyle w:val="FootnoteText"/>
      </w:pPr>
      <w:r>
        <w:rPr>
          <w:rStyle w:val="FootnoteReference"/>
        </w:rPr>
        <w:footnoteRef/>
      </w:r>
      <w:r>
        <w:t xml:space="preserve"> TWV, fifty-ninth session, see document TWV/59/19 “Report”, paragraphs 16 to 21</w:t>
      </w:r>
    </w:p>
    <w:p w14:paraId="5A12E953" w14:textId="1D0D41CD" w:rsidR="0018066F" w:rsidRDefault="0018066F">
      <w:pPr>
        <w:pStyle w:val="FootnoteText"/>
      </w:pPr>
    </w:p>
  </w:footnote>
  <w:footnote w:id="8">
    <w:p w14:paraId="1556DF8B" w14:textId="5C153298" w:rsidR="003602B2" w:rsidRDefault="003602B2" w:rsidP="003602B2">
      <w:pPr>
        <w:pStyle w:val="FootnoteText"/>
      </w:pPr>
      <w:r>
        <w:rPr>
          <w:rStyle w:val="FootnoteReference"/>
        </w:rPr>
        <w:footnoteRef/>
      </w:r>
      <w:r>
        <w:t xml:space="preserve"> TWV, fifty-ninth session, see document TWV/59/19 “Report”, paragraphs 13 to 15</w:t>
      </w:r>
    </w:p>
  </w:footnote>
  <w:footnote w:id="9">
    <w:p w14:paraId="151552D7" w14:textId="01C26CA2" w:rsidR="0062210A" w:rsidRDefault="0062210A">
      <w:pPr>
        <w:pStyle w:val="FootnoteText"/>
      </w:pPr>
      <w:r>
        <w:rPr>
          <w:rStyle w:val="FootnoteReference"/>
        </w:rPr>
        <w:footnoteRef/>
      </w:r>
      <w:r>
        <w:t xml:space="preserve"> TWV, fifty-ninth session, see document TWV/59/19 “Report”, paragraphs 47 to 57</w:t>
      </w:r>
    </w:p>
  </w:footnote>
  <w:footnote w:id="10">
    <w:p w14:paraId="1395F27C" w14:textId="2543DE5D" w:rsidR="001B6C83" w:rsidRDefault="001B6C83">
      <w:pPr>
        <w:pStyle w:val="FootnoteText"/>
      </w:pPr>
      <w:r>
        <w:rPr>
          <w:rStyle w:val="FootnoteReference"/>
        </w:rPr>
        <w:footnoteRef/>
      </w:r>
      <w:r>
        <w:t xml:space="preserve"> </w:t>
      </w:r>
      <w:r w:rsidRPr="001B6C83">
        <w:rPr>
          <w:i/>
          <w:iCs/>
        </w:rPr>
        <w:t>Allium cepa</w:t>
      </w:r>
      <w:r w:rsidRPr="001B6C83">
        <w:t xml:space="preserve"> L. “SK20”</w:t>
      </w:r>
      <w:r>
        <w:t xml:space="preserve">: see documents </w:t>
      </w:r>
      <w:r w:rsidR="001E6406">
        <w:t>TWO/57/10 “Report”, paragraphs 16 and 17; TWV/59/19 “Report’, paragraphs 10 to 12; and TWF/56/7 “Report”, paragraphs 8 to 10</w:t>
      </w:r>
    </w:p>
  </w:footnote>
  <w:footnote w:id="11">
    <w:p w14:paraId="373DF61C" w14:textId="150B72AD" w:rsidR="003B4826" w:rsidRDefault="003B4826">
      <w:pPr>
        <w:pStyle w:val="FootnoteText"/>
      </w:pPr>
      <w:r>
        <w:rPr>
          <w:rStyle w:val="FootnoteReference"/>
        </w:rPr>
        <w:footnoteRef/>
      </w:r>
      <w:r>
        <w:t xml:space="preserve"> See document TWO/57/10 “Report”, paragraphs 30 to 33</w:t>
      </w:r>
    </w:p>
  </w:footnote>
  <w:footnote w:id="12">
    <w:p w14:paraId="68C1A62F" w14:textId="42302418" w:rsidR="00693F23" w:rsidRDefault="00693F23">
      <w:pPr>
        <w:pStyle w:val="FootnoteText"/>
      </w:pPr>
      <w:r>
        <w:rPr>
          <w:rStyle w:val="FootnoteReference"/>
        </w:rPr>
        <w:footnoteRef/>
      </w:r>
      <w:r>
        <w:t xml:space="preserve"> TWM, third session, see document TWM/3/29 “Report”, paragraphs 8 and 9</w:t>
      </w:r>
    </w:p>
  </w:footnote>
  <w:footnote w:id="13">
    <w:p w14:paraId="0B5F19F7" w14:textId="42A0A130" w:rsidR="00693F23" w:rsidRDefault="00693F23">
      <w:pPr>
        <w:pStyle w:val="FootnoteText"/>
      </w:pPr>
      <w:r>
        <w:rPr>
          <w:rStyle w:val="FootnoteReference"/>
        </w:rPr>
        <w:footnoteRef/>
      </w:r>
      <w:r>
        <w:t xml:space="preserve"> TWM, third session, see document TWM/3/29 “Report”, paragraphs 10 and 11</w:t>
      </w:r>
    </w:p>
  </w:footnote>
  <w:footnote w:id="14">
    <w:p w14:paraId="70A0E19A" w14:textId="4B7721AF" w:rsidR="00693F23" w:rsidRDefault="00693F23">
      <w:pPr>
        <w:pStyle w:val="FootnoteText"/>
      </w:pPr>
      <w:r>
        <w:rPr>
          <w:rStyle w:val="FootnoteReference"/>
        </w:rPr>
        <w:footnoteRef/>
      </w:r>
      <w:r>
        <w:t xml:space="preserve"> TWM, third session, see document TWM/3/29 “Report”, paragraphs 12 and 13</w:t>
      </w:r>
    </w:p>
  </w:footnote>
  <w:footnote w:id="15">
    <w:p w14:paraId="18EC79D6" w14:textId="70F0238A" w:rsidR="00693F23" w:rsidRDefault="00693F23">
      <w:pPr>
        <w:pStyle w:val="FootnoteText"/>
      </w:pPr>
      <w:r>
        <w:rPr>
          <w:rStyle w:val="FootnoteReference"/>
        </w:rPr>
        <w:footnoteRef/>
      </w:r>
      <w:r>
        <w:t xml:space="preserve"> TWM, third session, see document TWM/3/29 “Report”, paragraphs 14 and 15</w:t>
      </w:r>
    </w:p>
  </w:footnote>
  <w:footnote w:id="16">
    <w:p w14:paraId="08BD6F4E" w14:textId="09884126" w:rsidR="00693F23" w:rsidRDefault="00693F23">
      <w:pPr>
        <w:pStyle w:val="FootnoteText"/>
      </w:pPr>
      <w:r>
        <w:rPr>
          <w:rStyle w:val="FootnoteReference"/>
        </w:rPr>
        <w:footnoteRef/>
      </w:r>
      <w:r>
        <w:t xml:space="preserve"> TWM, third session, see document TWM/3/29 “Report”, paragraphs 16 and 17</w:t>
      </w:r>
    </w:p>
  </w:footnote>
  <w:footnote w:id="17">
    <w:p w14:paraId="6DDE9305" w14:textId="4EBB3429" w:rsidR="00B270F3" w:rsidRDefault="00B270F3">
      <w:pPr>
        <w:pStyle w:val="FootnoteText"/>
      </w:pPr>
      <w:r>
        <w:rPr>
          <w:rStyle w:val="FootnoteReference"/>
        </w:rPr>
        <w:footnoteRef/>
      </w:r>
      <w:r>
        <w:t xml:space="preserve"> TWF, fifty-sixth session, see document TWF/56/7 “Report”, paragraphs 20 to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1E6CD5DC" w:rsidR="0004198B" w:rsidRPr="00C5280D" w:rsidRDefault="00F96C11" w:rsidP="00EB048E">
    <w:pPr>
      <w:pStyle w:val="Header"/>
      <w:rPr>
        <w:rStyle w:val="PageNumber"/>
        <w:lang w:val="en-US"/>
      </w:rPr>
    </w:pPr>
    <w:r>
      <w:rPr>
        <w:rStyle w:val="PageNumber"/>
        <w:lang w:val="en-US"/>
      </w:rPr>
      <w:t>TC/61/</w:t>
    </w:r>
    <w:r w:rsidR="00C80836">
      <w:rPr>
        <w:rStyle w:val="PageNumber"/>
        <w:lang w:val="en-US"/>
      </w:rPr>
      <w:t>3</w:t>
    </w:r>
  </w:p>
  <w:p w14:paraId="2659679F"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E854" w14:textId="77777777" w:rsidR="0004198B" w:rsidRPr="0004198B" w:rsidRDefault="0004198B"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E2E4B"/>
    <w:multiLevelType w:val="hybridMultilevel"/>
    <w:tmpl w:val="574A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C4B7A"/>
    <w:multiLevelType w:val="hybridMultilevel"/>
    <w:tmpl w:val="FC94616E"/>
    <w:lvl w:ilvl="0" w:tplc="CC94EB5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B4B56"/>
    <w:multiLevelType w:val="hybridMultilevel"/>
    <w:tmpl w:val="4F8C24BC"/>
    <w:lvl w:ilvl="0" w:tplc="64F0AAC8">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4" w15:restartNumberingAfterBreak="0">
    <w:nsid w:val="61E264F1"/>
    <w:multiLevelType w:val="hybridMultilevel"/>
    <w:tmpl w:val="5C86174C"/>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008266">
    <w:abstractNumId w:val="3"/>
  </w:num>
  <w:num w:numId="2" w16cid:durableId="1701930538">
    <w:abstractNumId w:val="0"/>
  </w:num>
  <w:num w:numId="3" w16cid:durableId="381710990">
    <w:abstractNumId w:val="4"/>
  </w:num>
  <w:num w:numId="4" w16cid:durableId="1812792951">
    <w:abstractNumId w:val="2"/>
  </w:num>
  <w:num w:numId="5" w16cid:durableId="77721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4AB8"/>
    <w:rsid w:val="00030854"/>
    <w:rsid w:val="00036028"/>
    <w:rsid w:val="0004198B"/>
    <w:rsid w:val="00044642"/>
    <w:rsid w:val="000446B9"/>
    <w:rsid w:val="00047E21"/>
    <w:rsid w:val="00050E16"/>
    <w:rsid w:val="00085505"/>
    <w:rsid w:val="00092C1C"/>
    <w:rsid w:val="000C4E25"/>
    <w:rsid w:val="000C7021"/>
    <w:rsid w:val="000D6BBC"/>
    <w:rsid w:val="000D7780"/>
    <w:rsid w:val="000E636A"/>
    <w:rsid w:val="000F1412"/>
    <w:rsid w:val="000F2F11"/>
    <w:rsid w:val="00100A5F"/>
    <w:rsid w:val="00105929"/>
    <w:rsid w:val="00110BED"/>
    <w:rsid w:val="00110C36"/>
    <w:rsid w:val="001131D5"/>
    <w:rsid w:val="00114547"/>
    <w:rsid w:val="00141DB8"/>
    <w:rsid w:val="00163DB6"/>
    <w:rsid w:val="00172084"/>
    <w:rsid w:val="0017474A"/>
    <w:rsid w:val="001758C6"/>
    <w:rsid w:val="0018066F"/>
    <w:rsid w:val="00182B99"/>
    <w:rsid w:val="001B6C83"/>
    <w:rsid w:val="001C1525"/>
    <w:rsid w:val="001E6406"/>
    <w:rsid w:val="0021332C"/>
    <w:rsid w:val="00213982"/>
    <w:rsid w:val="0023752D"/>
    <w:rsid w:val="0024416D"/>
    <w:rsid w:val="00247B0E"/>
    <w:rsid w:val="00271911"/>
    <w:rsid w:val="00273187"/>
    <w:rsid w:val="002800A0"/>
    <w:rsid w:val="002801B3"/>
    <w:rsid w:val="00281060"/>
    <w:rsid w:val="00284050"/>
    <w:rsid w:val="00285BD0"/>
    <w:rsid w:val="002940E8"/>
    <w:rsid w:val="00294751"/>
    <w:rsid w:val="002A6E50"/>
    <w:rsid w:val="002B4298"/>
    <w:rsid w:val="002B7A36"/>
    <w:rsid w:val="002C256A"/>
    <w:rsid w:val="002D5226"/>
    <w:rsid w:val="00302A22"/>
    <w:rsid w:val="00305A7F"/>
    <w:rsid w:val="003152FE"/>
    <w:rsid w:val="00327436"/>
    <w:rsid w:val="003328E1"/>
    <w:rsid w:val="00344BD6"/>
    <w:rsid w:val="0035528D"/>
    <w:rsid w:val="003602B2"/>
    <w:rsid w:val="00361821"/>
    <w:rsid w:val="00361E9E"/>
    <w:rsid w:val="00364964"/>
    <w:rsid w:val="00365B2A"/>
    <w:rsid w:val="003753EE"/>
    <w:rsid w:val="00387426"/>
    <w:rsid w:val="00397554"/>
    <w:rsid w:val="003A0835"/>
    <w:rsid w:val="003A5AAF"/>
    <w:rsid w:val="003B4826"/>
    <w:rsid w:val="003B700A"/>
    <w:rsid w:val="003C7FBE"/>
    <w:rsid w:val="003D0839"/>
    <w:rsid w:val="003D227C"/>
    <w:rsid w:val="003D2B4D"/>
    <w:rsid w:val="003F37F5"/>
    <w:rsid w:val="00421571"/>
    <w:rsid w:val="004300F4"/>
    <w:rsid w:val="00444A88"/>
    <w:rsid w:val="00445B73"/>
    <w:rsid w:val="004675E5"/>
    <w:rsid w:val="00474A16"/>
    <w:rsid w:val="00474DA4"/>
    <w:rsid w:val="00476B4D"/>
    <w:rsid w:val="004805FA"/>
    <w:rsid w:val="004915BA"/>
    <w:rsid w:val="004935D2"/>
    <w:rsid w:val="004A4BD7"/>
    <w:rsid w:val="004B1215"/>
    <w:rsid w:val="004D047D"/>
    <w:rsid w:val="004D4458"/>
    <w:rsid w:val="004F1E9E"/>
    <w:rsid w:val="004F305A"/>
    <w:rsid w:val="00512164"/>
    <w:rsid w:val="00520297"/>
    <w:rsid w:val="005338F9"/>
    <w:rsid w:val="0054281C"/>
    <w:rsid w:val="00544581"/>
    <w:rsid w:val="0055268D"/>
    <w:rsid w:val="00563347"/>
    <w:rsid w:val="005639BE"/>
    <w:rsid w:val="00575DE2"/>
    <w:rsid w:val="00576BE4"/>
    <w:rsid w:val="005779DB"/>
    <w:rsid w:val="005848DE"/>
    <w:rsid w:val="005A2A67"/>
    <w:rsid w:val="005A400A"/>
    <w:rsid w:val="005B269D"/>
    <w:rsid w:val="005F7B92"/>
    <w:rsid w:val="00612379"/>
    <w:rsid w:val="006153B6"/>
    <w:rsid w:val="0061555F"/>
    <w:rsid w:val="0062210A"/>
    <w:rsid w:val="006245ED"/>
    <w:rsid w:val="00636CA6"/>
    <w:rsid w:val="00641200"/>
    <w:rsid w:val="00642D69"/>
    <w:rsid w:val="00645CA8"/>
    <w:rsid w:val="006655D3"/>
    <w:rsid w:val="00667404"/>
    <w:rsid w:val="00687EB4"/>
    <w:rsid w:val="00693F23"/>
    <w:rsid w:val="00694058"/>
    <w:rsid w:val="00695C56"/>
    <w:rsid w:val="006A5CDE"/>
    <w:rsid w:val="006A644A"/>
    <w:rsid w:val="006B17D2"/>
    <w:rsid w:val="006B68C2"/>
    <w:rsid w:val="006C224E"/>
    <w:rsid w:val="006D780A"/>
    <w:rsid w:val="006F0A99"/>
    <w:rsid w:val="0071271E"/>
    <w:rsid w:val="00732DEC"/>
    <w:rsid w:val="00735BD5"/>
    <w:rsid w:val="007451EC"/>
    <w:rsid w:val="00751613"/>
    <w:rsid w:val="00753EE9"/>
    <w:rsid w:val="007556F6"/>
    <w:rsid w:val="00760EEF"/>
    <w:rsid w:val="00764C5C"/>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02C"/>
    <w:rsid w:val="0082296E"/>
    <w:rsid w:val="00824099"/>
    <w:rsid w:val="00846D7C"/>
    <w:rsid w:val="00852529"/>
    <w:rsid w:val="00854B12"/>
    <w:rsid w:val="00867AC1"/>
    <w:rsid w:val="008751DE"/>
    <w:rsid w:val="008872DC"/>
    <w:rsid w:val="00890DF8"/>
    <w:rsid w:val="008A0ADE"/>
    <w:rsid w:val="008A743F"/>
    <w:rsid w:val="008C0970"/>
    <w:rsid w:val="008D0BC5"/>
    <w:rsid w:val="008D2CF7"/>
    <w:rsid w:val="00900C26"/>
    <w:rsid w:val="0090197F"/>
    <w:rsid w:val="00902190"/>
    <w:rsid w:val="00903264"/>
    <w:rsid w:val="00906DDC"/>
    <w:rsid w:val="00934E09"/>
    <w:rsid w:val="009357CF"/>
    <w:rsid w:val="00936253"/>
    <w:rsid w:val="00940D46"/>
    <w:rsid w:val="009413F1"/>
    <w:rsid w:val="00952DD4"/>
    <w:rsid w:val="009561F4"/>
    <w:rsid w:val="00965AE7"/>
    <w:rsid w:val="00970FED"/>
    <w:rsid w:val="00985E41"/>
    <w:rsid w:val="00992D82"/>
    <w:rsid w:val="00997029"/>
    <w:rsid w:val="009A7339"/>
    <w:rsid w:val="009B440E"/>
    <w:rsid w:val="009C0E22"/>
    <w:rsid w:val="009D690D"/>
    <w:rsid w:val="009E65B6"/>
    <w:rsid w:val="009F0A51"/>
    <w:rsid w:val="009F0B7F"/>
    <w:rsid w:val="009F77CF"/>
    <w:rsid w:val="00A12795"/>
    <w:rsid w:val="00A24C10"/>
    <w:rsid w:val="00A42AC3"/>
    <w:rsid w:val="00A430CF"/>
    <w:rsid w:val="00A44D2D"/>
    <w:rsid w:val="00A54309"/>
    <w:rsid w:val="00A55168"/>
    <w:rsid w:val="00A610A9"/>
    <w:rsid w:val="00A63DB9"/>
    <w:rsid w:val="00A766EF"/>
    <w:rsid w:val="00A80F2A"/>
    <w:rsid w:val="00A92701"/>
    <w:rsid w:val="00A96C33"/>
    <w:rsid w:val="00AA2342"/>
    <w:rsid w:val="00AA35F9"/>
    <w:rsid w:val="00AB2B93"/>
    <w:rsid w:val="00AB530F"/>
    <w:rsid w:val="00AB7E5B"/>
    <w:rsid w:val="00AC0937"/>
    <w:rsid w:val="00AC2883"/>
    <w:rsid w:val="00AE0EF1"/>
    <w:rsid w:val="00AE2937"/>
    <w:rsid w:val="00AE4EE7"/>
    <w:rsid w:val="00AF09FC"/>
    <w:rsid w:val="00B07301"/>
    <w:rsid w:val="00B11F3E"/>
    <w:rsid w:val="00B224DE"/>
    <w:rsid w:val="00B270F3"/>
    <w:rsid w:val="00B324D4"/>
    <w:rsid w:val="00B46575"/>
    <w:rsid w:val="00B57D2B"/>
    <w:rsid w:val="00B61777"/>
    <w:rsid w:val="00B622E6"/>
    <w:rsid w:val="00B83E82"/>
    <w:rsid w:val="00B84BBD"/>
    <w:rsid w:val="00BA43FB"/>
    <w:rsid w:val="00BA470A"/>
    <w:rsid w:val="00BC127D"/>
    <w:rsid w:val="00BC1FE6"/>
    <w:rsid w:val="00C061B6"/>
    <w:rsid w:val="00C16B87"/>
    <w:rsid w:val="00C1785B"/>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F1330"/>
    <w:rsid w:val="00CF497D"/>
    <w:rsid w:val="00CF7E36"/>
    <w:rsid w:val="00D30834"/>
    <w:rsid w:val="00D3708D"/>
    <w:rsid w:val="00D40426"/>
    <w:rsid w:val="00D50DFB"/>
    <w:rsid w:val="00D57C96"/>
    <w:rsid w:val="00D57D18"/>
    <w:rsid w:val="00D70E65"/>
    <w:rsid w:val="00D90661"/>
    <w:rsid w:val="00D91203"/>
    <w:rsid w:val="00D95174"/>
    <w:rsid w:val="00D97966"/>
    <w:rsid w:val="00DA4973"/>
    <w:rsid w:val="00DA6F36"/>
    <w:rsid w:val="00DA7979"/>
    <w:rsid w:val="00DB46F4"/>
    <w:rsid w:val="00DB596E"/>
    <w:rsid w:val="00DB7773"/>
    <w:rsid w:val="00DC00EA"/>
    <w:rsid w:val="00DC3802"/>
    <w:rsid w:val="00DD3EDF"/>
    <w:rsid w:val="00DD6208"/>
    <w:rsid w:val="00DF7E99"/>
    <w:rsid w:val="00E07D87"/>
    <w:rsid w:val="00E249C8"/>
    <w:rsid w:val="00E32F7E"/>
    <w:rsid w:val="00E33353"/>
    <w:rsid w:val="00E5267B"/>
    <w:rsid w:val="00E559F0"/>
    <w:rsid w:val="00E566A0"/>
    <w:rsid w:val="00E63C0E"/>
    <w:rsid w:val="00E72D49"/>
    <w:rsid w:val="00E7593C"/>
    <w:rsid w:val="00E7678A"/>
    <w:rsid w:val="00E81BE2"/>
    <w:rsid w:val="00E84163"/>
    <w:rsid w:val="00E935F1"/>
    <w:rsid w:val="00E94A81"/>
    <w:rsid w:val="00EA1FFB"/>
    <w:rsid w:val="00EA28EE"/>
    <w:rsid w:val="00EB048E"/>
    <w:rsid w:val="00EB4E9C"/>
    <w:rsid w:val="00EB7080"/>
    <w:rsid w:val="00EC634B"/>
    <w:rsid w:val="00EE34DF"/>
    <w:rsid w:val="00EF2F89"/>
    <w:rsid w:val="00F03E98"/>
    <w:rsid w:val="00F1237A"/>
    <w:rsid w:val="00F21482"/>
    <w:rsid w:val="00F22CBD"/>
    <w:rsid w:val="00F272F1"/>
    <w:rsid w:val="00F31412"/>
    <w:rsid w:val="00F45372"/>
    <w:rsid w:val="00F54661"/>
    <w:rsid w:val="00F560F7"/>
    <w:rsid w:val="00F6334D"/>
    <w:rsid w:val="00F63599"/>
    <w:rsid w:val="00F70CD4"/>
    <w:rsid w:val="00F71781"/>
    <w:rsid w:val="00F96C11"/>
    <w:rsid w:val="00FA49AB"/>
    <w:rsid w:val="00FC0F25"/>
    <w:rsid w:val="00FC5FD0"/>
    <w:rsid w:val="00FE39C7"/>
    <w:rsid w:val="00FF4D07"/>
    <w:rsid w:val="00FF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365B2A"/>
    <w:pPr>
      <w:keepNext/>
      <w:jc w:val="both"/>
      <w:outlineLvl w:val="1"/>
    </w:pPr>
    <w:rPr>
      <w:rFonts w:ascii="Arial" w:hAnsi="Arial"/>
      <w:u w:val="single"/>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365B2A"/>
    <w:pPr>
      <w:tabs>
        <w:tab w:val="right" w:leader="dot" w:pos="9639"/>
      </w:tabs>
      <w:ind w:left="568" w:right="851" w:hanging="284"/>
      <w:contextualSpacing/>
      <w:jc w:val="left"/>
    </w:pPr>
    <w:rPr>
      <w:sz w:val="18"/>
    </w:rPr>
  </w:style>
  <w:style w:type="paragraph" w:styleId="TOC3">
    <w:name w:val="toc 3"/>
    <w:next w:val="Normal"/>
    <w:autoRedefine/>
    <w:uiPriority w:val="39"/>
    <w:rsid w:val="00365B2A"/>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365B2A"/>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365B2A"/>
    <w:rPr>
      <w:rFonts w:ascii="Arial" w:hAnsi="Arial"/>
      <w:u w:val="single"/>
    </w:rPr>
  </w:style>
  <w:style w:type="character" w:customStyle="1" w:styleId="Heading3Char">
    <w:name w:val="Heading 3 Char"/>
    <w:basedOn w:val="DefaultParagraphFont"/>
    <w:link w:val="Heading3"/>
    <w:rsid w:val="00302A22"/>
    <w:rPr>
      <w:rFonts w:ascii="Arial" w:hAnsi="Arial"/>
      <w:i/>
    </w:rPr>
  </w:style>
  <w:style w:type="character" w:customStyle="1" w:styleId="Heading1Char">
    <w:name w:val="Heading 1 Char"/>
    <w:basedOn w:val="DefaultParagraphFont"/>
    <w:link w:val="Heading1"/>
    <w:rsid w:val="00302A22"/>
    <w:rPr>
      <w:rFonts w:ascii="Arial" w:hAnsi="Arial"/>
      <w:caps/>
    </w:rPr>
  </w:style>
  <w:style w:type="paragraph" w:styleId="ListParagraph">
    <w:name w:val="List Paragraph"/>
    <w:aliases w:val="auto_list_(i),List Paragraph1"/>
    <w:basedOn w:val="Normal"/>
    <w:link w:val="ListParagraphChar"/>
    <w:uiPriority w:val="34"/>
    <w:qFormat/>
    <w:rsid w:val="006F0A99"/>
    <w:pPr>
      <w:ind w:left="720"/>
      <w:contextualSpacing/>
    </w:pPr>
    <w:rPr>
      <w:rFonts w:eastAsiaTheme="minorEastAsia"/>
    </w:rPr>
  </w:style>
  <w:style w:type="character" w:customStyle="1" w:styleId="ListParagraphChar">
    <w:name w:val="List Paragraph Char"/>
    <w:aliases w:val="auto_list_(i) Char,List Paragraph1 Char"/>
    <w:basedOn w:val="DefaultParagraphFont"/>
    <w:link w:val="ListParagraph"/>
    <w:uiPriority w:val="34"/>
    <w:locked/>
    <w:rsid w:val="006F0A99"/>
    <w:rPr>
      <w:rFonts w:ascii="Arial" w:eastAsiaTheme="minorEastAsia" w:hAnsi="Arial"/>
    </w:rPr>
  </w:style>
  <w:style w:type="character" w:customStyle="1" w:styleId="FootnoteTextChar">
    <w:name w:val="Footnote Text Char"/>
    <w:basedOn w:val="DefaultParagraphFont"/>
    <w:link w:val="FootnoteText"/>
    <w:rsid w:val="00F21482"/>
    <w:rPr>
      <w:rFonts w:ascii="Arial" w:hAnsi="Arial"/>
      <w:sz w:val="16"/>
    </w:rPr>
  </w:style>
  <w:style w:type="character" w:styleId="UnresolvedMention">
    <w:name w:val="Unresolved Mention"/>
    <w:basedOn w:val="DefaultParagraphFont"/>
    <w:uiPriority w:val="99"/>
    <w:semiHidden/>
    <w:unhideWhenUsed/>
    <w:rsid w:val="00364964"/>
    <w:rPr>
      <w:color w:val="605E5C"/>
      <w:shd w:val="clear" w:color="auto" w:fill="E1DFDD"/>
    </w:rPr>
  </w:style>
  <w:style w:type="character" w:styleId="FollowedHyperlink">
    <w:name w:val="FollowedHyperlink"/>
    <w:basedOn w:val="DefaultParagraphFont"/>
    <w:semiHidden/>
    <w:unhideWhenUsed/>
    <w:rsid w:val="00364964"/>
    <w:rPr>
      <w:color w:val="800080" w:themeColor="followedHyperlink"/>
      <w:u w:val="single"/>
    </w:rPr>
  </w:style>
  <w:style w:type="character" w:styleId="CommentReference">
    <w:name w:val="annotation reference"/>
    <w:basedOn w:val="DefaultParagraphFont"/>
    <w:semiHidden/>
    <w:unhideWhenUsed/>
    <w:rsid w:val="00FC0F25"/>
    <w:rPr>
      <w:sz w:val="16"/>
      <w:szCs w:val="16"/>
    </w:rPr>
  </w:style>
  <w:style w:type="paragraph" w:styleId="CommentText">
    <w:name w:val="annotation text"/>
    <w:basedOn w:val="Normal"/>
    <w:link w:val="CommentTextChar"/>
    <w:unhideWhenUsed/>
    <w:rsid w:val="00FC0F25"/>
  </w:style>
  <w:style w:type="character" w:customStyle="1" w:styleId="CommentTextChar">
    <w:name w:val="Comment Text Char"/>
    <w:basedOn w:val="DefaultParagraphFont"/>
    <w:link w:val="CommentText"/>
    <w:rsid w:val="00FC0F25"/>
    <w:rPr>
      <w:rFonts w:ascii="Arial" w:hAnsi="Arial"/>
    </w:rPr>
  </w:style>
  <w:style w:type="paragraph" w:styleId="CommentSubject">
    <w:name w:val="annotation subject"/>
    <w:basedOn w:val="CommentText"/>
    <w:next w:val="CommentText"/>
    <w:link w:val="CommentSubjectChar"/>
    <w:semiHidden/>
    <w:unhideWhenUsed/>
    <w:rsid w:val="00D90661"/>
    <w:rPr>
      <w:b/>
      <w:bCs/>
    </w:rPr>
  </w:style>
  <w:style w:type="character" w:customStyle="1" w:styleId="CommentSubjectChar">
    <w:name w:val="Comment Subject Char"/>
    <w:basedOn w:val="CommentTextChar"/>
    <w:link w:val="CommentSubject"/>
    <w:semiHidden/>
    <w:rsid w:val="00D9066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16497">
      <w:bodyDiv w:val="1"/>
      <w:marLeft w:val="0"/>
      <w:marRight w:val="0"/>
      <w:marTop w:val="0"/>
      <w:marBottom w:val="0"/>
      <w:divBdr>
        <w:top w:val="none" w:sz="0" w:space="0" w:color="auto"/>
        <w:left w:val="none" w:sz="0" w:space="0" w:color="auto"/>
        <w:bottom w:val="none" w:sz="0" w:space="0" w:color="auto"/>
        <w:right w:val="none" w:sz="0" w:space="0" w:color="auto"/>
      </w:divBdr>
    </w:div>
    <w:div w:id="1456174827">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pov.int/edocs/mdocs/upov/en/twv_59/twv_59_9.pdf" TargetMode="External"/><Relationship Id="rId18" Type="http://schemas.openxmlformats.org/officeDocument/2006/relationships/hyperlink" Target="https://www.upov.int/edocs/mdocs/upov/en/twm_3/twm_3_19.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upov.int/edocs/mdocs/upov/en/twm_3/twm_3_13.pdf" TargetMode="External"/><Relationship Id="rId7" Type="http://schemas.openxmlformats.org/officeDocument/2006/relationships/endnotes" Target="endnotes.xml"/><Relationship Id="rId12" Type="http://schemas.openxmlformats.org/officeDocument/2006/relationships/hyperlink" Target="https://www.upov.int/edocs/mdocs/upov/en/twv_59/twv_59_12.pdf" TargetMode="External"/><Relationship Id="rId17" Type="http://schemas.openxmlformats.org/officeDocument/2006/relationships/hyperlink" Target="https://www.upov.int/edocs/mdocs/upov/en/twf_56/twf_56_4.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pov.int/edocs/mdocs/upov/en/twv_59/twv_59_8.pdf" TargetMode="External"/><Relationship Id="rId20" Type="http://schemas.openxmlformats.org/officeDocument/2006/relationships/hyperlink" Target="https://www.upov.int/edocs/mdocs/upov/en/twm_3/twm_3_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edocs/mdocs/upov/en/twv_58/twv_58_6.pdf" TargetMode="External"/><Relationship Id="rId24" Type="http://schemas.openxmlformats.org/officeDocument/2006/relationships/hyperlink" Target="http://sort.sops.gov.ua/search/search" TargetMode="External"/><Relationship Id="rId5" Type="http://schemas.openxmlformats.org/officeDocument/2006/relationships/webSettings" Target="webSettings.xml"/><Relationship Id="rId15" Type="http://schemas.openxmlformats.org/officeDocument/2006/relationships/hyperlink" Target="https://www.upov.int/edocs/mdocs/upov/en/two_57/two_57_4.pdf" TargetMode="External"/><Relationship Id="rId23" Type="http://schemas.openxmlformats.org/officeDocument/2006/relationships/hyperlink" Target="https://www.upov.int/edocs/mdocs/upov/en/twf_56/twf_56_5.pdf" TargetMode="External"/><Relationship Id="rId28" Type="http://schemas.openxmlformats.org/officeDocument/2006/relationships/theme" Target="theme/theme1.xml"/><Relationship Id="rId10" Type="http://schemas.openxmlformats.org/officeDocument/2006/relationships/hyperlink" Target="https://www.upov.int/edocs/mdocs/upov/en/twv_59/twv_59_11.pdf" TargetMode="External"/><Relationship Id="rId19" Type="http://schemas.openxmlformats.org/officeDocument/2006/relationships/hyperlink" Target="https://www.upov.int/edocs/mdocs/upov/en/twm_3/twm_3_12.pdf" TargetMode="External"/><Relationship Id="rId4" Type="http://schemas.openxmlformats.org/officeDocument/2006/relationships/settings" Target="settings.xml"/><Relationship Id="rId9" Type="http://schemas.openxmlformats.org/officeDocument/2006/relationships/hyperlink" Target="https://www.upov.int/edocs/mdocs/upov/en/twv_59/twv_59_10.pdf" TargetMode="External"/><Relationship Id="rId14" Type="http://schemas.openxmlformats.org/officeDocument/2006/relationships/hyperlink" Target="https://www.upov.int/edocs/mdocs/upov/en/twa_54/twa_54_3.pdf" TargetMode="External"/><Relationship Id="rId22" Type="http://schemas.openxmlformats.org/officeDocument/2006/relationships/hyperlink" Target="https://www.upov.int/edocs/mdocs/upov/en/twm_3/twm_3_14.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1</TotalTime>
  <Pages>7</Pages>
  <Words>3080</Words>
  <Characters>19872</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TC/60</vt:lpstr>
    </vt:vector>
  </TitlesOfParts>
  <Company>UPOV</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TC/61/3</dc:title>
  <dc:creator>MAY Jessica</dc:creator>
  <cp:lastModifiedBy>MAY Jessica</cp:lastModifiedBy>
  <cp:revision>7</cp:revision>
  <cp:lastPrinted>2016-11-22T15:41:00Z</cp:lastPrinted>
  <dcterms:created xsi:type="dcterms:W3CDTF">2025-09-15T09:42:00Z</dcterms:created>
  <dcterms:modified xsi:type="dcterms:W3CDTF">2025-09-23T07:19:00Z</dcterms:modified>
</cp:coreProperties>
</file>