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F07B06" w14:paraId="744EBB8A" w14:textId="77777777" w:rsidTr="00EB4E9C">
        <w:tc>
          <w:tcPr>
            <w:tcW w:w="6522" w:type="dxa"/>
          </w:tcPr>
          <w:p w14:paraId="2DC0A08B" w14:textId="39C3389D" w:rsidR="00DC3802" w:rsidRPr="00F07B06" w:rsidRDefault="00284360" w:rsidP="00AC2883">
            <w:r>
              <w:rPr>
                <w:noProof/>
              </w:rPr>
              <w:drawing>
                <wp:inline distT="0" distB="0" distL="0" distR="0" wp14:anchorId="115FA40C" wp14:editId="1D251F00">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51DBB229" w14:textId="77777777" w:rsidR="00DC3802" w:rsidRPr="00F07B06" w:rsidRDefault="00DC3802" w:rsidP="00AC2883">
            <w:pPr>
              <w:pStyle w:val="Lettrine"/>
            </w:pPr>
            <w:r w:rsidRPr="00F07B06">
              <w:t>E</w:t>
            </w:r>
          </w:p>
        </w:tc>
      </w:tr>
      <w:tr w:rsidR="00DC3802" w:rsidRPr="00F07B06" w14:paraId="2E52EA0A" w14:textId="77777777" w:rsidTr="00645CA8">
        <w:trPr>
          <w:trHeight w:val="219"/>
        </w:trPr>
        <w:tc>
          <w:tcPr>
            <w:tcW w:w="6522" w:type="dxa"/>
          </w:tcPr>
          <w:p w14:paraId="0B7D8583" w14:textId="77777777" w:rsidR="00DC3802" w:rsidRPr="00F07B06" w:rsidRDefault="00DC3802" w:rsidP="00AC2883">
            <w:pPr>
              <w:pStyle w:val="upove"/>
            </w:pPr>
            <w:r w:rsidRPr="00F07B06">
              <w:t>International Union for the Protection of New Varieties of Plants</w:t>
            </w:r>
          </w:p>
        </w:tc>
        <w:tc>
          <w:tcPr>
            <w:tcW w:w="3117" w:type="dxa"/>
          </w:tcPr>
          <w:p w14:paraId="6977A71D" w14:textId="77777777" w:rsidR="00DC3802" w:rsidRPr="00F07B06" w:rsidRDefault="00DC3802" w:rsidP="00DA4973"/>
        </w:tc>
      </w:tr>
    </w:tbl>
    <w:p w14:paraId="3DE947B1" w14:textId="77777777" w:rsidR="00DC3802" w:rsidRPr="00F07B06" w:rsidRDefault="00DC3802" w:rsidP="00DC3802"/>
    <w:p w14:paraId="397024C6" w14:textId="77777777" w:rsidR="00B22ED6" w:rsidRPr="00F07B06" w:rsidRDefault="00B22ED6" w:rsidP="00B22ED6"/>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B22ED6" w:rsidRPr="00F07B06" w14:paraId="5431E896" w14:textId="77777777" w:rsidTr="00D7425C">
        <w:tc>
          <w:tcPr>
            <w:tcW w:w="6512" w:type="dxa"/>
          </w:tcPr>
          <w:p w14:paraId="1E3F80BF" w14:textId="77777777" w:rsidR="00B22ED6" w:rsidRPr="0077577B" w:rsidRDefault="00B22ED6" w:rsidP="00D7425C">
            <w:pPr>
              <w:pStyle w:val="Sessiontwp"/>
            </w:pPr>
            <w:r w:rsidRPr="0077577B">
              <w:t>Technical Committee</w:t>
            </w:r>
          </w:p>
          <w:p w14:paraId="053AD770" w14:textId="277A50A3" w:rsidR="00B22ED6" w:rsidRPr="0077577B" w:rsidRDefault="00B22ED6" w:rsidP="00D7425C">
            <w:pPr>
              <w:pStyle w:val="Sessiontwpplacedate"/>
            </w:pPr>
            <w:r w:rsidRPr="0077577B">
              <w:t>Sixt</w:t>
            </w:r>
            <w:r w:rsidR="00F1319A" w:rsidRPr="0077577B">
              <w:rPr>
                <w:rFonts w:hint="eastAsia"/>
                <w:lang w:eastAsia="ja-JP"/>
              </w:rPr>
              <w:t>y</w:t>
            </w:r>
            <w:r w:rsidR="00CD74E3" w:rsidRPr="0077577B">
              <w:rPr>
                <w:rFonts w:hint="eastAsia"/>
                <w:lang w:eastAsia="ja-JP"/>
              </w:rPr>
              <w:t>-First</w:t>
            </w:r>
            <w:r w:rsidRPr="0077577B">
              <w:t xml:space="preserve"> Session</w:t>
            </w:r>
          </w:p>
          <w:p w14:paraId="3D679212" w14:textId="31AD7B14" w:rsidR="00B22ED6" w:rsidRPr="0077577B" w:rsidRDefault="00B22ED6" w:rsidP="00D7425C">
            <w:pPr>
              <w:rPr>
                <w:lang w:eastAsia="ja-JP"/>
              </w:rPr>
            </w:pPr>
            <w:r w:rsidRPr="0077577B">
              <w:t>Geneva, October 2</w:t>
            </w:r>
            <w:r w:rsidR="00CD74E3" w:rsidRPr="0077577B">
              <w:rPr>
                <w:rFonts w:hint="eastAsia"/>
                <w:lang w:eastAsia="ja-JP"/>
              </w:rPr>
              <w:t>0</w:t>
            </w:r>
            <w:r w:rsidRPr="0077577B">
              <w:t xml:space="preserve"> and 2</w:t>
            </w:r>
            <w:r w:rsidR="00CD74E3" w:rsidRPr="0077577B">
              <w:rPr>
                <w:rFonts w:hint="eastAsia"/>
                <w:lang w:eastAsia="ja-JP"/>
              </w:rPr>
              <w:t>1</w:t>
            </w:r>
            <w:r w:rsidRPr="0077577B">
              <w:t>, 202</w:t>
            </w:r>
            <w:r w:rsidR="00CD74E3" w:rsidRPr="0077577B">
              <w:rPr>
                <w:rFonts w:hint="eastAsia"/>
                <w:lang w:eastAsia="ja-JP"/>
              </w:rPr>
              <w:t>5</w:t>
            </w:r>
          </w:p>
          <w:p w14:paraId="495B80B9" w14:textId="77777777" w:rsidR="00B22ED6" w:rsidRPr="0077577B" w:rsidRDefault="00B22ED6" w:rsidP="00D7425C"/>
          <w:p w14:paraId="56661E49" w14:textId="77777777" w:rsidR="00B22ED6" w:rsidRPr="0077577B" w:rsidRDefault="00B22ED6" w:rsidP="00D7425C">
            <w:pPr>
              <w:pStyle w:val="Sessiontwp"/>
            </w:pPr>
            <w:r w:rsidRPr="0077577B">
              <w:t>Administrative and Legal Committee</w:t>
            </w:r>
          </w:p>
          <w:p w14:paraId="26A4B1A2" w14:textId="5BE06E70" w:rsidR="00B22ED6" w:rsidRPr="0077577B" w:rsidRDefault="00B22ED6" w:rsidP="00D7425C">
            <w:pPr>
              <w:pStyle w:val="Sessiontwp"/>
              <w:rPr>
                <w:b w:val="0"/>
              </w:rPr>
            </w:pPr>
            <w:r w:rsidRPr="0077577B">
              <w:rPr>
                <w:b w:val="0"/>
              </w:rPr>
              <w:t>Eighty-</w:t>
            </w:r>
            <w:r w:rsidR="001D71DF" w:rsidRPr="0077577B">
              <w:rPr>
                <w:rFonts w:hint="eastAsia"/>
                <w:b w:val="0"/>
                <w:lang w:eastAsia="ja-JP"/>
              </w:rPr>
              <w:t>Second</w:t>
            </w:r>
            <w:r w:rsidRPr="0077577B">
              <w:rPr>
                <w:b w:val="0"/>
              </w:rPr>
              <w:t xml:space="preserve"> Session</w:t>
            </w:r>
          </w:p>
          <w:p w14:paraId="1EAC1B76" w14:textId="38A93B40" w:rsidR="00B22ED6" w:rsidRPr="0077577B" w:rsidRDefault="00B22ED6" w:rsidP="00E20F65">
            <w:pPr>
              <w:pStyle w:val="Sessiontwpplacedate"/>
              <w:rPr>
                <w:lang w:eastAsia="ja-JP"/>
              </w:rPr>
            </w:pPr>
            <w:r w:rsidRPr="0077577B">
              <w:t>Geneva, October 2</w:t>
            </w:r>
            <w:r w:rsidR="001D71DF" w:rsidRPr="0077577B">
              <w:rPr>
                <w:rFonts w:hint="eastAsia"/>
                <w:lang w:eastAsia="ja-JP"/>
              </w:rPr>
              <w:t>2</w:t>
            </w:r>
            <w:r w:rsidRPr="0077577B">
              <w:t>, 202</w:t>
            </w:r>
            <w:r w:rsidR="001D71DF" w:rsidRPr="0077577B">
              <w:rPr>
                <w:rFonts w:hint="eastAsia"/>
                <w:lang w:eastAsia="ja-JP"/>
              </w:rPr>
              <w:t>5</w:t>
            </w:r>
          </w:p>
        </w:tc>
        <w:tc>
          <w:tcPr>
            <w:tcW w:w="3127" w:type="dxa"/>
          </w:tcPr>
          <w:p w14:paraId="4BA62DBF" w14:textId="21B76062" w:rsidR="00B22ED6" w:rsidRPr="0077577B" w:rsidRDefault="00B22ED6" w:rsidP="00D7425C">
            <w:pPr>
              <w:pStyle w:val="Doccode"/>
            </w:pPr>
            <w:r w:rsidRPr="0077577B">
              <w:t>SESSIONS/</w:t>
            </w:r>
            <w:r w:rsidR="002A12E1" w:rsidRPr="0077577B">
              <w:t>202</w:t>
            </w:r>
            <w:r w:rsidR="00CD74E3" w:rsidRPr="0077577B">
              <w:rPr>
                <w:rFonts w:hint="eastAsia"/>
                <w:lang w:eastAsia="ja-JP"/>
              </w:rPr>
              <w:t>5</w:t>
            </w:r>
            <w:r w:rsidR="002A12E1" w:rsidRPr="0077577B">
              <w:t>/6</w:t>
            </w:r>
          </w:p>
          <w:p w14:paraId="4135D4D9" w14:textId="77777777" w:rsidR="00B22ED6" w:rsidRPr="0077577B" w:rsidRDefault="00B22ED6" w:rsidP="00D7425C">
            <w:pPr>
              <w:pStyle w:val="Docoriginal"/>
            </w:pPr>
            <w:r w:rsidRPr="0077577B">
              <w:t>Original:</w:t>
            </w:r>
            <w:r w:rsidRPr="0077577B">
              <w:rPr>
                <w:b w:val="0"/>
                <w:spacing w:val="0"/>
              </w:rPr>
              <w:t xml:space="preserve">  English</w:t>
            </w:r>
          </w:p>
          <w:p w14:paraId="49336837" w14:textId="68531AC9" w:rsidR="00B22ED6" w:rsidRPr="00F07B06" w:rsidRDefault="00B22ED6" w:rsidP="00D7425C">
            <w:pPr>
              <w:pStyle w:val="Docoriginal"/>
              <w:rPr>
                <w:lang w:eastAsia="ja-JP"/>
              </w:rPr>
            </w:pPr>
            <w:r w:rsidRPr="0077577B">
              <w:t>Date:</w:t>
            </w:r>
            <w:r w:rsidRPr="0077577B">
              <w:rPr>
                <w:b w:val="0"/>
                <w:spacing w:val="0"/>
              </w:rPr>
              <w:t xml:space="preserve">  </w:t>
            </w:r>
            <w:r w:rsidR="00551D2C" w:rsidRPr="0077577B">
              <w:rPr>
                <w:b w:val="0"/>
                <w:spacing w:val="0"/>
                <w:lang w:eastAsia="ja-JP"/>
              </w:rPr>
              <w:t xml:space="preserve">September </w:t>
            </w:r>
            <w:r w:rsidR="0077577B" w:rsidRPr="0077577B">
              <w:rPr>
                <w:b w:val="0"/>
                <w:spacing w:val="0"/>
                <w:lang w:eastAsia="ja-JP"/>
              </w:rPr>
              <w:t>30</w:t>
            </w:r>
            <w:r w:rsidRPr="0077577B">
              <w:rPr>
                <w:b w:val="0"/>
                <w:spacing w:val="0"/>
              </w:rPr>
              <w:t>, 202</w:t>
            </w:r>
            <w:r w:rsidR="00CD74E3" w:rsidRPr="0077577B">
              <w:rPr>
                <w:rFonts w:hint="eastAsia"/>
                <w:b w:val="0"/>
                <w:spacing w:val="0"/>
                <w:lang w:eastAsia="ja-JP"/>
              </w:rPr>
              <w:t>5</w:t>
            </w:r>
          </w:p>
        </w:tc>
      </w:tr>
    </w:tbl>
    <w:p w14:paraId="19B49DD5" w14:textId="5975D39E" w:rsidR="007B73A9" w:rsidRPr="00F07B06" w:rsidRDefault="002A12E1" w:rsidP="007B73A9">
      <w:pPr>
        <w:pStyle w:val="Titleofdoc0"/>
      </w:pPr>
      <w:r w:rsidRPr="00F07B06">
        <w:t>Molecular techniques</w:t>
      </w:r>
    </w:p>
    <w:p w14:paraId="4117B7F7" w14:textId="77777777" w:rsidR="001D736D" w:rsidRPr="00F07B06" w:rsidRDefault="001D736D" w:rsidP="001D736D">
      <w:pPr>
        <w:pStyle w:val="preparedby1"/>
        <w:jc w:val="left"/>
      </w:pPr>
      <w:r w:rsidRPr="00F07B06">
        <w:t>Document prepared by the Office of the Union</w:t>
      </w:r>
    </w:p>
    <w:p w14:paraId="45F9526D" w14:textId="77777777" w:rsidR="001D736D" w:rsidRPr="00F07B06" w:rsidRDefault="001D736D" w:rsidP="001D736D">
      <w:pPr>
        <w:pStyle w:val="Disclaimer"/>
      </w:pPr>
      <w:r w:rsidRPr="00F07B06">
        <w:t>Disclaimer:  this document does not represent UPOV policies or guidance</w:t>
      </w:r>
    </w:p>
    <w:p w14:paraId="0FD86AF0" w14:textId="77777777" w:rsidR="00EF4B00" w:rsidRPr="00F07B06" w:rsidRDefault="00EF4B00" w:rsidP="00EF4B00">
      <w:pPr>
        <w:keepNext/>
        <w:outlineLvl w:val="0"/>
        <w:rPr>
          <w:caps/>
          <w:snapToGrid w:val="0"/>
          <w:lang w:eastAsia="ja-JP"/>
        </w:rPr>
      </w:pPr>
      <w:bookmarkStart w:id="0" w:name="_Toc177773938"/>
      <w:bookmarkStart w:id="1" w:name="_Toc84413225"/>
      <w:bookmarkStart w:id="2" w:name="_Toc97892774"/>
      <w:r w:rsidRPr="00F07B06">
        <w:rPr>
          <w:caps/>
          <w:snapToGrid w:val="0"/>
          <w:lang w:eastAsia="ja-JP"/>
        </w:rPr>
        <w:t>Executive summary</w:t>
      </w:r>
      <w:bookmarkEnd w:id="0"/>
    </w:p>
    <w:p w14:paraId="7C8B2385" w14:textId="77777777" w:rsidR="00EF4B00" w:rsidRDefault="00EF4B00" w:rsidP="00EF4B00">
      <w:pPr>
        <w:rPr>
          <w:lang w:eastAsia="ja-JP"/>
        </w:rPr>
      </w:pPr>
    </w:p>
    <w:p w14:paraId="48B4C3D0" w14:textId="6E4A1250" w:rsidR="00BA2810" w:rsidRDefault="008B6969" w:rsidP="00EF4B00">
      <w:r>
        <w:fldChar w:fldCharType="begin"/>
      </w:r>
      <w:r>
        <w:instrText xml:space="preserve"> AUTONUM  </w:instrText>
      </w:r>
      <w:r>
        <w:fldChar w:fldCharType="end"/>
      </w:r>
      <w:r>
        <w:tab/>
      </w:r>
      <w:r w:rsidR="00D248B8">
        <w:t xml:space="preserve">This document presents proposals for </w:t>
      </w:r>
      <w:r w:rsidR="004D3EE1">
        <w:t>the development of</w:t>
      </w:r>
      <w:r w:rsidR="00AF7C82">
        <w:t xml:space="preserve"> guidance on molecular markers in </w:t>
      </w:r>
      <w:r w:rsidR="00940E2B">
        <w:t xml:space="preserve">the </w:t>
      </w:r>
      <w:r w:rsidR="00E10DA2">
        <w:t>examination of d</w:t>
      </w:r>
      <w:r w:rsidR="00940E2B" w:rsidRPr="00940E2B">
        <w:t xml:space="preserve">istinctness, </w:t>
      </w:r>
      <w:r w:rsidR="00E10DA2">
        <w:t>u</w:t>
      </w:r>
      <w:r w:rsidR="00940E2B" w:rsidRPr="00940E2B">
        <w:t xml:space="preserve">niformity and </w:t>
      </w:r>
      <w:r w:rsidR="00E10DA2">
        <w:t>s</w:t>
      </w:r>
      <w:r w:rsidR="00940E2B" w:rsidRPr="00940E2B">
        <w:t xml:space="preserve">tability </w:t>
      </w:r>
      <w:r w:rsidR="00E10DA2">
        <w:t>(</w:t>
      </w:r>
      <w:r w:rsidR="00AF7C82">
        <w:t>DUS</w:t>
      </w:r>
      <w:r w:rsidR="00E10DA2">
        <w:t>)</w:t>
      </w:r>
      <w:r w:rsidR="00B70EFA">
        <w:t xml:space="preserve"> </w:t>
      </w:r>
      <w:r w:rsidR="00B3260D">
        <w:t xml:space="preserve">and cooperation with </w:t>
      </w:r>
      <w:r w:rsidR="00BA2810">
        <w:t>international organizations</w:t>
      </w:r>
      <w:r w:rsidR="00EE0E99">
        <w:t>, as follows:</w:t>
      </w:r>
      <w:r w:rsidR="004D3EE1">
        <w:t xml:space="preserve">  </w:t>
      </w:r>
    </w:p>
    <w:p w14:paraId="0CD2A987" w14:textId="77777777" w:rsidR="00BA2810" w:rsidRDefault="00BA2810" w:rsidP="00D16288"/>
    <w:p w14:paraId="30F045A8" w14:textId="4426E97D" w:rsidR="00120291" w:rsidRPr="00676E2A" w:rsidRDefault="004322FB" w:rsidP="004322FB">
      <w:pPr>
        <w:pStyle w:val="ListParagraph"/>
        <w:numPr>
          <w:ilvl w:val="0"/>
          <w:numId w:val="45"/>
        </w:numPr>
        <w:ind w:left="1134" w:hanging="567"/>
        <w:jc w:val="both"/>
      </w:pPr>
      <w:r>
        <w:t xml:space="preserve">Consider </w:t>
      </w:r>
      <w:r w:rsidR="000D2C46" w:rsidRPr="00F862AE">
        <w:t>d</w:t>
      </w:r>
      <w:r w:rsidR="00120291" w:rsidRPr="00F862AE">
        <w:t xml:space="preserve">raft guidance on how to validate </w:t>
      </w:r>
      <w:r w:rsidR="00B4760D" w:rsidRPr="00F862AE">
        <w:t xml:space="preserve">“characteristic-specific” </w:t>
      </w:r>
      <w:r w:rsidR="00120291" w:rsidRPr="00F862AE">
        <w:t>molecular markers for DUS</w:t>
      </w:r>
      <w:r w:rsidR="00221BB8">
        <w:t> </w:t>
      </w:r>
      <w:r w:rsidR="00120291" w:rsidRPr="00F862AE">
        <w:t xml:space="preserve">examination and </w:t>
      </w:r>
      <w:r w:rsidR="003D1917" w:rsidRPr="00F862AE">
        <w:rPr>
          <w:lang w:eastAsia="ja-JP"/>
        </w:rPr>
        <w:t xml:space="preserve">standard </w:t>
      </w:r>
      <w:r w:rsidR="00547554" w:rsidRPr="00F862AE">
        <w:rPr>
          <w:lang w:eastAsia="ja-JP"/>
        </w:rPr>
        <w:t xml:space="preserve">template </w:t>
      </w:r>
      <w:r w:rsidR="00B948B3" w:rsidRPr="00F862AE">
        <w:t>to describe</w:t>
      </w:r>
      <w:r w:rsidR="007A0D7E" w:rsidRPr="00F862AE">
        <w:t xml:space="preserve"> </w:t>
      </w:r>
      <w:r w:rsidR="00130945" w:rsidRPr="00F862AE">
        <w:t>their use</w:t>
      </w:r>
      <w:r w:rsidR="007A0D7E" w:rsidRPr="00F862AE">
        <w:t xml:space="preserve"> </w:t>
      </w:r>
      <w:r w:rsidR="006E5114" w:rsidRPr="00F862AE">
        <w:t xml:space="preserve">to assess characteristics </w:t>
      </w:r>
      <w:r w:rsidR="00B948B3" w:rsidRPr="00F862AE">
        <w:rPr>
          <w:lang w:eastAsia="ja-JP"/>
        </w:rPr>
        <w:t xml:space="preserve">in </w:t>
      </w:r>
      <w:r w:rsidR="00B948B3" w:rsidRPr="00F862AE">
        <w:t>Test</w:t>
      </w:r>
      <w:r w:rsidR="00221BB8">
        <w:t> </w:t>
      </w:r>
      <w:r w:rsidR="00B948B3" w:rsidRPr="00676E2A">
        <w:t>Guidelines</w:t>
      </w:r>
      <w:r w:rsidR="004D3FA3" w:rsidRPr="00676E2A">
        <w:t xml:space="preserve"> (see Annex </w:t>
      </w:r>
      <w:r w:rsidR="006E5114" w:rsidRPr="00676E2A">
        <w:t>to</w:t>
      </w:r>
      <w:r w:rsidR="004D3FA3" w:rsidRPr="00676E2A">
        <w:t xml:space="preserve"> this document)</w:t>
      </w:r>
    </w:p>
    <w:p w14:paraId="2C5A1401" w14:textId="77777777" w:rsidR="00D16288" w:rsidRPr="00F862AE" w:rsidRDefault="00D16288" w:rsidP="004322FB">
      <w:pPr>
        <w:ind w:left="1134" w:hanging="567"/>
      </w:pPr>
    </w:p>
    <w:p w14:paraId="2DFDE956" w14:textId="141DF4FB" w:rsidR="004D3EE1" w:rsidRDefault="00AB5644" w:rsidP="004322FB">
      <w:pPr>
        <w:pStyle w:val="ListParagraph"/>
        <w:numPr>
          <w:ilvl w:val="0"/>
          <w:numId w:val="45"/>
        </w:numPr>
        <w:ind w:left="1134" w:hanging="567"/>
        <w:jc w:val="both"/>
      </w:pPr>
      <w:r w:rsidRPr="0077577B">
        <w:t>Inviting</w:t>
      </w:r>
      <w:r w:rsidR="00B514DB" w:rsidRPr="0077577B">
        <w:t xml:space="preserve"> France </w:t>
      </w:r>
      <w:r w:rsidR="00A62C60" w:rsidRPr="0077577B">
        <w:t xml:space="preserve">to </w:t>
      </w:r>
      <w:r w:rsidR="00A20C9A" w:rsidRPr="0077577B">
        <w:t>coordinate</w:t>
      </w:r>
      <w:r w:rsidR="008520D3" w:rsidRPr="0077577B">
        <w:t xml:space="preserve"> work </w:t>
      </w:r>
      <w:r w:rsidR="00A62C60" w:rsidRPr="0077577B">
        <w:t xml:space="preserve">in UPOV </w:t>
      </w:r>
      <w:r w:rsidR="008520D3" w:rsidRPr="0077577B">
        <w:t xml:space="preserve">for </w:t>
      </w:r>
      <w:r w:rsidR="00984070" w:rsidRPr="0077577B">
        <w:t>harmoniz</w:t>
      </w:r>
      <w:r w:rsidR="00A62C60" w:rsidRPr="0077577B">
        <w:t xml:space="preserve">ing </w:t>
      </w:r>
      <w:r w:rsidR="00650A61" w:rsidRPr="0077577B">
        <w:t xml:space="preserve">terminology </w:t>
      </w:r>
      <w:r w:rsidR="007D762E" w:rsidRPr="0077577B">
        <w:t xml:space="preserve">on </w:t>
      </w:r>
      <w:r w:rsidR="00FA5FE2" w:rsidRPr="0077577B">
        <w:t>molecular markers</w:t>
      </w:r>
      <w:r w:rsidR="00FA5FE2" w:rsidRPr="00F862AE">
        <w:t xml:space="preserve"> </w:t>
      </w:r>
      <w:r w:rsidR="00B015DA">
        <w:t>with</w:t>
      </w:r>
      <w:r w:rsidR="00940E2B" w:rsidRPr="00F862AE">
        <w:t xml:space="preserve"> the </w:t>
      </w:r>
      <w:proofErr w:type="spellStart"/>
      <w:r w:rsidR="0084006D" w:rsidRPr="00F862AE">
        <w:t>Organisation</w:t>
      </w:r>
      <w:proofErr w:type="spellEnd"/>
      <w:r w:rsidR="0084006D" w:rsidRPr="00F862AE">
        <w:t xml:space="preserve"> for Economic Co-operation and Development (</w:t>
      </w:r>
      <w:r w:rsidR="00940E2B" w:rsidRPr="00F862AE">
        <w:t>OECD</w:t>
      </w:r>
      <w:r w:rsidR="0084006D" w:rsidRPr="00F862AE">
        <w:t>) and the International Seed Testing Association (ISTA)</w:t>
      </w:r>
      <w:r w:rsidR="00940E2B" w:rsidRPr="00F862AE">
        <w:t xml:space="preserve"> </w:t>
      </w:r>
    </w:p>
    <w:p w14:paraId="4F920CEE" w14:textId="77777777" w:rsidR="00D16288" w:rsidRPr="00F862AE" w:rsidRDefault="00D16288" w:rsidP="004322FB">
      <w:pPr>
        <w:ind w:left="1134" w:hanging="567"/>
      </w:pPr>
    </w:p>
    <w:p w14:paraId="2A605944" w14:textId="7F2313C4" w:rsidR="004D3EE1" w:rsidRDefault="00D16288" w:rsidP="004322FB">
      <w:pPr>
        <w:pStyle w:val="ListParagraph"/>
        <w:numPr>
          <w:ilvl w:val="0"/>
          <w:numId w:val="45"/>
        </w:numPr>
        <w:ind w:left="1134" w:hanging="567"/>
        <w:jc w:val="both"/>
      </w:pPr>
      <w:r>
        <w:t>Surveying</w:t>
      </w:r>
      <w:r w:rsidR="00192639">
        <w:t xml:space="preserve"> UPOV members </w:t>
      </w:r>
      <w:r>
        <w:t>to</w:t>
      </w:r>
      <w:r w:rsidR="00192639">
        <w:t xml:space="preserve"> </w:t>
      </w:r>
      <w:r w:rsidR="00192639" w:rsidRPr="00F862AE">
        <w:t>update</w:t>
      </w:r>
      <w:r w:rsidR="00FA5FE2" w:rsidRPr="00F862AE">
        <w:t xml:space="preserve"> the list of molecular makers used </w:t>
      </w:r>
      <w:r w:rsidR="00B514DB">
        <w:t>for each</w:t>
      </w:r>
      <w:r w:rsidR="00FA5FE2" w:rsidRPr="00F862AE">
        <w:t xml:space="preserve"> crop</w:t>
      </w:r>
      <w:r w:rsidR="00EE5ED7" w:rsidRPr="00F862AE">
        <w:t xml:space="preserve"> </w:t>
      </w:r>
    </w:p>
    <w:p w14:paraId="6EA1499C" w14:textId="77777777" w:rsidR="00D16288" w:rsidRPr="00F862AE" w:rsidRDefault="00D16288" w:rsidP="004322FB">
      <w:pPr>
        <w:ind w:left="1134" w:hanging="567"/>
      </w:pPr>
    </w:p>
    <w:p w14:paraId="2C69F4BB" w14:textId="2D1794FA" w:rsidR="00FA5FE2" w:rsidRPr="00F862AE" w:rsidRDefault="00D16288" w:rsidP="004322FB">
      <w:pPr>
        <w:pStyle w:val="ListParagraph"/>
        <w:numPr>
          <w:ilvl w:val="0"/>
          <w:numId w:val="45"/>
        </w:numPr>
        <w:ind w:left="1134" w:hanging="567"/>
        <w:jc w:val="both"/>
      </w:pPr>
      <w:r>
        <w:t>Cooperating</w:t>
      </w:r>
      <w:r w:rsidR="00EE5ED7" w:rsidRPr="00F862AE">
        <w:t xml:space="preserve"> with OECD and ISTA to develop c</w:t>
      </w:r>
      <w:r w:rsidR="00FA5FE2" w:rsidRPr="00F862AE">
        <w:t>ommon sets of molecular markers for variety identification</w:t>
      </w:r>
    </w:p>
    <w:p w14:paraId="04C8E8DD" w14:textId="77777777" w:rsidR="001F1740" w:rsidRDefault="001F1740" w:rsidP="004322FB">
      <w:pPr>
        <w:pStyle w:val="Heading3"/>
        <w:rPr>
          <w:i w:val="0"/>
          <w:iCs/>
        </w:rPr>
      </w:pPr>
    </w:p>
    <w:p w14:paraId="2D860414" w14:textId="6B065B3A" w:rsidR="00461438" w:rsidRDefault="00D16288" w:rsidP="00461438">
      <w:r>
        <w:fldChar w:fldCharType="begin"/>
      </w:r>
      <w:r>
        <w:instrText xml:space="preserve"> AUTONUM  </w:instrText>
      </w:r>
      <w:r>
        <w:fldChar w:fldCharType="end"/>
      </w:r>
      <w:r>
        <w:tab/>
      </w:r>
      <w:r w:rsidR="008E4C3D">
        <w:t xml:space="preserve">On “confidentiality and ownership of molecular information”, </w:t>
      </w:r>
      <w:r w:rsidR="00A11577">
        <w:t>the Technical Committee (TC) is invited to</w:t>
      </w:r>
      <w:r w:rsidR="00136277">
        <w:t xml:space="preserve"> </w:t>
      </w:r>
      <w:r w:rsidR="008375C0">
        <w:t>note</w:t>
      </w:r>
      <w:r w:rsidR="00136277">
        <w:t xml:space="preserve"> </w:t>
      </w:r>
      <w:r w:rsidR="008375C0">
        <w:t xml:space="preserve">discussions </w:t>
      </w:r>
      <w:r w:rsidR="003816C7">
        <w:t xml:space="preserve">at the Technical Working Parties (TWPs) in 2025 </w:t>
      </w:r>
      <w:r w:rsidR="008375C0">
        <w:t>and consider organizing</w:t>
      </w:r>
      <w:r w:rsidR="008C31C8">
        <w:t xml:space="preserve"> </w:t>
      </w:r>
      <w:r w:rsidR="00461438">
        <w:t>future discussions based on concrete cases and specific situations</w:t>
      </w:r>
      <w:r w:rsidR="004E1C5B">
        <w:t xml:space="preserve">.  </w:t>
      </w:r>
      <w:r w:rsidR="003A429E">
        <w:t>The TC is invited to note that a</w:t>
      </w:r>
      <w:r w:rsidR="000A5916">
        <w:t xml:space="preserve"> </w:t>
      </w:r>
      <w:r w:rsidR="00461438">
        <w:t xml:space="preserve">“Policy on the status of plant material submitted for DUS testing purposes” </w:t>
      </w:r>
      <w:r w:rsidR="00A859F9">
        <w:t xml:space="preserve">was </w:t>
      </w:r>
      <w:r w:rsidR="00461438">
        <w:t xml:space="preserve">reported by the European Union </w:t>
      </w:r>
      <w:r w:rsidR="00003913">
        <w:t xml:space="preserve">and is available </w:t>
      </w:r>
      <w:hyperlink r:id="rId12" w:history="1">
        <w:r w:rsidR="00003913" w:rsidRPr="008534C1">
          <w:rPr>
            <w:rStyle w:val="Hyperlink"/>
          </w:rPr>
          <w:t>online</w:t>
        </w:r>
      </w:hyperlink>
      <w:r w:rsidR="00F9202D">
        <w:t>.</w:t>
      </w:r>
    </w:p>
    <w:p w14:paraId="74446157" w14:textId="77777777" w:rsidR="00461438" w:rsidRDefault="00461438" w:rsidP="001F1740"/>
    <w:p w14:paraId="7E43C9CE" w14:textId="1604E9D2" w:rsidR="00FA5FE2" w:rsidRPr="00F862AE" w:rsidRDefault="00F9202D" w:rsidP="001F1740">
      <w:r>
        <w:fldChar w:fldCharType="begin"/>
      </w:r>
      <w:r>
        <w:instrText xml:space="preserve"> AUTONUM  </w:instrText>
      </w:r>
      <w:r>
        <w:fldChar w:fldCharType="end"/>
      </w:r>
      <w:r>
        <w:tab/>
      </w:r>
      <w:r w:rsidR="00FA2B4C">
        <w:t>Discussions on molecular markers at</w:t>
      </w:r>
      <w:r w:rsidR="005D1C40">
        <w:t xml:space="preserve"> the Technical Working Parties </w:t>
      </w:r>
      <w:r w:rsidR="00245273">
        <w:t xml:space="preserve">that </w:t>
      </w:r>
      <w:r w:rsidR="00FA2B4C">
        <w:t>took</w:t>
      </w:r>
      <w:r w:rsidR="00BB3FBC">
        <w:t xml:space="preserve"> place </w:t>
      </w:r>
      <w:r w:rsidR="00D16288">
        <w:t xml:space="preserve">since the </w:t>
      </w:r>
      <w:r w:rsidR="00245273">
        <w:t xml:space="preserve">2024 </w:t>
      </w:r>
      <w:r w:rsidR="002D2D96">
        <w:t>UPOV sessions</w:t>
      </w:r>
      <w:r w:rsidR="00245273">
        <w:t xml:space="preserve"> are </w:t>
      </w:r>
      <w:r w:rsidR="005D1C40">
        <w:t>reported for information purposes</w:t>
      </w:r>
      <w:r w:rsidR="00FA2B4C">
        <w:t xml:space="preserve">. </w:t>
      </w:r>
    </w:p>
    <w:p w14:paraId="2FABB6BA" w14:textId="77777777" w:rsidR="00DF29B7" w:rsidRPr="00F07B06" w:rsidRDefault="00DF29B7" w:rsidP="00EF4B00">
      <w:pPr>
        <w:tabs>
          <w:tab w:val="left" w:pos="567"/>
          <w:tab w:val="left" w:pos="1134"/>
          <w:tab w:val="left" w:pos="5387"/>
          <w:tab w:val="left" w:pos="5954"/>
        </w:tabs>
      </w:pPr>
    </w:p>
    <w:p w14:paraId="4C3FC292" w14:textId="77777777" w:rsidR="00EF4B00" w:rsidRPr="00F07B06" w:rsidRDefault="00EF4B00" w:rsidP="00EF4B00">
      <w:r w:rsidRPr="00F07B06">
        <w:fldChar w:fldCharType="begin"/>
      </w:r>
      <w:r w:rsidRPr="00F07B06">
        <w:instrText xml:space="preserve"> AUTONUM  </w:instrText>
      </w:r>
      <w:r w:rsidRPr="00F07B06">
        <w:fldChar w:fldCharType="end"/>
      </w:r>
      <w:r w:rsidRPr="00F07B06">
        <w:tab/>
        <w:t>The following abbreviations are used in this document:</w:t>
      </w:r>
    </w:p>
    <w:p w14:paraId="4518430A" w14:textId="77777777" w:rsidR="00EF4B00" w:rsidRPr="00F07B06" w:rsidRDefault="00EF4B00" w:rsidP="00EF4B00"/>
    <w:p w14:paraId="37BB5BDF" w14:textId="77777777" w:rsidR="00EF4B00" w:rsidRPr="00F07B06" w:rsidRDefault="00EF4B00" w:rsidP="00EF4B00">
      <w:pPr>
        <w:keepNext/>
        <w:tabs>
          <w:tab w:val="left" w:pos="567"/>
        </w:tabs>
        <w:ind w:left="1701" w:hanging="1134"/>
        <w:rPr>
          <w:sz w:val="18"/>
        </w:rPr>
      </w:pPr>
      <w:r w:rsidRPr="00F07B06">
        <w:rPr>
          <w:sz w:val="18"/>
        </w:rPr>
        <w:t xml:space="preserve">CAJ: </w:t>
      </w:r>
      <w:r w:rsidRPr="00F07B06">
        <w:rPr>
          <w:sz w:val="18"/>
        </w:rPr>
        <w:tab/>
        <w:t xml:space="preserve">Administrative and Legal Committee  </w:t>
      </w:r>
    </w:p>
    <w:p w14:paraId="29C04252" w14:textId="77777777" w:rsidR="00EF4B00" w:rsidRPr="00F07B06" w:rsidRDefault="00EF4B00" w:rsidP="00EF4B00">
      <w:pPr>
        <w:ind w:left="1701" w:hanging="1134"/>
        <w:rPr>
          <w:rFonts w:cs="Arial"/>
          <w:snapToGrid w:val="0"/>
          <w:sz w:val="18"/>
          <w:szCs w:val="24"/>
          <w:lang w:eastAsia="ja-JP"/>
        </w:rPr>
      </w:pPr>
      <w:r w:rsidRPr="00F07B06">
        <w:rPr>
          <w:rFonts w:eastAsia="PMingLiU" w:cs="Arial"/>
          <w:snapToGrid w:val="0"/>
          <w:sz w:val="18"/>
          <w:szCs w:val="24"/>
          <w:lang w:eastAsia="fr-FR"/>
        </w:rPr>
        <w:t xml:space="preserve">ISTA: </w:t>
      </w:r>
      <w:r w:rsidRPr="00F07B06">
        <w:rPr>
          <w:rFonts w:eastAsia="PMingLiU" w:cs="Arial"/>
          <w:snapToGrid w:val="0"/>
          <w:sz w:val="18"/>
          <w:szCs w:val="24"/>
          <w:lang w:eastAsia="fr-FR"/>
        </w:rPr>
        <w:tab/>
        <w:t>International Seed Testing Association</w:t>
      </w:r>
    </w:p>
    <w:p w14:paraId="4FBD0221" w14:textId="77777777" w:rsidR="00EF4B00" w:rsidRPr="00F07B06" w:rsidRDefault="00EF4B00" w:rsidP="00EF4B00">
      <w:pPr>
        <w:ind w:left="1701" w:hanging="1134"/>
        <w:rPr>
          <w:rFonts w:eastAsia="PMingLiU" w:cs="Arial"/>
          <w:snapToGrid w:val="0"/>
          <w:sz w:val="18"/>
          <w:szCs w:val="24"/>
        </w:rPr>
      </w:pPr>
      <w:r w:rsidRPr="00F07B06">
        <w:rPr>
          <w:rFonts w:eastAsia="PMingLiU" w:cs="Arial"/>
          <w:sz w:val="18"/>
          <w:szCs w:val="24"/>
        </w:rPr>
        <w:t>OECD:</w:t>
      </w:r>
      <w:r w:rsidRPr="00F07B06">
        <w:rPr>
          <w:rFonts w:eastAsia="PMingLiU" w:cs="Arial"/>
          <w:sz w:val="18"/>
          <w:szCs w:val="24"/>
        </w:rPr>
        <w:tab/>
      </w:r>
      <w:r w:rsidRPr="00F07B06">
        <w:rPr>
          <w:rFonts w:eastAsia="PMingLiU" w:cs="Arial"/>
          <w:snapToGrid w:val="0"/>
          <w:sz w:val="18"/>
          <w:szCs w:val="24"/>
        </w:rPr>
        <w:t>Organization for Economic Co-operation and Development</w:t>
      </w:r>
    </w:p>
    <w:p w14:paraId="21078AA0" w14:textId="77777777" w:rsidR="00EF4B00" w:rsidRPr="00F07B06" w:rsidRDefault="00EF4B00" w:rsidP="00EF4B00">
      <w:pPr>
        <w:keepNext/>
        <w:tabs>
          <w:tab w:val="left" w:pos="567"/>
        </w:tabs>
        <w:ind w:left="1701" w:hanging="1134"/>
        <w:rPr>
          <w:sz w:val="18"/>
        </w:rPr>
      </w:pPr>
      <w:r w:rsidRPr="00F07B06">
        <w:rPr>
          <w:sz w:val="18"/>
        </w:rPr>
        <w:t>TC:</w:t>
      </w:r>
      <w:r w:rsidRPr="00F07B06">
        <w:rPr>
          <w:sz w:val="18"/>
        </w:rPr>
        <w:tab/>
        <w:t>Technical Committee</w:t>
      </w:r>
    </w:p>
    <w:p w14:paraId="395DDF69" w14:textId="77777777" w:rsidR="00EF4B00" w:rsidRPr="00F07B06" w:rsidRDefault="00EF4B00" w:rsidP="00EF4B00">
      <w:pPr>
        <w:ind w:left="1701" w:hanging="1134"/>
        <w:rPr>
          <w:rFonts w:eastAsia="PMingLiU" w:cs="Arial"/>
          <w:sz w:val="18"/>
          <w:szCs w:val="24"/>
        </w:rPr>
      </w:pPr>
      <w:r w:rsidRPr="00F07B06">
        <w:rPr>
          <w:rFonts w:eastAsia="PMingLiU" w:cs="Arial"/>
          <w:sz w:val="18"/>
          <w:szCs w:val="24"/>
        </w:rPr>
        <w:t>TWA:</w:t>
      </w:r>
      <w:r w:rsidRPr="00F07B06">
        <w:rPr>
          <w:rFonts w:eastAsia="PMingLiU" w:cs="Arial"/>
          <w:sz w:val="18"/>
          <w:szCs w:val="24"/>
        </w:rPr>
        <w:tab/>
        <w:t>Technical Working Party for Agricultural Crops</w:t>
      </w:r>
    </w:p>
    <w:p w14:paraId="61509D54" w14:textId="77777777" w:rsidR="00EF4B00" w:rsidRPr="00F07B06" w:rsidRDefault="00EF4B00" w:rsidP="00EF4B00">
      <w:pPr>
        <w:ind w:left="1701" w:hanging="1134"/>
        <w:rPr>
          <w:rFonts w:eastAsia="PMingLiU" w:cs="Arial"/>
          <w:sz w:val="18"/>
          <w:szCs w:val="24"/>
        </w:rPr>
      </w:pPr>
      <w:r w:rsidRPr="00F07B06">
        <w:rPr>
          <w:rFonts w:eastAsia="PMingLiU" w:cs="Arial"/>
          <w:sz w:val="18"/>
          <w:szCs w:val="24"/>
        </w:rPr>
        <w:t>TWF:</w:t>
      </w:r>
      <w:r w:rsidRPr="00F07B06">
        <w:rPr>
          <w:rFonts w:eastAsia="PMingLiU" w:cs="Arial"/>
          <w:sz w:val="18"/>
          <w:szCs w:val="24"/>
        </w:rPr>
        <w:tab/>
        <w:t>Technical Working Party on Fruit Crops</w:t>
      </w:r>
    </w:p>
    <w:p w14:paraId="6CB085B7" w14:textId="77777777" w:rsidR="00EF4B00" w:rsidRPr="00F07B06" w:rsidRDefault="00EF4B00" w:rsidP="00EF4B00">
      <w:pPr>
        <w:ind w:left="1701" w:hanging="1134"/>
        <w:rPr>
          <w:rFonts w:eastAsia="PMingLiU" w:cs="Arial"/>
          <w:sz w:val="18"/>
          <w:szCs w:val="24"/>
        </w:rPr>
      </w:pPr>
      <w:r w:rsidRPr="00F07B06">
        <w:rPr>
          <w:rFonts w:eastAsia="PMingLiU" w:cs="Arial"/>
          <w:sz w:val="18"/>
          <w:szCs w:val="24"/>
        </w:rPr>
        <w:t>TWM:</w:t>
      </w:r>
      <w:r w:rsidRPr="00F07B06">
        <w:rPr>
          <w:rFonts w:eastAsia="PMingLiU" w:cs="Arial"/>
          <w:sz w:val="18"/>
          <w:szCs w:val="24"/>
        </w:rPr>
        <w:tab/>
        <w:t>Technical Working Party on Testing Methods and Techniques</w:t>
      </w:r>
    </w:p>
    <w:p w14:paraId="4B06B464" w14:textId="77777777" w:rsidR="00EF4B00" w:rsidRPr="00F07B06" w:rsidRDefault="00EF4B00" w:rsidP="00EF4B00">
      <w:pPr>
        <w:ind w:left="1701" w:hanging="1134"/>
        <w:rPr>
          <w:rFonts w:eastAsia="PMingLiU" w:cs="Arial"/>
          <w:sz w:val="18"/>
          <w:szCs w:val="24"/>
        </w:rPr>
      </w:pPr>
      <w:r w:rsidRPr="00F07B06">
        <w:rPr>
          <w:rFonts w:eastAsia="PMingLiU" w:cs="Arial"/>
          <w:sz w:val="18"/>
          <w:szCs w:val="24"/>
        </w:rPr>
        <w:t>TWO:</w:t>
      </w:r>
      <w:r w:rsidRPr="00F07B06">
        <w:rPr>
          <w:rFonts w:eastAsia="PMingLiU" w:cs="Arial"/>
          <w:sz w:val="18"/>
          <w:szCs w:val="24"/>
        </w:rPr>
        <w:tab/>
        <w:t>Technical Working Party on Ornamental Plants and Forest Trees</w:t>
      </w:r>
    </w:p>
    <w:p w14:paraId="5B43445B" w14:textId="77777777" w:rsidR="00EF4B00" w:rsidRPr="00F07B06" w:rsidRDefault="00EF4B00" w:rsidP="00EF4B00">
      <w:pPr>
        <w:ind w:left="1701" w:hanging="1134"/>
        <w:rPr>
          <w:rFonts w:eastAsia="PMingLiU" w:cs="Arial"/>
          <w:sz w:val="18"/>
          <w:szCs w:val="24"/>
        </w:rPr>
      </w:pPr>
      <w:r w:rsidRPr="00F07B06">
        <w:rPr>
          <w:rFonts w:eastAsia="PMingLiU" w:cs="Arial"/>
          <w:sz w:val="18"/>
          <w:szCs w:val="24"/>
        </w:rPr>
        <w:t>TWPs:</w:t>
      </w:r>
      <w:r w:rsidRPr="00F07B06">
        <w:rPr>
          <w:rFonts w:eastAsia="PMingLiU" w:cs="Arial"/>
          <w:sz w:val="18"/>
          <w:szCs w:val="24"/>
        </w:rPr>
        <w:tab/>
        <w:t>Technical Working Parties</w:t>
      </w:r>
    </w:p>
    <w:p w14:paraId="3EA243B4" w14:textId="77777777" w:rsidR="00EF4B00" w:rsidRPr="00F07B06" w:rsidRDefault="00EF4B00" w:rsidP="00EF4B00">
      <w:pPr>
        <w:ind w:left="1701" w:hanging="1134"/>
        <w:rPr>
          <w:rFonts w:eastAsia="PMingLiU" w:cs="Arial"/>
          <w:sz w:val="18"/>
          <w:szCs w:val="24"/>
        </w:rPr>
      </w:pPr>
      <w:r w:rsidRPr="00F07B06">
        <w:rPr>
          <w:rFonts w:eastAsia="PMingLiU" w:cs="Arial"/>
          <w:sz w:val="18"/>
          <w:szCs w:val="24"/>
        </w:rPr>
        <w:t>TWV:</w:t>
      </w:r>
      <w:r w:rsidRPr="00F07B06">
        <w:rPr>
          <w:rFonts w:eastAsia="PMingLiU" w:cs="Arial"/>
          <w:sz w:val="18"/>
          <w:szCs w:val="24"/>
        </w:rPr>
        <w:tab/>
        <w:t>Technical Working Party for Vegetables</w:t>
      </w:r>
    </w:p>
    <w:p w14:paraId="720C38C3" w14:textId="77777777" w:rsidR="00EF4B00" w:rsidRPr="00F07B06" w:rsidRDefault="00EF4B00" w:rsidP="00EF4B00">
      <w:pPr>
        <w:jc w:val="left"/>
        <w:rPr>
          <w:rFonts w:cs="Arial"/>
          <w:snapToGrid w:val="0"/>
          <w:sz w:val="18"/>
          <w:szCs w:val="24"/>
          <w:lang w:eastAsia="ja-JP"/>
        </w:rPr>
      </w:pPr>
    </w:p>
    <w:p w14:paraId="3A272079" w14:textId="77777777" w:rsidR="00BF7C58" w:rsidRDefault="00BF7C58">
      <w:pPr>
        <w:jc w:val="left"/>
      </w:pPr>
      <w:r>
        <w:br w:type="page"/>
      </w:r>
    </w:p>
    <w:p w14:paraId="59EA9204" w14:textId="134ADDAE" w:rsidR="00EF4B00" w:rsidRPr="00F07B06" w:rsidRDefault="00EF4B00" w:rsidP="00943F68">
      <w:pPr>
        <w:keepNext/>
      </w:pPr>
      <w:r w:rsidRPr="00F07B06">
        <w:lastRenderedPageBreak/>
        <w:fldChar w:fldCharType="begin"/>
      </w:r>
      <w:r w:rsidRPr="00F07B06">
        <w:instrText xml:space="preserve"> AUTONUM  </w:instrText>
      </w:r>
      <w:r w:rsidRPr="00F07B06">
        <w:fldChar w:fldCharType="end"/>
      </w:r>
      <w:r w:rsidRPr="00F07B06">
        <w:tab/>
        <w:t>The structure of this document is as follows:</w:t>
      </w:r>
    </w:p>
    <w:p w14:paraId="16F082FD" w14:textId="77777777" w:rsidR="00EF4B00" w:rsidRPr="00F07B06" w:rsidRDefault="00EF4B00" w:rsidP="00943F68">
      <w:pPr>
        <w:keepNext/>
        <w:rPr>
          <w:rFonts w:cs="Arial"/>
          <w:caps/>
          <w:szCs w:val="18"/>
        </w:rPr>
      </w:pPr>
    </w:p>
    <w:p w14:paraId="41354B84" w14:textId="563956AF" w:rsidR="00733A63" w:rsidRDefault="00047CF1" w:rsidP="00C211B0">
      <w:pPr>
        <w:pStyle w:val="TOC1"/>
        <w:rPr>
          <w:rFonts w:asciiTheme="minorHAnsi" w:hAnsiTheme="minorHAnsi" w:cstheme="minorBidi"/>
          <w:noProof/>
          <w:kern w:val="2"/>
          <w:sz w:val="24"/>
          <w:szCs w:val="24"/>
          <w:lang w:val="en-GB" w:eastAsia="en-GB"/>
          <w14:ligatures w14:val="standardContextual"/>
        </w:rPr>
      </w:pPr>
      <w:r>
        <w:rPr>
          <w:rFonts w:cs="Arial"/>
          <w:bCs/>
          <w:szCs w:val="18"/>
        </w:rPr>
        <w:fldChar w:fldCharType="begin"/>
      </w:r>
      <w:r>
        <w:rPr>
          <w:rFonts w:cs="Arial"/>
          <w:bCs/>
          <w:szCs w:val="18"/>
        </w:rPr>
        <w:instrText xml:space="preserve"> TOC \t "Heading 1,1,Heading 2,2,Heading 3,3" </w:instrText>
      </w:r>
      <w:r>
        <w:rPr>
          <w:rFonts w:cs="Arial"/>
          <w:bCs/>
          <w:szCs w:val="18"/>
        </w:rPr>
        <w:fldChar w:fldCharType="separate"/>
      </w:r>
      <w:r w:rsidR="00733A63">
        <w:rPr>
          <w:noProof/>
        </w:rPr>
        <w:t>Guidelines for the validation of a new characteristic-specific molecular marker protocol as an alternative method for observation</w:t>
      </w:r>
      <w:r w:rsidR="00733A63">
        <w:rPr>
          <w:noProof/>
        </w:rPr>
        <w:tab/>
      </w:r>
      <w:r w:rsidR="00733A63">
        <w:rPr>
          <w:noProof/>
        </w:rPr>
        <w:fldChar w:fldCharType="begin"/>
      </w:r>
      <w:r w:rsidR="00733A63">
        <w:rPr>
          <w:noProof/>
        </w:rPr>
        <w:instrText xml:space="preserve"> PAGEREF _Toc210139277 \h </w:instrText>
      </w:r>
      <w:r w:rsidR="00733A63">
        <w:rPr>
          <w:noProof/>
        </w:rPr>
      </w:r>
      <w:r w:rsidR="00733A63">
        <w:rPr>
          <w:noProof/>
        </w:rPr>
        <w:fldChar w:fldCharType="separate"/>
      </w:r>
      <w:r w:rsidR="00733A63">
        <w:rPr>
          <w:noProof/>
        </w:rPr>
        <w:t>3</w:t>
      </w:r>
      <w:r w:rsidR="00733A63">
        <w:rPr>
          <w:noProof/>
        </w:rPr>
        <w:fldChar w:fldCharType="end"/>
      </w:r>
    </w:p>
    <w:p w14:paraId="349EDD59" w14:textId="7929E414"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Background</w:t>
      </w:r>
      <w:r>
        <w:rPr>
          <w:noProof/>
        </w:rPr>
        <w:tab/>
      </w:r>
      <w:r>
        <w:rPr>
          <w:noProof/>
        </w:rPr>
        <w:fldChar w:fldCharType="begin"/>
      </w:r>
      <w:r>
        <w:rPr>
          <w:noProof/>
        </w:rPr>
        <w:instrText xml:space="preserve"> PAGEREF _Toc210139278 \h </w:instrText>
      </w:r>
      <w:r>
        <w:rPr>
          <w:noProof/>
        </w:rPr>
      </w:r>
      <w:r>
        <w:rPr>
          <w:noProof/>
        </w:rPr>
        <w:fldChar w:fldCharType="separate"/>
      </w:r>
      <w:r>
        <w:rPr>
          <w:noProof/>
        </w:rPr>
        <w:t>3</w:t>
      </w:r>
      <w:r>
        <w:rPr>
          <w:noProof/>
        </w:rPr>
        <w:fldChar w:fldCharType="end"/>
      </w:r>
    </w:p>
    <w:p w14:paraId="4D9E635E" w14:textId="79F8003C" w:rsidR="00733A63" w:rsidRDefault="00733A63">
      <w:pPr>
        <w:pStyle w:val="TOC2"/>
        <w:rPr>
          <w:rFonts w:asciiTheme="minorHAnsi" w:hAnsiTheme="minorHAnsi" w:cstheme="minorBidi"/>
          <w:noProof/>
          <w:kern w:val="2"/>
          <w:sz w:val="24"/>
          <w:szCs w:val="24"/>
          <w:lang w:val="en-GB" w:eastAsia="en-GB"/>
          <w14:ligatures w14:val="standardContextual"/>
        </w:rPr>
      </w:pPr>
      <w:r>
        <w:rPr>
          <w:noProof/>
          <w:lang w:eastAsia="ja-JP"/>
        </w:rPr>
        <w:t>Developments at the Technical Working Parties at their sessions in 2025</w:t>
      </w:r>
      <w:r>
        <w:rPr>
          <w:noProof/>
        </w:rPr>
        <w:tab/>
      </w:r>
      <w:r>
        <w:rPr>
          <w:noProof/>
        </w:rPr>
        <w:fldChar w:fldCharType="begin"/>
      </w:r>
      <w:r>
        <w:rPr>
          <w:noProof/>
        </w:rPr>
        <w:instrText xml:space="preserve"> PAGEREF _Toc210139279 \h </w:instrText>
      </w:r>
      <w:r>
        <w:rPr>
          <w:noProof/>
        </w:rPr>
      </w:r>
      <w:r>
        <w:rPr>
          <w:noProof/>
        </w:rPr>
        <w:fldChar w:fldCharType="separate"/>
      </w:r>
      <w:r>
        <w:rPr>
          <w:noProof/>
        </w:rPr>
        <w:t>3</w:t>
      </w:r>
      <w:r>
        <w:rPr>
          <w:noProof/>
        </w:rPr>
        <w:fldChar w:fldCharType="end"/>
      </w:r>
    </w:p>
    <w:p w14:paraId="5056E44A" w14:textId="11C3B455"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lang w:eastAsia="ja-JP"/>
        </w:rPr>
        <w:t>Validation of Characteristic-Specific Molecular Markers for Test Guidelines.</w:t>
      </w:r>
      <w:r>
        <w:rPr>
          <w:noProof/>
        </w:rPr>
        <w:tab/>
      </w:r>
      <w:r>
        <w:rPr>
          <w:noProof/>
        </w:rPr>
        <w:fldChar w:fldCharType="begin"/>
      </w:r>
      <w:r>
        <w:rPr>
          <w:noProof/>
        </w:rPr>
        <w:instrText xml:space="preserve"> PAGEREF _Toc210139280 \h </w:instrText>
      </w:r>
      <w:r>
        <w:rPr>
          <w:noProof/>
        </w:rPr>
      </w:r>
      <w:r>
        <w:rPr>
          <w:noProof/>
        </w:rPr>
        <w:fldChar w:fldCharType="separate"/>
      </w:r>
      <w:r>
        <w:rPr>
          <w:noProof/>
        </w:rPr>
        <w:t>3</w:t>
      </w:r>
      <w:r>
        <w:rPr>
          <w:noProof/>
        </w:rPr>
        <w:fldChar w:fldCharType="end"/>
      </w:r>
    </w:p>
    <w:p w14:paraId="3080CE3D" w14:textId="771C7ADA"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Trade Secret Molecular Markers</w:t>
      </w:r>
      <w:r>
        <w:rPr>
          <w:noProof/>
        </w:rPr>
        <w:tab/>
      </w:r>
      <w:r>
        <w:rPr>
          <w:noProof/>
        </w:rPr>
        <w:fldChar w:fldCharType="begin"/>
      </w:r>
      <w:r>
        <w:rPr>
          <w:noProof/>
        </w:rPr>
        <w:instrText xml:space="preserve"> PAGEREF _Toc210139281 \h </w:instrText>
      </w:r>
      <w:r>
        <w:rPr>
          <w:noProof/>
        </w:rPr>
      </w:r>
      <w:r>
        <w:rPr>
          <w:noProof/>
        </w:rPr>
        <w:fldChar w:fldCharType="separate"/>
      </w:r>
      <w:r>
        <w:rPr>
          <w:noProof/>
        </w:rPr>
        <w:t>4</w:t>
      </w:r>
      <w:r>
        <w:rPr>
          <w:noProof/>
        </w:rPr>
        <w:fldChar w:fldCharType="end"/>
      </w:r>
    </w:p>
    <w:p w14:paraId="5874CE74" w14:textId="5482D837" w:rsidR="00733A63" w:rsidRDefault="00733A63" w:rsidP="00733A63">
      <w:pPr>
        <w:pStyle w:val="TOC3"/>
        <w:rPr>
          <w:rFonts w:asciiTheme="minorHAnsi" w:hAnsiTheme="minorHAnsi" w:cstheme="minorBidi"/>
          <w:noProof/>
          <w:kern w:val="2"/>
          <w:sz w:val="24"/>
          <w:szCs w:val="24"/>
          <w:lang w:eastAsia="en-GB"/>
          <w14:ligatures w14:val="standardContextual"/>
        </w:rPr>
      </w:pPr>
      <w:r w:rsidRPr="006477F1">
        <w:rPr>
          <w:noProof/>
        </w:rPr>
        <w:t>Standard Protocol for Characteristic-Specific Molecular Marker in Test Guidelines</w:t>
      </w:r>
      <w:r>
        <w:rPr>
          <w:noProof/>
        </w:rPr>
        <w:tab/>
      </w:r>
      <w:r>
        <w:rPr>
          <w:noProof/>
        </w:rPr>
        <w:fldChar w:fldCharType="begin"/>
      </w:r>
      <w:r>
        <w:rPr>
          <w:noProof/>
        </w:rPr>
        <w:instrText xml:space="preserve"> PAGEREF _Toc210139282 \h </w:instrText>
      </w:r>
      <w:r>
        <w:rPr>
          <w:noProof/>
        </w:rPr>
      </w:r>
      <w:r>
        <w:rPr>
          <w:noProof/>
        </w:rPr>
        <w:fldChar w:fldCharType="separate"/>
      </w:r>
      <w:r>
        <w:rPr>
          <w:noProof/>
        </w:rPr>
        <w:t>4</w:t>
      </w:r>
      <w:r>
        <w:rPr>
          <w:noProof/>
        </w:rPr>
        <w:fldChar w:fldCharType="end"/>
      </w:r>
    </w:p>
    <w:p w14:paraId="14211F3F" w14:textId="31E8C0A4"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Characteristics Developed Using New Breeding Techniques</w:t>
      </w:r>
      <w:r>
        <w:rPr>
          <w:noProof/>
        </w:rPr>
        <w:tab/>
      </w:r>
      <w:r>
        <w:rPr>
          <w:noProof/>
        </w:rPr>
        <w:fldChar w:fldCharType="begin"/>
      </w:r>
      <w:r>
        <w:rPr>
          <w:noProof/>
        </w:rPr>
        <w:instrText xml:space="preserve"> PAGEREF _Toc210139283 \h </w:instrText>
      </w:r>
      <w:r>
        <w:rPr>
          <w:noProof/>
        </w:rPr>
      </w:r>
      <w:r>
        <w:rPr>
          <w:noProof/>
        </w:rPr>
        <w:fldChar w:fldCharType="separate"/>
      </w:r>
      <w:r>
        <w:rPr>
          <w:noProof/>
        </w:rPr>
        <w:t>4</w:t>
      </w:r>
      <w:r>
        <w:rPr>
          <w:noProof/>
        </w:rPr>
        <w:fldChar w:fldCharType="end"/>
      </w:r>
    </w:p>
    <w:p w14:paraId="55B864F7" w14:textId="484BB71B"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Pr</w:t>
      </w:r>
      <w:r>
        <w:rPr>
          <w:noProof/>
          <w:lang w:eastAsia="ja-JP"/>
        </w:rPr>
        <w:t>oposal</w:t>
      </w:r>
      <w:r>
        <w:rPr>
          <w:noProof/>
        </w:rPr>
        <w:tab/>
      </w:r>
      <w:r>
        <w:rPr>
          <w:noProof/>
        </w:rPr>
        <w:fldChar w:fldCharType="begin"/>
      </w:r>
      <w:r>
        <w:rPr>
          <w:noProof/>
        </w:rPr>
        <w:instrText xml:space="preserve"> PAGEREF _Toc210139284 \h </w:instrText>
      </w:r>
      <w:r>
        <w:rPr>
          <w:noProof/>
        </w:rPr>
      </w:r>
      <w:r>
        <w:rPr>
          <w:noProof/>
        </w:rPr>
        <w:fldChar w:fldCharType="separate"/>
      </w:r>
      <w:r>
        <w:rPr>
          <w:noProof/>
        </w:rPr>
        <w:t>4</w:t>
      </w:r>
      <w:r>
        <w:rPr>
          <w:noProof/>
        </w:rPr>
        <w:fldChar w:fldCharType="end"/>
      </w:r>
    </w:p>
    <w:p w14:paraId="1E063099" w14:textId="27DF8EEE" w:rsidR="00733A63" w:rsidRDefault="00733A63" w:rsidP="00C211B0">
      <w:pPr>
        <w:pStyle w:val="TOC1"/>
        <w:rPr>
          <w:rFonts w:asciiTheme="minorHAnsi" w:hAnsiTheme="minorHAnsi" w:cstheme="minorBidi"/>
          <w:noProof/>
          <w:kern w:val="2"/>
          <w:sz w:val="24"/>
          <w:szCs w:val="24"/>
          <w:lang w:val="en-GB" w:eastAsia="en-GB"/>
          <w14:ligatures w14:val="standardContextual"/>
        </w:rPr>
      </w:pPr>
      <w:r>
        <w:rPr>
          <w:noProof/>
        </w:rPr>
        <w:t>Confidentiality and Ownership of Molecular Information</w:t>
      </w:r>
      <w:r>
        <w:rPr>
          <w:noProof/>
        </w:rPr>
        <w:tab/>
      </w:r>
      <w:r>
        <w:rPr>
          <w:noProof/>
        </w:rPr>
        <w:fldChar w:fldCharType="begin"/>
      </w:r>
      <w:r>
        <w:rPr>
          <w:noProof/>
        </w:rPr>
        <w:instrText xml:space="preserve"> PAGEREF _Toc210139285 \h </w:instrText>
      </w:r>
      <w:r>
        <w:rPr>
          <w:noProof/>
        </w:rPr>
      </w:r>
      <w:r>
        <w:rPr>
          <w:noProof/>
        </w:rPr>
        <w:fldChar w:fldCharType="separate"/>
      </w:r>
      <w:r>
        <w:rPr>
          <w:noProof/>
        </w:rPr>
        <w:t>4</w:t>
      </w:r>
      <w:r>
        <w:rPr>
          <w:noProof/>
        </w:rPr>
        <w:fldChar w:fldCharType="end"/>
      </w:r>
    </w:p>
    <w:p w14:paraId="6E832164" w14:textId="7AF7B5CA"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Background</w:t>
      </w:r>
      <w:r>
        <w:rPr>
          <w:noProof/>
        </w:rPr>
        <w:tab/>
      </w:r>
      <w:r>
        <w:rPr>
          <w:noProof/>
        </w:rPr>
        <w:fldChar w:fldCharType="begin"/>
      </w:r>
      <w:r>
        <w:rPr>
          <w:noProof/>
        </w:rPr>
        <w:instrText xml:space="preserve"> PAGEREF _Toc210139286 \h </w:instrText>
      </w:r>
      <w:r>
        <w:rPr>
          <w:noProof/>
        </w:rPr>
      </w:r>
      <w:r>
        <w:rPr>
          <w:noProof/>
        </w:rPr>
        <w:fldChar w:fldCharType="separate"/>
      </w:r>
      <w:r>
        <w:rPr>
          <w:noProof/>
        </w:rPr>
        <w:t>4</w:t>
      </w:r>
      <w:r>
        <w:rPr>
          <w:noProof/>
        </w:rPr>
        <w:fldChar w:fldCharType="end"/>
      </w:r>
    </w:p>
    <w:p w14:paraId="37A4E1EE" w14:textId="5CD02A7A"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Existing guidance</w:t>
      </w:r>
      <w:r>
        <w:rPr>
          <w:noProof/>
        </w:rPr>
        <w:tab/>
      </w:r>
      <w:r>
        <w:rPr>
          <w:noProof/>
        </w:rPr>
        <w:fldChar w:fldCharType="begin"/>
      </w:r>
      <w:r>
        <w:rPr>
          <w:noProof/>
        </w:rPr>
        <w:instrText xml:space="preserve"> PAGEREF _Toc210139287 \h </w:instrText>
      </w:r>
      <w:r>
        <w:rPr>
          <w:noProof/>
        </w:rPr>
      </w:r>
      <w:r>
        <w:rPr>
          <w:noProof/>
        </w:rPr>
        <w:fldChar w:fldCharType="separate"/>
      </w:r>
      <w:r>
        <w:rPr>
          <w:noProof/>
        </w:rPr>
        <w:t>5</w:t>
      </w:r>
      <w:r>
        <w:rPr>
          <w:noProof/>
        </w:rPr>
        <w:fldChar w:fldCharType="end"/>
      </w:r>
    </w:p>
    <w:p w14:paraId="4B7C30D1" w14:textId="7D5C36F6" w:rsidR="00733A63" w:rsidRDefault="00733A63">
      <w:pPr>
        <w:pStyle w:val="TOC2"/>
        <w:rPr>
          <w:rFonts w:asciiTheme="minorHAnsi" w:hAnsiTheme="minorHAnsi" w:cstheme="minorBidi"/>
          <w:noProof/>
          <w:kern w:val="2"/>
          <w:sz w:val="24"/>
          <w:szCs w:val="24"/>
          <w:lang w:val="en-GB" w:eastAsia="en-GB"/>
          <w14:ligatures w14:val="standardContextual"/>
        </w:rPr>
      </w:pPr>
      <w:r>
        <w:rPr>
          <w:noProof/>
          <w:lang w:eastAsia="ja-JP"/>
        </w:rPr>
        <w:t>Developments at the Technical Working Parties at their sessions in 2025</w:t>
      </w:r>
      <w:r>
        <w:rPr>
          <w:noProof/>
        </w:rPr>
        <w:tab/>
      </w:r>
      <w:r>
        <w:rPr>
          <w:noProof/>
        </w:rPr>
        <w:fldChar w:fldCharType="begin"/>
      </w:r>
      <w:r>
        <w:rPr>
          <w:noProof/>
        </w:rPr>
        <w:instrText xml:space="preserve"> PAGEREF _Toc210139288 \h </w:instrText>
      </w:r>
      <w:r>
        <w:rPr>
          <w:noProof/>
        </w:rPr>
      </w:r>
      <w:r>
        <w:rPr>
          <w:noProof/>
        </w:rPr>
        <w:fldChar w:fldCharType="separate"/>
      </w:r>
      <w:r>
        <w:rPr>
          <w:noProof/>
        </w:rPr>
        <w:t>5</w:t>
      </w:r>
      <w:r>
        <w:rPr>
          <w:noProof/>
        </w:rPr>
        <w:fldChar w:fldCharType="end"/>
      </w:r>
    </w:p>
    <w:p w14:paraId="76699518" w14:textId="2F0D394E" w:rsidR="00733A63" w:rsidRDefault="00733A63" w:rsidP="00C211B0">
      <w:pPr>
        <w:pStyle w:val="TOC1"/>
        <w:rPr>
          <w:rFonts w:asciiTheme="minorHAnsi" w:hAnsiTheme="minorHAnsi" w:cstheme="minorBidi"/>
          <w:noProof/>
          <w:kern w:val="2"/>
          <w:sz w:val="24"/>
          <w:szCs w:val="24"/>
          <w:lang w:val="en-GB" w:eastAsia="en-GB"/>
          <w14:ligatures w14:val="standardContextual"/>
        </w:rPr>
      </w:pPr>
      <w:r w:rsidRPr="006477F1">
        <w:rPr>
          <w:noProof/>
          <w:snapToGrid w:val="0"/>
          <w:lang w:eastAsia="ja-JP"/>
        </w:rPr>
        <w:t>COOPERATION BETWEEN INTERNATIONAL ORGANIZATIONS</w:t>
      </w:r>
      <w:r>
        <w:rPr>
          <w:noProof/>
        </w:rPr>
        <w:tab/>
      </w:r>
      <w:r>
        <w:rPr>
          <w:noProof/>
        </w:rPr>
        <w:fldChar w:fldCharType="begin"/>
      </w:r>
      <w:r>
        <w:rPr>
          <w:noProof/>
        </w:rPr>
        <w:instrText xml:space="preserve"> PAGEREF _Toc210139289 \h </w:instrText>
      </w:r>
      <w:r>
        <w:rPr>
          <w:noProof/>
        </w:rPr>
      </w:r>
      <w:r>
        <w:rPr>
          <w:noProof/>
        </w:rPr>
        <w:fldChar w:fldCharType="separate"/>
      </w:r>
      <w:r>
        <w:rPr>
          <w:noProof/>
        </w:rPr>
        <w:t>6</w:t>
      </w:r>
      <w:r>
        <w:rPr>
          <w:noProof/>
        </w:rPr>
        <w:fldChar w:fldCharType="end"/>
      </w:r>
    </w:p>
    <w:p w14:paraId="4B89AB62" w14:textId="52F912A1"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Background</w:t>
      </w:r>
      <w:r>
        <w:rPr>
          <w:noProof/>
        </w:rPr>
        <w:tab/>
      </w:r>
      <w:r>
        <w:rPr>
          <w:noProof/>
        </w:rPr>
        <w:fldChar w:fldCharType="begin"/>
      </w:r>
      <w:r>
        <w:rPr>
          <w:noProof/>
        </w:rPr>
        <w:instrText xml:space="preserve"> PAGEREF _Toc210139290 \h </w:instrText>
      </w:r>
      <w:r>
        <w:rPr>
          <w:noProof/>
        </w:rPr>
      </w:r>
      <w:r>
        <w:rPr>
          <w:noProof/>
        </w:rPr>
        <w:fldChar w:fldCharType="separate"/>
      </w:r>
      <w:r>
        <w:rPr>
          <w:noProof/>
        </w:rPr>
        <w:t>6</w:t>
      </w:r>
      <w:r>
        <w:rPr>
          <w:noProof/>
        </w:rPr>
        <w:fldChar w:fldCharType="end"/>
      </w:r>
    </w:p>
    <w:p w14:paraId="7B80BD91" w14:textId="6E519016"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Harmonizing terms, definitions and methods between UPOV, OECD and ISTA</w:t>
      </w:r>
      <w:r>
        <w:rPr>
          <w:noProof/>
        </w:rPr>
        <w:tab/>
      </w:r>
      <w:r>
        <w:rPr>
          <w:noProof/>
        </w:rPr>
        <w:fldChar w:fldCharType="begin"/>
      </w:r>
      <w:r>
        <w:rPr>
          <w:noProof/>
        </w:rPr>
        <w:instrText xml:space="preserve"> PAGEREF _Toc210139291 \h </w:instrText>
      </w:r>
      <w:r>
        <w:rPr>
          <w:noProof/>
        </w:rPr>
      </w:r>
      <w:r>
        <w:rPr>
          <w:noProof/>
        </w:rPr>
        <w:fldChar w:fldCharType="separate"/>
      </w:r>
      <w:r>
        <w:rPr>
          <w:noProof/>
        </w:rPr>
        <w:t>7</w:t>
      </w:r>
      <w:r>
        <w:rPr>
          <w:noProof/>
        </w:rPr>
        <w:fldChar w:fldCharType="end"/>
      </w:r>
    </w:p>
    <w:p w14:paraId="14F56441" w14:textId="1CF04689" w:rsidR="00733A63" w:rsidRDefault="00733A63">
      <w:pPr>
        <w:pStyle w:val="TOC2"/>
        <w:rPr>
          <w:rFonts w:asciiTheme="minorHAnsi" w:hAnsiTheme="minorHAnsi" w:cstheme="minorBidi"/>
          <w:noProof/>
          <w:kern w:val="2"/>
          <w:sz w:val="24"/>
          <w:szCs w:val="24"/>
          <w:lang w:val="en-GB" w:eastAsia="en-GB"/>
          <w14:ligatures w14:val="standardContextual"/>
        </w:rPr>
      </w:pPr>
      <w:r w:rsidRPr="006477F1">
        <w:rPr>
          <w:noProof/>
          <w:snapToGrid w:val="0"/>
        </w:rPr>
        <w:t>Updating the list of molecular makers used per crop</w:t>
      </w:r>
      <w:r>
        <w:rPr>
          <w:noProof/>
        </w:rPr>
        <w:tab/>
      </w:r>
      <w:r>
        <w:rPr>
          <w:noProof/>
        </w:rPr>
        <w:fldChar w:fldCharType="begin"/>
      </w:r>
      <w:r>
        <w:rPr>
          <w:noProof/>
        </w:rPr>
        <w:instrText xml:space="preserve"> PAGEREF _Toc210139292 \h </w:instrText>
      </w:r>
      <w:r>
        <w:rPr>
          <w:noProof/>
        </w:rPr>
      </w:r>
      <w:r>
        <w:rPr>
          <w:noProof/>
        </w:rPr>
        <w:fldChar w:fldCharType="separate"/>
      </w:r>
      <w:r>
        <w:rPr>
          <w:noProof/>
        </w:rPr>
        <w:t>7</w:t>
      </w:r>
      <w:r>
        <w:rPr>
          <w:noProof/>
        </w:rPr>
        <w:fldChar w:fldCharType="end"/>
      </w:r>
    </w:p>
    <w:p w14:paraId="2513DFC4" w14:textId="3F3C19A6"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Common sets of molecular markers for variety identification</w:t>
      </w:r>
      <w:r>
        <w:rPr>
          <w:noProof/>
        </w:rPr>
        <w:tab/>
      </w:r>
      <w:r>
        <w:rPr>
          <w:noProof/>
        </w:rPr>
        <w:fldChar w:fldCharType="begin"/>
      </w:r>
      <w:r>
        <w:rPr>
          <w:noProof/>
        </w:rPr>
        <w:instrText xml:space="preserve"> PAGEREF _Toc210139293 \h </w:instrText>
      </w:r>
      <w:r>
        <w:rPr>
          <w:noProof/>
        </w:rPr>
      </w:r>
      <w:r>
        <w:rPr>
          <w:noProof/>
        </w:rPr>
        <w:fldChar w:fldCharType="separate"/>
      </w:r>
      <w:r>
        <w:rPr>
          <w:noProof/>
        </w:rPr>
        <w:t>7</w:t>
      </w:r>
      <w:r>
        <w:rPr>
          <w:noProof/>
        </w:rPr>
        <w:fldChar w:fldCharType="end"/>
      </w:r>
    </w:p>
    <w:p w14:paraId="067C26FE" w14:textId="3C2FF9D0"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lang w:eastAsia="ja-JP"/>
        </w:rPr>
        <w:t>Horizon scanning</w:t>
      </w:r>
      <w:r>
        <w:rPr>
          <w:noProof/>
        </w:rPr>
        <w:tab/>
      </w:r>
      <w:r>
        <w:rPr>
          <w:noProof/>
        </w:rPr>
        <w:fldChar w:fldCharType="begin"/>
      </w:r>
      <w:r>
        <w:rPr>
          <w:noProof/>
        </w:rPr>
        <w:instrText xml:space="preserve"> PAGEREF _Toc210139294 \h </w:instrText>
      </w:r>
      <w:r>
        <w:rPr>
          <w:noProof/>
        </w:rPr>
      </w:r>
      <w:r>
        <w:rPr>
          <w:noProof/>
        </w:rPr>
        <w:fldChar w:fldCharType="separate"/>
      </w:r>
      <w:r>
        <w:rPr>
          <w:noProof/>
        </w:rPr>
        <w:t>7</w:t>
      </w:r>
      <w:r>
        <w:rPr>
          <w:noProof/>
        </w:rPr>
        <w:fldChar w:fldCharType="end"/>
      </w:r>
    </w:p>
    <w:p w14:paraId="63F08802" w14:textId="769C8FFC"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Developments at the Technical Working Party on Testing Methods and Techniques</w:t>
      </w:r>
      <w:r>
        <w:rPr>
          <w:noProof/>
        </w:rPr>
        <w:tab/>
      </w:r>
      <w:r>
        <w:rPr>
          <w:noProof/>
        </w:rPr>
        <w:fldChar w:fldCharType="begin"/>
      </w:r>
      <w:r>
        <w:rPr>
          <w:noProof/>
        </w:rPr>
        <w:instrText xml:space="preserve"> PAGEREF _Toc210139295 \h </w:instrText>
      </w:r>
      <w:r>
        <w:rPr>
          <w:noProof/>
        </w:rPr>
      </w:r>
      <w:r>
        <w:rPr>
          <w:noProof/>
        </w:rPr>
        <w:fldChar w:fldCharType="separate"/>
      </w:r>
      <w:r>
        <w:rPr>
          <w:noProof/>
        </w:rPr>
        <w:t>7</w:t>
      </w:r>
      <w:r>
        <w:rPr>
          <w:noProof/>
        </w:rPr>
        <w:fldChar w:fldCharType="end"/>
      </w:r>
    </w:p>
    <w:p w14:paraId="1D9E953D" w14:textId="69A79C8D"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Information on the use of molecular techniques in each organization: possible joint meeting</w:t>
      </w:r>
      <w:r>
        <w:rPr>
          <w:noProof/>
        </w:rPr>
        <w:tab/>
      </w:r>
      <w:r>
        <w:rPr>
          <w:noProof/>
        </w:rPr>
        <w:fldChar w:fldCharType="begin"/>
      </w:r>
      <w:r>
        <w:rPr>
          <w:noProof/>
        </w:rPr>
        <w:instrText xml:space="preserve"> PAGEREF _Toc210139296 \h </w:instrText>
      </w:r>
      <w:r>
        <w:rPr>
          <w:noProof/>
        </w:rPr>
      </w:r>
      <w:r>
        <w:rPr>
          <w:noProof/>
        </w:rPr>
        <w:fldChar w:fldCharType="separate"/>
      </w:r>
      <w:r>
        <w:rPr>
          <w:noProof/>
        </w:rPr>
        <w:t>8</w:t>
      </w:r>
      <w:r>
        <w:rPr>
          <w:noProof/>
        </w:rPr>
        <w:fldChar w:fldCharType="end"/>
      </w:r>
    </w:p>
    <w:p w14:paraId="67CFF6D6" w14:textId="1BF579E1" w:rsidR="00733A63" w:rsidRDefault="00733A63" w:rsidP="00C211B0">
      <w:pPr>
        <w:pStyle w:val="TOC1"/>
        <w:rPr>
          <w:rFonts w:asciiTheme="minorHAnsi" w:hAnsiTheme="minorHAnsi" w:cstheme="minorBidi"/>
          <w:noProof/>
          <w:kern w:val="2"/>
          <w:sz w:val="24"/>
          <w:szCs w:val="24"/>
          <w:lang w:val="en-GB" w:eastAsia="en-GB"/>
          <w14:ligatures w14:val="standardContextual"/>
        </w:rPr>
      </w:pPr>
      <w:r w:rsidRPr="006477F1">
        <w:rPr>
          <w:noProof/>
          <w:snapToGrid w:val="0"/>
          <w:lang w:eastAsia="ja-JP"/>
        </w:rPr>
        <w:t>Matters for information</w:t>
      </w:r>
      <w:r>
        <w:rPr>
          <w:noProof/>
        </w:rPr>
        <w:tab/>
      </w:r>
      <w:r>
        <w:rPr>
          <w:noProof/>
        </w:rPr>
        <w:fldChar w:fldCharType="begin"/>
      </w:r>
      <w:r>
        <w:rPr>
          <w:noProof/>
        </w:rPr>
        <w:instrText xml:space="preserve"> PAGEREF _Toc210139297 \h </w:instrText>
      </w:r>
      <w:r>
        <w:rPr>
          <w:noProof/>
        </w:rPr>
      </w:r>
      <w:r>
        <w:rPr>
          <w:noProof/>
        </w:rPr>
        <w:fldChar w:fldCharType="separate"/>
      </w:r>
      <w:r>
        <w:rPr>
          <w:noProof/>
        </w:rPr>
        <w:t>8</w:t>
      </w:r>
      <w:r>
        <w:rPr>
          <w:noProof/>
        </w:rPr>
        <w:fldChar w:fldCharType="end"/>
      </w:r>
    </w:p>
    <w:p w14:paraId="303D59FE" w14:textId="55605E95"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Latest developments in molecular techniques and bioinformatics</w:t>
      </w:r>
      <w:r>
        <w:rPr>
          <w:noProof/>
        </w:rPr>
        <w:tab/>
      </w:r>
      <w:r>
        <w:rPr>
          <w:noProof/>
        </w:rPr>
        <w:fldChar w:fldCharType="begin"/>
      </w:r>
      <w:r>
        <w:rPr>
          <w:noProof/>
        </w:rPr>
        <w:instrText xml:space="preserve"> PAGEREF _Toc210139298 \h </w:instrText>
      </w:r>
      <w:r>
        <w:rPr>
          <w:noProof/>
        </w:rPr>
      </w:r>
      <w:r>
        <w:rPr>
          <w:noProof/>
        </w:rPr>
        <w:fldChar w:fldCharType="separate"/>
      </w:r>
      <w:r>
        <w:rPr>
          <w:noProof/>
        </w:rPr>
        <w:t>8</w:t>
      </w:r>
      <w:r>
        <w:rPr>
          <w:noProof/>
        </w:rPr>
        <w:fldChar w:fldCharType="end"/>
      </w:r>
    </w:p>
    <w:p w14:paraId="3CB22E7B" w14:textId="7E9D6F70"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Data science activities at Naktuinbouw towards genotyping and phenotyping: an update</w:t>
      </w:r>
      <w:r>
        <w:rPr>
          <w:noProof/>
        </w:rPr>
        <w:tab/>
      </w:r>
      <w:r>
        <w:rPr>
          <w:noProof/>
        </w:rPr>
        <w:fldChar w:fldCharType="begin"/>
      </w:r>
      <w:r>
        <w:rPr>
          <w:noProof/>
        </w:rPr>
        <w:instrText xml:space="preserve"> PAGEREF _Toc210139299 \h </w:instrText>
      </w:r>
      <w:r>
        <w:rPr>
          <w:noProof/>
        </w:rPr>
      </w:r>
      <w:r>
        <w:rPr>
          <w:noProof/>
        </w:rPr>
        <w:fldChar w:fldCharType="separate"/>
      </w:r>
      <w:r>
        <w:rPr>
          <w:noProof/>
        </w:rPr>
        <w:t>8</w:t>
      </w:r>
      <w:r>
        <w:rPr>
          <w:noProof/>
        </w:rPr>
        <w:fldChar w:fldCharType="end"/>
      </w:r>
    </w:p>
    <w:p w14:paraId="1AADE9EC" w14:textId="5376EBA6"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Cooperation between international organizations</w:t>
      </w:r>
      <w:r>
        <w:rPr>
          <w:noProof/>
        </w:rPr>
        <w:tab/>
      </w:r>
      <w:r>
        <w:rPr>
          <w:noProof/>
        </w:rPr>
        <w:fldChar w:fldCharType="begin"/>
      </w:r>
      <w:r>
        <w:rPr>
          <w:noProof/>
        </w:rPr>
        <w:instrText xml:space="preserve"> PAGEREF _Toc210139300 \h </w:instrText>
      </w:r>
      <w:r>
        <w:rPr>
          <w:noProof/>
        </w:rPr>
      </w:r>
      <w:r>
        <w:rPr>
          <w:noProof/>
        </w:rPr>
        <w:fldChar w:fldCharType="separate"/>
      </w:r>
      <w:r>
        <w:rPr>
          <w:noProof/>
        </w:rPr>
        <w:t>9</w:t>
      </w:r>
      <w:r>
        <w:rPr>
          <w:noProof/>
        </w:rPr>
        <w:fldChar w:fldCharType="end"/>
      </w:r>
    </w:p>
    <w:p w14:paraId="1CF3AFEB" w14:textId="392C7E87"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ISTA</w:t>
      </w:r>
      <w:r>
        <w:rPr>
          <w:noProof/>
        </w:rPr>
        <w:tab/>
      </w:r>
      <w:r>
        <w:rPr>
          <w:noProof/>
        </w:rPr>
        <w:fldChar w:fldCharType="begin"/>
      </w:r>
      <w:r>
        <w:rPr>
          <w:noProof/>
        </w:rPr>
        <w:instrText xml:space="preserve"> PAGEREF _Toc210139301 \h </w:instrText>
      </w:r>
      <w:r>
        <w:rPr>
          <w:noProof/>
        </w:rPr>
      </w:r>
      <w:r>
        <w:rPr>
          <w:noProof/>
        </w:rPr>
        <w:fldChar w:fldCharType="separate"/>
      </w:r>
      <w:r>
        <w:rPr>
          <w:noProof/>
        </w:rPr>
        <w:t>9</w:t>
      </w:r>
      <w:r>
        <w:rPr>
          <w:noProof/>
        </w:rPr>
        <w:fldChar w:fldCharType="end"/>
      </w:r>
    </w:p>
    <w:p w14:paraId="4BB09227" w14:textId="1FDA8DDC"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OECD</w:t>
      </w:r>
      <w:r>
        <w:rPr>
          <w:noProof/>
        </w:rPr>
        <w:tab/>
      </w:r>
      <w:r>
        <w:rPr>
          <w:noProof/>
        </w:rPr>
        <w:fldChar w:fldCharType="begin"/>
      </w:r>
      <w:r>
        <w:rPr>
          <w:noProof/>
        </w:rPr>
        <w:instrText xml:space="preserve"> PAGEREF _Toc210139302 \h </w:instrText>
      </w:r>
      <w:r>
        <w:rPr>
          <w:noProof/>
        </w:rPr>
      </w:r>
      <w:r>
        <w:rPr>
          <w:noProof/>
        </w:rPr>
        <w:fldChar w:fldCharType="separate"/>
      </w:r>
      <w:r>
        <w:rPr>
          <w:noProof/>
        </w:rPr>
        <w:t>9</w:t>
      </w:r>
      <w:r>
        <w:rPr>
          <w:noProof/>
        </w:rPr>
        <w:fldChar w:fldCharType="end"/>
      </w:r>
    </w:p>
    <w:p w14:paraId="4FE3BC75" w14:textId="5456513D"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Report of work on molecular techniques in relation to DUS examination</w:t>
      </w:r>
      <w:r>
        <w:rPr>
          <w:noProof/>
        </w:rPr>
        <w:tab/>
      </w:r>
      <w:r>
        <w:rPr>
          <w:noProof/>
        </w:rPr>
        <w:fldChar w:fldCharType="begin"/>
      </w:r>
      <w:r>
        <w:rPr>
          <w:noProof/>
        </w:rPr>
        <w:instrText xml:space="preserve"> PAGEREF _Toc210139303 \h </w:instrText>
      </w:r>
      <w:r>
        <w:rPr>
          <w:noProof/>
        </w:rPr>
      </w:r>
      <w:r>
        <w:rPr>
          <w:noProof/>
        </w:rPr>
        <w:fldChar w:fldCharType="separate"/>
      </w:r>
      <w:r>
        <w:rPr>
          <w:noProof/>
        </w:rPr>
        <w:t>9</w:t>
      </w:r>
      <w:r>
        <w:rPr>
          <w:noProof/>
        </w:rPr>
        <w:fldChar w:fldCharType="end"/>
      </w:r>
    </w:p>
    <w:p w14:paraId="6EC1A99F" w14:textId="192ACFD3"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Latest developments in characteristic-specific molecular markers at Naktuinbouw: a call for knowledge exchange</w:t>
      </w:r>
      <w:r>
        <w:rPr>
          <w:noProof/>
        </w:rPr>
        <w:tab/>
      </w:r>
      <w:r>
        <w:rPr>
          <w:noProof/>
        </w:rPr>
        <w:fldChar w:fldCharType="begin"/>
      </w:r>
      <w:r>
        <w:rPr>
          <w:noProof/>
        </w:rPr>
        <w:instrText xml:space="preserve"> PAGEREF _Toc210139304 \h </w:instrText>
      </w:r>
      <w:r>
        <w:rPr>
          <w:noProof/>
        </w:rPr>
      </w:r>
      <w:r>
        <w:rPr>
          <w:noProof/>
        </w:rPr>
        <w:fldChar w:fldCharType="separate"/>
      </w:r>
      <w:r>
        <w:rPr>
          <w:noProof/>
        </w:rPr>
        <w:t>9</w:t>
      </w:r>
      <w:r>
        <w:rPr>
          <w:noProof/>
        </w:rPr>
        <w:fldChar w:fldCharType="end"/>
      </w:r>
    </w:p>
    <w:p w14:paraId="16951FCA" w14:textId="60D1E61A"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The use of biomolecular technology in DUS testing - a case study on barley</w:t>
      </w:r>
      <w:r>
        <w:rPr>
          <w:noProof/>
        </w:rPr>
        <w:tab/>
      </w:r>
      <w:r>
        <w:rPr>
          <w:noProof/>
        </w:rPr>
        <w:fldChar w:fldCharType="begin"/>
      </w:r>
      <w:r>
        <w:rPr>
          <w:noProof/>
        </w:rPr>
        <w:instrText xml:space="preserve"> PAGEREF _Toc210139305 \h </w:instrText>
      </w:r>
      <w:r>
        <w:rPr>
          <w:noProof/>
        </w:rPr>
      </w:r>
      <w:r>
        <w:rPr>
          <w:noProof/>
        </w:rPr>
        <w:fldChar w:fldCharType="separate"/>
      </w:r>
      <w:r>
        <w:rPr>
          <w:noProof/>
        </w:rPr>
        <w:t>9</w:t>
      </w:r>
      <w:r>
        <w:rPr>
          <w:noProof/>
        </w:rPr>
        <w:fldChar w:fldCharType="end"/>
      </w:r>
    </w:p>
    <w:p w14:paraId="71F158EE" w14:textId="03F4663F"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Artificial Intelligence and molecular markers in soft fruit: a proof of concept</w:t>
      </w:r>
      <w:r>
        <w:rPr>
          <w:noProof/>
        </w:rPr>
        <w:tab/>
      </w:r>
      <w:r>
        <w:rPr>
          <w:noProof/>
        </w:rPr>
        <w:fldChar w:fldCharType="begin"/>
      </w:r>
      <w:r>
        <w:rPr>
          <w:noProof/>
        </w:rPr>
        <w:instrText xml:space="preserve"> PAGEREF _Toc210139306 \h </w:instrText>
      </w:r>
      <w:r>
        <w:rPr>
          <w:noProof/>
        </w:rPr>
      </w:r>
      <w:r>
        <w:rPr>
          <w:noProof/>
        </w:rPr>
        <w:fldChar w:fldCharType="separate"/>
      </w:r>
      <w:r>
        <w:rPr>
          <w:noProof/>
        </w:rPr>
        <w:t>9</w:t>
      </w:r>
      <w:r>
        <w:rPr>
          <w:noProof/>
        </w:rPr>
        <w:fldChar w:fldCharType="end"/>
      </w:r>
    </w:p>
    <w:p w14:paraId="52ED866A" w14:textId="5D4E86DF"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Can better understanding of the genetic architecture of wheat DUS characteristics help streamline the DUS processes?</w:t>
      </w:r>
      <w:r>
        <w:rPr>
          <w:noProof/>
        </w:rPr>
        <w:tab/>
      </w:r>
      <w:r>
        <w:rPr>
          <w:noProof/>
        </w:rPr>
        <w:fldChar w:fldCharType="begin"/>
      </w:r>
      <w:r>
        <w:rPr>
          <w:noProof/>
        </w:rPr>
        <w:instrText xml:space="preserve"> PAGEREF _Toc210139307 \h </w:instrText>
      </w:r>
      <w:r>
        <w:rPr>
          <w:noProof/>
        </w:rPr>
      </w:r>
      <w:r>
        <w:rPr>
          <w:noProof/>
        </w:rPr>
        <w:fldChar w:fldCharType="separate"/>
      </w:r>
      <w:r>
        <w:rPr>
          <w:noProof/>
        </w:rPr>
        <w:t>10</w:t>
      </w:r>
      <w:r>
        <w:rPr>
          <w:noProof/>
        </w:rPr>
        <w:fldChar w:fldCharType="end"/>
      </w:r>
    </w:p>
    <w:p w14:paraId="7D4A7655" w14:textId="130A746F"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Genomic prediction for variety collection management wheat</w:t>
      </w:r>
      <w:r>
        <w:rPr>
          <w:noProof/>
        </w:rPr>
        <w:tab/>
      </w:r>
      <w:r>
        <w:rPr>
          <w:noProof/>
        </w:rPr>
        <w:fldChar w:fldCharType="begin"/>
      </w:r>
      <w:r>
        <w:rPr>
          <w:noProof/>
        </w:rPr>
        <w:instrText xml:space="preserve"> PAGEREF _Toc210139308 \h </w:instrText>
      </w:r>
      <w:r>
        <w:rPr>
          <w:noProof/>
        </w:rPr>
      </w:r>
      <w:r>
        <w:rPr>
          <w:noProof/>
        </w:rPr>
        <w:fldChar w:fldCharType="separate"/>
      </w:r>
      <w:r>
        <w:rPr>
          <w:noProof/>
        </w:rPr>
        <w:t>10</w:t>
      </w:r>
      <w:r>
        <w:rPr>
          <w:noProof/>
        </w:rPr>
        <w:fldChar w:fldCharType="end"/>
      </w:r>
    </w:p>
    <w:p w14:paraId="2CAA9550" w14:textId="06D478F1"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COYD-GP enhanced distinctness criterion for cross-pollinated agricultural crops</w:t>
      </w:r>
      <w:r>
        <w:rPr>
          <w:noProof/>
        </w:rPr>
        <w:tab/>
      </w:r>
      <w:r>
        <w:rPr>
          <w:noProof/>
        </w:rPr>
        <w:fldChar w:fldCharType="begin"/>
      </w:r>
      <w:r>
        <w:rPr>
          <w:noProof/>
        </w:rPr>
        <w:instrText xml:space="preserve"> PAGEREF _Toc210139309 \h </w:instrText>
      </w:r>
      <w:r>
        <w:rPr>
          <w:noProof/>
        </w:rPr>
      </w:r>
      <w:r>
        <w:rPr>
          <w:noProof/>
        </w:rPr>
        <w:fldChar w:fldCharType="separate"/>
      </w:r>
      <w:r>
        <w:rPr>
          <w:noProof/>
        </w:rPr>
        <w:t>10</w:t>
      </w:r>
      <w:r>
        <w:rPr>
          <w:noProof/>
        </w:rPr>
        <w:fldChar w:fldCharType="end"/>
      </w:r>
    </w:p>
    <w:p w14:paraId="272EF069" w14:textId="7B42CE55"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Community Plant Variety Office (CPVO) R&amp;D activities</w:t>
      </w:r>
      <w:r>
        <w:rPr>
          <w:noProof/>
        </w:rPr>
        <w:tab/>
      </w:r>
      <w:r>
        <w:rPr>
          <w:noProof/>
        </w:rPr>
        <w:fldChar w:fldCharType="begin"/>
      </w:r>
      <w:r>
        <w:rPr>
          <w:noProof/>
        </w:rPr>
        <w:instrText xml:space="preserve"> PAGEREF _Toc210139310 \h </w:instrText>
      </w:r>
      <w:r>
        <w:rPr>
          <w:noProof/>
        </w:rPr>
      </w:r>
      <w:r>
        <w:rPr>
          <w:noProof/>
        </w:rPr>
        <w:fldChar w:fldCharType="separate"/>
      </w:r>
      <w:r>
        <w:rPr>
          <w:noProof/>
        </w:rPr>
        <w:t>10</w:t>
      </w:r>
      <w:r>
        <w:rPr>
          <w:noProof/>
        </w:rPr>
        <w:fldChar w:fldCharType="end"/>
      </w:r>
    </w:p>
    <w:p w14:paraId="4EC9B786" w14:textId="124ECF61"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Methods for analysis of molecular data, management of databases and exchange of data and material</w:t>
      </w:r>
      <w:r>
        <w:rPr>
          <w:noProof/>
        </w:rPr>
        <w:tab/>
      </w:r>
      <w:r>
        <w:rPr>
          <w:noProof/>
        </w:rPr>
        <w:fldChar w:fldCharType="begin"/>
      </w:r>
      <w:r>
        <w:rPr>
          <w:noProof/>
        </w:rPr>
        <w:instrText xml:space="preserve"> PAGEREF _Toc210139311 \h </w:instrText>
      </w:r>
      <w:r>
        <w:rPr>
          <w:noProof/>
        </w:rPr>
      </w:r>
      <w:r>
        <w:rPr>
          <w:noProof/>
        </w:rPr>
        <w:fldChar w:fldCharType="separate"/>
      </w:r>
      <w:r>
        <w:rPr>
          <w:noProof/>
        </w:rPr>
        <w:t>10</w:t>
      </w:r>
      <w:r>
        <w:rPr>
          <w:noProof/>
        </w:rPr>
        <w:fldChar w:fldCharType="end"/>
      </w:r>
    </w:p>
    <w:p w14:paraId="2B925F2E" w14:textId="7CFC446B"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Exploiting crop haplotype-tag polymorphisms marker for pedigree identification</w:t>
      </w:r>
      <w:r>
        <w:rPr>
          <w:noProof/>
        </w:rPr>
        <w:tab/>
      </w:r>
      <w:r>
        <w:rPr>
          <w:noProof/>
        </w:rPr>
        <w:fldChar w:fldCharType="begin"/>
      </w:r>
      <w:r>
        <w:rPr>
          <w:noProof/>
        </w:rPr>
        <w:instrText xml:space="preserve"> PAGEREF _Toc210139312 \h </w:instrText>
      </w:r>
      <w:r>
        <w:rPr>
          <w:noProof/>
        </w:rPr>
      </w:r>
      <w:r>
        <w:rPr>
          <w:noProof/>
        </w:rPr>
        <w:fldChar w:fldCharType="separate"/>
      </w:r>
      <w:r>
        <w:rPr>
          <w:noProof/>
        </w:rPr>
        <w:t>10</w:t>
      </w:r>
      <w:r>
        <w:rPr>
          <w:noProof/>
        </w:rPr>
        <w:fldChar w:fldCharType="end"/>
      </w:r>
    </w:p>
    <w:p w14:paraId="295A36D6" w14:textId="603193E8"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PAD – an algorithm for progeny-ancestor detection based on genetic profiles</w:t>
      </w:r>
      <w:r>
        <w:rPr>
          <w:noProof/>
        </w:rPr>
        <w:tab/>
      </w:r>
      <w:r>
        <w:rPr>
          <w:noProof/>
        </w:rPr>
        <w:fldChar w:fldCharType="begin"/>
      </w:r>
      <w:r>
        <w:rPr>
          <w:noProof/>
        </w:rPr>
        <w:instrText xml:space="preserve"> PAGEREF _Toc210139313 \h </w:instrText>
      </w:r>
      <w:r>
        <w:rPr>
          <w:noProof/>
        </w:rPr>
      </w:r>
      <w:r>
        <w:rPr>
          <w:noProof/>
        </w:rPr>
        <w:fldChar w:fldCharType="separate"/>
      </w:r>
      <w:r>
        <w:rPr>
          <w:noProof/>
        </w:rPr>
        <w:t>10</w:t>
      </w:r>
      <w:r>
        <w:rPr>
          <w:noProof/>
        </w:rPr>
        <w:fldChar w:fldCharType="end"/>
      </w:r>
    </w:p>
    <w:p w14:paraId="04F68264" w14:textId="5C7E6E53"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DurdusTools: Current state and use in DUS-testing</w:t>
      </w:r>
      <w:r>
        <w:rPr>
          <w:noProof/>
        </w:rPr>
        <w:tab/>
      </w:r>
      <w:r>
        <w:rPr>
          <w:noProof/>
        </w:rPr>
        <w:fldChar w:fldCharType="begin"/>
      </w:r>
      <w:r>
        <w:rPr>
          <w:noProof/>
        </w:rPr>
        <w:instrText xml:space="preserve"> PAGEREF _Toc210139314 \h </w:instrText>
      </w:r>
      <w:r>
        <w:rPr>
          <w:noProof/>
        </w:rPr>
      </w:r>
      <w:r>
        <w:rPr>
          <w:noProof/>
        </w:rPr>
        <w:fldChar w:fldCharType="separate"/>
      </w:r>
      <w:r>
        <w:rPr>
          <w:noProof/>
        </w:rPr>
        <w:t>11</w:t>
      </w:r>
      <w:r>
        <w:rPr>
          <w:noProof/>
        </w:rPr>
        <w:fldChar w:fldCharType="end"/>
      </w:r>
    </w:p>
    <w:p w14:paraId="7FF4F736" w14:textId="40D4955B"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Development of DUS phenotyping tools for and with examination offices: experience gained</w:t>
      </w:r>
      <w:r>
        <w:rPr>
          <w:noProof/>
        </w:rPr>
        <w:tab/>
      </w:r>
      <w:r>
        <w:rPr>
          <w:noProof/>
        </w:rPr>
        <w:fldChar w:fldCharType="begin"/>
      </w:r>
      <w:r>
        <w:rPr>
          <w:noProof/>
        </w:rPr>
        <w:instrText xml:space="preserve"> PAGEREF _Toc210139315 \h </w:instrText>
      </w:r>
      <w:r>
        <w:rPr>
          <w:noProof/>
        </w:rPr>
      </w:r>
      <w:r>
        <w:rPr>
          <w:noProof/>
        </w:rPr>
        <w:fldChar w:fldCharType="separate"/>
      </w:r>
      <w:r>
        <w:rPr>
          <w:noProof/>
        </w:rPr>
        <w:t>11</w:t>
      </w:r>
      <w:r>
        <w:rPr>
          <w:noProof/>
        </w:rPr>
        <w:fldChar w:fldCharType="end"/>
      </w:r>
    </w:p>
    <w:p w14:paraId="73BCDE5B" w14:textId="6306F5EB"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Phenotyping concept for strengthening the plant variety protection chain via combined use of IA&amp;AI</w:t>
      </w:r>
      <w:r>
        <w:rPr>
          <w:noProof/>
        </w:rPr>
        <w:tab/>
      </w:r>
      <w:r>
        <w:rPr>
          <w:noProof/>
        </w:rPr>
        <w:fldChar w:fldCharType="begin"/>
      </w:r>
      <w:r>
        <w:rPr>
          <w:noProof/>
        </w:rPr>
        <w:instrText xml:space="preserve"> PAGEREF _Toc210139316 \h </w:instrText>
      </w:r>
      <w:r>
        <w:rPr>
          <w:noProof/>
        </w:rPr>
      </w:r>
      <w:r>
        <w:rPr>
          <w:noProof/>
        </w:rPr>
        <w:fldChar w:fldCharType="separate"/>
      </w:r>
      <w:r>
        <w:rPr>
          <w:noProof/>
        </w:rPr>
        <w:t>11</w:t>
      </w:r>
      <w:r>
        <w:rPr>
          <w:noProof/>
        </w:rPr>
        <w:fldChar w:fldCharType="end"/>
      </w:r>
    </w:p>
    <w:p w14:paraId="2FAB401F" w14:textId="50118921"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Use of DNA databases at Naktuinbouw to improve DUS work</w:t>
      </w:r>
      <w:r>
        <w:rPr>
          <w:noProof/>
        </w:rPr>
        <w:tab/>
      </w:r>
      <w:r>
        <w:rPr>
          <w:noProof/>
        </w:rPr>
        <w:fldChar w:fldCharType="begin"/>
      </w:r>
      <w:r>
        <w:rPr>
          <w:noProof/>
        </w:rPr>
        <w:instrText xml:space="preserve"> PAGEREF _Toc210139317 \h </w:instrText>
      </w:r>
      <w:r>
        <w:rPr>
          <w:noProof/>
        </w:rPr>
      </w:r>
      <w:r>
        <w:rPr>
          <w:noProof/>
        </w:rPr>
        <w:fldChar w:fldCharType="separate"/>
      </w:r>
      <w:r>
        <w:rPr>
          <w:noProof/>
        </w:rPr>
        <w:t>11</w:t>
      </w:r>
      <w:r>
        <w:rPr>
          <w:noProof/>
        </w:rPr>
        <w:fldChar w:fldCharType="end"/>
      </w:r>
    </w:p>
    <w:p w14:paraId="57C7B0DD" w14:textId="1B80E8C2"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Shared molecular database</w:t>
      </w:r>
      <w:r>
        <w:rPr>
          <w:noProof/>
        </w:rPr>
        <w:tab/>
      </w:r>
      <w:r>
        <w:rPr>
          <w:noProof/>
        </w:rPr>
        <w:fldChar w:fldCharType="begin"/>
      </w:r>
      <w:r>
        <w:rPr>
          <w:noProof/>
        </w:rPr>
        <w:instrText xml:space="preserve"> PAGEREF _Toc210139318 \h </w:instrText>
      </w:r>
      <w:r>
        <w:rPr>
          <w:noProof/>
        </w:rPr>
      </w:r>
      <w:r>
        <w:rPr>
          <w:noProof/>
        </w:rPr>
        <w:fldChar w:fldCharType="separate"/>
      </w:r>
      <w:r>
        <w:rPr>
          <w:noProof/>
        </w:rPr>
        <w:t>11</w:t>
      </w:r>
      <w:r>
        <w:rPr>
          <w:noProof/>
        </w:rPr>
        <w:fldChar w:fldCharType="end"/>
      </w:r>
    </w:p>
    <w:p w14:paraId="22D8F2B1" w14:textId="0C2AAC80"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The use of molecular techniques in the assessment of essential derivation</w:t>
      </w:r>
      <w:r>
        <w:rPr>
          <w:noProof/>
        </w:rPr>
        <w:tab/>
      </w:r>
      <w:r>
        <w:rPr>
          <w:noProof/>
        </w:rPr>
        <w:fldChar w:fldCharType="begin"/>
      </w:r>
      <w:r>
        <w:rPr>
          <w:noProof/>
        </w:rPr>
        <w:instrText xml:space="preserve"> PAGEREF _Toc210139319 \h </w:instrText>
      </w:r>
      <w:r>
        <w:rPr>
          <w:noProof/>
        </w:rPr>
      </w:r>
      <w:r>
        <w:rPr>
          <w:noProof/>
        </w:rPr>
        <w:fldChar w:fldCharType="separate"/>
      </w:r>
      <w:r>
        <w:rPr>
          <w:noProof/>
        </w:rPr>
        <w:t>11</w:t>
      </w:r>
      <w:r>
        <w:rPr>
          <w:noProof/>
        </w:rPr>
        <w:fldChar w:fldCharType="end"/>
      </w:r>
    </w:p>
    <w:p w14:paraId="77E3330F" w14:textId="143F8AC5"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Exploration of identification techniques based on SNP markers for essentially derived varieties of wheat</w:t>
      </w:r>
      <w:r>
        <w:rPr>
          <w:noProof/>
        </w:rPr>
        <w:tab/>
      </w:r>
      <w:r>
        <w:rPr>
          <w:noProof/>
        </w:rPr>
        <w:fldChar w:fldCharType="begin"/>
      </w:r>
      <w:r>
        <w:rPr>
          <w:noProof/>
        </w:rPr>
        <w:instrText xml:space="preserve"> PAGEREF _Toc210139320 \h </w:instrText>
      </w:r>
      <w:r>
        <w:rPr>
          <w:noProof/>
        </w:rPr>
      </w:r>
      <w:r>
        <w:rPr>
          <w:noProof/>
        </w:rPr>
        <w:fldChar w:fldCharType="separate"/>
      </w:r>
      <w:r>
        <w:rPr>
          <w:noProof/>
        </w:rPr>
        <w:t>11</w:t>
      </w:r>
      <w:r>
        <w:rPr>
          <w:noProof/>
        </w:rPr>
        <w:fldChar w:fldCharType="end"/>
      </w:r>
    </w:p>
    <w:p w14:paraId="622AC095" w14:textId="04F0AC08"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Essentially derived varieties (EDV) threshold development in soybeans</w:t>
      </w:r>
      <w:r>
        <w:rPr>
          <w:noProof/>
        </w:rPr>
        <w:tab/>
      </w:r>
      <w:r>
        <w:rPr>
          <w:noProof/>
        </w:rPr>
        <w:fldChar w:fldCharType="begin"/>
      </w:r>
      <w:r>
        <w:rPr>
          <w:noProof/>
        </w:rPr>
        <w:instrText xml:space="preserve"> PAGEREF _Toc210139321 \h </w:instrText>
      </w:r>
      <w:r>
        <w:rPr>
          <w:noProof/>
        </w:rPr>
      </w:r>
      <w:r>
        <w:rPr>
          <w:noProof/>
        </w:rPr>
        <w:fldChar w:fldCharType="separate"/>
      </w:r>
      <w:r>
        <w:rPr>
          <w:noProof/>
        </w:rPr>
        <w:t>12</w:t>
      </w:r>
      <w:r>
        <w:rPr>
          <w:noProof/>
        </w:rPr>
        <w:fldChar w:fldCharType="end"/>
      </w:r>
    </w:p>
    <w:p w14:paraId="1D2AF0F8" w14:textId="62702495" w:rsidR="00733A63" w:rsidRDefault="00733A63">
      <w:pPr>
        <w:pStyle w:val="TOC2"/>
        <w:rPr>
          <w:rFonts w:asciiTheme="minorHAnsi" w:hAnsiTheme="minorHAnsi" w:cstheme="minorBidi"/>
          <w:noProof/>
          <w:kern w:val="2"/>
          <w:sz w:val="24"/>
          <w:szCs w:val="24"/>
          <w:lang w:val="en-GB" w:eastAsia="en-GB"/>
          <w14:ligatures w14:val="standardContextual"/>
        </w:rPr>
      </w:pPr>
      <w:r>
        <w:rPr>
          <w:noProof/>
        </w:rPr>
        <w:t>The use of molecular techniques for enforcement</w:t>
      </w:r>
      <w:r>
        <w:rPr>
          <w:noProof/>
        </w:rPr>
        <w:tab/>
      </w:r>
      <w:r>
        <w:rPr>
          <w:noProof/>
        </w:rPr>
        <w:fldChar w:fldCharType="begin"/>
      </w:r>
      <w:r>
        <w:rPr>
          <w:noProof/>
        </w:rPr>
        <w:instrText xml:space="preserve"> PAGEREF _Toc210139322 \h </w:instrText>
      </w:r>
      <w:r>
        <w:rPr>
          <w:noProof/>
        </w:rPr>
      </w:r>
      <w:r>
        <w:rPr>
          <w:noProof/>
        </w:rPr>
        <w:fldChar w:fldCharType="separate"/>
      </w:r>
      <w:r>
        <w:rPr>
          <w:noProof/>
        </w:rPr>
        <w:t>12</w:t>
      </w:r>
      <w:r>
        <w:rPr>
          <w:noProof/>
        </w:rPr>
        <w:fldChar w:fldCharType="end"/>
      </w:r>
    </w:p>
    <w:p w14:paraId="136B0F98" w14:textId="246F28EB"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Use of DNA techniques for plant variety right (PBR) enforcement in Peru</w:t>
      </w:r>
      <w:r>
        <w:rPr>
          <w:noProof/>
        </w:rPr>
        <w:tab/>
      </w:r>
      <w:r>
        <w:rPr>
          <w:noProof/>
        </w:rPr>
        <w:fldChar w:fldCharType="begin"/>
      </w:r>
      <w:r>
        <w:rPr>
          <w:noProof/>
        </w:rPr>
        <w:instrText xml:space="preserve"> PAGEREF _Toc210139323 \h </w:instrText>
      </w:r>
      <w:r>
        <w:rPr>
          <w:noProof/>
        </w:rPr>
      </w:r>
      <w:r>
        <w:rPr>
          <w:noProof/>
        </w:rPr>
        <w:fldChar w:fldCharType="separate"/>
      </w:r>
      <w:r>
        <w:rPr>
          <w:noProof/>
        </w:rPr>
        <w:t>12</w:t>
      </w:r>
      <w:r>
        <w:rPr>
          <w:noProof/>
        </w:rPr>
        <w:fldChar w:fldCharType="end"/>
      </w:r>
    </w:p>
    <w:p w14:paraId="0D420839" w14:textId="1D844779" w:rsidR="00733A63" w:rsidRDefault="00733A63" w:rsidP="00733A63">
      <w:pPr>
        <w:pStyle w:val="TOC3"/>
        <w:rPr>
          <w:rFonts w:asciiTheme="minorHAnsi" w:hAnsiTheme="minorHAnsi" w:cstheme="minorBidi"/>
          <w:noProof/>
          <w:kern w:val="2"/>
          <w:sz w:val="24"/>
          <w:szCs w:val="24"/>
          <w:lang w:val="en-GB" w:eastAsia="en-GB"/>
          <w14:ligatures w14:val="standardContextual"/>
        </w:rPr>
      </w:pPr>
      <w:r>
        <w:rPr>
          <w:noProof/>
        </w:rPr>
        <w:t>Use of molecular markers as a tool to enforce plant variety right (PBR) in soybean in Uruguay</w:t>
      </w:r>
      <w:r>
        <w:rPr>
          <w:noProof/>
        </w:rPr>
        <w:tab/>
      </w:r>
      <w:r>
        <w:rPr>
          <w:noProof/>
        </w:rPr>
        <w:fldChar w:fldCharType="begin"/>
      </w:r>
      <w:r>
        <w:rPr>
          <w:noProof/>
        </w:rPr>
        <w:instrText xml:space="preserve"> PAGEREF _Toc210139324 \h </w:instrText>
      </w:r>
      <w:r>
        <w:rPr>
          <w:noProof/>
        </w:rPr>
      </w:r>
      <w:r>
        <w:rPr>
          <w:noProof/>
        </w:rPr>
        <w:fldChar w:fldCharType="separate"/>
      </w:r>
      <w:r>
        <w:rPr>
          <w:noProof/>
        </w:rPr>
        <w:t>12</w:t>
      </w:r>
      <w:r>
        <w:rPr>
          <w:noProof/>
        </w:rPr>
        <w:fldChar w:fldCharType="end"/>
      </w:r>
    </w:p>
    <w:p w14:paraId="05761C05" w14:textId="3942298E" w:rsidR="00342001" w:rsidRPr="00F07B06" w:rsidRDefault="00047CF1" w:rsidP="008A52E0">
      <w:pPr>
        <w:keepNext/>
        <w:tabs>
          <w:tab w:val="center" w:pos="4479"/>
        </w:tabs>
        <w:spacing w:before="120"/>
        <w:ind w:left="851" w:right="851" w:hanging="851"/>
        <w:contextualSpacing/>
        <w:rPr>
          <w:sz w:val="18"/>
          <w:szCs w:val="18"/>
        </w:rPr>
      </w:pPr>
      <w:r>
        <w:rPr>
          <w:rFonts w:cs="Arial"/>
          <w:bCs/>
          <w:sz w:val="18"/>
          <w:szCs w:val="18"/>
        </w:rPr>
        <w:fldChar w:fldCharType="end"/>
      </w:r>
      <w:r w:rsidR="00F509D3" w:rsidRPr="00F07B06">
        <w:rPr>
          <w:rFonts w:cs="Arial"/>
          <w:bCs/>
          <w:caps/>
          <w:sz w:val="18"/>
          <w:szCs w:val="18"/>
        </w:rPr>
        <w:t>Annex:</w:t>
      </w:r>
      <w:r w:rsidR="008A52E0" w:rsidRPr="00F07B06">
        <w:rPr>
          <w:rFonts w:cs="Arial"/>
          <w:bCs/>
          <w:caps/>
          <w:sz w:val="18"/>
          <w:szCs w:val="18"/>
        </w:rPr>
        <w:tab/>
      </w:r>
      <w:r w:rsidR="00F509D3" w:rsidRPr="00F07B06">
        <w:rPr>
          <w:sz w:val="18"/>
          <w:szCs w:val="18"/>
        </w:rPr>
        <w:t>Guidelines for the validation of a new characteristic-specific molecular marker protocol for DUS</w:t>
      </w:r>
      <w:r w:rsidR="00221BB8">
        <w:rPr>
          <w:sz w:val="18"/>
          <w:szCs w:val="18"/>
        </w:rPr>
        <w:t> </w:t>
      </w:r>
      <w:r w:rsidR="00F1282A">
        <w:rPr>
          <w:sz w:val="18"/>
          <w:szCs w:val="18"/>
        </w:rPr>
        <w:t>examination</w:t>
      </w:r>
      <w:r w:rsidR="00F509D3" w:rsidRPr="00F07B06">
        <w:rPr>
          <w:sz w:val="18"/>
          <w:szCs w:val="18"/>
        </w:rPr>
        <w:t xml:space="preserve"> as an alternative method for observation</w:t>
      </w:r>
    </w:p>
    <w:p w14:paraId="43AC56C6" w14:textId="77777777" w:rsidR="008A52E0" w:rsidRDefault="008A52E0" w:rsidP="00342001">
      <w:pPr>
        <w:jc w:val="left"/>
      </w:pPr>
    </w:p>
    <w:p w14:paraId="5B099308" w14:textId="77777777" w:rsidR="00047CF1" w:rsidRPr="00F07B06" w:rsidRDefault="00047CF1" w:rsidP="00342001">
      <w:pPr>
        <w:jc w:val="left"/>
      </w:pPr>
    </w:p>
    <w:p w14:paraId="7A7FC83A" w14:textId="7733668F" w:rsidR="00342001" w:rsidRDefault="00342001" w:rsidP="00642CEF">
      <w:pPr>
        <w:pStyle w:val="Heading1"/>
      </w:pPr>
      <w:bookmarkStart w:id="3" w:name="_Toc177773940"/>
      <w:bookmarkStart w:id="4" w:name="_Toc210139277"/>
      <w:r w:rsidRPr="00F07B06">
        <w:lastRenderedPageBreak/>
        <w:t>Guidelines for the validation of a new characteristic-specific molecular marker protocol as an alternative method for observation</w:t>
      </w:r>
      <w:bookmarkEnd w:id="3"/>
      <w:bookmarkEnd w:id="4"/>
    </w:p>
    <w:p w14:paraId="555C066E" w14:textId="77777777" w:rsidR="007B317A" w:rsidRPr="007B317A" w:rsidRDefault="007B317A" w:rsidP="00642CEF">
      <w:pPr>
        <w:keepNext/>
      </w:pPr>
    </w:p>
    <w:p w14:paraId="7475F605" w14:textId="77777777" w:rsidR="00FE21AF" w:rsidRDefault="00FE21AF" w:rsidP="00642CEF">
      <w:pPr>
        <w:pStyle w:val="Heading2"/>
      </w:pPr>
      <w:bookmarkStart w:id="5" w:name="_Toc210139278"/>
      <w:r w:rsidRPr="00F07B06">
        <w:t>Background</w:t>
      </w:r>
      <w:bookmarkEnd w:id="5"/>
    </w:p>
    <w:p w14:paraId="46E2F720" w14:textId="77777777" w:rsidR="00FE39FA" w:rsidRDefault="00FE39FA" w:rsidP="00642CEF">
      <w:pPr>
        <w:keepNext/>
      </w:pPr>
    </w:p>
    <w:p w14:paraId="3208FD3E" w14:textId="7BD8DFDC" w:rsidR="001576C8" w:rsidRPr="00F07B06" w:rsidRDefault="001576C8" w:rsidP="00BF7C58">
      <w:r w:rsidRPr="00F07B06">
        <w:fldChar w:fldCharType="begin"/>
      </w:r>
      <w:r w:rsidRPr="00F07B06">
        <w:instrText xml:space="preserve"> AUTONUM  </w:instrText>
      </w:r>
      <w:r w:rsidRPr="00F07B06">
        <w:fldChar w:fldCharType="end"/>
      </w:r>
      <w:r w:rsidRPr="00F07B06">
        <w:tab/>
        <w:t>The T</w:t>
      </w:r>
      <w:r w:rsidR="00472ACC">
        <w:rPr>
          <w:rFonts w:hint="eastAsia"/>
          <w:lang w:eastAsia="ja-JP"/>
        </w:rPr>
        <w:t>C</w:t>
      </w:r>
      <w:r w:rsidRPr="00F07B06">
        <w:rPr>
          <w:rStyle w:val="FootnoteReference"/>
          <w:lang w:eastAsia="ja-JP"/>
        </w:rPr>
        <w:footnoteReference w:id="2"/>
      </w:r>
      <w:r w:rsidRPr="00F07B06">
        <w:t xml:space="preserve">, at its </w:t>
      </w:r>
      <w:r w:rsidR="00C3565D" w:rsidRPr="00F07B06">
        <w:t>s</w:t>
      </w:r>
      <w:r w:rsidR="00C3565D">
        <w:rPr>
          <w:lang w:eastAsia="ja-JP"/>
        </w:rPr>
        <w:t>ixtieth</w:t>
      </w:r>
      <w:r w:rsidRPr="00F07B06">
        <w:t xml:space="preserve"> session, </w:t>
      </w:r>
      <w:r w:rsidR="00472ACC">
        <w:t>agreed to request the TWPs, at their sessions in 2025, to consider the proposal for guidelines for the validation of new characteristic-specific molecular marker protocol for DUS examination</w:t>
      </w:r>
      <w:r w:rsidRPr="00F07B06">
        <w:t>.</w:t>
      </w:r>
    </w:p>
    <w:p w14:paraId="0261E89D" w14:textId="77777777" w:rsidR="00EF443F" w:rsidRDefault="00EF443F" w:rsidP="00FE39FA"/>
    <w:p w14:paraId="3CEBB30B" w14:textId="77777777" w:rsidR="00221BB8" w:rsidRDefault="00221BB8" w:rsidP="00FE39FA"/>
    <w:p w14:paraId="11917B86" w14:textId="25F16930" w:rsidR="00FE39FA" w:rsidRPr="00FE39FA" w:rsidRDefault="00FE39FA" w:rsidP="001B3715">
      <w:pPr>
        <w:pStyle w:val="Heading2"/>
        <w:rPr>
          <w:lang w:eastAsia="ja-JP"/>
        </w:rPr>
      </w:pPr>
      <w:bookmarkStart w:id="6" w:name="_Toc210139279"/>
      <w:r w:rsidRPr="00F07B06">
        <w:rPr>
          <w:lang w:eastAsia="ja-JP"/>
        </w:rPr>
        <w:t>Developments at the Technical Working Parties at their sessions in 202</w:t>
      </w:r>
      <w:r>
        <w:rPr>
          <w:rFonts w:hint="eastAsia"/>
          <w:lang w:eastAsia="ja-JP"/>
        </w:rPr>
        <w:t>5</w:t>
      </w:r>
      <w:bookmarkEnd w:id="6"/>
    </w:p>
    <w:p w14:paraId="133152E8" w14:textId="77777777" w:rsidR="00342001" w:rsidRPr="00F07B06" w:rsidRDefault="00342001" w:rsidP="001B3715">
      <w:pPr>
        <w:keepNext/>
      </w:pPr>
    </w:p>
    <w:p w14:paraId="0B8747CF" w14:textId="29BC0F69" w:rsidR="00D14C85" w:rsidRDefault="00A655A8" w:rsidP="00221BB8">
      <w:pPr>
        <w:rPr>
          <w:lang w:eastAsia="ja-JP"/>
        </w:rPr>
      </w:pPr>
      <w:r w:rsidRPr="00F07B06">
        <w:fldChar w:fldCharType="begin"/>
      </w:r>
      <w:r w:rsidRPr="00F07B06">
        <w:instrText xml:space="preserve"> AUTONUM  </w:instrText>
      </w:r>
      <w:r w:rsidRPr="00F07B06">
        <w:fldChar w:fldCharType="end"/>
      </w:r>
      <w:r w:rsidRPr="00F07B06">
        <w:tab/>
      </w:r>
      <w:r w:rsidR="00700E80" w:rsidRPr="00700E80">
        <w:t>At their sessions in 202</w:t>
      </w:r>
      <w:r w:rsidR="00700E80">
        <w:rPr>
          <w:rFonts w:hint="eastAsia"/>
          <w:lang w:eastAsia="ja-JP"/>
        </w:rPr>
        <w:t>5</w:t>
      </w:r>
      <w:r w:rsidR="00700E80" w:rsidRPr="00700E80">
        <w:t xml:space="preserve">, the </w:t>
      </w:r>
      <w:r w:rsidR="00951044" w:rsidRPr="00F07B06">
        <w:t>TW</w:t>
      </w:r>
      <w:r w:rsidR="00951044">
        <w:rPr>
          <w:rFonts w:hint="eastAsia"/>
          <w:lang w:eastAsia="ja-JP"/>
        </w:rPr>
        <w:t>O</w:t>
      </w:r>
      <w:r w:rsidR="00951044" w:rsidRPr="00F07B06">
        <w:rPr>
          <w:rStyle w:val="FootnoteReference"/>
          <w:lang w:eastAsia="ja-JP"/>
        </w:rPr>
        <w:footnoteReference w:id="3"/>
      </w:r>
      <w:r w:rsidR="00700E80" w:rsidRPr="00700E80">
        <w:t xml:space="preserve">, </w:t>
      </w:r>
      <w:r w:rsidR="007E36E5" w:rsidRPr="00F07B06">
        <w:t>TW</w:t>
      </w:r>
      <w:r w:rsidR="007E36E5">
        <w:rPr>
          <w:rFonts w:hint="eastAsia"/>
          <w:lang w:eastAsia="ja-JP"/>
        </w:rPr>
        <w:t>M</w:t>
      </w:r>
      <w:r w:rsidR="007E36E5" w:rsidRPr="00F07B06">
        <w:rPr>
          <w:rStyle w:val="FootnoteReference"/>
        </w:rPr>
        <w:footnoteReference w:id="4"/>
      </w:r>
      <w:r w:rsidR="005751C4">
        <w:rPr>
          <w:rFonts w:hint="eastAsia"/>
          <w:lang w:eastAsia="ja-JP"/>
        </w:rPr>
        <w:t xml:space="preserve">, </w:t>
      </w:r>
      <w:r w:rsidR="00E95E7F" w:rsidRPr="00F07B06">
        <w:t>TW</w:t>
      </w:r>
      <w:r w:rsidR="00E95E7F">
        <w:rPr>
          <w:rFonts w:hint="eastAsia"/>
          <w:lang w:eastAsia="ja-JP"/>
        </w:rPr>
        <w:t>V</w:t>
      </w:r>
      <w:r w:rsidR="00E95E7F" w:rsidRPr="00F07B06">
        <w:rPr>
          <w:rStyle w:val="FootnoteReference"/>
        </w:rPr>
        <w:footnoteReference w:id="5"/>
      </w:r>
      <w:r w:rsidR="005751C4" w:rsidRPr="00700E80">
        <w:t>,</w:t>
      </w:r>
      <w:r w:rsidR="005751C4">
        <w:rPr>
          <w:rFonts w:hint="eastAsia"/>
          <w:lang w:eastAsia="ja-JP"/>
        </w:rPr>
        <w:t xml:space="preserve"> </w:t>
      </w:r>
      <w:r w:rsidR="00E95E7F" w:rsidRPr="00F07B06">
        <w:t>TW</w:t>
      </w:r>
      <w:r w:rsidR="00E95E7F">
        <w:rPr>
          <w:rFonts w:hint="eastAsia"/>
          <w:lang w:eastAsia="ja-JP"/>
        </w:rPr>
        <w:t>A</w:t>
      </w:r>
      <w:r w:rsidR="00E95E7F" w:rsidRPr="00F07B06">
        <w:rPr>
          <w:rStyle w:val="FootnoteReference"/>
        </w:rPr>
        <w:footnoteReference w:id="6"/>
      </w:r>
      <w:r w:rsidR="005751C4">
        <w:rPr>
          <w:rFonts w:hint="eastAsia"/>
          <w:lang w:eastAsia="ja-JP"/>
        </w:rPr>
        <w:t>,</w:t>
      </w:r>
      <w:r w:rsidR="00700E80" w:rsidRPr="00700E80">
        <w:t xml:space="preserve"> and </w:t>
      </w:r>
      <w:r w:rsidR="006E2D2D" w:rsidRPr="00145B4D">
        <w:t>TW</w:t>
      </w:r>
      <w:r w:rsidR="006E2D2D" w:rsidRPr="00145B4D">
        <w:rPr>
          <w:lang w:eastAsia="ja-JP"/>
        </w:rPr>
        <w:t>F</w:t>
      </w:r>
      <w:r w:rsidR="006E2D2D" w:rsidRPr="00145B4D">
        <w:rPr>
          <w:rStyle w:val="FootnoteReference"/>
        </w:rPr>
        <w:footnoteReference w:id="7"/>
      </w:r>
      <w:r w:rsidR="00700E80" w:rsidRPr="00700E80">
        <w:t xml:space="preserve"> </w:t>
      </w:r>
      <w:r w:rsidR="00921B4E">
        <w:t>considered document TWP/9/4 and the proposed guidelines for validating assessment</w:t>
      </w:r>
      <w:r w:rsidR="0074558C">
        <w:rPr>
          <w:rFonts w:hint="eastAsia"/>
          <w:lang w:eastAsia="ja-JP"/>
        </w:rPr>
        <w:t xml:space="preserve"> </w:t>
      </w:r>
      <w:r w:rsidR="00921B4E">
        <w:t>methods of characteristic-specific molecular markers for DUS examination, as presented by expert</w:t>
      </w:r>
      <w:r w:rsidR="00287F52">
        <w:t>s</w:t>
      </w:r>
      <w:r w:rsidR="00921B4E">
        <w:t xml:space="preserve"> from the Netherlands (Kingdom of</w:t>
      </w:r>
      <w:r w:rsidR="006C7330">
        <w:t xml:space="preserve"> the</w:t>
      </w:r>
      <w:r w:rsidR="00921B4E">
        <w:t>).</w:t>
      </w:r>
    </w:p>
    <w:p w14:paraId="3BE7E50F" w14:textId="77777777" w:rsidR="00F1282A" w:rsidRDefault="00F1282A" w:rsidP="00921B4E">
      <w:pPr>
        <w:rPr>
          <w:lang w:eastAsia="ja-JP"/>
        </w:rPr>
      </w:pPr>
    </w:p>
    <w:p w14:paraId="2AE65456" w14:textId="024F235C" w:rsidR="009D0402" w:rsidRPr="009519E9" w:rsidRDefault="00544205" w:rsidP="00882559">
      <w:pPr>
        <w:pStyle w:val="Heading3"/>
        <w:rPr>
          <w:lang w:eastAsia="ja-JP"/>
        </w:rPr>
      </w:pPr>
      <w:bookmarkStart w:id="7" w:name="_Toc210139280"/>
      <w:r>
        <w:rPr>
          <w:lang w:eastAsia="ja-JP"/>
        </w:rPr>
        <w:t xml:space="preserve">Validation of </w:t>
      </w:r>
      <w:r w:rsidR="009A070B" w:rsidRPr="009519E9">
        <w:rPr>
          <w:lang w:eastAsia="ja-JP"/>
        </w:rPr>
        <w:t>Characteristic-Specific Molecular Markers</w:t>
      </w:r>
      <w:r w:rsidR="009A070B">
        <w:rPr>
          <w:lang w:eastAsia="ja-JP"/>
        </w:rPr>
        <w:t xml:space="preserve"> </w:t>
      </w:r>
      <w:r w:rsidR="00AD3753">
        <w:rPr>
          <w:lang w:eastAsia="ja-JP"/>
        </w:rPr>
        <w:t xml:space="preserve">for </w:t>
      </w:r>
      <w:r w:rsidR="009D0402" w:rsidRPr="009519E9">
        <w:rPr>
          <w:lang w:eastAsia="ja-JP"/>
        </w:rPr>
        <w:t>Test Guidelines.</w:t>
      </w:r>
      <w:bookmarkEnd w:id="7"/>
    </w:p>
    <w:p w14:paraId="3CC7C9CA" w14:textId="77777777" w:rsidR="0080077B" w:rsidRDefault="0080077B" w:rsidP="00921B4E">
      <w:pPr>
        <w:rPr>
          <w:lang w:eastAsia="ja-JP"/>
        </w:rPr>
      </w:pPr>
    </w:p>
    <w:p w14:paraId="72161E2A" w14:textId="648A360A" w:rsidR="00A655A8" w:rsidRPr="007C2A57" w:rsidRDefault="00D14C85" w:rsidP="00921B4E">
      <w:r w:rsidRPr="00F07B06">
        <w:fldChar w:fldCharType="begin"/>
      </w:r>
      <w:r w:rsidRPr="00F07B06">
        <w:instrText xml:space="preserve"> AUTONUM  </w:instrText>
      </w:r>
      <w:r w:rsidRPr="00F07B06">
        <w:fldChar w:fldCharType="end"/>
      </w:r>
      <w:r w:rsidRPr="00F07B06">
        <w:tab/>
      </w:r>
      <w:r w:rsidR="00921B4E">
        <w:t xml:space="preserve">The TWO noted that the proposed guidelines would be </w:t>
      </w:r>
      <w:r w:rsidR="00921B4E" w:rsidRPr="007C2A57">
        <w:t>applied to validate molecular markers proposed as alternative methods for the assessment of individual characteristics in Test Guidelines.</w:t>
      </w:r>
    </w:p>
    <w:p w14:paraId="1FAC3620" w14:textId="77777777" w:rsidR="00AC2EA1" w:rsidRPr="007C2A57" w:rsidRDefault="00AC2EA1" w:rsidP="00AC2EA1"/>
    <w:p w14:paraId="2CA5238C" w14:textId="77777777" w:rsidR="00AC2EA1" w:rsidRDefault="00AC2EA1" w:rsidP="00AC2EA1">
      <w:pPr>
        <w:pStyle w:val="ListParagraph"/>
        <w:ind w:left="0"/>
        <w:jc w:val="both"/>
        <w:rPr>
          <w:rFonts w:eastAsiaTheme="minorEastAsia"/>
          <w:lang w:eastAsia="ja-JP"/>
        </w:rPr>
      </w:pPr>
      <w:r w:rsidRPr="007C2A57">
        <w:fldChar w:fldCharType="begin"/>
      </w:r>
      <w:r w:rsidRPr="007C2A57">
        <w:instrText xml:space="preserve"> AUTONUM  </w:instrText>
      </w:r>
      <w:r w:rsidRPr="007C2A57">
        <w:fldChar w:fldCharType="end"/>
      </w:r>
      <w:r w:rsidRPr="007C2A57">
        <w:tab/>
        <w:t>The TW</w:t>
      </w:r>
      <w:r w:rsidRPr="007C2A57">
        <w:rPr>
          <w:rFonts w:hint="eastAsia"/>
          <w:lang w:eastAsia="ja-JP"/>
        </w:rPr>
        <w:t>M</w:t>
      </w:r>
      <w:r w:rsidRPr="007C2A57">
        <w:t xml:space="preserve"> noted that the proposed procedure related to one possible procedure for the </w:t>
      </w:r>
      <w:r w:rsidRPr="00145B4D">
        <w:t>validation</w:t>
      </w:r>
      <w:r w:rsidRPr="007C2A57">
        <w:t xml:space="preserve"> of molecular markers and agreed that molecular markers could be validated through their publication in peer</w:t>
      </w:r>
      <w:r w:rsidRPr="00D755D6">
        <w:t xml:space="preserve"> reviewed literature.</w:t>
      </w:r>
    </w:p>
    <w:p w14:paraId="5DEAD99C" w14:textId="77777777" w:rsidR="00675087" w:rsidRDefault="00675087" w:rsidP="00675087">
      <w:pPr>
        <w:pStyle w:val="ListParagraph"/>
        <w:ind w:left="0"/>
        <w:jc w:val="both"/>
        <w:rPr>
          <w:rFonts w:eastAsiaTheme="minorEastAsia"/>
          <w:lang w:eastAsia="ja-JP"/>
        </w:rPr>
      </w:pPr>
    </w:p>
    <w:p w14:paraId="15AB1835" w14:textId="77777777" w:rsidR="00675087" w:rsidRPr="007C2A57" w:rsidRDefault="00675087" w:rsidP="00675087">
      <w:pPr>
        <w:pStyle w:val="ListParagraph"/>
        <w:ind w:left="0"/>
        <w:jc w:val="both"/>
        <w:rPr>
          <w:rFonts w:eastAsiaTheme="minorEastAsia"/>
          <w:lang w:eastAsia="ja-JP"/>
        </w:rPr>
      </w:pPr>
      <w:r w:rsidRPr="00F07B06">
        <w:fldChar w:fldCharType="begin"/>
      </w:r>
      <w:r w:rsidRPr="00F07B06">
        <w:instrText xml:space="preserve"> AUTONUM  </w:instrText>
      </w:r>
      <w:r w:rsidRPr="00F07B06">
        <w:fldChar w:fldCharType="end"/>
      </w:r>
      <w:r w:rsidRPr="00F07B06">
        <w:tab/>
      </w:r>
      <w:r w:rsidRPr="00F515A1">
        <w:rPr>
          <w:rFonts w:eastAsiaTheme="minorEastAsia"/>
          <w:lang w:eastAsia="ja-JP"/>
        </w:rPr>
        <w:t xml:space="preserve">The TWA noted that </w:t>
      </w:r>
      <w:r>
        <w:rPr>
          <w:rFonts w:eastAsiaTheme="minorEastAsia"/>
          <w:lang w:eastAsia="ja-JP"/>
        </w:rPr>
        <w:t>the proposed guidance</w:t>
      </w:r>
      <w:r w:rsidRPr="00F515A1">
        <w:rPr>
          <w:rFonts w:eastAsiaTheme="minorEastAsia"/>
          <w:lang w:eastAsia="ja-JP"/>
        </w:rPr>
        <w:t xml:space="preserve"> reported the experiences of France, Italy and the Netherlands (Kingdom </w:t>
      </w:r>
      <w:r w:rsidRPr="007C2A57">
        <w:rPr>
          <w:rFonts w:eastAsiaTheme="minorEastAsia"/>
          <w:lang w:eastAsia="ja-JP"/>
        </w:rPr>
        <w:t xml:space="preserve">of the) </w:t>
      </w:r>
      <w:r w:rsidRPr="00483FB2">
        <w:rPr>
          <w:rFonts w:eastAsiaTheme="minorEastAsia"/>
          <w:lang w:eastAsia="ja-JP"/>
        </w:rPr>
        <w:t>validating</w:t>
      </w:r>
      <w:r w:rsidRPr="007C2A57">
        <w:rPr>
          <w:rFonts w:eastAsiaTheme="minorEastAsia"/>
          <w:lang w:eastAsia="ja-JP"/>
        </w:rPr>
        <w:t xml:space="preserve"> characteristic-specific molecular markers as alternative methods for the assessment of characteristics in Test Guidelines. </w:t>
      </w:r>
      <w:proofErr w:type="gramStart"/>
      <w:r w:rsidRPr="007C2A57">
        <w:rPr>
          <w:rFonts w:eastAsiaTheme="minorEastAsia"/>
          <w:lang w:eastAsia="ja-JP"/>
        </w:rPr>
        <w:t>The TWA</w:t>
      </w:r>
      <w:proofErr w:type="gramEnd"/>
      <w:r w:rsidRPr="007C2A57">
        <w:rPr>
          <w:rFonts w:eastAsiaTheme="minorEastAsia"/>
          <w:lang w:eastAsia="ja-JP"/>
        </w:rPr>
        <w:t xml:space="preserve"> agreed there should be flexibility for different validation types or procedures to be used as the basis for including molecular markers in Test Guidelines.</w:t>
      </w:r>
    </w:p>
    <w:p w14:paraId="5FCC5742" w14:textId="77777777" w:rsidR="00675087" w:rsidRPr="007C2A57" w:rsidRDefault="00675087" w:rsidP="00675087"/>
    <w:p w14:paraId="3D3C6D0C" w14:textId="77777777" w:rsidR="00675087" w:rsidRPr="009519E9" w:rsidRDefault="00675087" w:rsidP="00675087">
      <w:pPr>
        <w:pStyle w:val="ListParagraph"/>
        <w:ind w:left="0"/>
        <w:jc w:val="both"/>
        <w:rPr>
          <w:rFonts w:eastAsiaTheme="minorEastAsia"/>
          <w:lang w:eastAsia="ja-JP"/>
        </w:rPr>
      </w:pPr>
      <w:r w:rsidRPr="007C2A57">
        <w:fldChar w:fldCharType="begin"/>
      </w:r>
      <w:r w:rsidRPr="007C2A57">
        <w:instrText xml:space="preserve"> AUTONUM  </w:instrText>
      </w:r>
      <w:r w:rsidRPr="007C2A57">
        <w:fldChar w:fldCharType="end"/>
      </w:r>
      <w:r w:rsidRPr="007C2A57">
        <w:tab/>
        <w:t>The TW</w:t>
      </w:r>
      <w:r w:rsidRPr="007C2A57">
        <w:rPr>
          <w:rFonts w:eastAsiaTheme="minorEastAsia" w:hint="eastAsia"/>
          <w:lang w:eastAsia="ja-JP"/>
        </w:rPr>
        <w:t>F</w:t>
      </w:r>
      <w:r w:rsidRPr="007C2A57">
        <w:t xml:space="preserve"> </w:t>
      </w:r>
      <w:r w:rsidRPr="007C2A57">
        <w:rPr>
          <w:rFonts w:eastAsiaTheme="minorEastAsia"/>
          <w:lang w:eastAsia="ja-JP"/>
        </w:rPr>
        <w:t xml:space="preserve">agreed with the procedure proposed to </w:t>
      </w:r>
      <w:r w:rsidRPr="00483FB2">
        <w:rPr>
          <w:rFonts w:eastAsiaTheme="minorEastAsia"/>
          <w:lang w:eastAsia="ja-JP"/>
        </w:rPr>
        <w:t>validate</w:t>
      </w:r>
      <w:r w:rsidRPr="007C2A57">
        <w:rPr>
          <w:rFonts w:eastAsiaTheme="minorEastAsia"/>
          <w:lang w:eastAsia="ja-JP"/>
        </w:rPr>
        <w:t xml:space="preserve"> molec</w:t>
      </w:r>
      <w:r w:rsidRPr="009519E9">
        <w:rPr>
          <w:rFonts w:eastAsiaTheme="minorEastAsia"/>
          <w:lang w:eastAsia="ja-JP"/>
        </w:rPr>
        <w:t>ular markers developed by examination authorities for characteristic-specific molecular markers, to be used as alternative methods for the assessment of characteristics in Test Guidelines.</w:t>
      </w:r>
    </w:p>
    <w:p w14:paraId="565174FE" w14:textId="77777777" w:rsidR="00AC2EA1" w:rsidRPr="004F4E5F" w:rsidRDefault="00AC2EA1" w:rsidP="00AC2EA1">
      <w:pPr>
        <w:pStyle w:val="ListParagraph"/>
        <w:ind w:left="0"/>
        <w:jc w:val="both"/>
        <w:rPr>
          <w:rFonts w:eastAsiaTheme="minorEastAsia"/>
          <w:lang w:eastAsia="ja-JP"/>
        </w:rPr>
      </w:pPr>
    </w:p>
    <w:p w14:paraId="0E022AE3" w14:textId="77777777" w:rsidR="00AC2EA1" w:rsidRPr="00D755D6" w:rsidRDefault="00AC2EA1" w:rsidP="00AC2EA1">
      <w:pPr>
        <w:pStyle w:val="ListParagraph"/>
        <w:ind w:left="0"/>
        <w:jc w:val="both"/>
        <w:rPr>
          <w:rFonts w:eastAsiaTheme="minorEastAsia"/>
          <w:lang w:eastAsia="ja-JP"/>
        </w:rPr>
      </w:pPr>
      <w:r w:rsidRPr="00F07B06">
        <w:fldChar w:fldCharType="begin"/>
      </w:r>
      <w:r w:rsidRPr="00F07B06">
        <w:instrText xml:space="preserve"> AUTONUM  </w:instrText>
      </w:r>
      <w:r w:rsidRPr="00F07B06">
        <w:fldChar w:fldCharType="end"/>
      </w:r>
      <w:r w:rsidRPr="00F07B06">
        <w:tab/>
      </w:r>
      <w:r w:rsidRPr="00D755D6">
        <w:t xml:space="preserve">The TWM agreed </w:t>
      </w:r>
      <w:r w:rsidRPr="00D755D6">
        <w:rPr>
          <w:rFonts w:hint="eastAsia"/>
          <w:lang w:eastAsia="ja-JP"/>
        </w:rPr>
        <w:t xml:space="preserve">that </w:t>
      </w:r>
      <w:r w:rsidRPr="00D755D6">
        <w:rPr>
          <w:lang w:eastAsia="ja-JP"/>
        </w:rPr>
        <w:t>information in paragraphs 2</w:t>
      </w:r>
      <w:r w:rsidRPr="00D755D6">
        <w:t xml:space="preserve">1 and 28 of </w:t>
      </w:r>
      <w:r w:rsidRPr="00D755D6">
        <w:rPr>
          <w:rFonts w:cs="Arial"/>
          <w:iCs/>
        </w:rPr>
        <w:t>document </w:t>
      </w:r>
      <w:r w:rsidRPr="00D755D6">
        <w:t>TW</w:t>
      </w:r>
      <w:r w:rsidRPr="00D755D6">
        <w:rPr>
          <w:rFonts w:hint="eastAsia"/>
          <w:lang w:eastAsia="ja-JP"/>
        </w:rPr>
        <w:t>P</w:t>
      </w:r>
      <w:r w:rsidRPr="00D755D6">
        <w:t>/</w:t>
      </w:r>
      <w:r w:rsidRPr="00D755D6">
        <w:rPr>
          <w:rFonts w:hint="eastAsia"/>
          <w:lang w:eastAsia="ja-JP"/>
        </w:rPr>
        <w:t>9</w:t>
      </w:r>
      <w:r w:rsidRPr="00D755D6">
        <w:t>/</w:t>
      </w:r>
      <w:r w:rsidRPr="00D755D6">
        <w:rPr>
          <w:rFonts w:hint="eastAsia"/>
          <w:lang w:eastAsia="ja-JP"/>
        </w:rPr>
        <w:t>4</w:t>
      </w:r>
      <w:r w:rsidRPr="00D755D6">
        <w:rPr>
          <w:lang w:eastAsia="ja-JP"/>
        </w:rPr>
        <w:t xml:space="preserve"> </w:t>
      </w:r>
      <w:r w:rsidRPr="00D755D6">
        <w:t xml:space="preserve">should be revised to clarify the validation methods.  The TWM agreed that the text box for item 8 on the table should be amended to read as follows: </w:t>
      </w:r>
    </w:p>
    <w:p w14:paraId="04340E8D" w14:textId="77777777" w:rsidR="00AC2EA1" w:rsidRPr="00D755D6" w:rsidRDefault="00AC2EA1" w:rsidP="00AC2EA1">
      <w:pPr>
        <w:contextualSpacing/>
        <w:rPr>
          <w:rFonts w:cs="Calibri"/>
          <w:szCs w:val="22"/>
          <w14:ligatures w14:val="standardContextual"/>
        </w:rPr>
      </w:pPr>
    </w:p>
    <w:p w14:paraId="5C1EE0A8" w14:textId="77777777" w:rsidR="00AC2EA1" w:rsidRPr="00D755D6" w:rsidRDefault="00AC2EA1" w:rsidP="00AC2EA1">
      <w:pPr>
        <w:ind w:left="567" w:right="567"/>
        <w:rPr>
          <w:rFonts w:cs="Arial"/>
          <w:color w:val="000000" w:themeColor="text1"/>
          <w:sz w:val="18"/>
          <w:szCs w:val="18"/>
          <w:lang w:eastAsia="nl-NL"/>
          <w14:ligatures w14:val="standardContextual"/>
        </w:rPr>
      </w:pPr>
      <w:r w:rsidRPr="00D755D6">
        <w:rPr>
          <w:rFonts w:cs="Arial"/>
          <w:color w:val="000000" w:themeColor="text1"/>
          <w:sz w:val="18"/>
          <w:szCs w:val="18"/>
          <w:lang w:eastAsia="nl-NL"/>
          <w14:ligatures w14:val="standardContextual"/>
        </w:rPr>
        <w:t xml:space="preserve">“In case the DNA marker test result does not confirm the declaration in the Technical Questionnaire, a field trial or </w:t>
      </w:r>
      <w:proofErr w:type="gramStart"/>
      <w:r w:rsidRPr="00D755D6">
        <w:rPr>
          <w:rFonts w:cs="Arial"/>
          <w:color w:val="000000" w:themeColor="text1"/>
          <w:sz w:val="18"/>
          <w:szCs w:val="18"/>
          <w:lang w:eastAsia="nl-NL"/>
          <w14:ligatures w14:val="standardContextual"/>
        </w:rPr>
        <w:t>bio-assay</w:t>
      </w:r>
      <w:proofErr w:type="gramEnd"/>
      <w:r w:rsidRPr="00D755D6">
        <w:rPr>
          <w:rFonts w:cs="Arial"/>
          <w:color w:val="000000" w:themeColor="text1"/>
          <w:sz w:val="18"/>
          <w:szCs w:val="18"/>
          <w:lang w:eastAsia="nl-NL"/>
          <w14:ligatures w14:val="standardContextual"/>
        </w:rPr>
        <w:t xml:space="preserve"> should be performed. </w:t>
      </w:r>
      <w:r w:rsidRPr="00D755D6">
        <w:rPr>
          <w:rFonts w:cs="Arial"/>
          <w:strike/>
          <w:color w:val="000000" w:themeColor="text1"/>
          <w:sz w:val="18"/>
          <w:szCs w:val="18"/>
          <w:highlight w:val="lightGray"/>
          <w:lang w:eastAsia="nl-NL"/>
          <w14:ligatures w14:val="standardContextual"/>
        </w:rPr>
        <w:t>to assess the correctness of the declaration in the Technical Questionnaire</w:t>
      </w:r>
      <w:r w:rsidRPr="00D755D6">
        <w:rPr>
          <w:rFonts w:cs="Arial"/>
          <w:color w:val="000000" w:themeColor="text1"/>
          <w:sz w:val="18"/>
          <w:szCs w:val="18"/>
          <w:highlight w:val="lightGray"/>
          <w:lang w:eastAsia="nl-NL"/>
          <w14:ligatures w14:val="standardContextual"/>
        </w:rPr>
        <w:t>.</w:t>
      </w:r>
      <w:r w:rsidRPr="00D755D6">
        <w:rPr>
          <w:rFonts w:cs="Arial"/>
          <w:color w:val="000000" w:themeColor="text1"/>
          <w:sz w:val="18"/>
          <w:szCs w:val="18"/>
          <w:lang w:eastAsia="nl-NL"/>
          <w14:ligatures w14:val="standardContextual"/>
        </w:rPr>
        <w:t xml:space="preserve">’” </w:t>
      </w:r>
    </w:p>
    <w:p w14:paraId="279D7808" w14:textId="77777777" w:rsidR="00AC2EA1" w:rsidRPr="00F07B06" w:rsidRDefault="00AC2EA1" w:rsidP="00AC2EA1"/>
    <w:p w14:paraId="5F128D11" w14:textId="77777777" w:rsidR="00AC2EA1" w:rsidRPr="005D7F77" w:rsidRDefault="00AC2EA1" w:rsidP="00AC2EA1">
      <w:pPr>
        <w:pStyle w:val="ListParagraph"/>
        <w:ind w:left="0"/>
      </w:pPr>
      <w:r w:rsidRPr="00F07B06">
        <w:fldChar w:fldCharType="begin"/>
      </w:r>
      <w:r w:rsidRPr="00F07B06">
        <w:instrText xml:space="preserve"> AUTONUM  </w:instrText>
      </w:r>
      <w:r w:rsidRPr="00F07B06">
        <w:fldChar w:fldCharType="end"/>
      </w:r>
      <w:r w:rsidRPr="00F07B06">
        <w:tab/>
        <w:t>The TW</w:t>
      </w:r>
      <w:r>
        <w:rPr>
          <w:rFonts w:eastAsiaTheme="minorEastAsia" w:hint="eastAsia"/>
          <w:lang w:eastAsia="ja-JP"/>
        </w:rPr>
        <w:t>V</w:t>
      </w:r>
      <w:r w:rsidRPr="00F07B06">
        <w:t xml:space="preserve"> </w:t>
      </w:r>
      <w:r w:rsidRPr="005D7F77">
        <w:t>agreed the following amendments to the text on “Table 1”:</w:t>
      </w:r>
    </w:p>
    <w:p w14:paraId="65BAADEC" w14:textId="77777777" w:rsidR="00AC2EA1" w:rsidRPr="005D7F77" w:rsidRDefault="00AC2EA1" w:rsidP="00AC2EA1">
      <w:pPr>
        <w:pStyle w:val="ListParagraph"/>
      </w:pPr>
    </w:p>
    <w:p w14:paraId="45AF3464" w14:textId="77777777" w:rsidR="00AC2EA1" w:rsidRDefault="00AC2EA1" w:rsidP="00AC2EA1">
      <w:pPr>
        <w:pStyle w:val="ListParagraph"/>
        <w:numPr>
          <w:ilvl w:val="0"/>
          <w:numId w:val="19"/>
        </w:numPr>
        <w:jc w:val="both"/>
      </w:pPr>
      <w:r>
        <w:t>Items 1 and 2: to update reference to current version of the Tomato Test Guidelines (TG/44/12)</w:t>
      </w:r>
    </w:p>
    <w:p w14:paraId="6D79AB41" w14:textId="77777777" w:rsidR="00AC2EA1" w:rsidRDefault="00AC2EA1" w:rsidP="00AC2EA1"/>
    <w:p w14:paraId="6FABCF07" w14:textId="77777777" w:rsidR="00AC2EA1" w:rsidRDefault="00AC2EA1" w:rsidP="00AC2EA1">
      <w:pPr>
        <w:pStyle w:val="ListParagraph"/>
        <w:numPr>
          <w:ilvl w:val="0"/>
          <w:numId w:val="19"/>
        </w:numPr>
        <w:jc w:val="both"/>
      </w:pPr>
      <w:r>
        <w:t xml:space="preserve">Item 8: to read “[…] In case the DNA marker test result does not confirm the declaration in the Technical Questionnaire, a field trial or </w:t>
      </w:r>
      <w:proofErr w:type="gramStart"/>
      <w:r>
        <w:t>bio-assay</w:t>
      </w:r>
      <w:proofErr w:type="gramEnd"/>
      <w:r>
        <w:t xml:space="preserve"> should be performed </w:t>
      </w:r>
      <w:r>
        <w:rPr>
          <w:strike/>
          <w:highlight w:val="lightGray"/>
        </w:rPr>
        <w:t>to assess the correctness of the declaration in the Technical Questionnaire</w:t>
      </w:r>
      <w:r>
        <w:t>.”</w:t>
      </w:r>
    </w:p>
    <w:p w14:paraId="5612A500" w14:textId="77777777" w:rsidR="0080077B" w:rsidRDefault="0080077B" w:rsidP="0080077B">
      <w:pPr>
        <w:rPr>
          <w:lang w:eastAsia="ja-JP"/>
        </w:rPr>
      </w:pPr>
    </w:p>
    <w:p w14:paraId="7E4AFDD9" w14:textId="77777777" w:rsidR="00EB5A96" w:rsidRDefault="00EB5A96" w:rsidP="00AC2EA1"/>
    <w:p w14:paraId="04FE4D90" w14:textId="25928ADB" w:rsidR="00CA5C5B" w:rsidRDefault="008D2D25" w:rsidP="00642CEF">
      <w:pPr>
        <w:pStyle w:val="Heading3"/>
      </w:pPr>
      <w:bookmarkStart w:id="8" w:name="_Toc210139281"/>
      <w:r w:rsidRPr="00145B4D">
        <w:lastRenderedPageBreak/>
        <w:t>Trade Secret</w:t>
      </w:r>
      <w:r w:rsidRPr="008D2D25">
        <w:t xml:space="preserve"> Molecular Markers</w:t>
      </w:r>
      <w:bookmarkEnd w:id="8"/>
      <w:r>
        <w:t xml:space="preserve"> </w:t>
      </w:r>
    </w:p>
    <w:p w14:paraId="27CCEBBD" w14:textId="77777777" w:rsidR="00EB5A96" w:rsidRDefault="00EB5A96" w:rsidP="00642CEF">
      <w:pPr>
        <w:keepNext/>
      </w:pPr>
    </w:p>
    <w:p w14:paraId="27821E40" w14:textId="37E3AA92" w:rsidR="00AC2EA1" w:rsidRPr="00F07B06" w:rsidRDefault="00AC2EA1" w:rsidP="001F298F">
      <w:r w:rsidRPr="00F07B06">
        <w:fldChar w:fldCharType="begin"/>
      </w:r>
      <w:r w:rsidRPr="00F07B06">
        <w:instrText xml:space="preserve"> AUTONUM  </w:instrText>
      </w:r>
      <w:r w:rsidRPr="00F07B06">
        <w:fldChar w:fldCharType="end"/>
      </w:r>
      <w:r w:rsidRPr="00F07B06">
        <w:tab/>
      </w:r>
      <w:r>
        <w:t xml:space="preserve">The TWO discussed, in the context of the development of UPOV Test Guidelines, matters to be </w:t>
      </w:r>
      <w:r w:rsidRPr="00221BB8">
        <w:t>considered on the use of molecular markers that might be trade secret (see</w:t>
      </w:r>
      <w:r w:rsidR="00DA1F61" w:rsidRPr="00221BB8">
        <w:t xml:space="preserve"> Annex to this document,</w:t>
      </w:r>
      <w:r>
        <w:t xml:space="preserve"> paragraph</w:t>
      </w:r>
      <w:r w:rsidR="00EB5A96">
        <w:t> </w:t>
      </w:r>
      <w:r>
        <w:t xml:space="preserve">31). </w:t>
      </w:r>
      <w:r>
        <w:rPr>
          <w:rFonts w:hint="eastAsia"/>
          <w:lang w:eastAsia="ja-JP"/>
        </w:rPr>
        <w:t xml:space="preserve"> </w:t>
      </w:r>
      <w:r>
        <w:t>The TWO noted that in such cases, the marker would not be described in the Test</w:t>
      </w:r>
      <w:r w:rsidR="00650BCB">
        <w:t> </w:t>
      </w:r>
      <w:r>
        <w:t xml:space="preserve">Guidelines, and permission would be required from the owner of the marker to be used by UPOV members. </w:t>
      </w:r>
      <w:r>
        <w:rPr>
          <w:rFonts w:hint="eastAsia"/>
          <w:lang w:eastAsia="ja-JP"/>
        </w:rPr>
        <w:t xml:space="preserve"> </w:t>
      </w:r>
      <w:r>
        <w:t xml:space="preserve">The TWO noted that molecular markers were most frequently provided by the breeders and was of the view that access for UPOV members to the markers which might be </w:t>
      </w:r>
      <w:r w:rsidR="00650BCB">
        <w:t>a trade</w:t>
      </w:r>
      <w:r>
        <w:t xml:space="preserve"> secret would be important for international cooperation and exchange of DUS test reports.</w:t>
      </w:r>
    </w:p>
    <w:p w14:paraId="0A4823BF" w14:textId="77777777" w:rsidR="0014382F" w:rsidRDefault="0014382F" w:rsidP="0063724C">
      <w:pPr>
        <w:pStyle w:val="ListParagraph"/>
        <w:ind w:left="0"/>
        <w:jc w:val="both"/>
        <w:rPr>
          <w:rFonts w:eastAsiaTheme="minorEastAsia"/>
          <w:lang w:eastAsia="ja-JP"/>
        </w:rPr>
      </w:pPr>
    </w:p>
    <w:p w14:paraId="2BC6AB3C" w14:textId="62AC0425" w:rsidR="003524FA" w:rsidRPr="00DA1F61" w:rsidRDefault="0014382F" w:rsidP="001F298F">
      <w:pPr>
        <w:pStyle w:val="ListParagraph"/>
        <w:ind w:left="0"/>
        <w:jc w:val="both"/>
      </w:pPr>
      <w:r w:rsidRPr="00F07B06">
        <w:fldChar w:fldCharType="begin"/>
      </w:r>
      <w:r w:rsidRPr="00F07B06">
        <w:instrText xml:space="preserve"> AUTONUM  </w:instrText>
      </w:r>
      <w:r w:rsidRPr="00F07B06">
        <w:fldChar w:fldCharType="end"/>
      </w:r>
      <w:r w:rsidRPr="00F07B06">
        <w:tab/>
      </w:r>
      <w:r w:rsidR="00F515A1" w:rsidRPr="00F515A1">
        <w:rPr>
          <w:rFonts w:eastAsiaTheme="minorEastAsia"/>
          <w:lang w:eastAsia="ja-JP"/>
        </w:rPr>
        <w:t xml:space="preserve">The TWA </w:t>
      </w:r>
      <w:r w:rsidR="00C93F66">
        <w:rPr>
          <w:rFonts w:eastAsiaTheme="minorEastAsia"/>
          <w:lang w:eastAsia="ja-JP"/>
        </w:rPr>
        <w:t xml:space="preserve">and TWF </w:t>
      </w:r>
      <w:r w:rsidR="00F515A1" w:rsidRPr="00F515A1">
        <w:rPr>
          <w:rFonts w:eastAsiaTheme="minorEastAsia"/>
          <w:lang w:eastAsia="ja-JP"/>
        </w:rPr>
        <w:t xml:space="preserve">discussed about access to the methods used in Test Guidelines in relation to the situation described in </w:t>
      </w:r>
      <w:r w:rsidR="00F672A7">
        <w:rPr>
          <w:rFonts w:eastAsiaTheme="minorEastAsia"/>
          <w:lang w:eastAsia="ja-JP"/>
        </w:rPr>
        <w:t xml:space="preserve">the </w:t>
      </w:r>
      <w:r w:rsidR="007D744C">
        <w:rPr>
          <w:rFonts w:eastAsiaTheme="minorEastAsia"/>
          <w:lang w:eastAsia="ja-JP"/>
        </w:rPr>
        <w:t xml:space="preserve">Annex, </w:t>
      </w:r>
      <w:r w:rsidR="00F515A1" w:rsidRPr="00F515A1">
        <w:rPr>
          <w:rFonts w:eastAsiaTheme="minorEastAsia"/>
          <w:lang w:eastAsia="ja-JP"/>
        </w:rPr>
        <w:t>paragraph 31</w:t>
      </w:r>
      <w:r w:rsidR="007D744C">
        <w:rPr>
          <w:rFonts w:eastAsiaTheme="minorEastAsia"/>
          <w:lang w:eastAsia="ja-JP"/>
        </w:rPr>
        <w:t>,</w:t>
      </w:r>
      <w:r w:rsidR="00F515A1" w:rsidRPr="00F515A1">
        <w:rPr>
          <w:rFonts w:eastAsiaTheme="minorEastAsia"/>
          <w:lang w:eastAsia="ja-JP"/>
        </w:rPr>
        <w:t xml:space="preserve"> </w:t>
      </w:r>
      <w:r w:rsidR="00D9352F" w:rsidRPr="00DA1F61">
        <w:rPr>
          <w:rFonts w:eastAsiaTheme="minorEastAsia"/>
          <w:lang w:eastAsia="ja-JP"/>
        </w:rPr>
        <w:t xml:space="preserve">of the draft guidance </w:t>
      </w:r>
      <w:r w:rsidR="00F515A1" w:rsidRPr="00DA1F61">
        <w:rPr>
          <w:rFonts w:eastAsiaTheme="minorEastAsia"/>
          <w:lang w:eastAsia="ja-JP"/>
        </w:rPr>
        <w:t xml:space="preserve">(“trade secret protocol”). </w:t>
      </w:r>
      <w:r w:rsidR="00CA226E">
        <w:rPr>
          <w:rFonts w:eastAsiaTheme="minorEastAsia"/>
          <w:lang w:eastAsia="ja-JP"/>
        </w:rPr>
        <w:t xml:space="preserve"> </w:t>
      </w:r>
      <w:r w:rsidR="00F515A1" w:rsidRPr="00DA1F61">
        <w:rPr>
          <w:rFonts w:eastAsiaTheme="minorEastAsia"/>
          <w:lang w:eastAsia="ja-JP"/>
        </w:rPr>
        <w:t>The TWA agreed that further consideration would be required in case a molecular marker with restricted access would be proposed for inclusion in Test Guidelines.</w:t>
      </w:r>
    </w:p>
    <w:p w14:paraId="77C49FF1" w14:textId="77777777" w:rsidR="005F0B8B" w:rsidRDefault="005F0B8B" w:rsidP="005F0B8B">
      <w:pPr>
        <w:rPr>
          <w:lang w:eastAsia="ja-JP"/>
        </w:rPr>
      </w:pPr>
    </w:p>
    <w:p w14:paraId="4D38D105" w14:textId="77777777" w:rsidR="005F0B8B" w:rsidRDefault="005F0B8B" w:rsidP="00882559">
      <w:pPr>
        <w:pStyle w:val="Heading3"/>
        <w:rPr>
          <w:lang w:eastAsia="ja-JP"/>
        </w:rPr>
      </w:pPr>
      <w:bookmarkStart w:id="9" w:name="_Toc210139282"/>
      <w:r w:rsidRPr="00D52685">
        <w:rPr>
          <w:lang w:val="en-GB"/>
        </w:rPr>
        <w:t xml:space="preserve">Standard Protocol </w:t>
      </w:r>
      <w:r>
        <w:rPr>
          <w:lang w:val="en-GB"/>
        </w:rPr>
        <w:t>f</w:t>
      </w:r>
      <w:r w:rsidRPr="00D52685">
        <w:rPr>
          <w:lang w:val="en-GB"/>
        </w:rPr>
        <w:t>or Characteristic-Specific Molecular Marker</w:t>
      </w:r>
      <w:r>
        <w:rPr>
          <w:lang w:val="en-GB"/>
        </w:rPr>
        <w:t xml:space="preserve"> in Test Guidelines</w:t>
      </w:r>
      <w:bookmarkEnd w:id="9"/>
    </w:p>
    <w:p w14:paraId="17B77905" w14:textId="77777777" w:rsidR="005F0B8B" w:rsidRPr="00F07B06" w:rsidRDefault="005F0B8B" w:rsidP="005F0B8B"/>
    <w:p w14:paraId="74AA843D" w14:textId="6A967650" w:rsidR="005F0B8B" w:rsidRDefault="005F0B8B" w:rsidP="005F0B8B">
      <w:pPr>
        <w:pStyle w:val="ListParagraph"/>
        <w:ind w:left="0"/>
        <w:jc w:val="both"/>
        <w:rPr>
          <w:rFonts w:eastAsiaTheme="minorEastAsia"/>
          <w:lang w:eastAsia="ja-JP"/>
        </w:rPr>
      </w:pPr>
      <w:r w:rsidRPr="00F07B06">
        <w:fldChar w:fldCharType="begin"/>
      </w:r>
      <w:r w:rsidRPr="00F07B06">
        <w:instrText xml:space="preserve"> AUTONUM  </w:instrText>
      </w:r>
      <w:r w:rsidRPr="00F07B06">
        <w:fldChar w:fldCharType="end"/>
      </w:r>
      <w:r w:rsidRPr="00F07B06">
        <w:tab/>
        <w:t>The TW</w:t>
      </w:r>
      <w:r>
        <w:rPr>
          <w:rFonts w:eastAsiaTheme="minorEastAsia" w:hint="eastAsia"/>
          <w:lang w:eastAsia="ja-JP"/>
        </w:rPr>
        <w:t>A</w:t>
      </w:r>
      <w:r>
        <w:rPr>
          <w:rFonts w:eastAsiaTheme="minorEastAsia"/>
          <w:lang w:eastAsia="ja-JP"/>
        </w:rPr>
        <w:t xml:space="preserve"> and TWF</w:t>
      </w:r>
      <w:r w:rsidRPr="00F07B06">
        <w:t xml:space="preserve"> </w:t>
      </w:r>
      <w:r w:rsidRPr="00F515A1">
        <w:rPr>
          <w:rFonts w:eastAsiaTheme="minorEastAsia"/>
          <w:lang w:eastAsia="ja-JP"/>
        </w:rPr>
        <w:t xml:space="preserve">agreed that the </w:t>
      </w:r>
      <w:r>
        <w:rPr>
          <w:rFonts w:eastAsiaTheme="minorEastAsia"/>
          <w:lang w:eastAsia="ja-JP"/>
        </w:rPr>
        <w:t xml:space="preserve">proposed standard </w:t>
      </w:r>
      <w:r w:rsidRPr="00CA5C5B">
        <w:rPr>
          <w:rFonts w:eastAsiaTheme="minorEastAsia"/>
          <w:lang w:eastAsia="ja-JP"/>
        </w:rPr>
        <w:t>protocol</w:t>
      </w:r>
      <w:r w:rsidRPr="00F515A1">
        <w:rPr>
          <w:rFonts w:eastAsiaTheme="minorEastAsia"/>
          <w:lang w:eastAsia="ja-JP"/>
        </w:rPr>
        <w:t xml:space="preserve"> for characteristic assessment using molecular marker provided a suitable basis for harmonizing how information should be provided in </w:t>
      </w:r>
      <w:r w:rsidRPr="00221BB8">
        <w:rPr>
          <w:rFonts w:eastAsiaTheme="minorEastAsia"/>
          <w:lang w:eastAsia="ja-JP"/>
        </w:rPr>
        <w:t>Test Guidelines (see Annex, Section V “</w:t>
      </w:r>
      <w:r w:rsidRPr="00221BB8">
        <w:rPr>
          <w:rFonts w:eastAsia="Times New Roman"/>
          <w:lang w:val="en-GB"/>
        </w:rPr>
        <w:t>Standard Protocol for Characteristic-Specific Molecular Marker</w:t>
      </w:r>
      <w:r w:rsidRPr="00221BB8">
        <w:rPr>
          <w:rFonts w:eastAsiaTheme="minorEastAsia"/>
          <w:lang w:eastAsia="ja-JP"/>
        </w:rPr>
        <w:t>”).</w:t>
      </w:r>
    </w:p>
    <w:p w14:paraId="4CA006AE" w14:textId="77777777" w:rsidR="005F0B8B" w:rsidRDefault="005F0B8B" w:rsidP="005F0B8B"/>
    <w:p w14:paraId="4790E5F9" w14:textId="63E49965" w:rsidR="00537E91" w:rsidRDefault="00895431" w:rsidP="00882559">
      <w:pPr>
        <w:pStyle w:val="Heading3"/>
        <w:rPr>
          <w:lang w:eastAsia="ja-JP"/>
        </w:rPr>
      </w:pPr>
      <w:bookmarkStart w:id="10" w:name="_Toc210139283"/>
      <w:r w:rsidRPr="00895431">
        <w:t>Characteristics Developed Using New Breeding Techniques</w:t>
      </w:r>
      <w:bookmarkEnd w:id="10"/>
    </w:p>
    <w:p w14:paraId="2BEB87B1" w14:textId="77777777" w:rsidR="007F72C4" w:rsidRPr="00145B4D" w:rsidRDefault="007F72C4" w:rsidP="00B52114">
      <w:pPr>
        <w:pStyle w:val="ListParagraph"/>
        <w:ind w:left="0"/>
        <w:jc w:val="both"/>
        <w:rPr>
          <w:rFonts w:eastAsiaTheme="minorEastAsia"/>
          <w:lang w:eastAsia="ja-JP"/>
        </w:rPr>
      </w:pPr>
    </w:p>
    <w:p w14:paraId="1975DEBF" w14:textId="15CC9374" w:rsidR="00B52114" w:rsidRPr="00E93F0D" w:rsidRDefault="00B52114" w:rsidP="00B52114">
      <w:pPr>
        <w:pStyle w:val="ListParagraph"/>
        <w:ind w:left="0"/>
        <w:jc w:val="both"/>
        <w:rPr>
          <w:rFonts w:eastAsiaTheme="minorEastAsia"/>
          <w:lang w:eastAsia="ja-JP"/>
        </w:rPr>
      </w:pPr>
      <w:r w:rsidRPr="00145B4D">
        <w:fldChar w:fldCharType="begin"/>
      </w:r>
      <w:r w:rsidRPr="00145B4D">
        <w:instrText xml:space="preserve"> AUTONUM  </w:instrText>
      </w:r>
      <w:r w:rsidRPr="00145B4D">
        <w:fldChar w:fldCharType="end"/>
      </w:r>
      <w:r w:rsidRPr="00145B4D">
        <w:tab/>
        <w:t xml:space="preserve">The TWF discussed the use of molecular markers to assess characteristics developed using new breeding techniques. </w:t>
      </w:r>
      <w:r w:rsidR="00CE7ED7">
        <w:t xml:space="preserve"> </w:t>
      </w:r>
      <w:r w:rsidRPr="00145B4D">
        <w:t>The TWF noted there was no experience reported on this matter and agreed to receive an update on experiences concerning the topic in future.</w:t>
      </w:r>
    </w:p>
    <w:p w14:paraId="264DA7CA" w14:textId="77777777" w:rsidR="00342001" w:rsidRDefault="00342001" w:rsidP="00EF4B00"/>
    <w:p w14:paraId="7C256A0A" w14:textId="77777777" w:rsidR="00221BB8" w:rsidRPr="00145B4D" w:rsidRDefault="00221BB8" w:rsidP="00EF4B00"/>
    <w:p w14:paraId="4B870AFB" w14:textId="18FA92EC" w:rsidR="00A7229D" w:rsidRPr="00145B4D" w:rsidRDefault="00A7229D" w:rsidP="00EF24D5">
      <w:pPr>
        <w:pStyle w:val="Heading2"/>
        <w:rPr>
          <w:lang w:eastAsia="ja-JP"/>
        </w:rPr>
      </w:pPr>
      <w:bookmarkStart w:id="11" w:name="_Toc176335742"/>
      <w:bookmarkStart w:id="12" w:name="_Toc210139284"/>
      <w:r w:rsidRPr="00145B4D">
        <w:t>Pr</w:t>
      </w:r>
      <w:bookmarkEnd w:id="11"/>
      <w:r w:rsidR="00270BD7" w:rsidRPr="00145B4D">
        <w:rPr>
          <w:rFonts w:hint="eastAsia"/>
          <w:lang w:eastAsia="ja-JP"/>
        </w:rPr>
        <w:t>oposal</w:t>
      </w:r>
      <w:bookmarkEnd w:id="12"/>
    </w:p>
    <w:p w14:paraId="26BFF67B" w14:textId="77777777" w:rsidR="00270BD7" w:rsidRPr="00440730" w:rsidRDefault="00270BD7" w:rsidP="00145CA2">
      <w:pPr>
        <w:keepNext/>
        <w:rPr>
          <w:lang w:eastAsia="ja-JP"/>
        </w:rPr>
      </w:pPr>
    </w:p>
    <w:p w14:paraId="16BD0C70" w14:textId="65A9B430" w:rsidR="00A7229D" w:rsidRPr="00440730" w:rsidRDefault="00A7229D" w:rsidP="001F298F">
      <w:pPr>
        <w:rPr>
          <w:lang w:eastAsia="ja-JP"/>
        </w:rPr>
      </w:pPr>
      <w:r w:rsidRPr="00440730">
        <w:fldChar w:fldCharType="begin"/>
      </w:r>
      <w:r w:rsidRPr="00440730">
        <w:instrText xml:space="preserve"> AUTONUM  </w:instrText>
      </w:r>
      <w:r w:rsidRPr="00440730">
        <w:fldChar w:fldCharType="end"/>
      </w:r>
      <w:r w:rsidRPr="00440730">
        <w:tab/>
      </w:r>
      <w:r w:rsidR="00884600">
        <w:t>Based on</w:t>
      </w:r>
      <w:r w:rsidRPr="00440730">
        <w:t xml:space="preserve"> the comments from the TWPs, at their sessions in 202</w:t>
      </w:r>
      <w:r w:rsidR="00DC4D1B" w:rsidRPr="00440730">
        <w:rPr>
          <w:rFonts w:hint="eastAsia"/>
          <w:lang w:eastAsia="ja-JP"/>
        </w:rPr>
        <w:t>5</w:t>
      </w:r>
      <w:r w:rsidRPr="00440730">
        <w:t xml:space="preserve">, the TC may wish to consider </w:t>
      </w:r>
      <w:r w:rsidR="009834A3">
        <w:t xml:space="preserve">the </w:t>
      </w:r>
      <w:r w:rsidR="0098754F">
        <w:t xml:space="preserve">proposed guidance </w:t>
      </w:r>
      <w:r w:rsidR="002709DB">
        <w:t xml:space="preserve">for </w:t>
      </w:r>
      <w:r w:rsidR="00DF0A78">
        <w:t xml:space="preserve">the validation of molecular markers for </w:t>
      </w:r>
      <w:r w:rsidR="00132FC5">
        <w:t xml:space="preserve">inclusion in Test Guidelines as alternative methods of examination.  </w:t>
      </w:r>
      <w:r w:rsidR="004E1F5A">
        <w:t>The TC may wish to conside</w:t>
      </w:r>
      <w:r w:rsidR="00EE6B94">
        <w:t xml:space="preserve">r the </w:t>
      </w:r>
      <w:r w:rsidR="00101639">
        <w:t xml:space="preserve">inclusion of the proposed guidance in </w:t>
      </w:r>
      <w:r w:rsidR="00B767CC">
        <w:t xml:space="preserve">the </w:t>
      </w:r>
      <w:r w:rsidR="00E91CCF">
        <w:t xml:space="preserve">UPOV </w:t>
      </w:r>
      <w:r w:rsidR="006E4B3B">
        <w:t xml:space="preserve">series of </w:t>
      </w:r>
      <w:r w:rsidR="004777B2">
        <w:t>documents</w:t>
      </w:r>
      <w:r w:rsidR="006E4B3B">
        <w:t xml:space="preserve"> </w:t>
      </w:r>
      <w:r w:rsidR="00291EBF">
        <w:t>specifying</w:t>
      </w:r>
      <w:r w:rsidR="004777B2">
        <w:t xml:space="preserve"> Test Guidelines’ Procedures</w:t>
      </w:r>
      <w:r w:rsidR="00A47C5C">
        <w:t xml:space="preserve"> (</w:t>
      </w:r>
      <w:r w:rsidR="009D7047">
        <w:t>“TGP documents</w:t>
      </w:r>
      <w:r w:rsidR="009D7047" w:rsidRPr="00485129">
        <w:t>”</w:t>
      </w:r>
      <w:r w:rsidR="00485129">
        <w:t>).</w:t>
      </w:r>
    </w:p>
    <w:p w14:paraId="3C0B092B" w14:textId="77777777" w:rsidR="00A7229D" w:rsidRPr="00440730" w:rsidRDefault="00A7229D" w:rsidP="00A7229D"/>
    <w:p w14:paraId="0E6B9017" w14:textId="7090EE3A" w:rsidR="00ED2FBB" w:rsidRDefault="00A7229D" w:rsidP="00ED2FBB">
      <w:pPr>
        <w:pStyle w:val="DecisionParagraphs"/>
      </w:pPr>
      <w:r w:rsidRPr="00440730">
        <w:rPr>
          <w:rFonts w:eastAsia="MS Mincho"/>
        </w:rPr>
        <w:fldChar w:fldCharType="begin"/>
      </w:r>
      <w:r w:rsidRPr="00440730">
        <w:rPr>
          <w:rFonts w:eastAsia="MS Mincho"/>
        </w:rPr>
        <w:instrText xml:space="preserve"> AUTONUM  </w:instrText>
      </w:r>
      <w:r w:rsidRPr="00440730">
        <w:rPr>
          <w:rFonts w:eastAsia="MS Mincho"/>
        </w:rPr>
        <w:fldChar w:fldCharType="end"/>
      </w:r>
      <w:r w:rsidRPr="00440730">
        <w:rPr>
          <w:rFonts w:eastAsia="MS Mincho"/>
        </w:rPr>
        <w:tab/>
      </w:r>
      <w:r w:rsidRPr="00440730">
        <w:t>The TC is invited to consider</w:t>
      </w:r>
      <w:r w:rsidR="00DB26D0">
        <w:t xml:space="preserve"> </w:t>
      </w:r>
      <w:r w:rsidR="00895393">
        <w:t>the</w:t>
      </w:r>
      <w:r w:rsidRPr="00440730">
        <w:t xml:space="preserve"> propos</w:t>
      </w:r>
      <w:r w:rsidR="000B17C9">
        <w:t>ed guidance</w:t>
      </w:r>
      <w:r w:rsidRPr="00440730">
        <w:t xml:space="preserve"> </w:t>
      </w:r>
      <w:r w:rsidR="009F3FA7">
        <w:t xml:space="preserve">for validation of molecular markers in </w:t>
      </w:r>
      <w:r w:rsidR="009F3FA7" w:rsidRPr="00221BB8">
        <w:t>Test</w:t>
      </w:r>
      <w:r w:rsidR="00221BB8">
        <w:t xml:space="preserve"> </w:t>
      </w:r>
      <w:r w:rsidR="009F3FA7" w:rsidRPr="00221BB8">
        <w:t>Guidelines</w:t>
      </w:r>
      <w:r w:rsidR="003445B5" w:rsidRPr="00221BB8">
        <w:t>,</w:t>
      </w:r>
      <w:r w:rsidR="00DB26D0" w:rsidRPr="00221BB8">
        <w:t xml:space="preserve"> as set out in </w:t>
      </w:r>
      <w:r w:rsidR="00221BB8" w:rsidRPr="00221BB8">
        <w:t xml:space="preserve">the </w:t>
      </w:r>
      <w:r w:rsidR="00DB26D0" w:rsidRPr="00221BB8">
        <w:t>Annex to this</w:t>
      </w:r>
      <w:r w:rsidR="00DB26D0">
        <w:t xml:space="preserve"> document</w:t>
      </w:r>
      <w:r w:rsidR="00ED2FBB">
        <w:t xml:space="preserve">. </w:t>
      </w:r>
    </w:p>
    <w:p w14:paraId="5A101B3D" w14:textId="77777777" w:rsidR="00550FF9" w:rsidRDefault="00550FF9" w:rsidP="00EF4B00"/>
    <w:p w14:paraId="535B9F03" w14:textId="77777777" w:rsidR="001F298F" w:rsidRDefault="001F298F" w:rsidP="00EF4B00"/>
    <w:p w14:paraId="557C9F6A" w14:textId="77777777" w:rsidR="00221BB8" w:rsidRPr="00F07B06" w:rsidRDefault="00221BB8" w:rsidP="00EF4B00"/>
    <w:p w14:paraId="048EE061" w14:textId="2ABEE590" w:rsidR="00EF4B00" w:rsidRPr="00F07B06" w:rsidRDefault="00EF4B00" w:rsidP="00311464">
      <w:pPr>
        <w:pStyle w:val="Heading1"/>
      </w:pPr>
      <w:bookmarkStart w:id="13" w:name="_Toc177773941"/>
      <w:bookmarkStart w:id="14" w:name="_Toc210139285"/>
      <w:r w:rsidRPr="00F07B06">
        <w:t xml:space="preserve">Confidentiality </w:t>
      </w:r>
      <w:r w:rsidR="00825360" w:rsidRPr="00F07B06">
        <w:t>and</w:t>
      </w:r>
      <w:r w:rsidRPr="00F07B06">
        <w:t xml:space="preserve"> Ownership of Molecular Information</w:t>
      </w:r>
      <w:bookmarkEnd w:id="1"/>
      <w:bookmarkEnd w:id="2"/>
      <w:bookmarkEnd w:id="13"/>
      <w:bookmarkEnd w:id="14"/>
    </w:p>
    <w:p w14:paraId="784293B8" w14:textId="77777777" w:rsidR="00EF4B00" w:rsidRPr="00F07B06" w:rsidRDefault="00EF4B00" w:rsidP="00975B88">
      <w:pPr>
        <w:keepNext/>
      </w:pPr>
    </w:p>
    <w:p w14:paraId="2D29F9AC" w14:textId="77777777" w:rsidR="00EF4B00" w:rsidRPr="00F07B06" w:rsidRDefault="00EF4B00" w:rsidP="00EF24D5">
      <w:pPr>
        <w:pStyle w:val="Heading2"/>
      </w:pPr>
      <w:bookmarkStart w:id="15" w:name="_Toc177773942"/>
      <w:bookmarkStart w:id="16" w:name="_Toc210139286"/>
      <w:r w:rsidRPr="00F07B06">
        <w:t>Background</w:t>
      </w:r>
      <w:bookmarkEnd w:id="15"/>
      <w:bookmarkEnd w:id="16"/>
    </w:p>
    <w:p w14:paraId="639A3579" w14:textId="77777777" w:rsidR="004730C8" w:rsidRDefault="004730C8" w:rsidP="004730C8"/>
    <w:p w14:paraId="40004238" w14:textId="2918F543" w:rsidR="00EF4B00" w:rsidRPr="00F07B06" w:rsidRDefault="00F6462C" w:rsidP="00FA1C4F">
      <w:r w:rsidRPr="00560089">
        <w:fldChar w:fldCharType="begin"/>
      </w:r>
      <w:r w:rsidRPr="00560089">
        <w:instrText xml:space="preserve"> AUTONUM  </w:instrText>
      </w:r>
      <w:r w:rsidRPr="00560089">
        <w:fldChar w:fldCharType="end"/>
      </w:r>
      <w:r w:rsidRPr="00560089">
        <w:tab/>
      </w:r>
      <w:r w:rsidR="00B17ED9" w:rsidRPr="00560089">
        <w:t xml:space="preserve">Since 2019, </w:t>
      </w:r>
      <w:r w:rsidR="00E046C3" w:rsidRPr="00560089">
        <w:t xml:space="preserve">discussions on cooperation </w:t>
      </w:r>
      <w:r w:rsidR="00005CE9" w:rsidRPr="00560089">
        <w:t xml:space="preserve">in relation to the use of molecular techniques </w:t>
      </w:r>
      <w:r w:rsidR="00DB2D3C" w:rsidRPr="00560089">
        <w:t xml:space="preserve">include the </w:t>
      </w:r>
      <w:r w:rsidR="004A0FFD">
        <w:t>request to address</w:t>
      </w:r>
      <w:r w:rsidR="00DB2D3C" w:rsidRPr="00560089">
        <w:t xml:space="preserve"> guidance on </w:t>
      </w:r>
      <w:r w:rsidR="0097706E" w:rsidRPr="00560089">
        <w:t>ownership and confidentiality of molecular information (see</w:t>
      </w:r>
      <w:r w:rsidR="00081B61" w:rsidRPr="00560089">
        <w:t xml:space="preserve"> document </w:t>
      </w:r>
      <w:hyperlink r:id="rId13" w:history="1">
        <w:r w:rsidR="00081B61" w:rsidRPr="00560089">
          <w:rPr>
            <w:rStyle w:val="Hyperlink"/>
          </w:rPr>
          <w:t>TC/55/7</w:t>
        </w:r>
      </w:hyperlink>
      <w:r w:rsidR="00081B61" w:rsidRPr="00560089">
        <w:t xml:space="preserve"> “Molecular Techniques”)</w:t>
      </w:r>
      <w:r w:rsidR="00892001" w:rsidRPr="00560089">
        <w:t xml:space="preserve">.  </w:t>
      </w:r>
      <w:r w:rsidR="00B01CD5" w:rsidRPr="00560089">
        <w:t xml:space="preserve">At </w:t>
      </w:r>
      <w:r w:rsidR="002A29A3" w:rsidRPr="00560089">
        <w:t>its fifty-eighth session</w:t>
      </w:r>
      <w:r w:rsidR="002A29A3" w:rsidRPr="00560089">
        <w:rPr>
          <w:vertAlign w:val="superscript"/>
        </w:rPr>
        <w:footnoteReference w:id="8"/>
      </w:r>
      <w:r w:rsidR="002A29A3" w:rsidRPr="00560089">
        <w:t xml:space="preserve">, </w:t>
      </w:r>
      <w:r w:rsidR="000C22CC" w:rsidRPr="00560089">
        <w:t>the TC noted the concerns expressed by breeders’ organizations that molecular information used during the examination of a variety should not be shared by the authority that received the application without the permission of the breeder</w:t>
      </w:r>
      <w:r w:rsidR="002A29A3" w:rsidRPr="00560089">
        <w:t>.</w:t>
      </w:r>
      <w:r w:rsidR="00090551" w:rsidRPr="00560089">
        <w:t xml:space="preserve">  </w:t>
      </w:r>
      <w:r w:rsidR="002D2C7C" w:rsidRPr="00560089">
        <w:t xml:space="preserve">The TC invited members and </w:t>
      </w:r>
      <w:r w:rsidR="00EF4B00" w:rsidRPr="00560089">
        <w:t xml:space="preserve">observers to report </w:t>
      </w:r>
      <w:r w:rsidR="00986E0C" w:rsidRPr="00560089">
        <w:t xml:space="preserve">on </w:t>
      </w:r>
      <w:r w:rsidR="00EF4B00" w:rsidRPr="00560089">
        <w:t>existing policies on confidentiality of molecular information at the TWPs, at their sessions in 2023</w:t>
      </w:r>
      <w:r w:rsidR="00CE1599" w:rsidRPr="00560089">
        <w:rPr>
          <w:vertAlign w:val="superscript"/>
        </w:rPr>
        <w:t>7</w:t>
      </w:r>
      <w:r w:rsidR="002D2C7C" w:rsidRPr="00560089">
        <w:t>, 2024</w:t>
      </w:r>
      <w:r w:rsidR="00CE1599" w:rsidRPr="00560089">
        <w:rPr>
          <w:vertAlign w:val="superscript"/>
        </w:rPr>
        <w:footnoteReference w:id="9"/>
      </w:r>
      <w:r w:rsidR="002D2C7C" w:rsidRPr="00560089">
        <w:t xml:space="preserve"> and 2025</w:t>
      </w:r>
      <w:r w:rsidR="002D2C7C" w:rsidRPr="00560089">
        <w:rPr>
          <w:vertAlign w:val="superscript"/>
        </w:rPr>
        <w:footnoteReference w:id="10"/>
      </w:r>
      <w:r w:rsidR="002D2C7C" w:rsidRPr="00560089">
        <w:t>.</w:t>
      </w:r>
      <w:r w:rsidR="00986E0C">
        <w:t xml:space="preserve"> </w:t>
      </w:r>
    </w:p>
    <w:p w14:paraId="3099E96D" w14:textId="77777777" w:rsidR="005963F0" w:rsidRPr="005C297B" w:rsidRDefault="005963F0" w:rsidP="005963F0">
      <w:pPr>
        <w:pStyle w:val="ListParagraph"/>
        <w:ind w:left="0"/>
        <w:jc w:val="both"/>
        <w:rPr>
          <w:rFonts w:eastAsiaTheme="minorEastAsia"/>
          <w:lang w:eastAsia="ja-JP"/>
        </w:rPr>
      </w:pPr>
    </w:p>
    <w:p w14:paraId="33033FFA" w14:textId="77777777" w:rsidR="00DD1446" w:rsidRDefault="00DD1446" w:rsidP="001F298F">
      <w:pPr>
        <w:pStyle w:val="Heading3"/>
      </w:pPr>
      <w:bookmarkStart w:id="17" w:name="_Toc210139287"/>
      <w:r>
        <w:lastRenderedPageBreak/>
        <w:t>Existing guidance</w:t>
      </w:r>
      <w:bookmarkEnd w:id="17"/>
    </w:p>
    <w:p w14:paraId="1EBA237A" w14:textId="77777777" w:rsidR="00DD1446" w:rsidRDefault="00DD1446" w:rsidP="001F298F">
      <w:pPr>
        <w:keepNext/>
      </w:pPr>
    </w:p>
    <w:p w14:paraId="65EFC800" w14:textId="77777777" w:rsidR="00DD1446" w:rsidRDefault="00DD1446" w:rsidP="001F298F">
      <w:pPr>
        <w:keepNext/>
      </w:pPr>
      <w:r>
        <w:fldChar w:fldCharType="begin"/>
      </w:r>
      <w:r>
        <w:instrText xml:space="preserve"> AUTONUM  </w:instrText>
      </w:r>
      <w:r>
        <w:fldChar w:fldCharType="end"/>
      </w:r>
      <w:r>
        <w:tab/>
        <w:t>The following guidance is currently provided by UPOV on confidentiality of molecular information:</w:t>
      </w:r>
    </w:p>
    <w:p w14:paraId="3AD8892F" w14:textId="77777777" w:rsidR="00DD1446" w:rsidRDefault="00DD1446" w:rsidP="001F298F">
      <w:pPr>
        <w:pStyle w:val="ListParagraph"/>
        <w:keepNext/>
        <w:ind w:left="0"/>
        <w:jc w:val="both"/>
        <w:rPr>
          <w:rFonts w:eastAsiaTheme="minorEastAsia"/>
          <w:lang w:eastAsia="ja-JP"/>
        </w:rPr>
      </w:pPr>
    </w:p>
    <w:p w14:paraId="20139A1B" w14:textId="77777777" w:rsidR="00DD1446" w:rsidRDefault="00DD1446" w:rsidP="00BF7C58">
      <w:pPr>
        <w:pStyle w:val="ListParagraph"/>
        <w:keepNext/>
        <w:ind w:left="0" w:firstLine="567"/>
        <w:jc w:val="both"/>
        <w:rPr>
          <w:rFonts w:eastAsiaTheme="minorEastAsia"/>
          <w:lang w:eastAsia="ja-JP"/>
        </w:rPr>
      </w:pPr>
      <w:r>
        <w:rPr>
          <w:rFonts w:eastAsiaTheme="minorEastAsia"/>
          <w:lang w:eastAsia="ja-JP"/>
        </w:rPr>
        <w:t>(a)</w:t>
      </w:r>
      <w:r>
        <w:rPr>
          <w:rFonts w:eastAsiaTheme="minorEastAsia"/>
          <w:lang w:eastAsia="ja-JP"/>
        </w:rPr>
        <w:tab/>
        <w:t xml:space="preserve">Document </w:t>
      </w:r>
      <w:hyperlink r:id="rId14" w:history="1">
        <w:r w:rsidRPr="007D3293">
          <w:rPr>
            <w:rStyle w:val="Hyperlink"/>
            <w:rFonts w:eastAsiaTheme="minorEastAsia"/>
            <w:lang w:eastAsia="ja-JP"/>
          </w:rPr>
          <w:t>UPOV/INF/15/4</w:t>
        </w:r>
      </w:hyperlink>
      <w:r>
        <w:rPr>
          <w:rFonts w:eastAsiaTheme="minorEastAsia"/>
          <w:lang w:eastAsia="ja-JP"/>
        </w:rPr>
        <w:t xml:space="preserve"> “Guidance for Members of UPOV”, paragraph 38:</w:t>
      </w:r>
    </w:p>
    <w:p w14:paraId="2B0BC2F8" w14:textId="77777777" w:rsidR="00DD1446" w:rsidRDefault="00DD1446" w:rsidP="00BF7C58">
      <w:pPr>
        <w:pStyle w:val="ListParagraph"/>
        <w:keepNext/>
        <w:ind w:left="0"/>
        <w:jc w:val="both"/>
        <w:rPr>
          <w:rFonts w:eastAsiaTheme="minorEastAsia"/>
          <w:lang w:eastAsia="ja-JP"/>
        </w:rPr>
      </w:pPr>
    </w:p>
    <w:p w14:paraId="7D4370AB" w14:textId="1F74FC96" w:rsidR="00DD1446" w:rsidRDefault="00DD1446" w:rsidP="00DD1446">
      <w:pPr>
        <w:pStyle w:val="ListParagraph"/>
        <w:ind w:left="1134"/>
        <w:jc w:val="both"/>
        <w:rPr>
          <w:rFonts w:eastAsiaTheme="minorEastAsia"/>
          <w:lang w:eastAsia="ja-JP"/>
        </w:rPr>
      </w:pPr>
      <w:r>
        <w:rPr>
          <w:rFonts w:eastAsiaTheme="minorEastAsia"/>
          <w:lang w:eastAsia="ja-JP"/>
        </w:rPr>
        <w:t>“</w:t>
      </w:r>
      <w:r w:rsidRPr="005A5ACE">
        <w:rPr>
          <w:rFonts w:eastAsiaTheme="minorEastAsia"/>
          <w:lang w:eastAsia="ja-JP"/>
        </w:rPr>
        <w:t>38.</w:t>
      </w:r>
      <w:r w:rsidR="001F298F">
        <w:rPr>
          <w:rFonts w:eastAsiaTheme="minorEastAsia"/>
          <w:lang w:eastAsia="ja-JP"/>
        </w:rPr>
        <w:tab/>
      </w:r>
      <w:r w:rsidRPr="005A5ACE">
        <w:rPr>
          <w:rFonts w:eastAsiaTheme="minorEastAsia"/>
          <w:lang w:eastAsia="ja-JP"/>
        </w:rPr>
        <w:t xml:space="preserve">As stated in Article 12, for the purposes of examination, the authority may require the breeder to furnish all the necessary information, documents or material. In that regard, authorities should </w:t>
      </w:r>
      <w:proofErr w:type="gramStart"/>
      <w:r w:rsidRPr="005A5ACE">
        <w:rPr>
          <w:rFonts w:eastAsiaTheme="minorEastAsia"/>
          <w:lang w:eastAsia="ja-JP"/>
        </w:rPr>
        <w:t>give consideration to</w:t>
      </w:r>
      <w:proofErr w:type="gramEnd"/>
      <w:r w:rsidRPr="005A5ACE">
        <w:rPr>
          <w:rFonts w:eastAsiaTheme="minorEastAsia"/>
          <w:lang w:eastAsia="ja-JP"/>
        </w:rPr>
        <w:t xml:space="preserve"> appropriate measures concerning confidentiality, for example in relation to pedigree </w:t>
      </w:r>
      <w:proofErr w:type="gramStart"/>
      <w:r w:rsidRPr="005A5ACE">
        <w:rPr>
          <w:rFonts w:eastAsiaTheme="minorEastAsia"/>
          <w:lang w:eastAsia="ja-JP"/>
        </w:rPr>
        <w:t>information.</w:t>
      </w:r>
      <w:r>
        <w:rPr>
          <w:rFonts w:eastAsiaTheme="minorEastAsia"/>
          <w:lang w:eastAsia="ja-JP"/>
        </w:rPr>
        <w:t>”</w:t>
      </w:r>
      <w:proofErr w:type="gramEnd"/>
    </w:p>
    <w:p w14:paraId="1F464264" w14:textId="77777777" w:rsidR="00DD1446" w:rsidRDefault="00DD1446" w:rsidP="00DD1446">
      <w:pPr>
        <w:pStyle w:val="ListParagraph"/>
        <w:ind w:left="0"/>
        <w:jc w:val="both"/>
        <w:rPr>
          <w:rFonts w:eastAsiaTheme="minorEastAsia"/>
          <w:lang w:eastAsia="ja-JP"/>
        </w:rPr>
      </w:pPr>
    </w:p>
    <w:p w14:paraId="656DA9F4" w14:textId="77777777" w:rsidR="00DD1446" w:rsidRDefault="00DD1446" w:rsidP="00DD1446">
      <w:pPr>
        <w:pStyle w:val="ListParagraph"/>
        <w:tabs>
          <w:tab w:val="left" w:pos="1134"/>
        </w:tabs>
        <w:ind w:left="1134" w:hanging="567"/>
        <w:jc w:val="both"/>
        <w:rPr>
          <w:rFonts w:eastAsiaTheme="minorEastAsia"/>
          <w:lang w:eastAsia="ja-JP"/>
        </w:rPr>
      </w:pPr>
      <w:r>
        <w:rPr>
          <w:rFonts w:eastAsiaTheme="minorEastAsia"/>
          <w:lang w:eastAsia="ja-JP"/>
        </w:rPr>
        <w:t>(b)</w:t>
      </w:r>
      <w:r>
        <w:rPr>
          <w:rFonts w:eastAsiaTheme="minorEastAsia"/>
          <w:lang w:eastAsia="ja-JP"/>
        </w:rPr>
        <w:tab/>
        <w:t xml:space="preserve">Document </w:t>
      </w:r>
      <w:hyperlink r:id="rId15" w:history="1">
        <w:r w:rsidRPr="00AA00C5">
          <w:rPr>
            <w:rStyle w:val="Hyperlink"/>
            <w:rFonts w:eastAsiaTheme="minorEastAsia"/>
            <w:lang w:eastAsia="ja-JP"/>
          </w:rPr>
          <w:t>TGP/5, Section 1/3</w:t>
        </w:r>
      </w:hyperlink>
      <w:r>
        <w:rPr>
          <w:rFonts w:eastAsiaTheme="minorEastAsia"/>
          <w:lang w:eastAsia="ja-JP"/>
        </w:rPr>
        <w:t xml:space="preserve"> “</w:t>
      </w:r>
      <w:r w:rsidRPr="00AA00C5">
        <w:rPr>
          <w:rFonts w:eastAsiaTheme="minorEastAsia"/>
          <w:lang w:eastAsia="ja-JP"/>
        </w:rPr>
        <w:t>Model Administrative Agreement for International Cooperation in the Testing of Varieties</w:t>
      </w:r>
      <w:r>
        <w:rPr>
          <w:rFonts w:eastAsiaTheme="minorEastAsia"/>
          <w:lang w:eastAsia="ja-JP"/>
        </w:rPr>
        <w:t>”, Article 4:</w:t>
      </w:r>
    </w:p>
    <w:p w14:paraId="3B1DD540" w14:textId="77777777" w:rsidR="00DD1446" w:rsidRDefault="00DD1446" w:rsidP="00DD1446">
      <w:pPr>
        <w:pStyle w:val="ListParagraph"/>
        <w:ind w:left="0"/>
        <w:jc w:val="both"/>
        <w:rPr>
          <w:rFonts w:eastAsiaTheme="minorEastAsia"/>
          <w:lang w:eastAsia="ja-JP"/>
        </w:rPr>
      </w:pPr>
    </w:p>
    <w:p w14:paraId="028AC967" w14:textId="77777777" w:rsidR="00DD1446" w:rsidRDefault="00DD1446" w:rsidP="00DD1446">
      <w:pPr>
        <w:pStyle w:val="ListParagraph"/>
        <w:ind w:left="1134"/>
        <w:jc w:val="both"/>
        <w:rPr>
          <w:rFonts w:eastAsiaTheme="minorEastAsia"/>
          <w:lang w:eastAsia="ja-JP"/>
        </w:rPr>
      </w:pPr>
      <w:r>
        <w:rPr>
          <w:rFonts w:eastAsiaTheme="minorEastAsia"/>
          <w:lang w:eastAsia="ja-JP"/>
        </w:rPr>
        <w:t>“</w:t>
      </w:r>
      <w:r w:rsidRPr="00BE54E1">
        <w:rPr>
          <w:rFonts w:eastAsiaTheme="minorEastAsia"/>
          <w:lang w:eastAsia="ja-JP"/>
        </w:rPr>
        <w:t>(1) The Authorities shall take all necessary steps to safeguard the rights of the applicant</w:t>
      </w:r>
      <w:r w:rsidRPr="30388049">
        <w:rPr>
          <w:rFonts w:eastAsiaTheme="minorEastAsia"/>
          <w:lang w:eastAsia="ja-JP"/>
        </w:rPr>
        <w:t>.”</w:t>
      </w:r>
      <w:r w:rsidRPr="00BE54E1">
        <w:rPr>
          <w:rFonts w:eastAsiaTheme="minorEastAsia"/>
          <w:lang w:eastAsia="ja-JP"/>
        </w:rPr>
        <w:t xml:space="preserve"> </w:t>
      </w:r>
    </w:p>
    <w:p w14:paraId="215D1D08" w14:textId="77777777" w:rsidR="00DD1446" w:rsidRDefault="00DD1446" w:rsidP="00DD1446">
      <w:pPr>
        <w:pStyle w:val="ListParagraph"/>
        <w:ind w:left="1134"/>
        <w:jc w:val="both"/>
        <w:rPr>
          <w:rFonts w:eastAsiaTheme="minorEastAsia"/>
          <w:lang w:eastAsia="ja-JP"/>
        </w:rPr>
      </w:pPr>
    </w:p>
    <w:p w14:paraId="0C2F809F" w14:textId="77777777" w:rsidR="00DD1446" w:rsidRDefault="00DD1446" w:rsidP="00DD1446">
      <w:pPr>
        <w:pStyle w:val="ListParagraph"/>
        <w:ind w:left="1134"/>
        <w:jc w:val="both"/>
        <w:rPr>
          <w:rFonts w:eastAsiaTheme="minorEastAsia"/>
          <w:lang w:eastAsia="ja-JP"/>
        </w:rPr>
      </w:pPr>
      <w:r>
        <w:rPr>
          <w:rFonts w:eastAsiaTheme="minorEastAsia"/>
          <w:lang w:eastAsia="ja-JP"/>
        </w:rPr>
        <w:t>“</w:t>
      </w:r>
      <w:r w:rsidRPr="00BE54E1">
        <w:rPr>
          <w:rFonts w:eastAsiaTheme="minorEastAsia"/>
          <w:lang w:eastAsia="ja-JP"/>
        </w:rPr>
        <w:t>(2) Except with the specific authorization of the Receiving Authority and the applicant, the Executing Authority shall refrain from passing on to a third person any material, including DNA, or molecular information, of the varieties for which testing has been requested.</w:t>
      </w:r>
      <w:r>
        <w:rPr>
          <w:rFonts w:eastAsiaTheme="minorEastAsia"/>
          <w:lang w:eastAsia="ja-JP"/>
        </w:rPr>
        <w:t>”</w:t>
      </w:r>
    </w:p>
    <w:p w14:paraId="15660D89" w14:textId="77777777" w:rsidR="00DD1446" w:rsidRDefault="00DD1446" w:rsidP="00DD1446">
      <w:pPr>
        <w:pStyle w:val="ListParagraph"/>
        <w:ind w:left="0"/>
        <w:jc w:val="both"/>
        <w:rPr>
          <w:rFonts w:eastAsiaTheme="minorEastAsia"/>
          <w:lang w:eastAsia="ja-JP"/>
        </w:rPr>
      </w:pPr>
    </w:p>
    <w:p w14:paraId="6A2A8338" w14:textId="77777777" w:rsidR="007C0689" w:rsidRPr="00F07B06" w:rsidRDefault="007C0689" w:rsidP="00EF4B00">
      <w:pPr>
        <w:rPr>
          <w:lang w:eastAsia="ja-JP"/>
        </w:rPr>
      </w:pPr>
    </w:p>
    <w:p w14:paraId="0D861CBE" w14:textId="7617AF0D" w:rsidR="00EF4B00" w:rsidRPr="00F07B06" w:rsidRDefault="00EF4B00" w:rsidP="00642CEF">
      <w:pPr>
        <w:pStyle w:val="Heading2"/>
        <w:rPr>
          <w:lang w:eastAsia="ja-JP"/>
        </w:rPr>
      </w:pPr>
      <w:bookmarkStart w:id="18" w:name="_Toc177773944"/>
      <w:bookmarkStart w:id="19" w:name="_Toc210139288"/>
      <w:r w:rsidRPr="00F07B06">
        <w:rPr>
          <w:lang w:eastAsia="ja-JP"/>
        </w:rPr>
        <w:t xml:space="preserve">Developments at the Technical Working Parties at their </w:t>
      </w:r>
      <w:r w:rsidR="00825360" w:rsidRPr="00F07B06">
        <w:rPr>
          <w:lang w:eastAsia="ja-JP"/>
        </w:rPr>
        <w:t>s</w:t>
      </w:r>
      <w:r w:rsidRPr="00F07B06">
        <w:rPr>
          <w:lang w:eastAsia="ja-JP"/>
        </w:rPr>
        <w:t>essions in 202</w:t>
      </w:r>
      <w:bookmarkEnd w:id="18"/>
      <w:r w:rsidR="00F9705D">
        <w:rPr>
          <w:rFonts w:hint="eastAsia"/>
          <w:lang w:eastAsia="ja-JP"/>
        </w:rPr>
        <w:t>5</w:t>
      </w:r>
      <w:bookmarkEnd w:id="19"/>
    </w:p>
    <w:p w14:paraId="6D096396" w14:textId="77777777" w:rsidR="00EF4B00" w:rsidRPr="00F07B06" w:rsidRDefault="00EF4B00" w:rsidP="00642CEF">
      <w:pPr>
        <w:keepNext/>
        <w:jc w:val="left"/>
      </w:pPr>
    </w:p>
    <w:p w14:paraId="187CEC14" w14:textId="102EDFD8" w:rsidR="006D0B09" w:rsidRPr="00226B9A" w:rsidRDefault="00C161BF" w:rsidP="00642CEF">
      <w:pPr>
        <w:keepNext/>
      </w:pPr>
      <w:r w:rsidRPr="00226B9A">
        <w:fldChar w:fldCharType="begin"/>
      </w:r>
      <w:r w:rsidRPr="00226B9A">
        <w:instrText xml:space="preserve"> AUTONUM  </w:instrText>
      </w:r>
      <w:r w:rsidRPr="00226B9A">
        <w:fldChar w:fldCharType="end"/>
      </w:r>
      <w:r w:rsidRPr="00226B9A">
        <w:tab/>
        <w:t>The TW</w:t>
      </w:r>
      <w:r w:rsidRPr="00226B9A">
        <w:rPr>
          <w:rFonts w:hint="eastAsia"/>
          <w:lang w:eastAsia="ja-JP"/>
        </w:rPr>
        <w:t>O</w:t>
      </w:r>
      <w:r w:rsidRPr="00226B9A">
        <w:rPr>
          <w:rStyle w:val="FootnoteReference"/>
          <w:lang w:eastAsia="ja-JP"/>
        </w:rPr>
        <w:footnoteReference w:id="11"/>
      </w:r>
      <w:r w:rsidRPr="00226B9A">
        <w:t xml:space="preserve">, at its </w:t>
      </w:r>
      <w:r w:rsidRPr="00226B9A">
        <w:rPr>
          <w:rFonts w:hint="eastAsia"/>
          <w:lang w:eastAsia="ja-JP"/>
        </w:rPr>
        <w:t>fifty-seventh</w:t>
      </w:r>
      <w:r w:rsidRPr="00226B9A">
        <w:t xml:space="preserve"> session, </w:t>
      </w:r>
      <w:r w:rsidR="00392435" w:rsidRPr="00226B9A">
        <w:t>agreed on the importance of utilizing DNA-based information for international cooperation in</w:t>
      </w:r>
      <w:r w:rsidR="00272BAB" w:rsidRPr="00226B9A">
        <w:rPr>
          <w:rFonts w:hint="eastAsia"/>
          <w:lang w:eastAsia="ja-JP"/>
        </w:rPr>
        <w:t xml:space="preserve"> </w:t>
      </w:r>
      <w:r w:rsidR="00392435" w:rsidRPr="00226B9A">
        <w:t xml:space="preserve">variety testing. </w:t>
      </w:r>
      <w:r w:rsidR="00637BCF" w:rsidRPr="00226B9A">
        <w:rPr>
          <w:rFonts w:hint="eastAsia"/>
          <w:lang w:eastAsia="ja-JP"/>
        </w:rPr>
        <w:t xml:space="preserve"> </w:t>
      </w:r>
      <w:r w:rsidR="00392435" w:rsidRPr="00226B9A">
        <w:t xml:space="preserve">The TWO considered how </w:t>
      </w:r>
      <w:r w:rsidR="6D2E54D7" w:rsidRPr="00226B9A">
        <w:t>DNA</w:t>
      </w:r>
      <w:r w:rsidR="00392435" w:rsidRPr="00226B9A">
        <w:t xml:space="preserve">-based information </w:t>
      </w:r>
      <w:r w:rsidR="77C10F92" w:rsidRPr="00226B9A">
        <w:t xml:space="preserve">could </w:t>
      </w:r>
      <w:r w:rsidR="6D2E54D7" w:rsidRPr="00226B9A">
        <w:t>be</w:t>
      </w:r>
      <w:r w:rsidR="00392435" w:rsidRPr="00226B9A">
        <w:t xml:space="preserve"> shared among UPOV members and noted the offer from breeders’ organizations for the joint development of molecular markers that would not reveal the breeding strategies of individual breeders.</w:t>
      </w:r>
    </w:p>
    <w:p w14:paraId="53766F18" w14:textId="77777777" w:rsidR="00395C92" w:rsidRPr="00226B9A" w:rsidRDefault="00395C92" w:rsidP="00392435"/>
    <w:p w14:paraId="72301553" w14:textId="714E0DAC" w:rsidR="005B6C70" w:rsidRPr="00226B9A" w:rsidRDefault="00395C92" w:rsidP="00392435">
      <w:r w:rsidRPr="00226B9A">
        <w:fldChar w:fldCharType="begin"/>
      </w:r>
      <w:r w:rsidRPr="00226B9A">
        <w:instrText xml:space="preserve"> AUTONUM  </w:instrText>
      </w:r>
      <w:r w:rsidRPr="00226B9A">
        <w:fldChar w:fldCharType="end"/>
      </w:r>
      <w:r w:rsidRPr="00226B9A">
        <w:tab/>
      </w:r>
      <w:r w:rsidR="00392435" w:rsidRPr="00226B9A">
        <w:t xml:space="preserve">The TWO noted existing guidance on confidentiality of molecular information in UPOV documents UPOV/INF/15 “Guidance for members of UPOV” and TGP/5, Section 1 “Model administrative agreement for international cooperation in the testing of varieties”. </w:t>
      </w:r>
      <w:r w:rsidR="00637BCF" w:rsidRPr="00226B9A">
        <w:rPr>
          <w:rFonts w:hint="eastAsia"/>
          <w:lang w:eastAsia="ja-JP"/>
        </w:rPr>
        <w:t xml:space="preserve"> </w:t>
      </w:r>
      <w:r w:rsidR="00392435" w:rsidRPr="00226B9A">
        <w:t>The TWO noted the proposal from the breeders’</w:t>
      </w:r>
      <w:r w:rsidR="00B66ECE" w:rsidRPr="00226B9A">
        <w:rPr>
          <w:rFonts w:hint="eastAsia"/>
          <w:lang w:eastAsia="ja-JP"/>
        </w:rPr>
        <w:t xml:space="preserve"> </w:t>
      </w:r>
      <w:r w:rsidR="00392435" w:rsidRPr="00226B9A">
        <w:t xml:space="preserve">organizations for considering the </w:t>
      </w:r>
      <w:r w:rsidR="3DAF4DD3" w:rsidRPr="00226B9A">
        <w:t>document</w:t>
      </w:r>
      <w:r w:rsidR="6D2E54D7" w:rsidRPr="00226B9A">
        <w:t xml:space="preserve"> </w:t>
      </w:r>
      <w:r w:rsidR="00392435" w:rsidRPr="00226B9A">
        <w:t xml:space="preserve"> </w:t>
      </w:r>
      <w:r w:rsidR="0327EC69" w:rsidRPr="00226B9A">
        <w:t>“</w:t>
      </w:r>
      <w:r w:rsidR="4F0F013D" w:rsidRPr="00226B9A">
        <w:t>Policy on the status of plant material submitted for DUS testing purposes</w:t>
      </w:r>
      <w:r w:rsidR="1B45E346" w:rsidRPr="00226B9A">
        <w:t>”</w:t>
      </w:r>
      <w:r w:rsidR="6D2E54D7" w:rsidRPr="00226B9A">
        <w:t xml:space="preserve"> </w:t>
      </w:r>
      <w:r w:rsidR="00392435" w:rsidRPr="00226B9A">
        <w:t>developed by the European Union as example for</w:t>
      </w:r>
      <w:r w:rsidR="00AE1052" w:rsidRPr="00226B9A">
        <w:rPr>
          <w:rFonts w:hint="eastAsia"/>
          <w:lang w:eastAsia="ja-JP"/>
        </w:rPr>
        <w:t xml:space="preserve"> </w:t>
      </w:r>
      <w:r w:rsidR="00392435" w:rsidRPr="00226B9A">
        <w:t>the future development of a common model.</w:t>
      </w:r>
    </w:p>
    <w:p w14:paraId="4D3D54AE" w14:textId="77777777" w:rsidR="00B66ECE" w:rsidRPr="00226B9A" w:rsidRDefault="00B66ECE" w:rsidP="00392435">
      <w:pPr>
        <w:rPr>
          <w:iCs/>
        </w:rPr>
      </w:pPr>
    </w:p>
    <w:p w14:paraId="52B6548A" w14:textId="0BC8ABA9" w:rsidR="005B6C70" w:rsidRPr="00226B9A" w:rsidRDefault="008A52E0" w:rsidP="00F6446D">
      <w:pPr>
        <w:rPr>
          <w:lang w:eastAsia="ja-JP"/>
        </w:rPr>
      </w:pPr>
      <w:r w:rsidRPr="00226B9A">
        <w:fldChar w:fldCharType="begin"/>
      </w:r>
      <w:r w:rsidRPr="00226B9A">
        <w:instrText xml:space="preserve"> AUTONUM  </w:instrText>
      </w:r>
      <w:r w:rsidRPr="00226B9A">
        <w:fldChar w:fldCharType="end"/>
      </w:r>
      <w:r w:rsidRPr="00226B9A">
        <w:tab/>
      </w:r>
      <w:r w:rsidR="005B6C70" w:rsidRPr="00226B9A">
        <w:rPr>
          <w:lang w:eastAsia="ja-JP"/>
        </w:rPr>
        <w:t>The TWM</w:t>
      </w:r>
      <w:r w:rsidR="00A655A8" w:rsidRPr="00226B9A">
        <w:rPr>
          <w:rStyle w:val="FootnoteReference"/>
          <w:lang w:eastAsia="ja-JP"/>
        </w:rPr>
        <w:footnoteReference w:id="12"/>
      </w:r>
      <w:r w:rsidR="00173C8F" w:rsidRPr="00226B9A">
        <w:rPr>
          <w:rFonts w:hint="eastAsia"/>
          <w:lang w:eastAsia="ja-JP"/>
        </w:rPr>
        <w:t xml:space="preserve">, at its third session, </w:t>
      </w:r>
      <w:r w:rsidR="00F6446D" w:rsidRPr="00226B9A">
        <w:rPr>
          <w:lang w:eastAsia="ja-JP"/>
        </w:rPr>
        <w:t xml:space="preserve">recalled UPOV guidance on confidentiality of molecular information provided in documents TGP/5, Section 1 “Model Administrative Agreement for International Cooperation in the Testing of Varieties” and INF/15 “Guidance for Members of UPOV”. </w:t>
      </w:r>
      <w:r w:rsidR="00115C10" w:rsidRPr="00226B9A">
        <w:rPr>
          <w:rFonts w:hint="eastAsia"/>
          <w:lang w:eastAsia="ja-JP"/>
        </w:rPr>
        <w:t xml:space="preserve"> </w:t>
      </w:r>
      <w:r w:rsidR="00F6446D" w:rsidRPr="00226B9A">
        <w:rPr>
          <w:lang w:eastAsia="ja-JP"/>
        </w:rPr>
        <w:t>The TWM noted that no reports on confidentiality of molecular information had been reported to the TWM and agreed on the importance of safeguarding the confidentiality of parent lines and hybrid formulas. The TWM noted that a similar discussion was being held at OECD.</w:t>
      </w:r>
    </w:p>
    <w:p w14:paraId="2917A6D2" w14:textId="77777777" w:rsidR="005B6C70" w:rsidRPr="00226B9A" w:rsidRDefault="005B6C70" w:rsidP="00EF4B00">
      <w:pPr>
        <w:rPr>
          <w:lang w:eastAsia="ja-JP"/>
        </w:rPr>
      </w:pPr>
    </w:p>
    <w:p w14:paraId="73DB8C4D" w14:textId="7C684D4A" w:rsidR="00CB0DEE" w:rsidRPr="00226B9A" w:rsidRDefault="008A52E0" w:rsidP="00CB0DEE">
      <w:r w:rsidRPr="00226B9A">
        <w:fldChar w:fldCharType="begin"/>
      </w:r>
      <w:r w:rsidRPr="00226B9A">
        <w:instrText xml:space="preserve"> AUTONUM  </w:instrText>
      </w:r>
      <w:r w:rsidRPr="00226B9A">
        <w:fldChar w:fldCharType="end"/>
      </w:r>
      <w:r w:rsidRPr="00226B9A">
        <w:tab/>
      </w:r>
      <w:r w:rsidR="005B6C70" w:rsidRPr="00226B9A">
        <w:rPr>
          <w:lang w:eastAsia="ja-JP"/>
        </w:rPr>
        <w:t xml:space="preserve"> </w:t>
      </w:r>
      <w:r w:rsidR="003F18BE" w:rsidRPr="00226B9A">
        <w:t>The TW</w:t>
      </w:r>
      <w:r w:rsidR="003F18BE" w:rsidRPr="00226B9A">
        <w:rPr>
          <w:rFonts w:hint="eastAsia"/>
          <w:lang w:eastAsia="ja-JP"/>
        </w:rPr>
        <w:t>V</w:t>
      </w:r>
      <w:r w:rsidR="003F18BE" w:rsidRPr="00226B9A">
        <w:rPr>
          <w:rStyle w:val="FootnoteReference"/>
        </w:rPr>
        <w:footnoteReference w:id="13"/>
      </w:r>
      <w:r w:rsidR="003F18BE" w:rsidRPr="00226B9A">
        <w:t xml:space="preserve">, at its </w:t>
      </w:r>
      <w:r w:rsidR="003F18BE" w:rsidRPr="00226B9A">
        <w:rPr>
          <w:rFonts w:hint="eastAsia"/>
          <w:lang w:eastAsia="ja-JP"/>
        </w:rPr>
        <w:t>fifty-ninth</w:t>
      </w:r>
      <w:r w:rsidR="003F18BE" w:rsidRPr="00226B9A">
        <w:t xml:space="preserve"> session, </w:t>
      </w:r>
      <w:r w:rsidR="00CB0DEE" w:rsidRPr="00226B9A">
        <w:t>noted that no reports on existing policies on confidentiality of molecular information had been reported in advance of the TWV session.</w:t>
      </w:r>
    </w:p>
    <w:p w14:paraId="1022033F" w14:textId="77777777" w:rsidR="00CE357F" w:rsidRPr="00226B9A" w:rsidRDefault="00CE357F" w:rsidP="00CB0DEE"/>
    <w:p w14:paraId="65108B44" w14:textId="2C6E33E2" w:rsidR="00CB0DEE" w:rsidRPr="00226B9A" w:rsidRDefault="00CE357F" w:rsidP="00CB0DEE">
      <w:r w:rsidRPr="00226B9A">
        <w:fldChar w:fldCharType="begin"/>
      </w:r>
      <w:r w:rsidRPr="00226B9A">
        <w:instrText xml:space="preserve"> AUTONUM  </w:instrText>
      </w:r>
      <w:r w:rsidRPr="00226B9A">
        <w:fldChar w:fldCharType="end"/>
      </w:r>
      <w:r w:rsidRPr="00226B9A">
        <w:tab/>
      </w:r>
      <w:r w:rsidR="00CB0DEE" w:rsidRPr="00226B9A">
        <w:t xml:space="preserve">The TWV noted the report from Japan that was considering the use of DNA-based information as part of the information to be provided for plant variety protection. </w:t>
      </w:r>
      <w:r w:rsidR="00115C10" w:rsidRPr="00226B9A">
        <w:rPr>
          <w:rFonts w:hint="eastAsia"/>
          <w:lang w:eastAsia="ja-JP"/>
        </w:rPr>
        <w:t xml:space="preserve"> </w:t>
      </w:r>
      <w:r w:rsidR="00CB0DEE" w:rsidRPr="00226B9A">
        <w:t>The TWV noted that Japan considered this information useful to support the exercise of breeders’ rights.</w:t>
      </w:r>
    </w:p>
    <w:p w14:paraId="3D1AEDDF" w14:textId="77777777" w:rsidR="00D43671" w:rsidRPr="00226B9A" w:rsidRDefault="00D43671" w:rsidP="00CB0DEE"/>
    <w:p w14:paraId="4C6C5E3E" w14:textId="1AC93581" w:rsidR="00F94824" w:rsidRPr="00226B9A" w:rsidRDefault="00D43671" w:rsidP="00CB0DEE">
      <w:r w:rsidRPr="00226B9A">
        <w:fldChar w:fldCharType="begin"/>
      </w:r>
      <w:r w:rsidRPr="00226B9A">
        <w:instrText xml:space="preserve"> AUTONUM  </w:instrText>
      </w:r>
      <w:r w:rsidRPr="00226B9A">
        <w:fldChar w:fldCharType="end"/>
      </w:r>
      <w:r w:rsidRPr="00226B9A">
        <w:tab/>
      </w:r>
      <w:r w:rsidR="00CB0DEE" w:rsidRPr="00226B9A">
        <w:t xml:space="preserve">The TWV noted the concern expressed by the breeders’ organizations about revealing the sources of germplasm used by breeders in different breeding programs. </w:t>
      </w:r>
      <w:r w:rsidR="00115C10" w:rsidRPr="00226B9A">
        <w:rPr>
          <w:rFonts w:hint="eastAsia"/>
          <w:lang w:eastAsia="ja-JP"/>
        </w:rPr>
        <w:t xml:space="preserve"> </w:t>
      </w:r>
      <w:proofErr w:type="gramStart"/>
      <w:r w:rsidR="00CB0DEE" w:rsidRPr="00226B9A">
        <w:t>The TWV</w:t>
      </w:r>
      <w:proofErr w:type="gramEnd"/>
      <w:r w:rsidR="00CB0DEE" w:rsidRPr="00226B9A">
        <w:t xml:space="preserve"> agreed that breeders should be involved when selecting molecular markers for variety identification and managing variety collections, in particular when such information would be made publicly available. </w:t>
      </w:r>
    </w:p>
    <w:p w14:paraId="5FB1DDB1" w14:textId="77777777" w:rsidR="00F94824" w:rsidRPr="00226B9A" w:rsidRDefault="00F94824" w:rsidP="00CB0DEE"/>
    <w:p w14:paraId="14E1E946" w14:textId="34164585" w:rsidR="005B6C70" w:rsidRPr="00226B9A" w:rsidRDefault="00F94824" w:rsidP="00CB0DEE">
      <w:pPr>
        <w:rPr>
          <w:lang w:eastAsia="ja-JP"/>
        </w:rPr>
      </w:pPr>
      <w:r w:rsidRPr="00226B9A">
        <w:fldChar w:fldCharType="begin"/>
      </w:r>
      <w:r w:rsidRPr="00226B9A">
        <w:instrText xml:space="preserve"> AUTONUM  </w:instrText>
      </w:r>
      <w:r w:rsidRPr="00226B9A">
        <w:fldChar w:fldCharType="end"/>
      </w:r>
      <w:r w:rsidRPr="00226B9A">
        <w:tab/>
      </w:r>
      <w:proofErr w:type="gramStart"/>
      <w:r w:rsidRPr="00226B9A">
        <w:t>T</w:t>
      </w:r>
      <w:r w:rsidR="00CB0DEE" w:rsidRPr="00226B9A">
        <w:t>he TWV</w:t>
      </w:r>
      <w:proofErr w:type="gramEnd"/>
      <w:r w:rsidR="00CB0DEE" w:rsidRPr="00226B9A">
        <w:t xml:space="preserve"> recalled that the development of UPOV guidance was based on examples and experiences from UPOV members and observers. </w:t>
      </w:r>
      <w:r w:rsidR="00115C10" w:rsidRPr="00226B9A">
        <w:rPr>
          <w:rFonts w:hint="eastAsia"/>
          <w:lang w:eastAsia="ja-JP"/>
        </w:rPr>
        <w:t xml:space="preserve"> </w:t>
      </w:r>
      <w:r w:rsidR="00CB0DEE" w:rsidRPr="00226B9A">
        <w:t xml:space="preserve">The TWV </w:t>
      </w:r>
      <w:r w:rsidR="00CB0DEE" w:rsidRPr="00DD1446">
        <w:t>agreed that different approaches for discussion on confidentiality of molecular information should be considered, such as concrete cases and specific situations identified by the breeders’ organizations.</w:t>
      </w:r>
    </w:p>
    <w:p w14:paraId="485274D3" w14:textId="77777777" w:rsidR="0012713E" w:rsidRPr="00226B9A" w:rsidRDefault="0012713E" w:rsidP="0012713E">
      <w:pPr>
        <w:pStyle w:val="ListParagraph"/>
        <w:ind w:left="0"/>
        <w:rPr>
          <w:rFonts w:eastAsiaTheme="minorEastAsia"/>
          <w:lang w:eastAsia="ja-JP"/>
        </w:rPr>
      </w:pPr>
    </w:p>
    <w:p w14:paraId="0F477E1E" w14:textId="71F6690C" w:rsidR="000346AB" w:rsidRPr="00226B9A" w:rsidRDefault="00B73C40" w:rsidP="001F298F">
      <w:pPr>
        <w:pStyle w:val="ListParagraph"/>
        <w:ind w:left="0"/>
        <w:jc w:val="both"/>
        <w:rPr>
          <w:rFonts w:eastAsiaTheme="minorEastAsia"/>
          <w:lang w:eastAsia="ja-JP"/>
        </w:rPr>
      </w:pPr>
      <w:r w:rsidRPr="00B73C40">
        <w:lastRenderedPageBreak/>
        <w:fldChar w:fldCharType="begin"/>
      </w:r>
      <w:r w:rsidRPr="00B73C40">
        <w:instrText xml:space="preserve"> AUTONUM  </w:instrText>
      </w:r>
      <w:r w:rsidRPr="00B73C40">
        <w:fldChar w:fldCharType="end"/>
      </w:r>
      <w:r w:rsidRPr="00B73C40">
        <w:tab/>
      </w:r>
      <w:r w:rsidR="0012713E" w:rsidRPr="00B73C40">
        <w:t>The</w:t>
      </w:r>
      <w:r w:rsidR="0012713E" w:rsidRPr="00226B9A">
        <w:t xml:space="preserve"> TW</w:t>
      </w:r>
      <w:r w:rsidR="0012713E" w:rsidRPr="00226B9A">
        <w:rPr>
          <w:rFonts w:eastAsiaTheme="minorEastAsia" w:hint="eastAsia"/>
          <w:lang w:eastAsia="ja-JP"/>
        </w:rPr>
        <w:t>A</w:t>
      </w:r>
      <w:r w:rsidR="0012713E" w:rsidRPr="00226B9A">
        <w:rPr>
          <w:rStyle w:val="FootnoteReference"/>
        </w:rPr>
        <w:footnoteReference w:id="14"/>
      </w:r>
      <w:r w:rsidR="0012713E" w:rsidRPr="00226B9A">
        <w:t xml:space="preserve">, at its </w:t>
      </w:r>
      <w:r w:rsidR="0012713E" w:rsidRPr="00226B9A">
        <w:rPr>
          <w:rFonts w:eastAsiaTheme="minorEastAsia" w:hint="eastAsia"/>
          <w:lang w:eastAsia="ja-JP"/>
        </w:rPr>
        <w:t>fifty-fourth</w:t>
      </w:r>
      <w:r w:rsidR="0012713E" w:rsidRPr="00226B9A">
        <w:t xml:space="preserve"> session, </w:t>
      </w:r>
      <w:r w:rsidR="00915C02" w:rsidRPr="00226B9A">
        <w:t xml:space="preserve">noted the reports from the European Union, Germany and the United Kingdom that their domestic policies on plant material and data used in DUS examination covered molecular information. The TWA noted that in the European Union, the technical questionnaire provided the opportunity for applicants to select information to be treated as confidential and that the policy on plant material in DUS testing was available online, as reported in document TWA/54/2 “Reports from members and observers” (see: </w:t>
      </w:r>
      <w:hyperlink r:id="rId16" w:history="1">
        <w:r w:rsidR="000346AB" w:rsidRPr="00226B9A">
          <w:rPr>
            <w:rStyle w:val="Hyperlink"/>
          </w:rPr>
          <w:t>https://cpvo.europa.eu/en/cpvo-policy-status-plant-material-used-dus-testing-purposes</w:t>
        </w:r>
      </w:hyperlink>
      <w:r w:rsidR="00915C02" w:rsidRPr="00226B9A">
        <w:t>).</w:t>
      </w:r>
    </w:p>
    <w:p w14:paraId="78D0B198" w14:textId="77777777" w:rsidR="000346AB" w:rsidRPr="00226B9A" w:rsidRDefault="000346AB" w:rsidP="00915C02">
      <w:pPr>
        <w:pStyle w:val="ListParagraph"/>
        <w:ind w:left="0"/>
        <w:jc w:val="both"/>
        <w:rPr>
          <w:rFonts w:eastAsiaTheme="minorEastAsia"/>
          <w:lang w:eastAsia="ja-JP"/>
        </w:rPr>
      </w:pPr>
    </w:p>
    <w:p w14:paraId="660E98AF" w14:textId="77777777" w:rsidR="000346AB" w:rsidRPr="00226B9A" w:rsidRDefault="000346AB" w:rsidP="00915C02">
      <w:pPr>
        <w:pStyle w:val="ListParagraph"/>
        <w:ind w:left="0"/>
        <w:jc w:val="both"/>
        <w:rPr>
          <w:rFonts w:eastAsiaTheme="minorEastAsia"/>
          <w:lang w:eastAsia="ja-JP"/>
        </w:rPr>
      </w:pPr>
      <w:r w:rsidRPr="00226B9A">
        <w:fldChar w:fldCharType="begin"/>
      </w:r>
      <w:r w:rsidRPr="00226B9A">
        <w:instrText xml:space="preserve"> AUTONUM  </w:instrText>
      </w:r>
      <w:r w:rsidRPr="00226B9A">
        <w:fldChar w:fldCharType="end"/>
      </w:r>
      <w:r w:rsidRPr="00226B9A">
        <w:tab/>
      </w:r>
      <w:r w:rsidR="00915C02" w:rsidRPr="00226B9A">
        <w:t>The TWA noted the reports from Brazil and Canada that no specific policy existed in those countries in relation to confidentiality of molecular information of plant material and data used in DUS examination. The TWA noted that Brazil and Canada did not request DNA based information from applicants.</w:t>
      </w:r>
    </w:p>
    <w:p w14:paraId="16606114" w14:textId="77777777" w:rsidR="000346AB" w:rsidRPr="00226B9A" w:rsidRDefault="000346AB" w:rsidP="00915C02">
      <w:pPr>
        <w:pStyle w:val="ListParagraph"/>
        <w:ind w:left="0"/>
        <w:jc w:val="both"/>
        <w:rPr>
          <w:rFonts w:eastAsiaTheme="minorEastAsia"/>
          <w:lang w:eastAsia="ja-JP"/>
        </w:rPr>
      </w:pPr>
    </w:p>
    <w:p w14:paraId="7B5E65A7" w14:textId="655FF190" w:rsidR="0012713E" w:rsidRPr="00226B9A" w:rsidRDefault="000346AB" w:rsidP="00915C02">
      <w:pPr>
        <w:pStyle w:val="ListParagraph"/>
        <w:ind w:left="0"/>
        <w:jc w:val="both"/>
      </w:pPr>
      <w:r w:rsidRPr="00226B9A">
        <w:fldChar w:fldCharType="begin"/>
      </w:r>
      <w:r w:rsidRPr="00226B9A">
        <w:instrText xml:space="preserve"> AUTONUM  </w:instrText>
      </w:r>
      <w:r w:rsidRPr="00226B9A">
        <w:fldChar w:fldCharType="end"/>
      </w:r>
      <w:r w:rsidRPr="00226B9A">
        <w:tab/>
      </w:r>
      <w:r w:rsidR="00915C02" w:rsidRPr="00226B9A">
        <w:t>The TWA discussed the possibility of issuing a survey for UPOV members to report on existing policies on confidentiality of molecular information. The TWA agreed that further discussion would be required on the scope and objectives of a survey, such as identifying relevant scenarios for increased engagement in discussions.</w:t>
      </w:r>
    </w:p>
    <w:p w14:paraId="6F6EA91B" w14:textId="77777777" w:rsidR="0012713E" w:rsidRPr="00226B9A" w:rsidRDefault="0012713E" w:rsidP="0012713E"/>
    <w:p w14:paraId="68C550E5" w14:textId="57936A5C" w:rsidR="00B52114" w:rsidRPr="005C297B" w:rsidRDefault="0012713E" w:rsidP="00B52114">
      <w:pPr>
        <w:pStyle w:val="ListParagraph"/>
        <w:ind w:left="0"/>
        <w:jc w:val="both"/>
        <w:rPr>
          <w:rFonts w:eastAsiaTheme="minorEastAsia"/>
          <w:lang w:eastAsia="ja-JP"/>
        </w:rPr>
      </w:pPr>
      <w:r w:rsidRPr="00226B9A">
        <w:fldChar w:fldCharType="begin"/>
      </w:r>
      <w:r w:rsidRPr="00226B9A">
        <w:instrText xml:space="preserve"> AUTONUM  </w:instrText>
      </w:r>
      <w:r w:rsidRPr="00226B9A">
        <w:fldChar w:fldCharType="end"/>
      </w:r>
      <w:r w:rsidRPr="00226B9A">
        <w:tab/>
      </w:r>
      <w:r w:rsidR="0EDE8B78" w:rsidRPr="00226B9A">
        <w:t>The TW</w:t>
      </w:r>
      <w:r w:rsidR="0EDE8B78" w:rsidRPr="00226B9A">
        <w:rPr>
          <w:rFonts w:eastAsiaTheme="minorEastAsia"/>
          <w:lang w:eastAsia="ja-JP"/>
        </w:rPr>
        <w:t>F</w:t>
      </w:r>
      <w:r w:rsidRPr="00226B9A">
        <w:rPr>
          <w:rStyle w:val="FootnoteReference"/>
        </w:rPr>
        <w:footnoteReference w:id="15"/>
      </w:r>
      <w:r w:rsidR="0EDE8B78" w:rsidRPr="00226B9A">
        <w:t xml:space="preserve">, at its </w:t>
      </w:r>
      <w:r w:rsidR="0EDE8B78" w:rsidRPr="00226B9A">
        <w:rPr>
          <w:rFonts w:eastAsiaTheme="minorEastAsia"/>
          <w:lang w:eastAsia="ja-JP"/>
        </w:rPr>
        <w:t>fifty-sixth</w:t>
      </w:r>
      <w:r w:rsidR="0EDE8B78" w:rsidRPr="00226B9A">
        <w:t xml:space="preserve"> session, </w:t>
      </w:r>
      <w:r w:rsidR="0EDE8B78" w:rsidRPr="00226B9A">
        <w:rPr>
          <w:rFonts w:eastAsiaTheme="minorEastAsia"/>
          <w:lang w:eastAsia="ja-JP"/>
        </w:rPr>
        <w:t xml:space="preserve">noted </w:t>
      </w:r>
      <w:r w:rsidR="5CE26707" w:rsidRPr="00226B9A">
        <w:rPr>
          <w:rFonts w:eastAsiaTheme="minorEastAsia"/>
          <w:lang w:eastAsia="ja-JP"/>
        </w:rPr>
        <w:t>that UPOV members and observers were invited to report examples of policies on confidentiality</w:t>
      </w:r>
      <w:r w:rsidR="5CE26707" w:rsidRPr="005C297B">
        <w:rPr>
          <w:rFonts w:eastAsiaTheme="minorEastAsia"/>
          <w:lang w:eastAsia="ja-JP"/>
        </w:rPr>
        <w:t xml:space="preserve"> and access to molecular data at the TWP sessions in 2025.</w:t>
      </w:r>
    </w:p>
    <w:p w14:paraId="40566C3F" w14:textId="77777777" w:rsidR="00695D23" w:rsidRDefault="00695D23" w:rsidP="009F76CF">
      <w:pPr>
        <w:pStyle w:val="ListParagraph"/>
        <w:ind w:left="0"/>
        <w:jc w:val="both"/>
        <w:rPr>
          <w:rFonts w:eastAsiaTheme="minorEastAsia"/>
          <w:lang w:eastAsia="ja-JP"/>
        </w:rPr>
      </w:pPr>
    </w:p>
    <w:bookmarkStart w:id="21" w:name="_Toc460313637"/>
    <w:p w14:paraId="43BA9895" w14:textId="77777777" w:rsidR="00FA16FA" w:rsidRPr="00E116A4" w:rsidRDefault="00EF4B00" w:rsidP="00D2172E">
      <w:pPr>
        <w:tabs>
          <w:tab w:val="left" w:pos="5387"/>
          <w:tab w:val="left" w:pos="5954"/>
        </w:tabs>
        <w:ind w:left="4820"/>
        <w:rPr>
          <w:i/>
          <w:snapToGrid w:val="0"/>
          <w:lang w:eastAsia="ja-JP"/>
        </w:rPr>
      </w:pPr>
      <w:r w:rsidRPr="00E116A4">
        <w:rPr>
          <w:i/>
          <w:snapToGrid w:val="0"/>
          <w:lang w:eastAsia="ja-JP"/>
        </w:rPr>
        <w:fldChar w:fldCharType="begin"/>
      </w:r>
      <w:r w:rsidRPr="00E116A4">
        <w:rPr>
          <w:i/>
          <w:snapToGrid w:val="0"/>
          <w:lang w:eastAsia="ja-JP"/>
        </w:rPr>
        <w:instrText xml:space="preserve"> AUTONUM  </w:instrText>
      </w:r>
      <w:r w:rsidRPr="00E116A4">
        <w:rPr>
          <w:i/>
          <w:snapToGrid w:val="0"/>
          <w:lang w:eastAsia="ja-JP"/>
        </w:rPr>
        <w:fldChar w:fldCharType="end"/>
      </w:r>
      <w:r w:rsidRPr="00E116A4">
        <w:rPr>
          <w:i/>
          <w:snapToGrid w:val="0"/>
          <w:lang w:eastAsia="ja-JP"/>
        </w:rPr>
        <w:tab/>
      </w:r>
      <w:proofErr w:type="gramStart"/>
      <w:r w:rsidRPr="00E116A4">
        <w:rPr>
          <w:i/>
          <w:snapToGrid w:val="0"/>
          <w:lang w:eastAsia="ja-JP"/>
        </w:rPr>
        <w:t>The TC</w:t>
      </w:r>
      <w:proofErr w:type="gramEnd"/>
      <w:r w:rsidRPr="00E116A4">
        <w:rPr>
          <w:i/>
          <w:snapToGrid w:val="0"/>
          <w:lang w:eastAsia="ja-JP"/>
        </w:rPr>
        <w:t xml:space="preserve"> is invited to</w:t>
      </w:r>
      <w:r w:rsidR="00FA16FA" w:rsidRPr="00E116A4">
        <w:rPr>
          <w:i/>
          <w:snapToGrid w:val="0"/>
          <w:lang w:eastAsia="ja-JP"/>
        </w:rPr>
        <w:t>:</w:t>
      </w:r>
    </w:p>
    <w:p w14:paraId="6091C00E" w14:textId="77777777" w:rsidR="00FA16FA" w:rsidRPr="00E116A4" w:rsidRDefault="00FA16FA" w:rsidP="00D2172E">
      <w:pPr>
        <w:tabs>
          <w:tab w:val="left" w:pos="5387"/>
          <w:tab w:val="left" w:pos="5954"/>
        </w:tabs>
        <w:ind w:left="4820"/>
        <w:rPr>
          <w:i/>
          <w:snapToGrid w:val="0"/>
          <w:lang w:eastAsia="ja-JP"/>
        </w:rPr>
      </w:pPr>
    </w:p>
    <w:p w14:paraId="6B1344C0" w14:textId="73182E1B" w:rsidR="00B43354" w:rsidRPr="00DA7220" w:rsidRDefault="009D5FF3" w:rsidP="00DA7220">
      <w:pPr>
        <w:pStyle w:val="ListParagraph"/>
        <w:numPr>
          <w:ilvl w:val="0"/>
          <w:numId w:val="46"/>
        </w:numPr>
        <w:tabs>
          <w:tab w:val="left" w:pos="5387"/>
          <w:tab w:val="left" w:pos="5954"/>
        </w:tabs>
        <w:ind w:left="4820" w:firstLine="567"/>
        <w:jc w:val="both"/>
        <w:rPr>
          <w:i/>
          <w:snapToGrid w:val="0"/>
          <w:lang w:eastAsia="ja-JP"/>
        </w:rPr>
      </w:pPr>
      <w:r w:rsidRPr="00DA7220">
        <w:rPr>
          <w:i/>
          <w:snapToGrid w:val="0"/>
          <w:lang w:eastAsia="ja-JP"/>
        </w:rPr>
        <w:t>note discussions</w:t>
      </w:r>
      <w:r w:rsidRPr="00DA7220">
        <w:rPr>
          <w:rFonts w:hint="eastAsia"/>
          <w:i/>
          <w:snapToGrid w:val="0"/>
          <w:lang w:eastAsia="ja-JP"/>
        </w:rPr>
        <w:t xml:space="preserve"> </w:t>
      </w:r>
      <w:r w:rsidR="00EE21CC" w:rsidRPr="00DA7220">
        <w:rPr>
          <w:rFonts w:hint="eastAsia"/>
          <w:i/>
          <w:snapToGrid w:val="0"/>
          <w:lang w:eastAsia="ja-JP"/>
        </w:rPr>
        <w:t xml:space="preserve">on </w:t>
      </w:r>
      <w:r w:rsidR="00EE21CC" w:rsidRPr="00DA7220">
        <w:rPr>
          <w:i/>
          <w:snapToGrid w:val="0"/>
          <w:lang w:eastAsia="ja-JP"/>
        </w:rPr>
        <w:t>confidentiality</w:t>
      </w:r>
      <w:r w:rsidR="00EE21CC" w:rsidRPr="00DA7220">
        <w:rPr>
          <w:rFonts w:hint="eastAsia"/>
          <w:i/>
          <w:snapToGrid w:val="0"/>
          <w:lang w:eastAsia="ja-JP"/>
        </w:rPr>
        <w:t xml:space="preserve"> </w:t>
      </w:r>
      <w:r w:rsidR="00EE21CC" w:rsidRPr="00DA7220">
        <w:rPr>
          <w:i/>
          <w:snapToGrid w:val="0"/>
          <w:lang w:eastAsia="ja-JP"/>
        </w:rPr>
        <w:t>and ownership of molecular information</w:t>
      </w:r>
      <w:r w:rsidR="00EE21CC" w:rsidRPr="00DA7220">
        <w:rPr>
          <w:rFonts w:hint="eastAsia"/>
          <w:i/>
          <w:snapToGrid w:val="0"/>
          <w:lang w:eastAsia="ja-JP"/>
        </w:rPr>
        <w:t xml:space="preserve"> </w:t>
      </w:r>
      <w:r w:rsidR="001A1382" w:rsidRPr="00DA7220">
        <w:rPr>
          <w:rFonts w:hint="eastAsia"/>
          <w:i/>
          <w:snapToGrid w:val="0"/>
          <w:lang w:eastAsia="ja-JP"/>
        </w:rPr>
        <w:t xml:space="preserve">at </w:t>
      </w:r>
      <w:r w:rsidR="001A1382" w:rsidRPr="00DA7220">
        <w:rPr>
          <w:i/>
          <w:snapToGrid w:val="0"/>
          <w:lang w:eastAsia="ja-JP"/>
        </w:rPr>
        <w:t xml:space="preserve">the </w:t>
      </w:r>
      <w:r w:rsidR="001A1382" w:rsidRPr="00DA7220">
        <w:rPr>
          <w:rFonts w:hint="eastAsia"/>
          <w:i/>
          <w:snapToGrid w:val="0"/>
          <w:lang w:eastAsia="ja-JP"/>
        </w:rPr>
        <w:t>TWP sessions in 2025</w:t>
      </w:r>
      <w:r w:rsidR="00FA16FA" w:rsidRPr="00DA7220">
        <w:rPr>
          <w:i/>
          <w:snapToGrid w:val="0"/>
          <w:lang w:eastAsia="ja-JP"/>
        </w:rPr>
        <w:t>;</w:t>
      </w:r>
    </w:p>
    <w:p w14:paraId="078C98DB" w14:textId="77777777" w:rsidR="00B43354" w:rsidRDefault="00B43354" w:rsidP="00DA7220">
      <w:pPr>
        <w:tabs>
          <w:tab w:val="left" w:pos="5387"/>
          <w:tab w:val="left" w:pos="5954"/>
        </w:tabs>
        <w:ind w:left="4820" w:firstLine="567"/>
        <w:rPr>
          <w:i/>
          <w:snapToGrid w:val="0"/>
          <w:lang w:eastAsia="ja-JP"/>
        </w:rPr>
      </w:pPr>
    </w:p>
    <w:p w14:paraId="057BC4BF" w14:textId="4C5DBEF7" w:rsidR="00DA7220" w:rsidRPr="00FE38C7" w:rsidRDefault="00DA7220" w:rsidP="00DA7220">
      <w:pPr>
        <w:pStyle w:val="ListParagraph"/>
        <w:numPr>
          <w:ilvl w:val="0"/>
          <w:numId w:val="46"/>
        </w:numPr>
        <w:tabs>
          <w:tab w:val="left" w:pos="5387"/>
          <w:tab w:val="left" w:pos="5954"/>
        </w:tabs>
        <w:ind w:left="4820" w:firstLine="567"/>
        <w:jc w:val="both"/>
        <w:rPr>
          <w:i/>
          <w:snapToGrid w:val="0"/>
          <w:lang w:eastAsia="ja-JP"/>
        </w:rPr>
      </w:pPr>
      <w:r w:rsidRPr="00DA7220">
        <w:rPr>
          <w:i/>
        </w:rPr>
        <w:t xml:space="preserve">note the “Policy on the status of plant material submitted for DUS testing purposes” reported by the European Union at the TWA, as provided in </w:t>
      </w:r>
      <w:r w:rsidRPr="00FE38C7">
        <w:rPr>
          <w:i/>
        </w:rPr>
        <w:t>paragraph 29 of this document</w:t>
      </w:r>
      <w:r w:rsidRPr="00FE38C7">
        <w:rPr>
          <w:i/>
          <w:snapToGrid w:val="0"/>
          <w:lang w:eastAsia="ja-JP"/>
        </w:rPr>
        <w:t>;</w:t>
      </w:r>
    </w:p>
    <w:p w14:paraId="2556A792" w14:textId="77777777" w:rsidR="00DA7220" w:rsidRPr="00E116A4" w:rsidRDefault="00DA7220" w:rsidP="00DA7220">
      <w:pPr>
        <w:tabs>
          <w:tab w:val="left" w:pos="5387"/>
          <w:tab w:val="left" w:pos="5954"/>
        </w:tabs>
        <w:ind w:left="4820" w:firstLine="567"/>
        <w:rPr>
          <w:i/>
          <w:snapToGrid w:val="0"/>
          <w:lang w:eastAsia="ja-JP"/>
        </w:rPr>
      </w:pPr>
    </w:p>
    <w:p w14:paraId="1291124E" w14:textId="77777777" w:rsidR="00DA7220" w:rsidRPr="0077577B" w:rsidRDefault="004C0FB6" w:rsidP="00DA7220">
      <w:pPr>
        <w:pStyle w:val="ListParagraph"/>
        <w:numPr>
          <w:ilvl w:val="0"/>
          <w:numId w:val="46"/>
        </w:numPr>
        <w:tabs>
          <w:tab w:val="left" w:pos="5387"/>
          <w:tab w:val="left" w:pos="5954"/>
        </w:tabs>
        <w:ind w:left="4820" w:firstLine="567"/>
        <w:jc w:val="both"/>
        <w:rPr>
          <w:i/>
        </w:rPr>
      </w:pPr>
      <w:r w:rsidRPr="00DA7220">
        <w:rPr>
          <w:i/>
        </w:rPr>
        <w:t xml:space="preserve">consider </w:t>
      </w:r>
      <w:r w:rsidR="00110DC3" w:rsidRPr="00DA7220">
        <w:rPr>
          <w:i/>
        </w:rPr>
        <w:t>invit</w:t>
      </w:r>
      <w:r w:rsidR="000C75DB" w:rsidRPr="00DA7220">
        <w:rPr>
          <w:i/>
        </w:rPr>
        <w:t>ing</w:t>
      </w:r>
      <w:r w:rsidR="00110DC3" w:rsidRPr="00DA7220">
        <w:rPr>
          <w:i/>
        </w:rPr>
        <w:t xml:space="preserve"> the TWPs</w:t>
      </w:r>
      <w:r w:rsidR="00832DD2" w:rsidRPr="00DA7220">
        <w:rPr>
          <w:i/>
        </w:rPr>
        <w:t xml:space="preserve"> to organize </w:t>
      </w:r>
      <w:r w:rsidR="003238DE" w:rsidRPr="00DA7220">
        <w:rPr>
          <w:i/>
        </w:rPr>
        <w:t>future discussions</w:t>
      </w:r>
      <w:r w:rsidR="00CC1D66" w:rsidRPr="00DA7220">
        <w:rPr>
          <w:i/>
        </w:rPr>
        <w:t xml:space="preserve"> </w:t>
      </w:r>
      <w:r w:rsidR="0044240F" w:rsidRPr="00DA7220">
        <w:rPr>
          <w:rFonts w:hint="eastAsia"/>
          <w:i/>
          <w:snapToGrid w:val="0"/>
          <w:lang w:eastAsia="ja-JP"/>
        </w:rPr>
        <w:t xml:space="preserve">on </w:t>
      </w:r>
      <w:r w:rsidR="0044240F" w:rsidRPr="00DA7220">
        <w:rPr>
          <w:i/>
          <w:snapToGrid w:val="0"/>
          <w:lang w:eastAsia="ja-JP"/>
        </w:rPr>
        <w:t>confidentiality</w:t>
      </w:r>
      <w:r w:rsidR="0044240F" w:rsidRPr="00DA7220">
        <w:rPr>
          <w:rFonts w:hint="eastAsia"/>
          <w:i/>
          <w:snapToGrid w:val="0"/>
          <w:lang w:eastAsia="ja-JP"/>
        </w:rPr>
        <w:t xml:space="preserve"> </w:t>
      </w:r>
      <w:r w:rsidR="0044240F" w:rsidRPr="00DA7220">
        <w:rPr>
          <w:i/>
          <w:snapToGrid w:val="0"/>
          <w:lang w:eastAsia="ja-JP"/>
        </w:rPr>
        <w:t>and ownership of molecular information</w:t>
      </w:r>
      <w:r w:rsidR="0044240F" w:rsidRPr="00DA7220">
        <w:rPr>
          <w:rFonts w:hint="eastAsia"/>
          <w:i/>
          <w:snapToGrid w:val="0"/>
          <w:lang w:eastAsia="ja-JP"/>
        </w:rPr>
        <w:t xml:space="preserve"> </w:t>
      </w:r>
      <w:r w:rsidR="00B7479D" w:rsidRPr="00DA7220">
        <w:rPr>
          <w:i/>
        </w:rPr>
        <w:t xml:space="preserve">based on </w:t>
      </w:r>
      <w:r w:rsidR="000733EC" w:rsidRPr="00DA7220">
        <w:rPr>
          <w:i/>
        </w:rPr>
        <w:t xml:space="preserve">concrete cases and </w:t>
      </w:r>
      <w:r w:rsidR="000733EC" w:rsidRPr="0077577B">
        <w:rPr>
          <w:i/>
        </w:rPr>
        <w:t>specific situations</w:t>
      </w:r>
      <w:r w:rsidR="00C16AE1" w:rsidRPr="0077577B">
        <w:rPr>
          <w:i/>
        </w:rPr>
        <w:t>;</w:t>
      </w:r>
      <w:r w:rsidR="00361889" w:rsidRPr="0077577B">
        <w:rPr>
          <w:i/>
        </w:rPr>
        <w:t xml:space="preserve"> </w:t>
      </w:r>
      <w:r w:rsidR="00DA7220" w:rsidRPr="0077577B">
        <w:rPr>
          <w:i/>
        </w:rPr>
        <w:t>and</w:t>
      </w:r>
    </w:p>
    <w:p w14:paraId="6277EB30" w14:textId="77777777" w:rsidR="00DA7220" w:rsidRPr="0077577B" w:rsidRDefault="00DA7220" w:rsidP="00DA7220">
      <w:pPr>
        <w:pStyle w:val="ListParagraph"/>
        <w:tabs>
          <w:tab w:val="left" w:pos="5387"/>
          <w:tab w:val="left" w:pos="5954"/>
        </w:tabs>
        <w:ind w:left="5387"/>
        <w:jc w:val="both"/>
        <w:rPr>
          <w:i/>
        </w:rPr>
      </w:pPr>
    </w:p>
    <w:p w14:paraId="0820E63B" w14:textId="4A68D25A" w:rsidR="000733EC" w:rsidRPr="0077577B" w:rsidRDefault="00DA7220" w:rsidP="00B65947">
      <w:pPr>
        <w:pStyle w:val="ListParagraph"/>
        <w:numPr>
          <w:ilvl w:val="0"/>
          <w:numId w:val="46"/>
        </w:numPr>
        <w:tabs>
          <w:tab w:val="left" w:pos="5387"/>
          <w:tab w:val="left" w:pos="5954"/>
        </w:tabs>
        <w:ind w:left="4820" w:firstLine="567"/>
        <w:jc w:val="both"/>
        <w:rPr>
          <w:i/>
        </w:rPr>
      </w:pPr>
      <w:bookmarkStart w:id="22" w:name="_Hlk209621520"/>
      <w:r w:rsidRPr="0077577B">
        <w:rPr>
          <w:i/>
        </w:rPr>
        <w:t xml:space="preserve">consider inviting the TWPs to </w:t>
      </w:r>
      <w:r w:rsidR="00B65947" w:rsidRPr="0077577B">
        <w:rPr>
          <w:i/>
        </w:rPr>
        <w:t>discuss cooperation on the use of molecular information, such as at the 2025 sessions of the TWO (</w:t>
      </w:r>
      <w:r w:rsidRPr="0077577B">
        <w:rPr>
          <w:i/>
        </w:rPr>
        <w:t>joint development of molecular markers</w:t>
      </w:r>
      <w:r w:rsidR="00B65947" w:rsidRPr="0077577B">
        <w:rPr>
          <w:i/>
        </w:rPr>
        <w:t>) and TWV (</w:t>
      </w:r>
      <w:r w:rsidRPr="0077577B">
        <w:rPr>
          <w:i/>
        </w:rPr>
        <w:t>managing variety collections</w:t>
      </w:r>
      <w:r w:rsidR="00B65947" w:rsidRPr="0077577B">
        <w:rPr>
          <w:i/>
        </w:rPr>
        <w:t xml:space="preserve"> and variety identification)</w:t>
      </w:r>
      <w:r w:rsidR="00AA7EF7" w:rsidRPr="0077577B">
        <w:rPr>
          <w:i/>
        </w:rPr>
        <w:t>.</w:t>
      </w:r>
      <w:r w:rsidR="00B65947" w:rsidRPr="0077577B">
        <w:rPr>
          <w:i/>
        </w:rPr>
        <w:t xml:space="preserve"> </w:t>
      </w:r>
      <w:bookmarkEnd w:id="22"/>
    </w:p>
    <w:p w14:paraId="0F20EC14" w14:textId="77777777" w:rsidR="003012FA" w:rsidRDefault="003012FA" w:rsidP="00EF4B00">
      <w:pPr>
        <w:rPr>
          <w:snapToGrid w:val="0"/>
          <w:lang w:eastAsia="ja-JP"/>
        </w:rPr>
      </w:pPr>
    </w:p>
    <w:p w14:paraId="2A66AE87" w14:textId="77777777" w:rsidR="00FE38C7" w:rsidRDefault="00FE38C7" w:rsidP="00EF4B00">
      <w:pPr>
        <w:rPr>
          <w:snapToGrid w:val="0"/>
          <w:lang w:eastAsia="ja-JP"/>
        </w:rPr>
      </w:pPr>
    </w:p>
    <w:p w14:paraId="44F2CED1" w14:textId="77777777" w:rsidR="00FE38C7" w:rsidRPr="00F07B06" w:rsidRDefault="00FE38C7" w:rsidP="00EF4B00">
      <w:pPr>
        <w:rPr>
          <w:snapToGrid w:val="0"/>
          <w:lang w:eastAsia="ja-JP"/>
        </w:rPr>
      </w:pPr>
    </w:p>
    <w:p w14:paraId="15A37244" w14:textId="6FDA7B9D" w:rsidR="00825360" w:rsidRDefault="00311464" w:rsidP="00E45D45">
      <w:pPr>
        <w:pStyle w:val="Heading1"/>
        <w:keepLines/>
        <w:rPr>
          <w:snapToGrid w:val="0"/>
          <w:lang w:eastAsia="ja-JP"/>
        </w:rPr>
      </w:pPr>
      <w:bookmarkStart w:id="23" w:name="_Toc210139289"/>
      <w:r>
        <w:rPr>
          <w:noProof/>
          <w:snapToGrid w:val="0"/>
          <w:lang w:eastAsia="ja-JP"/>
        </w:rPr>
        <w:t>COOPERATION BETWEEN INTERNATIONAL ORGANIZATIONS</w:t>
      </w:r>
      <w:bookmarkEnd w:id="23"/>
    </w:p>
    <w:p w14:paraId="29E9EBBA" w14:textId="77777777" w:rsidR="00311464" w:rsidRDefault="00311464" w:rsidP="00E45D45">
      <w:pPr>
        <w:keepNext/>
        <w:keepLines/>
        <w:rPr>
          <w:snapToGrid w:val="0"/>
          <w:lang w:eastAsia="ja-JP"/>
        </w:rPr>
      </w:pPr>
    </w:p>
    <w:p w14:paraId="3548DC72" w14:textId="483C02FC" w:rsidR="006F66D1" w:rsidRDefault="006F66D1" w:rsidP="00EF24D5">
      <w:pPr>
        <w:pStyle w:val="Heading2"/>
      </w:pPr>
      <w:bookmarkStart w:id="24" w:name="_Toc210139290"/>
      <w:r w:rsidRPr="00F07B06">
        <w:t>Background</w:t>
      </w:r>
      <w:bookmarkEnd w:id="24"/>
    </w:p>
    <w:p w14:paraId="035B7785" w14:textId="77777777" w:rsidR="006F66D1" w:rsidRDefault="006F66D1" w:rsidP="00E45D45">
      <w:pPr>
        <w:keepNext/>
        <w:keepLines/>
        <w:rPr>
          <w:snapToGrid w:val="0"/>
          <w:lang w:eastAsia="ja-JP"/>
        </w:rPr>
      </w:pPr>
    </w:p>
    <w:p w14:paraId="4B0DD088" w14:textId="57391515" w:rsidR="009E25B1" w:rsidRDefault="008D0B9F" w:rsidP="00E45D45">
      <w:pPr>
        <w:pStyle w:val="ListParagraph"/>
        <w:keepNext/>
        <w:keepLines/>
        <w:ind w:left="0"/>
        <w:jc w:val="both"/>
        <w:rPr>
          <w:rFonts w:eastAsiaTheme="minorEastAsia"/>
          <w:lang w:eastAsia="ja-JP"/>
        </w:rPr>
      </w:pPr>
      <w:r w:rsidRPr="00F07B06">
        <w:fldChar w:fldCharType="begin"/>
      </w:r>
      <w:r w:rsidRPr="00F07B06">
        <w:instrText xml:space="preserve"> AUTONUM  </w:instrText>
      </w:r>
      <w:r w:rsidRPr="00F07B06">
        <w:fldChar w:fldCharType="end"/>
      </w:r>
      <w:r w:rsidRPr="00F07B06">
        <w:tab/>
        <w:t>The T</w:t>
      </w:r>
      <w:r w:rsidR="000300DE">
        <w:rPr>
          <w:rFonts w:eastAsiaTheme="minorEastAsia" w:hint="eastAsia"/>
          <w:lang w:eastAsia="ja-JP"/>
        </w:rPr>
        <w:t>C</w:t>
      </w:r>
      <w:r w:rsidRPr="00F07B06">
        <w:rPr>
          <w:rStyle w:val="FootnoteReference"/>
        </w:rPr>
        <w:footnoteReference w:id="16"/>
      </w:r>
      <w:r w:rsidRPr="00F07B06">
        <w:t xml:space="preserve">, </w:t>
      </w:r>
      <w:r w:rsidR="009E25B1">
        <w:t>at its fifty-seventh session, agreed to propose the following topics for a future joint</w:t>
      </w:r>
      <w:r w:rsidR="00F5283A">
        <w:t xml:space="preserve"> </w:t>
      </w:r>
      <w:r w:rsidR="009E25B1">
        <w:t>UPOV/OECD/ISTA workshop:</w:t>
      </w:r>
    </w:p>
    <w:p w14:paraId="7D5E5635" w14:textId="77777777" w:rsidR="009E25B1" w:rsidRPr="009E25B1" w:rsidRDefault="009E25B1" w:rsidP="00AA5620">
      <w:pPr>
        <w:pStyle w:val="ListParagraph"/>
        <w:ind w:left="0"/>
        <w:jc w:val="both"/>
        <w:rPr>
          <w:rFonts w:eastAsiaTheme="minorEastAsia"/>
          <w:lang w:eastAsia="ja-JP"/>
        </w:rPr>
      </w:pPr>
    </w:p>
    <w:p w14:paraId="6C05D8CE" w14:textId="5B17778E" w:rsidR="009E25B1" w:rsidRPr="00C3424E" w:rsidRDefault="009E25B1" w:rsidP="00AA5620">
      <w:pPr>
        <w:pStyle w:val="ListParagraph"/>
        <w:numPr>
          <w:ilvl w:val="0"/>
          <w:numId w:val="20"/>
        </w:numPr>
        <w:ind w:left="1134" w:hanging="567"/>
        <w:jc w:val="both"/>
      </w:pPr>
      <w:r>
        <w:t>providing information on the use of molecular techniques in each organization;</w:t>
      </w:r>
    </w:p>
    <w:p w14:paraId="6463D26D" w14:textId="2C88CACB" w:rsidR="009E25B1" w:rsidRPr="00C3424E" w:rsidRDefault="009E25B1" w:rsidP="00AA5620">
      <w:pPr>
        <w:pStyle w:val="ListParagraph"/>
        <w:numPr>
          <w:ilvl w:val="0"/>
          <w:numId w:val="20"/>
        </w:numPr>
        <w:ind w:left="1134" w:hanging="567"/>
        <w:jc w:val="both"/>
      </w:pPr>
      <w:r>
        <w:t>procedure for approval of biochemical and molecular methods in each organization; and</w:t>
      </w:r>
    </w:p>
    <w:p w14:paraId="39052F3F" w14:textId="29FBB215" w:rsidR="008D0B9F" w:rsidRPr="005D7F77" w:rsidRDefault="009E25B1" w:rsidP="00AA5620">
      <w:pPr>
        <w:pStyle w:val="ListParagraph"/>
        <w:numPr>
          <w:ilvl w:val="0"/>
          <w:numId w:val="20"/>
        </w:numPr>
        <w:ind w:left="1134" w:hanging="567"/>
        <w:jc w:val="both"/>
      </w:pPr>
      <w:r>
        <w:t>possibilities for harmonizing terms, definitions and methods between UPOV, OECD and ISTA.</w:t>
      </w:r>
    </w:p>
    <w:p w14:paraId="4F5442A0" w14:textId="77777777" w:rsidR="008D0B9F" w:rsidRDefault="008D0B9F" w:rsidP="00AA5620">
      <w:pPr>
        <w:rPr>
          <w:snapToGrid w:val="0"/>
          <w:lang w:eastAsia="ja-JP"/>
        </w:rPr>
      </w:pPr>
    </w:p>
    <w:p w14:paraId="2B6D06E7" w14:textId="77777777" w:rsidR="008D0B9F" w:rsidRDefault="008D0B9F" w:rsidP="00AA5620">
      <w:pPr>
        <w:rPr>
          <w:snapToGrid w:val="0"/>
          <w:lang w:eastAsia="ja-JP"/>
        </w:rPr>
      </w:pPr>
    </w:p>
    <w:p w14:paraId="64751580" w14:textId="0F22FB86" w:rsidR="00D675E7" w:rsidRDefault="00882559" w:rsidP="00AF5629">
      <w:pPr>
        <w:pStyle w:val="Heading2"/>
        <w:rPr>
          <w:snapToGrid w:val="0"/>
          <w:lang w:eastAsia="ja-JP"/>
        </w:rPr>
      </w:pPr>
      <w:bookmarkStart w:id="25" w:name="_Toc210139291"/>
      <w:r>
        <w:lastRenderedPageBreak/>
        <w:t>H</w:t>
      </w:r>
      <w:r w:rsidR="00D675E7">
        <w:t>armonizing terms, definitions and methods between UPOV, OECD and ISTA</w:t>
      </w:r>
      <w:bookmarkEnd w:id="25"/>
    </w:p>
    <w:p w14:paraId="3543D5C9" w14:textId="77777777" w:rsidR="00D675E7" w:rsidRDefault="00D675E7" w:rsidP="00D856D9">
      <w:pPr>
        <w:keepNext/>
        <w:keepLines/>
        <w:rPr>
          <w:snapToGrid w:val="0"/>
          <w:lang w:eastAsia="ja-JP"/>
        </w:rPr>
      </w:pPr>
    </w:p>
    <w:p w14:paraId="59A20E5F" w14:textId="079C93F5" w:rsidR="00F2781E" w:rsidRDefault="00B63F38" w:rsidP="001F298F">
      <w:pPr>
        <w:pStyle w:val="ListParagraph"/>
        <w:ind w:left="0"/>
        <w:jc w:val="both"/>
        <w:rPr>
          <w:rFonts w:eastAsiaTheme="minorEastAsia"/>
          <w:lang w:eastAsia="ja-JP"/>
        </w:rPr>
      </w:pPr>
      <w:r w:rsidRPr="00F07B06">
        <w:fldChar w:fldCharType="begin"/>
      </w:r>
      <w:r w:rsidRPr="00F07B06">
        <w:instrText xml:space="preserve"> AUTONUM  </w:instrText>
      </w:r>
      <w:r w:rsidRPr="00F07B06">
        <w:fldChar w:fldCharType="end"/>
      </w:r>
      <w:r w:rsidRPr="00F07B06">
        <w:tab/>
        <w:t>The T</w:t>
      </w:r>
      <w:r w:rsidR="00E3484E">
        <w:rPr>
          <w:rFonts w:eastAsiaTheme="minorEastAsia" w:hint="eastAsia"/>
          <w:lang w:eastAsia="ja-JP"/>
        </w:rPr>
        <w:t>WM</w:t>
      </w:r>
      <w:r w:rsidRPr="00F07B06">
        <w:rPr>
          <w:rStyle w:val="FootnoteReference"/>
        </w:rPr>
        <w:footnoteReference w:id="17"/>
      </w:r>
      <w:r w:rsidRPr="00F07B06">
        <w:t xml:space="preserve">, </w:t>
      </w:r>
      <w:r>
        <w:t xml:space="preserve">at its </w:t>
      </w:r>
      <w:r w:rsidR="00E3484E">
        <w:rPr>
          <w:rFonts w:eastAsiaTheme="minorEastAsia" w:hint="eastAsia"/>
          <w:lang w:eastAsia="ja-JP"/>
        </w:rPr>
        <w:t>third</w:t>
      </w:r>
      <w:r>
        <w:t xml:space="preserve"> session, </w:t>
      </w:r>
      <w:r w:rsidR="00064944" w:rsidRPr="00064944">
        <w:t xml:space="preserve">considered possible joint activities with OECD and ISTA and the possible harmonization </w:t>
      </w:r>
      <w:bookmarkStart w:id="26" w:name="_Hlk201678787"/>
      <w:r w:rsidR="00064944" w:rsidRPr="00064944">
        <w:t>of terms, definitions and methods in relation to molecular techniques</w:t>
      </w:r>
      <w:bookmarkEnd w:id="26"/>
      <w:r w:rsidR="00064944" w:rsidRPr="00064944">
        <w:t xml:space="preserve">. The TWM agreed </w:t>
      </w:r>
      <w:r w:rsidR="00064944" w:rsidRPr="0077577B">
        <w:t xml:space="preserve">to invite the expert from France to </w:t>
      </w:r>
      <w:r w:rsidR="00361889" w:rsidRPr="0077577B">
        <w:t xml:space="preserve">coordinate </w:t>
      </w:r>
      <w:r w:rsidR="00064944" w:rsidRPr="0077577B">
        <w:t>discussions to organize relevant information on terms and</w:t>
      </w:r>
      <w:r w:rsidR="00064944" w:rsidRPr="00064944">
        <w:t xml:space="preserve"> definitions. The TWM noted the expression of interest of the experts from Argentina, China, Germany, Netherlands (Kingdom of the), United Kingdom, CIOPORA and ISF to contribute to the exercise. </w:t>
      </w:r>
    </w:p>
    <w:p w14:paraId="72D34751" w14:textId="77777777" w:rsidR="00F2781E" w:rsidRDefault="00F2781E" w:rsidP="00064944">
      <w:pPr>
        <w:pStyle w:val="ListParagraph"/>
        <w:ind w:left="0"/>
        <w:jc w:val="both"/>
        <w:rPr>
          <w:rFonts w:eastAsiaTheme="minorEastAsia"/>
          <w:lang w:eastAsia="ja-JP"/>
        </w:rPr>
      </w:pPr>
    </w:p>
    <w:p w14:paraId="35A2259C" w14:textId="5A75C8A2" w:rsidR="0001494C" w:rsidRDefault="0001494C" w:rsidP="0001494C">
      <w:r w:rsidRPr="00F07B06">
        <w:fldChar w:fldCharType="begin"/>
      </w:r>
      <w:r w:rsidRPr="00F07B06">
        <w:instrText xml:space="preserve"> AUTONUM  </w:instrText>
      </w:r>
      <w:r w:rsidRPr="00F07B06">
        <w:fldChar w:fldCharType="end"/>
      </w:r>
      <w:r w:rsidRPr="00F07B06">
        <w:tab/>
      </w:r>
      <w:r w:rsidR="00064944" w:rsidRPr="00064944">
        <w:t>The TWM noted the report from the representative of OECD that the OECD Seed Schemes had already endorsed the collaboration with UPOV for possible harmonization of definitions and terms.</w:t>
      </w:r>
    </w:p>
    <w:p w14:paraId="3E1F556F" w14:textId="77777777" w:rsidR="00257D41" w:rsidRDefault="00257D41" w:rsidP="0001494C"/>
    <w:p w14:paraId="584A3239" w14:textId="2A7EE10A" w:rsidR="006F3491" w:rsidRPr="00CD197C" w:rsidRDefault="00D856D9" w:rsidP="00CD197C">
      <w:pPr>
        <w:tabs>
          <w:tab w:val="left" w:pos="5387"/>
          <w:tab w:val="left" w:pos="6237"/>
        </w:tabs>
        <w:ind w:left="4820"/>
        <w:rPr>
          <w:i/>
          <w:iCs/>
        </w:rPr>
      </w:pPr>
      <w:r w:rsidRPr="00CD197C">
        <w:rPr>
          <w:i/>
          <w:iCs/>
        </w:rPr>
        <w:fldChar w:fldCharType="begin"/>
      </w:r>
      <w:r w:rsidRPr="00CD197C">
        <w:rPr>
          <w:i/>
          <w:iCs/>
        </w:rPr>
        <w:instrText xml:space="preserve"> AUTONUM  </w:instrText>
      </w:r>
      <w:r w:rsidRPr="00CD197C">
        <w:rPr>
          <w:i/>
          <w:iCs/>
        </w:rPr>
        <w:fldChar w:fldCharType="end"/>
      </w:r>
      <w:r w:rsidRPr="00CD197C">
        <w:rPr>
          <w:i/>
          <w:iCs/>
        </w:rPr>
        <w:tab/>
      </w:r>
      <w:proofErr w:type="gramStart"/>
      <w:r w:rsidRPr="00CD197C">
        <w:rPr>
          <w:i/>
          <w:iCs/>
        </w:rPr>
        <w:t>The TC</w:t>
      </w:r>
      <w:proofErr w:type="gramEnd"/>
      <w:r w:rsidRPr="00CD197C">
        <w:rPr>
          <w:i/>
          <w:iCs/>
        </w:rPr>
        <w:t xml:space="preserve"> is invited to</w:t>
      </w:r>
      <w:r w:rsidR="006F3491" w:rsidRPr="00CD197C">
        <w:rPr>
          <w:i/>
          <w:iCs/>
        </w:rPr>
        <w:t>:</w:t>
      </w:r>
    </w:p>
    <w:p w14:paraId="51A93B1C" w14:textId="77777777" w:rsidR="006F3491" w:rsidRPr="00CD197C" w:rsidRDefault="006F3491" w:rsidP="00CD197C">
      <w:pPr>
        <w:tabs>
          <w:tab w:val="left" w:pos="5387"/>
          <w:tab w:val="left" w:pos="6237"/>
        </w:tabs>
        <w:ind w:left="4820"/>
        <w:rPr>
          <w:i/>
          <w:iCs/>
        </w:rPr>
      </w:pPr>
    </w:p>
    <w:p w14:paraId="411EB28D" w14:textId="1DB9CF93" w:rsidR="00D856D9" w:rsidRPr="00CD197C" w:rsidRDefault="00CD197C" w:rsidP="005972A1">
      <w:pPr>
        <w:tabs>
          <w:tab w:val="left" w:pos="5387"/>
          <w:tab w:val="left" w:pos="5954"/>
        </w:tabs>
        <w:ind w:left="4820"/>
        <w:rPr>
          <w:i/>
          <w:iCs/>
        </w:rPr>
      </w:pPr>
      <w:r>
        <w:rPr>
          <w:i/>
          <w:iCs/>
        </w:rPr>
        <w:tab/>
      </w:r>
      <w:r w:rsidR="006F3491" w:rsidRPr="00CD197C">
        <w:rPr>
          <w:i/>
          <w:iCs/>
        </w:rPr>
        <w:t>(a)</w:t>
      </w:r>
      <w:r w:rsidR="006F3491" w:rsidRPr="00CD197C">
        <w:rPr>
          <w:i/>
          <w:iCs/>
        </w:rPr>
        <w:tab/>
      </w:r>
      <w:r w:rsidR="00A748EB" w:rsidRPr="00CD197C">
        <w:rPr>
          <w:i/>
          <w:iCs/>
        </w:rPr>
        <w:t xml:space="preserve">consider </w:t>
      </w:r>
      <w:r w:rsidR="00D52ECB" w:rsidRPr="00CD197C">
        <w:rPr>
          <w:i/>
          <w:iCs/>
        </w:rPr>
        <w:t>invit</w:t>
      </w:r>
      <w:r w:rsidR="00A748EB">
        <w:rPr>
          <w:i/>
          <w:iCs/>
        </w:rPr>
        <w:t>ing</w:t>
      </w:r>
      <w:r w:rsidR="00D52ECB" w:rsidRPr="00CD197C">
        <w:rPr>
          <w:i/>
          <w:iCs/>
        </w:rPr>
        <w:t xml:space="preserve"> France</w:t>
      </w:r>
      <w:r w:rsidR="002A4C99" w:rsidRPr="00CD197C">
        <w:rPr>
          <w:i/>
          <w:iCs/>
        </w:rPr>
        <w:t>, in colla</w:t>
      </w:r>
      <w:r w:rsidR="00865A4D" w:rsidRPr="00CD197C">
        <w:rPr>
          <w:i/>
          <w:iCs/>
        </w:rPr>
        <w:t>boration with Argentina, China, Germany, Netherlands (Kingdom of the), United Kingdom, CIOPORA and ISF</w:t>
      </w:r>
      <w:r w:rsidR="00361889">
        <w:rPr>
          <w:i/>
          <w:iCs/>
        </w:rPr>
        <w:t>,</w:t>
      </w:r>
      <w:r w:rsidR="00865A4D" w:rsidRPr="00CD197C">
        <w:rPr>
          <w:i/>
          <w:iCs/>
        </w:rPr>
        <w:t xml:space="preserve"> to</w:t>
      </w:r>
      <w:r w:rsidR="00681443" w:rsidRPr="00CD197C">
        <w:rPr>
          <w:i/>
          <w:iCs/>
        </w:rPr>
        <w:t xml:space="preserve"> </w:t>
      </w:r>
      <w:r w:rsidR="00A40CBB" w:rsidRPr="00CD197C">
        <w:rPr>
          <w:i/>
          <w:iCs/>
        </w:rPr>
        <w:t xml:space="preserve">organize information </w:t>
      </w:r>
      <w:r w:rsidR="00640E10" w:rsidRPr="00CD197C">
        <w:rPr>
          <w:i/>
          <w:iCs/>
        </w:rPr>
        <w:t xml:space="preserve">on terms and definitions </w:t>
      </w:r>
      <w:r w:rsidR="00F320EE" w:rsidRPr="00CD197C">
        <w:rPr>
          <w:i/>
          <w:iCs/>
        </w:rPr>
        <w:t>on molecular techniques used in UPOV</w:t>
      </w:r>
      <w:r w:rsidR="009112CA" w:rsidRPr="00CD197C">
        <w:rPr>
          <w:i/>
          <w:iCs/>
        </w:rPr>
        <w:t xml:space="preserve">, for consideration by the TWM </w:t>
      </w:r>
      <w:r w:rsidR="002D369F" w:rsidRPr="00CD197C">
        <w:rPr>
          <w:i/>
          <w:iCs/>
        </w:rPr>
        <w:t>and the TC in 2026; and</w:t>
      </w:r>
    </w:p>
    <w:p w14:paraId="1B7B5C0F" w14:textId="3E6B326D" w:rsidR="002D369F" w:rsidRPr="00CD197C" w:rsidRDefault="002D369F" w:rsidP="00CD197C">
      <w:pPr>
        <w:tabs>
          <w:tab w:val="left" w:pos="5387"/>
          <w:tab w:val="left" w:pos="6237"/>
        </w:tabs>
        <w:ind w:left="4820"/>
        <w:rPr>
          <w:i/>
          <w:iCs/>
        </w:rPr>
      </w:pPr>
    </w:p>
    <w:p w14:paraId="36C6CA10" w14:textId="47A99D92" w:rsidR="002D369F" w:rsidRPr="00CD197C" w:rsidRDefault="00CD197C" w:rsidP="00CD197C">
      <w:pPr>
        <w:tabs>
          <w:tab w:val="left" w:pos="5387"/>
          <w:tab w:val="left" w:pos="5954"/>
        </w:tabs>
        <w:ind w:left="4820"/>
        <w:rPr>
          <w:i/>
          <w:iCs/>
        </w:rPr>
      </w:pPr>
      <w:r>
        <w:rPr>
          <w:i/>
          <w:iCs/>
        </w:rPr>
        <w:tab/>
      </w:r>
      <w:r w:rsidR="002D369F" w:rsidRPr="00CD197C">
        <w:rPr>
          <w:i/>
          <w:iCs/>
        </w:rPr>
        <w:t>(b)</w:t>
      </w:r>
      <w:r w:rsidR="002D369F" w:rsidRPr="00CD197C">
        <w:rPr>
          <w:i/>
          <w:iCs/>
        </w:rPr>
        <w:tab/>
      </w:r>
      <w:r w:rsidR="005972A1">
        <w:rPr>
          <w:i/>
          <w:iCs/>
        </w:rPr>
        <w:t xml:space="preserve">note that </w:t>
      </w:r>
      <w:r w:rsidR="005972A1" w:rsidRPr="005972A1">
        <w:rPr>
          <w:i/>
          <w:iCs/>
        </w:rPr>
        <w:t>the OECD Seed Schemes endorsed the collaboration with UPOV for possible harmonization of definitions and terms</w:t>
      </w:r>
      <w:r w:rsidR="005972A1">
        <w:rPr>
          <w:i/>
          <w:iCs/>
        </w:rPr>
        <w:t>.</w:t>
      </w:r>
    </w:p>
    <w:p w14:paraId="1ABCE205" w14:textId="77777777" w:rsidR="00D856D9" w:rsidRDefault="00D856D9" w:rsidP="0001494C"/>
    <w:p w14:paraId="5E361452" w14:textId="77777777" w:rsidR="00CF2609" w:rsidRDefault="00CF2609" w:rsidP="001F298F">
      <w:pPr>
        <w:rPr>
          <w:snapToGrid w:val="0"/>
          <w:lang w:eastAsia="ja-JP"/>
        </w:rPr>
      </w:pPr>
    </w:p>
    <w:p w14:paraId="5BB67E8E" w14:textId="77777777" w:rsidR="00CF2609" w:rsidRDefault="00CF2609" w:rsidP="00EF24D5">
      <w:pPr>
        <w:pStyle w:val="Heading2"/>
        <w:rPr>
          <w:snapToGrid w:val="0"/>
        </w:rPr>
      </w:pPr>
      <w:bookmarkStart w:id="27" w:name="_Toc210139292"/>
      <w:bookmarkStart w:id="28" w:name="_Hlk208420603"/>
      <w:r>
        <w:rPr>
          <w:noProof/>
          <w:snapToGrid w:val="0"/>
        </w:rPr>
        <w:t>Updating the list of molecular makers used per crop</w:t>
      </w:r>
      <w:bookmarkEnd w:id="27"/>
    </w:p>
    <w:bookmarkEnd w:id="28"/>
    <w:p w14:paraId="6A704C9A" w14:textId="77777777" w:rsidR="00475A2F" w:rsidRDefault="00475A2F" w:rsidP="004C120A">
      <w:pPr>
        <w:keepLines/>
        <w:rPr>
          <w:snapToGrid w:val="0"/>
          <w:lang w:eastAsia="ja-JP"/>
        </w:rPr>
      </w:pPr>
    </w:p>
    <w:p w14:paraId="67C4AC8E" w14:textId="0A2A139B" w:rsidR="009C1407" w:rsidRPr="0001494C" w:rsidRDefault="009C1407" w:rsidP="001F298F">
      <w:pPr>
        <w:rPr>
          <w:lang w:eastAsia="ja-JP"/>
        </w:rPr>
      </w:pPr>
      <w:r w:rsidRPr="00F07B06">
        <w:fldChar w:fldCharType="begin"/>
      </w:r>
      <w:r w:rsidRPr="00F07B06">
        <w:instrText xml:space="preserve"> AUTONUM  </w:instrText>
      </w:r>
      <w:r w:rsidRPr="00F07B06">
        <w:fldChar w:fldCharType="end"/>
      </w:r>
      <w:r w:rsidRPr="00F07B06">
        <w:tab/>
      </w:r>
      <w:r w:rsidRPr="00064944">
        <w:t>The TWM</w:t>
      </w:r>
      <w:r w:rsidR="00475A2F">
        <w:t xml:space="preserve"> </w:t>
      </w:r>
      <w:r w:rsidRPr="00064944">
        <w:t xml:space="preserve">recalled that the outcomes of the survey of UPOV members on the use of molecular markers per crop was available as a spreadsheet at the webpage of the Technical Committee, at its fifty-eight session (see: </w:t>
      </w:r>
      <w:hyperlink r:id="rId17" w:history="1">
        <w:r w:rsidRPr="002F3BC9">
          <w:rPr>
            <w:rStyle w:val="Hyperlink"/>
          </w:rPr>
          <w:t>https://www.upov.int/meetings/en/doc_details.jsp?meeting_id=67786&amp;doc_id=586962</w:t>
        </w:r>
      </w:hyperlink>
      <w:r w:rsidRPr="00064944">
        <w:t>).</w:t>
      </w:r>
    </w:p>
    <w:p w14:paraId="77E329BD" w14:textId="77777777" w:rsidR="00CF2609" w:rsidRDefault="00CF2609" w:rsidP="00CF2609">
      <w:pPr>
        <w:rPr>
          <w:snapToGrid w:val="0"/>
          <w:lang w:eastAsia="ja-JP"/>
        </w:rPr>
      </w:pPr>
    </w:p>
    <w:p w14:paraId="60C54067" w14:textId="1CE4D6BA" w:rsidR="00CF2609" w:rsidRPr="0077577B" w:rsidRDefault="00CF2609" w:rsidP="00CF2609">
      <w:pPr>
        <w:rPr>
          <w:snapToGrid w:val="0"/>
          <w:lang w:eastAsia="ja-JP"/>
        </w:rPr>
      </w:pPr>
      <w:r w:rsidRPr="0077577B">
        <w:fldChar w:fldCharType="begin"/>
      </w:r>
      <w:r w:rsidRPr="0077577B">
        <w:instrText xml:space="preserve"> AUTONUM  </w:instrText>
      </w:r>
      <w:r w:rsidRPr="0077577B">
        <w:fldChar w:fldCharType="end"/>
      </w:r>
      <w:r w:rsidRPr="0077577B">
        <w:tab/>
        <w:t>The T</w:t>
      </w:r>
      <w:r w:rsidRPr="0077577B">
        <w:rPr>
          <w:rFonts w:hint="eastAsia"/>
          <w:lang w:eastAsia="ja-JP"/>
        </w:rPr>
        <w:t>WM</w:t>
      </w:r>
      <w:r w:rsidRPr="0077577B">
        <w:rPr>
          <w:rStyle w:val="FootnoteReference"/>
        </w:rPr>
        <w:footnoteReference w:id="18"/>
      </w:r>
      <w:r w:rsidRPr="0077577B">
        <w:t xml:space="preserve"> welcomed the proposal from the Netherlands (Kingdom of the) to </w:t>
      </w:r>
      <w:r w:rsidR="00361889" w:rsidRPr="0077577B">
        <w:t xml:space="preserve">coordinate </w:t>
      </w:r>
      <w:r w:rsidRPr="0077577B">
        <w:t>the updating of the list of molecular markers used per crop, that had been reported to the Technical Committee, at its fifty-eight session</w:t>
      </w:r>
      <w:r w:rsidRPr="0077577B">
        <w:rPr>
          <w:rFonts w:hint="eastAsia"/>
          <w:lang w:eastAsia="ja-JP"/>
        </w:rPr>
        <w:t>.</w:t>
      </w:r>
    </w:p>
    <w:p w14:paraId="35F67DA0" w14:textId="77777777" w:rsidR="00BD40C6" w:rsidRPr="0077577B" w:rsidRDefault="00BD40C6" w:rsidP="00BD40C6">
      <w:pPr>
        <w:rPr>
          <w:lang w:eastAsia="ja-JP"/>
        </w:rPr>
      </w:pPr>
    </w:p>
    <w:p w14:paraId="4C3E394B" w14:textId="70FD1070" w:rsidR="00BD40C6" w:rsidRPr="0077577B" w:rsidRDefault="00BD40C6" w:rsidP="001F298F">
      <w:pPr>
        <w:pStyle w:val="DecisionParagraphs"/>
        <w:rPr>
          <w:lang w:eastAsia="ja-JP"/>
        </w:rPr>
      </w:pPr>
      <w:r w:rsidRPr="0077577B">
        <w:rPr>
          <w:lang w:eastAsia="ja-JP"/>
        </w:rPr>
        <w:fldChar w:fldCharType="begin"/>
      </w:r>
      <w:r w:rsidRPr="0077577B">
        <w:rPr>
          <w:lang w:eastAsia="ja-JP"/>
        </w:rPr>
        <w:instrText xml:space="preserve"> AUTONUM  </w:instrText>
      </w:r>
      <w:r w:rsidRPr="0077577B">
        <w:rPr>
          <w:lang w:eastAsia="ja-JP"/>
        </w:rPr>
        <w:fldChar w:fldCharType="end"/>
      </w:r>
      <w:r w:rsidRPr="0077577B">
        <w:rPr>
          <w:lang w:eastAsia="ja-JP"/>
        </w:rPr>
        <w:tab/>
        <w:t xml:space="preserve">The TC is invited to consider inviting the Netherlands (Kingdom of the) to </w:t>
      </w:r>
      <w:r w:rsidR="00361889" w:rsidRPr="0077577B">
        <w:rPr>
          <w:lang w:eastAsia="ja-JP"/>
        </w:rPr>
        <w:t xml:space="preserve">coordinate </w:t>
      </w:r>
      <w:r w:rsidRPr="0077577B">
        <w:rPr>
          <w:lang w:eastAsia="ja-JP"/>
        </w:rPr>
        <w:t>the updating of the list of molecular markers used per crop developed by UPOV and available at the webpage of the fifty-eight</w:t>
      </w:r>
      <w:r w:rsidR="001F298F" w:rsidRPr="0077577B">
        <w:rPr>
          <w:lang w:eastAsia="ja-JP"/>
        </w:rPr>
        <w:t>h</w:t>
      </w:r>
      <w:r w:rsidRPr="0077577B">
        <w:rPr>
          <w:lang w:eastAsia="ja-JP"/>
        </w:rPr>
        <w:t xml:space="preserve"> session of the TC. </w:t>
      </w:r>
    </w:p>
    <w:p w14:paraId="1B151BED" w14:textId="77777777" w:rsidR="00CF2609" w:rsidRPr="0077577B" w:rsidRDefault="00CF2609" w:rsidP="00CF2609">
      <w:pPr>
        <w:rPr>
          <w:snapToGrid w:val="0"/>
          <w:lang w:eastAsia="ja-JP"/>
        </w:rPr>
      </w:pPr>
    </w:p>
    <w:p w14:paraId="7A72C894" w14:textId="77777777" w:rsidR="00D8658B" w:rsidRPr="0077577B" w:rsidRDefault="00D8658B" w:rsidP="00650FB2">
      <w:pPr>
        <w:pStyle w:val="ListParagraph"/>
        <w:tabs>
          <w:tab w:val="left" w:pos="567"/>
        </w:tabs>
        <w:ind w:left="0"/>
        <w:jc w:val="both"/>
        <w:rPr>
          <w:rFonts w:eastAsiaTheme="minorEastAsia"/>
          <w:lang w:eastAsia="ja-JP"/>
        </w:rPr>
      </w:pPr>
    </w:p>
    <w:p w14:paraId="09654555" w14:textId="2C61F37C" w:rsidR="00773ED0" w:rsidRPr="0077577B" w:rsidRDefault="0035048E" w:rsidP="00AF5629">
      <w:pPr>
        <w:pStyle w:val="Heading2"/>
        <w:rPr>
          <w:lang w:eastAsia="ja-JP"/>
        </w:rPr>
      </w:pPr>
      <w:bookmarkStart w:id="29" w:name="_Toc210139293"/>
      <w:r w:rsidRPr="0077577B">
        <w:t>Common sets of molecular markers for variety identification</w:t>
      </w:r>
      <w:bookmarkEnd w:id="29"/>
    </w:p>
    <w:p w14:paraId="50592673" w14:textId="77777777" w:rsidR="00773ED0" w:rsidRPr="0077577B" w:rsidRDefault="00773ED0" w:rsidP="00A00571">
      <w:pPr>
        <w:pStyle w:val="ListParagraph"/>
        <w:keepNext/>
        <w:tabs>
          <w:tab w:val="left" w:pos="567"/>
        </w:tabs>
        <w:ind w:left="0"/>
        <w:jc w:val="both"/>
        <w:rPr>
          <w:rFonts w:eastAsiaTheme="minorEastAsia"/>
          <w:lang w:eastAsia="ja-JP"/>
        </w:rPr>
      </w:pPr>
    </w:p>
    <w:p w14:paraId="0FBA0A2C" w14:textId="0D59DE81" w:rsidR="00F37B93" w:rsidRPr="0077577B" w:rsidRDefault="00F37B93" w:rsidP="00F37B93">
      <w:pPr>
        <w:pStyle w:val="Heading3"/>
        <w:rPr>
          <w:lang w:eastAsia="ja-JP"/>
        </w:rPr>
      </w:pPr>
      <w:bookmarkStart w:id="30" w:name="_Toc210139294"/>
      <w:r w:rsidRPr="0077577B">
        <w:rPr>
          <w:lang w:eastAsia="ja-JP"/>
        </w:rPr>
        <w:t>Horizon scanning</w:t>
      </w:r>
      <w:bookmarkEnd w:id="30"/>
    </w:p>
    <w:p w14:paraId="2DCC6C7E" w14:textId="77777777" w:rsidR="00F37B93" w:rsidRPr="0077577B" w:rsidRDefault="00F37B93" w:rsidP="00A00571">
      <w:pPr>
        <w:pStyle w:val="ListParagraph"/>
        <w:keepNext/>
        <w:tabs>
          <w:tab w:val="left" w:pos="567"/>
        </w:tabs>
        <w:ind w:left="0"/>
        <w:jc w:val="both"/>
        <w:rPr>
          <w:rFonts w:eastAsiaTheme="minorEastAsia"/>
          <w:lang w:eastAsia="ja-JP"/>
        </w:rPr>
      </w:pPr>
    </w:p>
    <w:p w14:paraId="5526299C" w14:textId="77777777" w:rsidR="00F37B93" w:rsidRDefault="00EA4921" w:rsidP="00FE38C7">
      <w:r w:rsidRPr="0077577B">
        <w:fldChar w:fldCharType="begin"/>
      </w:r>
      <w:r w:rsidRPr="0077577B">
        <w:instrText xml:space="preserve"> AUTONUM  </w:instrText>
      </w:r>
      <w:r w:rsidRPr="0077577B">
        <w:fldChar w:fldCharType="end"/>
      </w:r>
      <w:r w:rsidRPr="0077577B">
        <w:tab/>
      </w:r>
      <w:r w:rsidR="00361889" w:rsidRPr="0077577B">
        <w:t xml:space="preserve">The </w:t>
      </w:r>
      <w:r w:rsidR="00C94359" w:rsidRPr="0077577B">
        <w:t xml:space="preserve">UPOV </w:t>
      </w:r>
      <w:r w:rsidR="00361889" w:rsidRPr="0077577B">
        <w:t xml:space="preserve">horizon scanning exercise summarized in UPOV’s Strategic Business Plan (SBP) for 2026-2029 (document C/59/14) has identified the increasing reliance on DNA analysis for variety identification </w:t>
      </w:r>
      <w:r w:rsidR="00C94359" w:rsidRPr="0077577B">
        <w:t xml:space="preserve">purposes. It has also made a </w:t>
      </w:r>
      <w:r w:rsidR="00361889" w:rsidRPr="0077577B">
        <w:t>call for action for UPOV to develop standards in this field and explore means for data management and collaborations on data science activities.</w:t>
      </w:r>
      <w:r w:rsidR="00361889" w:rsidRPr="00361889">
        <w:t xml:space="preserve">  </w:t>
      </w:r>
    </w:p>
    <w:p w14:paraId="792BB336" w14:textId="77777777" w:rsidR="00F37B93" w:rsidRDefault="00F37B93" w:rsidP="00F37B93"/>
    <w:p w14:paraId="094C606C" w14:textId="70E4F5BF" w:rsidR="00F37B93" w:rsidRDefault="00F37B93" w:rsidP="00F37B93">
      <w:pPr>
        <w:pStyle w:val="Heading3"/>
      </w:pPr>
      <w:bookmarkStart w:id="31" w:name="_Toc210139295"/>
      <w:r>
        <w:t>Developments at the Technical Working Party on Testing Methods and Techniques</w:t>
      </w:r>
      <w:bookmarkEnd w:id="31"/>
    </w:p>
    <w:p w14:paraId="19CA48EC" w14:textId="77777777" w:rsidR="00F37B93" w:rsidRDefault="00F37B93" w:rsidP="00F37B93"/>
    <w:p w14:paraId="494A1816" w14:textId="19B5F5F9" w:rsidR="00752016" w:rsidRDefault="00F37B93" w:rsidP="00BF7C58">
      <w:r>
        <w:fldChar w:fldCharType="begin"/>
      </w:r>
      <w:r>
        <w:instrText xml:space="preserve"> AUTONUM  </w:instrText>
      </w:r>
      <w:r>
        <w:fldChar w:fldCharType="end"/>
      </w:r>
      <w:r>
        <w:tab/>
      </w:r>
      <w:r w:rsidR="00064944" w:rsidRPr="00064944">
        <w:t>The TWM</w:t>
      </w:r>
      <w:r w:rsidR="0035048E">
        <w:rPr>
          <w:rStyle w:val="FootnoteReference"/>
        </w:rPr>
        <w:footnoteReference w:id="19"/>
      </w:r>
      <w:r w:rsidR="00064944" w:rsidRPr="00064944">
        <w:t xml:space="preserve"> discussed the establishment of common sets of molecular markers for variety identification and agreed to invite UPOV, OECD and ISTA to further consider the challenges and opportunities of this initiative, such as crop(s), scale of harmonization (e.g. regional, global); and molecular marker-related aspects. The TWM agreed that working with breeders could facilitate selecting marker sets representing those breeding programs.</w:t>
      </w:r>
    </w:p>
    <w:p w14:paraId="42A6E392" w14:textId="77777777" w:rsidR="00646FDE" w:rsidRDefault="00646FDE" w:rsidP="0001494C"/>
    <w:p w14:paraId="517CB2F5" w14:textId="263EABE3" w:rsidR="00752016" w:rsidRDefault="00752016" w:rsidP="0001494C">
      <w:pPr>
        <w:rPr>
          <w:lang w:eastAsia="ja-JP"/>
        </w:rPr>
      </w:pPr>
      <w:r>
        <w:rPr>
          <w:lang w:eastAsia="ja-JP"/>
        </w:rPr>
        <w:lastRenderedPageBreak/>
        <w:fldChar w:fldCharType="begin"/>
      </w:r>
      <w:r>
        <w:rPr>
          <w:lang w:eastAsia="ja-JP"/>
        </w:rPr>
        <w:instrText xml:space="preserve"> AUTONUM  </w:instrText>
      </w:r>
      <w:r>
        <w:rPr>
          <w:lang w:eastAsia="ja-JP"/>
        </w:rPr>
        <w:fldChar w:fldCharType="end"/>
      </w:r>
      <w:r>
        <w:rPr>
          <w:lang w:eastAsia="ja-JP"/>
        </w:rPr>
        <w:tab/>
      </w:r>
      <w:r w:rsidR="00C1212B">
        <w:rPr>
          <w:lang w:eastAsia="ja-JP"/>
        </w:rPr>
        <w:t xml:space="preserve">Following the TWM session, </w:t>
      </w:r>
      <w:r w:rsidR="00F82AE5">
        <w:rPr>
          <w:lang w:eastAsia="ja-JP"/>
        </w:rPr>
        <w:t>t</w:t>
      </w:r>
      <w:r w:rsidR="0013452A">
        <w:rPr>
          <w:lang w:eastAsia="ja-JP"/>
        </w:rPr>
        <w:t>he Annual Meeting of the OECD Seed Schemes</w:t>
      </w:r>
      <w:r w:rsidR="001D2593">
        <w:rPr>
          <w:lang w:eastAsia="ja-JP"/>
        </w:rPr>
        <w:t xml:space="preserve">, </w:t>
      </w:r>
      <w:r w:rsidR="00F82AE5">
        <w:rPr>
          <w:lang w:eastAsia="ja-JP"/>
        </w:rPr>
        <w:t xml:space="preserve">approved </w:t>
      </w:r>
      <w:r w:rsidR="008C3929" w:rsidRPr="008C3929">
        <w:rPr>
          <w:lang w:eastAsia="ja-JP"/>
        </w:rPr>
        <w:t xml:space="preserve">for the OECD Seed Schemes to collaborate with ISTA and UPOV to start working on the establishment of common sets of molecular markers for variety identification. </w:t>
      </w:r>
      <w:r w:rsidR="00D84B87">
        <w:rPr>
          <w:lang w:eastAsia="ja-JP"/>
        </w:rPr>
        <w:t xml:space="preserve"> </w:t>
      </w:r>
      <w:r w:rsidR="00873F5B">
        <w:rPr>
          <w:lang w:eastAsia="ja-JP"/>
        </w:rPr>
        <w:t xml:space="preserve">The OECD Seed Schemes </w:t>
      </w:r>
      <w:r w:rsidR="00F024D6">
        <w:rPr>
          <w:lang w:eastAsia="ja-JP"/>
        </w:rPr>
        <w:t>agreed to invite National Designated Authorities (</w:t>
      </w:r>
      <w:r w:rsidR="00E57E20" w:rsidRPr="00E57E20">
        <w:rPr>
          <w:lang w:eastAsia="ja-JP"/>
        </w:rPr>
        <w:t>NDAs</w:t>
      </w:r>
      <w:r w:rsidR="00F024D6">
        <w:rPr>
          <w:lang w:eastAsia="ja-JP"/>
        </w:rPr>
        <w:t>)</w:t>
      </w:r>
      <w:r w:rsidR="00E57E20" w:rsidRPr="00E57E20">
        <w:rPr>
          <w:lang w:eastAsia="ja-JP"/>
        </w:rPr>
        <w:t xml:space="preserve"> to provide </w:t>
      </w:r>
      <w:r w:rsidR="00332065">
        <w:rPr>
          <w:lang w:eastAsia="ja-JP"/>
        </w:rPr>
        <w:t xml:space="preserve">the names of </w:t>
      </w:r>
      <w:r w:rsidR="00E57E20" w:rsidRPr="00E57E20">
        <w:rPr>
          <w:lang w:eastAsia="ja-JP"/>
        </w:rPr>
        <w:t>experts</w:t>
      </w:r>
      <w:r w:rsidR="00F024D6">
        <w:rPr>
          <w:lang w:eastAsia="ja-JP"/>
        </w:rPr>
        <w:t xml:space="preserve"> </w:t>
      </w:r>
      <w:r w:rsidR="00E57E20" w:rsidRPr="00E57E20">
        <w:rPr>
          <w:lang w:eastAsia="ja-JP"/>
        </w:rPr>
        <w:t>to start working on this topic.</w:t>
      </w:r>
      <w:r w:rsidR="00A07516" w:rsidRPr="00A07516">
        <w:rPr>
          <w:rStyle w:val="FootnoteReference"/>
          <w:lang w:eastAsia="ja-JP"/>
        </w:rPr>
        <w:t xml:space="preserve"> </w:t>
      </w:r>
      <w:r w:rsidR="00A07516">
        <w:rPr>
          <w:rStyle w:val="FootnoteReference"/>
          <w:lang w:eastAsia="ja-JP"/>
        </w:rPr>
        <w:footnoteReference w:id="20"/>
      </w:r>
    </w:p>
    <w:p w14:paraId="0D8CC3FB" w14:textId="77777777" w:rsidR="00B63F38" w:rsidRDefault="00B63F38" w:rsidP="00EF4B00">
      <w:pPr>
        <w:rPr>
          <w:snapToGrid w:val="0"/>
          <w:lang w:eastAsia="ja-JP"/>
        </w:rPr>
      </w:pPr>
    </w:p>
    <w:p w14:paraId="754791A4" w14:textId="606741C0" w:rsidR="00726D57" w:rsidRPr="0077577B" w:rsidRDefault="002E5282" w:rsidP="003524C5">
      <w:pPr>
        <w:keepNext/>
        <w:tabs>
          <w:tab w:val="left" w:pos="5387"/>
        </w:tabs>
        <w:ind w:left="4820"/>
        <w:rPr>
          <w:i/>
          <w:snapToGrid w:val="0"/>
          <w:lang w:eastAsia="ja-JP"/>
        </w:rPr>
      </w:pPr>
      <w:r w:rsidRPr="0077577B">
        <w:rPr>
          <w:i/>
          <w:snapToGrid w:val="0"/>
          <w:lang w:eastAsia="ja-JP"/>
        </w:rPr>
        <w:fldChar w:fldCharType="begin"/>
      </w:r>
      <w:r w:rsidRPr="0077577B">
        <w:rPr>
          <w:i/>
          <w:snapToGrid w:val="0"/>
          <w:lang w:eastAsia="ja-JP"/>
        </w:rPr>
        <w:instrText xml:space="preserve"> AUTONUM  </w:instrText>
      </w:r>
      <w:r w:rsidRPr="0077577B">
        <w:rPr>
          <w:i/>
          <w:snapToGrid w:val="0"/>
          <w:lang w:eastAsia="ja-JP"/>
        </w:rPr>
        <w:fldChar w:fldCharType="end"/>
      </w:r>
      <w:r w:rsidRPr="0077577B">
        <w:rPr>
          <w:i/>
          <w:snapToGrid w:val="0"/>
          <w:lang w:eastAsia="ja-JP"/>
        </w:rPr>
        <w:tab/>
        <w:t>The TC</w:t>
      </w:r>
      <w:r w:rsidR="00361889" w:rsidRPr="0077577B">
        <w:rPr>
          <w:i/>
          <w:snapToGrid w:val="0"/>
          <w:lang w:eastAsia="ja-JP"/>
        </w:rPr>
        <w:t xml:space="preserve"> and the CAJ</w:t>
      </w:r>
      <w:r w:rsidRPr="0077577B">
        <w:rPr>
          <w:i/>
          <w:snapToGrid w:val="0"/>
          <w:lang w:eastAsia="ja-JP"/>
        </w:rPr>
        <w:t xml:space="preserve"> </w:t>
      </w:r>
      <w:r w:rsidR="00361889" w:rsidRPr="0077577B">
        <w:rPr>
          <w:i/>
          <w:snapToGrid w:val="0"/>
          <w:lang w:eastAsia="ja-JP"/>
        </w:rPr>
        <w:t xml:space="preserve">are </w:t>
      </w:r>
      <w:r w:rsidRPr="0077577B">
        <w:rPr>
          <w:i/>
          <w:snapToGrid w:val="0"/>
          <w:lang w:eastAsia="ja-JP"/>
        </w:rPr>
        <w:t>invited to</w:t>
      </w:r>
      <w:r w:rsidR="00726D57" w:rsidRPr="0077577B">
        <w:rPr>
          <w:i/>
          <w:snapToGrid w:val="0"/>
          <w:lang w:eastAsia="ja-JP"/>
        </w:rPr>
        <w:t>:</w:t>
      </w:r>
    </w:p>
    <w:p w14:paraId="23D02233" w14:textId="77777777" w:rsidR="00726D57" w:rsidRPr="0077577B" w:rsidRDefault="00726D57" w:rsidP="003524C5">
      <w:pPr>
        <w:keepNext/>
        <w:tabs>
          <w:tab w:val="left" w:pos="5387"/>
        </w:tabs>
        <w:ind w:left="4820"/>
        <w:rPr>
          <w:i/>
          <w:snapToGrid w:val="0"/>
          <w:lang w:eastAsia="ja-JP"/>
        </w:rPr>
      </w:pPr>
    </w:p>
    <w:p w14:paraId="2CC2A13D" w14:textId="1A2A9CB9" w:rsidR="00AA6936" w:rsidRPr="00F470DB" w:rsidRDefault="00726D57" w:rsidP="003524C5">
      <w:pPr>
        <w:keepNext/>
        <w:tabs>
          <w:tab w:val="left" w:pos="5387"/>
          <w:tab w:val="left" w:pos="5954"/>
        </w:tabs>
        <w:ind w:left="4820"/>
        <w:rPr>
          <w:i/>
          <w:snapToGrid w:val="0"/>
          <w:lang w:eastAsia="ja-JP"/>
        </w:rPr>
      </w:pPr>
      <w:r w:rsidRPr="0077577B">
        <w:rPr>
          <w:i/>
          <w:snapToGrid w:val="0"/>
          <w:lang w:eastAsia="ja-JP"/>
        </w:rPr>
        <w:tab/>
        <w:t>(a)</w:t>
      </w:r>
      <w:r w:rsidRPr="0077577B">
        <w:rPr>
          <w:i/>
          <w:snapToGrid w:val="0"/>
          <w:lang w:eastAsia="ja-JP"/>
        </w:rPr>
        <w:tab/>
      </w:r>
      <w:r w:rsidR="00361889" w:rsidRPr="0077577B">
        <w:rPr>
          <w:i/>
          <w:snapToGrid w:val="0"/>
          <w:lang w:eastAsia="ja-JP"/>
        </w:rPr>
        <w:t>endorse the collaboration</w:t>
      </w:r>
      <w:r w:rsidR="00CF689F" w:rsidRPr="0077577B">
        <w:rPr>
          <w:i/>
          <w:snapToGrid w:val="0"/>
          <w:lang w:eastAsia="ja-JP"/>
        </w:rPr>
        <w:t xml:space="preserve"> with OECD and ISTA to </w:t>
      </w:r>
      <w:r w:rsidR="00DC3382" w:rsidRPr="0077577B">
        <w:rPr>
          <w:rFonts w:hint="eastAsia"/>
          <w:lang w:eastAsia="ja-JP"/>
        </w:rPr>
        <w:t xml:space="preserve">establish common sets of </w:t>
      </w:r>
      <w:r w:rsidR="00DC3382" w:rsidRPr="0077577B">
        <w:t>molecular markers for variety identification</w:t>
      </w:r>
      <w:r w:rsidRPr="0077577B">
        <w:rPr>
          <w:i/>
          <w:snapToGrid w:val="0"/>
          <w:lang w:eastAsia="ja-JP"/>
        </w:rPr>
        <w:t>;</w:t>
      </w:r>
      <w:r w:rsidRPr="00F470DB">
        <w:rPr>
          <w:i/>
          <w:snapToGrid w:val="0"/>
          <w:lang w:eastAsia="ja-JP"/>
        </w:rPr>
        <w:t xml:space="preserve"> </w:t>
      </w:r>
    </w:p>
    <w:p w14:paraId="0DE974D9" w14:textId="77777777" w:rsidR="00AA6936" w:rsidRPr="00F470DB" w:rsidRDefault="00AA6936" w:rsidP="00BF7C58">
      <w:pPr>
        <w:tabs>
          <w:tab w:val="left" w:pos="5387"/>
          <w:tab w:val="left" w:pos="5954"/>
        </w:tabs>
        <w:ind w:left="4820"/>
        <w:rPr>
          <w:i/>
          <w:snapToGrid w:val="0"/>
          <w:lang w:eastAsia="ja-JP"/>
        </w:rPr>
      </w:pPr>
    </w:p>
    <w:p w14:paraId="44A495CF" w14:textId="6FCB2C16" w:rsidR="00DC3382" w:rsidRPr="00F470DB" w:rsidRDefault="00AA6936" w:rsidP="00BF7C58">
      <w:pPr>
        <w:tabs>
          <w:tab w:val="left" w:pos="5387"/>
          <w:tab w:val="left" w:pos="5954"/>
        </w:tabs>
        <w:ind w:left="4820"/>
        <w:rPr>
          <w:i/>
          <w:snapToGrid w:val="0"/>
          <w:lang w:eastAsia="ja-JP"/>
        </w:rPr>
      </w:pPr>
      <w:r w:rsidRPr="00F470DB">
        <w:rPr>
          <w:i/>
          <w:snapToGrid w:val="0"/>
          <w:lang w:eastAsia="ja-JP"/>
        </w:rPr>
        <w:tab/>
        <w:t>(b)</w:t>
      </w:r>
      <w:r w:rsidRPr="00F470DB">
        <w:rPr>
          <w:i/>
          <w:snapToGrid w:val="0"/>
          <w:lang w:eastAsia="ja-JP"/>
        </w:rPr>
        <w:tab/>
        <w:t xml:space="preserve">consider whether to </w:t>
      </w:r>
      <w:r w:rsidR="00FF4213" w:rsidRPr="00F470DB">
        <w:rPr>
          <w:i/>
          <w:snapToGrid w:val="0"/>
          <w:lang w:eastAsia="ja-JP"/>
        </w:rPr>
        <w:t xml:space="preserve">select </w:t>
      </w:r>
      <w:r w:rsidR="00361889">
        <w:rPr>
          <w:i/>
          <w:snapToGrid w:val="0"/>
          <w:lang w:eastAsia="ja-JP"/>
        </w:rPr>
        <w:t>an</w:t>
      </w:r>
      <w:r w:rsidR="00814FF1">
        <w:rPr>
          <w:i/>
          <w:snapToGrid w:val="0"/>
          <w:lang w:eastAsia="ja-JP"/>
        </w:rPr>
        <w:t xml:space="preserve"> </w:t>
      </w:r>
      <w:r w:rsidR="00FF4213" w:rsidRPr="00F470DB">
        <w:rPr>
          <w:i/>
          <w:snapToGrid w:val="0"/>
          <w:lang w:eastAsia="ja-JP"/>
        </w:rPr>
        <w:t xml:space="preserve">expert and/or interested experts to </w:t>
      </w:r>
      <w:r w:rsidR="00361889">
        <w:rPr>
          <w:i/>
          <w:snapToGrid w:val="0"/>
          <w:lang w:eastAsia="ja-JP"/>
        </w:rPr>
        <w:t xml:space="preserve">coordinate </w:t>
      </w:r>
      <w:r w:rsidR="00F470DB" w:rsidRPr="00F470DB">
        <w:rPr>
          <w:i/>
          <w:snapToGrid w:val="0"/>
          <w:lang w:eastAsia="ja-JP"/>
        </w:rPr>
        <w:t xml:space="preserve">work on the topic; </w:t>
      </w:r>
      <w:r w:rsidR="00726D57" w:rsidRPr="00F470DB">
        <w:rPr>
          <w:i/>
          <w:snapToGrid w:val="0"/>
          <w:lang w:eastAsia="ja-JP"/>
        </w:rPr>
        <w:t>and</w:t>
      </w:r>
    </w:p>
    <w:p w14:paraId="33426E8B" w14:textId="77777777" w:rsidR="00726D57" w:rsidRPr="00F470DB" w:rsidRDefault="00726D57" w:rsidP="00BF7C58">
      <w:pPr>
        <w:tabs>
          <w:tab w:val="left" w:pos="5387"/>
          <w:tab w:val="left" w:pos="5954"/>
        </w:tabs>
        <w:ind w:left="4820"/>
        <w:rPr>
          <w:i/>
          <w:snapToGrid w:val="0"/>
          <w:lang w:eastAsia="ja-JP"/>
        </w:rPr>
      </w:pPr>
    </w:p>
    <w:p w14:paraId="7075F582" w14:textId="70A6CDEC" w:rsidR="00726D57" w:rsidRDefault="00726D57" w:rsidP="00BF7C58">
      <w:pPr>
        <w:tabs>
          <w:tab w:val="left" w:pos="5387"/>
          <w:tab w:val="left" w:pos="5954"/>
        </w:tabs>
        <w:ind w:left="4820"/>
        <w:rPr>
          <w:i/>
          <w:snapToGrid w:val="0"/>
          <w:lang w:eastAsia="ja-JP"/>
        </w:rPr>
      </w:pPr>
      <w:r w:rsidRPr="00F470DB">
        <w:rPr>
          <w:i/>
          <w:snapToGrid w:val="0"/>
          <w:lang w:eastAsia="ja-JP"/>
        </w:rPr>
        <w:tab/>
        <w:t>(</w:t>
      </w:r>
      <w:r w:rsidR="00F470DB" w:rsidRPr="00F470DB">
        <w:rPr>
          <w:i/>
          <w:snapToGrid w:val="0"/>
          <w:lang w:eastAsia="ja-JP"/>
        </w:rPr>
        <w:t>c</w:t>
      </w:r>
      <w:r w:rsidRPr="00F470DB">
        <w:rPr>
          <w:i/>
          <w:snapToGrid w:val="0"/>
          <w:lang w:eastAsia="ja-JP"/>
        </w:rPr>
        <w:t>)</w:t>
      </w:r>
      <w:r w:rsidRPr="00F470DB">
        <w:rPr>
          <w:i/>
          <w:snapToGrid w:val="0"/>
          <w:lang w:eastAsia="ja-JP"/>
        </w:rPr>
        <w:tab/>
        <w:t xml:space="preserve">note that </w:t>
      </w:r>
      <w:r w:rsidR="0090265A" w:rsidRPr="00F470DB">
        <w:rPr>
          <w:i/>
          <w:snapToGrid w:val="0"/>
          <w:lang w:eastAsia="ja-JP"/>
        </w:rPr>
        <w:t xml:space="preserve">OECD approved the </w:t>
      </w:r>
      <w:r w:rsidR="00AA6936" w:rsidRPr="00F470DB">
        <w:rPr>
          <w:i/>
          <w:snapToGrid w:val="0"/>
          <w:lang w:eastAsia="ja-JP"/>
        </w:rPr>
        <w:t xml:space="preserve">start of work </w:t>
      </w:r>
      <w:r w:rsidR="00F470DB" w:rsidRPr="00F470DB">
        <w:rPr>
          <w:i/>
          <w:snapToGrid w:val="0"/>
          <w:lang w:eastAsia="ja-JP"/>
        </w:rPr>
        <w:t>to establish</w:t>
      </w:r>
      <w:r w:rsidR="00AA6936" w:rsidRPr="00F470DB">
        <w:rPr>
          <w:i/>
          <w:snapToGrid w:val="0"/>
          <w:lang w:eastAsia="ja-JP"/>
        </w:rPr>
        <w:t xml:space="preserve"> common</w:t>
      </w:r>
      <w:r w:rsidR="00AA6936" w:rsidRPr="00AA6936">
        <w:rPr>
          <w:i/>
          <w:snapToGrid w:val="0"/>
          <w:lang w:eastAsia="ja-JP"/>
        </w:rPr>
        <w:t xml:space="preserve"> sets of molecular markers for variety identification</w:t>
      </w:r>
      <w:r w:rsidR="00AA6936">
        <w:rPr>
          <w:i/>
          <w:snapToGrid w:val="0"/>
          <w:lang w:eastAsia="ja-JP"/>
        </w:rPr>
        <w:t>, in collaboration with ISTA and UPOV.</w:t>
      </w:r>
    </w:p>
    <w:p w14:paraId="05D549FA" w14:textId="77777777" w:rsidR="00AA6936" w:rsidRPr="00FE38C7" w:rsidRDefault="00AA6936" w:rsidP="00FE38C7"/>
    <w:p w14:paraId="782BDC71" w14:textId="77777777" w:rsidR="006B2C85" w:rsidRDefault="006B2C85" w:rsidP="006B2C85">
      <w:pPr>
        <w:pStyle w:val="ListParagraph"/>
        <w:ind w:left="0"/>
        <w:jc w:val="both"/>
        <w:rPr>
          <w:rFonts w:eastAsiaTheme="minorEastAsia"/>
          <w:lang w:eastAsia="ja-JP"/>
        </w:rPr>
      </w:pPr>
    </w:p>
    <w:p w14:paraId="45B4CC6B" w14:textId="2916AB67" w:rsidR="006B2C85" w:rsidRDefault="006B2C85" w:rsidP="00AF5629">
      <w:pPr>
        <w:pStyle w:val="Heading2"/>
        <w:rPr>
          <w:lang w:eastAsia="ja-JP"/>
        </w:rPr>
      </w:pPr>
      <w:bookmarkStart w:id="32" w:name="_Toc210139296"/>
      <w:r>
        <w:t>Information on the use of molecular techniques in each organization</w:t>
      </w:r>
      <w:r w:rsidR="00792A2B">
        <w:t xml:space="preserve">: </w:t>
      </w:r>
      <w:r w:rsidR="00E52427">
        <w:t>possible j</w:t>
      </w:r>
      <w:r w:rsidR="00792A2B">
        <w:t>oint meeting</w:t>
      </w:r>
      <w:bookmarkEnd w:id="32"/>
      <w:r w:rsidR="00792A2B">
        <w:t xml:space="preserve"> </w:t>
      </w:r>
    </w:p>
    <w:p w14:paraId="4412F7F7" w14:textId="77777777" w:rsidR="006B2C85" w:rsidRDefault="006B2C85" w:rsidP="006B2C85">
      <w:pPr>
        <w:pStyle w:val="ListParagraph"/>
        <w:ind w:left="0"/>
        <w:jc w:val="both"/>
        <w:rPr>
          <w:rFonts w:eastAsiaTheme="minorEastAsia"/>
          <w:lang w:eastAsia="ja-JP"/>
        </w:rPr>
      </w:pPr>
    </w:p>
    <w:p w14:paraId="26BFA96E" w14:textId="77777777" w:rsidR="006B2C85" w:rsidRPr="0001494C" w:rsidRDefault="006B2C85" w:rsidP="006B2C85">
      <w:pPr>
        <w:rPr>
          <w:lang w:eastAsia="ja-JP"/>
        </w:rPr>
      </w:pPr>
      <w:r w:rsidRPr="00F07B06">
        <w:fldChar w:fldCharType="begin"/>
      </w:r>
      <w:r w:rsidRPr="00F07B06">
        <w:instrText xml:space="preserve"> AUTONUM  </w:instrText>
      </w:r>
      <w:r w:rsidRPr="00F07B06">
        <w:fldChar w:fldCharType="end"/>
      </w:r>
      <w:r w:rsidRPr="00F07B06">
        <w:tab/>
      </w:r>
      <w:r w:rsidRPr="00064944">
        <w:t xml:space="preserve">The TWM discussed the possibility of a joint meeting with participants from the TWM, OECD Seed Schemes and ISTA Variety Committee to discuss cooperation on the use of molecular markers for the purposes of each organization. </w:t>
      </w:r>
      <w:r>
        <w:t xml:space="preserve"> </w:t>
      </w:r>
      <w:r w:rsidRPr="00064944">
        <w:t>The TWM agreed that organizing a joint meeting with experts from the three organizations would require specific arrangements and should be further discussed by UPOV, OECD and ISTA.</w:t>
      </w:r>
    </w:p>
    <w:p w14:paraId="21D3AD9D" w14:textId="77777777" w:rsidR="006B2C85" w:rsidRDefault="006B2C85" w:rsidP="006B2C85">
      <w:pPr>
        <w:pStyle w:val="ListParagraph"/>
        <w:ind w:left="0"/>
        <w:jc w:val="both"/>
        <w:rPr>
          <w:rFonts w:eastAsiaTheme="minorEastAsia"/>
          <w:lang w:eastAsia="ja-JP"/>
        </w:rPr>
      </w:pPr>
    </w:p>
    <w:p w14:paraId="50B832E8" w14:textId="74524308" w:rsidR="006B2C85" w:rsidRPr="0077577B" w:rsidRDefault="006B2C85" w:rsidP="006B2C85">
      <w:pPr>
        <w:pStyle w:val="ListParagraph"/>
        <w:ind w:left="0"/>
        <w:jc w:val="both"/>
      </w:pPr>
      <w:r w:rsidRPr="0077577B">
        <w:rPr>
          <w:rFonts w:eastAsiaTheme="minorEastAsia"/>
          <w:lang w:eastAsia="ja-JP"/>
        </w:rPr>
        <w:fldChar w:fldCharType="begin"/>
      </w:r>
      <w:r w:rsidRPr="0077577B">
        <w:instrText xml:space="preserve"> AUTONUM  </w:instrText>
      </w:r>
      <w:r w:rsidRPr="0077577B">
        <w:rPr>
          <w:rFonts w:eastAsiaTheme="minorEastAsia"/>
          <w:lang w:eastAsia="ja-JP"/>
        </w:rPr>
        <w:fldChar w:fldCharType="end"/>
      </w:r>
      <w:r w:rsidRPr="0077577B">
        <w:rPr>
          <w:rFonts w:eastAsiaTheme="minorEastAsia"/>
          <w:lang w:eastAsia="ja-JP"/>
        </w:rPr>
        <w:tab/>
        <w:t xml:space="preserve">The TC </w:t>
      </w:r>
      <w:r w:rsidR="00C94359" w:rsidRPr="0077577B">
        <w:rPr>
          <w:rFonts w:eastAsiaTheme="minorEastAsia"/>
          <w:lang w:eastAsia="ja-JP"/>
        </w:rPr>
        <w:t xml:space="preserve">and the CAJ </w:t>
      </w:r>
      <w:r w:rsidRPr="0077577B">
        <w:rPr>
          <w:rFonts w:eastAsiaTheme="minorEastAsia"/>
          <w:lang w:eastAsia="ja-JP"/>
        </w:rPr>
        <w:t xml:space="preserve">may wish to </w:t>
      </w:r>
      <w:r w:rsidR="00C94359" w:rsidRPr="0077577B">
        <w:rPr>
          <w:rFonts w:eastAsiaTheme="minorEastAsia"/>
          <w:lang w:eastAsia="ja-JP"/>
        </w:rPr>
        <w:t xml:space="preserve">endorse the organization of </w:t>
      </w:r>
      <w:r w:rsidRPr="0077577B">
        <w:rPr>
          <w:rFonts w:eastAsiaTheme="minorEastAsia"/>
          <w:lang w:eastAsia="ja-JP"/>
        </w:rPr>
        <w:t xml:space="preserve">a </w:t>
      </w:r>
      <w:r w:rsidRPr="0077577B">
        <w:t xml:space="preserve">joint meeting with participants from the UPOV, OECD Seed Schemes and ISTA Variety Committee to discuss cooperation on the use of molecular markers for the purposes of each organization.  In case </w:t>
      </w:r>
      <w:proofErr w:type="gramStart"/>
      <w:r w:rsidRPr="0077577B">
        <w:t>positive</w:t>
      </w:r>
      <w:proofErr w:type="gramEnd"/>
      <w:r w:rsidRPr="0077577B">
        <w:t xml:space="preserve">, the arrangements for the joint meeting would be proposed for consideration by OECD and ISTA.  Future hosts of TWM sessions could also be consulted in this regard. </w:t>
      </w:r>
    </w:p>
    <w:p w14:paraId="4585C413" w14:textId="77777777" w:rsidR="006B2C85" w:rsidRPr="0077577B" w:rsidRDefault="006B2C85" w:rsidP="006B2C85">
      <w:pPr>
        <w:pStyle w:val="ListParagraph"/>
        <w:ind w:left="0"/>
        <w:jc w:val="both"/>
        <w:rPr>
          <w:rFonts w:eastAsiaTheme="minorEastAsia"/>
          <w:lang w:eastAsia="ja-JP"/>
        </w:rPr>
      </w:pPr>
    </w:p>
    <w:p w14:paraId="37BFE5EB" w14:textId="49F96AD3" w:rsidR="006B2C85" w:rsidRDefault="006B2C85" w:rsidP="006B2C85">
      <w:pPr>
        <w:pStyle w:val="ListParagraph"/>
        <w:keepNext/>
        <w:keepLines/>
        <w:tabs>
          <w:tab w:val="left" w:pos="5387"/>
        </w:tabs>
        <w:ind w:left="4820"/>
        <w:jc w:val="both"/>
        <w:rPr>
          <w:rFonts w:eastAsiaTheme="minorEastAsia"/>
          <w:i/>
          <w:iCs/>
          <w:lang w:eastAsia="ja-JP"/>
        </w:rPr>
      </w:pPr>
      <w:r w:rsidRPr="0077577B">
        <w:rPr>
          <w:rFonts w:eastAsiaTheme="minorEastAsia"/>
          <w:i/>
          <w:iCs/>
          <w:lang w:eastAsia="ja-JP"/>
        </w:rPr>
        <w:fldChar w:fldCharType="begin"/>
      </w:r>
      <w:r w:rsidRPr="0077577B">
        <w:instrText xml:space="preserve"> AUTONUM  </w:instrText>
      </w:r>
      <w:r w:rsidRPr="0077577B">
        <w:rPr>
          <w:rFonts w:eastAsiaTheme="minorEastAsia"/>
          <w:i/>
          <w:iCs/>
          <w:lang w:eastAsia="ja-JP"/>
        </w:rPr>
        <w:fldChar w:fldCharType="end"/>
      </w:r>
      <w:r w:rsidRPr="0077577B">
        <w:rPr>
          <w:rFonts w:eastAsiaTheme="minorEastAsia"/>
          <w:i/>
          <w:iCs/>
          <w:lang w:eastAsia="ja-JP"/>
        </w:rPr>
        <w:tab/>
        <w:t xml:space="preserve">The TC </w:t>
      </w:r>
      <w:r w:rsidR="00C94359" w:rsidRPr="0077577B">
        <w:rPr>
          <w:rFonts w:eastAsiaTheme="minorEastAsia"/>
          <w:i/>
          <w:iCs/>
          <w:lang w:eastAsia="ja-JP"/>
        </w:rPr>
        <w:t>and the CAJ are</w:t>
      </w:r>
      <w:r w:rsidRPr="0077577B">
        <w:rPr>
          <w:rFonts w:eastAsiaTheme="minorEastAsia"/>
          <w:i/>
          <w:iCs/>
          <w:lang w:eastAsia="ja-JP"/>
        </w:rPr>
        <w:t xml:space="preserve"> invited to </w:t>
      </w:r>
      <w:r w:rsidR="00C94359" w:rsidRPr="0077577B">
        <w:rPr>
          <w:rFonts w:eastAsiaTheme="minorEastAsia"/>
          <w:i/>
          <w:iCs/>
          <w:lang w:eastAsia="ja-JP"/>
        </w:rPr>
        <w:t>endorse</w:t>
      </w:r>
      <w:r w:rsidRPr="0077577B">
        <w:rPr>
          <w:rFonts w:eastAsiaTheme="minorEastAsia"/>
          <w:i/>
          <w:iCs/>
          <w:lang w:eastAsia="ja-JP"/>
        </w:rPr>
        <w:t xml:space="preserve"> the </w:t>
      </w:r>
      <w:r w:rsidR="00C94359" w:rsidRPr="0077577B">
        <w:rPr>
          <w:rFonts w:eastAsiaTheme="minorEastAsia"/>
          <w:i/>
          <w:iCs/>
          <w:lang w:eastAsia="ja-JP"/>
        </w:rPr>
        <w:t xml:space="preserve">organization </w:t>
      </w:r>
      <w:r w:rsidRPr="0077577B">
        <w:rPr>
          <w:rFonts w:eastAsiaTheme="minorEastAsia"/>
          <w:i/>
          <w:iCs/>
          <w:lang w:eastAsia="ja-JP"/>
        </w:rPr>
        <w:t>of a joint meeting with participants from the UPOV, OECD Seed Schemes and ISTA Variety</w:t>
      </w:r>
      <w:r w:rsidRPr="00773ED0">
        <w:rPr>
          <w:rFonts w:eastAsiaTheme="minorEastAsia"/>
          <w:i/>
          <w:iCs/>
          <w:lang w:eastAsia="ja-JP"/>
        </w:rPr>
        <w:t xml:space="preserve"> Committee to discuss cooperation on the use of molecular markers for the purposes of each organization</w:t>
      </w:r>
      <w:r w:rsidRPr="00181B8C">
        <w:rPr>
          <w:rFonts w:eastAsiaTheme="minorEastAsia"/>
          <w:i/>
          <w:iCs/>
          <w:lang w:eastAsia="ja-JP"/>
        </w:rPr>
        <w:t xml:space="preserve">. </w:t>
      </w:r>
    </w:p>
    <w:p w14:paraId="57E43A1E" w14:textId="77777777" w:rsidR="006B2C85" w:rsidRDefault="006B2C85" w:rsidP="00FE38C7"/>
    <w:p w14:paraId="1D74746F" w14:textId="77777777" w:rsidR="00BF7C58" w:rsidRPr="00FE38C7" w:rsidRDefault="00BF7C58" w:rsidP="00FE38C7"/>
    <w:p w14:paraId="68752683" w14:textId="77777777" w:rsidR="00A00571" w:rsidRPr="00FE38C7" w:rsidRDefault="00A00571" w:rsidP="00FE38C7"/>
    <w:p w14:paraId="38D9EA8D" w14:textId="77777777" w:rsidR="00EF4B00" w:rsidRPr="00F07B06" w:rsidRDefault="00EF4B00" w:rsidP="00975B88">
      <w:pPr>
        <w:pStyle w:val="Heading1"/>
        <w:rPr>
          <w:snapToGrid w:val="0"/>
          <w:lang w:eastAsia="ja-JP"/>
        </w:rPr>
      </w:pPr>
      <w:bookmarkStart w:id="33" w:name="_Toc177773948"/>
      <w:bookmarkStart w:id="34" w:name="_Toc210139297"/>
      <w:r w:rsidRPr="00F07B06">
        <w:rPr>
          <w:snapToGrid w:val="0"/>
          <w:lang w:eastAsia="ja-JP"/>
        </w:rPr>
        <w:t>Matters for information</w:t>
      </w:r>
      <w:bookmarkEnd w:id="33"/>
      <w:bookmarkEnd w:id="34"/>
    </w:p>
    <w:bookmarkEnd w:id="21"/>
    <w:p w14:paraId="41B95F77" w14:textId="77777777" w:rsidR="00EF4B00" w:rsidRPr="00F07B06" w:rsidRDefault="00EF4B00" w:rsidP="00975B88">
      <w:pPr>
        <w:keepNext/>
        <w:jc w:val="left"/>
      </w:pPr>
    </w:p>
    <w:p w14:paraId="4F60587D" w14:textId="215306BA" w:rsidR="00EF4B00" w:rsidRPr="00F07B06" w:rsidRDefault="00A33FD0" w:rsidP="00825360">
      <w:r w:rsidRPr="00F07B06">
        <w:fldChar w:fldCharType="begin"/>
      </w:r>
      <w:r w:rsidRPr="00F07B06">
        <w:instrText xml:space="preserve"> AUTONUM  </w:instrText>
      </w:r>
      <w:r w:rsidRPr="00F07B06">
        <w:fldChar w:fldCharType="end"/>
      </w:r>
      <w:r w:rsidRPr="00F07B06">
        <w:tab/>
        <w:t xml:space="preserve">The TWM held its </w:t>
      </w:r>
      <w:r w:rsidR="00487C3A">
        <w:rPr>
          <w:rFonts w:hint="eastAsia"/>
          <w:lang w:eastAsia="ja-JP"/>
        </w:rPr>
        <w:t>third</w:t>
      </w:r>
      <w:r w:rsidRPr="00F07B06">
        <w:t xml:space="preserve"> session </w:t>
      </w:r>
      <w:r w:rsidR="00487C3A">
        <w:rPr>
          <w:rFonts w:hint="eastAsia"/>
          <w:lang w:eastAsia="ja-JP"/>
        </w:rPr>
        <w:t xml:space="preserve">in Beijing, China </w:t>
      </w:r>
      <w:r w:rsidRPr="00F07B06">
        <w:t xml:space="preserve">from April </w:t>
      </w:r>
      <w:r w:rsidR="00487C3A">
        <w:rPr>
          <w:rFonts w:hint="eastAsia"/>
          <w:lang w:eastAsia="ja-JP"/>
        </w:rPr>
        <w:t>2</w:t>
      </w:r>
      <w:r w:rsidRPr="00F07B06">
        <w:t xml:space="preserve">8 to </w:t>
      </w:r>
      <w:r w:rsidR="00487C3A">
        <w:rPr>
          <w:rFonts w:hint="eastAsia"/>
          <w:lang w:eastAsia="ja-JP"/>
        </w:rPr>
        <w:t xml:space="preserve">May </w:t>
      </w:r>
      <w:r w:rsidRPr="00F07B06">
        <w:t>1, 202</w:t>
      </w:r>
      <w:r w:rsidR="006A3BDC">
        <w:rPr>
          <w:rFonts w:hint="eastAsia"/>
          <w:lang w:eastAsia="ja-JP"/>
        </w:rPr>
        <w:t>5</w:t>
      </w:r>
      <w:r w:rsidRPr="00F07B06">
        <w:t xml:space="preserve">. </w:t>
      </w:r>
      <w:r w:rsidR="00825360" w:rsidRPr="00F07B06">
        <w:t xml:space="preserve"> </w:t>
      </w:r>
      <w:r w:rsidRPr="00F07B06">
        <w:t>The following sections report developments on molecular techniques.</w:t>
      </w:r>
    </w:p>
    <w:p w14:paraId="0E6C8259" w14:textId="77777777" w:rsidR="00A33FD0" w:rsidRPr="00F07B06" w:rsidRDefault="00A33FD0" w:rsidP="00EF4B00"/>
    <w:p w14:paraId="5617DE68" w14:textId="77777777" w:rsidR="00E65203" w:rsidRPr="004216D0" w:rsidRDefault="00E65203" w:rsidP="003127BF">
      <w:pPr>
        <w:pStyle w:val="Heading2"/>
        <w:keepLines/>
      </w:pPr>
      <w:bookmarkStart w:id="35" w:name="_Toc210139298"/>
      <w:r w:rsidRPr="004216D0">
        <w:t>Latest developments in molecular techniques and bioinformatics</w:t>
      </w:r>
      <w:bookmarkEnd w:id="35"/>
    </w:p>
    <w:p w14:paraId="6CBC0D3A" w14:textId="77777777" w:rsidR="00E65203" w:rsidRPr="006B698D" w:rsidRDefault="00E65203" w:rsidP="003127BF">
      <w:pPr>
        <w:keepNext/>
        <w:keepLines/>
      </w:pPr>
    </w:p>
    <w:p w14:paraId="055454EC" w14:textId="77777777" w:rsidR="00E65203" w:rsidRPr="00E52427" w:rsidRDefault="00E65203" w:rsidP="003127BF">
      <w:pPr>
        <w:pStyle w:val="Heading3"/>
        <w:keepLines/>
      </w:pPr>
      <w:bookmarkStart w:id="36" w:name="_Toc210139299"/>
      <w:r w:rsidRPr="00E52427">
        <w:t>Data science activities at Naktuinbouw towards genotyping and phenotyping: an update</w:t>
      </w:r>
      <w:bookmarkEnd w:id="36"/>
    </w:p>
    <w:p w14:paraId="0F4A961D" w14:textId="77777777" w:rsidR="00E65203" w:rsidRPr="006B698D" w:rsidRDefault="00E65203" w:rsidP="003127BF">
      <w:pPr>
        <w:keepNext/>
        <w:keepLines/>
      </w:pPr>
    </w:p>
    <w:p w14:paraId="3B6D88BD" w14:textId="4CAF1D0D" w:rsidR="00E65203" w:rsidRPr="006B698D" w:rsidRDefault="00BF7C58" w:rsidP="00BF7C58">
      <w:pPr>
        <w:ind w:left="11"/>
      </w:pPr>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s</w:t>
      </w:r>
      <w:r w:rsidR="00E65203" w:rsidRPr="006B698D">
        <w:t>. Sanchari Sircar</w:t>
      </w:r>
      <w:r w:rsidR="00E65203" w:rsidRPr="006B698D">
        <w:rPr>
          <w:rFonts w:hint="eastAsia"/>
          <w:lang w:eastAsia="ja-JP"/>
        </w:rPr>
        <w:t xml:space="preserve"> </w:t>
      </w:r>
      <w:bookmarkStart w:id="37" w:name="_Hlk195532544"/>
      <w:r w:rsidR="00E65203" w:rsidRPr="006B698D">
        <w:rPr>
          <w:rFonts w:hint="eastAsia"/>
          <w:lang w:eastAsia="ja-JP"/>
        </w:rPr>
        <w:t>(</w:t>
      </w:r>
      <w:bookmarkStart w:id="38" w:name="_Hlk195537397"/>
      <w:r w:rsidR="00E65203" w:rsidRPr="006B698D">
        <w:rPr>
          <w:lang w:eastAsia="ja-JP"/>
        </w:rPr>
        <w:t>Netherlands (Kingdom of the)</w:t>
      </w:r>
      <w:bookmarkEnd w:id="38"/>
      <w:r w:rsidR="00E65203" w:rsidRPr="006B698D">
        <w:rPr>
          <w:rFonts w:hint="eastAsia"/>
          <w:lang w:eastAsia="ja-JP"/>
        </w:rPr>
        <w:t>)</w:t>
      </w:r>
      <w:bookmarkEnd w:id="37"/>
      <w:r w:rsidR="00E65203" w:rsidRPr="006B698D">
        <w:t xml:space="preserve"> on “Data science activities at Naktuinbouw towards genotyping and phenotyping: an update”,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16</w:t>
      </w:r>
      <w:r w:rsidR="00E65203" w:rsidRPr="006B698D">
        <w:t xml:space="preserve">. </w:t>
      </w:r>
    </w:p>
    <w:p w14:paraId="742388F5" w14:textId="77777777" w:rsidR="00E65203" w:rsidRPr="006B698D" w:rsidRDefault="00E65203" w:rsidP="00E65203">
      <w:pPr>
        <w:pStyle w:val="ListParagraph"/>
        <w:ind w:left="0"/>
        <w:jc w:val="both"/>
      </w:pPr>
    </w:p>
    <w:p w14:paraId="124A1817" w14:textId="13A05D32" w:rsidR="00E65203" w:rsidRDefault="00BF7C58" w:rsidP="00BF7C58">
      <w:r w:rsidRPr="00F07B06">
        <w:fldChar w:fldCharType="begin"/>
      </w:r>
      <w:r w:rsidRPr="00F07B06">
        <w:instrText xml:space="preserve"> AUTONUM  </w:instrText>
      </w:r>
      <w:r w:rsidRPr="00F07B06">
        <w:fldChar w:fldCharType="end"/>
      </w:r>
      <w:r w:rsidRPr="00F07B06">
        <w:tab/>
      </w:r>
      <w:r w:rsidR="00E65203" w:rsidRPr="00F07DFE">
        <w:t>The TWM noted the development of software at Naktuinbouw and the invitation for collaboration on data science activities</w:t>
      </w:r>
      <w:r w:rsidR="00E65203">
        <w:t>, including image analysis and phenotyping, workflow developments, artificial intelligence and other collaborative efforts.</w:t>
      </w:r>
    </w:p>
    <w:p w14:paraId="3F8AF236" w14:textId="77777777" w:rsidR="00E65203" w:rsidRPr="006B698D" w:rsidRDefault="00E65203" w:rsidP="00E65203"/>
    <w:p w14:paraId="507AE2E0" w14:textId="77777777" w:rsidR="00E65203" w:rsidRPr="00A8310D" w:rsidRDefault="00E65203" w:rsidP="00EF24D5">
      <w:pPr>
        <w:pStyle w:val="Heading2"/>
      </w:pPr>
      <w:bookmarkStart w:id="39" w:name="_Toc210139300"/>
      <w:r w:rsidRPr="00A8310D">
        <w:lastRenderedPageBreak/>
        <w:t>Cooperation between international organizations</w:t>
      </w:r>
      <w:bookmarkEnd w:id="39"/>
    </w:p>
    <w:p w14:paraId="155E7C60" w14:textId="77777777" w:rsidR="00E65203" w:rsidRPr="00A8310D" w:rsidRDefault="00E65203" w:rsidP="00E65203"/>
    <w:p w14:paraId="64D62FE9" w14:textId="77777777" w:rsidR="00E65203" w:rsidRPr="00A8310D" w:rsidRDefault="00E65203" w:rsidP="00EF24D5">
      <w:pPr>
        <w:pStyle w:val="Heading3"/>
      </w:pPr>
      <w:bookmarkStart w:id="40" w:name="_Toc210139301"/>
      <w:r w:rsidRPr="00A8310D">
        <w:t>ISTA</w:t>
      </w:r>
      <w:bookmarkEnd w:id="40"/>
    </w:p>
    <w:p w14:paraId="07F8F0F7" w14:textId="77777777" w:rsidR="00E65203" w:rsidRPr="00A8310D" w:rsidRDefault="00E65203" w:rsidP="00E65203"/>
    <w:p w14:paraId="7440D5BF" w14:textId="453C5A23" w:rsidR="00E65203" w:rsidRPr="00A8310D" w:rsidRDefault="00BF7C58" w:rsidP="00BF7C58">
      <w:r w:rsidRPr="00F07B06">
        <w:fldChar w:fldCharType="begin"/>
      </w:r>
      <w:r w:rsidRPr="00F07B06">
        <w:instrText xml:space="preserve"> AUTONUM  </w:instrText>
      </w:r>
      <w:r w:rsidRPr="00F07B06">
        <w:fldChar w:fldCharType="end"/>
      </w:r>
      <w:r w:rsidRPr="00F07B06">
        <w:tab/>
      </w:r>
      <w:r w:rsidR="00E65203" w:rsidRPr="00A8310D">
        <w:t>The TWM received a presentation from M</w:t>
      </w:r>
      <w:r w:rsidR="00E65203" w:rsidRPr="00A8310D">
        <w:rPr>
          <w:rFonts w:hint="eastAsia"/>
          <w:lang w:eastAsia="ja-JP"/>
        </w:rPr>
        <w:t>s</w:t>
      </w:r>
      <w:r w:rsidR="00E65203" w:rsidRPr="00A8310D">
        <w:t>. Ana Vicario</w:t>
      </w:r>
      <w:r w:rsidR="00E65203" w:rsidRPr="00A8310D">
        <w:rPr>
          <w:rFonts w:hint="eastAsia"/>
          <w:lang w:eastAsia="ja-JP"/>
        </w:rPr>
        <w:t xml:space="preserve">, </w:t>
      </w:r>
      <w:r w:rsidR="00E65203" w:rsidRPr="00A8310D">
        <w:rPr>
          <w:lang w:eastAsia="ja-JP"/>
        </w:rPr>
        <w:t>International Seed Testing Association</w:t>
      </w:r>
      <w:r w:rsidR="00E65203" w:rsidRPr="00A8310D">
        <w:rPr>
          <w:rFonts w:hint="eastAsia"/>
          <w:lang w:eastAsia="ja-JP"/>
        </w:rPr>
        <w:t xml:space="preserve"> </w:t>
      </w:r>
      <w:r w:rsidR="00E65203" w:rsidRPr="00A8310D">
        <w:rPr>
          <w:lang w:eastAsia="ja-JP"/>
        </w:rPr>
        <w:t>(ISTA)</w:t>
      </w:r>
      <w:r w:rsidR="00E65203" w:rsidRPr="00A8310D">
        <w:t>, on “</w:t>
      </w:r>
      <w:r w:rsidR="00E65203" w:rsidRPr="00A8310D">
        <w:rPr>
          <w:lang w:eastAsia="ja-JP"/>
        </w:rPr>
        <w:t>ISTA update on the use of techniques for variety identification and verification</w:t>
      </w:r>
      <w:r w:rsidR="00E65203" w:rsidRPr="00A8310D">
        <w:t xml:space="preserve">”, </w:t>
      </w:r>
      <w:r w:rsidR="00E65203" w:rsidRPr="00BF7C58">
        <w:rPr>
          <w:rFonts w:cs="Arial"/>
          <w:iCs/>
        </w:rPr>
        <w:t>a copy of which is provided in document </w:t>
      </w:r>
      <w:r w:rsidR="00E65203" w:rsidRPr="00A8310D">
        <w:t>TW</w:t>
      </w:r>
      <w:r w:rsidR="00E65203" w:rsidRPr="00A8310D">
        <w:rPr>
          <w:rFonts w:hint="eastAsia"/>
          <w:lang w:eastAsia="ja-JP"/>
        </w:rPr>
        <w:t>M</w:t>
      </w:r>
      <w:r w:rsidR="00E65203" w:rsidRPr="00A8310D">
        <w:t>/</w:t>
      </w:r>
      <w:r w:rsidR="00E65203" w:rsidRPr="00A8310D">
        <w:rPr>
          <w:rFonts w:hint="eastAsia"/>
          <w:lang w:eastAsia="ja-JP"/>
        </w:rPr>
        <w:t>3</w:t>
      </w:r>
      <w:r w:rsidR="00E65203" w:rsidRPr="00A8310D">
        <w:t>/</w:t>
      </w:r>
      <w:r w:rsidR="00E65203" w:rsidRPr="00A8310D">
        <w:rPr>
          <w:rFonts w:hint="eastAsia"/>
          <w:lang w:eastAsia="ja-JP"/>
        </w:rPr>
        <w:t>25</w:t>
      </w:r>
      <w:r w:rsidR="00E65203" w:rsidRPr="00A8310D">
        <w:t>.</w:t>
      </w:r>
    </w:p>
    <w:p w14:paraId="7654EC0E" w14:textId="77777777" w:rsidR="00E65203" w:rsidRPr="00A8310D" w:rsidRDefault="00E65203" w:rsidP="00E65203">
      <w:pPr>
        <w:pStyle w:val="ListParagraph"/>
        <w:ind w:left="0"/>
        <w:jc w:val="both"/>
      </w:pPr>
    </w:p>
    <w:p w14:paraId="32F0D60A" w14:textId="433A6032" w:rsidR="00E65203" w:rsidRPr="00A8310D" w:rsidRDefault="00BF7C58" w:rsidP="00BF7C58">
      <w:r w:rsidRPr="00F07B06">
        <w:fldChar w:fldCharType="begin"/>
      </w:r>
      <w:r w:rsidRPr="00F07B06">
        <w:instrText xml:space="preserve"> AUTONUM  </w:instrText>
      </w:r>
      <w:r w:rsidRPr="00F07B06">
        <w:fldChar w:fldCharType="end"/>
      </w:r>
      <w:r w:rsidRPr="00F07B06">
        <w:tab/>
      </w:r>
      <w:r w:rsidR="00E65203" w:rsidRPr="00A8310D">
        <w:t>The TWM noted that the markers selected for detecting perennial types in annual ryegrass were not necessarily associated with morphological characteristics and were based on varieties from different countries.  The TWM n</w:t>
      </w:r>
      <w:r w:rsidR="00E65203" w:rsidRPr="00A8310D">
        <w:rPr>
          <w:lang w:eastAsia="ja-JP"/>
        </w:rPr>
        <w:t>oted that the markers identified in the project would be published in the ISTA rules.</w:t>
      </w:r>
    </w:p>
    <w:p w14:paraId="5C500856" w14:textId="77777777" w:rsidR="00E65203" w:rsidRPr="00A8310D" w:rsidRDefault="00E65203" w:rsidP="00E65203">
      <w:pPr>
        <w:pStyle w:val="ListParagraph"/>
      </w:pPr>
    </w:p>
    <w:p w14:paraId="055CA8C2" w14:textId="5387A1D8" w:rsidR="00E65203" w:rsidRPr="00A8310D" w:rsidRDefault="00BF7C58" w:rsidP="00BF7C58">
      <w:r w:rsidRPr="00F07B06">
        <w:fldChar w:fldCharType="begin"/>
      </w:r>
      <w:r w:rsidRPr="00F07B06">
        <w:instrText xml:space="preserve"> AUTONUM  </w:instrText>
      </w:r>
      <w:r w:rsidRPr="00F07B06">
        <w:fldChar w:fldCharType="end"/>
      </w:r>
      <w:r w:rsidRPr="00F07B06">
        <w:tab/>
      </w:r>
      <w:r w:rsidR="00E65203" w:rsidRPr="00A8310D">
        <w:t xml:space="preserve">The TWM noted that the neural network used in support of </w:t>
      </w:r>
      <w:r w:rsidR="00E65203">
        <w:rPr>
          <w:rFonts w:hint="eastAsia"/>
          <w:lang w:eastAsia="ja-JP"/>
        </w:rPr>
        <w:t>variety identification</w:t>
      </w:r>
      <w:r w:rsidR="00E65203" w:rsidRPr="00A8310D">
        <w:t xml:space="preserve"> was a proprietary software.</w:t>
      </w:r>
      <w:r w:rsidR="00E65203" w:rsidRPr="00A8310D">
        <w:rPr>
          <w:lang w:eastAsia="ja-JP"/>
        </w:rPr>
        <w:t xml:space="preserve"> </w:t>
      </w:r>
    </w:p>
    <w:p w14:paraId="2097F002" w14:textId="77777777" w:rsidR="00E65203" w:rsidRPr="00A8310D" w:rsidRDefault="00E65203" w:rsidP="00E65203"/>
    <w:p w14:paraId="7FDF36F1" w14:textId="77777777" w:rsidR="00E65203" w:rsidRPr="00A8310D" w:rsidRDefault="00E65203" w:rsidP="00EF24D5">
      <w:pPr>
        <w:pStyle w:val="Heading3"/>
      </w:pPr>
      <w:bookmarkStart w:id="41" w:name="_Toc210139302"/>
      <w:r w:rsidRPr="00A8310D">
        <w:t>OECD</w:t>
      </w:r>
      <w:bookmarkEnd w:id="41"/>
    </w:p>
    <w:p w14:paraId="314BC0ED" w14:textId="77777777" w:rsidR="00E65203" w:rsidRPr="00A8310D" w:rsidRDefault="00E65203" w:rsidP="00E65203">
      <w:pPr>
        <w:pStyle w:val="ListParagraph"/>
        <w:keepNext/>
        <w:ind w:left="0"/>
        <w:jc w:val="both"/>
      </w:pPr>
    </w:p>
    <w:p w14:paraId="423503DD" w14:textId="7F7D39EA" w:rsidR="00E65203" w:rsidRPr="00A8310D" w:rsidRDefault="00BF7C58" w:rsidP="00BF7C58">
      <w:pPr>
        <w:keepNext/>
      </w:pPr>
      <w:r w:rsidRPr="00F07B06">
        <w:fldChar w:fldCharType="begin"/>
      </w:r>
      <w:r w:rsidRPr="00F07B06">
        <w:instrText xml:space="preserve"> AUTONUM  </w:instrText>
      </w:r>
      <w:r w:rsidRPr="00F07B06">
        <w:fldChar w:fldCharType="end"/>
      </w:r>
      <w:r w:rsidRPr="00F07B06">
        <w:tab/>
      </w:r>
      <w:r w:rsidR="00E65203" w:rsidRPr="00A8310D">
        <w:t>The TWM received a presentation from M</w:t>
      </w:r>
      <w:r w:rsidR="00E65203" w:rsidRPr="00A8310D">
        <w:rPr>
          <w:rFonts w:hint="eastAsia"/>
          <w:lang w:eastAsia="ja-JP"/>
        </w:rPr>
        <w:t>r</w:t>
      </w:r>
      <w:r w:rsidR="00E65203" w:rsidRPr="00A8310D">
        <w:t>. Csaba Gaspar</w:t>
      </w:r>
      <w:r w:rsidR="00E65203" w:rsidRPr="00A8310D">
        <w:rPr>
          <w:rFonts w:hint="eastAsia"/>
          <w:lang w:eastAsia="ja-JP"/>
        </w:rPr>
        <w:t xml:space="preserve">, </w:t>
      </w:r>
      <w:proofErr w:type="spellStart"/>
      <w:r w:rsidR="00E65203" w:rsidRPr="00A8310D">
        <w:rPr>
          <w:lang w:eastAsia="ja-JP"/>
        </w:rPr>
        <w:t>Organisation</w:t>
      </w:r>
      <w:proofErr w:type="spellEnd"/>
      <w:r w:rsidR="00E65203" w:rsidRPr="00A8310D">
        <w:rPr>
          <w:lang w:eastAsia="ja-JP"/>
        </w:rPr>
        <w:t xml:space="preserve"> for Economic Co-operation and Development (OECD)</w:t>
      </w:r>
      <w:r w:rsidR="00E65203" w:rsidRPr="00A8310D">
        <w:t>, on “</w:t>
      </w:r>
      <w:r w:rsidR="00E65203" w:rsidRPr="00A8310D">
        <w:rPr>
          <w:lang w:eastAsia="ja-JP"/>
        </w:rPr>
        <w:t>Latest developments in the application of BMT under the OECD Seed Schemes</w:t>
      </w:r>
      <w:r w:rsidR="00E65203" w:rsidRPr="00A8310D">
        <w:t xml:space="preserve">”, </w:t>
      </w:r>
      <w:r w:rsidR="00E65203" w:rsidRPr="00BF7C58">
        <w:rPr>
          <w:rFonts w:cs="Arial"/>
          <w:iCs/>
        </w:rPr>
        <w:t>a copy of which is provided in document </w:t>
      </w:r>
      <w:r w:rsidR="00E65203" w:rsidRPr="00A8310D">
        <w:t>TW</w:t>
      </w:r>
      <w:r w:rsidR="00E65203" w:rsidRPr="00A8310D">
        <w:rPr>
          <w:rFonts w:hint="eastAsia"/>
          <w:lang w:eastAsia="ja-JP"/>
        </w:rPr>
        <w:t>M</w:t>
      </w:r>
      <w:r w:rsidR="00E65203" w:rsidRPr="00A8310D">
        <w:t>/</w:t>
      </w:r>
      <w:r w:rsidR="00E65203" w:rsidRPr="00A8310D">
        <w:rPr>
          <w:rFonts w:hint="eastAsia"/>
          <w:lang w:eastAsia="ja-JP"/>
        </w:rPr>
        <w:t>3</w:t>
      </w:r>
      <w:r w:rsidR="00E65203" w:rsidRPr="00A8310D">
        <w:t>/</w:t>
      </w:r>
      <w:r w:rsidR="00E65203" w:rsidRPr="00A8310D">
        <w:rPr>
          <w:rFonts w:hint="eastAsia"/>
          <w:lang w:eastAsia="ja-JP"/>
        </w:rPr>
        <w:t>26</w:t>
      </w:r>
      <w:r w:rsidR="00E65203" w:rsidRPr="00A8310D">
        <w:t>.</w:t>
      </w:r>
    </w:p>
    <w:p w14:paraId="60805204" w14:textId="77777777" w:rsidR="00E65203" w:rsidRPr="00F5327D" w:rsidRDefault="00E65203" w:rsidP="00E65203">
      <w:pPr>
        <w:pStyle w:val="ListParagraph"/>
        <w:ind w:left="0"/>
        <w:jc w:val="both"/>
        <w:rPr>
          <w:rFonts w:eastAsiaTheme="minorEastAsia"/>
          <w:lang w:eastAsia="ja-JP"/>
        </w:rPr>
      </w:pPr>
    </w:p>
    <w:p w14:paraId="35D754AC" w14:textId="77777777" w:rsidR="00E65203" w:rsidRPr="00A8310D" w:rsidRDefault="00E65203" w:rsidP="00EF24D5">
      <w:pPr>
        <w:pStyle w:val="Heading2"/>
      </w:pPr>
      <w:bookmarkStart w:id="42" w:name="_Toc210139303"/>
      <w:r w:rsidRPr="00A8310D">
        <w:t>Report of work on molecular techniques in relation to DUS examination</w:t>
      </w:r>
      <w:bookmarkEnd w:id="42"/>
    </w:p>
    <w:p w14:paraId="7BA9A33E" w14:textId="77777777" w:rsidR="00E65203" w:rsidRPr="007B317A" w:rsidRDefault="00E65203" w:rsidP="00E65203">
      <w:pPr>
        <w:pStyle w:val="ListParagraph"/>
        <w:ind w:left="0"/>
        <w:jc w:val="both"/>
        <w:rPr>
          <w:rFonts w:eastAsiaTheme="minorEastAsia"/>
          <w:lang w:eastAsia="ja-JP"/>
        </w:rPr>
      </w:pPr>
    </w:p>
    <w:p w14:paraId="35E874B0" w14:textId="77777777" w:rsidR="00E65203" w:rsidRPr="007B317A" w:rsidRDefault="00E65203" w:rsidP="00EF24D5">
      <w:pPr>
        <w:pStyle w:val="Heading3"/>
      </w:pPr>
      <w:bookmarkStart w:id="43" w:name="_Toc210139304"/>
      <w:r w:rsidRPr="007B317A">
        <w:t>Latest developments in characteristic-specific molecular markers at Naktuinbouw: a call for knowledge exchange</w:t>
      </w:r>
      <w:bookmarkEnd w:id="43"/>
    </w:p>
    <w:p w14:paraId="31D164D2" w14:textId="77777777" w:rsidR="00E65203" w:rsidRPr="00E22752" w:rsidRDefault="00E65203" w:rsidP="00E65203"/>
    <w:p w14:paraId="4915A0CF" w14:textId="54267A58"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The TWM received a presentation from M</w:t>
      </w:r>
      <w:r w:rsidR="00E65203" w:rsidRPr="00E22752">
        <w:rPr>
          <w:rFonts w:hint="eastAsia"/>
          <w:lang w:eastAsia="ja-JP"/>
        </w:rPr>
        <w:t>s</w:t>
      </w:r>
      <w:r w:rsidR="00E65203" w:rsidRPr="00E22752">
        <w:t>. Claire Kamei</w:t>
      </w:r>
      <w:r w:rsidR="00E65203" w:rsidRPr="00E22752">
        <w:rPr>
          <w:rFonts w:hint="eastAsia"/>
          <w:lang w:eastAsia="ja-JP"/>
        </w:rPr>
        <w:t xml:space="preserve"> </w:t>
      </w:r>
      <w:r w:rsidR="00E65203" w:rsidRPr="00E22752">
        <w:rPr>
          <w:lang w:eastAsia="ja-JP"/>
        </w:rPr>
        <w:t>(Netherlands (Kingdom of the)</w:t>
      </w:r>
      <w:r w:rsidR="00E65203" w:rsidRPr="00E22752">
        <w:rPr>
          <w:rFonts w:hint="eastAsia"/>
          <w:lang w:eastAsia="ja-JP"/>
        </w:rPr>
        <w:t>)</w:t>
      </w:r>
      <w:r w:rsidR="00E65203" w:rsidRPr="00E22752">
        <w:t xml:space="preserve"> on “Latest developments in characteristic-specific molecular markers at Naktuinbouw: a call for knowledge exchange”, </w:t>
      </w:r>
      <w:r w:rsidR="00E65203" w:rsidRPr="00BF7C58">
        <w:rPr>
          <w:rFonts w:cs="Arial"/>
          <w:iCs/>
        </w:rPr>
        <w:t>a copy of which is provided in document </w:t>
      </w:r>
      <w:r w:rsidR="00E65203" w:rsidRPr="00E22752">
        <w:t>TW</w:t>
      </w:r>
      <w:r w:rsidR="00E65203" w:rsidRPr="00E22752">
        <w:rPr>
          <w:rFonts w:hint="eastAsia"/>
          <w:lang w:eastAsia="ja-JP"/>
        </w:rPr>
        <w:t>M</w:t>
      </w:r>
      <w:r w:rsidR="00E65203" w:rsidRPr="00E22752">
        <w:t>/</w:t>
      </w:r>
      <w:r w:rsidR="00E65203" w:rsidRPr="00E22752">
        <w:rPr>
          <w:rFonts w:hint="eastAsia"/>
          <w:lang w:eastAsia="ja-JP"/>
        </w:rPr>
        <w:t>3</w:t>
      </w:r>
      <w:r w:rsidR="00E65203" w:rsidRPr="00E22752">
        <w:t>/</w:t>
      </w:r>
      <w:r w:rsidR="00E65203" w:rsidRPr="00E22752">
        <w:rPr>
          <w:rFonts w:hint="eastAsia"/>
          <w:lang w:eastAsia="ja-JP"/>
        </w:rPr>
        <w:t>7</w:t>
      </w:r>
      <w:r w:rsidR="00E65203" w:rsidRPr="00E22752">
        <w:t xml:space="preserve">.  </w:t>
      </w:r>
    </w:p>
    <w:p w14:paraId="5DC6FAD7" w14:textId="77777777" w:rsidR="00E65203" w:rsidRPr="00E22752" w:rsidRDefault="00E65203" w:rsidP="00E65203">
      <w:pPr>
        <w:pStyle w:val="ListParagraph"/>
        <w:ind w:left="0"/>
        <w:jc w:val="both"/>
      </w:pPr>
    </w:p>
    <w:p w14:paraId="3591FB8C" w14:textId="3598C581"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noted </w:t>
      </w:r>
      <w:r w:rsidR="00E65203" w:rsidRPr="00E22752">
        <w:rPr>
          <w:rFonts w:hint="eastAsia"/>
          <w:lang w:eastAsia="ja-JP"/>
        </w:rPr>
        <w:t xml:space="preserve">that </w:t>
      </w:r>
      <w:r w:rsidR="00E65203" w:rsidRPr="00E22752">
        <w:rPr>
          <w:lang w:eastAsia="ja-JP"/>
        </w:rPr>
        <w:t>Naktuinbouw was initiating a project for the selection of molecular markers for lettuce and that interested experts should contact the expert from the Netherlands (Kingdom of</w:t>
      </w:r>
      <w:r w:rsidR="00E65203" w:rsidRPr="00E22752">
        <w:rPr>
          <w:rFonts w:hint="eastAsia"/>
          <w:lang w:eastAsia="ja-JP"/>
        </w:rPr>
        <w:t xml:space="preserve"> the</w:t>
      </w:r>
      <w:r w:rsidR="00E65203" w:rsidRPr="00E22752">
        <w:rPr>
          <w:lang w:eastAsia="ja-JP"/>
        </w:rPr>
        <w:t>) for possible partnerships.</w:t>
      </w:r>
    </w:p>
    <w:p w14:paraId="3C6C03D9" w14:textId="77777777" w:rsidR="00E65203" w:rsidRPr="00E22752" w:rsidRDefault="00E65203" w:rsidP="00E65203">
      <w:pPr>
        <w:pStyle w:val="ListParagraph"/>
        <w:ind w:left="0"/>
        <w:jc w:val="both"/>
      </w:pPr>
    </w:p>
    <w:p w14:paraId="16DC7B72" w14:textId="51B3CE37"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rPr>
          <w:lang w:eastAsia="ja-JP"/>
        </w:rPr>
        <w:t xml:space="preserve">The TWM </w:t>
      </w:r>
      <w:r w:rsidR="00E65203" w:rsidRPr="00E22752">
        <w:t>agreed that organizations should consider pooling resources in support of common projects.  The TWM considered options to make available information about projects developed by UPOV members and observers and</w:t>
      </w:r>
      <w:r w:rsidR="00E65203" w:rsidRPr="00E22752">
        <w:rPr>
          <w:lang w:eastAsia="ja-JP"/>
        </w:rPr>
        <w:t xml:space="preserve"> agreed they could be reported before each TWM session for inclusion in document </w:t>
      </w:r>
      <w:r w:rsidR="00E65203" w:rsidRPr="00E22752">
        <w:t>TWM/3/2 “Reports on Developments in Plant Variety Protection from Members and Observers”.</w:t>
      </w:r>
    </w:p>
    <w:p w14:paraId="23786F33" w14:textId="77777777" w:rsidR="00E65203" w:rsidRPr="00E22752" w:rsidRDefault="00E65203" w:rsidP="00E65203">
      <w:pPr>
        <w:pStyle w:val="ListParagraph"/>
        <w:ind w:left="0"/>
        <w:jc w:val="both"/>
      </w:pPr>
    </w:p>
    <w:p w14:paraId="5E4EC680" w14:textId="06F58904"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The TWM welcomed the proposal from the Netherlands (Kingdom of</w:t>
      </w:r>
      <w:r w:rsidR="00E65203" w:rsidRPr="00E22752">
        <w:rPr>
          <w:rFonts w:hint="eastAsia"/>
          <w:lang w:eastAsia="ja-JP"/>
        </w:rPr>
        <w:t xml:space="preserve"> the</w:t>
      </w:r>
      <w:r w:rsidR="00E65203" w:rsidRPr="00E22752">
        <w:t xml:space="preserve">) to lead the updating of the list of molecular markers used per crop, that had been reported to the Technical Committee, at its fifty-eight session (available at: </w:t>
      </w:r>
      <w:hyperlink r:id="rId18" w:history="1">
        <w:r w:rsidR="00E65203" w:rsidRPr="00E22752">
          <w:rPr>
            <w:rStyle w:val="Hyperlink"/>
          </w:rPr>
          <w:t>https://www.upov.int/meetings/en/doc_details.jsp?meeting_id=67786&amp;doc_id=586962</w:t>
        </w:r>
      </w:hyperlink>
      <w:r w:rsidR="00E65203" w:rsidRPr="00E22752">
        <w:t>).</w:t>
      </w:r>
    </w:p>
    <w:p w14:paraId="0F220793" w14:textId="77777777" w:rsidR="00E65203" w:rsidRPr="009B7AF7" w:rsidRDefault="00E65203" w:rsidP="00E65203">
      <w:pPr>
        <w:pStyle w:val="ListParagraph"/>
        <w:ind w:left="0"/>
        <w:jc w:val="both"/>
        <w:rPr>
          <w:rFonts w:eastAsiaTheme="minorEastAsia"/>
          <w:lang w:eastAsia="ja-JP"/>
        </w:rPr>
      </w:pPr>
    </w:p>
    <w:p w14:paraId="27895B89" w14:textId="77777777" w:rsidR="00E65203" w:rsidRPr="007B317A" w:rsidRDefault="00E65203" w:rsidP="00EF24D5">
      <w:pPr>
        <w:pStyle w:val="Heading3"/>
      </w:pPr>
      <w:bookmarkStart w:id="44" w:name="_Toc210139305"/>
      <w:r w:rsidRPr="007B317A">
        <w:t>The use of biomolecular technology in DUS testing - a case study on barley</w:t>
      </w:r>
      <w:bookmarkEnd w:id="44"/>
    </w:p>
    <w:p w14:paraId="5B895509" w14:textId="77777777" w:rsidR="00E65203" w:rsidRPr="00E22752" w:rsidRDefault="00E65203" w:rsidP="00E65203"/>
    <w:p w14:paraId="3E9011F0" w14:textId="073DF51B"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The TWM received a presentation from M</w:t>
      </w:r>
      <w:r w:rsidR="00E65203" w:rsidRPr="00E22752">
        <w:rPr>
          <w:rFonts w:hint="eastAsia"/>
          <w:lang w:eastAsia="ja-JP"/>
        </w:rPr>
        <w:t>s</w:t>
      </w:r>
      <w:r w:rsidR="00E65203" w:rsidRPr="00E22752">
        <w:t xml:space="preserve">. Vanessa MacMillan (United Kingdom) on “The use of biomolecular technology in DUS testing - a case study on barley”, </w:t>
      </w:r>
      <w:r w:rsidR="00E65203" w:rsidRPr="00BF7C58">
        <w:rPr>
          <w:rFonts w:cs="Arial"/>
          <w:iCs/>
        </w:rPr>
        <w:t>a copy of which is provided in document </w:t>
      </w:r>
      <w:r w:rsidR="00E65203" w:rsidRPr="00E22752">
        <w:t>TW</w:t>
      </w:r>
      <w:r w:rsidR="00E65203" w:rsidRPr="00E22752">
        <w:rPr>
          <w:rFonts w:hint="eastAsia"/>
          <w:lang w:eastAsia="ja-JP"/>
        </w:rPr>
        <w:t>M</w:t>
      </w:r>
      <w:r w:rsidR="00E65203" w:rsidRPr="00E22752">
        <w:t>/</w:t>
      </w:r>
      <w:r w:rsidR="00E65203" w:rsidRPr="00E22752">
        <w:rPr>
          <w:rFonts w:hint="eastAsia"/>
          <w:lang w:eastAsia="ja-JP"/>
        </w:rPr>
        <w:t>3</w:t>
      </w:r>
      <w:r w:rsidR="00E65203" w:rsidRPr="00E22752">
        <w:t>/</w:t>
      </w:r>
      <w:r w:rsidR="00E65203" w:rsidRPr="00E22752">
        <w:rPr>
          <w:rFonts w:hint="eastAsia"/>
          <w:lang w:eastAsia="ja-JP"/>
        </w:rPr>
        <w:t>20</w:t>
      </w:r>
      <w:r w:rsidR="00E65203" w:rsidRPr="00E22752">
        <w:t xml:space="preserve">.  </w:t>
      </w:r>
    </w:p>
    <w:p w14:paraId="380CEB98" w14:textId="77777777" w:rsidR="00E65203" w:rsidRPr="00E22752" w:rsidRDefault="00E65203" w:rsidP="00E65203">
      <w:pPr>
        <w:pStyle w:val="ListParagraph"/>
        <w:ind w:left="0"/>
        <w:jc w:val="both"/>
      </w:pPr>
    </w:p>
    <w:p w14:paraId="62B70407" w14:textId="7EEBC497"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noted </w:t>
      </w:r>
      <w:r w:rsidR="00E65203" w:rsidRPr="00E22752">
        <w:rPr>
          <w:lang w:eastAsia="ja-JP"/>
        </w:rPr>
        <w:t>the report provided in the document and invited the expert from the United Kingdom to report progress at the fourth session of the TWM</w:t>
      </w:r>
      <w:r w:rsidR="00E65203" w:rsidRPr="00E22752">
        <w:rPr>
          <w:rFonts w:hint="eastAsia"/>
          <w:lang w:eastAsia="ja-JP"/>
        </w:rPr>
        <w:t>.</w:t>
      </w:r>
      <w:r w:rsidR="00E65203" w:rsidRPr="00E22752">
        <w:rPr>
          <w:lang w:eastAsia="ja-JP"/>
        </w:rPr>
        <w:t xml:space="preserve">  </w:t>
      </w:r>
    </w:p>
    <w:p w14:paraId="22226A45" w14:textId="77777777" w:rsidR="00E65203" w:rsidRPr="006B698D" w:rsidRDefault="00E65203" w:rsidP="00E65203">
      <w:pPr>
        <w:pStyle w:val="ListParagraph"/>
        <w:ind w:left="0"/>
        <w:jc w:val="both"/>
      </w:pPr>
      <w:r w:rsidRPr="006B698D">
        <w:t xml:space="preserve"> </w:t>
      </w:r>
    </w:p>
    <w:p w14:paraId="1D5397DC" w14:textId="77777777" w:rsidR="00E65203" w:rsidRPr="007B317A" w:rsidRDefault="00E65203" w:rsidP="00EF24D5">
      <w:pPr>
        <w:pStyle w:val="Heading3"/>
      </w:pPr>
      <w:bookmarkStart w:id="45" w:name="_Toc210139306"/>
      <w:r w:rsidRPr="007B317A">
        <w:t xml:space="preserve">Artificial Intelligence and molecular markers in soft fruit: </w:t>
      </w:r>
      <w:proofErr w:type="gramStart"/>
      <w:r w:rsidRPr="007B317A">
        <w:t>a proof</w:t>
      </w:r>
      <w:proofErr w:type="gramEnd"/>
      <w:r w:rsidRPr="007B317A">
        <w:t xml:space="preserve"> of concept</w:t>
      </w:r>
      <w:bookmarkEnd w:id="45"/>
    </w:p>
    <w:p w14:paraId="2AF58EA4" w14:textId="77777777" w:rsidR="00E65203" w:rsidRPr="006B698D" w:rsidRDefault="00E65203" w:rsidP="00E65203"/>
    <w:p w14:paraId="296DFA81" w14:textId="3803B40E" w:rsidR="00E65203" w:rsidRPr="006B698D" w:rsidRDefault="00BF7C58" w:rsidP="00BF7C58">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s</w:t>
      </w:r>
      <w:r w:rsidR="00E65203" w:rsidRPr="006B698D">
        <w:t>. Margaret Wallace</w:t>
      </w:r>
      <w:r w:rsidR="00E65203" w:rsidRPr="006B698D">
        <w:rPr>
          <w:rFonts w:hint="eastAsia"/>
        </w:rPr>
        <w:t xml:space="preserve"> </w:t>
      </w:r>
      <w:r w:rsidR="00E65203" w:rsidRPr="006B698D">
        <w:rPr>
          <w:rFonts w:hint="eastAsia"/>
          <w:lang w:eastAsia="ja-JP"/>
        </w:rPr>
        <w:t>(</w:t>
      </w:r>
      <w:r w:rsidR="00E65203" w:rsidRPr="006B698D">
        <w:rPr>
          <w:lang w:eastAsia="ja-JP"/>
        </w:rPr>
        <w:t>United Kingdom</w:t>
      </w:r>
      <w:r w:rsidR="00E65203" w:rsidRPr="006B698D">
        <w:rPr>
          <w:rFonts w:hint="eastAsia"/>
          <w:lang w:eastAsia="ja-JP"/>
        </w:rPr>
        <w:t>)</w:t>
      </w:r>
      <w:r w:rsidR="00E65203" w:rsidRPr="006B698D">
        <w:t xml:space="preserve"> on “Artificial Intelligence and molecular markers in soft fruit: a proof of concept”,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24</w:t>
      </w:r>
      <w:r w:rsidR="00E65203" w:rsidRPr="006B698D">
        <w:t xml:space="preserve">.  </w:t>
      </w:r>
    </w:p>
    <w:p w14:paraId="7B2FE0EE" w14:textId="77777777" w:rsidR="00E65203" w:rsidRPr="006B698D" w:rsidRDefault="00E65203" w:rsidP="00E65203">
      <w:pPr>
        <w:pStyle w:val="ListParagraph"/>
        <w:ind w:left="0"/>
        <w:jc w:val="both"/>
      </w:pPr>
    </w:p>
    <w:p w14:paraId="76D501E5" w14:textId="7B29CF3A" w:rsidR="00E65203" w:rsidRPr="00C653AD" w:rsidRDefault="00BF7C58" w:rsidP="00BF7C58">
      <w:r w:rsidRPr="00F07B06">
        <w:fldChar w:fldCharType="begin"/>
      </w:r>
      <w:r w:rsidRPr="00F07B06">
        <w:instrText xml:space="preserve"> AUTONUM  </w:instrText>
      </w:r>
      <w:r w:rsidRPr="00F07B06">
        <w:fldChar w:fldCharType="end"/>
      </w:r>
      <w:r w:rsidRPr="00F07B06">
        <w:tab/>
      </w:r>
      <w:r w:rsidR="00E65203" w:rsidRPr="00C653AD">
        <w:t xml:space="preserve">The TWM noted </w:t>
      </w:r>
      <w:r w:rsidR="00E65203" w:rsidRPr="00C653AD">
        <w:rPr>
          <w:rFonts w:hint="eastAsia"/>
          <w:lang w:eastAsia="ja-JP"/>
        </w:rPr>
        <w:t xml:space="preserve">progress in </w:t>
      </w:r>
      <w:r w:rsidR="00E65203" w:rsidRPr="00C653AD">
        <w:rPr>
          <w:lang w:eastAsia="ja-JP"/>
        </w:rPr>
        <w:t>the</w:t>
      </w:r>
      <w:r w:rsidR="00E65203" w:rsidRPr="00C653AD">
        <w:rPr>
          <w:rFonts w:hint="eastAsia"/>
          <w:lang w:eastAsia="ja-JP"/>
        </w:rPr>
        <w:t xml:space="preserve"> genetic prediction of morphological characteristics such as the </w:t>
      </w:r>
      <w:r w:rsidR="00E65203" w:rsidRPr="00C653AD">
        <w:rPr>
          <w:lang w:eastAsia="ja-JP"/>
        </w:rPr>
        <w:t>presence</w:t>
      </w:r>
      <w:r w:rsidR="00E65203" w:rsidRPr="00C653AD">
        <w:rPr>
          <w:rFonts w:hint="eastAsia"/>
          <w:lang w:eastAsia="ja-JP"/>
        </w:rPr>
        <w:t xml:space="preserve"> of spines in </w:t>
      </w:r>
      <w:r w:rsidR="00E65203" w:rsidRPr="00C653AD">
        <w:rPr>
          <w:lang w:eastAsia="ja-JP"/>
        </w:rPr>
        <w:t>Raspberry</w:t>
      </w:r>
      <w:r w:rsidR="00E65203" w:rsidRPr="00C653AD">
        <w:rPr>
          <w:rFonts w:hint="eastAsia"/>
          <w:lang w:eastAsia="ja-JP"/>
        </w:rPr>
        <w:t xml:space="preserve">.  The TWM </w:t>
      </w:r>
      <w:r w:rsidR="00E65203" w:rsidRPr="00C653AD">
        <w:rPr>
          <w:lang w:eastAsia="ja-JP"/>
        </w:rPr>
        <w:t>discussed</w:t>
      </w:r>
      <w:r w:rsidR="00E65203" w:rsidRPr="00C653AD">
        <w:rPr>
          <w:rFonts w:hint="eastAsia"/>
          <w:lang w:eastAsia="ja-JP"/>
        </w:rPr>
        <w:t xml:space="preserve"> </w:t>
      </w:r>
      <w:r w:rsidR="00E65203">
        <w:rPr>
          <w:rFonts w:hint="eastAsia"/>
          <w:lang w:eastAsia="ja-JP"/>
        </w:rPr>
        <w:t>f</w:t>
      </w:r>
      <w:r w:rsidR="00E65203" w:rsidRPr="00C653AD">
        <w:rPr>
          <w:rFonts w:hint="eastAsia"/>
          <w:lang w:eastAsia="ja-JP"/>
        </w:rPr>
        <w:t xml:space="preserve">actors relating to the genetic prediction of morphological characteristics as they related to the results demonstrated in the </w:t>
      </w:r>
      <w:proofErr w:type="gramStart"/>
      <w:r w:rsidR="00E65203" w:rsidRPr="00C653AD">
        <w:rPr>
          <w:rFonts w:hint="eastAsia"/>
          <w:lang w:eastAsia="ja-JP"/>
        </w:rPr>
        <w:t>proof of concept</w:t>
      </w:r>
      <w:proofErr w:type="gramEnd"/>
      <w:r w:rsidR="00E65203" w:rsidRPr="00C653AD">
        <w:rPr>
          <w:rFonts w:hint="eastAsia"/>
          <w:lang w:eastAsia="ja-JP"/>
        </w:rPr>
        <w:t xml:space="preserve"> study.</w:t>
      </w:r>
    </w:p>
    <w:p w14:paraId="64B69CB5" w14:textId="77777777" w:rsidR="00E65203" w:rsidRPr="006B698D" w:rsidRDefault="00E65203" w:rsidP="00E65203">
      <w:pPr>
        <w:pStyle w:val="ListParagraph"/>
      </w:pPr>
    </w:p>
    <w:p w14:paraId="4CA6C8F5" w14:textId="77777777" w:rsidR="00E65203" w:rsidRPr="007B317A" w:rsidRDefault="00E65203" w:rsidP="00EF24D5">
      <w:pPr>
        <w:pStyle w:val="Heading3"/>
      </w:pPr>
      <w:bookmarkStart w:id="46" w:name="_Toc210139307"/>
      <w:r w:rsidRPr="007B317A">
        <w:lastRenderedPageBreak/>
        <w:t>Can better understanding of the genetic architecture of wheat DUS characteristics help streamline the DUS processes?</w:t>
      </w:r>
      <w:bookmarkEnd w:id="46"/>
    </w:p>
    <w:p w14:paraId="35784CDA" w14:textId="77777777" w:rsidR="00E65203" w:rsidRPr="006B698D" w:rsidRDefault="00E65203" w:rsidP="00E65203"/>
    <w:p w14:paraId="6329059C" w14:textId="6EF9148C" w:rsidR="00E65203" w:rsidRPr="006B698D" w:rsidRDefault="00BF7C58" w:rsidP="00BF7C58">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s</w:t>
      </w:r>
      <w:r w:rsidR="00E65203" w:rsidRPr="006B698D">
        <w:t xml:space="preserve">. Camila Zanella (United Kingdom) on “Can better understanding of the genetic architecture of wheat DUS characteristics help streamline the DUS processes?”,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22</w:t>
      </w:r>
      <w:r w:rsidR="00E65203" w:rsidRPr="006B698D">
        <w:t xml:space="preserve">.  </w:t>
      </w:r>
    </w:p>
    <w:p w14:paraId="37C91747" w14:textId="77777777" w:rsidR="00E65203" w:rsidRPr="006B698D" w:rsidRDefault="00E65203" w:rsidP="00E65203">
      <w:pPr>
        <w:pStyle w:val="ListParagraph"/>
        <w:ind w:left="0"/>
        <w:jc w:val="both"/>
      </w:pPr>
    </w:p>
    <w:p w14:paraId="388EBDF5" w14:textId="270E4DCD"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w:t>
      </w:r>
      <w:r w:rsidR="00E65203" w:rsidRPr="00E22752">
        <w:rPr>
          <w:lang w:eastAsia="ja-JP"/>
        </w:rPr>
        <w:t xml:space="preserve">considered the requirements for implementing molecular markers in routine variety </w:t>
      </w:r>
      <w:proofErr w:type="gramStart"/>
      <w:r w:rsidR="00E65203" w:rsidRPr="00E22752">
        <w:rPr>
          <w:lang w:eastAsia="ja-JP"/>
        </w:rPr>
        <w:t>examination</w:t>
      </w:r>
      <w:proofErr w:type="gramEnd"/>
      <w:r w:rsidR="00E65203" w:rsidRPr="00E22752">
        <w:rPr>
          <w:lang w:eastAsia="ja-JP"/>
        </w:rPr>
        <w:t xml:space="preserve"> and agreed that they should at the same time increase efficiency for the examination authority and benefit the applicants</w:t>
      </w:r>
      <w:r w:rsidR="00E65203" w:rsidRPr="00E22752">
        <w:rPr>
          <w:rFonts w:hint="eastAsia"/>
          <w:lang w:eastAsia="ja-JP"/>
        </w:rPr>
        <w:t>.</w:t>
      </w:r>
    </w:p>
    <w:p w14:paraId="571A3E90" w14:textId="77777777" w:rsidR="00E65203" w:rsidRPr="00E22752" w:rsidRDefault="00E65203" w:rsidP="00E65203">
      <w:pPr>
        <w:pStyle w:val="ListParagraph"/>
        <w:ind w:left="0"/>
        <w:jc w:val="both"/>
      </w:pPr>
    </w:p>
    <w:p w14:paraId="24DEFCFF" w14:textId="77777777" w:rsidR="00E65203" w:rsidRPr="007B317A" w:rsidRDefault="00E65203" w:rsidP="00EF24D5">
      <w:pPr>
        <w:pStyle w:val="Heading3"/>
      </w:pPr>
      <w:bookmarkStart w:id="47" w:name="_Toc210139308"/>
      <w:r w:rsidRPr="007B317A">
        <w:t>Genomic prediction for variety collection management wheat</w:t>
      </w:r>
      <w:bookmarkEnd w:id="47"/>
    </w:p>
    <w:p w14:paraId="199C7E95" w14:textId="77777777" w:rsidR="00E65203" w:rsidRPr="00E22752" w:rsidRDefault="00E65203" w:rsidP="00E65203"/>
    <w:p w14:paraId="23B0D998" w14:textId="482A9105"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received a presentation from Mr. Adrian Roberts (United Kingdom), on “Genomic prediction for variety collection management wheat”, </w:t>
      </w:r>
      <w:r w:rsidR="00E65203" w:rsidRPr="00BF7C58">
        <w:rPr>
          <w:rFonts w:cs="Arial"/>
          <w:iCs/>
        </w:rPr>
        <w:t>a copy of which is provided in document </w:t>
      </w:r>
      <w:r w:rsidR="00E65203" w:rsidRPr="00E22752">
        <w:t>TW</w:t>
      </w:r>
      <w:r w:rsidR="00E65203" w:rsidRPr="00E22752">
        <w:rPr>
          <w:rFonts w:hint="eastAsia"/>
          <w:lang w:eastAsia="ja-JP"/>
        </w:rPr>
        <w:t>M</w:t>
      </w:r>
      <w:r w:rsidR="00E65203" w:rsidRPr="00E22752">
        <w:t>/</w:t>
      </w:r>
      <w:r w:rsidR="00E65203" w:rsidRPr="00E22752">
        <w:rPr>
          <w:rFonts w:hint="eastAsia"/>
          <w:lang w:eastAsia="ja-JP"/>
        </w:rPr>
        <w:t>3</w:t>
      </w:r>
      <w:r w:rsidR="00E65203" w:rsidRPr="00E22752">
        <w:t>/</w:t>
      </w:r>
      <w:r w:rsidR="00E65203" w:rsidRPr="00E22752">
        <w:rPr>
          <w:rFonts w:hint="eastAsia"/>
          <w:lang w:eastAsia="ja-JP"/>
        </w:rPr>
        <w:t>6</w:t>
      </w:r>
      <w:r w:rsidR="00E65203" w:rsidRPr="00E22752">
        <w:t xml:space="preserve">.  </w:t>
      </w:r>
    </w:p>
    <w:p w14:paraId="5298704A" w14:textId="77777777" w:rsidR="00E65203" w:rsidRPr="00E22752" w:rsidRDefault="00E65203" w:rsidP="00E65203">
      <w:pPr>
        <w:pStyle w:val="ListParagraph"/>
        <w:ind w:left="0"/>
        <w:jc w:val="both"/>
      </w:pPr>
    </w:p>
    <w:p w14:paraId="3D189914" w14:textId="02F99DB7"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noted </w:t>
      </w:r>
      <w:r w:rsidR="00E65203" w:rsidRPr="00E22752">
        <w:rPr>
          <w:rFonts w:hint="eastAsia"/>
          <w:lang w:eastAsia="ja-JP"/>
        </w:rPr>
        <w:t xml:space="preserve">that </w:t>
      </w:r>
      <w:r w:rsidR="00E65203" w:rsidRPr="00E22752">
        <w:rPr>
          <w:lang w:eastAsia="ja-JP"/>
        </w:rPr>
        <w:t>adjustments were required for the method to work with notes (ordinal data) instead of actual measurements and invited the expert from the United Kingdom to report progress at the fourth session of the TWM</w:t>
      </w:r>
      <w:r w:rsidR="00E65203" w:rsidRPr="00E22752">
        <w:rPr>
          <w:rFonts w:hint="eastAsia"/>
          <w:lang w:eastAsia="ja-JP"/>
        </w:rPr>
        <w:t>.</w:t>
      </w:r>
      <w:r w:rsidR="00E65203" w:rsidRPr="00E22752">
        <w:rPr>
          <w:lang w:eastAsia="ja-JP"/>
        </w:rPr>
        <w:t xml:space="preserve">  </w:t>
      </w:r>
    </w:p>
    <w:p w14:paraId="73B57811" w14:textId="77777777" w:rsidR="00E65203" w:rsidRPr="00E22752" w:rsidRDefault="00E65203" w:rsidP="00E65203"/>
    <w:p w14:paraId="13CC2248" w14:textId="77777777" w:rsidR="00E65203" w:rsidRPr="007B317A" w:rsidRDefault="00E65203" w:rsidP="00EF24D5">
      <w:pPr>
        <w:pStyle w:val="Heading3"/>
      </w:pPr>
      <w:bookmarkStart w:id="48" w:name="_Toc210139309"/>
      <w:r w:rsidRPr="007B317A">
        <w:t>COYD-GP enhanced distinctness criterion for cross-pollinated agricultural crops</w:t>
      </w:r>
      <w:bookmarkEnd w:id="48"/>
    </w:p>
    <w:p w14:paraId="194BF29C" w14:textId="77777777" w:rsidR="00E65203" w:rsidRPr="00E22752" w:rsidRDefault="00E65203" w:rsidP="00E65203"/>
    <w:p w14:paraId="11A704F8" w14:textId="6588B539"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The TWM received a presentation from Mr. Adrian Roberts</w:t>
      </w:r>
      <w:r w:rsidR="00E65203" w:rsidRPr="00E22752">
        <w:rPr>
          <w:rFonts w:hint="eastAsia"/>
          <w:lang w:eastAsia="ja-JP"/>
        </w:rPr>
        <w:t xml:space="preserve"> (</w:t>
      </w:r>
      <w:r w:rsidR="00E65203" w:rsidRPr="00E22752">
        <w:rPr>
          <w:lang w:eastAsia="ja-JP"/>
        </w:rPr>
        <w:t>United Kingdom</w:t>
      </w:r>
      <w:r w:rsidR="00E65203" w:rsidRPr="00E22752">
        <w:rPr>
          <w:rFonts w:hint="eastAsia"/>
          <w:lang w:eastAsia="ja-JP"/>
        </w:rPr>
        <w:t>)</w:t>
      </w:r>
      <w:r w:rsidR="00E65203" w:rsidRPr="00E22752">
        <w:t xml:space="preserve">, on “COYD-GP enhanced distinctness criterion for cross-pollinated agricultural crops”, </w:t>
      </w:r>
      <w:r w:rsidR="00E65203" w:rsidRPr="00BF7C58">
        <w:rPr>
          <w:rFonts w:cs="Arial"/>
          <w:iCs/>
        </w:rPr>
        <w:t>a copy of which is provided in document </w:t>
      </w:r>
      <w:r w:rsidR="00E65203" w:rsidRPr="00E22752">
        <w:t>TW</w:t>
      </w:r>
      <w:r w:rsidR="00E65203" w:rsidRPr="00E22752">
        <w:rPr>
          <w:rFonts w:hint="eastAsia"/>
          <w:lang w:eastAsia="ja-JP"/>
        </w:rPr>
        <w:t>M</w:t>
      </w:r>
      <w:r w:rsidR="00E65203" w:rsidRPr="00E22752">
        <w:t>/</w:t>
      </w:r>
      <w:r w:rsidR="00E65203" w:rsidRPr="00E22752">
        <w:rPr>
          <w:rFonts w:hint="eastAsia"/>
          <w:lang w:eastAsia="ja-JP"/>
        </w:rPr>
        <w:t>3</w:t>
      </w:r>
      <w:r w:rsidR="00E65203" w:rsidRPr="00E22752">
        <w:t>/</w:t>
      </w:r>
      <w:r w:rsidR="00E65203" w:rsidRPr="00E22752">
        <w:rPr>
          <w:rFonts w:hint="eastAsia"/>
          <w:lang w:eastAsia="ja-JP"/>
        </w:rPr>
        <w:t>4</w:t>
      </w:r>
      <w:r w:rsidR="00E65203" w:rsidRPr="00E22752">
        <w:t xml:space="preserve">.  </w:t>
      </w:r>
    </w:p>
    <w:p w14:paraId="4F765DB5" w14:textId="77777777" w:rsidR="00E65203" w:rsidRPr="00E22752" w:rsidRDefault="00E65203" w:rsidP="00E65203">
      <w:pPr>
        <w:pStyle w:val="ListParagraph"/>
        <w:ind w:left="0"/>
        <w:jc w:val="both"/>
      </w:pPr>
    </w:p>
    <w:p w14:paraId="0AF5CAC4" w14:textId="1495BD33"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noted </w:t>
      </w:r>
      <w:r w:rsidR="00E65203" w:rsidRPr="00E22752">
        <w:rPr>
          <w:rFonts w:hint="eastAsia"/>
          <w:lang w:eastAsia="ja-JP"/>
        </w:rPr>
        <w:t xml:space="preserve">that </w:t>
      </w:r>
      <w:r w:rsidR="00E65203" w:rsidRPr="00E22752">
        <w:rPr>
          <w:lang w:eastAsia="ja-JP"/>
        </w:rPr>
        <w:t>the increased efficiency of the new method COYD-GP for distinctness assessments had been calculated for each characteristic and agreed that further investigation would be required on the overall efficiency gain. The TWM invited the expert from the United Kingdom to report developments at the fourth session of the TWM.</w:t>
      </w:r>
    </w:p>
    <w:p w14:paraId="127064CC" w14:textId="77777777" w:rsidR="00E65203" w:rsidRPr="006B698D" w:rsidRDefault="00E65203" w:rsidP="00E65203">
      <w:pPr>
        <w:pStyle w:val="ListParagraph"/>
        <w:ind w:left="0"/>
        <w:jc w:val="both"/>
      </w:pPr>
      <w:r w:rsidRPr="006B698D">
        <w:t xml:space="preserve"> </w:t>
      </w:r>
    </w:p>
    <w:p w14:paraId="7CD7A44C" w14:textId="77777777" w:rsidR="00E65203" w:rsidRPr="007B317A" w:rsidRDefault="00E65203" w:rsidP="00EF24D5">
      <w:pPr>
        <w:pStyle w:val="Heading3"/>
      </w:pPr>
      <w:bookmarkStart w:id="49" w:name="_Toc210139310"/>
      <w:r w:rsidRPr="007B317A">
        <w:t>Community Plant Variety Office (CPVO) R&amp;D activities</w:t>
      </w:r>
      <w:bookmarkEnd w:id="49"/>
    </w:p>
    <w:p w14:paraId="77C6EEAB" w14:textId="77777777" w:rsidR="00E65203" w:rsidRPr="006B698D" w:rsidRDefault="00E65203" w:rsidP="00E65203">
      <w:pPr>
        <w:keepNext/>
      </w:pPr>
    </w:p>
    <w:p w14:paraId="25BF0817" w14:textId="3E01A920" w:rsidR="00E65203" w:rsidRPr="006B698D" w:rsidRDefault="00BF7C58" w:rsidP="00BF7C58">
      <w:pPr>
        <w:keepNext/>
      </w:pPr>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s</w:t>
      </w:r>
      <w:r w:rsidR="00E65203" w:rsidRPr="006B698D">
        <w:t>. Cecile Collonnier</w:t>
      </w:r>
      <w:r w:rsidR="00E65203" w:rsidRPr="006B698D">
        <w:rPr>
          <w:rFonts w:hint="eastAsia"/>
          <w:lang w:eastAsia="ja-JP"/>
        </w:rPr>
        <w:t>,</w:t>
      </w:r>
      <w:r w:rsidR="00E65203" w:rsidRPr="006B698D">
        <w:rPr>
          <w:rFonts w:hint="eastAsia"/>
        </w:rPr>
        <w:t xml:space="preserve"> </w:t>
      </w:r>
      <w:r w:rsidR="00E65203" w:rsidRPr="006B698D">
        <w:rPr>
          <w:lang w:eastAsia="ja-JP"/>
        </w:rPr>
        <w:t>Community Plant Variety Office (CPVO)</w:t>
      </w:r>
      <w:r w:rsidR="00E65203" w:rsidRPr="006B698D">
        <w:t xml:space="preserve">, on “CPVO R&amp;D activities”,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15</w:t>
      </w:r>
      <w:r w:rsidR="00E65203" w:rsidRPr="006B698D">
        <w:t xml:space="preserve">.  </w:t>
      </w:r>
    </w:p>
    <w:p w14:paraId="2CA61879" w14:textId="77777777" w:rsidR="00E65203" w:rsidRPr="006B698D" w:rsidRDefault="00E65203" w:rsidP="00E65203">
      <w:pPr>
        <w:pStyle w:val="ListParagraph"/>
        <w:ind w:left="0"/>
        <w:jc w:val="both"/>
      </w:pPr>
    </w:p>
    <w:p w14:paraId="7B05A3AF" w14:textId="48BC4CA3"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noted </w:t>
      </w:r>
      <w:r w:rsidR="00E65203" w:rsidRPr="00E22752">
        <w:rPr>
          <w:rFonts w:hint="eastAsia"/>
          <w:lang w:eastAsia="ja-JP"/>
        </w:rPr>
        <w:t>th</w:t>
      </w:r>
      <w:r w:rsidR="00E65203" w:rsidRPr="00E22752">
        <w:rPr>
          <w:lang w:eastAsia="ja-JP"/>
        </w:rPr>
        <w:t xml:space="preserve">e report on recently concluded and ongoing projects co-funded by the CPVO.  The TWM noted that the molecular markers selected under the projects were publicly available and noted the offer from </w:t>
      </w:r>
      <w:r w:rsidR="00E65203" w:rsidRPr="00E22752">
        <w:t>China to exchange a selection of KASP markers.</w:t>
      </w:r>
    </w:p>
    <w:p w14:paraId="22656697" w14:textId="77777777" w:rsidR="00E65203" w:rsidRPr="006B698D" w:rsidRDefault="00E65203" w:rsidP="00E65203"/>
    <w:p w14:paraId="271D65A1" w14:textId="77777777" w:rsidR="00E65203" w:rsidRPr="006B698D" w:rsidRDefault="00E65203" w:rsidP="00EF24D5">
      <w:pPr>
        <w:pStyle w:val="Heading2"/>
      </w:pPr>
      <w:bookmarkStart w:id="50" w:name="_Toc210139311"/>
      <w:r w:rsidRPr="006B698D">
        <w:t>Methods for analysis of molecular data, management of databases and exchange of data and material</w:t>
      </w:r>
      <w:bookmarkEnd w:id="50"/>
    </w:p>
    <w:p w14:paraId="2DD0A2DD" w14:textId="77777777" w:rsidR="00E65203" w:rsidRPr="006B698D" w:rsidRDefault="00E65203" w:rsidP="00E65203"/>
    <w:p w14:paraId="3804B5CD" w14:textId="77777777" w:rsidR="00E65203" w:rsidRPr="007B317A" w:rsidRDefault="00E65203" w:rsidP="00EF24D5">
      <w:pPr>
        <w:pStyle w:val="Heading3"/>
      </w:pPr>
      <w:bookmarkStart w:id="51" w:name="_Toc210139312"/>
      <w:r w:rsidRPr="007B317A">
        <w:t xml:space="preserve">Exploiting </w:t>
      </w:r>
      <w:r w:rsidRPr="007B317A">
        <w:rPr>
          <w:rFonts w:hint="eastAsia"/>
        </w:rPr>
        <w:t>c</w:t>
      </w:r>
      <w:r w:rsidRPr="007B317A">
        <w:t xml:space="preserve">rop </w:t>
      </w:r>
      <w:r w:rsidRPr="007B317A">
        <w:rPr>
          <w:rFonts w:hint="eastAsia"/>
        </w:rPr>
        <w:t>h</w:t>
      </w:r>
      <w:r w:rsidRPr="007B317A">
        <w:t xml:space="preserve">aplotype-tag </w:t>
      </w:r>
      <w:r w:rsidRPr="007B317A">
        <w:rPr>
          <w:rFonts w:hint="eastAsia"/>
        </w:rPr>
        <w:t>p</w:t>
      </w:r>
      <w:r w:rsidRPr="007B317A">
        <w:t xml:space="preserve">olymorphisms </w:t>
      </w:r>
      <w:r w:rsidRPr="007B317A">
        <w:rPr>
          <w:rFonts w:hint="eastAsia"/>
        </w:rPr>
        <w:t>m</w:t>
      </w:r>
      <w:r w:rsidRPr="007B317A">
        <w:t xml:space="preserve">arker for </w:t>
      </w:r>
      <w:r w:rsidRPr="007B317A">
        <w:rPr>
          <w:rFonts w:hint="eastAsia"/>
        </w:rPr>
        <w:t>p</w:t>
      </w:r>
      <w:r w:rsidRPr="007B317A">
        <w:t>edigree identification</w:t>
      </w:r>
      <w:bookmarkEnd w:id="51"/>
    </w:p>
    <w:p w14:paraId="27BF582F" w14:textId="77777777" w:rsidR="00E65203" w:rsidRPr="006B698D" w:rsidRDefault="00E65203" w:rsidP="00E65203"/>
    <w:p w14:paraId="72A6CD53" w14:textId="7EF998CB" w:rsidR="00E65203" w:rsidRPr="006B698D" w:rsidRDefault="00BF7C58" w:rsidP="00BF7C58">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r</w:t>
      </w:r>
      <w:r w:rsidR="00E65203" w:rsidRPr="006B698D">
        <w:t xml:space="preserve">. </w:t>
      </w:r>
      <w:proofErr w:type="spellStart"/>
      <w:r w:rsidR="00E65203" w:rsidRPr="006B698D">
        <w:t>Yikun</w:t>
      </w:r>
      <w:proofErr w:type="spellEnd"/>
      <w:r w:rsidR="00E65203" w:rsidRPr="006B698D">
        <w:t xml:space="preserve"> Zhao, China, on “Exploiting </w:t>
      </w:r>
      <w:r w:rsidR="00E65203" w:rsidRPr="006B698D">
        <w:rPr>
          <w:rFonts w:hint="eastAsia"/>
        </w:rPr>
        <w:t>c</w:t>
      </w:r>
      <w:r w:rsidR="00E65203" w:rsidRPr="006B698D">
        <w:t xml:space="preserve">rop </w:t>
      </w:r>
      <w:r w:rsidR="00E65203" w:rsidRPr="006B698D">
        <w:rPr>
          <w:rFonts w:hint="eastAsia"/>
        </w:rPr>
        <w:t>h</w:t>
      </w:r>
      <w:r w:rsidR="00E65203" w:rsidRPr="006B698D">
        <w:t xml:space="preserve">aplotype-tag </w:t>
      </w:r>
      <w:r w:rsidR="00E65203" w:rsidRPr="006B698D">
        <w:rPr>
          <w:rFonts w:hint="eastAsia"/>
        </w:rPr>
        <w:t>p</w:t>
      </w:r>
      <w:r w:rsidR="00E65203" w:rsidRPr="006B698D">
        <w:t xml:space="preserve">olymorphisms </w:t>
      </w:r>
      <w:r w:rsidR="00E65203">
        <w:t xml:space="preserve">(HTP) </w:t>
      </w:r>
      <w:r w:rsidR="00E65203" w:rsidRPr="006B698D">
        <w:rPr>
          <w:rFonts w:hint="eastAsia"/>
        </w:rPr>
        <w:t>m</w:t>
      </w:r>
      <w:r w:rsidR="00E65203" w:rsidRPr="006B698D">
        <w:t xml:space="preserve">arker for </w:t>
      </w:r>
      <w:r w:rsidR="00E65203" w:rsidRPr="006B698D">
        <w:rPr>
          <w:rFonts w:hint="eastAsia"/>
        </w:rPr>
        <w:t>p</w:t>
      </w:r>
      <w:r w:rsidR="00E65203" w:rsidRPr="006B698D">
        <w:t xml:space="preserve">edigree identification”,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1</w:t>
      </w:r>
      <w:r w:rsidR="00E65203" w:rsidRPr="006B698D">
        <w:rPr>
          <w:lang w:eastAsia="ja-JP"/>
        </w:rPr>
        <w:t>0</w:t>
      </w:r>
      <w:r w:rsidR="00E65203" w:rsidRPr="006B698D">
        <w:t xml:space="preserve">.  </w:t>
      </w:r>
    </w:p>
    <w:p w14:paraId="041FE995" w14:textId="77777777" w:rsidR="00E65203" w:rsidRPr="006B698D" w:rsidRDefault="00E65203" w:rsidP="00E65203">
      <w:pPr>
        <w:pStyle w:val="ListParagraph"/>
        <w:ind w:left="0"/>
        <w:jc w:val="both"/>
      </w:pPr>
    </w:p>
    <w:p w14:paraId="5750B97E" w14:textId="1576DAD5" w:rsidR="00E65203" w:rsidRPr="00F07DFE" w:rsidRDefault="00BF7C58" w:rsidP="00BF7C58">
      <w:r w:rsidRPr="00F07B06">
        <w:fldChar w:fldCharType="begin"/>
      </w:r>
      <w:r w:rsidRPr="00F07B06">
        <w:instrText xml:space="preserve"> AUTONUM  </w:instrText>
      </w:r>
      <w:r w:rsidRPr="00F07B06">
        <w:fldChar w:fldCharType="end"/>
      </w:r>
      <w:r w:rsidRPr="00F07B06">
        <w:tab/>
      </w:r>
      <w:proofErr w:type="gramStart"/>
      <w:r w:rsidR="00E65203" w:rsidRPr="00F07DFE">
        <w:rPr>
          <w:lang w:eastAsia="ja-JP"/>
        </w:rPr>
        <w:t>The TWM</w:t>
      </w:r>
      <w:proofErr w:type="gramEnd"/>
      <w:r w:rsidR="00E65203" w:rsidRPr="00F07DFE">
        <w:rPr>
          <w:lang w:eastAsia="ja-JP"/>
        </w:rPr>
        <w:t xml:space="preserve"> discussed the usefulness of HTP makers for pedigree identification in maize three-way hybrids and its possible use for soybeans. </w:t>
      </w:r>
      <w:proofErr w:type="gramStart"/>
      <w:r w:rsidR="00E65203" w:rsidRPr="00F07DFE">
        <w:rPr>
          <w:lang w:eastAsia="ja-JP"/>
        </w:rPr>
        <w:t>The TWM</w:t>
      </w:r>
      <w:proofErr w:type="gramEnd"/>
      <w:r w:rsidR="00E65203" w:rsidRPr="00F07DFE">
        <w:rPr>
          <w:lang w:eastAsia="ja-JP"/>
        </w:rPr>
        <w:t xml:space="preserve"> discussed </w:t>
      </w:r>
      <w:proofErr w:type="gramStart"/>
      <w:r w:rsidR="00E65203" w:rsidRPr="00F07DFE">
        <w:rPr>
          <w:lang w:eastAsia="ja-JP"/>
        </w:rPr>
        <w:t>the statistical</w:t>
      </w:r>
      <w:proofErr w:type="gramEnd"/>
      <w:r w:rsidR="00E65203" w:rsidRPr="00F07DFE">
        <w:rPr>
          <w:lang w:eastAsia="ja-JP"/>
        </w:rPr>
        <w:t xml:space="preserve"> methods to assess confidence of the method and noted </w:t>
      </w:r>
      <w:r w:rsidR="00E65203">
        <w:rPr>
          <w:lang w:eastAsia="ja-JP"/>
        </w:rPr>
        <w:t>the</w:t>
      </w:r>
      <w:r w:rsidR="00E65203" w:rsidRPr="00F07DFE">
        <w:rPr>
          <w:lang w:eastAsia="ja-JP"/>
        </w:rPr>
        <w:t xml:space="preserve"> correct identification of 94% of samples in the tests performed. </w:t>
      </w:r>
      <w:proofErr w:type="gramStart"/>
      <w:r w:rsidR="00E65203" w:rsidRPr="00F07DFE">
        <w:t>The TWM</w:t>
      </w:r>
      <w:proofErr w:type="gramEnd"/>
      <w:r w:rsidR="00E65203" w:rsidRPr="00F07DFE">
        <w:t xml:space="preserve"> not</w:t>
      </w:r>
      <w:r w:rsidR="00E65203" w:rsidRPr="00F07DFE">
        <w:rPr>
          <w:lang w:eastAsia="ja-JP"/>
        </w:rPr>
        <w:t xml:space="preserve">ed that HTP makers could </w:t>
      </w:r>
      <w:r w:rsidR="00E65203">
        <w:rPr>
          <w:lang w:eastAsia="ja-JP"/>
        </w:rPr>
        <w:t xml:space="preserve">possibly </w:t>
      </w:r>
      <w:r w:rsidR="00E65203" w:rsidRPr="00F07DFE">
        <w:rPr>
          <w:lang w:eastAsia="ja-JP"/>
        </w:rPr>
        <w:t xml:space="preserve">be used for assessing essentially derived varieties (EDVs). The TWM agreed to invite </w:t>
      </w:r>
      <w:r w:rsidR="00E65203">
        <w:rPr>
          <w:lang w:eastAsia="ja-JP"/>
        </w:rPr>
        <w:t xml:space="preserve">the expert from </w:t>
      </w:r>
      <w:r w:rsidR="00E65203" w:rsidRPr="00F07DFE">
        <w:rPr>
          <w:lang w:eastAsia="ja-JP"/>
        </w:rPr>
        <w:t>China to report developments at its fourth session.</w:t>
      </w:r>
    </w:p>
    <w:p w14:paraId="4EE8F1BC" w14:textId="77777777" w:rsidR="00E65203" w:rsidRPr="006B698D" w:rsidRDefault="00E65203" w:rsidP="00E65203">
      <w:pPr>
        <w:pStyle w:val="ListParagraph"/>
        <w:ind w:left="0"/>
        <w:jc w:val="both"/>
      </w:pPr>
    </w:p>
    <w:p w14:paraId="598EA6C4" w14:textId="77777777" w:rsidR="00E65203" w:rsidRPr="007B317A" w:rsidRDefault="00E65203" w:rsidP="00EF24D5">
      <w:pPr>
        <w:pStyle w:val="Heading3"/>
        <w:keepLines/>
      </w:pPr>
      <w:bookmarkStart w:id="52" w:name="_Toc210139313"/>
      <w:r w:rsidRPr="007B317A">
        <w:t>PAD – an algorithm for progeny-ancestor detection based on genetic profiles</w:t>
      </w:r>
      <w:bookmarkEnd w:id="52"/>
    </w:p>
    <w:p w14:paraId="50A09581" w14:textId="77777777" w:rsidR="00E65203" w:rsidRPr="006B698D" w:rsidRDefault="00E65203" w:rsidP="00EF24D5">
      <w:pPr>
        <w:keepNext/>
        <w:keepLines/>
      </w:pPr>
    </w:p>
    <w:p w14:paraId="3B9449B5" w14:textId="7E4C3DF7" w:rsidR="00E65203" w:rsidRPr="006B698D" w:rsidRDefault="00BF7C58" w:rsidP="00BF7C58">
      <w:pPr>
        <w:keepNext/>
        <w:keepLines/>
      </w:pPr>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r</w:t>
      </w:r>
      <w:r w:rsidR="00E65203" w:rsidRPr="006B698D">
        <w:t xml:space="preserve">. Emerson Limberger, International Seed Federation (ISF), on “PAD – an algorithm for progeny-ancestor detection based on genetic profiles”,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17</w:t>
      </w:r>
      <w:r w:rsidR="00E65203" w:rsidRPr="006B698D">
        <w:t xml:space="preserve">.  </w:t>
      </w:r>
    </w:p>
    <w:p w14:paraId="42DC8869" w14:textId="77777777" w:rsidR="00E65203" w:rsidRPr="006B698D" w:rsidRDefault="00E65203" w:rsidP="00E65203">
      <w:pPr>
        <w:pStyle w:val="ListParagraph"/>
        <w:ind w:left="0"/>
        <w:jc w:val="both"/>
      </w:pPr>
    </w:p>
    <w:p w14:paraId="2169EDF3" w14:textId="1238D85B" w:rsidR="00E65203" w:rsidRPr="00F07DFE" w:rsidRDefault="00BF7C58" w:rsidP="00BF7C58">
      <w:r w:rsidRPr="00F07B06">
        <w:fldChar w:fldCharType="begin"/>
      </w:r>
      <w:r w:rsidRPr="00F07B06">
        <w:instrText xml:space="preserve"> AUTONUM  </w:instrText>
      </w:r>
      <w:r w:rsidRPr="00F07B06">
        <w:fldChar w:fldCharType="end"/>
      </w:r>
      <w:r w:rsidRPr="00F07B06">
        <w:tab/>
      </w:r>
      <w:r w:rsidR="00E65203" w:rsidRPr="00F61621">
        <w:t>The TWM noted that MNP ma</w:t>
      </w:r>
      <w:r w:rsidR="00E65203">
        <w:rPr>
          <w:rFonts w:hint="eastAsia"/>
          <w:lang w:eastAsia="ja-JP"/>
        </w:rPr>
        <w:t>r</w:t>
      </w:r>
      <w:r w:rsidR="00E65203" w:rsidRPr="00F61621">
        <w:t xml:space="preserve">kers would provide better results, but in the </w:t>
      </w:r>
      <w:r w:rsidR="00E65203">
        <w:rPr>
          <w:rFonts w:hint="eastAsia"/>
          <w:lang w:eastAsia="ja-JP"/>
        </w:rPr>
        <w:t>absence</w:t>
      </w:r>
      <w:r w:rsidR="00E65203" w:rsidRPr="00F61621">
        <w:t xml:space="preserve"> of MNP markers, genetic tags based on recombination blocks could be used as alternative, although further testing was necessary. </w:t>
      </w:r>
      <w:r w:rsidR="00E65203">
        <w:t xml:space="preserve"> </w:t>
      </w:r>
      <w:r w:rsidR="00E65203" w:rsidRPr="00F61621">
        <w:t>The TWM noted that a test version of the algorithm would be made available for interested experts.</w:t>
      </w:r>
    </w:p>
    <w:p w14:paraId="77DA59E4" w14:textId="77777777" w:rsidR="00E65203" w:rsidRPr="006B698D" w:rsidRDefault="00E65203" w:rsidP="00E65203"/>
    <w:p w14:paraId="0EB77F22" w14:textId="77777777" w:rsidR="00E65203" w:rsidRPr="007B317A" w:rsidRDefault="00E65203" w:rsidP="00EF24D5">
      <w:pPr>
        <w:pStyle w:val="Heading3"/>
      </w:pPr>
      <w:bookmarkStart w:id="53" w:name="_Toc210139314"/>
      <w:proofErr w:type="spellStart"/>
      <w:r w:rsidRPr="007B317A">
        <w:lastRenderedPageBreak/>
        <w:t>DurdusTools</w:t>
      </w:r>
      <w:proofErr w:type="spellEnd"/>
      <w:r w:rsidRPr="007B317A">
        <w:t>: Current state and use in DUS-testing</w:t>
      </w:r>
      <w:bookmarkEnd w:id="53"/>
    </w:p>
    <w:p w14:paraId="30950635" w14:textId="77777777" w:rsidR="00E65203" w:rsidRPr="006B698D" w:rsidRDefault="00E65203" w:rsidP="00E65203"/>
    <w:p w14:paraId="601BE456" w14:textId="0CE5E27A" w:rsidR="00E65203" w:rsidRPr="006B698D" w:rsidRDefault="00BF7C58" w:rsidP="00BF7C58">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s</w:t>
      </w:r>
      <w:r w:rsidR="00E65203" w:rsidRPr="006B698D">
        <w:t>. Alexandra Ribarits (</w:t>
      </w:r>
      <w:r w:rsidR="00E65203" w:rsidRPr="006B698D">
        <w:rPr>
          <w:rFonts w:hint="eastAsia"/>
          <w:lang w:eastAsia="ja-JP"/>
        </w:rPr>
        <w:t>Austria</w:t>
      </w:r>
      <w:r w:rsidR="00E65203" w:rsidRPr="006B698D">
        <w:t>), on “</w:t>
      </w:r>
      <w:proofErr w:type="spellStart"/>
      <w:r w:rsidR="00E65203" w:rsidRPr="006B698D">
        <w:t>DurdusTools</w:t>
      </w:r>
      <w:proofErr w:type="spellEnd"/>
      <w:r w:rsidR="00E65203" w:rsidRPr="006B698D">
        <w:t xml:space="preserve">: Current state and use in DUS-testing”,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21</w:t>
      </w:r>
      <w:r w:rsidR="00E65203" w:rsidRPr="006B698D">
        <w:t xml:space="preserve">. </w:t>
      </w:r>
    </w:p>
    <w:p w14:paraId="2913A337" w14:textId="77777777" w:rsidR="00E65203" w:rsidRPr="006B698D" w:rsidRDefault="00E65203" w:rsidP="00E65203">
      <w:pPr>
        <w:pStyle w:val="ListParagraph"/>
        <w:ind w:left="0"/>
        <w:jc w:val="both"/>
      </w:pPr>
    </w:p>
    <w:p w14:paraId="71694500" w14:textId="16EF31A2" w:rsidR="00E65203" w:rsidRPr="00F07DFE" w:rsidRDefault="00BF7C58" w:rsidP="00BF7C58">
      <w:r w:rsidRPr="00F07B06">
        <w:fldChar w:fldCharType="begin"/>
      </w:r>
      <w:r w:rsidRPr="00F07B06">
        <w:instrText xml:space="preserve"> AUTONUM  </w:instrText>
      </w:r>
      <w:r w:rsidRPr="00F07B06">
        <w:fldChar w:fldCharType="end"/>
      </w:r>
      <w:r w:rsidRPr="00F07B06">
        <w:tab/>
      </w:r>
      <w:r w:rsidR="00E65203" w:rsidRPr="00F07DFE">
        <w:rPr>
          <w:lang w:eastAsia="ja-JP"/>
        </w:rPr>
        <w:t xml:space="preserve">The TWM noted the use of </w:t>
      </w:r>
      <w:proofErr w:type="spellStart"/>
      <w:r w:rsidR="00E65203" w:rsidRPr="00F07DFE">
        <w:t>DurdusTools</w:t>
      </w:r>
      <w:proofErr w:type="spellEnd"/>
      <w:r w:rsidR="00E65203" w:rsidRPr="00F07DFE">
        <w:rPr>
          <w:lang w:eastAsia="ja-JP"/>
        </w:rPr>
        <w:t xml:space="preserve"> </w:t>
      </w:r>
      <w:r w:rsidR="00E65203">
        <w:rPr>
          <w:lang w:eastAsia="ja-JP"/>
        </w:rPr>
        <w:t xml:space="preserve">calculating </w:t>
      </w:r>
      <w:r w:rsidR="00E65203" w:rsidRPr="00F07DFE">
        <w:rPr>
          <w:lang w:eastAsia="ja-JP"/>
        </w:rPr>
        <w:t>genetic distances in</w:t>
      </w:r>
      <w:r w:rsidR="00E65203">
        <w:rPr>
          <w:lang w:eastAsia="ja-JP"/>
        </w:rPr>
        <w:t xml:space="preserve"> support of</w:t>
      </w:r>
      <w:r w:rsidR="00E65203" w:rsidRPr="00F07DFE">
        <w:rPr>
          <w:lang w:eastAsia="ja-JP"/>
        </w:rPr>
        <w:t xml:space="preserve"> routine </w:t>
      </w:r>
      <w:r w:rsidR="00E65203">
        <w:rPr>
          <w:lang w:eastAsia="ja-JP"/>
        </w:rPr>
        <w:t>DUS examination of</w:t>
      </w:r>
      <w:r w:rsidR="00E65203" w:rsidRPr="00F07DFE">
        <w:rPr>
          <w:lang w:eastAsia="ja-JP"/>
        </w:rPr>
        <w:t xml:space="preserve"> the participation authorities since 2024. The TWM noted that </w:t>
      </w:r>
      <w:r w:rsidR="00E65203">
        <w:rPr>
          <w:lang w:eastAsia="ja-JP"/>
        </w:rPr>
        <w:t xml:space="preserve">the </w:t>
      </w:r>
      <w:r w:rsidR="00E65203" w:rsidRPr="00F07DFE">
        <w:rPr>
          <w:lang w:eastAsia="ja-JP"/>
        </w:rPr>
        <w:t xml:space="preserve">participating authorities </w:t>
      </w:r>
      <w:r w:rsidR="00E65203">
        <w:rPr>
          <w:lang w:eastAsia="ja-JP"/>
        </w:rPr>
        <w:t>covered</w:t>
      </w:r>
      <w:r w:rsidR="00E65203" w:rsidRPr="00F07DFE">
        <w:rPr>
          <w:lang w:eastAsia="ja-JP"/>
        </w:rPr>
        <w:t xml:space="preserve"> the </w:t>
      </w:r>
      <w:r w:rsidR="00E65203">
        <w:rPr>
          <w:lang w:eastAsia="ja-JP"/>
        </w:rPr>
        <w:t xml:space="preserve">operational </w:t>
      </w:r>
      <w:r w:rsidR="00E65203" w:rsidRPr="00F07DFE">
        <w:rPr>
          <w:lang w:eastAsia="ja-JP"/>
        </w:rPr>
        <w:t>costs</w:t>
      </w:r>
      <w:r w:rsidR="00E65203">
        <w:rPr>
          <w:lang w:eastAsia="ja-JP"/>
        </w:rPr>
        <w:t>, including</w:t>
      </w:r>
      <w:r w:rsidR="00E65203" w:rsidRPr="00F07DFE">
        <w:rPr>
          <w:lang w:eastAsia="ja-JP"/>
        </w:rPr>
        <w:t xml:space="preserve"> database maintenance and molecular data generation.</w:t>
      </w:r>
    </w:p>
    <w:p w14:paraId="6E8910E6" w14:textId="77777777" w:rsidR="00E65203" w:rsidRPr="006B698D" w:rsidRDefault="00E65203" w:rsidP="00E65203">
      <w:pPr>
        <w:pStyle w:val="ListParagraph"/>
        <w:ind w:left="0"/>
        <w:jc w:val="both"/>
      </w:pPr>
    </w:p>
    <w:p w14:paraId="1B5A4A28" w14:textId="77777777" w:rsidR="00E65203" w:rsidRPr="007B317A" w:rsidRDefault="00E65203" w:rsidP="00EF24D5">
      <w:pPr>
        <w:pStyle w:val="Heading3"/>
      </w:pPr>
      <w:bookmarkStart w:id="54" w:name="_Toc210139315"/>
      <w:r w:rsidRPr="007B317A">
        <w:t>Development of DUS phenotyping tools for and with examination offices: experience gained</w:t>
      </w:r>
      <w:bookmarkEnd w:id="54"/>
    </w:p>
    <w:p w14:paraId="71DBAB15" w14:textId="77777777" w:rsidR="00E65203" w:rsidRPr="006B698D" w:rsidRDefault="00E65203" w:rsidP="00E65203"/>
    <w:p w14:paraId="133F3A92" w14:textId="3075F175" w:rsidR="00E65203" w:rsidRPr="006B698D" w:rsidRDefault="00BF7C58" w:rsidP="00BF7C58">
      <w:r w:rsidRPr="00F07B06">
        <w:fldChar w:fldCharType="begin"/>
      </w:r>
      <w:r w:rsidRPr="00F07B06">
        <w:instrText xml:space="preserve"> AUTONUM  </w:instrText>
      </w:r>
      <w:r w:rsidRPr="00F07B06">
        <w:fldChar w:fldCharType="end"/>
      </w:r>
      <w:r w:rsidRPr="00F07B06">
        <w:tab/>
      </w:r>
      <w:r w:rsidR="00E65203" w:rsidRPr="006B698D">
        <w:t xml:space="preserve">The TWM received a presentation from Mr. Joseph Peller </w:t>
      </w:r>
      <w:r w:rsidR="00E65203" w:rsidRPr="006B698D">
        <w:rPr>
          <w:lang w:eastAsia="ja-JP"/>
        </w:rPr>
        <w:t>(Netherlands (Kingdom of the)</w:t>
      </w:r>
      <w:r w:rsidR="00E65203" w:rsidRPr="006B698D">
        <w:rPr>
          <w:rFonts w:hint="eastAsia"/>
          <w:lang w:eastAsia="ja-JP"/>
        </w:rPr>
        <w:t>)</w:t>
      </w:r>
      <w:r w:rsidR="00E65203" w:rsidRPr="006B698D">
        <w:t xml:space="preserve">, on “Development of DUS phenotyping tools for and with examination offices: experience gained”,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/2</w:t>
      </w:r>
      <w:r w:rsidR="00E65203" w:rsidRPr="006B698D">
        <w:rPr>
          <w:rFonts w:hint="eastAsia"/>
          <w:lang w:eastAsia="ja-JP"/>
        </w:rPr>
        <w:t>7</w:t>
      </w:r>
      <w:r w:rsidR="00E65203" w:rsidRPr="006B698D">
        <w:t xml:space="preserve">.  </w:t>
      </w:r>
    </w:p>
    <w:p w14:paraId="7BB6A2EA" w14:textId="77777777" w:rsidR="00E65203" w:rsidRPr="00C734D5" w:rsidRDefault="00E65203" w:rsidP="00E65203">
      <w:pPr>
        <w:rPr>
          <w:rFonts w:eastAsia="Times New Roman"/>
          <w:kern w:val="2"/>
        </w:rPr>
      </w:pPr>
    </w:p>
    <w:p w14:paraId="2894EDD6" w14:textId="085D35DF" w:rsidR="00E65203" w:rsidRPr="001953D1" w:rsidRDefault="00BF7C58" w:rsidP="00BF7C58">
      <w:r w:rsidRPr="00F07B06">
        <w:fldChar w:fldCharType="begin"/>
      </w:r>
      <w:r w:rsidRPr="00F07B06">
        <w:instrText xml:space="preserve"> AUTONUM  </w:instrText>
      </w:r>
      <w:r w:rsidRPr="00F07B06">
        <w:fldChar w:fldCharType="end"/>
      </w:r>
      <w:r w:rsidRPr="00F07B06">
        <w:tab/>
      </w:r>
      <w:proofErr w:type="gramStart"/>
      <w:r w:rsidR="00E65203" w:rsidRPr="00F07DFE">
        <w:t>The TWM</w:t>
      </w:r>
      <w:proofErr w:type="gramEnd"/>
      <w:r w:rsidR="00E65203" w:rsidRPr="00F07DFE">
        <w:t xml:space="preserve"> noted </w:t>
      </w:r>
      <w:r w:rsidR="00E65203" w:rsidRPr="00BF7C58">
        <w:rPr>
          <w:rFonts w:eastAsia="Times New Roman"/>
          <w:kern w:val="2"/>
        </w:rPr>
        <w:t xml:space="preserve">the availability of a mobile phone application prototype to assess volume and shape ratios of fruits, for images captured from a </w:t>
      </w:r>
      <w:proofErr w:type="gramStart"/>
      <w:r w:rsidR="00E65203" w:rsidRPr="00BF7C58">
        <w:rPr>
          <w:rFonts w:eastAsia="Times New Roman"/>
          <w:kern w:val="2"/>
        </w:rPr>
        <w:t>top down</w:t>
      </w:r>
      <w:proofErr w:type="gramEnd"/>
      <w:r w:rsidR="00E65203" w:rsidRPr="00BF7C58">
        <w:rPr>
          <w:rFonts w:eastAsia="Times New Roman"/>
          <w:kern w:val="2"/>
        </w:rPr>
        <w:t xml:space="preserve"> perspective.  </w:t>
      </w:r>
      <w:r w:rsidR="00E65203" w:rsidRPr="00F07DFE">
        <w:rPr>
          <w:lang w:eastAsia="ja-JP"/>
        </w:rPr>
        <w:t>The TWM noted</w:t>
      </w:r>
      <w:r w:rsidR="00E65203" w:rsidRPr="00BF7C58">
        <w:rPr>
          <w:rFonts w:eastAsia="Times New Roman"/>
          <w:kern w:val="2"/>
        </w:rPr>
        <w:t xml:space="preserve"> that the programming code for the application was open source and available at GitHub.  </w:t>
      </w:r>
      <w:proofErr w:type="gramStart"/>
      <w:r w:rsidR="00E65203" w:rsidRPr="00BF7C58">
        <w:rPr>
          <w:rFonts w:eastAsia="Times New Roman"/>
          <w:kern w:val="2"/>
        </w:rPr>
        <w:t>The TWM</w:t>
      </w:r>
      <w:proofErr w:type="gramEnd"/>
      <w:r w:rsidR="00E65203" w:rsidRPr="00BF7C58">
        <w:rPr>
          <w:rFonts w:eastAsia="Times New Roman"/>
          <w:kern w:val="2"/>
        </w:rPr>
        <w:t xml:space="preserve"> noted the invitation for collaboration to further develop the application, in particular for stabilizing the mobile phone interface. The application and tutorial are available at: </w:t>
      </w:r>
      <w:hyperlink r:id="rId19" w:history="1">
        <w:r w:rsidR="00E65203" w:rsidRPr="00BF7C58">
          <w:rPr>
            <w:rFonts w:eastAsia="Times New Roman"/>
            <w:color w:val="0000FF"/>
            <w:kern w:val="2"/>
            <w:u w:val="single"/>
          </w:rPr>
          <w:t>https://play.google.com/store/apps/details?id=com.wur.invite.morph_app&amp;hl=en-US</w:t>
        </w:r>
      </w:hyperlink>
      <w:r w:rsidR="00E65203" w:rsidRPr="00BF7C58">
        <w:rPr>
          <w:rFonts w:eastAsia="Times New Roman"/>
          <w:kern w:val="2"/>
        </w:rPr>
        <w:t xml:space="preserve">).  </w:t>
      </w:r>
    </w:p>
    <w:p w14:paraId="7474E3E9" w14:textId="77777777" w:rsidR="00E65203" w:rsidRPr="00C734D5" w:rsidRDefault="00E65203" w:rsidP="00E65203">
      <w:pPr>
        <w:rPr>
          <w:rFonts w:eastAsia="Times New Roman"/>
          <w:kern w:val="2"/>
        </w:rPr>
      </w:pPr>
    </w:p>
    <w:p w14:paraId="43585230" w14:textId="69B91E59" w:rsidR="00E65203" w:rsidRPr="005304A5" w:rsidRDefault="00BF7C58" w:rsidP="00BF7C58">
      <w:r w:rsidRPr="00F07B06">
        <w:fldChar w:fldCharType="begin"/>
      </w:r>
      <w:r w:rsidRPr="00F07B06">
        <w:instrText xml:space="preserve"> AUTONUM  </w:instrText>
      </w:r>
      <w:r w:rsidRPr="00F07B06">
        <w:fldChar w:fldCharType="end"/>
      </w:r>
      <w:r w:rsidRPr="00F07B06">
        <w:tab/>
      </w:r>
      <w:r w:rsidR="00E65203" w:rsidRPr="00BF7C58">
        <w:rPr>
          <w:rFonts w:eastAsia="Times New Roman"/>
          <w:kern w:val="2"/>
        </w:rPr>
        <w:t xml:space="preserve">The TWM agreed on the importance of applications for hand-held devices in support of increased efficiency in DUS examination. </w:t>
      </w:r>
    </w:p>
    <w:p w14:paraId="2E55CEAF" w14:textId="77777777" w:rsidR="00E65203" w:rsidRPr="006B698D" w:rsidRDefault="00E65203" w:rsidP="00E65203">
      <w:pPr>
        <w:pStyle w:val="ListParagraph"/>
        <w:ind w:left="0"/>
        <w:jc w:val="both"/>
      </w:pPr>
    </w:p>
    <w:p w14:paraId="2CE6E1D9" w14:textId="77777777" w:rsidR="00E65203" w:rsidRPr="007B317A" w:rsidRDefault="00E65203" w:rsidP="00EF24D5">
      <w:pPr>
        <w:pStyle w:val="Heading3"/>
      </w:pPr>
      <w:bookmarkStart w:id="55" w:name="_Toc210139316"/>
      <w:r w:rsidRPr="007B317A">
        <w:t>Phenotyping concept for strengthening the plant variety protection chain via combined use of IA&amp;AI</w:t>
      </w:r>
      <w:bookmarkEnd w:id="55"/>
    </w:p>
    <w:p w14:paraId="3073063E" w14:textId="77777777" w:rsidR="00E65203" w:rsidRPr="006B698D" w:rsidRDefault="00E65203" w:rsidP="00E65203">
      <w:pPr>
        <w:keepNext/>
      </w:pPr>
    </w:p>
    <w:p w14:paraId="47C34C25" w14:textId="52E791E9" w:rsidR="00E65203" w:rsidRPr="006B698D" w:rsidRDefault="00BF7C58" w:rsidP="00BF7C58">
      <w:pPr>
        <w:keepNext/>
      </w:pPr>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r</w:t>
      </w:r>
      <w:r w:rsidR="00E65203" w:rsidRPr="006B698D">
        <w:t xml:space="preserve">. Zsolt Szani, Hungary on “Phenotyping concept for strengthening the plant variety protection chain via combined use of </w:t>
      </w:r>
      <w:r w:rsidR="00E65203">
        <w:t>image analysis and artificial intelligence (IA&amp;AI)</w:t>
      </w:r>
      <w:r w:rsidR="00E65203" w:rsidRPr="006B698D">
        <w:t xml:space="preserve">”,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lang w:eastAsia="ja-JP"/>
        </w:rPr>
        <w:t>2</w:t>
      </w:r>
      <w:r w:rsidR="00E65203" w:rsidRPr="006B698D">
        <w:rPr>
          <w:rFonts w:hint="eastAsia"/>
          <w:lang w:eastAsia="ja-JP"/>
        </w:rPr>
        <w:t>8</w:t>
      </w:r>
      <w:r w:rsidR="00E65203" w:rsidRPr="006B698D">
        <w:t xml:space="preserve">.  </w:t>
      </w:r>
    </w:p>
    <w:p w14:paraId="2A4CF631" w14:textId="77777777" w:rsidR="00E65203" w:rsidRPr="006B698D" w:rsidRDefault="00E65203" w:rsidP="00E65203">
      <w:pPr>
        <w:pStyle w:val="ListParagraph"/>
        <w:ind w:left="0"/>
        <w:jc w:val="both"/>
      </w:pPr>
    </w:p>
    <w:p w14:paraId="658D8BF7" w14:textId="0609D9F7" w:rsidR="00E65203" w:rsidRPr="00F07DFE" w:rsidRDefault="00BF7C58" w:rsidP="00BF7C58">
      <w:pPr>
        <w:rPr>
          <w:lang w:eastAsia="ja-JP"/>
        </w:rPr>
      </w:pPr>
      <w:r w:rsidRPr="00F07B06">
        <w:fldChar w:fldCharType="begin"/>
      </w:r>
      <w:r w:rsidRPr="00F07B06">
        <w:instrText xml:space="preserve"> AUTONUM  </w:instrText>
      </w:r>
      <w:r w:rsidRPr="00F07B06">
        <w:fldChar w:fldCharType="end"/>
      </w:r>
      <w:r w:rsidRPr="00F07B06">
        <w:tab/>
      </w:r>
      <w:proofErr w:type="gramStart"/>
      <w:r w:rsidR="00E65203" w:rsidRPr="00F07DFE">
        <w:t>The TWM</w:t>
      </w:r>
      <w:proofErr w:type="gramEnd"/>
      <w:r w:rsidR="00E65203" w:rsidRPr="00F07DFE">
        <w:t xml:space="preserve"> </w:t>
      </w:r>
      <w:r w:rsidR="00E65203" w:rsidRPr="00F07DFE">
        <w:rPr>
          <w:lang w:eastAsia="ja-JP"/>
        </w:rPr>
        <w:t xml:space="preserve">considered the use of algorithms </w:t>
      </w:r>
      <w:r w:rsidR="00E65203">
        <w:rPr>
          <w:lang w:eastAsia="ja-JP"/>
        </w:rPr>
        <w:t xml:space="preserve">for image analysis </w:t>
      </w:r>
      <w:r w:rsidR="00E65203" w:rsidRPr="00F07DFE">
        <w:rPr>
          <w:lang w:eastAsia="ja-JP"/>
        </w:rPr>
        <w:t xml:space="preserve">and agreed they should be described and validated. The TWM </w:t>
      </w:r>
      <w:r w:rsidR="00E65203">
        <w:rPr>
          <w:lang w:eastAsia="ja-JP"/>
        </w:rPr>
        <w:t>agreed</w:t>
      </w:r>
      <w:r w:rsidR="00E65203" w:rsidRPr="00F07DFE">
        <w:rPr>
          <w:lang w:eastAsia="ja-JP"/>
        </w:rPr>
        <w:t xml:space="preserve"> that the introduction of phenotyping tool</w:t>
      </w:r>
      <w:r w:rsidR="00E65203">
        <w:rPr>
          <w:lang w:eastAsia="ja-JP"/>
        </w:rPr>
        <w:t>s</w:t>
      </w:r>
      <w:r w:rsidR="00E65203" w:rsidRPr="00C70978">
        <w:rPr>
          <w:lang w:eastAsia="ja-JP"/>
        </w:rPr>
        <w:t xml:space="preserve"> </w:t>
      </w:r>
      <w:r w:rsidR="00E65203">
        <w:rPr>
          <w:lang w:eastAsia="ja-JP"/>
        </w:rPr>
        <w:t xml:space="preserve">in </w:t>
      </w:r>
      <w:r w:rsidR="00E65203" w:rsidRPr="00F07DFE">
        <w:rPr>
          <w:lang w:eastAsia="ja-JP"/>
        </w:rPr>
        <w:t xml:space="preserve">variety examination </w:t>
      </w:r>
      <w:r w:rsidR="00E65203" w:rsidRPr="627BC566">
        <w:rPr>
          <w:lang w:eastAsia="ja-JP"/>
        </w:rPr>
        <w:t>requires</w:t>
      </w:r>
      <w:r w:rsidR="00E65203" w:rsidRPr="00F07DFE">
        <w:rPr>
          <w:lang w:eastAsia="ja-JP"/>
        </w:rPr>
        <w:t xml:space="preserve"> sufficient amount </w:t>
      </w:r>
      <w:r w:rsidR="00E65203" w:rsidRPr="71785AA5">
        <w:rPr>
          <w:lang w:eastAsia="ja-JP"/>
        </w:rPr>
        <w:t xml:space="preserve">of </w:t>
      </w:r>
      <w:r w:rsidR="00E65203">
        <w:rPr>
          <w:lang w:eastAsia="ja-JP"/>
        </w:rPr>
        <w:t xml:space="preserve">variety </w:t>
      </w:r>
      <w:r w:rsidR="00E65203">
        <w:rPr>
          <w:rFonts w:hint="eastAsia"/>
          <w:lang w:eastAsia="ja-JP"/>
        </w:rPr>
        <w:t xml:space="preserve">data </w:t>
      </w:r>
      <w:r w:rsidR="00E65203">
        <w:rPr>
          <w:lang w:eastAsia="ja-JP"/>
        </w:rPr>
        <w:t xml:space="preserve">for training the algorithms and validation of the </w:t>
      </w:r>
      <w:r w:rsidR="00E65203" w:rsidRPr="00F07DFE">
        <w:rPr>
          <w:lang w:eastAsia="ja-JP"/>
        </w:rPr>
        <w:t>analysis</w:t>
      </w:r>
      <w:r w:rsidR="00E65203">
        <w:rPr>
          <w:lang w:eastAsia="ja-JP"/>
        </w:rPr>
        <w:t xml:space="preserve"> generated</w:t>
      </w:r>
      <w:r w:rsidR="00E65203" w:rsidRPr="00F07DFE">
        <w:rPr>
          <w:lang w:eastAsia="ja-JP"/>
        </w:rPr>
        <w:t>.</w:t>
      </w:r>
    </w:p>
    <w:p w14:paraId="023F7E97" w14:textId="77777777" w:rsidR="00E65203" w:rsidRPr="006B698D" w:rsidRDefault="00E65203" w:rsidP="00E65203">
      <w:pPr>
        <w:pStyle w:val="ListParagraph"/>
        <w:ind w:left="0"/>
        <w:jc w:val="both"/>
      </w:pPr>
    </w:p>
    <w:p w14:paraId="58E823FF" w14:textId="77777777" w:rsidR="00E65203" w:rsidRPr="007B317A" w:rsidRDefault="00E65203" w:rsidP="00EF24D5">
      <w:pPr>
        <w:pStyle w:val="Heading3"/>
      </w:pPr>
      <w:bookmarkStart w:id="56" w:name="_Toc210139317"/>
      <w:r w:rsidRPr="007B317A">
        <w:t>Use of DNA databases at Naktuinbouw to improve DUS work</w:t>
      </w:r>
      <w:bookmarkEnd w:id="56"/>
    </w:p>
    <w:p w14:paraId="5CB9CFDE" w14:textId="77777777" w:rsidR="00E65203" w:rsidRPr="006B698D" w:rsidRDefault="00E65203" w:rsidP="00E65203"/>
    <w:p w14:paraId="5F686D82" w14:textId="7A934AEA" w:rsidR="00E65203" w:rsidRDefault="00BF7C58" w:rsidP="00BF7C58">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s</w:t>
      </w:r>
      <w:r w:rsidR="00E65203" w:rsidRPr="006B698D">
        <w:t>. Cécile Marchenay</w:t>
      </w:r>
      <w:r w:rsidR="00E65203" w:rsidRPr="006B698D">
        <w:rPr>
          <w:rFonts w:hint="eastAsia"/>
        </w:rPr>
        <w:t xml:space="preserve"> </w:t>
      </w:r>
      <w:r w:rsidR="00E65203" w:rsidRPr="006B698D">
        <w:rPr>
          <w:lang w:eastAsia="ja-JP"/>
        </w:rPr>
        <w:t>(Netherlands (Kingdom of the)</w:t>
      </w:r>
      <w:r w:rsidR="00E65203" w:rsidRPr="006B698D">
        <w:rPr>
          <w:rFonts w:hint="eastAsia"/>
          <w:lang w:eastAsia="ja-JP"/>
        </w:rPr>
        <w:t>)</w:t>
      </w:r>
      <w:r w:rsidR="00E65203" w:rsidRPr="006B698D">
        <w:t xml:space="preserve"> on “Use of DNA databases at Naktuinbouw to improve DUS work”,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8</w:t>
      </w:r>
      <w:r w:rsidR="00E65203" w:rsidRPr="006B698D">
        <w:t>.</w:t>
      </w:r>
    </w:p>
    <w:p w14:paraId="443E09B7" w14:textId="50CDDF8D" w:rsidR="00E65203" w:rsidRDefault="00E65203" w:rsidP="00E65203">
      <w:pPr>
        <w:pStyle w:val="ListParagraph"/>
        <w:ind w:left="0"/>
        <w:jc w:val="both"/>
      </w:pPr>
    </w:p>
    <w:p w14:paraId="1B078421" w14:textId="10978CE3" w:rsidR="00E65203" w:rsidRPr="00DC735B" w:rsidRDefault="00BF7C58" w:rsidP="00BF7C58">
      <w:r w:rsidRPr="00F07B06">
        <w:fldChar w:fldCharType="begin"/>
      </w:r>
      <w:r w:rsidRPr="00F07B06">
        <w:instrText xml:space="preserve"> AUTONUM  </w:instrText>
      </w:r>
      <w:r w:rsidRPr="00F07B06">
        <w:fldChar w:fldCharType="end"/>
      </w:r>
      <w:r w:rsidRPr="00F07B06">
        <w:tab/>
      </w:r>
      <w:proofErr w:type="gramStart"/>
      <w:r w:rsidR="00E65203" w:rsidRPr="00DC735B">
        <w:t>The TWM</w:t>
      </w:r>
      <w:proofErr w:type="gramEnd"/>
      <w:r w:rsidR="00E65203" w:rsidRPr="00DC735B">
        <w:t xml:space="preserve"> discussed challenges and opportunities on the use of DNA-based information as the basis to optimize variety collections and the organization of growing trials.  The TWM discussed the use of DNA-based information to reduce the number of growing cycles for crops that would normally be examined in two growing trials.  </w:t>
      </w:r>
    </w:p>
    <w:p w14:paraId="0A64A6E1" w14:textId="77777777" w:rsidR="00E65203" w:rsidRPr="00DC735B" w:rsidRDefault="00E65203" w:rsidP="00E65203">
      <w:pPr>
        <w:pStyle w:val="ListParagraph"/>
        <w:ind w:left="0"/>
        <w:jc w:val="both"/>
      </w:pPr>
    </w:p>
    <w:p w14:paraId="5262C4C1" w14:textId="77777777" w:rsidR="00E65203" w:rsidRPr="00DC735B" w:rsidRDefault="00E65203" w:rsidP="00EF24D5">
      <w:pPr>
        <w:pStyle w:val="Heading3"/>
      </w:pPr>
      <w:bookmarkStart w:id="57" w:name="_Toc210139318"/>
      <w:r w:rsidRPr="00DC735B">
        <w:t>Shared molecular database</w:t>
      </w:r>
      <w:bookmarkEnd w:id="57"/>
    </w:p>
    <w:p w14:paraId="3222F0BD" w14:textId="77777777" w:rsidR="00E65203" w:rsidRPr="00DC735B" w:rsidRDefault="00E65203" w:rsidP="00E65203"/>
    <w:p w14:paraId="017A4739" w14:textId="00F73A9A" w:rsidR="00E65203" w:rsidRPr="00DC735B" w:rsidRDefault="00BF7C58" w:rsidP="00BF7C58">
      <w:r w:rsidRPr="00F07B06">
        <w:fldChar w:fldCharType="begin"/>
      </w:r>
      <w:r w:rsidRPr="00F07B06">
        <w:instrText xml:space="preserve"> AUTONUM  </w:instrText>
      </w:r>
      <w:r w:rsidRPr="00F07B06">
        <w:fldChar w:fldCharType="end"/>
      </w:r>
      <w:r w:rsidRPr="00F07B06">
        <w:tab/>
      </w:r>
      <w:r w:rsidR="00E65203" w:rsidRPr="00DC735B">
        <w:t>The TWM received a presentation from M</w:t>
      </w:r>
      <w:r w:rsidR="00E65203" w:rsidRPr="00DC735B">
        <w:rPr>
          <w:rFonts w:hint="eastAsia"/>
          <w:lang w:eastAsia="ja-JP"/>
        </w:rPr>
        <w:t>r</w:t>
      </w:r>
      <w:r w:rsidR="00E65203" w:rsidRPr="00DC735B">
        <w:t>. Rene Mathis</w:t>
      </w:r>
      <w:r w:rsidR="00E65203" w:rsidRPr="00DC735B">
        <w:rPr>
          <w:rFonts w:hint="eastAsia"/>
          <w:lang w:eastAsia="ja-JP"/>
        </w:rPr>
        <w:t xml:space="preserve"> </w:t>
      </w:r>
      <w:r w:rsidR="00E65203" w:rsidRPr="00DC735B">
        <w:rPr>
          <w:lang w:eastAsia="ja-JP"/>
        </w:rPr>
        <w:t>(</w:t>
      </w:r>
      <w:r w:rsidR="00E65203" w:rsidRPr="00DC735B">
        <w:rPr>
          <w:rFonts w:hint="eastAsia"/>
          <w:lang w:eastAsia="ja-JP"/>
        </w:rPr>
        <w:t>France)</w:t>
      </w:r>
      <w:r w:rsidR="00E65203" w:rsidRPr="00DC735B">
        <w:t xml:space="preserve"> on “Shared molecular database”, </w:t>
      </w:r>
      <w:r w:rsidR="00E65203" w:rsidRPr="00BF7C58">
        <w:rPr>
          <w:rFonts w:cs="Arial"/>
          <w:iCs/>
        </w:rPr>
        <w:t>a copy of which is provided in document </w:t>
      </w:r>
      <w:r w:rsidR="00E65203" w:rsidRPr="00DC735B">
        <w:t>TW</w:t>
      </w:r>
      <w:r w:rsidR="00E65203" w:rsidRPr="00DC735B">
        <w:rPr>
          <w:rFonts w:hint="eastAsia"/>
          <w:lang w:eastAsia="ja-JP"/>
        </w:rPr>
        <w:t>M</w:t>
      </w:r>
      <w:r w:rsidR="00E65203" w:rsidRPr="00DC735B">
        <w:t>/</w:t>
      </w:r>
      <w:r w:rsidR="00E65203" w:rsidRPr="00DC735B">
        <w:rPr>
          <w:rFonts w:hint="eastAsia"/>
          <w:lang w:eastAsia="ja-JP"/>
        </w:rPr>
        <w:t>3</w:t>
      </w:r>
      <w:r w:rsidR="00E65203" w:rsidRPr="00DC735B">
        <w:t>/</w:t>
      </w:r>
      <w:r w:rsidR="00E65203" w:rsidRPr="00DC735B">
        <w:rPr>
          <w:rFonts w:hint="eastAsia"/>
          <w:lang w:eastAsia="ja-JP"/>
        </w:rPr>
        <w:t>23</w:t>
      </w:r>
      <w:r w:rsidR="00E65203" w:rsidRPr="00DC735B">
        <w:t xml:space="preserve">.  </w:t>
      </w:r>
    </w:p>
    <w:p w14:paraId="4B0B10E6" w14:textId="77777777" w:rsidR="00E65203" w:rsidRPr="00DC735B" w:rsidRDefault="00E65203" w:rsidP="00E65203">
      <w:pPr>
        <w:pStyle w:val="ListParagraph"/>
        <w:ind w:left="0"/>
        <w:jc w:val="both"/>
      </w:pPr>
    </w:p>
    <w:p w14:paraId="0294346E" w14:textId="19570619" w:rsidR="00E65203" w:rsidRPr="00DC735B" w:rsidRDefault="00BF7C58" w:rsidP="00BF7C58">
      <w:r w:rsidRPr="00F07B06">
        <w:fldChar w:fldCharType="begin"/>
      </w:r>
      <w:r w:rsidRPr="00F07B06">
        <w:instrText xml:space="preserve"> AUTONUM  </w:instrText>
      </w:r>
      <w:r w:rsidRPr="00F07B06">
        <w:fldChar w:fldCharType="end"/>
      </w:r>
      <w:r w:rsidRPr="00F07B06">
        <w:tab/>
      </w:r>
      <w:r w:rsidR="00E65203" w:rsidRPr="00DC735B">
        <w:rPr>
          <w:lang w:eastAsia="ja-JP"/>
        </w:rPr>
        <w:t xml:space="preserve">The TWM agreed on the usefulness of shared databases and </w:t>
      </w:r>
      <w:r w:rsidR="00E65203" w:rsidRPr="00DC735B">
        <w:t xml:space="preserve">noted </w:t>
      </w:r>
      <w:r w:rsidR="00E65203" w:rsidRPr="00DC735B">
        <w:rPr>
          <w:lang w:eastAsia="ja-JP"/>
        </w:rPr>
        <w:t xml:space="preserve">the plans for shared databases in the European Union. </w:t>
      </w:r>
    </w:p>
    <w:p w14:paraId="593B0C23" w14:textId="6A57DF79" w:rsidR="00E65203" w:rsidRPr="00DC2B85" w:rsidRDefault="00E65203" w:rsidP="00DC2B85">
      <w:pPr>
        <w:pStyle w:val="ListParagraph"/>
        <w:ind w:left="0"/>
        <w:jc w:val="both"/>
        <w:rPr>
          <w:rFonts w:eastAsiaTheme="minorEastAsia"/>
          <w:lang w:eastAsia="ja-JP"/>
        </w:rPr>
      </w:pPr>
      <w:r w:rsidRPr="006B698D">
        <w:t xml:space="preserve"> </w:t>
      </w:r>
    </w:p>
    <w:p w14:paraId="494D7993" w14:textId="77777777" w:rsidR="00E65203" w:rsidRPr="00E22752" w:rsidRDefault="00E65203" w:rsidP="00EF24D5">
      <w:pPr>
        <w:pStyle w:val="Heading2"/>
      </w:pPr>
      <w:bookmarkStart w:id="58" w:name="_Toc210139319"/>
      <w:r w:rsidRPr="00E22752">
        <w:t>The use of molecular techniques in the assessment of essential derivation</w:t>
      </w:r>
      <w:bookmarkEnd w:id="58"/>
    </w:p>
    <w:p w14:paraId="3C3DD498" w14:textId="77777777" w:rsidR="00E65203" w:rsidRPr="00E22752" w:rsidRDefault="00E65203" w:rsidP="00E65203"/>
    <w:p w14:paraId="2B119D0B" w14:textId="77777777" w:rsidR="00E65203" w:rsidRPr="007B317A" w:rsidRDefault="00E65203" w:rsidP="00EF24D5">
      <w:pPr>
        <w:pStyle w:val="Heading3"/>
      </w:pPr>
      <w:bookmarkStart w:id="59" w:name="_Hlk198890312"/>
      <w:bookmarkStart w:id="60" w:name="_Toc210139320"/>
      <w:r w:rsidRPr="007B317A">
        <w:t>Exploration</w:t>
      </w:r>
      <w:bookmarkEnd w:id="59"/>
      <w:r w:rsidRPr="007B317A">
        <w:t xml:space="preserve"> of identification techniques based on SNP markers for essentially derived varieties of wheat</w:t>
      </w:r>
      <w:bookmarkEnd w:id="60"/>
    </w:p>
    <w:p w14:paraId="5DC26FF5" w14:textId="77777777" w:rsidR="00E65203" w:rsidRPr="00E22752" w:rsidRDefault="00E65203" w:rsidP="00E65203"/>
    <w:p w14:paraId="074DF65B" w14:textId="31CDD97A"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The TWM received a presentation from M</w:t>
      </w:r>
      <w:r w:rsidR="00E65203" w:rsidRPr="00E22752">
        <w:rPr>
          <w:rFonts w:hint="eastAsia"/>
          <w:lang w:eastAsia="ja-JP"/>
        </w:rPr>
        <w:t>s</w:t>
      </w:r>
      <w:r w:rsidR="00E65203" w:rsidRPr="00E22752">
        <w:t xml:space="preserve">. </w:t>
      </w:r>
      <w:proofErr w:type="spellStart"/>
      <w:r w:rsidR="00E65203" w:rsidRPr="00E22752">
        <w:t>Binshuang</w:t>
      </w:r>
      <w:proofErr w:type="spellEnd"/>
      <w:r w:rsidR="00E65203" w:rsidRPr="00E22752">
        <w:t xml:space="preserve"> Pang</w:t>
      </w:r>
      <w:r w:rsidR="00E65203" w:rsidRPr="00E22752">
        <w:rPr>
          <w:rFonts w:hint="eastAsia"/>
        </w:rPr>
        <w:t xml:space="preserve"> </w:t>
      </w:r>
      <w:r w:rsidR="00E65203" w:rsidRPr="00E22752">
        <w:rPr>
          <w:lang w:eastAsia="ja-JP"/>
        </w:rPr>
        <w:t>(</w:t>
      </w:r>
      <w:r w:rsidR="00E65203" w:rsidRPr="00E22752">
        <w:rPr>
          <w:rFonts w:hint="eastAsia"/>
          <w:lang w:eastAsia="ja-JP"/>
        </w:rPr>
        <w:t>China)</w:t>
      </w:r>
      <w:r w:rsidR="00E65203" w:rsidRPr="00E22752">
        <w:t xml:space="preserve"> on “Exploration of identification techniques based on SNP markers for essentially derived varieties of wheat”, </w:t>
      </w:r>
      <w:r w:rsidR="00E65203" w:rsidRPr="00BF7C58">
        <w:rPr>
          <w:rFonts w:cs="Arial"/>
          <w:iCs/>
        </w:rPr>
        <w:t>a copy of which is provided in document </w:t>
      </w:r>
      <w:r w:rsidR="00E65203" w:rsidRPr="00E22752">
        <w:t>TW</w:t>
      </w:r>
      <w:r w:rsidR="00E65203" w:rsidRPr="00E22752">
        <w:rPr>
          <w:rFonts w:hint="eastAsia"/>
          <w:lang w:eastAsia="ja-JP"/>
        </w:rPr>
        <w:t>M</w:t>
      </w:r>
      <w:r w:rsidR="00E65203" w:rsidRPr="00E22752">
        <w:t>/</w:t>
      </w:r>
      <w:r w:rsidR="00E65203" w:rsidRPr="00E22752">
        <w:rPr>
          <w:rFonts w:hint="eastAsia"/>
          <w:lang w:eastAsia="ja-JP"/>
        </w:rPr>
        <w:t>3</w:t>
      </w:r>
      <w:r w:rsidR="00E65203" w:rsidRPr="00E22752">
        <w:t>/</w:t>
      </w:r>
      <w:r w:rsidR="00E65203" w:rsidRPr="00E22752">
        <w:rPr>
          <w:rFonts w:hint="eastAsia"/>
          <w:lang w:eastAsia="ja-JP"/>
        </w:rPr>
        <w:t>11</w:t>
      </w:r>
      <w:r w:rsidR="00E65203" w:rsidRPr="00E22752">
        <w:t>.</w:t>
      </w:r>
    </w:p>
    <w:p w14:paraId="54F0A732" w14:textId="77777777" w:rsidR="00E65203" w:rsidRPr="00E22752" w:rsidRDefault="00E65203" w:rsidP="00E65203">
      <w:pPr>
        <w:pStyle w:val="ListParagraph"/>
        <w:ind w:left="0"/>
        <w:jc w:val="both"/>
      </w:pPr>
    </w:p>
    <w:p w14:paraId="2F4B1476" w14:textId="7DD15A12"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343473">
        <w:t>The TWM noted the method for establishing a 92% threshold of predominant derivation using a</w:t>
      </w:r>
      <w:r w:rsidR="00E65203">
        <w:rPr>
          <w:rFonts w:hint="eastAsia"/>
          <w:lang w:eastAsia="ja-JP"/>
        </w:rPr>
        <w:t>t least</w:t>
      </w:r>
      <w:r w:rsidR="00E65203" w:rsidRPr="00343473">
        <w:t xml:space="preserve"> 20,000 SNP</w:t>
      </w:r>
      <w:r w:rsidR="00E65203">
        <w:rPr>
          <w:rFonts w:hint="eastAsia"/>
          <w:lang w:eastAsia="ja-JP"/>
        </w:rPr>
        <w:t>s</w:t>
      </w:r>
      <w:r w:rsidR="00E65203" w:rsidRPr="00343473">
        <w:t xml:space="preserve"> and commonly known essentially derived varieties (EDV) as the basis for the analysis.</w:t>
      </w:r>
    </w:p>
    <w:p w14:paraId="6E5CD0E6" w14:textId="77777777" w:rsidR="00E65203" w:rsidRPr="00E22752" w:rsidRDefault="00E65203" w:rsidP="00E65203">
      <w:pPr>
        <w:pStyle w:val="ListParagraph"/>
        <w:ind w:left="0"/>
        <w:jc w:val="both"/>
      </w:pPr>
    </w:p>
    <w:p w14:paraId="79C7062E" w14:textId="73B08257" w:rsidR="00E65203" w:rsidRPr="00E22752" w:rsidRDefault="00BF7C58" w:rsidP="00BF7C58">
      <w:r w:rsidRPr="00F07B06">
        <w:lastRenderedPageBreak/>
        <w:fldChar w:fldCharType="begin"/>
      </w:r>
      <w:r w:rsidRPr="00F07B06">
        <w:instrText xml:space="preserve"> AUTONUM  </w:instrText>
      </w:r>
      <w:r w:rsidRPr="00F07B06">
        <w:fldChar w:fldCharType="end"/>
      </w:r>
      <w:r w:rsidRPr="00F07B06">
        <w:tab/>
      </w:r>
      <w:r w:rsidR="00E65203" w:rsidRPr="00E22752">
        <w:t xml:space="preserve">The TWM agreed </w:t>
      </w:r>
      <w:r w:rsidR="00E65203" w:rsidRPr="00E22752">
        <w:rPr>
          <w:rFonts w:hint="eastAsia"/>
          <w:lang w:eastAsia="ja-JP"/>
        </w:rPr>
        <w:t xml:space="preserve">that </w:t>
      </w:r>
      <w:r w:rsidR="00E65203" w:rsidRPr="00E22752">
        <w:t xml:space="preserve">the variety selection method </w:t>
      </w:r>
      <w:proofErr w:type="gramStart"/>
      <w:r w:rsidR="00E65203" w:rsidRPr="00E22752">
        <w:t>utilized</w:t>
      </w:r>
      <w:proofErr w:type="gramEnd"/>
      <w:r w:rsidR="00E65203" w:rsidRPr="00E22752">
        <w:t xml:space="preserve"> and its pedigree were important elements for the assessment of essential derivation.  The TWM recalled the UPOV guidance in document UPOV/EXN/EDV/3 that a high degree of similarity alone did not automatically mean that a variety had been predominantly derived, such as in the case of convergent breeding.  </w:t>
      </w:r>
    </w:p>
    <w:p w14:paraId="63451203" w14:textId="77777777" w:rsidR="00E65203" w:rsidRPr="00E22752" w:rsidRDefault="00E65203" w:rsidP="00E65203">
      <w:pPr>
        <w:pStyle w:val="ListParagraph"/>
        <w:ind w:left="0"/>
        <w:jc w:val="both"/>
      </w:pPr>
    </w:p>
    <w:p w14:paraId="6BD0EE4E" w14:textId="52264BA5" w:rsidR="00E65203" w:rsidRDefault="00BF7C58" w:rsidP="00BF7C58">
      <w:r w:rsidRPr="00F07B06">
        <w:fldChar w:fldCharType="begin"/>
      </w:r>
      <w:r w:rsidRPr="00F07B06">
        <w:instrText xml:space="preserve"> AUTONUM  </w:instrText>
      </w:r>
      <w:r w:rsidRPr="00F07B06">
        <w:fldChar w:fldCharType="end"/>
      </w:r>
      <w:r w:rsidRPr="00F07B06">
        <w:tab/>
      </w:r>
      <w:proofErr w:type="gramStart"/>
      <w:r w:rsidR="00E65203" w:rsidRPr="00E22752">
        <w:t>The TWM</w:t>
      </w:r>
      <w:proofErr w:type="gramEnd"/>
      <w:r w:rsidR="00E65203" w:rsidRPr="00E22752">
        <w:t xml:space="preserve"> noted that the method described in the presentation was a recalibration using SNPs of a previously established threshold using SSR markers.</w:t>
      </w:r>
    </w:p>
    <w:p w14:paraId="495311C8" w14:textId="77777777" w:rsidR="00E65203" w:rsidRPr="006B698D" w:rsidRDefault="00E65203" w:rsidP="00E65203">
      <w:pPr>
        <w:pStyle w:val="ListParagraph"/>
        <w:ind w:left="0"/>
        <w:jc w:val="both"/>
      </w:pPr>
    </w:p>
    <w:p w14:paraId="12DE11C8" w14:textId="3892645B" w:rsidR="00E65203" w:rsidRPr="007B317A" w:rsidRDefault="00E65203" w:rsidP="00EF24D5">
      <w:pPr>
        <w:pStyle w:val="Heading3"/>
      </w:pPr>
      <w:bookmarkStart w:id="61" w:name="_Toc210139321"/>
      <w:r w:rsidRPr="007B317A">
        <w:t>Essentially derived varieties (EDV) threshold development in soybeans</w:t>
      </w:r>
      <w:bookmarkEnd w:id="61"/>
    </w:p>
    <w:p w14:paraId="6C5CDD40" w14:textId="77777777" w:rsidR="00E65203" w:rsidRPr="006B698D" w:rsidRDefault="00E65203" w:rsidP="00E65203">
      <w:pPr>
        <w:keepNext/>
      </w:pPr>
    </w:p>
    <w:p w14:paraId="41A0D7E9" w14:textId="115BFA41" w:rsidR="00E65203" w:rsidRDefault="00BF7C58" w:rsidP="00BF7C58">
      <w:pPr>
        <w:keepNext/>
      </w:pPr>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r</w:t>
      </w:r>
      <w:r w:rsidR="00E65203" w:rsidRPr="006B698D">
        <w:t xml:space="preserve">. Barry Nelson, International Seed Federation (ISF), on “Essentially derived varieties (EDV) threshold development in soybeans”,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9</w:t>
      </w:r>
      <w:r w:rsidR="00E65203" w:rsidRPr="006B698D">
        <w:t xml:space="preserve">. </w:t>
      </w:r>
    </w:p>
    <w:p w14:paraId="5287E2A1" w14:textId="77777777" w:rsidR="00E65203" w:rsidRDefault="00E65203" w:rsidP="00E65203">
      <w:pPr>
        <w:pStyle w:val="ListParagraph"/>
        <w:ind w:left="0"/>
        <w:jc w:val="both"/>
      </w:pPr>
    </w:p>
    <w:p w14:paraId="420E244A" w14:textId="40A4D24D"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04470C">
        <w:t>The TWM noted that the preliminary threshold would be evaluated by breeders involved in the study according to their current soybean development programs</w:t>
      </w:r>
      <w:r w:rsidR="00E65203">
        <w:t xml:space="preserve">; </w:t>
      </w:r>
      <w:r w:rsidR="00E65203" w:rsidRPr="0004470C">
        <w:t xml:space="preserve"> </w:t>
      </w:r>
      <w:r w:rsidR="00E65203">
        <w:t>i</w:t>
      </w:r>
      <w:r w:rsidR="00E65203" w:rsidRPr="0004470C">
        <w:t xml:space="preserve">f the threshold </w:t>
      </w:r>
      <w:r w:rsidR="00E65203">
        <w:t>was</w:t>
      </w:r>
      <w:r w:rsidR="00E65203" w:rsidRPr="0004470C">
        <w:t xml:space="preserve"> agreed upon, it would be shared with relevant seed associations for agreement and potential adoption.</w:t>
      </w:r>
      <w:r w:rsidR="00E65203" w:rsidRPr="00E22752">
        <w:rPr>
          <w:lang w:eastAsia="ja-JP"/>
        </w:rPr>
        <w:t xml:space="preserve">  </w:t>
      </w:r>
    </w:p>
    <w:p w14:paraId="3392F0A4" w14:textId="77777777" w:rsidR="00E65203" w:rsidRPr="00E22752" w:rsidRDefault="00E65203" w:rsidP="00E65203">
      <w:pPr>
        <w:pStyle w:val="ListParagraph"/>
        <w:ind w:left="0"/>
        <w:jc w:val="both"/>
      </w:pPr>
    </w:p>
    <w:p w14:paraId="2726A18A" w14:textId="4C1B7FA4" w:rsidR="00E65203" w:rsidRPr="00E22752" w:rsidRDefault="00BF7C58" w:rsidP="00BF7C58">
      <w:r w:rsidRPr="00F07B06">
        <w:fldChar w:fldCharType="begin"/>
      </w:r>
      <w:r w:rsidRPr="00F07B06">
        <w:instrText xml:space="preserve"> AUTONUM  </w:instrText>
      </w:r>
      <w:r w:rsidRPr="00F07B06">
        <w:fldChar w:fldCharType="end"/>
      </w:r>
      <w:r w:rsidRPr="00F07B06">
        <w:tab/>
      </w:r>
      <w:r w:rsidR="00E65203" w:rsidRPr="00E22752">
        <w:t xml:space="preserve">The TWM agreed on the importance of breeders’ contributions to determining thresholds and avoiding disputes on EDVs.  The TWM agreed that implementing a threshold would require looking at variety pedigrees and how to assess remaining criteria for determining essential derivation. </w:t>
      </w:r>
    </w:p>
    <w:p w14:paraId="100FFC6F" w14:textId="77777777" w:rsidR="00E65203" w:rsidRPr="006B698D" w:rsidRDefault="00E65203" w:rsidP="00E65203"/>
    <w:p w14:paraId="5053E4DF" w14:textId="77777777" w:rsidR="00E65203" w:rsidRPr="006B698D" w:rsidRDefault="00E65203" w:rsidP="00733A63">
      <w:pPr>
        <w:pStyle w:val="Heading2"/>
      </w:pPr>
      <w:bookmarkStart w:id="62" w:name="_Toc210139322"/>
      <w:r w:rsidRPr="006B698D">
        <w:t>The use of molecular techniques for enforcement</w:t>
      </w:r>
      <w:bookmarkEnd w:id="62"/>
    </w:p>
    <w:p w14:paraId="3D8021D8" w14:textId="77777777" w:rsidR="00E65203" w:rsidRPr="006B698D" w:rsidRDefault="00E65203" w:rsidP="00E65203"/>
    <w:p w14:paraId="779F2558" w14:textId="77777777" w:rsidR="00E65203" w:rsidRPr="007B317A" w:rsidRDefault="00E65203" w:rsidP="00EF24D5">
      <w:pPr>
        <w:pStyle w:val="Heading3"/>
      </w:pPr>
      <w:bookmarkStart w:id="63" w:name="_Toc210139323"/>
      <w:r w:rsidRPr="007B317A">
        <w:t>Use of DNA techniques for plant variety right (PBR) enforcement in Peru</w:t>
      </w:r>
      <w:bookmarkEnd w:id="63"/>
    </w:p>
    <w:p w14:paraId="2F68A4EB" w14:textId="77777777" w:rsidR="00E65203" w:rsidRPr="006B698D" w:rsidRDefault="00E65203" w:rsidP="00E65203"/>
    <w:p w14:paraId="5C8BA043" w14:textId="419CD96A" w:rsidR="00E65203" w:rsidRPr="006B698D" w:rsidRDefault="00BF7C58" w:rsidP="00BF7C58">
      <w:r w:rsidRPr="00F07B06">
        <w:fldChar w:fldCharType="begin"/>
      </w:r>
      <w:r w:rsidRPr="00F07B06">
        <w:instrText xml:space="preserve"> AUTONUM  </w:instrText>
      </w:r>
      <w:r w:rsidRPr="00F07B06">
        <w:fldChar w:fldCharType="end"/>
      </w:r>
      <w:r w:rsidRPr="00F07B06">
        <w:tab/>
      </w:r>
      <w:r w:rsidR="00E65203" w:rsidRPr="006B698D">
        <w:t>The TWM received a presentation from M</w:t>
      </w:r>
      <w:r w:rsidR="00E65203" w:rsidRPr="006B698D">
        <w:rPr>
          <w:rFonts w:hint="eastAsia"/>
          <w:lang w:eastAsia="ja-JP"/>
        </w:rPr>
        <w:t>r</w:t>
      </w:r>
      <w:r w:rsidR="00E65203" w:rsidRPr="006B698D">
        <w:t>. Diego F. Ortega Sanabria (</w:t>
      </w:r>
      <w:r w:rsidR="00E65203" w:rsidRPr="006B698D">
        <w:rPr>
          <w:rFonts w:hint="eastAsia"/>
          <w:lang w:eastAsia="ja-JP"/>
        </w:rPr>
        <w:t>Peru</w:t>
      </w:r>
      <w:r w:rsidR="00E65203" w:rsidRPr="006B698D">
        <w:t xml:space="preserve">) on “Use of DNA techniques for plant variety right (PBR) enforcement in Peru”, </w:t>
      </w:r>
      <w:r w:rsidR="00E65203" w:rsidRPr="00BF7C58">
        <w:rPr>
          <w:rFonts w:cs="Arial"/>
          <w:iCs/>
        </w:rPr>
        <w:t>a copy of which is provided in document </w:t>
      </w:r>
      <w:r w:rsidR="00E65203" w:rsidRPr="006B698D">
        <w:t>TW</w:t>
      </w:r>
      <w:r w:rsidR="00E65203" w:rsidRPr="006B698D">
        <w:rPr>
          <w:rFonts w:hint="eastAsia"/>
          <w:lang w:eastAsia="ja-JP"/>
        </w:rPr>
        <w:t>M</w:t>
      </w:r>
      <w:r w:rsidR="00E65203" w:rsidRPr="006B698D">
        <w:t>/</w:t>
      </w:r>
      <w:r w:rsidR="00E65203" w:rsidRPr="006B698D">
        <w:rPr>
          <w:rFonts w:hint="eastAsia"/>
          <w:lang w:eastAsia="ja-JP"/>
        </w:rPr>
        <w:t>3</w:t>
      </w:r>
      <w:r w:rsidR="00E65203" w:rsidRPr="006B698D">
        <w:t>/</w:t>
      </w:r>
      <w:r w:rsidR="00E65203" w:rsidRPr="006B698D">
        <w:rPr>
          <w:rFonts w:hint="eastAsia"/>
          <w:lang w:eastAsia="ja-JP"/>
        </w:rPr>
        <w:t>3</w:t>
      </w:r>
      <w:r w:rsidR="00E65203" w:rsidRPr="006B698D">
        <w:t xml:space="preserve">. </w:t>
      </w:r>
    </w:p>
    <w:p w14:paraId="739022D2" w14:textId="77777777" w:rsidR="00E65203" w:rsidRPr="006B698D" w:rsidRDefault="00E65203" w:rsidP="00E65203">
      <w:pPr>
        <w:pStyle w:val="ListParagraph"/>
        <w:ind w:left="0"/>
        <w:jc w:val="both"/>
      </w:pPr>
    </w:p>
    <w:p w14:paraId="7B94D57C" w14:textId="1F1F3787" w:rsidR="00E65203" w:rsidRPr="00DC735B" w:rsidRDefault="00BF7C58" w:rsidP="00BF7C58">
      <w:pPr>
        <w:ind w:left="-3"/>
        <w:rPr>
          <w:lang w:eastAsia="ja-JP"/>
        </w:rPr>
      </w:pPr>
      <w:r w:rsidRPr="00F07B06">
        <w:fldChar w:fldCharType="begin"/>
      </w:r>
      <w:r w:rsidRPr="00F07B06">
        <w:instrText xml:space="preserve"> AUTONUM  </w:instrText>
      </w:r>
      <w:r w:rsidRPr="00F07B06">
        <w:fldChar w:fldCharType="end"/>
      </w:r>
      <w:r w:rsidRPr="00F07B06">
        <w:tab/>
      </w:r>
      <w:r w:rsidR="00E65203" w:rsidRPr="00DC735B">
        <w:rPr>
          <w:lang w:eastAsia="ja-JP"/>
        </w:rPr>
        <w:t>The TWM noted the procedures in Peru for field inspection</w:t>
      </w:r>
      <w:r w:rsidR="00E65203" w:rsidRPr="00DC735B">
        <w:rPr>
          <w:rFonts w:hint="eastAsia"/>
          <w:lang w:eastAsia="ja-JP"/>
        </w:rPr>
        <w:t>s</w:t>
      </w:r>
      <w:r w:rsidR="00E65203" w:rsidRPr="00DC735B">
        <w:rPr>
          <w:lang w:eastAsia="ja-JP"/>
        </w:rPr>
        <w:t xml:space="preserve"> of infringement cases, including the role of the administrative authority to conduct field inspections and the existence of guidelines for DNA-based information.  The TWM noted that in Peru the plaintiff should demonstrate the specificity of the markers to be used identifying the protected variety.  </w:t>
      </w:r>
    </w:p>
    <w:p w14:paraId="17CEF85A" w14:textId="77777777" w:rsidR="00E65203" w:rsidRPr="00DC735B" w:rsidRDefault="00E65203" w:rsidP="00E65203">
      <w:pPr>
        <w:ind w:left="-3"/>
        <w:rPr>
          <w:lang w:eastAsia="ja-JP"/>
        </w:rPr>
      </w:pPr>
    </w:p>
    <w:p w14:paraId="7A1A435F" w14:textId="6201AC75" w:rsidR="00E65203" w:rsidRPr="00DC735B" w:rsidRDefault="00BF7C58" w:rsidP="00BF7C58">
      <w:pPr>
        <w:ind w:left="-3"/>
      </w:pPr>
      <w:r w:rsidRPr="00F07B06">
        <w:fldChar w:fldCharType="begin"/>
      </w:r>
      <w:r w:rsidRPr="00F07B06">
        <w:instrText xml:space="preserve"> AUTONUM  </w:instrText>
      </w:r>
      <w:r w:rsidRPr="00F07B06">
        <w:fldChar w:fldCharType="end"/>
      </w:r>
      <w:r w:rsidRPr="00F07B06">
        <w:tab/>
      </w:r>
      <w:r w:rsidR="00E65203" w:rsidRPr="00DC735B">
        <w:rPr>
          <w:lang w:eastAsia="ja-JP"/>
        </w:rPr>
        <w:t>The TWM noted the challenges reported in relation to enforcement on exported fruits due to the amount of time required for variety identification.  The TWM agreed that it was important to strengthen cooperation among authorities in UPOV members on enforcement matters.</w:t>
      </w:r>
    </w:p>
    <w:p w14:paraId="5C9799EF" w14:textId="77777777" w:rsidR="00E65203" w:rsidRPr="006B698D" w:rsidRDefault="00E65203" w:rsidP="00E65203">
      <w:pPr>
        <w:pStyle w:val="ListParagraph"/>
        <w:ind w:left="0"/>
        <w:jc w:val="both"/>
      </w:pPr>
      <w:r w:rsidRPr="006B698D">
        <w:t xml:space="preserve"> </w:t>
      </w:r>
    </w:p>
    <w:p w14:paraId="3EF93A92" w14:textId="77777777" w:rsidR="00E65203" w:rsidRPr="007B317A" w:rsidRDefault="00E65203" w:rsidP="00EF24D5">
      <w:pPr>
        <w:pStyle w:val="Heading3"/>
      </w:pPr>
      <w:bookmarkStart w:id="64" w:name="_Toc210139324"/>
      <w:r w:rsidRPr="007B317A">
        <w:t>Use of molecular markers as a tool to enforce plant variety right (PBR) in soybean in Uruguay</w:t>
      </w:r>
      <w:bookmarkEnd w:id="64"/>
    </w:p>
    <w:p w14:paraId="7A48B738" w14:textId="77777777" w:rsidR="00E65203" w:rsidRPr="006B698D" w:rsidRDefault="00E65203" w:rsidP="00E65203">
      <w:pPr>
        <w:pStyle w:val="ListParagraph"/>
        <w:ind w:left="0"/>
        <w:jc w:val="both"/>
      </w:pPr>
    </w:p>
    <w:p w14:paraId="52A9EAC9" w14:textId="23DBB592" w:rsidR="00E65203" w:rsidRPr="002A251E" w:rsidRDefault="00BF7C58" w:rsidP="00BF7C58">
      <w:r w:rsidRPr="00F07B06">
        <w:fldChar w:fldCharType="begin"/>
      </w:r>
      <w:r w:rsidRPr="00F07B06">
        <w:instrText xml:space="preserve"> AUTONUM  </w:instrText>
      </w:r>
      <w:r w:rsidRPr="00F07B06">
        <w:fldChar w:fldCharType="end"/>
      </w:r>
      <w:r w:rsidRPr="00F07B06">
        <w:tab/>
      </w:r>
      <w:r w:rsidR="00E65203" w:rsidRPr="002A251E">
        <w:t>The TWM received a presentation from M</w:t>
      </w:r>
      <w:r w:rsidR="00E65203" w:rsidRPr="002A251E">
        <w:rPr>
          <w:rFonts w:hint="eastAsia"/>
          <w:lang w:eastAsia="ja-JP"/>
        </w:rPr>
        <w:t>s</w:t>
      </w:r>
      <w:r w:rsidR="00E65203" w:rsidRPr="002A251E">
        <w:t>. V</w:t>
      </w:r>
      <w:r w:rsidR="00E65203">
        <w:rPr>
          <w:rFonts w:hint="eastAsia"/>
          <w:lang w:eastAsia="ja-JP"/>
        </w:rPr>
        <w:t>a</w:t>
      </w:r>
      <w:r w:rsidR="00E65203" w:rsidRPr="002A251E">
        <w:t>nessa Sosa and Ms. Pilar Zorilla</w:t>
      </w:r>
      <w:r w:rsidR="00E65203" w:rsidRPr="002A251E">
        <w:rPr>
          <w:rFonts w:hint="eastAsia"/>
          <w:lang w:eastAsia="ja-JP"/>
        </w:rPr>
        <w:t xml:space="preserve"> </w:t>
      </w:r>
      <w:r w:rsidR="00E65203" w:rsidRPr="002A251E">
        <w:rPr>
          <w:lang w:eastAsia="ja-JP"/>
        </w:rPr>
        <w:t>(</w:t>
      </w:r>
      <w:r w:rsidR="00E65203" w:rsidRPr="002A251E">
        <w:rPr>
          <w:rFonts w:hint="eastAsia"/>
          <w:lang w:eastAsia="ja-JP"/>
        </w:rPr>
        <w:t>Uruguay)</w:t>
      </w:r>
      <w:r w:rsidR="00E65203" w:rsidRPr="002A251E">
        <w:rPr>
          <w:lang w:eastAsia="ja-JP"/>
        </w:rPr>
        <w:t xml:space="preserve"> and Mr. Diego Risso (Seed Association of the Americas)</w:t>
      </w:r>
      <w:r w:rsidR="00E65203" w:rsidRPr="002A251E">
        <w:t xml:space="preserve"> on “Use of molecular markers as a tool to enforce plant variety right (PBR) in soybean in Uruguay”, </w:t>
      </w:r>
      <w:r w:rsidR="00E65203" w:rsidRPr="00BF7C58">
        <w:rPr>
          <w:rFonts w:cs="Arial"/>
          <w:iCs/>
        </w:rPr>
        <w:t>a copy of which would be provided as an addendum to document </w:t>
      </w:r>
      <w:r w:rsidR="00E65203" w:rsidRPr="002A251E">
        <w:t>TW</w:t>
      </w:r>
      <w:r w:rsidR="00E65203" w:rsidRPr="002A251E">
        <w:rPr>
          <w:rFonts w:hint="eastAsia"/>
          <w:lang w:eastAsia="ja-JP"/>
        </w:rPr>
        <w:t>M</w:t>
      </w:r>
      <w:r w:rsidR="00E65203" w:rsidRPr="002A251E">
        <w:t>/</w:t>
      </w:r>
      <w:r w:rsidR="00E65203" w:rsidRPr="002A251E">
        <w:rPr>
          <w:rFonts w:hint="eastAsia"/>
          <w:lang w:eastAsia="ja-JP"/>
        </w:rPr>
        <w:t>3</w:t>
      </w:r>
      <w:r w:rsidR="00E65203" w:rsidRPr="002A251E">
        <w:t>/</w:t>
      </w:r>
      <w:r w:rsidR="00E65203" w:rsidRPr="002A251E">
        <w:rPr>
          <w:rFonts w:hint="eastAsia"/>
          <w:lang w:eastAsia="ja-JP"/>
        </w:rPr>
        <w:t>18</w:t>
      </w:r>
      <w:r w:rsidR="00E65203" w:rsidRPr="002A251E">
        <w:t>.</w:t>
      </w:r>
    </w:p>
    <w:p w14:paraId="5BA0FC35" w14:textId="77777777" w:rsidR="00E65203" w:rsidRPr="002A251E" w:rsidRDefault="00E65203" w:rsidP="00E65203">
      <w:pPr>
        <w:pStyle w:val="ListParagraph"/>
        <w:ind w:left="0"/>
        <w:jc w:val="both"/>
      </w:pPr>
    </w:p>
    <w:p w14:paraId="49F85944" w14:textId="2CEBF5EB" w:rsidR="00E65203" w:rsidRPr="002A251E" w:rsidRDefault="00BF7C58" w:rsidP="00BF7C58">
      <w:r w:rsidRPr="00F07B06">
        <w:fldChar w:fldCharType="begin"/>
      </w:r>
      <w:r w:rsidRPr="00F07B06">
        <w:instrText xml:space="preserve"> AUTONUM  </w:instrText>
      </w:r>
      <w:r w:rsidRPr="00F07B06">
        <w:fldChar w:fldCharType="end"/>
      </w:r>
      <w:r w:rsidRPr="00F07B06">
        <w:tab/>
      </w:r>
      <w:r w:rsidR="00E65203" w:rsidRPr="002A251E">
        <w:rPr>
          <w:lang w:eastAsia="ja-JP"/>
        </w:rPr>
        <w:t xml:space="preserve">The TWM noted that in Uruguay the breeders’ association and the National Seeds Institute conducted field inspections.  The TWM noted that the procedure for variety identification could take up to two days, in some cases. </w:t>
      </w:r>
      <w:r w:rsidR="00E65203" w:rsidRPr="002A251E">
        <w:t xml:space="preserve"> The TWM noted </w:t>
      </w:r>
      <w:r w:rsidR="00E65203" w:rsidRPr="002A251E">
        <w:rPr>
          <w:lang w:eastAsia="ja-JP"/>
        </w:rPr>
        <w:t>that infringement fines in Uruguay were based on the value of the harvested material and considered an effective measure.</w:t>
      </w:r>
    </w:p>
    <w:p w14:paraId="578561A4" w14:textId="77777777" w:rsidR="00E65203" w:rsidRPr="002A251E" w:rsidRDefault="00E65203" w:rsidP="00E65203">
      <w:pPr>
        <w:pStyle w:val="ListParagraph"/>
        <w:ind w:left="0"/>
        <w:jc w:val="both"/>
      </w:pPr>
    </w:p>
    <w:p w14:paraId="32FFA58C" w14:textId="542FF32E" w:rsidR="00E65203" w:rsidRDefault="00BF7C58" w:rsidP="00BF7C58">
      <w:r w:rsidRPr="00F07B06">
        <w:fldChar w:fldCharType="begin"/>
      </w:r>
      <w:r w:rsidRPr="00F07B06">
        <w:instrText xml:space="preserve"> AUTONUM  </w:instrText>
      </w:r>
      <w:r w:rsidRPr="00F07B06">
        <w:fldChar w:fldCharType="end"/>
      </w:r>
      <w:r w:rsidRPr="00F07B06">
        <w:tab/>
      </w:r>
      <w:r w:rsidR="00E65203" w:rsidRPr="002A251E">
        <w:rPr>
          <w:lang w:eastAsia="ja-JP"/>
        </w:rPr>
        <w:t xml:space="preserve">The TWM </w:t>
      </w:r>
      <w:r w:rsidR="00E65203">
        <w:rPr>
          <w:rFonts w:hint="eastAsia"/>
          <w:lang w:eastAsia="ja-JP"/>
        </w:rPr>
        <w:t xml:space="preserve">noted </w:t>
      </w:r>
      <w:r w:rsidR="00E65203" w:rsidRPr="002A251E">
        <w:rPr>
          <w:lang w:eastAsia="ja-JP"/>
        </w:rPr>
        <w:t xml:space="preserve">that image analysis was also used for variety </w:t>
      </w:r>
      <w:proofErr w:type="gramStart"/>
      <w:r w:rsidR="00E65203" w:rsidRPr="002A251E">
        <w:rPr>
          <w:lang w:eastAsia="ja-JP"/>
        </w:rPr>
        <w:t>identification</w:t>
      </w:r>
      <w:proofErr w:type="gramEnd"/>
      <w:r w:rsidR="00E65203" w:rsidRPr="002A251E">
        <w:rPr>
          <w:lang w:eastAsia="ja-JP"/>
        </w:rPr>
        <w:t xml:space="preserve"> using seeds of protected varieties. </w:t>
      </w:r>
    </w:p>
    <w:p w14:paraId="3D54CAEA" w14:textId="77777777" w:rsidR="00F37B93" w:rsidRDefault="00F37B93" w:rsidP="00F37B93"/>
    <w:p w14:paraId="7BE78A14" w14:textId="77777777" w:rsidR="00F37B93" w:rsidRDefault="00F37B93" w:rsidP="00F37B93"/>
    <w:p w14:paraId="7EFA2FD3" w14:textId="77777777" w:rsidR="00F37B93" w:rsidRPr="002A251E" w:rsidRDefault="00F37B93" w:rsidP="00F37B93"/>
    <w:p w14:paraId="4839E0EE" w14:textId="1550C618" w:rsidR="00EF4B00" w:rsidRPr="00F07B06" w:rsidRDefault="00F16D33" w:rsidP="003127BF">
      <w:pPr>
        <w:jc w:val="right"/>
      </w:pPr>
      <w:r w:rsidRPr="00F07B06">
        <w:t>[Annex follows]</w:t>
      </w:r>
    </w:p>
    <w:p w14:paraId="40A56936" w14:textId="77777777" w:rsidR="00550FF9" w:rsidRPr="00F07B06" w:rsidRDefault="00550FF9" w:rsidP="00EF4B00">
      <w:pPr>
        <w:sectPr w:rsidR="00550FF9" w:rsidRPr="00F07B06" w:rsidSect="00BF7C58">
          <w:headerReference w:type="default" r:id="rId20"/>
          <w:footerReference w:type="even" r:id="rId21"/>
          <w:footerReference w:type="default" r:id="rId22"/>
          <w:footerReference w:type="first" r:id="rId23"/>
          <w:pgSz w:w="11907" w:h="16840" w:code="9"/>
          <w:pgMar w:top="510" w:right="1134" w:bottom="993" w:left="1134" w:header="510" w:footer="680" w:gutter="0"/>
          <w:pgNumType w:start="1"/>
          <w:cols w:space="720"/>
          <w:titlePg/>
        </w:sectPr>
      </w:pPr>
    </w:p>
    <w:p w14:paraId="039ED3C5" w14:textId="77777777" w:rsidR="00D52685" w:rsidRPr="00D52685" w:rsidRDefault="00D52685" w:rsidP="00D52685">
      <w:pPr>
        <w:spacing w:before="600" w:after="240"/>
        <w:jc w:val="left"/>
        <w:rPr>
          <w:rFonts w:eastAsia="Times New Roman"/>
          <w:b/>
          <w:caps/>
        </w:rPr>
      </w:pPr>
      <w:bookmarkStart w:id="65" w:name="_Hlk190367062"/>
      <w:r w:rsidRPr="00D52685">
        <w:rPr>
          <w:rFonts w:eastAsia="Times New Roman"/>
          <w:b/>
          <w:bCs/>
          <w:caps/>
        </w:rPr>
        <w:lastRenderedPageBreak/>
        <w:t>Guidelines for the validation of a new characteristic-specific molecular marker protocol as an alternative method for observation</w:t>
      </w:r>
    </w:p>
    <w:p w14:paraId="7F2ED21A" w14:textId="77777777" w:rsidR="00D52685" w:rsidRPr="00D52685" w:rsidRDefault="00D52685" w:rsidP="00D52685">
      <w:pPr>
        <w:spacing w:after="240"/>
        <w:jc w:val="left"/>
        <w:rPr>
          <w:rFonts w:eastAsia="Times New Roman"/>
          <w:i/>
          <w:iCs/>
        </w:rPr>
      </w:pPr>
      <w:bookmarkStart w:id="66" w:name="Prepared"/>
      <w:bookmarkEnd w:id="65"/>
      <w:bookmarkEnd w:id="66"/>
      <w:r w:rsidRPr="00D52685">
        <w:rPr>
          <w:rFonts w:eastAsia="Times New Roman"/>
          <w:i/>
          <w:iCs/>
        </w:rPr>
        <w:t>Document prepared by experts from France, Italy and the Kingdom of the Netherlands</w:t>
      </w:r>
    </w:p>
    <w:p w14:paraId="4F6657C3" w14:textId="0D5DDE48" w:rsidR="00D52685" w:rsidRPr="00D52685" w:rsidRDefault="00D52685" w:rsidP="00D52685">
      <w:pPr>
        <w:spacing w:after="600"/>
        <w:jc w:val="left"/>
        <w:rPr>
          <w:i/>
          <w:iCs/>
          <w:color w:val="A6A6A6" w:themeColor="background1" w:themeShade="A6"/>
          <w:lang w:eastAsia="ja-JP"/>
        </w:rPr>
      </w:pPr>
      <w:r w:rsidRPr="00D52685">
        <w:rPr>
          <w:rFonts w:eastAsia="Times New Roman"/>
          <w:i/>
          <w:iCs/>
          <w:color w:val="A6A6A6" w:themeColor="background1" w:themeShade="A6"/>
        </w:rPr>
        <w:t>Disclaimer:  this document does not represent UPOV policies or guidance</w:t>
      </w:r>
    </w:p>
    <w:p w14:paraId="1B9A3378" w14:textId="21ABF10F" w:rsidR="00D52685" w:rsidRPr="00D52685" w:rsidRDefault="00D52685" w:rsidP="00D52685">
      <w:pPr>
        <w:spacing w:after="120"/>
      </w:pPr>
      <w:bookmarkStart w:id="67" w:name="_Toc189576551"/>
      <w:r w:rsidRPr="00171D58">
        <w:rPr>
          <w:u w:val="single"/>
        </w:rPr>
        <w:t>Table of Contents</w:t>
      </w:r>
      <w:r>
        <w:t>:</w:t>
      </w:r>
    </w:p>
    <w:p w14:paraId="535A4F6C" w14:textId="11841A47" w:rsidR="00B23A70" w:rsidRDefault="00AF5629">
      <w:pPr>
        <w:pStyle w:val="TOC1"/>
        <w:rPr>
          <w:rFonts w:asciiTheme="minorHAnsi" w:hAnsiTheme="minorHAnsi" w:cstheme="minorBidi"/>
          <w:caps w:val="0"/>
          <w:noProof/>
          <w:kern w:val="2"/>
          <w:sz w:val="24"/>
          <w:szCs w:val="24"/>
          <w:lang w:val="en-GB" w:eastAsia="en-GB"/>
          <w14:ligatures w14:val="standardContextual"/>
        </w:rPr>
      </w:pPr>
      <w:r>
        <w:rPr>
          <w:rFonts w:cs="Arial"/>
          <w:lang w:eastAsia="fr-FR"/>
        </w:rPr>
        <w:fldChar w:fldCharType="begin"/>
      </w:r>
      <w:r>
        <w:rPr>
          <w:rFonts w:cs="Arial"/>
          <w:lang w:eastAsia="fr-FR"/>
        </w:rPr>
        <w:instrText xml:space="preserve"> TOC \u \t "Heading 1 Annex,1,Heading 2 Annex,2,Heading 3 Annex,3" </w:instrText>
      </w:r>
      <w:r>
        <w:rPr>
          <w:rFonts w:cs="Arial"/>
          <w:lang w:eastAsia="fr-FR"/>
        </w:rPr>
        <w:fldChar w:fldCharType="separate"/>
      </w:r>
      <w:r w:rsidR="00B23A70" w:rsidRPr="00693630">
        <w:rPr>
          <w:noProof/>
          <w:lang w:val="en-GB"/>
        </w:rPr>
        <w:t>I.</w:t>
      </w:r>
      <w:r w:rsidR="00B23A70">
        <w:rPr>
          <w:rFonts w:asciiTheme="minorHAnsi" w:hAnsiTheme="minorHAnsi" w:cstheme="minorBidi"/>
          <w:caps w:val="0"/>
          <w:noProof/>
          <w:kern w:val="2"/>
          <w:sz w:val="24"/>
          <w:szCs w:val="24"/>
          <w:lang w:val="en-GB" w:eastAsia="en-GB"/>
          <w14:ligatures w14:val="standardContextual"/>
        </w:rPr>
        <w:tab/>
      </w:r>
      <w:r w:rsidR="00B23A70" w:rsidRPr="00693630">
        <w:rPr>
          <w:noProof/>
          <w:lang w:val="en-GB"/>
        </w:rPr>
        <w:t>Objectives of these guidelines</w:t>
      </w:r>
      <w:r w:rsidR="00B23A70">
        <w:rPr>
          <w:noProof/>
        </w:rPr>
        <w:tab/>
      </w:r>
      <w:r w:rsidR="00B23A70">
        <w:rPr>
          <w:noProof/>
        </w:rPr>
        <w:fldChar w:fldCharType="begin"/>
      </w:r>
      <w:r w:rsidR="00B23A70">
        <w:rPr>
          <w:noProof/>
        </w:rPr>
        <w:instrText xml:space="preserve"> PAGEREF _Toc210139331 \h </w:instrText>
      </w:r>
      <w:r w:rsidR="00B23A70">
        <w:rPr>
          <w:noProof/>
        </w:rPr>
      </w:r>
      <w:r w:rsidR="00B23A70">
        <w:rPr>
          <w:noProof/>
        </w:rPr>
        <w:fldChar w:fldCharType="separate"/>
      </w:r>
      <w:r w:rsidR="00B23A70">
        <w:rPr>
          <w:noProof/>
        </w:rPr>
        <w:t>2</w:t>
      </w:r>
      <w:r w:rsidR="00B23A70">
        <w:rPr>
          <w:noProof/>
        </w:rPr>
        <w:fldChar w:fldCharType="end"/>
      </w:r>
    </w:p>
    <w:p w14:paraId="4AA5C3A4" w14:textId="15BCC0E2" w:rsidR="00B23A70" w:rsidRDefault="00B23A70">
      <w:pPr>
        <w:pStyle w:val="TOC1"/>
        <w:rPr>
          <w:rFonts w:asciiTheme="minorHAnsi" w:hAnsiTheme="minorHAnsi" w:cstheme="minorBidi"/>
          <w:caps w:val="0"/>
          <w:noProof/>
          <w:kern w:val="2"/>
          <w:sz w:val="24"/>
          <w:szCs w:val="24"/>
          <w:lang w:val="en-GB" w:eastAsia="en-GB"/>
          <w14:ligatures w14:val="standardContextual"/>
        </w:rPr>
      </w:pPr>
      <w:r w:rsidRPr="00693630">
        <w:rPr>
          <w:noProof/>
          <w:lang w:val="en-GB"/>
        </w:rPr>
        <w:t>II.</w:t>
      </w:r>
      <w:r>
        <w:rPr>
          <w:rFonts w:asciiTheme="minorHAnsi" w:hAnsiTheme="minorHAnsi" w:cstheme="minorBidi"/>
          <w:caps w:val="0"/>
          <w:noProof/>
          <w:kern w:val="2"/>
          <w:sz w:val="24"/>
          <w:szCs w:val="24"/>
          <w:lang w:val="en-GB" w:eastAsia="en-GB"/>
          <w14:ligatures w14:val="standardContextual"/>
        </w:rPr>
        <w:tab/>
      </w:r>
      <w:r w:rsidRPr="00693630">
        <w:rPr>
          <w:noProof/>
          <w:lang w:val="en-GB"/>
        </w:rPr>
        <w:t>Scope of these guidelines</w:t>
      </w:r>
      <w:r>
        <w:rPr>
          <w:noProof/>
        </w:rPr>
        <w:tab/>
      </w:r>
      <w:r>
        <w:rPr>
          <w:noProof/>
        </w:rPr>
        <w:fldChar w:fldCharType="begin"/>
      </w:r>
      <w:r>
        <w:rPr>
          <w:noProof/>
        </w:rPr>
        <w:instrText xml:space="preserve"> PAGEREF _Toc210139332 \h </w:instrText>
      </w:r>
      <w:r>
        <w:rPr>
          <w:noProof/>
        </w:rPr>
      </w:r>
      <w:r>
        <w:rPr>
          <w:noProof/>
        </w:rPr>
        <w:fldChar w:fldCharType="separate"/>
      </w:r>
      <w:r>
        <w:rPr>
          <w:noProof/>
        </w:rPr>
        <w:t>2</w:t>
      </w:r>
      <w:r>
        <w:rPr>
          <w:noProof/>
        </w:rPr>
        <w:fldChar w:fldCharType="end"/>
      </w:r>
    </w:p>
    <w:p w14:paraId="544F4983" w14:textId="0EDFB3F1" w:rsidR="00B23A70" w:rsidRDefault="00B23A70">
      <w:pPr>
        <w:pStyle w:val="TOC1"/>
        <w:rPr>
          <w:rFonts w:asciiTheme="minorHAnsi" w:hAnsiTheme="minorHAnsi" w:cstheme="minorBidi"/>
          <w:caps w:val="0"/>
          <w:noProof/>
          <w:kern w:val="2"/>
          <w:sz w:val="24"/>
          <w:szCs w:val="24"/>
          <w:lang w:val="en-GB" w:eastAsia="en-GB"/>
          <w14:ligatures w14:val="standardContextual"/>
        </w:rPr>
      </w:pPr>
      <w:r w:rsidRPr="00693630">
        <w:rPr>
          <w:noProof/>
          <w:lang w:val="en-GB"/>
        </w:rPr>
        <w:t>III.</w:t>
      </w:r>
      <w:r>
        <w:rPr>
          <w:rFonts w:asciiTheme="minorHAnsi" w:hAnsiTheme="minorHAnsi" w:cstheme="minorBidi"/>
          <w:caps w:val="0"/>
          <w:noProof/>
          <w:kern w:val="2"/>
          <w:sz w:val="24"/>
          <w:szCs w:val="24"/>
          <w:lang w:val="en-GB" w:eastAsia="en-GB"/>
          <w14:ligatures w14:val="standardContextual"/>
        </w:rPr>
        <w:tab/>
      </w:r>
      <w:r w:rsidRPr="00693630">
        <w:rPr>
          <w:noProof/>
          <w:lang w:val="en-GB"/>
        </w:rPr>
        <w:t>Performance criteria for a new molecular marker based protocol</w:t>
      </w:r>
      <w:r>
        <w:rPr>
          <w:noProof/>
        </w:rPr>
        <w:tab/>
      </w:r>
      <w:r>
        <w:rPr>
          <w:noProof/>
        </w:rPr>
        <w:fldChar w:fldCharType="begin"/>
      </w:r>
      <w:r>
        <w:rPr>
          <w:noProof/>
        </w:rPr>
        <w:instrText xml:space="preserve"> PAGEREF _Toc210139333 \h </w:instrText>
      </w:r>
      <w:r>
        <w:rPr>
          <w:noProof/>
        </w:rPr>
      </w:r>
      <w:r>
        <w:rPr>
          <w:noProof/>
        </w:rPr>
        <w:fldChar w:fldCharType="separate"/>
      </w:r>
      <w:r>
        <w:rPr>
          <w:noProof/>
        </w:rPr>
        <w:t>2</w:t>
      </w:r>
      <w:r>
        <w:rPr>
          <w:noProof/>
        </w:rPr>
        <w:fldChar w:fldCharType="end"/>
      </w:r>
    </w:p>
    <w:p w14:paraId="00C405C1" w14:textId="1DDC47BC" w:rsidR="00B23A70" w:rsidRDefault="00B23A70">
      <w:pPr>
        <w:pStyle w:val="TOC2"/>
        <w:rPr>
          <w:rFonts w:asciiTheme="minorHAnsi" w:hAnsiTheme="minorHAnsi" w:cstheme="minorBidi"/>
          <w:noProof/>
          <w:kern w:val="2"/>
          <w:sz w:val="24"/>
          <w:szCs w:val="24"/>
          <w:lang w:val="en-GB" w:eastAsia="en-GB"/>
          <w14:ligatures w14:val="standardContextual"/>
        </w:rPr>
      </w:pPr>
      <w:r>
        <w:rPr>
          <w:noProof/>
        </w:rPr>
        <w:t>Specificity</w:t>
      </w:r>
      <w:r>
        <w:rPr>
          <w:noProof/>
        </w:rPr>
        <w:tab/>
      </w:r>
      <w:r>
        <w:rPr>
          <w:noProof/>
        </w:rPr>
        <w:fldChar w:fldCharType="begin"/>
      </w:r>
      <w:r>
        <w:rPr>
          <w:noProof/>
        </w:rPr>
        <w:instrText xml:space="preserve"> PAGEREF _Toc210139334 \h </w:instrText>
      </w:r>
      <w:r>
        <w:rPr>
          <w:noProof/>
        </w:rPr>
      </w:r>
      <w:r>
        <w:rPr>
          <w:noProof/>
        </w:rPr>
        <w:fldChar w:fldCharType="separate"/>
      </w:r>
      <w:r>
        <w:rPr>
          <w:noProof/>
        </w:rPr>
        <w:t>2</w:t>
      </w:r>
      <w:r>
        <w:rPr>
          <w:noProof/>
        </w:rPr>
        <w:fldChar w:fldCharType="end"/>
      </w:r>
    </w:p>
    <w:p w14:paraId="7B1D6473" w14:textId="153D0273"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Definition</w:t>
      </w:r>
      <w:r>
        <w:rPr>
          <w:noProof/>
        </w:rPr>
        <w:tab/>
      </w:r>
      <w:r>
        <w:rPr>
          <w:noProof/>
        </w:rPr>
        <w:fldChar w:fldCharType="begin"/>
      </w:r>
      <w:r>
        <w:rPr>
          <w:noProof/>
        </w:rPr>
        <w:instrText xml:space="preserve"> PAGEREF _Toc210139335 \h </w:instrText>
      </w:r>
      <w:r>
        <w:rPr>
          <w:noProof/>
        </w:rPr>
      </w:r>
      <w:r>
        <w:rPr>
          <w:noProof/>
        </w:rPr>
        <w:fldChar w:fldCharType="separate"/>
      </w:r>
      <w:r>
        <w:rPr>
          <w:noProof/>
        </w:rPr>
        <w:t>2</w:t>
      </w:r>
      <w:r>
        <w:rPr>
          <w:noProof/>
        </w:rPr>
        <w:fldChar w:fldCharType="end"/>
      </w:r>
    </w:p>
    <w:p w14:paraId="31A3777B" w14:textId="1DD65D02"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Requirement</w:t>
      </w:r>
      <w:r>
        <w:rPr>
          <w:noProof/>
        </w:rPr>
        <w:tab/>
      </w:r>
      <w:r>
        <w:rPr>
          <w:noProof/>
        </w:rPr>
        <w:fldChar w:fldCharType="begin"/>
      </w:r>
      <w:r>
        <w:rPr>
          <w:noProof/>
        </w:rPr>
        <w:instrText xml:space="preserve"> PAGEREF _Toc210139336 \h </w:instrText>
      </w:r>
      <w:r>
        <w:rPr>
          <w:noProof/>
        </w:rPr>
      </w:r>
      <w:r>
        <w:rPr>
          <w:noProof/>
        </w:rPr>
        <w:fldChar w:fldCharType="separate"/>
      </w:r>
      <w:r>
        <w:rPr>
          <w:noProof/>
        </w:rPr>
        <w:t>2</w:t>
      </w:r>
      <w:r>
        <w:rPr>
          <w:noProof/>
        </w:rPr>
        <w:fldChar w:fldCharType="end"/>
      </w:r>
    </w:p>
    <w:p w14:paraId="672B77AF" w14:textId="7385B65D"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How to evaluate it?</w:t>
      </w:r>
      <w:r>
        <w:rPr>
          <w:noProof/>
        </w:rPr>
        <w:tab/>
      </w:r>
      <w:r>
        <w:rPr>
          <w:noProof/>
        </w:rPr>
        <w:fldChar w:fldCharType="begin"/>
      </w:r>
      <w:r>
        <w:rPr>
          <w:noProof/>
        </w:rPr>
        <w:instrText xml:space="preserve"> PAGEREF _Toc210139337 \h </w:instrText>
      </w:r>
      <w:r>
        <w:rPr>
          <w:noProof/>
        </w:rPr>
      </w:r>
      <w:r>
        <w:rPr>
          <w:noProof/>
        </w:rPr>
        <w:fldChar w:fldCharType="separate"/>
      </w:r>
      <w:r>
        <w:rPr>
          <w:noProof/>
        </w:rPr>
        <w:t>2</w:t>
      </w:r>
      <w:r>
        <w:rPr>
          <w:noProof/>
        </w:rPr>
        <w:fldChar w:fldCharType="end"/>
      </w:r>
    </w:p>
    <w:p w14:paraId="099B51CA" w14:textId="29706D6B" w:rsidR="00B23A70" w:rsidRDefault="00B23A70">
      <w:pPr>
        <w:pStyle w:val="TOC2"/>
        <w:rPr>
          <w:rFonts w:asciiTheme="minorHAnsi" w:hAnsiTheme="minorHAnsi" w:cstheme="minorBidi"/>
          <w:noProof/>
          <w:kern w:val="2"/>
          <w:sz w:val="24"/>
          <w:szCs w:val="24"/>
          <w:lang w:val="en-GB" w:eastAsia="en-GB"/>
          <w14:ligatures w14:val="standardContextual"/>
        </w:rPr>
      </w:pPr>
      <w:r>
        <w:rPr>
          <w:noProof/>
        </w:rPr>
        <w:t>Sensitivity and limit of detection</w:t>
      </w:r>
      <w:r>
        <w:rPr>
          <w:noProof/>
        </w:rPr>
        <w:tab/>
      </w:r>
      <w:r>
        <w:rPr>
          <w:noProof/>
        </w:rPr>
        <w:fldChar w:fldCharType="begin"/>
      </w:r>
      <w:r>
        <w:rPr>
          <w:noProof/>
        </w:rPr>
        <w:instrText xml:space="preserve"> PAGEREF _Toc210139338 \h </w:instrText>
      </w:r>
      <w:r>
        <w:rPr>
          <w:noProof/>
        </w:rPr>
      </w:r>
      <w:r>
        <w:rPr>
          <w:noProof/>
        </w:rPr>
        <w:fldChar w:fldCharType="separate"/>
      </w:r>
      <w:r>
        <w:rPr>
          <w:noProof/>
        </w:rPr>
        <w:t>2</w:t>
      </w:r>
      <w:r>
        <w:rPr>
          <w:noProof/>
        </w:rPr>
        <w:fldChar w:fldCharType="end"/>
      </w:r>
    </w:p>
    <w:p w14:paraId="269D645D" w14:textId="1616FEA9"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Definition</w:t>
      </w:r>
      <w:r>
        <w:rPr>
          <w:noProof/>
        </w:rPr>
        <w:tab/>
      </w:r>
      <w:r>
        <w:rPr>
          <w:noProof/>
        </w:rPr>
        <w:fldChar w:fldCharType="begin"/>
      </w:r>
      <w:r>
        <w:rPr>
          <w:noProof/>
        </w:rPr>
        <w:instrText xml:space="preserve"> PAGEREF _Toc210139339 \h </w:instrText>
      </w:r>
      <w:r>
        <w:rPr>
          <w:noProof/>
        </w:rPr>
      </w:r>
      <w:r>
        <w:rPr>
          <w:noProof/>
        </w:rPr>
        <w:fldChar w:fldCharType="separate"/>
      </w:r>
      <w:r>
        <w:rPr>
          <w:noProof/>
        </w:rPr>
        <w:t>2</w:t>
      </w:r>
      <w:r>
        <w:rPr>
          <w:noProof/>
        </w:rPr>
        <w:fldChar w:fldCharType="end"/>
      </w:r>
    </w:p>
    <w:p w14:paraId="7F1FFD2D" w14:textId="72BA7E8F"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Requirement</w:t>
      </w:r>
      <w:r>
        <w:rPr>
          <w:noProof/>
        </w:rPr>
        <w:tab/>
      </w:r>
      <w:r>
        <w:rPr>
          <w:noProof/>
        </w:rPr>
        <w:fldChar w:fldCharType="begin"/>
      </w:r>
      <w:r>
        <w:rPr>
          <w:noProof/>
        </w:rPr>
        <w:instrText xml:space="preserve"> PAGEREF _Toc210139340 \h </w:instrText>
      </w:r>
      <w:r>
        <w:rPr>
          <w:noProof/>
        </w:rPr>
      </w:r>
      <w:r>
        <w:rPr>
          <w:noProof/>
        </w:rPr>
        <w:fldChar w:fldCharType="separate"/>
      </w:r>
      <w:r>
        <w:rPr>
          <w:noProof/>
        </w:rPr>
        <w:t>3</w:t>
      </w:r>
      <w:r>
        <w:rPr>
          <w:noProof/>
        </w:rPr>
        <w:fldChar w:fldCharType="end"/>
      </w:r>
    </w:p>
    <w:p w14:paraId="0940ACCC" w14:textId="54453CFD"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How to evaluate it?</w:t>
      </w:r>
      <w:r>
        <w:rPr>
          <w:noProof/>
        </w:rPr>
        <w:tab/>
      </w:r>
      <w:r>
        <w:rPr>
          <w:noProof/>
        </w:rPr>
        <w:fldChar w:fldCharType="begin"/>
      </w:r>
      <w:r>
        <w:rPr>
          <w:noProof/>
        </w:rPr>
        <w:instrText xml:space="preserve"> PAGEREF _Toc210139341 \h </w:instrText>
      </w:r>
      <w:r>
        <w:rPr>
          <w:noProof/>
        </w:rPr>
      </w:r>
      <w:r>
        <w:rPr>
          <w:noProof/>
        </w:rPr>
        <w:fldChar w:fldCharType="separate"/>
      </w:r>
      <w:r>
        <w:rPr>
          <w:noProof/>
        </w:rPr>
        <w:t>3</w:t>
      </w:r>
      <w:r>
        <w:rPr>
          <w:noProof/>
        </w:rPr>
        <w:fldChar w:fldCharType="end"/>
      </w:r>
    </w:p>
    <w:p w14:paraId="1131D4EB" w14:textId="12C6F852" w:rsidR="00B23A70" w:rsidRDefault="00B23A70">
      <w:pPr>
        <w:pStyle w:val="TOC2"/>
        <w:rPr>
          <w:rFonts w:asciiTheme="minorHAnsi" w:hAnsiTheme="minorHAnsi" w:cstheme="minorBidi"/>
          <w:noProof/>
          <w:kern w:val="2"/>
          <w:sz w:val="24"/>
          <w:szCs w:val="24"/>
          <w:lang w:val="en-GB" w:eastAsia="en-GB"/>
          <w14:ligatures w14:val="standardContextual"/>
        </w:rPr>
      </w:pPr>
      <w:r>
        <w:rPr>
          <w:noProof/>
        </w:rPr>
        <w:t>Repeatability</w:t>
      </w:r>
      <w:r>
        <w:rPr>
          <w:noProof/>
        </w:rPr>
        <w:tab/>
      </w:r>
      <w:r>
        <w:rPr>
          <w:noProof/>
        </w:rPr>
        <w:fldChar w:fldCharType="begin"/>
      </w:r>
      <w:r>
        <w:rPr>
          <w:noProof/>
        </w:rPr>
        <w:instrText xml:space="preserve"> PAGEREF _Toc210139342 \h </w:instrText>
      </w:r>
      <w:r>
        <w:rPr>
          <w:noProof/>
        </w:rPr>
      </w:r>
      <w:r>
        <w:rPr>
          <w:noProof/>
        </w:rPr>
        <w:fldChar w:fldCharType="separate"/>
      </w:r>
      <w:r>
        <w:rPr>
          <w:noProof/>
        </w:rPr>
        <w:t>3</w:t>
      </w:r>
      <w:r>
        <w:rPr>
          <w:noProof/>
        </w:rPr>
        <w:fldChar w:fldCharType="end"/>
      </w:r>
    </w:p>
    <w:p w14:paraId="3FC207CC" w14:textId="53C4A67A"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Definition (based on ISO 16 577:2016; reference to UPOV/INF/17)</w:t>
      </w:r>
      <w:r>
        <w:rPr>
          <w:noProof/>
        </w:rPr>
        <w:tab/>
      </w:r>
      <w:r>
        <w:rPr>
          <w:noProof/>
        </w:rPr>
        <w:fldChar w:fldCharType="begin"/>
      </w:r>
      <w:r>
        <w:rPr>
          <w:noProof/>
        </w:rPr>
        <w:instrText xml:space="preserve"> PAGEREF _Toc210139343 \h </w:instrText>
      </w:r>
      <w:r>
        <w:rPr>
          <w:noProof/>
        </w:rPr>
      </w:r>
      <w:r>
        <w:rPr>
          <w:noProof/>
        </w:rPr>
        <w:fldChar w:fldCharType="separate"/>
      </w:r>
      <w:r>
        <w:rPr>
          <w:noProof/>
        </w:rPr>
        <w:t>3</w:t>
      </w:r>
      <w:r>
        <w:rPr>
          <w:noProof/>
        </w:rPr>
        <w:fldChar w:fldCharType="end"/>
      </w:r>
    </w:p>
    <w:p w14:paraId="11B20171" w14:textId="65AA00CD"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Requirement</w:t>
      </w:r>
      <w:r>
        <w:rPr>
          <w:noProof/>
        </w:rPr>
        <w:tab/>
      </w:r>
      <w:r>
        <w:rPr>
          <w:noProof/>
        </w:rPr>
        <w:fldChar w:fldCharType="begin"/>
      </w:r>
      <w:r>
        <w:rPr>
          <w:noProof/>
        </w:rPr>
        <w:instrText xml:space="preserve"> PAGEREF _Toc210139344 \h </w:instrText>
      </w:r>
      <w:r>
        <w:rPr>
          <w:noProof/>
        </w:rPr>
      </w:r>
      <w:r>
        <w:rPr>
          <w:noProof/>
        </w:rPr>
        <w:fldChar w:fldCharType="separate"/>
      </w:r>
      <w:r>
        <w:rPr>
          <w:noProof/>
        </w:rPr>
        <w:t>3</w:t>
      </w:r>
      <w:r>
        <w:rPr>
          <w:noProof/>
        </w:rPr>
        <w:fldChar w:fldCharType="end"/>
      </w:r>
    </w:p>
    <w:p w14:paraId="74EE07D7" w14:textId="49A4EF9C"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How to evaluate it?</w:t>
      </w:r>
      <w:r>
        <w:rPr>
          <w:noProof/>
        </w:rPr>
        <w:tab/>
      </w:r>
      <w:r>
        <w:rPr>
          <w:noProof/>
        </w:rPr>
        <w:fldChar w:fldCharType="begin"/>
      </w:r>
      <w:r>
        <w:rPr>
          <w:noProof/>
        </w:rPr>
        <w:instrText xml:space="preserve"> PAGEREF _Toc210139345 \h </w:instrText>
      </w:r>
      <w:r>
        <w:rPr>
          <w:noProof/>
        </w:rPr>
      </w:r>
      <w:r>
        <w:rPr>
          <w:noProof/>
        </w:rPr>
        <w:fldChar w:fldCharType="separate"/>
      </w:r>
      <w:r>
        <w:rPr>
          <w:noProof/>
        </w:rPr>
        <w:t>3</w:t>
      </w:r>
      <w:r>
        <w:rPr>
          <w:noProof/>
        </w:rPr>
        <w:fldChar w:fldCharType="end"/>
      </w:r>
    </w:p>
    <w:p w14:paraId="6AAFC15B" w14:textId="3EDB37A5" w:rsidR="00B23A70" w:rsidRDefault="00B23A70">
      <w:pPr>
        <w:pStyle w:val="TOC2"/>
        <w:rPr>
          <w:rFonts w:asciiTheme="minorHAnsi" w:hAnsiTheme="minorHAnsi" w:cstheme="minorBidi"/>
          <w:noProof/>
          <w:kern w:val="2"/>
          <w:sz w:val="24"/>
          <w:szCs w:val="24"/>
          <w:lang w:val="en-GB" w:eastAsia="en-GB"/>
          <w14:ligatures w14:val="standardContextual"/>
        </w:rPr>
      </w:pPr>
      <w:r>
        <w:rPr>
          <w:noProof/>
        </w:rPr>
        <w:t>Reproducibility</w:t>
      </w:r>
      <w:r>
        <w:rPr>
          <w:noProof/>
        </w:rPr>
        <w:tab/>
      </w:r>
      <w:r>
        <w:rPr>
          <w:noProof/>
        </w:rPr>
        <w:fldChar w:fldCharType="begin"/>
      </w:r>
      <w:r>
        <w:rPr>
          <w:noProof/>
        </w:rPr>
        <w:instrText xml:space="preserve"> PAGEREF _Toc210139346 \h </w:instrText>
      </w:r>
      <w:r>
        <w:rPr>
          <w:noProof/>
        </w:rPr>
      </w:r>
      <w:r>
        <w:rPr>
          <w:noProof/>
        </w:rPr>
        <w:fldChar w:fldCharType="separate"/>
      </w:r>
      <w:r>
        <w:rPr>
          <w:noProof/>
        </w:rPr>
        <w:t>3</w:t>
      </w:r>
      <w:r>
        <w:rPr>
          <w:noProof/>
        </w:rPr>
        <w:fldChar w:fldCharType="end"/>
      </w:r>
    </w:p>
    <w:p w14:paraId="7399C2CE" w14:textId="43264551"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Definition (based on ISO 16 577:2016; reference to UPOV/INF/17)</w:t>
      </w:r>
      <w:r>
        <w:rPr>
          <w:noProof/>
        </w:rPr>
        <w:tab/>
      </w:r>
      <w:r>
        <w:rPr>
          <w:noProof/>
        </w:rPr>
        <w:fldChar w:fldCharType="begin"/>
      </w:r>
      <w:r>
        <w:rPr>
          <w:noProof/>
        </w:rPr>
        <w:instrText xml:space="preserve"> PAGEREF _Toc210139347 \h </w:instrText>
      </w:r>
      <w:r>
        <w:rPr>
          <w:noProof/>
        </w:rPr>
      </w:r>
      <w:r>
        <w:rPr>
          <w:noProof/>
        </w:rPr>
        <w:fldChar w:fldCharType="separate"/>
      </w:r>
      <w:r>
        <w:rPr>
          <w:noProof/>
        </w:rPr>
        <w:t>3</w:t>
      </w:r>
      <w:r>
        <w:rPr>
          <w:noProof/>
        </w:rPr>
        <w:fldChar w:fldCharType="end"/>
      </w:r>
    </w:p>
    <w:p w14:paraId="6CD3579D" w14:textId="1C0CAB85"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Requirement</w:t>
      </w:r>
      <w:r>
        <w:rPr>
          <w:noProof/>
        </w:rPr>
        <w:tab/>
      </w:r>
      <w:r>
        <w:rPr>
          <w:noProof/>
        </w:rPr>
        <w:fldChar w:fldCharType="begin"/>
      </w:r>
      <w:r>
        <w:rPr>
          <w:noProof/>
        </w:rPr>
        <w:instrText xml:space="preserve"> PAGEREF _Toc210139348 \h </w:instrText>
      </w:r>
      <w:r>
        <w:rPr>
          <w:noProof/>
        </w:rPr>
      </w:r>
      <w:r>
        <w:rPr>
          <w:noProof/>
        </w:rPr>
        <w:fldChar w:fldCharType="separate"/>
      </w:r>
      <w:r>
        <w:rPr>
          <w:noProof/>
        </w:rPr>
        <w:t>3</w:t>
      </w:r>
      <w:r>
        <w:rPr>
          <w:noProof/>
        </w:rPr>
        <w:fldChar w:fldCharType="end"/>
      </w:r>
    </w:p>
    <w:p w14:paraId="02D508C4" w14:textId="427644EB"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How to evaluate it?</w:t>
      </w:r>
      <w:r>
        <w:rPr>
          <w:noProof/>
        </w:rPr>
        <w:tab/>
      </w:r>
      <w:r>
        <w:rPr>
          <w:noProof/>
        </w:rPr>
        <w:fldChar w:fldCharType="begin"/>
      </w:r>
      <w:r>
        <w:rPr>
          <w:noProof/>
        </w:rPr>
        <w:instrText xml:space="preserve"> PAGEREF _Toc210139349 \h </w:instrText>
      </w:r>
      <w:r>
        <w:rPr>
          <w:noProof/>
        </w:rPr>
      </w:r>
      <w:r>
        <w:rPr>
          <w:noProof/>
        </w:rPr>
        <w:fldChar w:fldCharType="separate"/>
      </w:r>
      <w:r>
        <w:rPr>
          <w:noProof/>
        </w:rPr>
        <w:t>3</w:t>
      </w:r>
      <w:r>
        <w:rPr>
          <w:noProof/>
        </w:rPr>
        <w:fldChar w:fldCharType="end"/>
      </w:r>
    </w:p>
    <w:p w14:paraId="41BDFBE1" w14:textId="5A626BCE" w:rsidR="00B23A70" w:rsidRDefault="00B23A70">
      <w:pPr>
        <w:pStyle w:val="TOC2"/>
        <w:rPr>
          <w:rFonts w:asciiTheme="minorHAnsi" w:hAnsiTheme="minorHAnsi" w:cstheme="minorBidi"/>
          <w:noProof/>
          <w:kern w:val="2"/>
          <w:sz w:val="24"/>
          <w:szCs w:val="24"/>
          <w:lang w:val="en-GB" w:eastAsia="en-GB"/>
          <w14:ligatures w14:val="standardContextual"/>
        </w:rPr>
      </w:pPr>
      <w:r>
        <w:rPr>
          <w:noProof/>
        </w:rPr>
        <w:t>Robustness</w:t>
      </w:r>
      <w:r>
        <w:rPr>
          <w:noProof/>
        </w:rPr>
        <w:tab/>
      </w:r>
      <w:r>
        <w:rPr>
          <w:noProof/>
        </w:rPr>
        <w:fldChar w:fldCharType="begin"/>
      </w:r>
      <w:r>
        <w:rPr>
          <w:noProof/>
        </w:rPr>
        <w:instrText xml:space="preserve"> PAGEREF _Toc210139350 \h </w:instrText>
      </w:r>
      <w:r>
        <w:rPr>
          <w:noProof/>
        </w:rPr>
      </w:r>
      <w:r>
        <w:rPr>
          <w:noProof/>
        </w:rPr>
        <w:fldChar w:fldCharType="separate"/>
      </w:r>
      <w:r>
        <w:rPr>
          <w:noProof/>
        </w:rPr>
        <w:t>4</w:t>
      </w:r>
      <w:r>
        <w:rPr>
          <w:noProof/>
        </w:rPr>
        <w:fldChar w:fldCharType="end"/>
      </w:r>
    </w:p>
    <w:p w14:paraId="3074B4D1" w14:textId="6C5E5C5D"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Definition (based on ISO 16 577:2016; reference to UPOV/INF/17)</w:t>
      </w:r>
      <w:r>
        <w:rPr>
          <w:noProof/>
        </w:rPr>
        <w:tab/>
      </w:r>
      <w:r>
        <w:rPr>
          <w:noProof/>
        </w:rPr>
        <w:fldChar w:fldCharType="begin"/>
      </w:r>
      <w:r>
        <w:rPr>
          <w:noProof/>
        </w:rPr>
        <w:instrText xml:space="preserve"> PAGEREF _Toc210139351 \h </w:instrText>
      </w:r>
      <w:r>
        <w:rPr>
          <w:noProof/>
        </w:rPr>
      </w:r>
      <w:r>
        <w:rPr>
          <w:noProof/>
        </w:rPr>
        <w:fldChar w:fldCharType="separate"/>
      </w:r>
      <w:r>
        <w:rPr>
          <w:noProof/>
        </w:rPr>
        <w:t>4</w:t>
      </w:r>
      <w:r>
        <w:rPr>
          <w:noProof/>
        </w:rPr>
        <w:fldChar w:fldCharType="end"/>
      </w:r>
    </w:p>
    <w:p w14:paraId="08498AC0" w14:textId="53BD7598"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Requirement</w:t>
      </w:r>
      <w:r>
        <w:rPr>
          <w:noProof/>
        </w:rPr>
        <w:tab/>
      </w:r>
      <w:r>
        <w:rPr>
          <w:noProof/>
        </w:rPr>
        <w:fldChar w:fldCharType="begin"/>
      </w:r>
      <w:r>
        <w:rPr>
          <w:noProof/>
        </w:rPr>
        <w:instrText xml:space="preserve"> PAGEREF _Toc210139352 \h </w:instrText>
      </w:r>
      <w:r>
        <w:rPr>
          <w:noProof/>
        </w:rPr>
      </w:r>
      <w:r>
        <w:rPr>
          <w:noProof/>
        </w:rPr>
        <w:fldChar w:fldCharType="separate"/>
      </w:r>
      <w:r>
        <w:rPr>
          <w:noProof/>
        </w:rPr>
        <w:t>4</w:t>
      </w:r>
      <w:r>
        <w:rPr>
          <w:noProof/>
        </w:rPr>
        <w:fldChar w:fldCharType="end"/>
      </w:r>
    </w:p>
    <w:p w14:paraId="085C8C8B" w14:textId="2A16F5FC" w:rsidR="00B23A70" w:rsidRDefault="00B23A70">
      <w:pPr>
        <w:pStyle w:val="TOC3"/>
        <w:rPr>
          <w:rFonts w:asciiTheme="minorHAnsi" w:hAnsiTheme="minorHAnsi" w:cstheme="minorBidi"/>
          <w:i w:val="0"/>
          <w:noProof/>
          <w:kern w:val="2"/>
          <w:sz w:val="24"/>
          <w:szCs w:val="24"/>
          <w:lang w:val="en-GB" w:eastAsia="en-GB"/>
          <w14:ligatures w14:val="standardContextual"/>
        </w:rPr>
      </w:pPr>
      <w:r>
        <w:rPr>
          <w:noProof/>
        </w:rPr>
        <w:t>How to evaluate it?</w:t>
      </w:r>
      <w:r>
        <w:rPr>
          <w:noProof/>
        </w:rPr>
        <w:tab/>
      </w:r>
      <w:r>
        <w:rPr>
          <w:noProof/>
        </w:rPr>
        <w:fldChar w:fldCharType="begin"/>
      </w:r>
      <w:r>
        <w:rPr>
          <w:noProof/>
        </w:rPr>
        <w:instrText xml:space="preserve"> PAGEREF _Toc210139353 \h </w:instrText>
      </w:r>
      <w:r>
        <w:rPr>
          <w:noProof/>
        </w:rPr>
      </w:r>
      <w:r>
        <w:rPr>
          <w:noProof/>
        </w:rPr>
        <w:fldChar w:fldCharType="separate"/>
      </w:r>
      <w:r>
        <w:rPr>
          <w:noProof/>
        </w:rPr>
        <w:t>4</w:t>
      </w:r>
      <w:r>
        <w:rPr>
          <w:noProof/>
        </w:rPr>
        <w:fldChar w:fldCharType="end"/>
      </w:r>
    </w:p>
    <w:p w14:paraId="61886B17" w14:textId="49C54CDC" w:rsidR="00B23A70" w:rsidRDefault="00B23A70">
      <w:pPr>
        <w:pStyle w:val="TOC1"/>
        <w:rPr>
          <w:rFonts w:asciiTheme="minorHAnsi" w:hAnsiTheme="minorHAnsi" w:cstheme="minorBidi"/>
          <w:caps w:val="0"/>
          <w:noProof/>
          <w:kern w:val="2"/>
          <w:sz w:val="24"/>
          <w:szCs w:val="24"/>
          <w:lang w:val="en-GB" w:eastAsia="en-GB"/>
          <w14:ligatures w14:val="standardContextual"/>
        </w:rPr>
      </w:pPr>
      <w:r w:rsidRPr="00693630">
        <w:rPr>
          <w:noProof/>
          <w:lang w:val="en-GB"/>
        </w:rPr>
        <w:t>IV.</w:t>
      </w:r>
      <w:r>
        <w:rPr>
          <w:rFonts w:asciiTheme="minorHAnsi" w:hAnsiTheme="minorHAnsi" w:cstheme="minorBidi"/>
          <w:caps w:val="0"/>
          <w:noProof/>
          <w:kern w:val="2"/>
          <w:sz w:val="24"/>
          <w:szCs w:val="24"/>
          <w:lang w:val="en-GB" w:eastAsia="en-GB"/>
          <w14:ligatures w14:val="standardContextual"/>
        </w:rPr>
        <w:tab/>
      </w:r>
      <w:r w:rsidRPr="00693630">
        <w:rPr>
          <w:noProof/>
          <w:lang w:val="en-GB"/>
        </w:rPr>
        <w:t>Validation report</w:t>
      </w:r>
      <w:r>
        <w:rPr>
          <w:noProof/>
        </w:rPr>
        <w:tab/>
      </w:r>
      <w:r>
        <w:rPr>
          <w:noProof/>
        </w:rPr>
        <w:fldChar w:fldCharType="begin"/>
      </w:r>
      <w:r>
        <w:rPr>
          <w:noProof/>
        </w:rPr>
        <w:instrText xml:space="preserve"> PAGEREF _Toc210139354 \h </w:instrText>
      </w:r>
      <w:r>
        <w:rPr>
          <w:noProof/>
        </w:rPr>
      </w:r>
      <w:r>
        <w:rPr>
          <w:noProof/>
        </w:rPr>
        <w:fldChar w:fldCharType="separate"/>
      </w:r>
      <w:r>
        <w:rPr>
          <w:noProof/>
        </w:rPr>
        <w:t>4</w:t>
      </w:r>
      <w:r>
        <w:rPr>
          <w:noProof/>
        </w:rPr>
        <w:fldChar w:fldCharType="end"/>
      </w:r>
    </w:p>
    <w:p w14:paraId="49812CD8" w14:textId="12D38CC1" w:rsidR="00B23A70" w:rsidRDefault="00B23A70">
      <w:pPr>
        <w:pStyle w:val="TOC2"/>
        <w:rPr>
          <w:rFonts w:asciiTheme="minorHAnsi" w:hAnsiTheme="minorHAnsi" w:cstheme="minorBidi"/>
          <w:noProof/>
          <w:kern w:val="2"/>
          <w:sz w:val="24"/>
          <w:szCs w:val="24"/>
          <w:lang w:val="en-GB" w:eastAsia="en-GB"/>
          <w14:ligatures w14:val="standardContextual"/>
        </w:rPr>
      </w:pPr>
      <w:r>
        <w:rPr>
          <w:noProof/>
        </w:rPr>
        <w:t>Content of the validation report</w:t>
      </w:r>
      <w:r>
        <w:rPr>
          <w:noProof/>
        </w:rPr>
        <w:tab/>
      </w:r>
      <w:r>
        <w:rPr>
          <w:noProof/>
        </w:rPr>
        <w:fldChar w:fldCharType="begin"/>
      </w:r>
      <w:r>
        <w:rPr>
          <w:noProof/>
        </w:rPr>
        <w:instrText xml:space="preserve"> PAGEREF _Toc210139355 \h </w:instrText>
      </w:r>
      <w:r>
        <w:rPr>
          <w:noProof/>
        </w:rPr>
      </w:r>
      <w:r>
        <w:rPr>
          <w:noProof/>
        </w:rPr>
        <w:fldChar w:fldCharType="separate"/>
      </w:r>
      <w:r>
        <w:rPr>
          <w:noProof/>
        </w:rPr>
        <w:t>4</w:t>
      </w:r>
      <w:r>
        <w:rPr>
          <w:noProof/>
        </w:rPr>
        <w:fldChar w:fldCharType="end"/>
      </w:r>
    </w:p>
    <w:p w14:paraId="7BA22BFD" w14:textId="11C9DC19" w:rsidR="00B23A70" w:rsidRDefault="00B23A70">
      <w:pPr>
        <w:pStyle w:val="TOC2"/>
        <w:rPr>
          <w:rFonts w:asciiTheme="minorHAnsi" w:hAnsiTheme="minorHAnsi" w:cstheme="minorBidi"/>
          <w:noProof/>
          <w:kern w:val="2"/>
          <w:sz w:val="24"/>
          <w:szCs w:val="24"/>
          <w:lang w:val="en-GB" w:eastAsia="en-GB"/>
          <w14:ligatures w14:val="standardContextual"/>
        </w:rPr>
      </w:pPr>
      <w:r>
        <w:rPr>
          <w:noProof/>
        </w:rPr>
        <w:t>Publicity</w:t>
      </w:r>
      <w:r>
        <w:rPr>
          <w:noProof/>
        </w:rPr>
        <w:tab/>
      </w:r>
      <w:r>
        <w:rPr>
          <w:noProof/>
        </w:rPr>
        <w:fldChar w:fldCharType="begin"/>
      </w:r>
      <w:r>
        <w:rPr>
          <w:noProof/>
        </w:rPr>
        <w:instrText xml:space="preserve"> PAGEREF _Toc210139356 \h </w:instrText>
      </w:r>
      <w:r>
        <w:rPr>
          <w:noProof/>
        </w:rPr>
      </w:r>
      <w:r>
        <w:rPr>
          <w:noProof/>
        </w:rPr>
        <w:fldChar w:fldCharType="separate"/>
      </w:r>
      <w:r>
        <w:rPr>
          <w:noProof/>
        </w:rPr>
        <w:t>4</w:t>
      </w:r>
      <w:r>
        <w:rPr>
          <w:noProof/>
        </w:rPr>
        <w:fldChar w:fldCharType="end"/>
      </w:r>
    </w:p>
    <w:p w14:paraId="177E7ABB" w14:textId="06AEC612" w:rsidR="00B23A70" w:rsidRDefault="00B23A70">
      <w:pPr>
        <w:pStyle w:val="TOC1"/>
        <w:rPr>
          <w:rFonts w:asciiTheme="minorHAnsi" w:hAnsiTheme="minorHAnsi" w:cstheme="minorBidi"/>
          <w:caps w:val="0"/>
          <w:noProof/>
          <w:kern w:val="2"/>
          <w:sz w:val="24"/>
          <w:szCs w:val="24"/>
          <w:lang w:val="en-GB" w:eastAsia="en-GB"/>
          <w14:ligatures w14:val="standardContextual"/>
        </w:rPr>
      </w:pPr>
      <w:r w:rsidRPr="00693630">
        <w:rPr>
          <w:noProof/>
          <w:lang w:val="en-GB"/>
        </w:rPr>
        <w:t>V.</w:t>
      </w:r>
      <w:r>
        <w:rPr>
          <w:rFonts w:asciiTheme="minorHAnsi" w:hAnsiTheme="minorHAnsi" w:cstheme="minorBidi"/>
          <w:caps w:val="0"/>
          <w:noProof/>
          <w:kern w:val="2"/>
          <w:sz w:val="24"/>
          <w:szCs w:val="24"/>
          <w:lang w:val="en-GB" w:eastAsia="en-GB"/>
          <w14:ligatures w14:val="standardContextual"/>
        </w:rPr>
        <w:tab/>
      </w:r>
      <w:r w:rsidRPr="00693630">
        <w:rPr>
          <w:noProof/>
          <w:lang w:val="en-GB"/>
        </w:rPr>
        <w:t>Standard Protocol for characteristic-specific molecular marker</w:t>
      </w:r>
      <w:r>
        <w:rPr>
          <w:noProof/>
        </w:rPr>
        <w:tab/>
      </w:r>
      <w:r>
        <w:rPr>
          <w:noProof/>
        </w:rPr>
        <w:fldChar w:fldCharType="begin"/>
      </w:r>
      <w:r>
        <w:rPr>
          <w:noProof/>
        </w:rPr>
        <w:instrText xml:space="preserve"> PAGEREF _Toc210139357 \h </w:instrText>
      </w:r>
      <w:r>
        <w:rPr>
          <w:noProof/>
        </w:rPr>
      </w:r>
      <w:r>
        <w:rPr>
          <w:noProof/>
        </w:rPr>
        <w:fldChar w:fldCharType="separate"/>
      </w:r>
      <w:r>
        <w:rPr>
          <w:noProof/>
        </w:rPr>
        <w:t>4</w:t>
      </w:r>
      <w:r>
        <w:rPr>
          <w:noProof/>
        </w:rPr>
        <w:fldChar w:fldCharType="end"/>
      </w:r>
    </w:p>
    <w:p w14:paraId="6A37081C" w14:textId="38E93DDE" w:rsidR="00B23A70" w:rsidRDefault="00B23A70">
      <w:pPr>
        <w:pStyle w:val="TOC1"/>
        <w:rPr>
          <w:rFonts w:asciiTheme="minorHAnsi" w:hAnsiTheme="minorHAnsi" w:cstheme="minorBidi"/>
          <w:caps w:val="0"/>
          <w:noProof/>
          <w:kern w:val="2"/>
          <w:sz w:val="24"/>
          <w:szCs w:val="24"/>
          <w:lang w:val="en-GB" w:eastAsia="en-GB"/>
          <w14:ligatures w14:val="standardContextual"/>
        </w:rPr>
      </w:pPr>
      <w:r w:rsidRPr="00693630">
        <w:rPr>
          <w:noProof/>
          <w:lang w:val="en-GB"/>
        </w:rPr>
        <w:t>VI.</w:t>
      </w:r>
      <w:r>
        <w:rPr>
          <w:rFonts w:asciiTheme="minorHAnsi" w:hAnsiTheme="minorHAnsi" w:cstheme="minorBidi"/>
          <w:caps w:val="0"/>
          <w:noProof/>
          <w:kern w:val="2"/>
          <w:sz w:val="24"/>
          <w:szCs w:val="24"/>
          <w:lang w:val="en-GB" w:eastAsia="en-GB"/>
          <w14:ligatures w14:val="standardContextual"/>
        </w:rPr>
        <w:tab/>
      </w:r>
      <w:r w:rsidRPr="00693630">
        <w:rPr>
          <w:noProof/>
          <w:lang w:val="en-GB"/>
        </w:rPr>
        <w:t>Follow-up survey after approval</w:t>
      </w:r>
      <w:r>
        <w:rPr>
          <w:noProof/>
        </w:rPr>
        <w:tab/>
      </w:r>
      <w:r>
        <w:rPr>
          <w:noProof/>
        </w:rPr>
        <w:fldChar w:fldCharType="begin"/>
      </w:r>
      <w:r>
        <w:rPr>
          <w:noProof/>
        </w:rPr>
        <w:instrText xml:space="preserve"> PAGEREF _Toc210139358 \h </w:instrText>
      </w:r>
      <w:r>
        <w:rPr>
          <w:noProof/>
        </w:rPr>
      </w:r>
      <w:r>
        <w:rPr>
          <w:noProof/>
        </w:rPr>
        <w:fldChar w:fldCharType="separate"/>
      </w:r>
      <w:r>
        <w:rPr>
          <w:noProof/>
        </w:rPr>
        <w:t>7</w:t>
      </w:r>
      <w:r>
        <w:rPr>
          <w:noProof/>
        </w:rPr>
        <w:fldChar w:fldCharType="end"/>
      </w:r>
    </w:p>
    <w:p w14:paraId="5C3F1281" w14:textId="38D74890" w:rsidR="00B23A70" w:rsidRDefault="00B23A70">
      <w:pPr>
        <w:pStyle w:val="TOC1"/>
        <w:rPr>
          <w:rFonts w:asciiTheme="minorHAnsi" w:hAnsiTheme="minorHAnsi" w:cstheme="minorBidi"/>
          <w:caps w:val="0"/>
          <w:noProof/>
          <w:kern w:val="2"/>
          <w:sz w:val="24"/>
          <w:szCs w:val="24"/>
          <w:lang w:val="en-GB" w:eastAsia="en-GB"/>
          <w14:ligatures w14:val="standardContextual"/>
        </w:rPr>
      </w:pPr>
      <w:r>
        <w:rPr>
          <w:noProof/>
        </w:rPr>
        <w:t>VII.</w:t>
      </w:r>
      <w:r>
        <w:rPr>
          <w:rFonts w:asciiTheme="minorHAnsi" w:hAnsiTheme="minorHAnsi" w:cstheme="minorBidi"/>
          <w:caps w:val="0"/>
          <w:noProof/>
          <w:kern w:val="2"/>
          <w:sz w:val="24"/>
          <w:szCs w:val="24"/>
          <w:lang w:val="en-GB" w:eastAsia="en-GB"/>
          <w14:ligatures w14:val="standardContextual"/>
        </w:rPr>
        <w:tab/>
      </w:r>
      <w:r>
        <w:rPr>
          <w:noProof/>
        </w:rPr>
        <w:t>LITERATURE</w:t>
      </w:r>
      <w:r>
        <w:rPr>
          <w:noProof/>
        </w:rPr>
        <w:tab/>
      </w:r>
      <w:r>
        <w:rPr>
          <w:noProof/>
        </w:rPr>
        <w:fldChar w:fldCharType="begin"/>
      </w:r>
      <w:r>
        <w:rPr>
          <w:noProof/>
        </w:rPr>
        <w:instrText xml:space="preserve"> PAGEREF _Toc210139359 \h </w:instrText>
      </w:r>
      <w:r>
        <w:rPr>
          <w:noProof/>
        </w:rPr>
      </w:r>
      <w:r>
        <w:rPr>
          <w:noProof/>
        </w:rPr>
        <w:fldChar w:fldCharType="separate"/>
      </w:r>
      <w:r>
        <w:rPr>
          <w:noProof/>
        </w:rPr>
        <w:t>7</w:t>
      </w:r>
      <w:r>
        <w:rPr>
          <w:noProof/>
        </w:rPr>
        <w:fldChar w:fldCharType="end"/>
      </w:r>
    </w:p>
    <w:p w14:paraId="3F14DA8C" w14:textId="7AB5D41F" w:rsidR="00D52685" w:rsidRPr="00214FF8" w:rsidRDefault="00AF5629" w:rsidP="00D52685">
      <w:pPr>
        <w:rPr>
          <w:rFonts w:cs="Arial"/>
          <w:lang w:eastAsia="fr-FR"/>
        </w:rPr>
      </w:pPr>
      <w:r>
        <w:rPr>
          <w:rFonts w:cs="Arial"/>
          <w:lang w:eastAsia="fr-FR"/>
        </w:rPr>
        <w:fldChar w:fldCharType="end"/>
      </w:r>
    </w:p>
    <w:p w14:paraId="74DF8BDE" w14:textId="77777777" w:rsidR="00D52685" w:rsidRDefault="00D52685" w:rsidP="00D52685">
      <w:pPr>
        <w:keepNext/>
        <w:outlineLvl w:val="0"/>
        <w:rPr>
          <w:caps/>
          <w:lang w:val="en-GB" w:eastAsia="ja-JP"/>
        </w:rPr>
      </w:pPr>
    </w:p>
    <w:p w14:paraId="2441B9F8" w14:textId="62DDDFCC" w:rsidR="00D52685" w:rsidRPr="00D52685" w:rsidRDefault="00D52685" w:rsidP="00D52685">
      <w:pPr>
        <w:keepNext/>
        <w:outlineLvl w:val="0"/>
        <w:rPr>
          <w:rFonts w:eastAsia="Times New Roman"/>
          <w:caps/>
          <w:lang w:val="en-GB"/>
        </w:rPr>
      </w:pPr>
      <w:r w:rsidRPr="00D52685">
        <w:rPr>
          <w:rFonts w:eastAsia="Times New Roman"/>
          <w:caps/>
          <w:lang w:val="en-GB"/>
        </w:rPr>
        <w:t>Associated documents</w:t>
      </w:r>
      <w:bookmarkEnd w:id="67"/>
    </w:p>
    <w:p w14:paraId="088828AD" w14:textId="77777777" w:rsidR="00D52685" w:rsidRPr="00D52685" w:rsidRDefault="00D52685" w:rsidP="00D52685">
      <w:pPr>
        <w:rPr>
          <w:rFonts w:eastAsia="Times New Roman" w:cs="Arial"/>
          <w:lang w:eastAsia="fr-FR"/>
        </w:rPr>
      </w:pPr>
    </w:p>
    <w:p w14:paraId="6A8D368F" w14:textId="77777777" w:rsidR="00D52685" w:rsidRPr="00D52685" w:rsidRDefault="00D52685" w:rsidP="00D52685">
      <w:pPr>
        <w:numPr>
          <w:ilvl w:val="0"/>
          <w:numId w:val="16"/>
        </w:numPr>
        <w:tabs>
          <w:tab w:val="left" w:pos="567"/>
        </w:tabs>
        <w:spacing w:after="60"/>
        <w:ind w:left="2268" w:hanging="1911"/>
        <w:rPr>
          <w:rFonts w:eastAsia="Calibri" w:cs="Arial"/>
        </w:rPr>
      </w:pPr>
      <w:r w:rsidRPr="00D52685">
        <w:rPr>
          <w:rFonts w:eastAsia="Calibri" w:cs="Arial"/>
        </w:rPr>
        <w:t>TG/1/3:</w:t>
      </w:r>
      <w:r w:rsidRPr="00D52685">
        <w:rPr>
          <w:rFonts w:eastAsia="Calibri" w:cs="Arial"/>
        </w:rPr>
        <w:tab/>
        <w:t>General Introduction to the Examination of Distinctness, Uniformity and Stability and the Development of Harmonized Descriptions of new Varieties of Plants</w:t>
      </w:r>
    </w:p>
    <w:p w14:paraId="4672F141" w14:textId="77777777" w:rsidR="00D52685" w:rsidRPr="00D52685" w:rsidRDefault="00D52685" w:rsidP="00D52685">
      <w:pPr>
        <w:numPr>
          <w:ilvl w:val="0"/>
          <w:numId w:val="16"/>
        </w:numPr>
        <w:tabs>
          <w:tab w:val="left" w:pos="567"/>
        </w:tabs>
        <w:spacing w:after="60"/>
        <w:ind w:left="2268" w:hanging="1911"/>
        <w:rPr>
          <w:rFonts w:eastAsia="Calibri" w:cs="Arial"/>
        </w:rPr>
      </w:pPr>
      <w:r w:rsidRPr="00D52685">
        <w:rPr>
          <w:rFonts w:eastAsia="Calibri" w:cs="Arial"/>
        </w:rPr>
        <w:t>TG/44:</w:t>
      </w:r>
      <w:r w:rsidRPr="00D52685">
        <w:rPr>
          <w:rFonts w:eastAsia="Calibri" w:cs="Arial"/>
        </w:rPr>
        <w:tab/>
        <w:t>Guidelines for the conduct of tests for distinctness, uniformity and stability for Tomato</w:t>
      </w:r>
    </w:p>
    <w:p w14:paraId="429E1445" w14:textId="77777777" w:rsidR="00D52685" w:rsidRPr="00D52685" w:rsidRDefault="00D52685" w:rsidP="00D52685">
      <w:pPr>
        <w:numPr>
          <w:ilvl w:val="0"/>
          <w:numId w:val="16"/>
        </w:numPr>
        <w:tabs>
          <w:tab w:val="left" w:pos="567"/>
        </w:tabs>
        <w:spacing w:after="60"/>
        <w:ind w:left="2268" w:hanging="1911"/>
        <w:rPr>
          <w:rFonts w:eastAsia="Calibri" w:cs="Arial"/>
        </w:rPr>
      </w:pPr>
      <w:r w:rsidRPr="00D52685">
        <w:rPr>
          <w:rFonts w:eastAsia="Calibri" w:cs="Arial"/>
        </w:rPr>
        <w:t>TGP/9:</w:t>
      </w:r>
      <w:r w:rsidRPr="00D52685">
        <w:rPr>
          <w:rFonts w:eastAsia="Calibri" w:cs="Arial"/>
        </w:rPr>
        <w:tab/>
        <w:t>Examining distinctness</w:t>
      </w:r>
    </w:p>
    <w:p w14:paraId="457C63BF" w14:textId="77777777" w:rsidR="00D52685" w:rsidRPr="00D52685" w:rsidRDefault="00D52685" w:rsidP="00D52685">
      <w:pPr>
        <w:numPr>
          <w:ilvl w:val="0"/>
          <w:numId w:val="16"/>
        </w:numPr>
        <w:tabs>
          <w:tab w:val="left" w:pos="567"/>
        </w:tabs>
        <w:spacing w:after="60"/>
        <w:ind w:left="2268" w:hanging="1911"/>
        <w:rPr>
          <w:rFonts w:eastAsia="Calibri" w:cs="Arial"/>
        </w:rPr>
      </w:pPr>
      <w:r w:rsidRPr="00D52685">
        <w:rPr>
          <w:rFonts w:eastAsia="Calibri" w:cs="Arial"/>
        </w:rPr>
        <w:t>TGP/10:</w:t>
      </w:r>
      <w:r w:rsidRPr="00D52685">
        <w:rPr>
          <w:rFonts w:eastAsia="Calibri" w:cs="Arial"/>
        </w:rPr>
        <w:tab/>
        <w:t>Examining uniformity</w:t>
      </w:r>
    </w:p>
    <w:p w14:paraId="500B7791" w14:textId="77777777" w:rsidR="00D52685" w:rsidRPr="00D52685" w:rsidRDefault="00D52685" w:rsidP="00D52685">
      <w:pPr>
        <w:numPr>
          <w:ilvl w:val="0"/>
          <w:numId w:val="16"/>
        </w:numPr>
        <w:tabs>
          <w:tab w:val="left" w:pos="567"/>
        </w:tabs>
        <w:spacing w:after="60"/>
        <w:ind w:left="2268" w:hanging="1911"/>
        <w:rPr>
          <w:rFonts w:eastAsia="Calibri" w:cs="Arial"/>
        </w:rPr>
      </w:pPr>
      <w:r w:rsidRPr="00D52685">
        <w:rPr>
          <w:rFonts w:eastAsia="Calibri" w:cs="Arial"/>
        </w:rPr>
        <w:t>TGP/12:</w:t>
      </w:r>
      <w:r w:rsidRPr="00D52685">
        <w:rPr>
          <w:rFonts w:eastAsia="Calibri" w:cs="Arial"/>
        </w:rPr>
        <w:tab/>
        <w:t>Guidance on Certain Physiological Characteristics</w:t>
      </w:r>
    </w:p>
    <w:p w14:paraId="62F6E611" w14:textId="77777777" w:rsidR="00D52685" w:rsidRPr="00D52685" w:rsidRDefault="00D52685" w:rsidP="00D52685">
      <w:pPr>
        <w:numPr>
          <w:ilvl w:val="0"/>
          <w:numId w:val="16"/>
        </w:numPr>
        <w:tabs>
          <w:tab w:val="left" w:pos="567"/>
        </w:tabs>
        <w:spacing w:after="60"/>
        <w:ind w:left="2268" w:hanging="1911"/>
        <w:rPr>
          <w:rFonts w:eastAsia="Calibri" w:cs="Arial"/>
          <w:b/>
          <w:bCs/>
        </w:rPr>
      </w:pPr>
      <w:r w:rsidRPr="00D52685">
        <w:rPr>
          <w:rFonts w:eastAsia="Calibri" w:cs="Arial"/>
        </w:rPr>
        <w:t>TGP/15:</w:t>
      </w:r>
      <w:r w:rsidRPr="00D52685">
        <w:rPr>
          <w:rFonts w:eastAsia="Calibri" w:cs="Arial"/>
        </w:rPr>
        <w:tab/>
        <w:t>Guidance on the Use of Biochemical and Molecular Markers in the Examination of Distinctness, Uniformity and Stability (DUS)</w:t>
      </w:r>
    </w:p>
    <w:p w14:paraId="34E505B3" w14:textId="77777777" w:rsidR="00D52685" w:rsidRPr="00D52685" w:rsidRDefault="00D52685" w:rsidP="00D52685">
      <w:pPr>
        <w:numPr>
          <w:ilvl w:val="0"/>
          <w:numId w:val="16"/>
        </w:numPr>
        <w:tabs>
          <w:tab w:val="left" w:pos="567"/>
        </w:tabs>
        <w:spacing w:after="60"/>
        <w:ind w:left="2268" w:hanging="1911"/>
        <w:rPr>
          <w:rFonts w:eastAsia="Calibri" w:cs="Arial"/>
        </w:rPr>
      </w:pPr>
      <w:r w:rsidRPr="00D52685">
        <w:rPr>
          <w:rFonts w:eastAsia="Calibri" w:cs="Arial"/>
        </w:rPr>
        <w:t>UPOV/INF/17</w:t>
      </w:r>
      <w:r w:rsidRPr="00D52685">
        <w:rPr>
          <w:rFonts w:eastAsia="Calibri" w:cs="Arial"/>
        </w:rPr>
        <w:tab/>
        <w:t xml:space="preserve">Guidelines for DNA-Profiling: Molecular Marker Selection and Database Construction </w:t>
      </w:r>
    </w:p>
    <w:p w14:paraId="5118709A" w14:textId="77777777" w:rsidR="00D52685" w:rsidRPr="00D52685" w:rsidRDefault="00D52685" w:rsidP="00D52685">
      <w:pPr>
        <w:numPr>
          <w:ilvl w:val="0"/>
          <w:numId w:val="16"/>
        </w:numPr>
        <w:tabs>
          <w:tab w:val="left" w:pos="567"/>
        </w:tabs>
        <w:spacing w:after="60"/>
        <w:ind w:left="2268" w:hanging="1911"/>
        <w:rPr>
          <w:rFonts w:eastAsia="Calibri" w:cs="Arial"/>
          <w:b/>
          <w:bCs/>
        </w:rPr>
      </w:pPr>
      <w:r w:rsidRPr="00D52685">
        <w:rPr>
          <w:rFonts w:eastAsia="Calibri" w:cs="Arial"/>
        </w:rPr>
        <w:t>UPOV/INF/18</w:t>
      </w:r>
      <w:r w:rsidRPr="00D52685">
        <w:rPr>
          <w:rFonts w:eastAsia="Calibri" w:cs="Arial"/>
        </w:rPr>
        <w:tab/>
        <w:t>Possible use of Molecular Markers in the Examination of Distinctness, Uniformity and Stability (DUS)</w:t>
      </w:r>
    </w:p>
    <w:p w14:paraId="31A4B636" w14:textId="77777777" w:rsidR="00D52685" w:rsidRPr="00D52685" w:rsidRDefault="00D52685" w:rsidP="00D52685">
      <w:pPr>
        <w:numPr>
          <w:ilvl w:val="0"/>
          <w:numId w:val="16"/>
        </w:numPr>
        <w:tabs>
          <w:tab w:val="left" w:pos="567"/>
        </w:tabs>
        <w:spacing w:after="200" w:line="276" w:lineRule="auto"/>
        <w:ind w:left="2268" w:hanging="1911"/>
        <w:contextualSpacing/>
        <w:rPr>
          <w:rFonts w:eastAsia="Calibri" w:cs="Arial"/>
        </w:rPr>
      </w:pPr>
      <w:r w:rsidRPr="00D52685">
        <w:rPr>
          <w:rFonts w:eastAsia="Calibri" w:cs="Arial"/>
        </w:rPr>
        <w:t>TWV/54/7 + Add</w:t>
      </w:r>
      <w:r w:rsidRPr="00D52685">
        <w:rPr>
          <w:rFonts w:eastAsia="Calibri" w:cs="Arial"/>
        </w:rPr>
        <w:tab/>
        <w:t>Use of molecular techniques in DUS examination</w:t>
      </w:r>
    </w:p>
    <w:p w14:paraId="16EF0F89" w14:textId="16BB3621" w:rsidR="0077577B" w:rsidRDefault="0077577B">
      <w:pPr>
        <w:jc w:val="left"/>
        <w:rPr>
          <w:rFonts w:eastAsia="Calibri"/>
          <w:highlight w:val="darkCyan"/>
        </w:rPr>
      </w:pPr>
      <w:r>
        <w:rPr>
          <w:rFonts w:eastAsia="Calibri"/>
          <w:highlight w:val="darkCyan"/>
        </w:rPr>
        <w:br w:type="page"/>
      </w:r>
    </w:p>
    <w:p w14:paraId="15827AA1" w14:textId="77777777" w:rsidR="00D52685" w:rsidRPr="00D52685" w:rsidRDefault="00D52685" w:rsidP="0077577B">
      <w:pPr>
        <w:pStyle w:val="Heading1Annex"/>
        <w:rPr>
          <w:lang w:val="en-GB"/>
        </w:rPr>
      </w:pPr>
      <w:bookmarkStart w:id="68" w:name="_Toc189576552"/>
      <w:bookmarkStart w:id="69" w:name="_Toc210139331"/>
      <w:r w:rsidRPr="00D52685">
        <w:rPr>
          <w:lang w:val="en-GB"/>
        </w:rPr>
        <w:lastRenderedPageBreak/>
        <w:t>I.</w:t>
      </w:r>
      <w:r w:rsidRPr="00D52685">
        <w:rPr>
          <w:lang w:val="en-GB"/>
        </w:rPr>
        <w:tab/>
        <w:t>Objectives of these guidelines</w:t>
      </w:r>
      <w:bookmarkEnd w:id="68"/>
      <w:bookmarkEnd w:id="69"/>
    </w:p>
    <w:p w14:paraId="49A7413D" w14:textId="77777777" w:rsidR="00D52685" w:rsidRDefault="00D52685" w:rsidP="00D52685">
      <w:pPr>
        <w:keepNext/>
        <w:rPr>
          <w:lang w:eastAsia="ja-JP"/>
        </w:rPr>
      </w:pPr>
    </w:p>
    <w:p w14:paraId="307E9754" w14:textId="4616A4F3" w:rsidR="00D52685" w:rsidRPr="00D52685" w:rsidRDefault="00DC4B65" w:rsidP="00D52685">
      <w:pPr>
        <w:rPr>
          <w:rFonts w:eastAsia="Times New Roman"/>
          <w:lang w:eastAsia="fr-FR"/>
        </w:rPr>
      </w:pPr>
      <w:r>
        <w:rPr>
          <w:rFonts w:hint="eastAsia"/>
          <w:lang w:eastAsia="ja-JP"/>
        </w:rPr>
        <w:t>1.</w:t>
      </w:r>
      <w:r w:rsidRPr="00D52685">
        <w:rPr>
          <w:rFonts w:eastAsia="Times New Roman"/>
          <w:lang w:eastAsia="fr-FR"/>
        </w:rPr>
        <w:tab/>
      </w:r>
      <w:r w:rsidR="00D52685" w:rsidRPr="00D52685">
        <w:rPr>
          <w:rFonts w:eastAsia="Times New Roman"/>
          <w:lang w:eastAsia="fr-FR"/>
        </w:rPr>
        <w:t>The purpose of these guidelines is to elaborate the principles contained in the General Introduction (document TG/1/3), and its associated TGP documents, into detailed practical guidance for the harmonized validation of a new method based on characteristic-specific molecular marker before its use as an alternative test.  Performance criteria required for the validation are described and guidance on their assessment is given. These guidelines also describe a standard protocol with mandatory and optional chapters. Survey after acceptance is also described.</w:t>
      </w:r>
    </w:p>
    <w:p w14:paraId="03804703" w14:textId="77777777" w:rsidR="00D52685" w:rsidRPr="00D52685" w:rsidRDefault="00D52685" w:rsidP="00D52685">
      <w:pPr>
        <w:rPr>
          <w:rFonts w:eastAsia="Times New Roman"/>
          <w:lang w:eastAsia="fr-FR"/>
        </w:rPr>
      </w:pPr>
    </w:p>
    <w:p w14:paraId="6B30FB3B" w14:textId="129772C5" w:rsidR="00D52685" w:rsidRPr="00D52685" w:rsidRDefault="00DC4B65" w:rsidP="00D52685">
      <w:pPr>
        <w:rPr>
          <w:rFonts w:eastAsia="Times New Roman"/>
          <w:lang w:eastAsia="fr-FR"/>
        </w:rPr>
      </w:pPr>
      <w:r>
        <w:rPr>
          <w:rFonts w:hint="eastAsia"/>
          <w:lang w:eastAsia="ja-JP"/>
        </w:rPr>
        <w:t>2.</w:t>
      </w:r>
      <w:r w:rsidR="00D52685" w:rsidRPr="00D52685">
        <w:rPr>
          <w:rFonts w:eastAsia="Times New Roman"/>
          <w:lang w:eastAsia="fr-FR"/>
        </w:rPr>
        <w:tab/>
        <w:t>If a different technique is used, the laboratory must validate its method in comparison to the reference method (to show that the alternative technique gives the same results).</w:t>
      </w:r>
    </w:p>
    <w:p w14:paraId="5122E8AA" w14:textId="77777777" w:rsidR="00D52685" w:rsidRPr="00D52685" w:rsidRDefault="00D52685" w:rsidP="00D52685">
      <w:pPr>
        <w:rPr>
          <w:rFonts w:eastAsia="Times New Roman"/>
          <w:lang w:eastAsia="fr-FR"/>
        </w:rPr>
      </w:pPr>
    </w:p>
    <w:p w14:paraId="4344A0B1" w14:textId="77777777" w:rsidR="00D52685" w:rsidRPr="00D52685" w:rsidRDefault="00D52685" w:rsidP="00D52685">
      <w:pPr>
        <w:rPr>
          <w:rFonts w:eastAsia="Times New Roman"/>
          <w:lang w:eastAsia="fr-FR"/>
        </w:rPr>
      </w:pPr>
    </w:p>
    <w:p w14:paraId="3AD58576" w14:textId="77777777" w:rsidR="00D52685" w:rsidRPr="00D52685" w:rsidRDefault="00D52685" w:rsidP="0077577B">
      <w:pPr>
        <w:pStyle w:val="Heading1Annex"/>
        <w:rPr>
          <w:lang w:val="en-GB"/>
        </w:rPr>
      </w:pPr>
      <w:bookmarkStart w:id="70" w:name="_Toc189576553"/>
      <w:bookmarkStart w:id="71" w:name="_Toc210139332"/>
      <w:r w:rsidRPr="00D52685">
        <w:rPr>
          <w:lang w:val="en-GB"/>
        </w:rPr>
        <w:t>II.</w:t>
      </w:r>
      <w:r w:rsidRPr="00D52685">
        <w:rPr>
          <w:lang w:val="en-GB"/>
        </w:rPr>
        <w:tab/>
        <w:t>Scope of these guidelines</w:t>
      </w:r>
      <w:bookmarkEnd w:id="70"/>
      <w:bookmarkEnd w:id="71"/>
    </w:p>
    <w:p w14:paraId="2C6DCD92" w14:textId="77777777" w:rsidR="00D52685" w:rsidRPr="00D52685" w:rsidRDefault="00D52685" w:rsidP="00D52685">
      <w:pPr>
        <w:rPr>
          <w:rFonts w:eastAsia="Times New Roman"/>
          <w:lang w:eastAsia="fr-FR"/>
        </w:rPr>
      </w:pPr>
    </w:p>
    <w:p w14:paraId="0B741B61" w14:textId="77777777" w:rsidR="00D52685" w:rsidRPr="00D52685" w:rsidRDefault="00D52685" w:rsidP="00592AD3">
      <w:pPr>
        <w:ind w:left="567"/>
        <w:rPr>
          <w:rFonts w:eastAsia="Times New Roman"/>
          <w:lang w:eastAsia="fr-FR"/>
        </w:rPr>
      </w:pPr>
      <w:r w:rsidRPr="00D52685">
        <w:rPr>
          <w:rFonts w:eastAsia="Times New Roman"/>
          <w:lang w:eastAsia="fr-FR"/>
        </w:rPr>
        <w:t>All crops</w:t>
      </w:r>
    </w:p>
    <w:p w14:paraId="004B1AB4" w14:textId="77777777" w:rsidR="00D52685" w:rsidRPr="00D52685" w:rsidRDefault="00D52685" w:rsidP="00592AD3">
      <w:pPr>
        <w:ind w:left="567"/>
        <w:rPr>
          <w:rFonts w:eastAsia="Times New Roman"/>
          <w:lang w:eastAsia="fr-FR"/>
        </w:rPr>
      </w:pPr>
      <w:r w:rsidRPr="00D52685">
        <w:rPr>
          <w:rFonts w:eastAsia="Times New Roman"/>
          <w:lang w:eastAsia="fr-FR"/>
        </w:rPr>
        <w:t>Characteristic-Specific Molecular Markers</w:t>
      </w:r>
    </w:p>
    <w:p w14:paraId="5C4C2349" w14:textId="77777777" w:rsidR="00D52685" w:rsidRPr="00D52685" w:rsidRDefault="00D52685" w:rsidP="00592AD3">
      <w:pPr>
        <w:ind w:left="567"/>
        <w:rPr>
          <w:rFonts w:eastAsia="Times New Roman"/>
          <w:lang w:eastAsia="fr-FR"/>
        </w:rPr>
      </w:pPr>
      <w:r w:rsidRPr="00D52685">
        <w:rPr>
          <w:rFonts w:eastAsia="Times New Roman"/>
          <w:lang w:eastAsia="fr-FR"/>
        </w:rPr>
        <w:t>For the examination of Distinctness, Uniformity, and Stability (DUS).</w:t>
      </w:r>
    </w:p>
    <w:p w14:paraId="6FF294B0" w14:textId="77777777" w:rsidR="00D52685" w:rsidRPr="00D52685" w:rsidRDefault="00D52685" w:rsidP="00D52685">
      <w:pPr>
        <w:rPr>
          <w:rFonts w:eastAsia="Times New Roman"/>
          <w:lang w:eastAsia="fr-FR"/>
        </w:rPr>
      </w:pPr>
    </w:p>
    <w:p w14:paraId="483F251D" w14:textId="77777777" w:rsidR="00D52685" w:rsidRPr="00D52685" w:rsidRDefault="00D52685" w:rsidP="00D52685">
      <w:pPr>
        <w:rPr>
          <w:rFonts w:eastAsia="Times New Roman"/>
          <w:lang w:eastAsia="fr-FR"/>
        </w:rPr>
      </w:pPr>
    </w:p>
    <w:p w14:paraId="397FA912" w14:textId="77777777" w:rsidR="00D52685" w:rsidRPr="00D52685" w:rsidRDefault="00D52685" w:rsidP="0077577B">
      <w:pPr>
        <w:pStyle w:val="Heading1Annex"/>
        <w:rPr>
          <w:lang w:val="en-GB"/>
        </w:rPr>
      </w:pPr>
      <w:bookmarkStart w:id="72" w:name="_Toc189576554"/>
      <w:bookmarkStart w:id="73" w:name="_Toc210139333"/>
      <w:r w:rsidRPr="00D52685">
        <w:rPr>
          <w:lang w:val="en-GB"/>
        </w:rPr>
        <w:t>III.</w:t>
      </w:r>
      <w:r w:rsidRPr="00D52685">
        <w:rPr>
          <w:lang w:val="en-GB"/>
        </w:rPr>
        <w:tab/>
        <w:t>Performance criteria for a new molecular marker based protocol</w:t>
      </w:r>
      <w:bookmarkEnd w:id="72"/>
      <w:bookmarkEnd w:id="73"/>
    </w:p>
    <w:p w14:paraId="7185E1B7" w14:textId="77777777" w:rsidR="00D52685" w:rsidRPr="00D52685" w:rsidRDefault="00D52685" w:rsidP="00D52685">
      <w:pPr>
        <w:rPr>
          <w:rFonts w:eastAsia="Times New Roman"/>
          <w:lang w:eastAsia="fr-FR"/>
        </w:rPr>
      </w:pPr>
    </w:p>
    <w:p w14:paraId="383122F1" w14:textId="77777777" w:rsidR="00D52685" w:rsidRPr="00D52685" w:rsidRDefault="00D52685" w:rsidP="0077577B">
      <w:pPr>
        <w:pStyle w:val="Heading2Annex"/>
      </w:pPr>
      <w:bookmarkStart w:id="74" w:name="_Toc189576555"/>
      <w:bookmarkStart w:id="75" w:name="_Toc210139334"/>
      <w:r w:rsidRPr="00D52685">
        <w:t>Specificity</w:t>
      </w:r>
      <w:bookmarkEnd w:id="74"/>
      <w:bookmarkEnd w:id="75"/>
    </w:p>
    <w:p w14:paraId="50163BF6" w14:textId="77777777" w:rsidR="00D52685" w:rsidRPr="00D52685" w:rsidRDefault="00D52685" w:rsidP="00D52685">
      <w:pPr>
        <w:rPr>
          <w:rFonts w:eastAsia="Times New Roman"/>
          <w:lang w:eastAsia="fr-FR"/>
        </w:rPr>
      </w:pPr>
    </w:p>
    <w:p w14:paraId="00071FFE" w14:textId="77777777" w:rsidR="00D52685" w:rsidRPr="00D52685" w:rsidRDefault="00D52685" w:rsidP="0077577B">
      <w:pPr>
        <w:pStyle w:val="Heading3Annex"/>
      </w:pPr>
      <w:bookmarkStart w:id="76" w:name="_Toc189576556"/>
      <w:bookmarkStart w:id="77" w:name="_Toc210139335"/>
      <w:r w:rsidRPr="00D52685">
        <w:t>Definition</w:t>
      </w:r>
      <w:bookmarkEnd w:id="76"/>
      <w:bookmarkEnd w:id="77"/>
    </w:p>
    <w:p w14:paraId="2C62FBA9" w14:textId="77777777" w:rsidR="00D52685" w:rsidRPr="00D52685" w:rsidRDefault="00D52685" w:rsidP="00D52685">
      <w:pPr>
        <w:rPr>
          <w:rFonts w:eastAsia="Times New Roman"/>
          <w:u w:val="single"/>
          <w:lang w:eastAsia="fr-FR"/>
        </w:rPr>
      </w:pPr>
    </w:p>
    <w:p w14:paraId="6C5D5890" w14:textId="1D54BE45" w:rsidR="00D52685" w:rsidRPr="00D52685" w:rsidRDefault="00DC4B65" w:rsidP="00D52685">
      <w:pPr>
        <w:rPr>
          <w:rFonts w:eastAsia="Times New Roman"/>
          <w:lang w:eastAsia="fr-FR"/>
        </w:rPr>
      </w:pPr>
      <w:r>
        <w:rPr>
          <w:rFonts w:hint="eastAsia"/>
          <w:lang w:eastAsia="ja-JP"/>
        </w:rPr>
        <w:t>3.</w:t>
      </w:r>
      <w:r w:rsidR="00D52685" w:rsidRPr="00D52685">
        <w:rPr>
          <w:rFonts w:eastAsia="Times New Roman"/>
          <w:lang w:eastAsia="fr-FR"/>
        </w:rPr>
        <w:tab/>
        <w:t xml:space="preserve">Correlation between the genotype and the phenotype, </w:t>
      </w:r>
      <w:r w:rsidR="00D52685" w:rsidRPr="00D52685">
        <w:rPr>
          <w:rFonts w:eastAsia="Times New Roman"/>
          <w:i/>
          <w:iCs/>
          <w:lang w:eastAsia="fr-FR"/>
        </w:rPr>
        <w:t xml:space="preserve">i.e. </w:t>
      </w:r>
      <w:r w:rsidR="00D52685" w:rsidRPr="00D52685">
        <w:rPr>
          <w:rFonts w:eastAsia="Times New Roman"/>
          <w:lang w:eastAsia="fr-FR"/>
        </w:rPr>
        <w:t>reliability of the link between the marker and the characteristic.</w:t>
      </w:r>
    </w:p>
    <w:p w14:paraId="541B6F71" w14:textId="77777777" w:rsidR="00D52685" w:rsidRPr="00D52685" w:rsidRDefault="00D52685" w:rsidP="00D52685">
      <w:pPr>
        <w:rPr>
          <w:rFonts w:eastAsia="Times New Roman"/>
          <w:lang w:eastAsia="fr-FR"/>
        </w:rPr>
      </w:pPr>
    </w:p>
    <w:p w14:paraId="3B8F27E1" w14:textId="77777777" w:rsidR="00D52685" w:rsidRPr="00D52685" w:rsidRDefault="00D52685" w:rsidP="0077577B">
      <w:pPr>
        <w:pStyle w:val="Heading3Annex"/>
      </w:pPr>
      <w:bookmarkStart w:id="78" w:name="_Toc189576557"/>
      <w:bookmarkStart w:id="79" w:name="_Toc210139336"/>
      <w:r w:rsidRPr="00D52685">
        <w:t>Requirement</w:t>
      </w:r>
      <w:bookmarkEnd w:id="78"/>
      <w:bookmarkEnd w:id="79"/>
    </w:p>
    <w:p w14:paraId="7DF9B6CE" w14:textId="77777777" w:rsidR="00D52685" w:rsidRPr="00D52685" w:rsidRDefault="00D52685" w:rsidP="00D52685">
      <w:pPr>
        <w:rPr>
          <w:rFonts w:eastAsia="Times New Roman"/>
          <w:u w:val="single"/>
          <w:lang w:eastAsia="fr-FR"/>
        </w:rPr>
      </w:pPr>
    </w:p>
    <w:p w14:paraId="6FE6F565" w14:textId="75846EC4" w:rsidR="00D52685" w:rsidRPr="00D52685" w:rsidRDefault="00DC4B65" w:rsidP="00D52685">
      <w:pPr>
        <w:rPr>
          <w:rFonts w:eastAsia="Times New Roman"/>
          <w:lang w:eastAsia="fr-FR"/>
        </w:rPr>
      </w:pPr>
      <w:r>
        <w:rPr>
          <w:rFonts w:hint="eastAsia"/>
          <w:lang w:eastAsia="ja-JP"/>
        </w:rPr>
        <w:t>4.</w:t>
      </w:r>
      <w:r w:rsidR="00D52685" w:rsidRPr="00D52685">
        <w:rPr>
          <w:rFonts w:eastAsia="Times New Roman"/>
          <w:lang w:eastAsia="fr-FR"/>
        </w:rPr>
        <w:tab/>
        <w:t xml:space="preserve">In principle </w:t>
      </w:r>
      <w:proofErr w:type="gramStart"/>
      <w:r w:rsidR="00D52685" w:rsidRPr="00D52685">
        <w:rPr>
          <w:rFonts w:eastAsia="Times New Roman"/>
          <w:lang w:eastAsia="fr-FR"/>
        </w:rPr>
        <w:t>100% of</w:t>
      </w:r>
      <w:proofErr w:type="gramEnd"/>
      <w:r w:rsidR="00D52685" w:rsidRPr="00D52685">
        <w:rPr>
          <w:rFonts w:eastAsia="Times New Roman"/>
          <w:lang w:eastAsia="fr-FR"/>
        </w:rPr>
        <w:t xml:space="preserve"> correlation between the genotype and the phenotype. If the correlation is less than 100% a follow-up test(s) should be performed to ensure the reliability of the results. A decision rule can be used in that case. Less than 100% correlation can be caused by other genetics.</w:t>
      </w:r>
    </w:p>
    <w:p w14:paraId="0A610793" w14:textId="77777777" w:rsidR="00D52685" w:rsidRDefault="00D52685" w:rsidP="00D52685">
      <w:pPr>
        <w:rPr>
          <w:lang w:eastAsia="ja-JP"/>
        </w:rPr>
      </w:pPr>
    </w:p>
    <w:p w14:paraId="476C4AD3" w14:textId="1CE8C057" w:rsidR="00D52685" w:rsidRPr="00D52685" w:rsidRDefault="00D52685" w:rsidP="0077577B">
      <w:pPr>
        <w:pStyle w:val="Heading3Annex"/>
      </w:pPr>
      <w:bookmarkStart w:id="80" w:name="_Toc210139337"/>
      <w:r w:rsidRPr="00D52685">
        <w:t xml:space="preserve">How </w:t>
      </w:r>
      <w:proofErr w:type="gramStart"/>
      <w:r w:rsidRPr="00D52685">
        <w:t>to</w:t>
      </w:r>
      <w:proofErr w:type="gramEnd"/>
      <w:r w:rsidRPr="00D52685">
        <w:t xml:space="preserve"> evaluate it?</w:t>
      </w:r>
      <w:bookmarkEnd w:id="80"/>
    </w:p>
    <w:p w14:paraId="207F51E0" w14:textId="77777777" w:rsidR="00D52685" w:rsidRPr="00D52685" w:rsidRDefault="00D52685" w:rsidP="00D52685">
      <w:pPr>
        <w:rPr>
          <w:rFonts w:eastAsia="Times New Roman"/>
          <w:u w:val="single"/>
          <w:lang w:eastAsia="fr-FR"/>
        </w:rPr>
      </w:pPr>
    </w:p>
    <w:p w14:paraId="4F74D451" w14:textId="206E1350" w:rsidR="00D52685" w:rsidRPr="00D52685" w:rsidRDefault="00DC4B65" w:rsidP="00D52685">
      <w:pPr>
        <w:rPr>
          <w:rFonts w:eastAsia="Times New Roman"/>
          <w:lang w:eastAsia="fr-FR"/>
        </w:rPr>
      </w:pPr>
      <w:r>
        <w:rPr>
          <w:rFonts w:hint="eastAsia"/>
          <w:lang w:eastAsia="ja-JP"/>
        </w:rPr>
        <w:t>5.</w:t>
      </w:r>
      <w:r w:rsidR="00D52685" w:rsidRPr="00D52685">
        <w:rPr>
          <w:rFonts w:eastAsia="Times New Roman"/>
          <w:lang w:eastAsia="fr-FR"/>
        </w:rPr>
        <w:tab/>
        <w:t xml:space="preserve">Number of varieties: To start the marker selection process an appropriate number of varieties (development set) is needed to reflect at the most the diversity observed within the group/crop/species/type for which the markers are intended to be discriminative. </w:t>
      </w:r>
    </w:p>
    <w:p w14:paraId="50020E60" w14:textId="77777777" w:rsidR="00D52685" w:rsidRPr="00D52685" w:rsidRDefault="00D52685" w:rsidP="00D52685">
      <w:pPr>
        <w:rPr>
          <w:rFonts w:eastAsia="Times New Roman"/>
          <w:lang w:eastAsia="fr-FR"/>
        </w:rPr>
      </w:pPr>
    </w:p>
    <w:p w14:paraId="79EE68BD" w14:textId="0F553387" w:rsidR="00D52685" w:rsidRPr="00D52685" w:rsidRDefault="00DC4B65" w:rsidP="00D52685">
      <w:pPr>
        <w:keepLines/>
        <w:rPr>
          <w:rFonts w:eastAsia="Times New Roman"/>
          <w:lang w:eastAsia="fr-FR"/>
        </w:rPr>
      </w:pPr>
      <w:r>
        <w:rPr>
          <w:rFonts w:hint="eastAsia"/>
          <w:lang w:eastAsia="ja-JP"/>
        </w:rPr>
        <w:t>6.</w:t>
      </w:r>
      <w:r w:rsidR="00D52685" w:rsidRPr="00D52685">
        <w:rPr>
          <w:rFonts w:eastAsia="Times New Roman"/>
          <w:lang w:eastAsia="fr-FR"/>
        </w:rPr>
        <w:tab/>
        <w:t>Varieties should represent the different states of expression (if known varieties with heterozygous and homozygous state), coming from different plant breeders, with different genetic background of the characteristic and different types. Well phenotypically characterized varieties for the trait of interest should be used when available.</w:t>
      </w:r>
    </w:p>
    <w:p w14:paraId="4A352221" w14:textId="77777777" w:rsidR="00D52685" w:rsidRPr="00D52685" w:rsidRDefault="00D52685" w:rsidP="00D52685">
      <w:pPr>
        <w:rPr>
          <w:rFonts w:eastAsia="Times New Roman"/>
          <w:lang w:eastAsia="fr-FR"/>
        </w:rPr>
      </w:pPr>
    </w:p>
    <w:p w14:paraId="736B3569" w14:textId="3F05D4BD" w:rsidR="00D52685" w:rsidRPr="00D52685" w:rsidRDefault="00DC4B65" w:rsidP="00D52685">
      <w:pPr>
        <w:rPr>
          <w:rFonts w:eastAsia="Times New Roman"/>
          <w:lang w:eastAsia="fr-FR"/>
        </w:rPr>
      </w:pPr>
      <w:r>
        <w:rPr>
          <w:rFonts w:hint="eastAsia"/>
          <w:lang w:eastAsia="ja-JP"/>
        </w:rPr>
        <w:t>7.</w:t>
      </w:r>
      <w:r w:rsidR="00D52685" w:rsidRPr="00D52685">
        <w:rPr>
          <w:rFonts w:eastAsia="Times New Roman"/>
          <w:lang w:eastAsia="fr-FR"/>
        </w:rPr>
        <w:tab/>
        <w:t>Number of plants per variety: At least one plant per variety if available varieties are phenotypically well characterized. If not, the number of plants should be the same as for the morphological observation described in the UPOV Test Guidelines.</w:t>
      </w:r>
    </w:p>
    <w:p w14:paraId="72ECECC9" w14:textId="77777777" w:rsidR="00D52685" w:rsidRPr="00D52685" w:rsidRDefault="00D52685" w:rsidP="00D52685">
      <w:pPr>
        <w:rPr>
          <w:rFonts w:eastAsia="Times New Roman"/>
          <w:lang w:eastAsia="fr-FR"/>
        </w:rPr>
      </w:pPr>
    </w:p>
    <w:p w14:paraId="0644CDBD" w14:textId="3D221B85" w:rsidR="00D52685" w:rsidRPr="00D52685" w:rsidRDefault="00DC4B65" w:rsidP="00D52685">
      <w:pPr>
        <w:rPr>
          <w:rFonts w:eastAsia="Times New Roman"/>
          <w:lang w:eastAsia="fr-FR"/>
        </w:rPr>
      </w:pPr>
      <w:r>
        <w:rPr>
          <w:rFonts w:hint="eastAsia"/>
          <w:lang w:eastAsia="ja-JP"/>
        </w:rPr>
        <w:t>8.</w:t>
      </w:r>
      <w:r w:rsidR="00D52685" w:rsidRPr="00D52685">
        <w:rPr>
          <w:rFonts w:eastAsia="Times New Roman"/>
          <w:lang w:eastAsia="fr-FR"/>
        </w:rPr>
        <w:tab/>
        <w:t>The specificity can be assessed within one laboratory.</w:t>
      </w:r>
    </w:p>
    <w:p w14:paraId="189582BC" w14:textId="77777777" w:rsidR="00D52685" w:rsidRPr="00D52685" w:rsidRDefault="00D52685" w:rsidP="00D52685">
      <w:pPr>
        <w:rPr>
          <w:rFonts w:eastAsia="Times New Roman"/>
          <w:lang w:eastAsia="fr-FR"/>
        </w:rPr>
      </w:pPr>
    </w:p>
    <w:p w14:paraId="3AC52D2E" w14:textId="77777777" w:rsidR="00D52685" w:rsidRPr="00D52685" w:rsidRDefault="00D52685" w:rsidP="0077577B">
      <w:pPr>
        <w:pStyle w:val="Heading2Annex"/>
      </w:pPr>
      <w:bookmarkStart w:id="81" w:name="_Toc189576558"/>
      <w:bookmarkStart w:id="82" w:name="_Toc210139338"/>
      <w:r w:rsidRPr="00D52685">
        <w:t>Sensitivity and limit of detection</w:t>
      </w:r>
      <w:bookmarkEnd w:id="81"/>
      <w:bookmarkEnd w:id="82"/>
    </w:p>
    <w:p w14:paraId="3963111B" w14:textId="77777777" w:rsidR="00D52685" w:rsidRPr="00D52685" w:rsidRDefault="00D52685" w:rsidP="00D52685">
      <w:pPr>
        <w:rPr>
          <w:rFonts w:eastAsia="Times New Roman"/>
          <w:lang w:eastAsia="fr-FR"/>
        </w:rPr>
      </w:pPr>
    </w:p>
    <w:p w14:paraId="28941905" w14:textId="77777777" w:rsidR="00D52685" w:rsidRPr="00D52685" w:rsidRDefault="00D52685" w:rsidP="0077577B">
      <w:pPr>
        <w:pStyle w:val="Heading3Annex"/>
      </w:pPr>
      <w:bookmarkStart w:id="83" w:name="_Toc189576559"/>
      <w:bookmarkStart w:id="84" w:name="_Toc210139339"/>
      <w:r w:rsidRPr="00D52685">
        <w:t>Definition</w:t>
      </w:r>
      <w:bookmarkEnd w:id="83"/>
      <w:bookmarkEnd w:id="84"/>
    </w:p>
    <w:p w14:paraId="549090FC" w14:textId="77777777" w:rsidR="00D52685" w:rsidRPr="00D52685" w:rsidRDefault="00D52685" w:rsidP="00D52685">
      <w:pPr>
        <w:rPr>
          <w:rFonts w:eastAsia="Times New Roman"/>
          <w:u w:val="single"/>
          <w:lang w:eastAsia="fr-FR"/>
        </w:rPr>
      </w:pPr>
    </w:p>
    <w:p w14:paraId="4916E7EA" w14:textId="07E5C0F1" w:rsidR="00D52685" w:rsidRPr="00D52685" w:rsidRDefault="00DC4B65" w:rsidP="00D52685">
      <w:pPr>
        <w:rPr>
          <w:rFonts w:eastAsia="Times New Roman"/>
          <w:lang w:eastAsia="fr-FR"/>
        </w:rPr>
      </w:pPr>
      <w:r>
        <w:rPr>
          <w:rFonts w:hint="eastAsia"/>
          <w:lang w:eastAsia="ja-JP"/>
        </w:rPr>
        <w:t>9.</w:t>
      </w:r>
      <w:r w:rsidR="00D52685" w:rsidRPr="00D52685">
        <w:rPr>
          <w:rFonts w:eastAsia="Times New Roman"/>
          <w:lang w:eastAsia="fr-FR"/>
        </w:rPr>
        <w:tab/>
        <w:t>The limit of detection is defined as the minimal quantity of the target that can be reliably detected.</w:t>
      </w:r>
    </w:p>
    <w:p w14:paraId="0ECBEA15" w14:textId="77777777" w:rsidR="00D52685" w:rsidRPr="00D52685" w:rsidRDefault="00D52685" w:rsidP="00D52685">
      <w:pPr>
        <w:rPr>
          <w:rFonts w:eastAsia="Times New Roman"/>
          <w:lang w:eastAsia="fr-FR"/>
        </w:rPr>
      </w:pPr>
    </w:p>
    <w:p w14:paraId="3FDFD496" w14:textId="3E43D41C" w:rsidR="00D52685" w:rsidRPr="00D52685" w:rsidRDefault="00DC4B65" w:rsidP="00D52685">
      <w:pPr>
        <w:rPr>
          <w:rFonts w:eastAsia="Times New Roman"/>
          <w:lang w:eastAsia="fr-FR"/>
        </w:rPr>
      </w:pPr>
      <w:r>
        <w:rPr>
          <w:rFonts w:hint="eastAsia"/>
          <w:lang w:eastAsia="ja-JP"/>
        </w:rPr>
        <w:t>10.</w:t>
      </w:r>
      <w:r w:rsidR="00D52685" w:rsidRPr="00D52685">
        <w:rPr>
          <w:rFonts w:eastAsia="Times New Roman"/>
          <w:lang w:eastAsia="fr-FR"/>
        </w:rPr>
        <w:tab/>
        <w:t>In case of analyses performed on bulk samples (</w:t>
      </w:r>
      <w:r w:rsidR="00D52685" w:rsidRPr="00D52685">
        <w:rPr>
          <w:rFonts w:eastAsia="Times New Roman"/>
          <w:i/>
          <w:iCs/>
          <w:lang w:eastAsia="fr-FR"/>
        </w:rPr>
        <w:t>e.g.</w:t>
      </w:r>
      <w:r w:rsidR="00D52685" w:rsidRPr="00D52685">
        <w:rPr>
          <w:rFonts w:eastAsia="Times New Roman"/>
          <w:lang w:eastAsia="fr-FR"/>
        </w:rPr>
        <w:t xml:space="preserve"> pool of different plants of the same variety) the sensitivity is critical and must be assessed. For the use on individual plants, the quantity of the target is not critical and this performance criterium is optional.</w:t>
      </w:r>
    </w:p>
    <w:p w14:paraId="08EB57BC" w14:textId="77777777" w:rsidR="00D52685" w:rsidRPr="00D52685" w:rsidRDefault="00D52685" w:rsidP="00D52685">
      <w:pPr>
        <w:rPr>
          <w:rFonts w:eastAsia="Times New Roman"/>
          <w:lang w:eastAsia="fr-FR"/>
        </w:rPr>
      </w:pPr>
    </w:p>
    <w:p w14:paraId="47918796" w14:textId="77777777" w:rsidR="00D52685" w:rsidRPr="00D52685" w:rsidRDefault="00D52685" w:rsidP="0077577B">
      <w:pPr>
        <w:pStyle w:val="Heading3Annex"/>
      </w:pPr>
      <w:bookmarkStart w:id="85" w:name="_Toc189576560"/>
      <w:bookmarkStart w:id="86" w:name="_Toc210139340"/>
      <w:r w:rsidRPr="00D52685">
        <w:lastRenderedPageBreak/>
        <w:t>Requirement</w:t>
      </w:r>
      <w:bookmarkEnd w:id="85"/>
      <w:bookmarkEnd w:id="86"/>
    </w:p>
    <w:p w14:paraId="350B597D" w14:textId="77777777" w:rsidR="00D52685" w:rsidRPr="00D52685" w:rsidRDefault="00D52685" w:rsidP="00D52685">
      <w:pPr>
        <w:rPr>
          <w:rFonts w:eastAsia="Times New Roman"/>
          <w:lang w:eastAsia="fr-FR"/>
        </w:rPr>
      </w:pPr>
    </w:p>
    <w:p w14:paraId="0F74DBA4" w14:textId="7C02216C" w:rsidR="00D52685" w:rsidRPr="00D52685" w:rsidRDefault="00DC4B65" w:rsidP="00D52685">
      <w:pPr>
        <w:rPr>
          <w:rFonts w:eastAsia="Times New Roman"/>
          <w:lang w:eastAsia="fr-FR"/>
        </w:rPr>
      </w:pPr>
      <w:r>
        <w:rPr>
          <w:rFonts w:hint="eastAsia"/>
          <w:lang w:eastAsia="ja-JP"/>
        </w:rPr>
        <w:t>11.</w:t>
      </w:r>
      <w:r w:rsidR="00D52685" w:rsidRPr="00D52685">
        <w:rPr>
          <w:rFonts w:eastAsia="Times New Roman"/>
          <w:lang w:eastAsia="fr-FR"/>
        </w:rPr>
        <w:tab/>
        <w:t>In the case of the pool, the requirement would be to detect at least one off-type in the pool.</w:t>
      </w:r>
    </w:p>
    <w:p w14:paraId="111AE425" w14:textId="77777777" w:rsidR="00D52685" w:rsidRPr="00D52685" w:rsidRDefault="00D52685" w:rsidP="00D52685">
      <w:pPr>
        <w:rPr>
          <w:rFonts w:eastAsia="Times New Roman"/>
          <w:lang w:eastAsia="fr-FR"/>
        </w:rPr>
      </w:pPr>
    </w:p>
    <w:p w14:paraId="4FAF1072" w14:textId="77777777" w:rsidR="00D52685" w:rsidRPr="00D52685" w:rsidRDefault="00D52685" w:rsidP="0077577B">
      <w:pPr>
        <w:pStyle w:val="Heading3Annex"/>
      </w:pPr>
      <w:bookmarkStart w:id="87" w:name="_Toc189576561"/>
      <w:bookmarkStart w:id="88" w:name="_Toc210139341"/>
      <w:r w:rsidRPr="00D52685">
        <w:t xml:space="preserve">How </w:t>
      </w:r>
      <w:proofErr w:type="gramStart"/>
      <w:r w:rsidRPr="00D52685">
        <w:t>to</w:t>
      </w:r>
      <w:proofErr w:type="gramEnd"/>
      <w:r w:rsidRPr="00D52685">
        <w:t xml:space="preserve"> evaluate it?</w:t>
      </w:r>
      <w:bookmarkEnd w:id="87"/>
      <w:bookmarkEnd w:id="88"/>
    </w:p>
    <w:p w14:paraId="0A16B750" w14:textId="77777777" w:rsidR="00D52685" w:rsidRPr="00D52685" w:rsidRDefault="00D52685" w:rsidP="00D52685">
      <w:pPr>
        <w:rPr>
          <w:rFonts w:eastAsia="Times New Roman"/>
          <w:lang w:eastAsia="fr-FR"/>
        </w:rPr>
      </w:pPr>
    </w:p>
    <w:p w14:paraId="24833FFF" w14:textId="266E8F02" w:rsidR="00D52685" w:rsidRPr="00D52685" w:rsidRDefault="00DC4B65" w:rsidP="00D52685">
      <w:pPr>
        <w:rPr>
          <w:rFonts w:eastAsia="Times New Roman"/>
          <w:lang w:eastAsia="fr-FR"/>
        </w:rPr>
      </w:pPr>
      <w:r>
        <w:rPr>
          <w:rFonts w:hint="eastAsia"/>
          <w:lang w:eastAsia="ja-JP"/>
        </w:rPr>
        <w:t>12.</w:t>
      </w:r>
      <w:r w:rsidR="00D52685" w:rsidRPr="00D52685">
        <w:rPr>
          <w:rFonts w:eastAsia="Times New Roman"/>
          <w:lang w:eastAsia="fr-FR"/>
        </w:rPr>
        <w:tab/>
        <w:t xml:space="preserve">To use artificial samples by mixing one off-type to a pool to check the sensitivity of the detection. </w:t>
      </w:r>
    </w:p>
    <w:p w14:paraId="5A3ADB7F" w14:textId="77777777" w:rsidR="00D52685" w:rsidRPr="00D52685" w:rsidRDefault="00D52685" w:rsidP="00D52685">
      <w:pPr>
        <w:rPr>
          <w:rFonts w:eastAsia="Times New Roman"/>
          <w:lang w:eastAsia="fr-FR"/>
        </w:rPr>
      </w:pPr>
    </w:p>
    <w:p w14:paraId="1F038A61" w14:textId="77777777" w:rsidR="00D52685" w:rsidRPr="00D52685" w:rsidRDefault="00D52685" w:rsidP="0077577B">
      <w:pPr>
        <w:pStyle w:val="Heading2Annex"/>
      </w:pPr>
      <w:bookmarkStart w:id="89" w:name="_Toc189576562"/>
      <w:bookmarkStart w:id="90" w:name="_Toc210139342"/>
      <w:r w:rsidRPr="00D52685">
        <w:t>Repeatability</w:t>
      </w:r>
      <w:bookmarkEnd w:id="89"/>
      <w:bookmarkEnd w:id="90"/>
    </w:p>
    <w:p w14:paraId="65E06CA6" w14:textId="77777777" w:rsidR="00D52685" w:rsidRPr="00D52685" w:rsidRDefault="00D52685" w:rsidP="00D52685">
      <w:pPr>
        <w:keepNext/>
        <w:rPr>
          <w:rFonts w:eastAsia="Times New Roman"/>
          <w:lang w:eastAsia="fr-FR"/>
        </w:rPr>
      </w:pPr>
    </w:p>
    <w:p w14:paraId="6DB50C18" w14:textId="77777777" w:rsidR="00D52685" w:rsidRPr="00D52685" w:rsidRDefault="00D52685" w:rsidP="0077577B">
      <w:pPr>
        <w:pStyle w:val="Heading3Annex"/>
      </w:pPr>
      <w:bookmarkStart w:id="91" w:name="_Toc189576563"/>
      <w:bookmarkStart w:id="92" w:name="_Toc210139343"/>
      <w:r w:rsidRPr="00D52685">
        <w:t>Definition (based on ISO 16 577:2016; reference to UPOV/INF/17)</w:t>
      </w:r>
      <w:bookmarkEnd w:id="91"/>
      <w:bookmarkEnd w:id="92"/>
    </w:p>
    <w:p w14:paraId="559DF538" w14:textId="77777777" w:rsidR="00D52685" w:rsidRPr="00D52685" w:rsidRDefault="00D52685" w:rsidP="00D52685">
      <w:pPr>
        <w:rPr>
          <w:rFonts w:eastAsia="Times New Roman"/>
          <w:lang w:eastAsia="fr-FR"/>
        </w:rPr>
      </w:pPr>
    </w:p>
    <w:p w14:paraId="27D552F7" w14:textId="18B1766C" w:rsidR="00D52685" w:rsidRPr="00D52685" w:rsidRDefault="00DC4B65" w:rsidP="00D52685">
      <w:pPr>
        <w:rPr>
          <w:rFonts w:eastAsia="Times New Roman"/>
          <w:lang w:eastAsia="fr-FR"/>
        </w:rPr>
      </w:pPr>
      <w:r>
        <w:rPr>
          <w:rFonts w:hint="eastAsia"/>
          <w:lang w:eastAsia="ja-JP"/>
        </w:rPr>
        <w:t>13.</w:t>
      </w:r>
      <w:r w:rsidR="00D52685" w:rsidRPr="00D52685">
        <w:rPr>
          <w:rFonts w:eastAsia="Times New Roman"/>
          <w:lang w:eastAsia="fr-FR"/>
        </w:rPr>
        <w:tab/>
        <w:t>“</w:t>
      </w:r>
      <w:r w:rsidR="00D52685" w:rsidRPr="00D52685">
        <w:rPr>
          <w:rFonts w:eastAsia="Times New Roman"/>
          <w:i/>
          <w:iCs/>
          <w:lang w:eastAsia="fr-FR"/>
        </w:rPr>
        <w:t>Repeatability;</w:t>
      </w:r>
      <w:r w:rsidR="00D52685" w:rsidRPr="00D52685" w:rsidDel="00102729">
        <w:rPr>
          <w:rFonts w:eastAsia="Times New Roman"/>
          <w:i/>
          <w:iCs/>
          <w:lang w:eastAsia="fr-FR"/>
        </w:rPr>
        <w:t xml:space="preserve"> </w:t>
      </w:r>
      <w:r w:rsidR="00D52685" w:rsidRPr="00D52685">
        <w:rPr>
          <w:rFonts w:eastAsia="Times New Roman"/>
          <w:i/>
          <w:iCs/>
          <w:lang w:eastAsia="fr-FR"/>
        </w:rPr>
        <w:t>where identical test results are obtained with the same method, on identical test items, in the same laboratory, by the same operator, using the same equipment within short intervals of time.”</w:t>
      </w:r>
    </w:p>
    <w:p w14:paraId="3DDC9D9B" w14:textId="77777777" w:rsidR="00D52685" w:rsidRPr="00D52685" w:rsidRDefault="00D52685" w:rsidP="00D52685">
      <w:pPr>
        <w:rPr>
          <w:rFonts w:eastAsia="Times New Roman"/>
          <w:lang w:eastAsia="fr-FR"/>
        </w:rPr>
      </w:pPr>
    </w:p>
    <w:p w14:paraId="53970EE9" w14:textId="3603105F" w:rsidR="00D52685" w:rsidRPr="00D52685" w:rsidRDefault="00DC4B65" w:rsidP="00D52685">
      <w:pPr>
        <w:rPr>
          <w:rFonts w:eastAsia="Times New Roman"/>
          <w:lang w:eastAsia="fr-FR"/>
        </w:rPr>
      </w:pPr>
      <w:r>
        <w:rPr>
          <w:rFonts w:hint="eastAsia"/>
          <w:lang w:eastAsia="ja-JP"/>
        </w:rPr>
        <w:t>14.</w:t>
      </w:r>
      <w:r w:rsidR="00D52685" w:rsidRPr="00D52685">
        <w:rPr>
          <w:rFonts w:eastAsia="Times New Roman"/>
          <w:lang w:eastAsia="fr-FR"/>
        </w:rPr>
        <w:tab/>
        <w:t xml:space="preserve">For qualitative methods, accordance is equivalent to the repeatability of quantitative methods (Langton </w:t>
      </w:r>
      <w:r w:rsidR="00D52685" w:rsidRPr="00D52685">
        <w:rPr>
          <w:rFonts w:eastAsia="Times New Roman"/>
          <w:i/>
          <w:iCs/>
          <w:lang w:eastAsia="fr-FR"/>
        </w:rPr>
        <w:t>et al</w:t>
      </w:r>
      <w:r w:rsidR="00D52685" w:rsidRPr="00D52685">
        <w:rPr>
          <w:rFonts w:eastAsia="Times New Roman"/>
          <w:lang w:eastAsia="fr-FR"/>
        </w:rPr>
        <w:t>., 2002).</w:t>
      </w:r>
    </w:p>
    <w:p w14:paraId="6523E50C" w14:textId="77777777" w:rsidR="00D52685" w:rsidRPr="00D52685" w:rsidRDefault="00D52685" w:rsidP="00D52685">
      <w:pPr>
        <w:rPr>
          <w:rFonts w:eastAsia="Times New Roman"/>
          <w:u w:val="single"/>
          <w:lang w:eastAsia="fr-FR"/>
        </w:rPr>
      </w:pPr>
    </w:p>
    <w:p w14:paraId="2D16E67C" w14:textId="77777777" w:rsidR="00D52685" w:rsidRPr="00D52685" w:rsidRDefault="00D52685" w:rsidP="0077577B">
      <w:pPr>
        <w:pStyle w:val="Heading3Annex"/>
      </w:pPr>
      <w:bookmarkStart w:id="93" w:name="_Toc189576564"/>
      <w:bookmarkStart w:id="94" w:name="_Toc210139344"/>
      <w:r w:rsidRPr="00D52685">
        <w:t>Requirement</w:t>
      </w:r>
      <w:bookmarkEnd w:id="93"/>
      <w:bookmarkEnd w:id="94"/>
    </w:p>
    <w:p w14:paraId="6294F6D1" w14:textId="77777777" w:rsidR="00D52685" w:rsidRPr="00D52685" w:rsidRDefault="00D52685" w:rsidP="00D52685">
      <w:pPr>
        <w:rPr>
          <w:rFonts w:eastAsia="Times New Roman"/>
          <w:lang w:eastAsia="fr-FR"/>
        </w:rPr>
      </w:pPr>
    </w:p>
    <w:p w14:paraId="07CD8C9E" w14:textId="09CE33E1" w:rsidR="00D52685" w:rsidRPr="00D52685" w:rsidRDefault="00DC4B65" w:rsidP="00D52685">
      <w:pPr>
        <w:rPr>
          <w:rFonts w:eastAsia="Times New Roman"/>
          <w:lang w:eastAsia="fr-FR"/>
        </w:rPr>
      </w:pPr>
      <w:r>
        <w:rPr>
          <w:rFonts w:hint="eastAsia"/>
          <w:lang w:eastAsia="ja-JP"/>
        </w:rPr>
        <w:t>15.</w:t>
      </w:r>
      <w:r w:rsidR="00D52685" w:rsidRPr="00D52685">
        <w:rPr>
          <w:rFonts w:eastAsia="Times New Roman"/>
          <w:lang w:eastAsia="fr-FR"/>
        </w:rPr>
        <w:tab/>
        <w:t xml:space="preserve">Ideally 100%, a performance ≥90% is generally accepted. If the repeatability of the reference method is published the repeatability of the alternative method should be at least equivalent. </w:t>
      </w:r>
    </w:p>
    <w:p w14:paraId="739830F5" w14:textId="77777777" w:rsidR="00D52685" w:rsidRPr="00D52685" w:rsidRDefault="00D52685" w:rsidP="00D52685">
      <w:pPr>
        <w:rPr>
          <w:rFonts w:eastAsia="Times New Roman"/>
          <w:lang w:eastAsia="fr-FR"/>
        </w:rPr>
      </w:pPr>
    </w:p>
    <w:p w14:paraId="309B239C" w14:textId="77777777" w:rsidR="00D52685" w:rsidRPr="00D52685" w:rsidRDefault="00D52685" w:rsidP="0077577B">
      <w:pPr>
        <w:pStyle w:val="Heading3Annex"/>
      </w:pPr>
      <w:bookmarkStart w:id="95" w:name="_Toc189576565"/>
      <w:bookmarkStart w:id="96" w:name="_Toc210139345"/>
      <w:r w:rsidRPr="00D52685">
        <w:t xml:space="preserve">How </w:t>
      </w:r>
      <w:proofErr w:type="gramStart"/>
      <w:r w:rsidRPr="00D52685">
        <w:t>to</w:t>
      </w:r>
      <w:proofErr w:type="gramEnd"/>
      <w:r w:rsidRPr="00D52685">
        <w:t xml:space="preserve"> evaluate it?</w:t>
      </w:r>
      <w:bookmarkEnd w:id="95"/>
      <w:bookmarkEnd w:id="96"/>
    </w:p>
    <w:p w14:paraId="4AB1F435" w14:textId="77777777" w:rsidR="00D52685" w:rsidRPr="00D52685" w:rsidRDefault="00D52685" w:rsidP="00D52685">
      <w:pPr>
        <w:rPr>
          <w:rFonts w:eastAsia="Times New Roman"/>
          <w:lang w:eastAsia="fr-FR"/>
        </w:rPr>
      </w:pPr>
    </w:p>
    <w:p w14:paraId="27F27B9C" w14:textId="740E378E" w:rsidR="00D52685" w:rsidRPr="00D52685" w:rsidRDefault="00DC4B65" w:rsidP="00D52685">
      <w:pPr>
        <w:rPr>
          <w:rFonts w:eastAsia="Times New Roman"/>
          <w:lang w:eastAsia="fr-FR"/>
        </w:rPr>
      </w:pPr>
      <w:r>
        <w:rPr>
          <w:rFonts w:hint="eastAsia"/>
          <w:lang w:eastAsia="ja-JP"/>
        </w:rPr>
        <w:t>16.</w:t>
      </w:r>
      <w:r w:rsidR="00D52685" w:rsidRPr="00D52685">
        <w:rPr>
          <w:rFonts w:eastAsia="Times New Roman"/>
          <w:lang w:eastAsia="fr-FR"/>
        </w:rPr>
        <w:tab/>
        <w:t>The repeatability can be evaluated within one laboratory.</w:t>
      </w:r>
    </w:p>
    <w:p w14:paraId="1C7CC7CC" w14:textId="77777777" w:rsidR="00D52685" w:rsidRPr="00D52685" w:rsidRDefault="00D52685" w:rsidP="00D52685">
      <w:pPr>
        <w:rPr>
          <w:rFonts w:eastAsia="Times New Roman"/>
          <w:lang w:eastAsia="fr-FR"/>
        </w:rPr>
      </w:pPr>
    </w:p>
    <w:p w14:paraId="7A099275" w14:textId="34566D93" w:rsidR="00D52685" w:rsidRPr="00D52685" w:rsidRDefault="00DC4B65" w:rsidP="00D52685">
      <w:pPr>
        <w:rPr>
          <w:rFonts w:eastAsia="Times New Roman"/>
          <w:lang w:eastAsia="fr-FR"/>
        </w:rPr>
      </w:pPr>
      <w:r>
        <w:rPr>
          <w:rFonts w:hint="eastAsia"/>
          <w:lang w:eastAsia="ja-JP"/>
        </w:rPr>
        <w:t>17.</w:t>
      </w:r>
      <w:r w:rsidR="00D52685" w:rsidRPr="00D52685">
        <w:rPr>
          <w:rFonts w:eastAsia="Times New Roman"/>
          <w:lang w:eastAsia="fr-FR"/>
        </w:rPr>
        <w:tab/>
        <w:t xml:space="preserve">At least three technical replicates drawn from </w:t>
      </w:r>
      <w:proofErr w:type="gramStart"/>
      <w:r w:rsidR="00D52685" w:rsidRPr="00D52685">
        <w:rPr>
          <w:rFonts w:eastAsia="Times New Roman"/>
          <w:lang w:eastAsia="fr-FR"/>
        </w:rPr>
        <w:t>a same</w:t>
      </w:r>
      <w:proofErr w:type="gramEnd"/>
      <w:r w:rsidR="00D52685" w:rsidRPr="00D52685">
        <w:rPr>
          <w:rFonts w:eastAsia="Times New Roman"/>
          <w:lang w:eastAsia="fr-FR"/>
        </w:rPr>
        <w:t xml:space="preserve"> plant (three independent DNA extractions). To include at least all expected types of genotype.</w:t>
      </w:r>
    </w:p>
    <w:p w14:paraId="5C4478EE" w14:textId="77777777" w:rsidR="00D52685" w:rsidRPr="00D52685" w:rsidRDefault="00D52685" w:rsidP="00D52685">
      <w:pPr>
        <w:rPr>
          <w:rFonts w:eastAsia="Times New Roman"/>
          <w:lang w:eastAsia="fr-FR"/>
        </w:rPr>
      </w:pPr>
    </w:p>
    <w:p w14:paraId="49E027FD" w14:textId="77777777" w:rsidR="00D52685" w:rsidRPr="00D52685" w:rsidRDefault="00D52685" w:rsidP="0077577B">
      <w:pPr>
        <w:pStyle w:val="Heading2Annex"/>
      </w:pPr>
      <w:bookmarkStart w:id="97" w:name="_Toc189576566"/>
      <w:bookmarkStart w:id="98" w:name="_Toc210139346"/>
      <w:r w:rsidRPr="00D52685">
        <w:t>Reproducibility</w:t>
      </w:r>
      <w:bookmarkEnd w:id="97"/>
      <w:bookmarkEnd w:id="98"/>
    </w:p>
    <w:p w14:paraId="376AF378" w14:textId="77777777" w:rsidR="00D52685" w:rsidRPr="00D52685" w:rsidRDefault="00D52685" w:rsidP="00D52685">
      <w:pPr>
        <w:rPr>
          <w:rFonts w:eastAsia="Times New Roman"/>
          <w:lang w:eastAsia="fr-FR"/>
        </w:rPr>
      </w:pPr>
    </w:p>
    <w:p w14:paraId="1D0B2547" w14:textId="77777777" w:rsidR="00D52685" w:rsidRPr="00D52685" w:rsidRDefault="00D52685" w:rsidP="0077577B">
      <w:pPr>
        <w:pStyle w:val="Heading3Annex"/>
      </w:pPr>
      <w:bookmarkStart w:id="99" w:name="_Toc189576567"/>
      <w:bookmarkStart w:id="100" w:name="_Toc210139347"/>
      <w:r w:rsidRPr="00D52685">
        <w:t>Definition (based on ISO 16 577:2016; reference to UPOV/INF/17)</w:t>
      </w:r>
      <w:bookmarkEnd w:id="99"/>
      <w:bookmarkEnd w:id="100"/>
    </w:p>
    <w:p w14:paraId="4FA1D0BC" w14:textId="77777777" w:rsidR="00D52685" w:rsidRPr="00D52685" w:rsidRDefault="00D52685" w:rsidP="00D52685">
      <w:pPr>
        <w:rPr>
          <w:rFonts w:eastAsia="Times New Roman"/>
          <w:lang w:eastAsia="fr-FR"/>
        </w:rPr>
      </w:pPr>
    </w:p>
    <w:p w14:paraId="0DD1A221" w14:textId="25676429" w:rsidR="00D52685" w:rsidRPr="00D52685" w:rsidRDefault="00DC4B65" w:rsidP="00D52685">
      <w:pPr>
        <w:rPr>
          <w:rFonts w:eastAsia="Times New Roman"/>
          <w:lang w:eastAsia="fr-FR"/>
        </w:rPr>
      </w:pPr>
      <w:r>
        <w:rPr>
          <w:rFonts w:hint="eastAsia"/>
          <w:lang w:eastAsia="ja-JP"/>
        </w:rPr>
        <w:t>18.</w:t>
      </w:r>
      <w:r w:rsidR="00D52685" w:rsidRPr="00D52685">
        <w:rPr>
          <w:rFonts w:eastAsia="Times New Roman"/>
          <w:lang w:eastAsia="fr-FR"/>
        </w:rPr>
        <w:tab/>
        <w:t>“</w:t>
      </w:r>
      <w:r w:rsidR="00D52685" w:rsidRPr="00D52685">
        <w:rPr>
          <w:rFonts w:eastAsia="Times New Roman"/>
          <w:i/>
          <w:iCs/>
          <w:lang w:eastAsia="fr-FR"/>
        </w:rPr>
        <w:t>Reproducibility; where test results are obtained with the same method, on identical test items, within the same laboratory or between different laboratories, with different operators, using different equipment</w:t>
      </w:r>
      <w:r w:rsidR="00D52685" w:rsidRPr="00D52685">
        <w:rPr>
          <w:rFonts w:eastAsia="Times New Roman"/>
          <w:lang w:eastAsia="fr-FR"/>
        </w:rPr>
        <w:t>” at different times.</w:t>
      </w:r>
    </w:p>
    <w:p w14:paraId="3E4579B2" w14:textId="77777777" w:rsidR="00D52685" w:rsidRPr="00D52685" w:rsidRDefault="00D52685" w:rsidP="00D52685">
      <w:pPr>
        <w:rPr>
          <w:rFonts w:eastAsia="Times New Roman"/>
          <w:lang w:eastAsia="fr-FR"/>
        </w:rPr>
      </w:pPr>
    </w:p>
    <w:p w14:paraId="0A5A73DD" w14:textId="52AED652" w:rsidR="00D52685" w:rsidRPr="00D52685" w:rsidRDefault="00DC4B65" w:rsidP="00D52685">
      <w:pPr>
        <w:rPr>
          <w:rFonts w:eastAsia="Times New Roman"/>
          <w:lang w:eastAsia="fr-FR"/>
        </w:rPr>
      </w:pPr>
      <w:r>
        <w:rPr>
          <w:rFonts w:hint="eastAsia"/>
          <w:lang w:eastAsia="ja-JP"/>
        </w:rPr>
        <w:t>19.</w:t>
      </w:r>
      <w:r w:rsidR="00D52685" w:rsidRPr="00D52685">
        <w:rPr>
          <w:rFonts w:eastAsia="Times New Roman"/>
          <w:lang w:eastAsia="fr-FR"/>
        </w:rPr>
        <w:tab/>
        <w:t xml:space="preserve">For qualitative methods, concordance is equivalent to the reproducibility of quantitative methods (Langton </w:t>
      </w:r>
      <w:r w:rsidR="00D52685" w:rsidRPr="00D52685">
        <w:rPr>
          <w:rFonts w:eastAsia="Times New Roman"/>
          <w:i/>
          <w:iCs/>
          <w:lang w:eastAsia="fr-FR"/>
        </w:rPr>
        <w:t>et al</w:t>
      </w:r>
      <w:r w:rsidR="00D52685" w:rsidRPr="00D52685">
        <w:rPr>
          <w:rFonts w:eastAsia="Times New Roman"/>
          <w:lang w:eastAsia="fr-FR"/>
        </w:rPr>
        <w:t>., 2002).</w:t>
      </w:r>
    </w:p>
    <w:p w14:paraId="4B1BA2BA" w14:textId="77777777" w:rsidR="00D52685" w:rsidRPr="00D52685" w:rsidRDefault="00D52685" w:rsidP="00D52685">
      <w:pPr>
        <w:rPr>
          <w:rFonts w:eastAsia="Times New Roman"/>
          <w:u w:val="single"/>
          <w:lang w:eastAsia="fr-FR"/>
        </w:rPr>
      </w:pPr>
    </w:p>
    <w:p w14:paraId="7E3E914F" w14:textId="77777777" w:rsidR="00D52685" w:rsidRPr="00D52685" w:rsidRDefault="00D52685" w:rsidP="0077577B">
      <w:pPr>
        <w:pStyle w:val="Heading3Annex"/>
      </w:pPr>
      <w:bookmarkStart w:id="101" w:name="_Toc189576568"/>
      <w:bookmarkStart w:id="102" w:name="_Toc210139348"/>
      <w:r w:rsidRPr="00D52685">
        <w:t>Requirement</w:t>
      </w:r>
      <w:bookmarkEnd w:id="101"/>
      <w:bookmarkEnd w:id="102"/>
    </w:p>
    <w:p w14:paraId="41597870" w14:textId="77777777" w:rsidR="00D52685" w:rsidRPr="00D52685" w:rsidRDefault="00D52685" w:rsidP="00D52685">
      <w:pPr>
        <w:keepNext/>
        <w:rPr>
          <w:rFonts w:eastAsia="Times New Roman"/>
          <w:lang w:eastAsia="fr-FR"/>
        </w:rPr>
      </w:pPr>
    </w:p>
    <w:p w14:paraId="206E3A87" w14:textId="599F585A" w:rsidR="00D52685" w:rsidRPr="00D52685" w:rsidRDefault="00DC4B65" w:rsidP="00D52685">
      <w:pPr>
        <w:keepNext/>
        <w:rPr>
          <w:rFonts w:eastAsia="Times New Roman"/>
          <w:lang w:eastAsia="fr-FR"/>
        </w:rPr>
      </w:pPr>
      <w:r>
        <w:rPr>
          <w:rFonts w:hint="eastAsia"/>
          <w:lang w:eastAsia="ja-JP"/>
        </w:rPr>
        <w:t>20.</w:t>
      </w:r>
      <w:r w:rsidR="00D52685" w:rsidRPr="00D52685">
        <w:rPr>
          <w:rFonts w:eastAsia="Times New Roman"/>
          <w:lang w:eastAsia="fr-FR"/>
        </w:rPr>
        <w:tab/>
        <w:t xml:space="preserve">Ideally 100%, a performance ≥90% is generally accepted. If the reproducibility of the reference method is published the reproducibility of the alternative method should be at least equivalent. </w:t>
      </w:r>
    </w:p>
    <w:p w14:paraId="3FC81EB7" w14:textId="77777777" w:rsidR="00D52685" w:rsidRPr="00D52685" w:rsidRDefault="00D52685" w:rsidP="00D52685">
      <w:pPr>
        <w:rPr>
          <w:rFonts w:eastAsia="Times New Roman"/>
          <w:lang w:eastAsia="fr-FR"/>
        </w:rPr>
      </w:pPr>
    </w:p>
    <w:p w14:paraId="7B4F2BDE" w14:textId="77777777" w:rsidR="00D52685" w:rsidRPr="00D52685" w:rsidRDefault="00D52685" w:rsidP="0077577B">
      <w:pPr>
        <w:pStyle w:val="Heading3Annex"/>
      </w:pPr>
      <w:bookmarkStart w:id="103" w:name="_Toc189576569"/>
      <w:bookmarkStart w:id="104" w:name="_Toc210139349"/>
      <w:r w:rsidRPr="00D52685">
        <w:t xml:space="preserve">How </w:t>
      </w:r>
      <w:proofErr w:type="gramStart"/>
      <w:r w:rsidRPr="00D52685">
        <w:t>to</w:t>
      </w:r>
      <w:proofErr w:type="gramEnd"/>
      <w:r w:rsidRPr="00D52685">
        <w:t xml:space="preserve"> evaluate it?</w:t>
      </w:r>
      <w:bookmarkEnd w:id="103"/>
      <w:bookmarkEnd w:id="104"/>
    </w:p>
    <w:p w14:paraId="2752D83D" w14:textId="77777777" w:rsidR="00D52685" w:rsidRPr="00D52685" w:rsidRDefault="00D52685" w:rsidP="00D52685">
      <w:pPr>
        <w:rPr>
          <w:rFonts w:eastAsia="Times New Roman"/>
          <w:lang w:eastAsia="fr-FR"/>
        </w:rPr>
      </w:pPr>
    </w:p>
    <w:p w14:paraId="303E67EA" w14:textId="5A7BF9B2" w:rsidR="00D52685" w:rsidRDefault="00DC4B65" w:rsidP="00592AD3">
      <w:pPr>
        <w:rPr>
          <w:lang w:eastAsia="fr-FR"/>
        </w:rPr>
      </w:pPr>
      <w:r>
        <w:rPr>
          <w:rFonts w:hint="eastAsia"/>
          <w:lang w:eastAsia="ja-JP"/>
        </w:rPr>
        <w:t>21.</w:t>
      </w:r>
      <w:r w:rsidR="00D52685" w:rsidRPr="00D52685">
        <w:rPr>
          <w:lang w:eastAsia="fr-FR"/>
        </w:rPr>
        <w:tab/>
        <w:t>Reproducibility should be assessed between different laboratories by an interlaboratory validation study (Ring-test) with coded samples of known genotypes. All expected types of genotype should be included.</w:t>
      </w:r>
    </w:p>
    <w:p w14:paraId="5479FBE8" w14:textId="77777777" w:rsidR="00592AD3" w:rsidRPr="00D52685" w:rsidRDefault="00592AD3" w:rsidP="00592AD3">
      <w:pPr>
        <w:rPr>
          <w:lang w:eastAsia="fr-FR"/>
        </w:rPr>
      </w:pPr>
    </w:p>
    <w:p w14:paraId="652547FC" w14:textId="7E7B346A" w:rsidR="00D52685" w:rsidRDefault="00DC4B65" w:rsidP="00592AD3">
      <w:pPr>
        <w:rPr>
          <w:lang w:val="nl-NL" w:eastAsia="fr-FR"/>
        </w:rPr>
      </w:pPr>
      <w:r>
        <w:rPr>
          <w:rFonts w:hint="eastAsia"/>
          <w:lang w:val="nl-NL" w:eastAsia="ja-JP"/>
        </w:rPr>
        <w:t>22.</w:t>
      </w:r>
      <w:r w:rsidR="00D52685" w:rsidRPr="00D52685">
        <w:rPr>
          <w:lang w:val="nl-NL" w:eastAsia="fr-FR"/>
        </w:rPr>
        <w:tab/>
        <w:t>The ring-test should involve at least, three different laboratories including at least two different examination offices (</w:t>
      </w:r>
      <w:r w:rsidR="00D52685" w:rsidRPr="00D52685">
        <w:rPr>
          <w:i/>
          <w:iCs/>
          <w:lang w:val="nl-NL" w:eastAsia="fr-FR"/>
        </w:rPr>
        <w:t>e.g.</w:t>
      </w:r>
      <w:r w:rsidR="00D52685" w:rsidRPr="00D52685">
        <w:rPr>
          <w:lang w:val="nl-NL" w:eastAsia="fr-FR"/>
        </w:rPr>
        <w:t xml:space="preserve"> in INVITE </w:t>
      </w:r>
      <w:r w:rsidR="00D52685" w:rsidRPr="00D52685">
        <w:rPr>
          <w:lang w:val="nl-NL" w:eastAsia="nl-NL"/>
        </w:rPr>
        <w:t xml:space="preserve">EU-project </w:t>
      </w:r>
      <w:r w:rsidR="00D52685" w:rsidRPr="00D52685">
        <w:rPr>
          <w:color w:val="333333"/>
          <w:shd w:val="clear" w:color="auto" w:fill="FFFFFF"/>
          <w:lang w:val="nl-NL" w:eastAsia="nl-NL"/>
        </w:rPr>
        <w:t>817970</w:t>
      </w:r>
      <w:r w:rsidR="00D52685" w:rsidRPr="00D52685">
        <w:rPr>
          <w:lang w:val="nl-NL" w:eastAsia="nl-NL"/>
        </w:rPr>
        <w:t xml:space="preserve"> DOI</w:t>
      </w:r>
      <w:r w:rsidR="00D52685" w:rsidRPr="00D52685">
        <w:rPr>
          <w:rFonts w:ascii="Segoe UI" w:hAnsi="Segoe UI" w:cs="Segoe UI"/>
          <w:sz w:val="18"/>
          <w:szCs w:val="18"/>
          <w:lang w:val="nl-NL" w:eastAsia="nl-NL"/>
        </w:rPr>
        <w:t xml:space="preserve"> </w:t>
      </w:r>
      <w:hyperlink r:id="rId24" w:history="1">
        <w:r w:rsidR="00D52685" w:rsidRPr="00D52685">
          <w:rPr>
            <w:rFonts w:ascii="Segoe UI" w:hAnsi="Segoe UI" w:cs="Segoe UI"/>
            <w:color w:val="0000FF"/>
            <w:sz w:val="18"/>
            <w:szCs w:val="18"/>
            <w:u w:val="single"/>
            <w:lang w:val="nl-NL" w:eastAsia="nl-NL"/>
          </w:rPr>
          <w:t>10.3030/817970</w:t>
        </w:r>
      </w:hyperlink>
      <w:r w:rsidR="00D52685" w:rsidRPr="00D52685">
        <w:rPr>
          <w:rFonts w:ascii="Segoe UI" w:hAnsi="Segoe UI" w:cs="Segoe UI"/>
          <w:sz w:val="18"/>
          <w:szCs w:val="18"/>
          <w:lang w:val="nl-NL" w:eastAsia="nl-NL"/>
        </w:rPr>
        <w:t>,</w:t>
      </w:r>
      <w:r w:rsidR="00D52685" w:rsidRPr="00D52685">
        <w:rPr>
          <w:rFonts w:ascii="Times New Roman" w:hAnsi="Times New Roman"/>
          <w:sz w:val="24"/>
          <w:szCs w:val="24"/>
          <w:lang w:val="nl-NL" w:eastAsia="fr-FR"/>
        </w:rPr>
        <w:t xml:space="preserve"> </w:t>
      </w:r>
      <w:r w:rsidR="00D52685" w:rsidRPr="00D52685">
        <w:rPr>
          <w:lang w:val="nl-NL" w:eastAsia="fr-FR"/>
        </w:rPr>
        <w:t>3 examination offices were involved in the validation test). If possible, experienced laboratories familiar with the species and the technique should be involved. If not, a training can be organized ahead of the ring-test with un-coded samples. Laboratories can participate in a ring</w:t>
      </w:r>
      <w:r w:rsidR="00D52685" w:rsidRPr="00D52685">
        <w:rPr>
          <w:lang w:val="nl-NL" w:eastAsia="fr-FR"/>
        </w:rPr>
        <w:noBreakHyphen/>
        <w:t>test on voluntary basis. In case there are no volunteers, then an intra-laboratory reproducibility assesment will be possible with different operators.</w:t>
      </w:r>
    </w:p>
    <w:p w14:paraId="36793252" w14:textId="77777777" w:rsidR="00592AD3" w:rsidRPr="00D52685" w:rsidRDefault="00592AD3" w:rsidP="00592AD3">
      <w:pPr>
        <w:rPr>
          <w:lang w:val="nl-NL" w:eastAsia="nl-NL"/>
        </w:rPr>
      </w:pPr>
    </w:p>
    <w:p w14:paraId="62476F6D" w14:textId="6639BC12" w:rsidR="00D52685" w:rsidRPr="00D52685" w:rsidRDefault="00DC4B65" w:rsidP="00D52685">
      <w:pPr>
        <w:rPr>
          <w:rFonts w:eastAsia="Times New Roman"/>
          <w:lang w:eastAsia="fr-FR"/>
        </w:rPr>
      </w:pPr>
      <w:r>
        <w:rPr>
          <w:rFonts w:hint="eastAsia"/>
          <w:lang w:eastAsia="ja-JP"/>
        </w:rPr>
        <w:t>23.</w:t>
      </w:r>
      <w:r w:rsidR="00D52685" w:rsidRPr="00D52685">
        <w:rPr>
          <w:rFonts w:eastAsia="Times New Roman"/>
          <w:lang w:eastAsia="fr-FR"/>
        </w:rPr>
        <w:tab/>
        <w:t xml:space="preserve">All laboratories must follow the protocol to be validated. In the protocol compulsory and optional parts can be defined by the validation team. </w:t>
      </w:r>
      <w:r w:rsidR="00BD1333" w:rsidRPr="002B0B95">
        <w:rPr>
          <w:rFonts w:eastAsia="Times New Roman"/>
          <w:highlight w:val="lightGray"/>
          <w:u w:val="single"/>
          <w:lang w:eastAsia="fr-FR"/>
        </w:rPr>
        <w:t>Laboratories can participate in a ring</w:t>
      </w:r>
      <w:r w:rsidR="00BD1333" w:rsidRPr="002B0B95">
        <w:rPr>
          <w:rFonts w:ascii="Cambria Math" w:eastAsia="Times New Roman" w:hAnsi="Cambria Math" w:cs="Cambria Math"/>
          <w:highlight w:val="lightGray"/>
          <w:u w:val="single"/>
          <w:lang w:eastAsia="fr-FR"/>
        </w:rPr>
        <w:t>‑</w:t>
      </w:r>
      <w:r w:rsidR="00BD1333" w:rsidRPr="002B0B95">
        <w:rPr>
          <w:rFonts w:eastAsia="Times New Roman"/>
          <w:highlight w:val="lightGray"/>
          <w:u w:val="single"/>
          <w:lang w:eastAsia="fr-FR"/>
        </w:rPr>
        <w:t>test on voluntary basis. In case there are no volunteers, the reproducibility can be determined within one laboratory</w:t>
      </w:r>
      <w:r w:rsidR="00BD1333" w:rsidRPr="002B0B95">
        <w:rPr>
          <w:rFonts w:eastAsia="Times New Roman"/>
          <w:highlight w:val="lightGray"/>
          <w:lang w:eastAsia="fr-FR"/>
        </w:rPr>
        <w:t>.</w:t>
      </w:r>
    </w:p>
    <w:p w14:paraId="698AA37A" w14:textId="77777777" w:rsidR="00D52685" w:rsidRPr="00D52685" w:rsidRDefault="00D52685" w:rsidP="00D52685">
      <w:pPr>
        <w:rPr>
          <w:rFonts w:eastAsia="Times New Roman"/>
          <w:lang w:eastAsia="fr-FR"/>
        </w:rPr>
      </w:pPr>
    </w:p>
    <w:p w14:paraId="06AE7B55" w14:textId="4F01BF84" w:rsidR="00D52685" w:rsidRPr="00D52685" w:rsidRDefault="00DC4B65" w:rsidP="00592AD3">
      <w:pPr>
        <w:keepNext/>
        <w:rPr>
          <w:rFonts w:eastAsia="Times New Roman"/>
          <w:lang w:eastAsia="fr-FR"/>
        </w:rPr>
      </w:pPr>
      <w:r>
        <w:rPr>
          <w:rFonts w:hint="eastAsia"/>
          <w:lang w:eastAsia="ja-JP"/>
        </w:rPr>
        <w:lastRenderedPageBreak/>
        <w:t>24.</w:t>
      </w:r>
      <w:r w:rsidR="00D52685" w:rsidRPr="00D52685">
        <w:rPr>
          <w:rFonts w:eastAsia="Times New Roman"/>
          <w:lang w:eastAsia="fr-FR"/>
        </w:rPr>
        <w:tab/>
        <w:t>Number of varieties: To include at least all expected types of genotype.</w:t>
      </w:r>
    </w:p>
    <w:p w14:paraId="6EBE1097" w14:textId="77777777" w:rsidR="00D52685" w:rsidRPr="00D52685" w:rsidRDefault="00D52685" w:rsidP="00592AD3">
      <w:pPr>
        <w:keepNext/>
        <w:rPr>
          <w:rFonts w:eastAsia="Times New Roman" w:cs="Arial"/>
          <w:lang w:eastAsia="fr-FR"/>
        </w:rPr>
      </w:pPr>
    </w:p>
    <w:p w14:paraId="0C8F7136" w14:textId="02C77E3E" w:rsidR="00D52685" w:rsidRPr="00D52685" w:rsidRDefault="00DC4B65" w:rsidP="00D52685">
      <w:pPr>
        <w:rPr>
          <w:rFonts w:eastAsia="Times New Roman" w:cs="Arial"/>
          <w:lang w:eastAsia="fr-FR"/>
        </w:rPr>
      </w:pPr>
      <w:r>
        <w:rPr>
          <w:rFonts w:cs="Arial" w:hint="eastAsia"/>
          <w:lang w:eastAsia="ja-JP"/>
        </w:rPr>
        <w:t>25.</w:t>
      </w:r>
      <w:r w:rsidR="00D52685" w:rsidRPr="00D52685">
        <w:rPr>
          <w:rFonts w:eastAsia="Times New Roman" w:cs="Arial"/>
          <w:lang w:eastAsia="fr-FR"/>
        </w:rPr>
        <w:tab/>
        <w:t xml:space="preserve">Guidelines/Norms on interlaboratory studies can be followed: ISO 13495 </w:t>
      </w:r>
      <w:r w:rsidR="00D52685" w:rsidRPr="00D52685">
        <w:rPr>
          <w:rFonts w:eastAsia="Times New Roman" w:cs="Arial"/>
          <w:i/>
          <w:iCs/>
          <w:lang w:eastAsia="fr-FR"/>
        </w:rPr>
        <w:t>Foodstuffs - Principles of selection and criteria of validation for varietal identification methods u sing specific nucleic acid</w:t>
      </w:r>
      <w:r w:rsidR="00D52685" w:rsidRPr="00D52685">
        <w:rPr>
          <w:rFonts w:eastAsia="Times New Roman" w:cs="Arial"/>
          <w:lang w:eastAsia="fr-FR"/>
        </w:rPr>
        <w:t xml:space="preserve">, ISO 17043 </w:t>
      </w:r>
      <w:r w:rsidR="00D52685" w:rsidRPr="00D52685">
        <w:rPr>
          <w:rFonts w:eastAsia="Times New Roman" w:cs="Arial"/>
          <w:i/>
          <w:iCs/>
          <w:lang w:eastAsia="fr-FR"/>
        </w:rPr>
        <w:t>Conformity assessment - General requirements for proficiency testing</w:t>
      </w:r>
      <w:r w:rsidR="00D52685" w:rsidRPr="00D52685">
        <w:rPr>
          <w:rFonts w:eastAsia="Times New Roman" w:cs="Arial"/>
          <w:lang w:eastAsia="fr-FR"/>
        </w:rPr>
        <w:t xml:space="preserve">, EPPO pm7-122-2 </w:t>
      </w:r>
      <w:r w:rsidR="00D52685" w:rsidRPr="00D52685">
        <w:rPr>
          <w:rFonts w:eastAsia="Times New Roman" w:cs="Arial"/>
          <w:i/>
          <w:iCs/>
          <w:lang w:eastAsia="fr-FR"/>
        </w:rPr>
        <w:t>Guidelines for the organization of interlaboratory comparisons by plant pest diagnostic laboratories</w:t>
      </w:r>
      <w:r w:rsidR="00D52685" w:rsidRPr="00D52685">
        <w:rPr>
          <w:rFonts w:eastAsia="Times New Roman" w:cs="Arial"/>
          <w:lang w:eastAsia="fr-FR"/>
        </w:rPr>
        <w:t>, ISTA TCOM-P-10-</w:t>
      </w:r>
      <w:r w:rsidR="00D52685" w:rsidRPr="00D52685">
        <w:rPr>
          <w:rFonts w:eastAsia="Times New Roman" w:cs="Arial"/>
          <w:i/>
          <w:iCs/>
          <w:lang w:eastAsia="fr-FR"/>
        </w:rPr>
        <w:t>Validation of seed health methods and organization and analysis of interlaboratory comparative tests (CT)</w:t>
      </w:r>
      <w:r w:rsidR="00D52685" w:rsidRPr="00D52685">
        <w:rPr>
          <w:rFonts w:eastAsia="Times New Roman" w:cs="Arial"/>
          <w:lang w:eastAsia="fr-FR"/>
        </w:rPr>
        <w:t xml:space="preserve">… The validation team can cite the </w:t>
      </w:r>
      <w:proofErr w:type="gramStart"/>
      <w:r w:rsidR="00D52685" w:rsidRPr="00D52685">
        <w:rPr>
          <w:rFonts w:eastAsia="Times New Roman" w:cs="Arial"/>
          <w:lang w:eastAsia="fr-FR"/>
        </w:rPr>
        <w:t>followed</w:t>
      </w:r>
      <w:proofErr w:type="gramEnd"/>
      <w:r w:rsidR="00D52685" w:rsidRPr="00D52685">
        <w:rPr>
          <w:rFonts w:eastAsia="Times New Roman" w:cs="Arial"/>
          <w:lang w:eastAsia="fr-FR"/>
        </w:rPr>
        <w:t xml:space="preserve"> guidelines in its report.</w:t>
      </w:r>
    </w:p>
    <w:p w14:paraId="75F6DDEF" w14:textId="77777777" w:rsidR="00D52685" w:rsidRPr="00D52685" w:rsidRDefault="00D52685" w:rsidP="00D52685">
      <w:pPr>
        <w:rPr>
          <w:rFonts w:eastAsia="Times New Roman"/>
          <w:lang w:eastAsia="fr-FR"/>
        </w:rPr>
      </w:pPr>
      <w:r w:rsidRPr="00D52685">
        <w:rPr>
          <w:rFonts w:eastAsia="Times New Roman"/>
          <w:lang w:eastAsia="fr-FR"/>
        </w:rPr>
        <w:t xml:space="preserve"> </w:t>
      </w:r>
    </w:p>
    <w:p w14:paraId="1AAD184E" w14:textId="77777777" w:rsidR="00D52685" w:rsidRPr="00D52685" w:rsidRDefault="00D52685" w:rsidP="0077577B">
      <w:pPr>
        <w:pStyle w:val="Heading2Annex"/>
      </w:pPr>
      <w:bookmarkStart w:id="105" w:name="_Toc189576570"/>
      <w:bookmarkStart w:id="106" w:name="_Toc210139350"/>
      <w:r w:rsidRPr="00D52685">
        <w:t>Robustness</w:t>
      </w:r>
      <w:bookmarkEnd w:id="105"/>
      <w:bookmarkEnd w:id="106"/>
    </w:p>
    <w:p w14:paraId="7D8A3330" w14:textId="77777777" w:rsidR="00D52685" w:rsidRPr="00D52685" w:rsidRDefault="00D52685" w:rsidP="00D52685">
      <w:pPr>
        <w:rPr>
          <w:rFonts w:eastAsia="Times New Roman"/>
          <w:lang w:eastAsia="fr-FR"/>
        </w:rPr>
      </w:pPr>
    </w:p>
    <w:p w14:paraId="39DAA3E3" w14:textId="77777777" w:rsidR="00D52685" w:rsidRPr="00D52685" w:rsidRDefault="00D52685" w:rsidP="0077577B">
      <w:pPr>
        <w:pStyle w:val="Heading3Annex"/>
      </w:pPr>
      <w:bookmarkStart w:id="107" w:name="_Toc189576571"/>
      <w:bookmarkStart w:id="108" w:name="_Toc210139351"/>
      <w:r w:rsidRPr="00D52685">
        <w:t>Definition</w:t>
      </w:r>
      <w:bookmarkEnd w:id="107"/>
      <w:r w:rsidRPr="00D52685">
        <w:t xml:space="preserve"> (based on ISO 16 577:2016; reference to UPOV/INF/17)</w:t>
      </w:r>
      <w:bookmarkEnd w:id="108"/>
    </w:p>
    <w:p w14:paraId="13CE013A" w14:textId="77777777" w:rsidR="00D52685" w:rsidRPr="00D52685" w:rsidRDefault="00D52685" w:rsidP="00D52685">
      <w:pPr>
        <w:rPr>
          <w:rFonts w:eastAsia="Times New Roman"/>
          <w:highlight w:val="yellow"/>
          <w:lang w:eastAsia="fr-FR"/>
        </w:rPr>
      </w:pPr>
    </w:p>
    <w:p w14:paraId="6111C5AA" w14:textId="45373135" w:rsidR="00D52685" w:rsidRPr="00D52685" w:rsidRDefault="00DC4B65" w:rsidP="00D52685">
      <w:pPr>
        <w:rPr>
          <w:rFonts w:eastAsia="Times New Roman"/>
          <w:lang w:eastAsia="fr-FR"/>
        </w:rPr>
      </w:pPr>
      <w:r>
        <w:rPr>
          <w:rFonts w:hint="eastAsia"/>
          <w:lang w:eastAsia="ja-JP"/>
        </w:rPr>
        <w:t>26.</w:t>
      </w:r>
      <w:r w:rsidR="00D52685" w:rsidRPr="00D52685">
        <w:rPr>
          <w:rFonts w:eastAsia="Times New Roman"/>
          <w:lang w:eastAsia="fr-FR"/>
        </w:rPr>
        <w:tab/>
        <w:t>“</w:t>
      </w:r>
      <w:r w:rsidR="00D52685" w:rsidRPr="00D52685">
        <w:rPr>
          <w:rFonts w:eastAsia="Times New Roman"/>
          <w:i/>
          <w:iCs/>
          <w:lang w:eastAsia="fr-FR"/>
        </w:rPr>
        <w:t>Robustness;</w:t>
      </w:r>
      <w:r w:rsidR="00D52685" w:rsidRPr="00D52685" w:rsidDel="0038405F">
        <w:rPr>
          <w:rFonts w:eastAsia="Times New Roman"/>
          <w:i/>
          <w:iCs/>
          <w:lang w:eastAsia="fr-FR"/>
        </w:rPr>
        <w:t xml:space="preserve"> </w:t>
      </w:r>
      <w:r w:rsidR="00D52685" w:rsidRPr="00D52685">
        <w:rPr>
          <w:rFonts w:eastAsia="Times New Roman"/>
          <w:i/>
          <w:iCs/>
          <w:lang w:eastAsia="fr-FR"/>
        </w:rPr>
        <w:t>a measure of its capacity to remain unaffected by small, but deliberate deviations from the experimental conditions described in the procedure parameters and provides an indication of its reliability during normal usage”</w:t>
      </w:r>
      <w:r w:rsidR="00D52685" w:rsidRPr="00D52685" w:rsidDel="00D90DCE">
        <w:rPr>
          <w:rFonts w:eastAsia="Times New Roman"/>
          <w:lang w:eastAsia="fr-FR"/>
        </w:rPr>
        <w:t xml:space="preserve"> </w:t>
      </w:r>
      <w:r w:rsidR="00D52685" w:rsidRPr="00D52685">
        <w:rPr>
          <w:rFonts w:eastAsia="Times New Roman"/>
          <w:lang w:eastAsia="fr-FR"/>
        </w:rPr>
        <w:t>(</w:t>
      </w:r>
      <w:r w:rsidR="00D52685" w:rsidRPr="00D52685">
        <w:rPr>
          <w:rFonts w:eastAsia="Times New Roman"/>
          <w:i/>
          <w:iCs/>
          <w:lang w:eastAsia="fr-FR"/>
        </w:rPr>
        <w:t>e.g.</w:t>
      </w:r>
      <w:r w:rsidR="00D52685" w:rsidRPr="00D52685">
        <w:rPr>
          <w:rFonts w:eastAsia="Times New Roman"/>
          <w:lang w:eastAsia="fr-FR"/>
        </w:rPr>
        <w:t xml:space="preserve"> change of DNA extraction method or change of real time machine).</w:t>
      </w:r>
    </w:p>
    <w:p w14:paraId="01D9026C" w14:textId="77777777" w:rsidR="00D52685" w:rsidRPr="00D52685" w:rsidRDefault="00D52685" w:rsidP="00D52685">
      <w:pPr>
        <w:rPr>
          <w:rFonts w:eastAsia="Times New Roman"/>
          <w:lang w:eastAsia="fr-FR"/>
        </w:rPr>
      </w:pPr>
    </w:p>
    <w:p w14:paraId="7D3E9FC7" w14:textId="77777777" w:rsidR="00D52685" w:rsidRPr="00D52685" w:rsidRDefault="00D52685" w:rsidP="0077577B">
      <w:pPr>
        <w:pStyle w:val="Heading3Annex"/>
      </w:pPr>
      <w:bookmarkStart w:id="109" w:name="_Toc189576572"/>
      <w:bookmarkStart w:id="110" w:name="_Toc210139352"/>
      <w:r w:rsidRPr="00D52685">
        <w:t>Requirement</w:t>
      </w:r>
      <w:bookmarkEnd w:id="109"/>
      <w:bookmarkEnd w:id="110"/>
    </w:p>
    <w:p w14:paraId="66849E7D" w14:textId="77777777" w:rsidR="00D52685" w:rsidRPr="00D52685" w:rsidRDefault="00D52685" w:rsidP="00D52685">
      <w:pPr>
        <w:rPr>
          <w:rFonts w:eastAsia="Times New Roman"/>
          <w:lang w:eastAsia="fr-FR"/>
        </w:rPr>
      </w:pPr>
    </w:p>
    <w:p w14:paraId="08C1024C" w14:textId="61833338" w:rsidR="00D52685" w:rsidRPr="00D52685" w:rsidRDefault="00DC4B65" w:rsidP="00D52685">
      <w:pPr>
        <w:rPr>
          <w:rFonts w:eastAsia="Times New Roman"/>
          <w:lang w:eastAsia="fr-FR"/>
        </w:rPr>
      </w:pPr>
      <w:r>
        <w:rPr>
          <w:rFonts w:hint="eastAsia"/>
          <w:lang w:eastAsia="ja-JP"/>
        </w:rPr>
        <w:t>27.</w:t>
      </w:r>
      <w:r w:rsidR="00D52685" w:rsidRPr="00D52685">
        <w:rPr>
          <w:rFonts w:eastAsia="Times New Roman"/>
          <w:lang w:eastAsia="fr-FR"/>
        </w:rPr>
        <w:tab/>
        <w:t>Ideally 100%, if less that means that the method is not robust to a change of one parameter and this should be indicated in the protocol as a mandatory step (</w:t>
      </w:r>
      <w:r w:rsidR="00D52685" w:rsidRPr="00D52685">
        <w:rPr>
          <w:rFonts w:eastAsia="Times New Roman"/>
          <w:i/>
          <w:iCs/>
          <w:lang w:eastAsia="fr-FR"/>
        </w:rPr>
        <w:t>e.g.</w:t>
      </w:r>
      <w:r w:rsidR="00D52685" w:rsidRPr="00D52685">
        <w:rPr>
          <w:rFonts w:eastAsia="Times New Roman"/>
          <w:lang w:eastAsia="fr-FR"/>
        </w:rPr>
        <w:t xml:space="preserve"> a change of a </w:t>
      </w:r>
      <w:proofErr w:type="spellStart"/>
      <w:r w:rsidR="00D52685" w:rsidRPr="00D52685">
        <w:rPr>
          <w:rFonts w:eastAsia="Times New Roman"/>
          <w:lang w:eastAsia="fr-FR"/>
        </w:rPr>
        <w:t>mastermix</w:t>
      </w:r>
      <w:proofErr w:type="spellEnd"/>
      <w:r w:rsidR="00D52685" w:rsidRPr="00D52685">
        <w:rPr>
          <w:rFonts w:eastAsia="Times New Roman"/>
          <w:lang w:eastAsia="fr-FR"/>
        </w:rPr>
        <w:t xml:space="preserve"> that would be critical).</w:t>
      </w:r>
    </w:p>
    <w:p w14:paraId="6F81CBC3" w14:textId="77777777" w:rsidR="00D52685" w:rsidRPr="00D52685" w:rsidRDefault="00D52685" w:rsidP="00D52685">
      <w:pPr>
        <w:rPr>
          <w:rFonts w:eastAsia="Times New Roman"/>
          <w:lang w:eastAsia="fr-FR"/>
        </w:rPr>
      </w:pPr>
    </w:p>
    <w:p w14:paraId="6172F3D8" w14:textId="77777777" w:rsidR="00D52685" w:rsidRPr="00D52685" w:rsidRDefault="00D52685" w:rsidP="0077577B">
      <w:pPr>
        <w:pStyle w:val="Heading3Annex"/>
      </w:pPr>
      <w:bookmarkStart w:id="111" w:name="_Toc189576573"/>
      <w:bookmarkStart w:id="112" w:name="_Toc210139353"/>
      <w:r w:rsidRPr="00D52685">
        <w:t xml:space="preserve">How </w:t>
      </w:r>
      <w:proofErr w:type="gramStart"/>
      <w:r w:rsidRPr="00D52685">
        <w:t>to</w:t>
      </w:r>
      <w:proofErr w:type="gramEnd"/>
      <w:r w:rsidRPr="00D52685">
        <w:t xml:space="preserve"> evaluate it?</w:t>
      </w:r>
      <w:bookmarkEnd w:id="111"/>
      <w:bookmarkEnd w:id="112"/>
    </w:p>
    <w:p w14:paraId="120196FD" w14:textId="77777777" w:rsidR="00D52685" w:rsidRPr="00D52685" w:rsidRDefault="00D52685" w:rsidP="00D52685">
      <w:pPr>
        <w:rPr>
          <w:rFonts w:eastAsia="Times New Roman"/>
          <w:lang w:eastAsia="fr-FR"/>
        </w:rPr>
      </w:pPr>
    </w:p>
    <w:p w14:paraId="620A2281" w14:textId="0373AD56" w:rsidR="00D52685" w:rsidRPr="00D52685" w:rsidRDefault="00DC4B65" w:rsidP="00D52685">
      <w:pPr>
        <w:rPr>
          <w:rFonts w:eastAsia="Times New Roman"/>
          <w:lang w:eastAsia="fr-FR"/>
        </w:rPr>
      </w:pPr>
      <w:r>
        <w:rPr>
          <w:rFonts w:hint="eastAsia"/>
          <w:lang w:eastAsia="ja-JP"/>
        </w:rPr>
        <w:t>28.</w:t>
      </w:r>
      <w:r w:rsidR="00D52685" w:rsidRPr="00D52685">
        <w:rPr>
          <w:rFonts w:eastAsia="Times New Roman"/>
          <w:lang w:eastAsia="fr-FR"/>
        </w:rPr>
        <w:tab/>
        <w:t xml:space="preserve">It is optional to assess, and robustness is evaluated partially during the ring test (reproducibility), (different laboratories, equipment, machinery, </w:t>
      </w:r>
      <w:r w:rsidR="00D52685" w:rsidRPr="00E22647">
        <w:rPr>
          <w:rFonts w:eastAsia="Times New Roman"/>
          <w:strike/>
          <w:highlight w:val="lightGray"/>
          <w:lang w:eastAsia="fr-FR"/>
        </w:rPr>
        <w:t>persons</w:t>
      </w:r>
      <w:r w:rsidR="00D52685" w:rsidRPr="00D52685">
        <w:rPr>
          <w:rFonts w:eastAsia="Times New Roman"/>
          <w:lang w:eastAsia="fr-FR"/>
        </w:rPr>
        <w:t>, etc.).</w:t>
      </w:r>
    </w:p>
    <w:p w14:paraId="39DA8A5A" w14:textId="77777777" w:rsidR="00D52685" w:rsidRPr="00D52685" w:rsidRDefault="00D52685" w:rsidP="00D52685">
      <w:pPr>
        <w:rPr>
          <w:rFonts w:eastAsia="Times New Roman"/>
          <w:lang w:eastAsia="fr-FR"/>
        </w:rPr>
      </w:pPr>
    </w:p>
    <w:p w14:paraId="0FFA7038" w14:textId="77777777" w:rsidR="00D52685" w:rsidRPr="00D52685" w:rsidRDefault="00D52685" w:rsidP="00D52685">
      <w:pPr>
        <w:rPr>
          <w:rFonts w:eastAsia="Times New Roman"/>
          <w:lang w:eastAsia="fr-FR"/>
        </w:rPr>
      </w:pPr>
    </w:p>
    <w:p w14:paraId="15AFDFCD" w14:textId="77777777" w:rsidR="00D52685" w:rsidRPr="00D52685" w:rsidRDefault="00D52685" w:rsidP="0077577B">
      <w:pPr>
        <w:pStyle w:val="Heading1Annex"/>
        <w:rPr>
          <w:lang w:val="en-GB"/>
        </w:rPr>
      </w:pPr>
      <w:bookmarkStart w:id="113" w:name="_Toc189576574"/>
      <w:bookmarkStart w:id="114" w:name="_Toc210139354"/>
      <w:r w:rsidRPr="00D52685">
        <w:rPr>
          <w:lang w:val="en-GB"/>
        </w:rPr>
        <w:t>IV.</w:t>
      </w:r>
      <w:r w:rsidRPr="00D52685">
        <w:rPr>
          <w:lang w:val="en-GB"/>
        </w:rPr>
        <w:tab/>
        <w:t>Validation report</w:t>
      </w:r>
      <w:bookmarkEnd w:id="113"/>
      <w:bookmarkEnd w:id="114"/>
    </w:p>
    <w:p w14:paraId="17296B94" w14:textId="77777777" w:rsidR="00D52685" w:rsidRPr="00D52685" w:rsidRDefault="00D52685" w:rsidP="00D52685">
      <w:pPr>
        <w:rPr>
          <w:rFonts w:eastAsia="Times New Roman"/>
          <w:lang w:eastAsia="fr-FR"/>
        </w:rPr>
      </w:pPr>
    </w:p>
    <w:p w14:paraId="2B10D7C5" w14:textId="7DD2CDEC" w:rsidR="00D52685" w:rsidRPr="00D52685" w:rsidRDefault="00DC4B65" w:rsidP="00D52685">
      <w:pPr>
        <w:rPr>
          <w:rFonts w:eastAsia="Arial"/>
        </w:rPr>
      </w:pPr>
      <w:r>
        <w:rPr>
          <w:rFonts w:hint="eastAsia"/>
          <w:szCs w:val="24"/>
          <w:lang w:eastAsia="ja-JP"/>
        </w:rPr>
        <w:t>29.</w:t>
      </w:r>
      <w:r w:rsidR="00D52685" w:rsidRPr="00D52685">
        <w:rPr>
          <w:rFonts w:eastAsia="Times New Roman"/>
          <w:szCs w:val="24"/>
          <w:lang w:eastAsia="fr-FR"/>
        </w:rPr>
        <w:tab/>
        <w:t xml:space="preserve">The validation report </w:t>
      </w:r>
      <w:r w:rsidR="00D52685" w:rsidRPr="00D52685">
        <w:rPr>
          <w:rFonts w:eastAsia="Arial"/>
        </w:rPr>
        <w:t xml:space="preserve">and results must be peer-reviewed by two (preferably 3 if the reproducibility was done within one laboratory) of the responsible bodies. </w:t>
      </w:r>
      <w:r w:rsidR="00D52685" w:rsidRPr="00832960">
        <w:rPr>
          <w:rFonts w:eastAsia="Arial"/>
          <w:highlight w:val="lightGray"/>
          <w:u w:val="single"/>
        </w:rPr>
        <w:t>Reviewing is on voluntary basis but preferably perfor</w:t>
      </w:r>
      <w:r w:rsidR="008B3FE8" w:rsidRPr="00832960">
        <w:rPr>
          <w:rFonts w:hint="eastAsia"/>
          <w:highlight w:val="lightGray"/>
          <w:u w:val="single"/>
          <w:lang w:eastAsia="ja-JP"/>
        </w:rPr>
        <w:t>med</w:t>
      </w:r>
      <w:r w:rsidR="00D52685" w:rsidRPr="00832960">
        <w:rPr>
          <w:rFonts w:eastAsia="Arial"/>
          <w:highlight w:val="lightGray"/>
          <w:u w:val="single"/>
        </w:rPr>
        <w:t xml:space="preserve"> by laboratory familiar with the species and the method.</w:t>
      </w:r>
    </w:p>
    <w:p w14:paraId="40327396" w14:textId="77777777" w:rsidR="00D52685" w:rsidRPr="00D52685" w:rsidRDefault="00D52685" w:rsidP="00D52685">
      <w:pPr>
        <w:rPr>
          <w:rFonts w:eastAsia="Arial"/>
        </w:rPr>
      </w:pPr>
    </w:p>
    <w:p w14:paraId="6A892538" w14:textId="34166105" w:rsidR="00D52685" w:rsidRPr="00D52685" w:rsidRDefault="00DC4B65" w:rsidP="00D52685">
      <w:pPr>
        <w:rPr>
          <w:rFonts w:eastAsia="Arial"/>
        </w:rPr>
      </w:pPr>
      <w:r>
        <w:rPr>
          <w:rFonts w:hint="eastAsia"/>
          <w:lang w:eastAsia="ja-JP"/>
        </w:rPr>
        <w:t>30.</w:t>
      </w:r>
      <w:r w:rsidR="00D52685" w:rsidRPr="00D52685">
        <w:rPr>
          <w:rFonts w:eastAsia="Arial"/>
        </w:rPr>
        <w:tab/>
        <w:t>During the reviewing process, the reviewers can require extra validation data in concertation with the validation team.</w:t>
      </w:r>
    </w:p>
    <w:p w14:paraId="2A65CC7B" w14:textId="77777777" w:rsidR="00D52685" w:rsidRPr="00D52685" w:rsidRDefault="00D52685" w:rsidP="00D52685">
      <w:pPr>
        <w:rPr>
          <w:rFonts w:eastAsia="Times New Roman"/>
          <w:szCs w:val="24"/>
          <w:u w:val="single"/>
          <w:lang w:eastAsia="fr-FR"/>
        </w:rPr>
      </w:pPr>
    </w:p>
    <w:p w14:paraId="1E625D2F" w14:textId="77777777" w:rsidR="00D52685" w:rsidRPr="00D52685" w:rsidRDefault="00D52685" w:rsidP="0077577B">
      <w:pPr>
        <w:pStyle w:val="Heading2Annex"/>
      </w:pPr>
      <w:bookmarkStart w:id="115" w:name="_Toc210139355"/>
      <w:r w:rsidRPr="00D52685">
        <w:t>Content of the validation report</w:t>
      </w:r>
      <w:bookmarkEnd w:id="115"/>
    </w:p>
    <w:p w14:paraId="3E9D8707" w14:textId="77777777" w:rsidR="00D52685" w:rsidRPr="00D52685" w:rsidRDefault="00D52685" w:rsidP="00D52685">
      <w:pPr>
        <w:keepNext/>
        <w:rPr>
          <w:rFonts w:eastAsia="Times New Roman"/>
          <w:u w:val="single"/>
          <w:lang w:eastAsia="fr-FR"/>
        </w:rPr>
      </w:pPr>
    </w:p>
    <w:p w14:paraId="3C51DECD" w14:textId="77777777" w:rsidR="00D52685" w:rsidRPr="00D52685" w:rsidRDefault="00D52685" w:rsidP="00D52685">
      <w:pPr>
        <w:keepNext/>
        <w:numPr>
          <w:ilvl w:val="0"/>
          <w:numId w:val="15"/>
        </w:numPr>
        <w:spacing w:after="200" w:line="276" w:lineRule="auto"/>
        <w:contextualSpacing/>
        <w:rPr>
          <w:rFonts w:eastAsia="Calibri" w:cs="Arial"/>
        </w:rPr>
      </w:pPr>
      <w:r w:rsidRPr="00D52685">
        <w:rPr>
          <w:rFonts w:eastAsia="Calibri" w:cs="Arial"/>
        </w:rPr>
        <w:t>Raw data generated during the different steps of the validation process</w:t>
      </w:r>
    </w:p>
    <w:p w14:paraId="2BDD2E59" w14:textId="77777777" w:rsidR="00D52685" w:rsidRPr="00D52685" w:rsidRDefault="00D52685" w:rsidP="00D52685">
      <w:pPr>
        <w:keepNext/>
        <w:numPr>
          <w:ilvl w:val="0"/>
          <w:numId w:val="15"/>
        </w:numPr>
        <w:spacing w:after="200" w:line="276" w:lineRule="auto"/>
        <w:contextualSpacing/>
        <w:rPr>
          <w:rFonts w:eastAsia="Calibri" w:cs="Arial"/>
        </w:rPr>
      </w:pPr>
      <w:r w:rsidRPr="00D52685">
        <w:rPr>
          <w:rFonts w:eastAsia="Calibri" w:cs="Arial"/>
        </w:rPr>
        <w:t>Detail protocol with optional and compulsory steps defined</w:t>
      </w:r>
    </w:p>
    <w:p w14:paraId="5F47D7EF" w14:textId="77777777" w:rsidR="00D52685" w:rsidRPr="00D52685" w:rsidRDefault="00D52685" w:rsidP="00D52685">
      <w:pPr>
        <w:keepNext/>
        <w:numPr>
          <w:ilvl w:val="0"/>
          <w:numId w:val="15"/>
        </w:numPr>
        <w:spacing w:after="200" w:line="276" w:lineRule="auto"/>
        <w:contextualSpacing/>
        <w:rPr>
          <w:rFonts w:eastAsia="Calibri" w:cs="Arial"/>
        </w:rPr>
      </w:pPr>
      <w:r w:rsidRPr="00D52685">
        <w:rPr>
          <w:rFonts w:eastAsia="Calibri" w:cs="Arial"/>
        </w:rPr>
        <w:t>Performance criteria assessment</w:t>
      </w:r>
    </w:p>
    <w:p w14:paraId="6233D03A" w14:textId="77777777" w:rsidR="00D52685" w:rsidRPr="00D52685" w:rsidRDefault="00D52685" w:rsidP="00D52685">
      <w:pPr>
        <w:numPr>
          <w:ilvl w:val="0"/>
          <w:numId w:val="15"/>
        </w:numPr>
        <w:spacing w:after="200" w:line="276" w:lineRule="auto"/>
        <w:contextualSpacing/>
        <w:rPr>
          <w:rFonts w:eastAsia="Calibri" w:cs="Arial"/>
        </w:rPr>
      </w:pPr>
      <w:r w:rsidRPr="00D52685">
        <w:rPr>
          <w:rFonts w:eastAsia="Calibri" w:cs="Arial"/>
        </w:rPr>
        <w:t>Conclusion</w:t>
      </w:r>
    </w:p>
    <w:p w14:paraId="78C82A31" w14:textId="77777777" w:rsidR="00D52685" w:rsidRPr="00D52685" w:rsidRDefault="00D52685" w:rsidP="00D52685">
      <w:pPr>
        <w:rPr>
          <w:rFonts w:eastAsia="Calibri"/>
        </w:rPr>
      </w:pPr>
    </w:p>
    <w:p w14:paraId="320793EF" w14:textId="77777777" w:rsidR="00D52685" w:rsidRPr="00D52685" w:rsidRDefault="00D52685" w:rsidP="0077577B">
      <w:pPr>
        <w:pStyle w:val="Heading2Annex"/>
      </w:pPr>
      <w:bookmarkStart w:id="116" w:name="_Toc210139356"/>
      <w:r w:rsidRPr="00D52685">
        <w:t>Publicity</w:t>
      </w:r>
      <w:bookmarkEnd w:id="116"/>
    </w:p>
    <w:p w14:paraId="67C314A9" w14:textId="77777777" w:rsidR="00D52685" w:rsidRPr="00D52685" w:rsidRDefault="00D52685" w:rsidP="00D52685">
      <w:pPr>
        <w:keepNext/>
        <w:rPr>
          <w:rFonts w:eastAsia="Times New Roman"/>
          <w:lang w:eastAsia="fr-FR"/>
        </w:rPr>
      </w:pPr>
    </w:p>
    <w:p w14:paraId="41FC7342" w14:textId="065B79BA" w:rsidR="00D52685" w:rsidRPr="00D52685" w:rsidRDefault="00DC4B65" w:rsidP="00D52685">
      <w:pPr>
        <w:rPr>
          <w:rFonts w:eastAsia="Times New Roman"/>
          <w:lang w:eastAsia="fr-FR"/>
        </w:rPr>
      </w:pPr>
      <w:r>
        <w:rPr>
          <w:rFonts w:hint="eastAsia"/>
          <w:lang w:eastAsia="ja-JP"/>
        </w:rPr>
        <w:t>31.</w:t>
      </w:r>
      <w:r w:rsidR="00D52685" w:rsidRPr="00D52685">
        <w:rPr>
          <w:rFonts w:eastAsia="Times New Roman"/>
          <w:lang w:eastAsia="fr-FR"/>
        </w:rPr>
        <w:tab/>
        <w:t xml:space="preserve">The validation report should be available upon request. In the new protocol the validation process should be mentioned with the contact examination office. In some particular cases, </w:t>
      </w:r>
      <w:r w:rsidR="00D52685" w:rsidRPr="00D52685">
        <w:rPr>
          <w:rFonts w:eastAsia="Times New Roman"/>
          <w:i/>
          <w:lang w:eastAsia="fr-FR"/>
        </w:rPr>
        <w:t>e.g.</w:t>
      </w:r>
      <w:r w:rsidR="00D52685" w:rsidRPr="00D52685">
        <w:rPr>
          <w:rFonts w:eastAsia="Times New Roman"/>
          <w:lang w:eastAsia="fr-FR"/>
        </w:rPr>
        <w:t xml:space="preserve"> a “trade secret protocol” (cytoplasmic male sterility in cabbage), the protocol and the validation report could </w:t>
      </w:r>
      <w:r w:rsidR="00D52685" w:rsidRPr="004C4F81">
        <w:rPr>
          <w:rFonts w:eastAsia="Times New Roman"/>
          <w:strike/>
          <w:highlight w:val="lightGray"/>
          <w:lang w:eastAsia="fr-FR"/>
        </w:rPr>
        <w:t>not</w:t>
      </w:r>
      <w:r w:rsidR="00D52685" w:rsidRPr="00D52685">
        <w:rPr>
          <w:rFonts w:eastAsia="Times New Roman"/>
          <w:lang w:eastAsia="fr-FR"/>
        </w:rPr>
        <w:t xml:space="preserve"> be </w:t>
      </w:r>
      <w:r w:rsidR="002B61CD" w:rsidRPr="004C4F81">
        <w:rPr>
          <w:rFonts w:eastAsia="Times New Roman"/>
          <w:highlight w:val="lightGray"/>
          <w:u w:val="single"/>
          <w:lang w:eastAsia="fr-FR"/>
        </w:rPr>
        <w:t>only</w:t>
      </w:r>
      <w:r w:rsidR="002B61CD" w:rsidRPr="004C4F81">
        <w:rPr>
          <w:rFonts w:eastAsia="Times New Roman"/>
          <w:u w:val="single"/>
          <w:lang w:eastAsia="fr-FR"/>
        </w:rPr>
        <w:t xml:space="preserve"> </w:t>
      </w:r>
      <w:r w:rsidR="00D52685" w:rsidRPr="00D52685">
        <w:rPr>
          <w:rFonts w:eastAsia="Times New Roman"/>
          <w:lang w:eastAsia="fr-FR"/>
        </w:rPr>
        <w:t xml:space="preserve">shared </w:t>
      </w:r>
      <w:r w:rsidR="00D52685" w:rsidRPr="004C4F81">
        <w:rPr>
          <w:rFonts w:eastAsia="Times New Roman"/>
          <w:strike/>
          <w:highlight w:val="lightGray"/>
          <w:lang w:eastAsia="fr-FR"/>
        </w:rPr>
        <w:t>outside</w:t>
      </w:r>
      <w:r w:rsidR="00D52685" w:rsidRPr="00D52685">
        <w:rPr>
          <w:rFonts w:eastAsia="Times New Roman"/>
          <w:lang w:eastAsia="fr-FR"/>
        </w:rPr>
        <w:t xml:space="preserve"> </w:t>
      </w:r>
      <w:r w:rsidR="00D52685" w:rsidRPr="00C66BD4">
        <w:rPr>
          <w:rFonts w:eastAsia="Times New Roman"/>
          <w:strike/>
          <w:highlight w:val="lightGray"/>
          <w:lang w:eastAsia="fr-FR"/>
        </w:rPr>
        <w:t>of the</w:t>
      </w:r>
      <w:r w:rsidR="00D52685" w:rsidRPr="00D52685">
        <w:rPr>
          <w:rFonts w:eastAsia="Times New Roman"/>
          <w:lang w:eastAsia="fr-FR"/>
        </w:rPr>
        <w:t xml:space="preserve"> </w:t>
      </w:r>
      <w:r w:rsidR="002B61CD" w:rsidRPr="00C66BD4">
        <w:rPr>
          <w:rFonts w:eastAsia="Times New Roman"/>
          <w:highlight w:val="lightGray"/>
          <w:u w:val="single"/>
          <w:lang w:eastAsia="fr-FR"/>
        </w:rPr>
        <w:t>between</w:t>
      </w:r>
      <w:r w:rsidR="002B61CD">
        <w:rPr>
          <w:rFonts w:eastAsia="Times New Roman"/>
          <w:lang w:eastAsia="fr-FR"/>
        </w:rPr>
        <w:t xml:space="preserve"> </w:t>
      </w:r>
      <w:r w:rsidR="00D52685" w:rsidRPr="00D52685">
        <w:rPr>
          <w:rFonts w:eastAsia="Times New Roman"/>
          <w:lang w:eastAsia="fr-FR"/>
        </w:rPr>
        <w:t>examination offices.</w:t>
      </w:r>
    </w:p>
    <w:p w14:paraId="0CDE78FB" w14:textId="77777777" w:rsidR="00D52685" w:rsidRDefault="00D52685" w:rsidP="00D52685">
      <w:pPr>
        <w:rPr>
          <w:rFonts w:eastAsia="Times New Roman"/>
          <w:lang w:eastAsia="fr-FR"/>
        </w:rPr>
      </w:pPr>
    </w:p>
    <w:p w14:paraId="71D76716" w14:textId="77777777" w:rsidR="0077577B" w:rsidRPr="00D52685" w:rsidRDefault="0077577B" w:rsidP="00D52685">
      <w:pPr>
        <w:rPr>
          <w:rFonts w:eastAsia="Times New Roman"/>
          <w:lang w:eastAsia="fr-FR"/>
        </w:rPr>
      </w:pPr>
    </w:p>
    <w:p w14:paraId="4DD3EC08" w14:textId="5035954A" w:rsidR="00D52685" w:rsidRPr="00D52685" w:rsidRDefault="00D52685" w:rsidP="0077577B">
      <w:pPr>
        <w:pStyle w:val="Heading1Annex"/>
        <w:rPr>
          <w:lang w:val="en-GB"/>
        </w:rPr>
      </w:pPr>
      <w:bookmarkStart w:id="117" w:name="_Toc210139357"/>
      <w:bookmarkStart w:id="118" w:name="_Toc189576575"/>
      <w:r w:rsidRPr="00D52685">
        <w:rPr>
          <w:lang w:val="en-GB"/>
        </w:rPr>
        <w:t>V.</w:t>
      </w:r>
      <w:r w:rsidRPr="00D52685">
        <w:rPr>
          <w:lang w:val="en-GB"/>
        </w:rPr>
        <w:tab/>
        <w:t>Standard Protocol for characteristic-specific molecular marker</w:t>
      </w:r>
      <w:bookmarkEnd w:id="117"/>
      <w:r w:rsidRPr="00D52685">
        <w:rPr>
          <w:lang w:val="en-GB"/>
        </w:rPr>
        <w:t xml:space="preserve"> </w:t>
      </w:r>
      <w:bookmarkEnd w:id="118"/>
    </w:p>
    <w:p w14:paraId="5612C73F" w14:textId="77777777" w:rsidR="00D52685" w:rsidRPr="00D52685" w:rsidRDefault="00D52685" w:rsidP="00D52685">
      <w:pPr>
        <w:rPr>
          <w:rFonts w:eastAsia="Times New Roman"/>
          <w:lang w:eastAsia="fr-FR"/>
        </w:rPr>
      </w:pPr>
    </w:p>
    <w:p w14:paraId="29729BA6" w14:textId="10C6C6E1" w:rsidR="00D52685" w:rsidRPr="00D52685" w:rsidRDefault="00DC4B65" w:rsidP="00D52685">
      <w:pPr>
        <w:rPr>
          <w:rFonts w:eastAsia="Times New Roman"/>
          <w:lang w:eastAsia="fr-FR"/>
        </w:rPr>
      </w:pPr>
      <w:r>
        <w:rPr>
          <w:rFonts w:hint="eastAsia"/>
          <w:lang w:eastAsia="ja-JP"/>
        </w:rPr>
        <w:t>32.</w:t>
      </w:r>
      <w:r w:rsidR="00D52685" w:rsidRPr="00D52685">
        <w:rPr>
          <w:rFonts w:eastAsia="Times New Roman"/>
          <w:lang w:eastAsia="fr-FR"/>
        </w:rPr>
        <w:tab/>
        <w:t xml:space="preserve">Compulsory elements are indicated in the column “essential information”, the other elements may be used depending on the characteristic test protocol. If a laboratory wants to adapt/modify/change a mandatory chapter or element of a mandatory </w:t>
      </w:r>
      <w:proofErr w:type="gramStart"/>
      <w:r w:rsidR="00D52685" w:rsidRPr="00D52685">
        <w:rPr>
          <w:rFonts w:eastAsia="Times New Roman"/>
          <w:lang w:eastAsia="fr-FR"/>
        </w:rPr>
        <w:t>chapter</w:t>
      </w:r>
      <w:proofErr w:type="gramEnd"/>
      <w:r w:rsidR="00D52685" w:rsidRPr="00D52685">
        <w:rPr>
          <w:rFonts w:eastAsia="Times New Roman"/>
          <w:lang w:eastAsia="fr-FR"/>
        </w:rPr>
        <w:t xml:space="preserve"> it must validate its method in comparison to the reference method (to show that you obtain the same results as the published method).</w:t>
      </w:r>
    </w:p>
    <w:p w14:paraId="2CC9E807" w14:textId="77777777" w:rsidR="00D52685" w:rsidRPr="00D52685" w:rsidRDefault="00D52685" w:rsidP="00D52685">
      <w:pPr>
        <w:rPr>
          <w:rFonts w:eastAsia="Times New Roman"/>
          <w:lang w:eastAsia="fr-FR"/>
        </w:rPr>
      </w:pPr>
    </w:p>
    <w:p w14:paraId="58D71B46" w14:textId="58E24DBE" w:rsidR="00D52685" w:rsidRPr="00D52685" w:rsidRDefault="00D52685" w:rsidP="00D52685">
      <w:pPr>
        <w:keepNext/>
        <w:jc w:val="center"/>
        <w:rPr>
          <w:rFonts w:eastAsia="Times New Roman"/>
          <w:lang w:eastAsia="fr-FR"/>
        </w:rPr>
      </w:pPr>
      <w:r w:rsidRPr="00D52685">
        <w:rPr>
          <w:rFonts w:eastAsia="Calibri" w:cs="Arial"/>
        </w:rPr>
        <w:lastRenderedPageBreak/>
        <w:t>Table 1</w:t>
      </w:r>
      <w:r w:rsidRPr="00D52685">
        <w:rPr>
          <w:rFonts w:eastAsia="Times New Roman"/>
          <w:lang w:eastAsia="fr-FR"/>
        </w:rPr>
        <w:t xml:space="preserve">: Standard characteristic-specific molecular marker protocol (Modifications are </w:t>
      </w:r>
      <w:r w:rsidRPr="00D52685">
        <w:rPr>
          <w:rFonts w:eastAsia="Times New Roman"/>
          <w:highlight w:val="lightGray"/>
          <w:lang w:eastAsia="fr-FR"/>
        </w:rPr>
        <w:t>highlighted in grey</w:t>
      </w:r>
      <w:r w:rsidRPr="00D52685">
        <w:rPr>
          <w:rFonts w:eastAsia="Times New Roman"/>
          <w:lang w:eastAsia="fr-FR"/>
        </w:rPr>
        <w:t>)</w:t>
      </w:r>
    </w:p>
    <w:p w14:paraId="4F3E3840" w14:textId="77777777" w:rsidR="00D52685" w:rsidRPr="00D52685" w:rsidRDefault="00D52685" w:rsidP="00D52685">
      <w:pPr>
        <w:keepNext/>
        <w:rPr>
          <w:rFonts w:eastAsia="Times New Roman"/>
          <w:lang w:eastAsia="fr-FR"/>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28" w:type="dxa"/>
          <w:right w:w="28" w:type="dxa"/>
        </w:tblCellMar>
        <w:tblLook w:val="04A0" w:firstRow="1" w:lastRow="0" w:firstColumn="1" w:lastColumn="0" w:noHBand="0" w:noVBand="1"/>
      </w:tblPr>
      <w:tblGrid>
        <w:gridCol w:w="700"/>
        <w:gridCol w:w="1565"/>
        <w:gridCol w:w="2415"/>
        <w:gridCol w:w="986"/>
        <w:gridCol w:w="3953"/>
        <w:gridCol w:w="160"/>
      </w:tblGrid>
      <w:tr w:rsidR="00D52685" w:rsidRPr="00D52685" w14:paraId="2949FA35" w14:textId="77777777" w:rsidTr="008F512A">
        <w:trPr>
          <w:gridAfter w:val="1"/>
          <w:wAfter w:w="82" w:type="pct"/>
          <w:trHeight w:val="810"/>
          <w:tblHeader/>
        </w:trPr>
        <w:tc>
          <w:tcPr>
            <w:tcW w:w="358" w:type="pct"/>
            <w:shd w:val="clear" w:color="auto" w:fill="F2F2F2" w:themeFill="background1" w:themeFillShade="F2"/>
            <w:vAlign w:val="center"/>
            <w:hideMark/>
          </w:tcPr>
          <w:p w14:paraId="2100D7B4"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Chapter</w:t>
            </w:r>
          </w:p>
        </w:tc>
        <w:tc>
          <w:tcPr>
            <w:tcW w:w="800" w:type="pct"/>
            <w:shd w:val="clear" w:color="auto" w:fill="F2F2F2" w:themeFill="background1" w:themeFillShade="F2"/>
            <w:vAlign w:val="center"/>
            <w:hideMark/>
          </w:tcPr>
          <w:p w14:paraId="385FCFCF"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Elements in a Standard characteristic-specific molecular marker protocol</w:t>
            </w:r>
          </w:p>
        </w:tc>
        <w:tc>
          <w:tcPr>
            <w:tcW w:w="1235" w:type="pct"/>
            <w:shd w:val="clear" w:color="auto" w:fill="F2F2F2" w:themeFill="background1" w:themeFillShade="F2"/>
            <w:vAlign w:val="center"/>
            <w:hideMark/>
          </w:tcPr>
          <w:p w14:paraId="4EB4139C"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Example</w:t>
            </w:r>
          </w:p>
        </w:tc>
        <w:tc>
          <w:tcPr>
            <w:tcW w:w="504" w:type="pct"/>
            <w:shd w:val="clear" w:color="auto" w:fill="F2F2F2" w:themeFill="background1" w:themeFillShade="F2"/>
            <w:vAlign w:val="center"/>
            <w:hideMark/>
          </w:tcPr>
          <w:p w14:paraId="6D613896"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xml:space="preserve">Essential information for </w:t>
            </w:r>
            <w:proofErr w:type="spellStart"/>
            <w:r w:rsidRPr="00D52685">
              <w:rPr>
                <w:rFonts w:eastAsia="Times New Roman" w:cs="Arial"/>
                <w:color w:val="000000"/>
                <w:sz w:val="18"/>
                <w:szCs w:val="18"/>
                <w:lang w:eastAsia="nl-NL"/>
              </w:rPr>
              <w:t>harmoni-zation</w:t>
            </w:r>
            <w:proofErr w:type="spellEnd"/>
          </w:p>
        </w:tc>
        <w:tc>
          <w:tcPr>
            <w:tcW w:w="2021" w:type="pct"/>
            <w:shd w:val="clear" w:color="auto" w:fill="F2F2F2" w:themeFill="background1" w:themeFillShade="F2"/>
            <w:vAlign w:val="center"/>
            <w:hideMark/>
          </w:tcPr>
          <w:p w14:paraId="45C4C86E"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Remark</w:t>
            </w:r>
          </w:p>
        </w:tc>
      </w:tr>
      <w:tr w:rsidR="00D52685" w:rsidRPr="00D52685" w14:paraId="75E059D9" w14:textId="77777777" w:rsidTr="004F5DA8">
        <w:trPr>
          <w:gridAfter w:val="1"/>
          <w:wAfter w:w="82" w:type="pct"/>
          <w:cantSplit/>
          <w:trHeight w:val="300"/>
        </w:trPr>
        <w:tc>
          <w:tcPr>
            <w:tcW w:w="358" w:type="pct"/>
            <w:vMerge w:val="restart"/>
            <w:vAlign w:val="center"/>
            <w:hideMark/>
          </w:tcPr>
          <w:p w14:paraId="1610795B"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1</w:t>
            </w:r>
          </w:p>
        </w:tc>
        <w:tc>
          <w:tcPr>
            <w:tcW w:w="800" w:type="pct"/>
            <w:vMerge w:val="restart"/>
            <w:vAlign w:val="center"/>
            <w:hideMark/>
          </w:tcPr>
          <w:p w14:paraId="110C5115"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characteristic</w:t>
            </w:r>
          </w:p>
        </w:tc>
        <w:tc>
          <w:tcPr>
            <w:tcW w:w="1235" w:type="pct"/>
            <w:vAlign w:val="center"/>
            <w:hideMark/>
          </w:tcPr>
          <w:p w14:paraId="208F4EE0"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Resistance to Tomato mosaic virus (</w:t>
            </w:r>
            <w:proofErr w:type="spellStart"/>
            <w:r w:rsidRPr="00D52685">
              <w:rPr>
                <w:rFonts w:eastAsia="Times New Roman" w:cs="Arial"/>
                <w:color w:val="000000"/>
                <w:sz w:val="18"/>
                <w:szCs w:val="18"/>
                <w:lang w:eastAsia="nl-NL"/>
              </w:rPr>
              <w:t>ToMV</w:t>
            </w:r>
            <w:proofErr w:type="spellEnd"/>
            <w:r w:rsidRPr="00D52685">
              <w:rPr>
                <w:rFonts w:eastAsia="Times New Roman" w:cs="Arial"/>
                <w:color w:val="000000"/>
                <w:sz w:val="18"/>
                <w:szCs w:val="18"/>
                <w:lang w:eastAsia="nl-NL"/>
              </w:rPr>
              <w:t>)</w:t>
            </w:r>
          </w:p>
        </w:tc>
        <w:tc>
          <w:tcPr>
            <w:tcW w:w="504" w:type="pct"/>
            <w:vMerge w:val="restart"/>
            <w:vAlign w:val="center"/>
            <w:hideMark/>
          </w:tcPr>
          <w:p w14:paraId="34D19C5A"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Merge w:val="restart"/>
            <w:vAlign w:val="center"/>
            <w:hideMark/>
          </w:tcPr>
          <w:p w14:paraId="6867EC47"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p>
        </w:tc>
      </w:tr>
      <w:tr w:rsidR="00D52685" w:rsidRPr="00D52685" w14:paraId="2393EB6E" w14:textId="77777777" w:rsidTr="004F5DA8">
        <w:trPr>
          <w:gridAfter w:val="1"/>
          <w:wAfter w:w="82" w:type="pct"/>
          <w:cantSplit/>
          <w:trHeight w:val="315"/>
        </w:trPr>
        <w:tc>
          <w:tcPr>
            <w:tcW w:w="358" w:type="pct"/>
            <w:vMerge/>
            <w:vAlign w:val="center"/>
            <w:hideMark/>
          </w:tcPr>
          <w:p w14:paraId="3AE3D5EA" w14:textId="77777777" w:rsidR="00D52685" w:rsidRPr="00D52685" w:rsidRDefault="00D52685" w:rsidP="00D52685">
            <w:pPr>
              <w:jc w:val="left"/>
              <w:rPr>
                <w:rFonts w:eastAsia="Times New Roman" w:cs="Arial"/>
                <w:color w:val="000000"/>
                <w:sz w:val="18"/>
                <w:szCs w:val="18"/>
                <w:lang w:eastAsia="fr-FR"/>
              </w:rPr>
            </w:pPr>
          </w:p>
        </w:tc>
        <w:tc>
          <w:tcPr>
            <w:tcW w:w="800" w:type="pct"/>
            <w:vMerge/>
            <w:vAlign w:val="center"/>
            <w:hideMark/>
          </w:tcPr>
          <w:p w14:paraId="5192440E" w14:textId="77777777" w:rsidR="00D52685" w:rsidRPr="00D52685" w:rsidRDefault="00D52685" w:rsidP="00D52685">
            <w:pPr>
              <w:jc w:val="left"/>
              <w:rPr>
                <w:rFonts w:eastAsia="Times New Roman" w:cs="Arial"/>
                <w:color w:val="000000"/>
                <w:sz w:val="18"/>
                <w:szCs w:val="18"/>
                <w:lang w:eastAsia="fr-FR"/>
              </w:rPr>
            </w:pPr>
          </w:p>
        </w:tc>
        <w:tc>
          <w:tcPr>
            <w:tcW w:w="1235" w:type="pct"/>
            <w:vAlign w:val="center"/>
            <w:hideMark/>
          </w:tcPr>
          <w:p w14:paraId="7349A2F3" w14:textId="4CBBCDEC" w:rsidR="00D52685" w:rsidRPr="00D52685" w:rsidRDefault="00D52685" w:rsidP="00D52685">
            <w:pPr>
              <w:jc w:val="left"/>
              <w:rPr>
                <w:rFonts w:eastAsia="Times New Roman" w:cs="Arial"/>
                <w:i/>
                <w:iCs/>
                <w:color w:val="000000"/>
                <w:sz w:val="18"/>
                <w:szCs w:val="18"/>
                <w:lang w:eastAsia="fr-FR"/>
              </w:rPr>
            </w:pPr>
            <w:r w:rsidRPr="00D52685">
              <w:rPr>
                <w:rFonts w:eastAsia="Times New Roman" w:cs="Arial"/>
                <w:i/>
                <w:iCs/>
                <w:color w:val="000000"/>
                <w:sz w:val="18"/>
                <w:szCs w:val="18"/>
                <w:lang w:eastAsia="fr-FR"/>
              </w:rPr>
              <w:t>See TG/44/</w:t>
            </w:r>
            <w:r w:rsidR="00D21487" w:rsidRPr="00D21487">
              <w:rPr>
                <w:rFonts w:cs="Arial" w:hint="eastAsia"/>
                <w:i/>
                <w:iCs/>
                <w:color w:val="000000"/>
                <w:sz w:val="18"/>
                <w:szCs w:val="18"/>
                <w:highlight w:val="lightGray"/>
                <w:lang w:eastAsia="ja-JP"/>
              </w:rPr>
              <w:t>12</w:t>
            </w:r>
            <w:r w:rsidRPr="00D52685">
              <w:rPr>
                <w:rFonts w:eastAsia="Times New Roman" w:cs="Arial"/>
                <w:i/>
                <w:iCs/>
                <w:strike/>
                <w:color w:val="000000"/>
                <w:sz w:val="18"/>
                <w:szCs w:val="18"/>
                <w:highlight w:val="lightGray"/>
                <w:lang w:eastAsia="fr-FR"/>
              </w:rPr>
              <w:t>11/rev3</w:t>
            </w:r>
            <w:r w:rsidRPr="00D52685">
              <w:rPr>
                <w:rFonts w:eastAsia="Times New Roman" w:cs="Arial"/>
                <w:i/>
                <w:iCs/>
                <w:color w:val="000000"/>
                <w:sz w:val="18"/>
                <w:szCs w:val="18"/>
                <w:lang w:eastAsia="fr-FR"/>
              </w:rPr>
              <w:t xml:space="preserve"> – Ad 51: ii DNA marker test </w:t>
            </w:r>
          </w:p>
        </w:tc>
        <w:tc>
          <w:tcPr>
            <w:tcW w:w="504" w:type="pct"/>
            <w:vMerge/>
            <w:vAlign w:val="center"/>
            <w:hideMark/>
          </w:tcPr>
          <w:p w14:paraId="6AFD4A9F" w14:textId="77777777" w:rsidR="00D52685" w:rsidRPr="00D52685" w:rsidRDefault="00D52685" w:rsidP="00D52685">
            <w:pPr>
              <w:jc w:val="left"/>
              <w:rPr>
                <w:rFonts w:eastAsia="Times New Roman" w:cs="Arial"/>
                <w:color w:val="000000"/>
                <w:sz w:val="18"/>
                <w:szCs w:val="18"/>
                <w:lang w:eastAsia="fr-FR"/>
              </w:rPr>
            </w:pPr>
          </w:p>
        </w:tc>
        <w:tc>
          <w:tcPr>
            <w:tcW w:w="2021" w:type="pct"/>
            <w:vMerge/>
            <w:vAlign w:val="center"/>
            <w:hideMark/>
          </w:tcPr>
          <w:p w14:paraId="1224A9D4" w14:textId="77777777" w:rsidR="00D52685" w:rsidRPr="00D52685" w:rsidRDefault="00D52685" w:rsidP="00D52685">
            <w:pPr>
              <w:jc w:val="left"/>
              <w:rPr>
                <w:rFonts w:eastAsia="Times New Roman" w:cs="Arial"/>
                <w:color w:val="000000"/>
                <w:sz w:val="18"/>
                <w:szCs w:val="18"/>
                <w:lang w:eastAsia="fr-FR"/>
              </w:rPr>
            </w:pPr>
          </w:p>
        </w:tc>
      </w:tr>
      <w:tr w:rsidR="00D52685" w:rsidRPr="00D52685" w14:paraId="340FF67C" w14:textId="77777777" w:rsidTr="004F5DA8">
        <w:trPr>
          <w:gridAfter w:val="1"/>
          <w:wAfter w:w="82" w:type="pct"/>
          <w:cantSplit/>
          <w:trHeight w:val="525"/>
        </w:trPr>
        <w:tc>
          <w:tcPr>
            <w:tcW w:w="358" w:type="pct"/>
            <w:vAlign w:val="center"/>
            <w:hideMark/>
          </w:tcPr>
          <w:p w14:paraId="7CBBA463"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2</w:t>
            </w:r>
          </w:p>
        </w:tc>
        <w:tc>
          <w:tcPr>
            <w:tcW w:w="800" w:type="pct"/>
            <w:vAlign w:val="center"/>
            <w:hideMark/>
          </w:tcPr>
          <w:p w14:paraId="459E6A78"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Genes and alleles</w:t>
            </w:r>
          </w:p>
        </w:tc>
        <w:tc>
          <w:tcPr>
            <w:tcW w:w="1235" w:type="pct"/>
            <w:vAlign w:val="center"/>
            <w:hideMark/>
          </w:tcPr>
          <w:p w14:paraId="696744D9" w14:textId="1B16F74F" w:rsidR="00D52685" w:rsidRPr="00D52685" w:rsidRDefault="00D52685" w:rsidP="00D52685">
            <w:pPr>
              <w:jc w:val="left"/>
              <w:rPr>
                <w:rFonts w:eastAsia="Times New Roman" w:cs="Arial"/>
                <w:i/>
                <w:iCs/>
                <w:color w:val="000000"/>
                <w:sz w:val="18"/>
                <w:szCs w:val="18"/>
                <w:lang w:eastAsia="fr-FR"/>
              </w:rPr>
            </w:pPr>
            <w:r w:rsidRPr="00D52685">
              <w:rPr>
                <w:rFonts w:eastAsia="Times New Roman" w:cs="Arial"/>
                <w:i/>
                <w:iCs/>
                <w:color w:val="000000"/>
                <w:sz w:val="18"/>
                <w:szCs w:val="18"/>
                <w:lang w:eastAsia="fr-FR"/>
              </w:rPr>
              <w:t>See TG/44/</w:t>
            </w:r>
            <w:r w:rsidR="00D21487" w:rsidRPr="00D21487">
              <w:rPr>
                <w:rFonts w:cs="Arial" w:hint="eastAsia"/>
                <w:i/>
                <w:iCs/>
                <w:color w:val="000000"/>
                <w:sz w:val="18"/>
                <w:szCs w:val="18"/>
                <w:highlight w:val="lightGray"/>
                <w:lang w:eastAsia="ja-JP"/>
              </w:rPr>
              <w:t>12</w:t>
            </w:r>
            <w:r w:rsidR="00D21487" w:rsidRPr="00D52685">
              <w:rPr>
                <w:rFonts w:eastAsia="Times New Roman" w:cs="Arial"/>
                <w:i/>
                <w:iCs/>
                <w:strike/>
                <w:color w:val="000000"/>
                <w:sz w:val="18"/>
                <w:szCs w:val="18"/>
                <w:highlight w:val="lightGray"/>
                <w:lang w:eastAsia="fr-FR"/>
              </w:rPr>
              <w:t>11/rev3</w:t>
            </w:r>
            <w:r w:rsidR="00D21487" w:rsidRPr="00D52685">
              <w:rPr>
                <w:rFonts w:eastAsia="Times New Roman" w:cs="Arial"/>
                <w:i/>
                <w:iCs/>
                <w:color w:val="000000"/>
                <w:sz w:val="18"/>
                <w:szCs w:val="18"/>
                <w:lang w:eastAsia="fr-FR"/>
              </w:rPr>
              <w:t xml:space="preserve"> </w:t>
            </w:r>
            <w:r w:rsidRPr="00D52685">
              <w:rPr>
                <w:rFonts w:eastAsia="Times New Roman" w:cs="Arial"/>
                <w:i/>
                <w:iCs/>
                <w:color w:val="000000"/>
                <w:sz w:val="18"/>
                <w:szCs w:val="18"/>
                <w:lang w:eastAsia="fr-FR"/>
              </w:rPr>
              <w:t>– Ad 51: ii DNA marker test add 2</w:t>
            </w:r>
          </w:p>
        </w:tc>
        <w:tc>
          <w:tcPr>
            <w:tcW w:w="504" w:type="pct"/>
            <w:vAlign w:val="center"/>
            <w:hideMark/>
          </w:tcPr>
          <w:p w14:paraId="39C92F1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Align w:val="center"/>
            <w:hideMark/>
          </w:tcPr>
          <w:p w14:paraId="761F9124"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Need to avoid dominant marker or presence/absence marker otherwise the robustness should be assessed</w:t>
            </w:r>
          </w:p>
        </w:tc>
      </w:tr>
      <w:tr w:rsidR="00D52685" w:rsidRPr="008F512A" w14:paraId="5094D7F9" w14:textId="77777777" w:rsidTr="004F5DA8">
        <w:trPr>
          <w:gridAfter w:val="1"/>
          <w:wAfter w:w="82" w:type="pct"/>
          <w:cantSplit/>
          <w:trHeight w:val="510"/>
        </w:trPr>
        <w:tc>
          <w:tcPr>
            <w:tcW w:w="358" w:type="pct"/>
            <w:vMerge w:val="restart"/>
            <w:vAlign w:val="center"/>
            <w:hideMark/>
          </w:tcPr>
          <w:p w14:paraId="636FB5CE"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2.1</w:t>
            </w:r>
          </w:p>
        </w:tc>
        <w:tc>
          <w:tcPr>
            <w:tcW w:w="800" w:type="pct"/>
            <w:vMerge w:val="restart"/>
            <w:vAlign w:val="center"/>
            <w:hideMark/>
          </w:tcPr>
          <w:p w14:paraId="4F9E99F8"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Targeted gene(s)</w:t>
            </w:r>
          </w:p>
        </w:tc>
        <w:tc>
          <w:tcPr>
            <w:tcW w:w="1235" w:type="pct"/>
            <w:vAlign w:val="center"/>
            <w:hideMark/>
          </w:tcPr>
          <w:p w14:paraId="12859BC8"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 xml:space="preserve">Resistance Gene </w:t>
            </w:r>
            <w:r w:rsidRPr="008F512A">
              <w:rPr>
                <w:rFonts w:eastAsia="Times New Roman" w:cs="Arial"/>
                <w:i/>
                <w:color w:val="000000"/>
                <w:sz w:val="18"/>
                <w:szCs w:val="18"/>
                <w:lang w:eastAsia="nl-NL"/>
              </w:rPr>
              <w:t>Tm2</w:t>
            </w:r>
          </w:p>
        </w:tc>
        <w:tc>
          <w:tcPr>
            <w:tcW w:w="504" w:type="pct"/>
            <w:vMerge w:val="restart"/>
            <w:vAlign w:val="center"/>
            <w:hideMark/>
          </w:tcPr>
          <w:p w14:paraId="2AB61595"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YES</w:t>
            </w:r>
          </w:p>
        </w:tc>
        <w:tc>
          <w:tcPr>
            <w:tcW w:w="2021" w:type="pct"/>
            <w:vAlign w:val="center"/>
            <w:hideMark/>
          </w:tcPr>
          <w:p w14:paraId="2666CB60"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 xml:space="preserve">a) file(s) containing the DNA sequence information (order of nucleotides) </w:t>
            </w:r>
          </w:p>
        </w:tc>
      </w:tr>
      <w:tr w:rsidR="00D52685" w:rsidRPr="008F512A" w14:paraId="4993AD7B" w14:textId="77777777" w:rsidTr="004F5DA8">
        <w:trPr>
          <w:gridAfter w:val="1"/>
          <w:wAfter w:w="82" w:type="pct"/>
          <w:cantSplit/>
          <w:trHeight w:val="510"/>
        </w:trPr>
        <w:tc>
          <w:tcPr>
            <w:tcW w:w="358" w:type="pct"/>
            <w:vMerge/>
            <w:vAlign w:val="center"/>
            <w:hideMark/>
          </w:tcPr>
          <w:p w14:paraId="792E4AD6" w14:textId="77777777" w:rsidR="00D52685" w:rsidRPr="008F512A" w:rsidRDefault="00D52685" w:rsidP="00D52685">
            <w:pPr>
              <w:jc w:val="left"/>
              <w:rPr>
                <w:rFonts w:eastAsia="Times New Roman" w:cs="Arial"/>
                <w:color w:val="000000"/>
                <w:sz w:val="18"/>
                <w:szCs w:val="18"/>
                <w:lang w:eastAsia="fr-FR"/>
              </w:rPr>
            </w:pPr>
          </w:p>
        </w:tc>
        <w:tc>
          <w:tcPr>
            <w:tcW w:w="800" w:type="pct"/>
            <w:vMerge/>
            <w:vAlign w:val="center"/>
            <w:hideMark/>
          </w:tcPr>
          <w:p w14:paraId="7FF9FCB5" w14:textId="77777777" w:rsidR="00D52685" w:rsidRPr="008F512A" w:rsidRDefault="00D52685" w:rsidP="00D52685">
            <w:pPr>
              <w:jc w:val="left"/>
              <w:rPr>
                <w:rFonts w:eastAsia="Times New Roman" w:cs="Arial"/>
                <w:color w:val="000000"/>
                <w:sz w:val="18"/>
                <w:szCs w:val="18"/>
                <w:lang w:eastAsia="fr-FR"/>
              </w:rPr>
            </w:pPr>
          </w:p>
        </w:tc>
        <w:tc>
          <w:tcPr>
            <w:tcW w:w="1235" w:type="pct"/>
            <w:vAlign w:val="center"/>
            <w:hideMark/>
          </w:tcPr>
          <w:p w14:paraId="3460AD75"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fr-FR"/>
              </w:rPr>
              <w:t>Arens, P. et al (2010)</w:t>
            </w:r>
          </w:p>
        </w:tc>
        <w:tc>
          <w:tcPr>
            <w:tcW w:w="504" w:type="pct"/>
            <w:vMerge/>
            <w:vAlign w:val="center"/>
            <w:hideMark/>
          </w:tcPr>
          <w:p w14:paraId="7BEB2529" w14:textId="77777777" w:rsidR="00D52685" w:rsidRPr="008F512A" w:rsidRDefault="00D52685" w:rsidP="00D52685">
            <w:pPr>
              <w:jc w:val="left"/>
              <w:rPr>
                <w:rFonts w:eastAsia="Times New Roman" w:cs="Arial"/>
                <w:color w:val="000000"/>
                <w:sz w:val="18"/>
                <w:szCs w:val="18"/>
                <w:lang w:eastAsia="fr-FR"/>
              </w:rPr>
            </w:pPr>
          </w:p>
        </w:tc>
        <w:tc>
          <w:tcPr>
            <w:tcW w:w="2021" w:type="pct"/>
            <w:vAlign w:val="center"/>
            <w:hideMark/>
          </w:tcPr>
          <w:p w14:paraId="06FD96ED"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 xml:space="preserve">b) reference to DNA information in public databases (like </w:t>
            </w:r>
            <w:proofErr w:type="spellStart"/>
            <w:r w:rsidRPr="008F512A">
              <w:rPr>
                <w:rFonts w:eastAsia="Times New Roman" w:cs="Arial"/>
                <w:color w:val="000000"/>
                <w:sz w:val="18"/>
                <w:szCs w:val="18"/>
                <w:lang w:eastAsia="nl-NL"/>
              </w:rPr>
              <w:t>GeneBank</w:t>
            </w:r>
            <w:proofErr w:type="spellEnd"/>
            <w:r w:rsidRPr="008F512A">
              <w:rPr>
                <w:rFonts w:eastAsia="Times New Roman" w:cs="Arial"/>
                <w:color w:val="000000"/>
                <w:sz w:val="18"/>
                <w:szCs w:val="18"/>
                <w:lang w:eastAsia="nl-NL"/>
              </w:rPr>
              <w:t>)</w:t>
            </w:r>
          </w:p>
        </w:tc>
      </w:tr>
      <w:tr w:rsidR="00D52685" w:rsidRPr="008F512A" w14:paraId="6B6522EB" w14:textId="77777777" w:rsidTr="004F5DA8">
        <w:trPr>
          <w:gridAfter w:val="1"/>
          <w:wAfter w:w="82" w:type="pct"/>
          <w:cantSplit/>
          <w:trHeight w:val="765"/>
        </w:trPr>
        <w:tc>
          <w:tcPr>
            <w:tcW w:w="358" w:type="pct"/>
            <w:vMerge/>
            <w:vAlign w:val="center"/>
            <w:hideMark/>
          </w:tcPr>
          <w:p w14:paraId="4173280B" w14:textId="77777777" w:rsidR="00D52685" w:rsidRPr="008F512A" w:rsidRDefault="00D52685" w:rsidP="00D52685">
            <w:pPr>
              <w:jc w:val="left"/>
              <w:rPr>
                <w:rFonts w:eastAsia="Times New Roman" w:cs="Arial"/>
                <w:color w:val="000000"/>
                <w:sz w:val="18"/>
                <w:szCs w:val="18"/>
                <w:lang w:eastAsia="fr-FR"/>
              </w:rPr>
            </w:pPr>
          </w:p>
        </w:tc>
        <w:tc>
          <w:tcPr>
            <w:tcW w:w="800" w:type="pct"/>
            <w:vMerge/>
            <w:vAlign w:val="center"/>
            <w:hideMark/>
          </w:tcPr>
          <w:p w14:paraId="79D3F819" w14:textId="77777777" w:rsidR="00D52685" w:rsidRPr="008F512A" w:rsidRDefault="00D52685" w:rsidP="00D52685">
            <w:pPr>
              <w:jc w:val="left"/>
              <w:rPr>
                <w:rFonts w:eastAsia="Times New Roman" w:cs="Arial"/>
                <w:color w:val="000000"/>
                <w:sz w:val="18"/>
                <w:szCs w:val="18"/>
                <w:lang w:eastAsia="fr-FR"/>
              </w:rPr>
            </w:pPr>
          </w:p>
        </w:tc>
        <w:tc>
          <w:tcPr>
            <w:tcW w:w="1235" w:type="pct"/>
            <w:vAlign w:val="center"/>
            <w:hideMark/>
          </w:tcPr>
          <w:p w14:paraId="53E1C992" w14:textId="77777777" w:rsidR="00D52685" w:rsidRPr="008F512A" w:rsidRDefault="00D52685" w:rsidP="00D52685">
            <w:pPr>
              <w:jc w:val="left"/>
              <w:rPr>
                <w:rFonts w:eastAsia="Times New Roman" w:cs="Arial"/>
                <w:i/>
                <w:iCs/>
                <w:color w:val="000000"/>
                <w:sz w:val="18"/>
                <w:szCs w:val="18"/>
                <w:lang w:eastAsia="fr-FR"/>
              </w:rPr>
            </w:pPr>
            <w:r w:rsidRPr="008F512A">
              <w:rPr>
                <w:rFonts w:eastAsia="Times New Roman" w:cs="Arial"/>
                <w:i/>
                <w:iCs/>
                <w:color w:val="000000"/>
                <w:sz w:val="18"/>
                <w:szCs w:val="18"/>
                <w:lang w:eastAsia="nl-NL"/>
              </w:rPr>
              <w:t> </w:t>
            </w:r>
          </w:p>
        </w:tc>
        <w:tc>
          <w:tcPr>
            <w:tcW w:w="504" w:type="pct"/>
            <w:vMerge/>
            <w:vAlign w:val="center"/>
            <w:hideMark/>
          </w:tcPr>
          <w:p w14:paraId="17FED4DC" w14:textId="77777777" w:rsidR="00D52685" w:rsidRPr="008F512A" w:rsidRDefault="00D52685" w:rsidP="00D52685">
            <w:pPr>
              <w:jc w:val="left"/>
              <w:rPr>
                <w:rFonts w:eastAsia="Times New Roman" w:cs="Arial"/>
                <w:color w:val="000000"/>
                <w:sz w:val="18"/>
                <w:szCs w:val="18"/>
                <w:lang w:eastAsia="fr-FR"/>
              </w:rPr>
            </w:pPr>
          </w:p>
        </w:tc>
        <w:tc>
          <w:tcPr>
            <w:tcW w:w="2021" w:type="pct"/>
            <w:vAlign w:val="center"/>
            <w:hideMark/>
          </w:tcPr>
          <w:p w14:paraId="2638C833"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c) reference to (scientific) publications in which the DNA sequence information of the states of expression of the characteristic is revealed.</w:t>
            </w:r>
          </w:p>
        </w:tc>
      </w:tr>
      <w:tr w:rsidR="00D52685" w:rsidRPr="008F512A" w14:paraId="6D887419" w14:textId="77777777" w:rsidTr="004F5DA8">
        <w:trPr>
          <w:gridAfter w:val="1"/>
          <w:wAfter w:w="82" w:type="pct"/>
          <w:cantSplit/>
          <w:trHeight w:val="525"/>
        </w:trPr>
        <w:tc>
          <w:tcPr>
            <w:tcW w:w="358" w:type="pct"/>
            <w:vMerge/>
            <w:vAlign w:val="center"/>
            <w:hideMark/>
          </w:tcPr>
          <w:p w14:paraId="21F97BC5" w14:textId="77777777" w:rsidR="00D52685" w:rsidRPr="008F512A" w:rsidRDefault="00D52685" w:rsidP="00D52685">
            <w:pPr>
              <w:jc w:val="left"/>
              <w:rPr>
                <w:rFonts w:eastAsia="Times New Roman" w:cs="Arial"/>
                <w:color w:val="000000"/>
                <w:sz w:val="18"/>
                <w:szCs w:val="18"/>
                <w:lang w:eastAsia="fr-FR"/>
              </w:rPr>
            </w:pPr>
          </w:p>
        </w:tc>
        <w:tc>
          <w:tcPr>
            <w:tcW w:w="800" w:type="pct"/>
            <w:vMerge/>
            <w:vAlign w:val="center"/>
            <w:hideMark/>
          </w:tcPr>
          <w:p w14:paraId="7B0E0BB4" w14:textId="77777777" w:rsidR="00D52685" w:rsidRPr="008F512A" w:rsidRDefault="00D52685" w:rsidP="00D52685">
            <w:pPr>
              <w:jc w:val="left"/>
              <w:rPr>
                <w:rFonts w:eastAsia="Times New Roman" w:cs="Arial"/>
                <w:color w:val="000000"/>
                <w:sz w:val="18"/>
                <w:szCs w:val="18"/>
                <w:lang w:eastAsia="fr-FR"/>
              </w:rPr>
            </w:pPr>
          </w:p>
        </w:tc>
        <w:tc>
          <w:tcPr>
            <w:tcW w:w="1235" w:type="pct"/>
            <w:hideMark/>
          </w:tcPr>
          <w:p w14:paraId="64E4021B"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fr-FR"/>
              </w:rPr>
              <w:t> </w:t>
            </w:r>
          </w:p>
        </w:tc>
        <w:tc>
          <w:tcPr>
            <w:tcW w:w="504" w:type="pct"/>
            <w:vMerge/>
            <w:vAlign w:val="center"/>
            <w:hideMark/>
          </w:tcPr>
          <w:p w14:paraId="1A31C09E" w14:textId="77777777" w:rsidR="00D52685" w:rsidRPr="008F512A" w:rsidRDefault="00D52685" w:rsidP="00D52685">
            <w:pPr>
              <w:jc w:val="left"/>
              <w:rPr>
                <w:rFonts w:eastAsia="Times New Roman" w:cs="Arial"/>
                <w:color w:val="000000"/>
                <w:sz w:val="18"/>
                <w:szCs w:val="18"/>
                <w:lang w:eastAsia="fr-FR"/>
              </w:rPr>
            </w:pPr>
          </w:p>
        </w:tc>
        <w:tc>
          <w:tcPr>
            <w:tcW w:w="2021" w:type="pct"/>
            <w:vAlign w:val="center"/>
            <w:hideMark/>
          </w:tcPr>
          <w:p w14:paraId="01B73C14"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d) reference to a particular position on the published reference genome version.</w:t>
            </w:r>
          </w:p>
        </w:tc>
      </w:tr>
      <w:tr w:rsidR="00D52685" w:rsidRPr="008F512A" w14:paraId="39D85085" w14:textId="77777777" w:rsidTr="004F5DA8">
        <w:trPr>
          <w:gridAfter w:val="1"/>
          <w:wAfter w:w="82" w:type="pct"/>
          <w:cantSplit/>
          <w:trHeight w:val="510"/>
        </w:trPr>
        <w:tc>
          <w:tcPr>
            <w:tcW w:w="358" w:type="pct"/>
            <w:vMerge w:val="restart"/>
            <w:vAlign w:val="center"/>
            <w:hideMark/>
          </w:tcPr>
          <w:p w14:paraId="26DAE310"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2.2</w:t>
            </w:r>
          </w:p>
        </w:tc>
        <w:tc>
          <w:tcPr>
            <w:tcW w:w="800" w:type="pct"/>
            <w:vMerge w:val="restart"/>
            <w:vAlign w:val="center"/>
            <w:hideMark/>
          </w:tcPr>
          <w:p w14:paraId="3645B0A8"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 xml:space="preserve">Allele corresponding to expression state 1 </w:t>
            </w:r>
          </w:p>
        </w:tc>
        <w:tc>
          <w:tcPr>
            <w:tcW w:w="1235" w:type="pct"/>
            <w:vAlign w:val="center"/>
            <w:hideMark/>
          </w:tcPr>
          <w:p w14:paraId="2A9700B0" w14:textId="77777777" w:rsidR="00D52685" w:rsidRPr="008F512A" w:rsidRDefault="00D52685" w:rsidP="00D52685">
            <w:pPr>
              <w:jc w:val="left"/>
              <w:rPr>
                <w:rFonts w:eastAsia="Times New Roman" w:cs="Arial"/>
                <w:i/>
                <w:color w:val="000000"/>
                <w:sz w:val="18"/>
                <w:szCs w:val="18"/>
                <w:lang w:eastAsia="fr-FR"/>
              </w:rPr>
            </w:pPr>
            <w:r w:rsidRPr="008F512A">
              <w:rPr>
                <w:rFonts w:eastAsia="Times New Roman" w:cs="Arial"/>
                <w:i/>
                <w:color w:val="000000"/>
                <w:sz w:val="18"/>
                <w:szCs w:val="18"/>
                <w:lang w:eastAsia="nl-NL"/>
              </w:rPr>
              <w:t>tm2</w:t>
            </w:r>
          </w:p>
        </w:tc>
        <w:tc>
          <w:tcPr>
            <w:tcW w:w="504" w:type="pct"/>
            <w:vMerge w:val="restart"/>
            <w:vAlign w:val="center"/>
            <w:hideMark/>
          </w:tcPr>
          <w:p w14:paraId="7E0229BD"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YES</w:t>
            </w:r>
          </w:p>
        </w:tc>
        <w:tc>
          <w:tcPr>
            <w:tcW w:w="2021" w:type="pct"/>
            <w:vAlign w:val="center"/>
            <w:hideMark/>
          </w:tcPr>
          <w:p w14:paraId="340834A4"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 xml:space="preserve">a) file(s) containing the DNA sequence information (order of nucleotides) </w:t>
            </w:r>
          </w:p>
        </w:tc>
      </w:tr>
      <w:tr w:rsidR="00D52685" w:rsidRPr="008F512A" w14:paraId="5FBAC9C9" w14:textId="77777777" w:rsidTr="004F5DA8">
        <w:trPr>
          <w:gridAfter w:val="1"/>
          <w:wAfter w:w="82" w:type="pct"/>
          <w:cantSplit/>
          <w:trHeight w:val="510"/>
        </w:trPr>
        <w:tc>
          <w:tcPr>
            <w:tcW w:w="358" w:type="pct"/>
            <w:vMerge/>
            <w:vAlign w:val="center"/>
            <w:hideMark/>
          </w:tcPr>
          <w:p w14:paraId="3A95C918" w14:textId="77777777" w:rsidR="00D52685" w:rsidRPr="008F512A" w:rsidRDefault="00D52685" w:rsidP="00D52685">
            <w:pPr>
              <w:jc w:val="left"/>
              <w:rPr>
                <w:rFonts w:eastAsia="Times New Roman" w:cs="Arial"/>
                <w:color w:val="000000"/>
                <w:sz w:val="18"/>
                <w:szCs w:val="18"/>
                <w:lang w:eastAsia="fr-FR"/>
              </w:rPr>
            </w:pPr>
          </w:p>
        </w:tc>
        <w:tc>
          <w:tcPr>
            <w:tcW w:w="800" w:type="pct"/>
            <w:vMerge/>
            <w:vAlign w:val="center"/>
            <w:hideMark/>
          </w:tcPr>
          <w:p w14:paraId="1F508233" w14:textId="77777777" w:rsidR="00D52685" w:rsidRPr="008F512A" w:rsidRDefault="00D52685" w:rsidP="00D52685">
            <w:pPr>
              <w:jc w:val="left"/>
              <w:rPr>
                <w:rFonts w:eastAsia="Times New Roman" w:cs="Arial"/>
                <w:color w:val="000000"/>
                <w:sz w:val="18"/>
                <w:szCs w:val="18"/>
                <w:lang w:eastAsia="fr-FR"/>
              </w:rPr>
            </w:pPr>
          </w:p>
        </w:tc>
        <w:tc>
          <w:tcPr>
            <w:tcW w:w="1235" w:type="pct"/>
            <w:vAlign w:val="center"/>
            <w:hideMark/>
          </w:tcPr>
          <w:p w14:paraId="6E9FA841"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fr-FR"/>
              </w:rPr>
              <w:t>Arens, P. et al (2010)</w:t>
            </w:r>
          </w:p>
        </w:tc>
        <w:tc>
          <w:tcPr>
            <w:tcW w:w="504" w:type="pct"/>
            <w:vMerge/>
            <w:vAlign w:val="center"/>
            <w:hideMark/>
          </w:tcPr>
          <w:p w14:paraId="7E06BB9F" w14:textId="77777777" w:rsidR="00D52685" w:rsidRPr="008F512A" w:rsidRDefault="00D52685" w:rsidP="00D52685">
            <w:pPr>
              <w:jc w:val="left"/>
              <w:rPr>
                <w:rFonts w:eastAsia="Times New Roman" w:cs="Arial"/>
                <w:color w:val="000000"/>
                <w:sz w:val="18"/>
                <w:szCs w:val="18"/>
                <w:lang w:eastAsia="fr-FR"/>
              </w:rPr>
            </w:pPr>
          </w:p>
        </w:tc>
        <w:tc>
          <w:tcPr>
            <w:tcW w:w="2021" w:type="pct"/>
            <w:vAlign w:val="center"/>
            <w:hideMark/>
          </w:tcPr>
          <w:p w14:paraId="6358C642"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 xml:space="preserve">b) reference to DNA information in public databases (like </w:t>
            </w:r>
            <w:proofErr w:type="spellStart"/>
            <w:r w:rsidRPr="008F512A">
              <w:rPr>
                <w:rFonts w:eastAsia="Times New Roman" w:cs="Arial"/>
                <w:color w:val="000000"/>
                <w:sz w:val="18"/>
                <w:szCs w:val="18"/>
                <w:lang w:eastAsia="nl-NL"/>
              </w:rPr>
              <w:t>GeneBank</w:t>
            </w:r>
            <w:proofErr w:type="spellEnd"/>
            <w:r w:rsidRPr="008F512A">
              <w:rPr>
                <w:rFonts w:eastAsia="Times New Roman" w:cs="Arial"/>
                <w:color w:val="000000"/>
                <w:sz w:val="18"/>
                <w:szCs w:val="18"/>
                <w:lang w:eastAsia="nl-NL"/>
              </w:rPr>
              <w:t>)</w:t>
            </w:r>
          </w:p>
        </w:tc>
      </w:tr>
      <w:tr w:rsidR="00D52685" w:rsidRPr="008F512A" w14:paraId="50A8DD70" w14:textId="77777777" w:rsidTr="004F5DA8">
        <w:trPr>
          <w:gridAfter w:val="1"/>
          <w:wAfter w:w="82" w:type="pct"/>
          <w:cantSplit/>
          <w:trHeight w:val="765"/>
        </w:trPr>
        <w:tc>
          <w:tcPr>
            <w:tcW w:w="358" w:type="pct"/>
            <w:vMerge/>
            <w:vAlign w:val="center"/>
            <w:hideMark/>
          </w:tcPr>
          <w:p w14:paraId="1BDC0EDF" w14:textId="77777777" w:rsidR="00D52685" w:rsidRPr="008F512A" w:rsidRDefault="00D52685" w:rsidP="00D52685">
            <w:pPr>
              <w:jc w:val="left"/>
              <w:rPr>
                <w:rFonts w:eastAsia="Times New Roman" w:cs="Arial"/>
                <w:color w:val="000000"/>
                <w:sz w:val="18"/>
                <w:szCs w:val="18"/>
                <w:lang w:eastAsia="fr-FR"/>
              </w:rPr>
            </w:pPr>
          </w:p>
        </w:tc>
        <w:tc>
          <w:tcPr>
            <w:tcW w:w="800" w:type="pct"/>
            <w:vMerge/>
            <w:vAlign w:val="center"/>
            <w:hideMark/>
          </w:tcPr>
          <w:p w14:paraId="6433353C" w14:textId="77777777" w:rsidR="00D52685" w:rsidRPr="008F512A" w:rsidRDefault="00D52685" w:rsidP="00D52685">
            <w:pPr>
              <w:jc w:val="left"/>
              <w:rPr>
                <w:rFonts w:eastAsia="Times New Roman" w:cs="Arial"/>
                <w:color w:val="000000"/>
                <w:sz w:val="18"/>
                <w:szCs w:val="18"/>
                <w:lang w:eastAsia="fr-FR"/>
              </w:rPr>
            </w:pPr>
          </w:p>
        </w:tc>
        <w:tc>
          <w:tcPr>
            <w:tcW w:w="1235" w:type="pct"/>
            <w:vAlign w:val="center"/>
            <w:hideMark/>
          </w:tcPr>
          <w:p w14:paraId="1B8E2FCB"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 </w:t>
            </w:r>
          </w:p>
        </w:tc>
        <w:tc>
          <w:tcPr>
            <w:tcW w:w="504" w:type="pct"/>
            <w:vMerge/>
            <w:vAlign w:val="center"/>
            <w:hideMark/>
          </w:tcPr>
          <w:p w14:paraId="38CC2EED" w14:textId="77777777" w:rsidR="00D52685" w:rsidRPr="008F512A" w:rsidRDefault="00D52685" w:rsidP="00D52685">
            <w:pPr>
              <w:jc w:val="left"/>
              <w:rPr>
                <w:rFonts w:eastAsia="Times New Roman" w:cs="Arial"/>
                <w:color w:val="000000"/>
                <w:sz w:val="18"/>
                <w:szCs w:val="18"/>
                <w:lang w:eastAsia="fr-FR"/>
              </w:rPr>
            </w:pPr>
          </w:p>
        </w:tc>
        <w:tc>
          <w:tcPr>
            <w:tcW w:w="2021" w:type="pct"/>
            <w:vAlign w:val="center"/>
            <w:hideMark/>
          </w:tcPr>
          <w:p w14:paraId="0C310C13"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c) reference to (scientific) publications in which the DNA sequence information of the states of expression of the characteristic is revealed.</w:t>
            </w:r>
          </w:p>
        </w:tc>
      </w:tr>
      <w:tr w:rsidR="00D52685" w:rsidRPr="008F512A" w14:paraId="20FC4373" w14:textId="77777777" w:rsidTr="004F5DA8">
        <w:trPr>
          <w:gridAfter w:val="1"/>
          <w:wAfter w:w="82" w:type="pct"/>
          <w:cantSplit/>
          <w:trHeight w:val="1035"/>
        </w:trPr>
        <w:tc>
          <w:tcPr>
            <w:tcW w:w="358" w:type="pct"/>
            <w:vMerge/>
            <w:vAlign w:val="center"/>
            <w:hideMark/>
          </w:tcPr>
          <w:p w14:paraId="7943F5CA" w14:textId="77777777" w:rsidR="00D52685" w:rsidRPr="008F512A" w:rsidRDefault="00D52685" w:rsidP="00D52685">
            <w:pPr>
              <w:jc w:val="left"/>
              <w:rPr>
                <w:rFonts w:eastAsia="Times New Roman" w:cs="Arial"/>
                <w:color w:val="000000"/>
                <w:sz w:val="18"/>
                <w:szCs w:val="18"/>
                <w:lang w:eastAsia="fr-FR"/>
              </w:rPr>
            </w:pPr>
          </w:p>
        </w:tc>
        <w:tc>
          <w:tcPr>
            <w:tcW w:w="800" w:type="pct"/>
            <w:vMerge/>
            <w:vAlign w:val="center"/>
            <w:hideMark/>
          </w:tcPr>
          <w:p w14:paraId="3F3939FF" w14:textId="77777777" w:rsidR="00D52685" w:rsidRPr="008F512A" w:rsidRDefault="00D52685" w:rsidP="00D52685">
            <w:pPr>
              <w:jc w:val="left"/>
              <w:rPr>
                <w:rFonts w:eastAsia="Times New Roman" w:cs="Arial"/>
                <w:color w:val="000000"/>
                <w:sz w:val="18"/>
                <w:szCs w:val="18"/>
                <w:lang w:eastAsia="fr-FR"/>
              </w:rPr>
            </w:pPr>
          </w:p>
        </w:tc>
        <w:tc>
          <w:tcPr>
            <w:tcW w:w="1235" w:type="pct"/>
            <w:hideMark/>
          </w:tcPr>
          <w:p w14:paraId="1172CFF8"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fr-FR"/>
              </w:rPr>
              <w:t> </w:t>
            </w:r>
          </w:p>
        </w:tc>
        <w:tc>
          <w:tcPr>
            <w:tcW w:w="504" w:type="pct"/>
            <w:vMerge/>
            <w:vAlign w:val="center"/>
            <w:hideMark/>
          </w:tcPr>
          <w:p w14:paraId="7CA118E2" w14:textId="77777777" w:rsidR="00D52685" w:rsidRPr="008F512A" w:rsidRDefault="00D52685" w:rsidP="00D52685">
            <w:pPr>
              <w:jc w:val="left"/>
              <w:rPr>
                <w:rFonts w:eastAsia="Times New Roman" w:cs="Arial"/>
                <w:color w:val="000000"/>
                <w:sz w:val="18"/>
                <w:szCs w:val="18"/>
                <w:lang w:eastAsia="fr-FR"/>
              </w:rPr>
            </w:pPr>
          </w:p>
        </w:tc>
        <w:tc>
          <w:tcPr>
            <w:tcW w:w="2021" w:type="pct"/>
            <w:vAlign w:val="center"/>
            <w:hideMark/>
          </w:tcPr>
          <w:p w14:paraId="4B44945B" w14:textId="77777777" w:rsidR="00D52685" w:rsidRPr="008F512A" w:rsidRDefault="00D52685" w:rsidP="00D52685">
            <w:pPr>
              <w:jc w:val="left"/>
              <w:rPr>
                <w:rFonts w:eastAsia="Times New Roman" w:cs="Arial"/>
                <w:color w:val="000000"/>
                <w:sz w:val="18"/>
                <w:szCs w:val="18"/>
                <w:lang w:eastAsia="fr-FR"/>
              </w:rPr>
            </w:pPr>
            <w:r w:rsidRPr="008F512A">
              <w:rPr>
                <w:rFonts w:eastAsia="Times New Roman" w:cs="Arial"/>
                <w:color w:val="000000"/>
                <w:sz w:val="18"/>
                <w:szCs w:val="18"/>
                <w:lang w:eastAsia="nl-NL"/>
              </w:rPr>
              <w:t>d) reference to a particular position on the published reference genome version in combination with the SNP or INDEL that is responsible for the state of expression.</w:t>
            </w:r>
          </w:p>
        </w:tc>
      </w:tr>
      <w:tr w:rsidR="00D52685" w:rsidRPr="00D52685" w14:paraId="316FC3F6" w14:textId="77777777" w:rsidTr="004F5DA8">
        <w:trPr>
          <w:gridAfter w:val="1"/>
          <w:wAfter w:w="82" w:type="pct"/>
          <w:cantSplit/>
          <w:trHeight w:val="510"/>
        </w:trPr>
        <w:tc>
          <w:tcPr>
            <w:tcW w:w="358" w:type="pct"/>
            <w:vMerge w:val="restart"/>
            <w:vAlign w:val="center"/>
            <w:hideMark/>
          </w:tcPr>
          <w:p w14:paraId="08B444D5" w14:textId="77777777" w:rsidR="00D52685" w:rsidRPr="008F512A" w:rsidRDefault="00D52685" w:rsidP="00D52685">
            <w:pPr>
              <w:keepNext/>
              <w:jc w:val="left"/>
              <w:rPr>
                <w:rFonts w:eastAsia="Times New Roman" w:cs="Arial"/>
                <w:color w:val="000000"/>
                <w:sz w:val="18"/>
                <w:szCs w:val="18"/>
                <w:lang w:eastAsia="fr-FR"/>
              </w:rPr>
            </w:pPr>
            <w:r w:rsidRPr="008F512A">
              <w:rPr>
                <w:rFonts w:eastAsia="Times New Roman" w:cs="Arial"/>
                <w:color w:val="000000"/>
                <w:sz w:val="18"/>
                <w:szCs w:val="18"/>
                <w:lang w:eastAsia="nl-NL"/>
              </w:rPr>
              <w:t>2.3</w:t>
            </w:r>
          </w:p>
        </w:tc>
        <w:tc>
          <w:tcPr>
            <w:tcW w:w="800" w:type="pct"/>
            <w:vMerge w:val="restart"/>
            <w:vAlign w:val="center"/>
            <w:hideMark/>
          </w:tcPr>
          <w:p w14:paraId="06C15FBF" w14:textId="77777777" w:rsidR="00D52685" w:rsidRPr="008F512A" w:rsidRDefault="00D52685" w:rsidP="00D52685">
            <w:pPr>
              <w:keepNext/>
              <w:jc w:val="left"/>
              <w:rPr>
                <w:rFonts w:eastAsia="Times New Roman" w:cs="Arial"/>
                <w:color w:val="000000"/>
                <w:sz w:val="18"/>
                <w:szCs w:val="18"/>
                <w:lang w:eastAsia="fr-FR"/>
              </w:rPr>
            </w:pPr>
            <w:r w:rsidRPr="008F512A">
              <w:rPr>
                <w:rFonts w:eastAsia="Times New Roman" w:cs="Arial"/>
                <w:color w:val="000000"/>
                <w:sz w:val="18"/>
                <w:szCs w:val="18"/>
                <w:lang w:eastAsia="nl-NL"/>
              </w:rPr>
              <w:t xml:space="preserve">Allele corresponding to expression state n </w:t>
            </w:r>
          </w:p>
        </w:tc>
        <w:tc>
          <w:tcPr>
            <w:tcW w:w="1235" w:type="pct"/>
            <w:vAlign w:val="center"/>
            <w:hideMark/>
          </w:tcPr>
          <w:p w14:paraId="4382D6FD" w14:textId="77777777" w:rsidR="00D52685" w:rsidRPr="008F512A" w:rsidRDefault="00D52685" w:rsidP="00D52685">
            <w:pPr>
              <w:keepNext/>
              <w:jc w:val="left"/>
              <w:rPr>
                <w:rFonts w:eastAsia="Times New Roman" w:cs="Arial"/>
                <w:color w:val="000000"/>
                <w:sz w:val="18"/>
                <w:szCs w:val="18"/>
                <w:lang w:eastAsia="fr-FR"/>
              </w:rPr>
            </w:pPr>
            <w:r w:rsidRPr="008F512A">
              <w:rPr>
                <w:rFonts w:eastAsia="Times New Roman" w:cs="Arial"/>
                <w:i/>
                <w:color w:val="000000"/>
                <w:sz w:val="18"/>
                <w:szCs w:val="18"/>
                <w:lang w:eastAsia="nl-NL"/>
              </w:rPr>
              <w:t>Tm2</w:t>
            </w:r>
            <w:r w:rsidRPr="008F512A">
              <w:rPr>
                <w:rFonts w:eastAsia="Times New Roman" w:cs="Arial"/>
                <w:color w:val="000000"/>
                <w:sz w:val="18"/>
                <w:szCs w:val="18"/>
                <w:lang w:eastAsia="nl-NL"/>
              </w:rPr>
              <w:t xml:space="preserve"> and </w:t>
            </w:r>
            <w:r w:rsidRPr="008F512A">
              <w:rPr>
                <w:rFonts w:eastAsia="Times New Roman" w:cs="Arial"/>
                <w:i/>
                <w:color w:val="000000"/>
                <w:sz w:val="18"/>
                <w:szCs w:val="18"/>
                <w:lang w:eastAsia="nl-NL"/>
              </w:rPr>
              <w:t>Tm2</w:t>
            </w:r>
            <w:r w:rsidRPr="008F512A">
              <w:rPr>
                <w:rFonts w:eastAsia="Times New Roman" w:cs="Arial"/>
                <w:color w:val="000000"/>
                <w:sz w:val="18"/>
                <w:szCs w:val="18"/>
                <w:vertAlign w:val="superscript"/>
                <w:lang w:eastAsia="nl-NL"/>
              </w:rPr>
              <w:t>2</w:t>
            </w:r>
          </w:p>
        </w:tc>
        <w:tc>
          <w:tcPr>
            <w:tcW w:w="504" w:type="pct"/>
            <w:vMerge w:val="restart"/>
            <w:vAlign w:val="center"/>
            <w:hideMark/>
          </w:tcPr>
          <w:p w14:paraId="0D7E6F05" w14:textId="77777777" w:rsidR="00D52685" w:rsidRPr="008F512A" w:rsidRDefault="00D52685" w:rsidP="00D52685">
            <w:pPr>
              <w:keepNext/>
              <w:jc w:val="left"/>
              <w:rPr>
                <w:rFonts w:eastAsia="Times New Roman" w:cs="Arial"/>
                <w:color w:val="000000"/>
                <w:sz w:val="18"/>
                <w:szCs w:val="18"/>
                <w:lang w:eastAsia="fr-FR"/>
              </w:rPr>
            </w:pPr>
            <w:r w:rsidRPr="008F512A">
              <w:rPr>
                <w:rFonts w:eastAsia="Times New Roman" w:cs="Arial"/>
                <w:color w:val="000000"/>
                <w:sz w:val="18"/>
                <w:szCs w:val="18"/>
                <w:lang w:eastAsia="nl-NL"/>
              </w:rPr>
              <w:t>YES</w:t>
            </w:r>
          </w:p>
        </w:tc>
        <w:tc>
          <w:tcPr>
            <w:tcW w:w="2021" w:type="pct"/>
            <w:vAlign w:val="center"/>
            <w:hideMark/>
          </w:tcPr>
          <w:p w14:paraId="4675D4C1" w14:textId="77777777" w:rsidR="00D52685" w:rsidRPr="00D52685" w:rsidRDefault="00D52685" w:rsidP="00D52685">
            <w:pPr>
              <w:keepNext/>
              <w:jc w:val="left"/>
              <w:rPr>
                <w:rFonts w:eastAsia="Times New Roman" w:cs="Arial"/>
                <w:color w:val="000000"/>
                <w:sz w:val="18"/>
                <w:szCs w:val="18"/>
                <w:lang w:eastAsia="fr-FR"/>
              </w:rPr>
            </w:pPr>
            <w:r w:rsidRPr="008F512A">
              <w:rPr>
                <w:rFonts w:eastAsia="Times New Roman" w:cs="Arial"/>
                <w:color w:val="000000"/>
                <w:sz w:val="18"/>
                <w:szCs w:val="18"/>
                <w:lang w:eastAsia="nl-NL"/>
              </w:rPr>
              <w:t>a) file(s) containing the DNA sequence information (order of nucleotides)</w:t>
            </w:r>
            <w:r w:rsidRPr="00D52685">
              <w:rPr>
                <w:rFonts w:eastAsia="Times New Roman" w:cs="Arial"/>
                <w:color w:val="000000"/>
                <w:sz w:val="18"/>
                <w:szCs w:val="18"/>
                <w:lang w:eastAsia="nl-NL"/>
              </w:rPr>
              <w:t xml:space="preserve"> </w:t>
            </w:r>
          </w:p>
        </w:tc>
      </w:tr>
      <w:tr w:rsidR="00D52685" w:rsidRPr="00D52685" w14:paraId="391ED4AA" w14:textId="77777777" w:rsidTr="004F5DA8">
        <w:trPr>
          <w:gridAfter w:val="1"/>
          <w:wAfter w:w="82" w:type="pct"/>
          <w:cantSplit/>
          <w:trHeight w:val="510"/>
        </w:trPr>
        <w:tc>
          <w:tcPr>
            <w:tcW w:w="358" w:type="pct"/>
            <w:vMerge/>
            <w:vAlign w:val="center"/>
            <w:hideMark/>
          </w:tcPr>
          <w:p w14:paraId="27BD71A9" w14:textId="77777777" w:rsidR="00D52685" w:rsidRPr="00D52685" w:rsidRDefault="00D52685" w:rsidP="00D52685">
            <w:pPr>
              <w:keepNext/>
              <w:jc w:val="left"/>
              <w:rPr>
                <w:rFonts w:eastAsia="Times New Roman" w:cs="Arial"/>
                <w:color w:val="000000"/>
                <w:sz w:val="18"/>
                <w:szCs w:val="18"/>
                <w:lang w:eastAsia="fr-FR"/>
              </w:rPr>
            </w:pPr>
          </w:p>
        </w:tc>
        <w:tc>
          <w:tcPr>
            <w:tcW w:w="800" w:type="pct"/>
            <w:vMerge/>
            <w:vAlign w:val="center"/>
            <w:hideMark/>
          </w:tcPr>
          <w:p w14:paraId="29BE2A33" w14:textId="77777777" w:rsidR="00D52685" w:rsidRPr="00D52685" w:rsidRDefault="00D52685" w:rsidP="00D52685">
            <w:pPr>
              <w:keepNext/>
              <w:jc w:val="left"/>
              <w:rPr>
                <w:rFonts w:eastAsia="Times New Roman" w:cs="Arial"/>
                <w:color w:val="000000"/>
                <w:sz w:val="18"/>
                <w:szCs w:val="18"/>
                <w:lang w:eastAsia="fr-FR"/>
              </w:rPr>
            </w:pPr>
          </w:p>
        </w:tc>
        <w:tc>
          <w:tcPr>
            <w:tcW w:w="1235" w:type="pct"/>
            <w:vAlign w:val="center"/>
            <w:hideMark/>
          </w:tcPr>
          <w:p w14:paraId="7F65BD24"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color w:val="000000"/>
                <w:sz w:val="18"/>
                <w:szCs w:val="18"/>
                <w:lang w:eastAsia="fr-FR"/>
              </w:rPr>
              <w:t>Arens, P. et al (2010)</w:t>
            </w:r>
          </w:p>
        </w:tc>
        <w:tc>
          <w:tcPr>
            <w:tcW w:w="504" w:type="pct"/>
            <w:vMerge/>
            <w:vAlign w:val="center"/>
            <w:hideMark/>
          </w:tcPr>
          <w:p w14:paraId="7D160D61" w14:textId="77777777" w:rsidR="00D52685" w:rsidRPr="00D52685" w:rsidRDefault="00D52685" w:rsidP="00D52685">
            <w:pPr>
              <w:keepNext/>
              <w:jc w:val="left"/>
              <w:rPr>
                <w:rFonts w:eastAsia="Times New Roman" w:cs="Arial"/>
                <w:color w:val="000000"/>
                <w:sz w:val="18"/>
                <w:szCs w:val="18"/>
                <w:lang w:eastAsia="fr-FR"/>
              </w:rPr>
            </w:pPr>
          </w:p>
        </w:tc>
        <w:tc>
          <w:tcPr>
            <w:tcW w:w="2021" w:type="pct"/>
            <w:vAlign w:val="center"/>
            <w:hideMark/>
          </w:tcPr>
          <w:p w14:paraId="520C3374"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color w:val="000000"/>
                <w:sz w:val="18"/>
                <w:szCs w:val="18"/>
                <w:lang w:eastAsia="nl-NL"/>
              </w:rPr>
              <w:t xml:space="preserve">b) reference to DNA information in public databases (like </w:t>
            </w:r>
            <w:proofErr w:type="spellStart"/>
            <w:r w:rsidRPr="00D52685">
              <w:rPr>
                <w:rFonts w:eastAsia="Times New Roman" w:cs="Arial"/>
                <w:color w:val="000000"/>
                <w:sz w:val="18"/>
                <w:szCs w:val="18"/>
                <w:lang w:eastAsia="nl-NL"/>
              </w:rPr>
              <w:t>GeneBank</w:t>
            </w:r>
            <w:proofErr w:type="spellEnd"/>
            <w:r w:rsidRPr="00D52685">
              <w:rPr>
                <w:rFonts w:eastAsia="Times New Roman" w:cs="Arial"/>
                <w:color w:val="000000"/>
                <w:sz w:val="18"/>
                <w:szCs w:val="18"/>
                <w:lang w:eastAsia="nl-NL"/>
              </w:rPr>
              <w:t>)</w:t>
            </w:r>
          </w:p>
        </w:tc>
      </w:tr>
      <w:tr w:rsidR="00D52685" w:rsidRPr="00D52685" w14:paraId="62C89C4F" w14:textId="77777777" w:rsidTr="004F5DA8">
        <w:trPr>
          <w:gridAfter w:val="1"/>
          <w:wAfter w:w="82" w:type="pct"/>
          <w:cantSplit/>
          <w:trHeight w:val="765"/>
        </w:trPr>
        <w:tc>
          <w:tcPr>
            <w:tcW w:w="358" w:type="pct"/>
            <w:vMerge/>
            <w:vAlign w:val="center"/>
            <w:hideMark/>
          </w:tcPr>
          <w:p w14:paraId="6ED14A55" w14:textId="77777777" w:rsidR="00D52685" w:rsidRPr="00D52685" w:rsidRDefault="00D52685" w:rsidP="00D52685">
            <w:pPr>
              <w:keepNext/>
              <w:jc w:val="left"/>
              <w:rPr>
                <w:rFonts w:eastAsia="Times New Roman" w:cs="Arial"/>
                <w:color w:val="000000"/>
                <w:sz w:val="18"/>
                <w:szCs w:val="18"/>
                <w:lang w:eastAsia="fr-FR"/>
              </w:rPr>
            </w:pPr>
          </w:p>
        </w:tc>
        <w:tc>
          <w:tcPr>
            <w:tcW w:w="800" w:type="pct"/>
            <w:vMerge/>
            <w:vAlign w:val="center"/>
            <w:hideMark/>
          </w:tcPr>
          <w:p w14:paraId="6E1D9124" w14:textId="77777777" w:rsidR="00D52685" w:rsidRPr="00D52685" w:rsidRDefault="00D52685" w:rsidP="00D52685">
            <w:pPr>
              <w:keepNext/>
              <w:jc w:val="left"/>
              <w:rPr>
                <w:rFonts w:eastAsia="Times New Roman" w:cs="Arial"/>
                <w:color w:val="000000"/>
                <w:sz w:val="18"/>
                <w:szCs w:val="18"/>
                <w:lang w:eastAsia="fr-FR"/>
              </w:rPr>
            </w:pPr>
          </w:p>
        </w:tc>
        <w:tc>
          <w:tcPr>
            <w:tcW w:w="1235" w:type="pct"/>
            <w:vAlign w:val="center"/>
            <w:hideMark/>
          </w:tcPr>
          <w:p w14:paraId="7F56126D" w14:textId="77777777" w:rsidR="00D52685" w:rsidRPr="00D52685" w:rsidRDefault="00D52685" w:rsidP="00D52685">
            <w:pPr>
              <w:keepNext/>
              <w:jc w:val="left"/>
              <w:rPr>
                <w:rFonts w:eastAsia="Times New Roman" w:cs="Arial"/>
                <w:color w:val="000000"/>
                <w:sz w:val="18"/>
                <w:szCs w:val="18"/>
                <w:lang w:eastAsia="nl-NL"/>
              </w:rPr>
            </w:pPr>
          </w:p>
          <w:p w14:paraId="240DE5A5" w14:textId="77777777" w:rsidR="00D52685" w:rsidRPr="00D52685" w:rsidRDefault="00D52685" w:rsidP="00D52685">
            <w:pPr>
              <w:keepNext/>
              <w:jc w:val="left"/>
              <w:rPr>
                <w:rFonts w:eastAsia="Times New Roman" w:cs="Arial"/>
                <w:color w:val="000000"/>
                <w:sz w:val="18"/>
                <w:szCs w:val="18"/>
                <w:lang w:eastAsia="fr-FR"/>
              </w:rPr>
            </w:pPr>
          </w:p>
        </w:tc>
        <w:tc>
          <w:tcPr>
            <w:tcW w:w="504" w:type="pct"/>
            <w:vMerge/>
            <w:vAlign w:val="center"/>
            <w:hideMark/>
          </w:tcPr>
          <w:p w14:paraId="442FC322" w14:textId="77777777" w:rsidR="00D52685" w:rsidRPr="00D52685" w:rsidRDefault="00D52685" w:rsidP="00D52685">
            <w:pPr>
              <w:keepNext/>
              <w:jc w:val="left"/>
              <w:rPr>
                <w:rFonts w:eastAsia="Times New Roman" w:cs="Arial"/>
                <w:color w:val="000000"/>
                <w:sz w:val="18"/>
                <w:szCs w:val="18"/>
                <w:lang w:eastAsia="fr-FR"/>
              </w:rPr>
            </w:pPr>
          </w:p>
        </w:tc>
        <w:tc>
          <w:tcPr>
            <w:tcW w:w="2021" w:type="pct"/>
            <w:vAlign w:val="center"/>
            <w:hideMark/>
          </w:tcPr>
          <w:p w14:paraId="775DC12C"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color w:val="000000"/>
                <w:sz w:val="18"/>
                <w:szCs w:val="18"/>
                <w:lang w:eastAsia="nl-NL"/>
              </w:rPr>
              <w:t>c) reference to (scientific) publications in which the DNA sequence information of the states of expression of the characteristic is revealed.</w:t>
            </w:r>
          </w:p>
        </w:tc>
      </w:tr>
      <w:tr w:rsidR="00D52685" w:rsidRPr="00D52685" w14:paraId="7010C98F" w14:textId="77777777" w:rsidTr="004F5DA8">
        <w:trPr>
          <w:gridAfter w:val="1"/>
          <w:wAfter w:w="82" w:type="pct"/>
          <w:cantSplit/>
          <w:trHeight w:val="1035"/>
        </w:trPr>
        <w:tc>
          <w:tcPr>
            <w:tcW w:w="358" w:type="pct"/>
            <w:vMerge/>
            <w:vAlign w:val="center"/>
            <w:hideMark/>
          </w:tcPr>
          <w:p w14:paraId="45216F1F" w14:textId="77777777" w:rsidR="00D52685" w:rsidRPr="00D52685" w:rsidRDefault="00D52685" w:rsidP="00D52685">
            <w:pPr>
              <w:jc w:val="left"/>
              <w:rPr>
                <w:rFonts w:eastAsia="Times New Roman" w:cs="Arial"/>
                <w:color w:val="000000"/>
                <w:sz w:val="18"/>
                <w:szCs w:val="18"/>
                <w:lang w:eastAsia="fr-FR"/>
              </w:rPr>
            </w:pPr>
          </w:p>
        </w:tc>
        <w:tc>
          <w:tcPr>
            <w:tcW w:w="800" w:type="pct"/>
            <w:vMerge/>
            <w:vAlign w:val="center"/>
            <w:hideMark/>
          </w:tcPr>
          <w:p w14:paraId="2EB0CBBC" w14:textId="77777777" w:rsidR="00D52685" w:rsidRPr="00D52685" w:rsidRDefault="00D52685" w:rsidP="00D52685">
            <w:pPr>
              <w:jc w:val="left"/>
              <w:rPr>
                <w:rFonts w:eastAsia="Times New Roman" w:cs="Arial"/>
                <w:color w:val="000000"/>
                <w:sz w:val="18"/>
                <w:szCs w:val="18"/>
                <w:lang w:eastAsia="fr-FR"/>
              </w:rPr>
            </w:pPr>
          </w:p>
        </w:tc>
        <w:tc>
          <w:tcPr>
            <w:tcW w:w="1235" w:type="pct"/>
            <w:vAlign w:val="center"/>
            <w:hideMark/>
          </w:tcPr>
          <w:p w14:paraId="4F84AC1C" w14:textId="77777777" w:rsidR="00D52685" w:rsidRPr="00D52685" w:rsidRDefault="00D52685" w:rsidP="00D52685">
            <w:pPr>
              <w:jc w:val="left"/>
              <w:rPr>
                <w:rFonts w:eastAsia="Times New Roman" w:cs="Arial"/>
                <w:color w:val="000000"/>
                <w:sz w:val="18"/>
                <w:szCs w:val="18"/>
                <w:lang w:eastAsia="fr-FR"/>
              </w:rPr>
            </w:pPr>
          </w:p>
        </w:tc>
        <w:tc>
          <w:tcPr>
            <w:tcW w:w="504" w:type="pct"/>
            <w:vMerge/>
            <w:vAlign w:val="center"/>
            <w:hideMark/>
          </w:tcPr>
          <w:p w14:paraId="2FCB8C95" w14:textId="77777777" w:rsidR="00D52685" w:rsidRPr="00D52685" w:rsidRDefault="00D52685" w:rsidP="00D52685">
            <w:pPr>
              <w:jc w:val="left"/>
              <w:rPr>
                <w:rFonts w:eastAsia="Times New Roman" w:cs="Arial"/>
                <w:color w:val="000000"/>
                <w:sz w:val="18"/>
                <w:szCs w:val="18"/>
                <w:lang w:eastAsia="fr-FR"/>
              </w:rPr>
            </w:pPr>
          </w:p>
        </w:tc>
        <w:tc>
          <w:tcPr>
            <w:tcW w:w="2021" w:type="pct"/>
            <w:vAlign w:val="center"/>
            <w:hideMark/>
          </w:tcPr>
          <w:p w14:paraId="2EDD04E0"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d) reference to a particular position on the published reference genome version in combination with the SNP or INDEL that is responsible for the state of expression.</w:t>
            </w:r>
          </w:p>
        </w:tc>
      </w:tr>
      <w:tr w:rsidR="00D52685" w:rsidRPr="00D52685" w14:paraId="329C6F59" w14:textId="77777777" w:rsidTr="004F5DA8">
        <w:trPr>
          <w:gridAfter w:val="1"/>
          <w:wAfter w:w="82" w:type="pct"/>
          <w:cantSplit/>
          <w:trHeight w:val="780"/>
        </w:trPr>
        <w:tc>
          <w:tcPr>
            <w:tcW w:w="358" w:type="pct"/>
            <w:vAlign w:val="center"/>
            <w:hideMark/>
          </w:tcPr>
          <w:p w14:paraId="4F115807"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3</w:t>
            </w:r>
          </w:p>
        </w:tc>
        <w:tc>
          <w:tcPr>
            <w:tcW w:w="800" w:type="pct"/>
            <w:vAlign w:val="center"/>
            <w:hideMark/>
          </w:tcPr>
          <w:p w14:paraId="676ADFBB" w14:textId="77777777" w:rsidR="00D52685" w:rsidRPr="00D52685" w:rsidRDefault="00D52685" w:rsidP="00D52685">
            <w:pPr>
              <w:jc w:val="left"/>
              <w:rPr>
                <w:rFonts w:eastAsia="Times New Roman" w:cs="Arial"/>
                <w:color w:val="000000"/>
                <w:sz w:val="18"/>
                <w:szCs w:val="18"/>
                <w:lang w:eastAsia="fr-FR"/>
              </w:rPr>
            </w:pPr>
            <w:r w:rsidRPr="3386983C">
              <w:rPr>
                <w:rFonts w:eastAsia="Times New Roman" w:cs="Arial"/>
                <w:color w:val="000000" w:themeColor="text1"/>
                <w:sz w:val="18"/>
                <w:szCs w:val="18"/>
                <w:lang w:eastAsia="nl-NL"/>
              </w:rPr>
              <w:t>Primers (and probes</w:t>
            </w:r>
            <w:r w:rsidRPr="00126679">
              <w:rPr>
                <w:rFonts w:eastAsia="Times New Roman" w:cs="Arial"/>
                <w:color w:val="000000" w:themeColor="text1"/>
                <w:sz w:val="18"/>
                <w:szCs w:val="18"/>
                <w:lang w:eastAsia="nl-NL"/>
              </w:rPr>
              <w:t>)</w:t>
            </w:r>
          </w:p>
        </w:tc>
        <w:tc>
          <w:tcPr>
            <w:tcW w:w="1235" w:type="pct"/>
            <w:vAlign w:val="center"/>
            <w:hideMark/>
          </w:tcPr>
          <w:p w14:paraId="0A15E4F3" w14:textId="77777777" w:rsidR="00D52685" w:rsidRPr="00D52685" w:rsidRDefault="00D52685" w:rsidP="00D52685">
            <w:pPr>
              <w:jc w:val="left"/>
              <w:rPr>
                <w:rFonts w:eastAsia="Times New Roman" w:cs="Arial"/>
                <w:i/>
                <w:iCs/>
                <w:color w:val="000000"/>
                <w:sz w:val="18"/>
                <w:szCs w:val="18"/>
                <w:lang w:eastAsia="fr-FR"/>
              </w:rPr>
            </w:pPr>
            <w:r w:rsidRPr="00D52685">
              <w:rPr>
                <w:rFonts w:eastAsia="Times New Roman" w:cs="Arial"/>
                <w:i/>
                <w:iCs/>
                <w:color w:val="000000"/>
                <w:sz w:val="18"/>
                <w:szCs w:val="18"/>
                <w:lang w:eastAsia="fr-FR"/>
              </w:rPr>
              <w:t>See TG/44/11/rev3 – Ad 51: ii DNA marker test add 3, 3.1 and 3.2</w:t>
            </w:r>
          </w:p>
        </w:tc>
        <w:tc>
          <w:tcPr>
            <w:tcW w:w="504" w:type="pct"/>
            <w:vAlign w:val="center"/>
            <w:hideMark/>
          </w:tcPr>
          <w:p w14:paraId="04FCF3DB"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Align w:val="center"/>
            <w:hideMark/>
          </w:tcPr>
          <w:p w14:paraId="7723C729"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Primer and probe sequences, reference to accessions and sequences in public databases (</w:t>
            </w:r>
            <w:proofErr w:type="spellStart"/>
            <w:r w:rsidRPr="00D52685">
              <w:rPr>
                <w:rFonts w:eastAsia="Times New Roman" w:cs="Arial"/>
                <w:color w:val="000000"/>
                <w:sz w:val="18"/>
                <w:szCs w:val="18"/>
                <w:lang w:eastAsia="nl-NL"/>
              </w:rPr>
              <w:t>Genebank</w:t>
            </w:r>
            <w:proofErr w:type="spellEnd"/>
            <w:r w:rsidRPr="00D52685">
              <w:rPr>
                <w:rFonts w:eastAsia="Times New Roman" w:cs="Arial"/>
                <w:color w:val="000000"/>
                <w:sz w:val="18"/>
                <w:szCs w:val="18"/>
                <w:lang w:eastAsia="nl-NL"/>
              </w:rPr>
              <w:t xml:space="preserve"> numbers), literature</w:t>
            </w:r>
          </w:p>
        </w:tc>
      </w:tr>
      <w:tr w:rsidR="00D52685" w:rsidRPr="00D52685" w14:paraId="5AC20C0C" w14:textId="77777777" w:rsidTr="004F5DA8">
        <w:trPr>
          <w:gridAfter w:val="1"/>
          <w:wAfter w:w="82" w:type="pct"/>
          <w:cantSplit/>
          <w:trHeight w:val="525"/>
        </w:trPr>
        <w:tc>
          <w:tcPr>
            <w:tcW w:w="358" w:type="pct"/>
            <w:vAlign w:val="center"/>
            <w:hideMark/>
          </w:tcPr>
          <w:p w14:paraId="3668821F"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3.1</w:t>
            </w:r>
          </w:p>
        </w:tc>
        <w:tc>
          <w:tcPr>
            <w:tcW w:w="800" w:type="pct"/>
            <w:vAlign w:val="center"/>
            <w:hideMark/>
          </w:tcPr>
          <w:p w14:paraId="6254C277" w14:textId="77777777" w:rsidR="00D52685" w:rsidRPr="00D52685" w:rsidRDefault="00D52685" w:rsidP="00D52685">
            <w:pPr>
              <w:jc w:val="left"/>
              <w:rPr>
                <w:rFonts w:eastAsia="Times New Roman" w:cs="Arial"/>
                <w:color w:val="000000"/>
                <w:sz w:val="18"/>
                <w:szCs w:val="18"/>
                <w:lang w:eastAsia="fr-FR"/>
              </w:rPr>
            </w:pPr>
            <w:r w:rsidRPr="3386983C">
              <w:rPr>
                <w:rFonts w:eastAsia="Times New Roman" w:cs="Arial"/>
                <w:color w:val="000000" w:themeColor="text1"/>
                <w:sz w:val="18"/>
                <w:szCs w:val="18"/>
                <w:lang w:eastAsia="nl-NL"/>
              </w:rPr>
              <w:t>Primers (</w:t>
            </w:r>
            <w:r w:rsidRPr="00AC348D">
              <w:rPr>
                <w:rFonts w:eastAsia="Times New Roman" w:cs="Arial"/>
                <w:color w:val="000000" w:themeColor="text1"/>
                <w:sz w:val="18"/>
                <w:szCs w:val="18"/>
                <w:lang w:eastAsia="nl-NL"/>
              </w:rPr>
              <w:t>and probes</w:t>
            </w:r>
            <w:r w:rsidRPr="3386983C">
              <w:rPr>
                <w:rFonts w:eastAsia="Times New Roman" w:cs="Arial"/>
                <w:color w:val="000000" w:themeColor="text1"/>
                <w:sz w:val="18"/>
                <w:szCs w:val="18"/>
                <w:lang w:eastAsia="nl-NL"/>
              </w:rPr>
              <w:t>) to detect allele ‘9’</w:t>
            </w:r>
          </w:p>
        </w:tc>
        <w:tc>
          <w:tcPr>
            <w:tcW w:w="1235" w:type="pct"/>
            <w:vAlign w:val="center"/>
            <w:hideMark/>
          </w:tcPr>
          <w:p w14:paraId="68B53BF3"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p>
        </w:tc>
        <w:tc>
          <w:tcPr>
            <w:tcW w:w="504" w:type="pct"/>
            <w:vAlign w:val="center"/>
            <w:hideMark/>
          </w:tcPr>
          <w:p w14:paraId="0BC9C8A0"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Align w:val="center"/>
            <w:hideMark/>
          </w:tcPr>
          <w:p w14:paraId="57225274"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Primer Sequences corresponding to allele(s) for expression ‘9’ (resistance)</w:t>
            </w:r>
          </w:p>
        </w:tc>
      </w:tr>
      <w:tr w:rsidR="00D52685" w:rsidRPr="00D52685" w14:paraId="3E995A45" w14:textId="77777777" w:rsidTr="004F5DA8">
        <w:trPr>
          <w:gridAfter w:val="1"/>
          <w:wAfter w:w="82" w:type="pct"/>
          <w:cantSplit/>
          <w:trHeight w:val="525"/>
        </w:trPr>
        <w:tc>
          <w:tcPr>
            <w:tcW w:w="358" w:type="pct"/>
            <w:vAlign w:val="center"/>
            <w:hideMark/>
          </w:tcPr>
          <w:p w14:paraId="61551561"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3.2</w:t>
            </w:r>
          </w:p>
        </w:tc>
        <w:tc>
          <w:tcPr>
            <w:tcW w:w="800" w:type="pct"/>
            <w:vAlign w:val="center"/>
            <w:hideMark/>
          </w:tcPr>
          <w:p w14:paraId="18220F18" w14:textId="77777777" w:rsidR="00D52685" w:rsidRPr="00D52685" w:rsidRDefault="00D52685" w:rsidP="00D52685">
            <w:pPr>
              <w:jc w:val="left"/>
              <w:rPr>
                <w:rFonts w:eastAsia="Times New Roman" w:cs="Arial"/>
                <w:color w:val="000000"/>
                <w:sz w:val="18"/>
                <w:szCs w:val="18"/>
                <w:lang w:eastAsia="fr-FR"/>
              </w:rPr>
            </w:pPr>
            <w:r w:rsidRPr="3386983C">
              <w:rPr>
                <w:rFonts w:eastAsia="Times New Roman" w:cs="Arial"/>
                <w:color w:val="000000" w:themeColor="text1"/>
                <w:sz w:val="18"/>
                <w:szCs w:val="18"/>
                <w:lang w:eastAsia="nl-NL"/>
              </w:rPr>
              <w:t>Primers (</w:t>
            </w:r>
            <w:r w:rsidRPr="00AC348D">
              <w:rPr>
                <w:rFonts w:eastAsia="Times New Roman" w:cs="Arial"/>
                <w:color w:val="000000" w:themeColor="text1"/>
                <w:sz w:val="18"/>
                <w:szCs w:val="18"/>
                <w:lang w:eastAsia="nl-NL"/>
              </w:rPr>
              <w:t>and probes</w:t>
            </w:r>
            <w:r w:rsidRPr="3386983C">
              <w:rPr>
                <w:rFonts w:eastAsia="Times New Roman" w:cs="Arial"/>
                <w:color w:val="000000" w:themeColor="text1"/>
                <w:sz w:val="18"/>
                <w:szCs w:val="18"/>
                <w:lang w:eastAsia="nl-NL"/>
              </w:rPr>
              <w:t>) to detect allele ‘1’</w:t>
            </w:r>
          </w:p>
        </w:tc>
        <w:tc>
          <w:tcPr>
            <w:tcW w:w="1235" w:type="pct"/>
            <w:vAlign w:val="center"/>
            <w:hideMark/>
          </w:tcPr>
          <w:p w14:paraId="6DA9D1ED"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p>
        </w:tc>
        <w:tc>
          <w:tcPr>
            <w:tcW w:w="504" w:type="pct"/>
            <w:vAlign w:val="center"/>
            <w:hideMark/>
          </w:tcPr>
          <w:p w14:paraId="26E7528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Align w:val="center"/>
            <w:hideMark/>
          </w:tcPr>
          <w:p w14:paraId="1354FDCD"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Primer Sequences corresponding to allele(s) for expression ‘1’ (susceptibility)</w:t>
            </w:r>
          </w:p>
        </w:tc>
      </w:tr>
      <w:tr w:rsidR="00D52685" w:rsidRPr="00D52685" w14:paraId="46D20EF1" w14:textId="77777777" w:rsidTr="004F5DA8">
        <w:trPr>
          <w:gridAfter w:val="1"/>
          <w:wAfter w:w="82" w:type="pct"/>
          <w:cantSplit/>
          <w:trHeight w:val="525"/>
        </w:trPr>
        <w:tc>
          <w:tcPr>
            <w:tcW w:w="358" w:type="pct"/>
            <w:vAlign w:val="center"/>
            <w:hideMark/>
          </w:tcPr>
          <w:p w14:paraId="1C28D6C5"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3.3</w:t>
            </w:r>
          </w:p>
        </w:tc>
        <w:tc>
          <w:tcPr>
            <w:tcW w:w="800" w:type="pct"/>
            <w:vAlign w:val="center"/>
            <w:hideMark/>
          </w:tcPr>
          <w:p w14:paraId="65C404E7" w14:textId="77777777" w:rsidR="00D52685" w:rsidRPr="00D52685" w:rsidRDefault="00D52685" w:rsidP="00D52685">
            <w:pPr>
              <w:jc w:val="left"/>
              <w:rPr>
                <w:rFonts w:eastAsia="Times New Roman" w:cs="Arial"/>
                <w:color w:val="000000"/>
                <w:sz w:val="18"/>
                <w:szCs w:val="18"/>
                <w:lang w:eastAsia="fr-FR"/>
              </w:rPr>
            </w:pPr>
            <w:r w:rsidRPr="3386983C">
              <w:rPr>
                <w:rFonts w:eastAsia="Times New Roman" w:cs="Arial"/>
                <w:color w:val="000000" w:themeColor="text1"/>
                <w:sz w:val="18"/>
                <w:szCs w:val="18"/>
                <w:lang w:eastAsia="nl-NL"/>
              </w:rPr>
              <w:t>Primers (</w:t>
            </w:r>
            <w:r w:rsidRPr="00AC348D">
              <w:rPr>
                <w:rFonts w:eastAsia="Times New Roman" w:cs="Arial"/>
                <w:color w:val="000000" w:themeColor="text1"/>
                <w:sz w:val="18"/>
                <w:szCs w:val="18"/>
                <w:lang w:eastAsia="nl-NL"/>
              </w:rPr>
              <w:t>and probes</w:t>
            </w:r>
            <w:r w:rsidRPr="3386983C">
              <w:rPr>
                <w:rFonts w:eastAsia="Times New Roman" w:cs="Arial"/>
                <w:color w:val="000000" w:themeColor="text1"/>
                <w:sz w:val="18"/>
                <w:szCs w:val="18"/>
                <w:lang w:eastAsia="nl-NL"/>
              </w:rPr>
              <w:t>) to detect allele ‘x’</w:t>
            </w:r>
          </w:p>
        </w:tc>
        <w:tc>
          <w:tcPr>
            <w:tcW w:w="1235" w:type="pct"/>
            <w:vAlign w:val="center"/>
            <w:hideMark/>
          </w:tcPr>
          <w:p w14:paraId="2BFCFABF"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p>
        </w:tc>
        <w:tc>
          <w:tcPr>
            <w:tcW w:w="504" w:type="pct"/>
            <w:vAlign w:val="center"/>
            <w:hideMark/>
          </w:tcPr>
          <w:p w14:paraId="232C2949"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Align w:val="center"/>
            <w:hideMark/>
          </w:tcPr>
          <w:p w14:paraId="70389C53"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xml:space="preserve">Primer Sequences corresponding to allele(s) for expression ‘x’ </w:t>
            </w:r>
          </w:p>
        </w:tc>
      </w:tr>
      <w:tr w:rsidR="00D52685" w:rsidRPr="00D52685" w14:paraId="7D26617B" w14:textId="77777777" w:rsidTr="004F5DA8">
        <w:trPr>
          <w:gridAfter w:val="1"/>
          <w:wAfter w:w="82" w:type="pct"/>
          <w:cantSplit/>
          <w:trHeight w:val="315"/>
        </w:trPr>
        <w:tc>
          <w:tcPr>
            <w:tcW w:w="358" w:type="pct"/>
            <w:vAlign w:val="center"/>
            <w:hideMark/>
          </w:tcPr>
          <w:p w14:paraId="039417E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4</w:t>
            </w:r>
          </w:p>
        </w:tc>
        <w:tc>
          <w:tcPr>
            <w:tcW w:w="800" w:type="pct"/>
            <w:vAlign w:val="center"/>
            <w:hideMark/>
          </w:tcPr>
          <w:p w14:paraId="6364F4E4" w14:textId="77777777" w:rsidR="00D52685" w:rsidRPr="00D52685" w:rsidRDefault="00D52685" w:rsidP="00D52685">
            <w:pPr>
              <w:jc w:val="left"/>
              <w:rPr>
                <w:rFonts w:eastAsia="Times New Roman" w:cs="Arial"/>
                <w:color w:val="000000"/>
                <w:sz w:val="18"/>
                <w:szCs w:val="18"/>
                <w:lang w:eastAsia="fr-FR"/>
              </w:rPr>
            </w:pPr>
            <w:r w:rsidRPr="3386983C">
              <w:rPr>
                <w:rFonts w:eastAsia="Times New Roman" w:cs="Arial"/>
                <w:color w:val="000000" w:themeColor="text1"/>
                <w:sz w:val="18"/>
                <w:szCs w:val="18"/>
                <w:lang w:eastAsia="nl-NL"/>
              </w:rPr>
              <w:t>Format of the test</w:t>
            </w:r>
          </w:p>
        </w:tc>
        <w:tc>
          <w:tcPr>
            <w:tcW w:w="1235" w:type="pct"/>
            <w:vAlign w:val="center"/>
            <w:hideMark/>
          </w:tcPr>
          <w:p w14:paraId="3313CD15"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p>
        </w:tc>
        <w:tc>
          <w:tcPr>
            <w:tcW w:w="504" w:type="pct"/>
            <w:vAlign w:val="center"/>
            <w:hideMark/>
          </w:tcPr>
          <w:p w14:paraId="19AF7AF1"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p>
        </w:tc>
        <w:tc>
          <w:tcPr>
            <w:tcW w:w="2021" w:type="pct"/>
            <w:vAlign w:val="center"/>
            <w:hideMark/>
          </w:tcPr>
          <w:p w14:paraId="7C0C40FF"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p>
        </w:tc>
      </w:tr>
      <w:tr w:rsidR="00D52685" w:rsidRPr="00D52685" w14:paraId="4829C467" w14:textId="77777777" w:rsidTr="004F5DA8">
        <w:trPr>
          <w:gridAfter w:val="1"/>
          <w:wAfter w:w="82" w:type="pct"/>
          <w:cantSplit/>
          <w:trHeight w:val="1725"/>
        </w:trPr>
        <w:tc>
          <w:tcPr>
            <w:tcW w:w="358" w:type="pct"/>
            <w:vAlign w:val="center"/>
            <w:hideMark/>
          </w:tcPr>
          <w:p w14:paraId="4476ACC9"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lastRenderedPageBreak/>
              <w:t>4.1</w:t>
            </w:r>
          </w:p>
        </w:tc>
        <w:tc>
          <w:tcPr>
            <w:tcW w:w="800" w:type="pct"/>
            <w:vAlign w:val="center"/>
            <w:hideMark/>
          </w:tcPr>
          <w:p w14:paraId="17CF73AA" w14:textId="77777777" w:rsidR="00D52685" w:rsidRPr="00D52685" w:rsidRDefault="00D52685" w:rsidP="00D52685">
            <w:pPr>
              <w:jc w:val="left"/>
              <w:rPr>
                <w:rFonts w:eastAsia="Times New Roman" w:cs="Arial"/>
                <w:color w:val="000000"/>
                <w:sz w:val="18"/>
                <w:szCs w:val="18"/>
                <w:lang w:eastAsia="fr-FR"/>
              </w:rPr>
            </w:pPr>
            <w:r w:rsidRPr="3386983C">
              <w:rPr>
                <w:rFonts w:eastAsia="Times New Roman" w:cs="Arial"/>
                <w:color w:val="000000" w:themeColor="text1"/>
                <w:sz w:val="18"/>
                <w:szCs w:val="18"/>
                <w:lang w:eastAsia="nl-NL"/>
              </w:rPr>
              <w:t xml:space="preserve">Number of plants </w:t>
            </w:r>
            <w:r w:rsidRPr="00AC348D">
              <w:rPr>
                <w:rFonts w:eastAsia="Times New Roman" w:cs="Arial"/>
                <w:color w:val="000000" w:themeColor="text1"/>
                <w:sz w:val="18"/>
                <w:szCs w:val="18"/>
                <w:lang w:eastAsia="nl-NL"/>
              </w:rPr>
              <w:t>per genotype</w:t>
            </w:r>
          </w:p>
        </w:tc>
        <w:tc>
          <w:tcPr>
            <w:tcW w:w="1235" w:type="pct"/>
            <w:vAlign w:val="center"/>
            <w:hideMark/>
          </w:tcPr>
          <w:p w14:paraId="0C94EFAB"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≥20</w:t>
            </w:r>
          </w:p>
        </w:tc>
        <w:tc>
          <w:tcPr>
            <w:tcW w:w="504" w:type="pct"/>
            <w:vAlign w:val="center"/>
            <w:hideMark/>
          </w:tcPr>
          <w:p w14:paraId="48BB1B5B"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Align w:val="center"/>
            <w:hideMark/>
          </w:tcPr>
          <w:p w14:paraId="4D1560A7"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A minimal number of individual plants required: the test for the marker is conducted on the same number of individual plants, with the same criteria for distinctness, uniformity and stability as for the examination of the characteristic by an observation assay (documents TGP/9 and TGP/10)</w:t>
            </w:r>
          </w:p>
        </w:tc>
      </w:tr>
      <w:tr w:rsidR="00D52685" w:rsidRPr="00D52685" w14:paraId="40117CF9" w14:textId="77777777" w:rsidTr="004F5DA8">
        <w:trPr>
          <w:gridAfter w:val="1"/>
          <w:wAfter w:w="82" w:type="pct"/>
          <w:cantSplit/>
          <w:trHeight w:val="3000"/>
        </w:trPr>
        <w:tc>
          <w:tcPr>
            <w:tcW w:w="358" w:type="pct"/>
            <w:vAlign w:val="center"/>
            <w:hideMark/>
          </w:tcPr>
          <w:p w14:paraId="0560862D"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4.2</w:t>
            </w:r>
          </w:p>
        </w:tc>
        <w:tc>
          <w:tcPr>
            <w:tcW w:w="800" w:type="pct"/>
            <w:vAlign w:val="center"/>
            <w:hideMark/>
          </w:tcPr>
          <w:p w14:paraId="63082F4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Control varieties</w:t>
            </w:r>
          </w:p>
        </w:tc>
        <w:tc>
          <w:tcPr>
            <w:tcW w:w="1235" w:type="pct"/>
            <w:vAlign w:val="center"/>
            <w:hideMark/>
          </w:tcPr>
          <w:p w14:paraId="4C09D8AF" w14:textId="77777777" w:rsidR="00D52685" w:rsidRPr="00D52685" w:rsidRDefault="00D52685" w:rsidP="00D52685">
            <w:pPr>
              <w:jc w:val="left"/>
              <w:rPr>
                <w:rFonts w:eastAsia="Times New Roman" w:cs="Arial"/>
                <w:i/>
                <w:iCs/>
                <w:color w:val="000000"/>
                <w:sz w:val="18"/>
                <w:szCs w:val="18"/>
                <w:lang w:eastAsia="fr-FR"/>
              </w:rPr>
            </w:pPr>
            <w:r w:rsidRPr="00D52685">
              <w:rPr>
                <w:rFonts w:eastAsia="Times New Roman" w:cs="Arial"/>
                <w:i/>
                <w:iCs/>
                <w:color w:val="000000"/>
                <w:sz w:val="18"/>
                <w:szCs w:val="18"/>
                <w:lang w:eastAsia="fr-FR"/>
              </w:rPr>
              <w:t>See TG/44/11/rev3 – Ad 51: ii DNA marker test add 4.2</w:t>
            </w:r>
          </w:p>
        </w:tc>
        <w:tc>
          <w:tcPr>
            <w:tcW w:w="504" w:type="pct"/>
            <w:vAlign w:val="center"/>
            <w:hideMark/>
          </w:tcPr>
          <w:p w14:paraId="30CA8605"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YES</w:t>
            </w:r>
          </w:p>
        </w:tc>
        <w:tc>
          <w:tcPr>
            <w:tcW w:w="2021" w:type="pct"/>
            <w:vAlign w:val="center"/>
            <w:hideMark/>
          </w:tcPr>
          <w:p w14:paraId="64843C7D" w14:textId="77777777" w:rsidR="00D52685" w:rsidRPr="00D52685" w:rsidRDefault="00D52685" w:rsidP="00D52685">
            <w:pPr>
              <w:jc w:val="left"/>
              <w:rPr>
                <w:rFonts w:eastAsia="Times New Roman" w:cs="Arial"/>
                <w:color w:val="000000"/>
                <w:sz w:val="18"/>
                <w:szCs w:val="18"/>
                <w:lang w:eastAsia="fr-FR"/>
              </w:rPr>
            </w:pPr>
            <w:r w:rsidRPr="53313B9A">
              <w:rPr>
                <w:rFonts w:eastAsia="Times New Roman" w:cs="Arial"/>
                <w:color w:val="000000" w:themeColor="text1"/>
                <w:sz w:val="18"/>
                <w:szCs w:val="18"/>
                <w:lang w:eastAsia="nl-NL"/>
              </w:rPr>
              <w:t xml:space="preserve">Control varieties (same as in observation assay) as standards representing all relevant combination of alleles. For </w:t>
            </w:r>
            <w:proofErr w:type="gramStart"/>
            <w:r w:rsidRPr="53313B9A">
              <w:rPr>
                <w:rFonts w:eastAsia="Times New Roman" w:cs="Arial"/>
                <w:color w:val="000000" w:themeColor="text1"/>
                <w:sz w:val="18"/>
                <w:szCs w:val="18"/>
                <w:lang w:eastAsia="nl-NL"/>
              </w:rPr>
              <w:t>example</w:t>
            </w:r>
            <w:proofErr w:type="gramEnd"/>
            <w:r w:rsidRPr="53313B9A">
              <w:rPr>
                <w:rFonts w:eastAsia="Times New Roman" w:cs="Arial"/>
                <w:color w:val="000000" w:themeColor="text1"/>
                <w:sz w:val="18"/>
                <w:szCs w:val="18"/>
                <w:lang w:eastAsia="nl-NL"/>
              </w:rPr>
              <w:t xml:space="preserve"> homozygous for Allele corresponding to expression state 9 (present), homozygous for allele corresponding to expression state 1 (absent) and heterozygous (both alleles are present in a diploid) corresponding to either resistant, susceptibility or intermediate resistance of the variety (depending on gene function; dominant - recessive). </w:t>
            </w:r>
            <w:r w:rsidRPr="00AC348D">
              <w:rPr>
                <w:rFonts w:eastAsia="Times New Roman" w:cs="Arial"/>
                <w:color w:val="000000" w:themeColor="text1"/>
                <w:sz w:val="18"/>
                <w:szCs w:val="18"/>
                <w:lang w:eastAsia="nl-NL"/>
              </w:rPr>
              <w:t>DNA controls can be directly used.</w:t>
            </w:r>
          </w:p>
        </w:tc>
      </w:tr>
      <w:tr w:rsidR="00D52685" w:rsidRPr="00D52685" w14:paraId="74DDF8DA" w14:textId="77777777" w:rsidTr="004F5DA8">
        <w:trPr>
          <w:gridAfter w:val="1"/>
          <w:wAfter w:w="82" w:type="pct"/>
          <w:cantSplit/>
          <w:trHeight w:val="1770"/>
        </w:trPr>
        <w:tc>
          <w:tcPr>
            <w:tcW w:w="358" w:type="pct"/>
          </w:tcPr>
          <w:p w14:paraId="79F43611" w14:textId="77777777" w:rsidR="00D52685" w:rsidRPr="00D52685" w:rsidRDefault="00D52685" w:rsidP="00D52685">
            <w:pPr>
              <w:jc w:val="left"/>
              <w:rPr>
                <w:rFonts w:eastAsia="Times New Roman" w:cs="Arial"/>
                <w:color w:val="000000"/>
                <w:sz w:val="18"/>
                <w:szCs w:val="18"/>
                <w:lang w:eastAsia="nl-NL"/>
              </w:rPr>
            </w:pPr>
            <w:r w:rsidRPr="00D52685">
              <w:rPr>
                <w:rFonts w:eastAsia="Times New Roman" w:cs="Arial"/>
                <w:color w:val="000000"/>
                <w:sz w:val="18"/>
                <w:szCs w:val="18"/>
                <w:lang w:eastAsia="nl-NL"/>
              </w:rPr>
              <w:t>4.3</w:t>
            </w:r>
          </w:p>
        </w:tc>
        <w:tc>
          <w:tcPr>
            <w:tcW w:w="800" w:type="pct"/>
          </w:tcPr>
          <w:p w14:paraId="28CB33AC" w14:textId="77777777" w:rsidR="00D52685" w:rsidRPr="00D52685" w:rsidRDefault="00D52685" w:rsidP="00D52685">
            <w:pPr>
              <w:jc w:val="left"/>
              <w:rPr>
                <w:rFonts w:eastAsia="Times New Roman" w:cs="Arial"/>
                <w:color w:val="000000"/>
                <w:sz w:val="18"/>
                <w:szCs w:val="18"/>
                <w:lang w:eastAsia="nl-NL"/>
              </w:rPr>
            </w:pPr>
            <w:r w:rsidRPr="00AC348D">
              <w:rPr>
                <w:rFonts w:eastAsia="Times New Roman" w:cs="Arial"/>
                <w:color w:val="000000" w:themeColor="text1"/>
                <w:sz w:val="18"/>
                <w:szCs w:val="18"/>
                <w:lang w:eastAsia="nl-NL"/>
              </w:rPr>
              <w:t>Process controls</w:t>
            </w:r>
          </w:p>
        </w:tc>
        <w:tc>
          <w:tcPr>
            <w:tcW w:w="1235" w:type="pct"/>
          </w:tcPr>
          <w:p w14:paraId="168A0CF4" w14:textId="77777777" w:rsidR="00D52685" w:rsidRPr="00D52685" w:rsidRDefault="00D52685" w:rsidP="00D52685">
            <w:pPr>
              <w:jc w:val="left"/>
              <w:rPr>
                <w:rFonts w:eastAsia="Times New Roman" w:cs="Arial"/>
                <w:i/>
                <w:iCs/>
                <w:color w:val="000000"/>
                <w:sz w:val="18"/>
                <w:szCs w:val="18"/>
                <w:lang w:eastAsia="fr-FR"/>
              </w:rPr>
            </w:pPr>
            <w:r w:rsidRPr="00AC348D">
              <w:rPr>
                <w:rFonts w:eastAsia="Times New Roman" w:cs="Arial"/>
                <w:i/>
                <w:sz w:val="18"/>
                <w:szCs w:val="18"/>
              </w:rPr>
              <w:t>e.g. buffer used for</w:t>
            </w:r>
            <w:r w:rsidRPr="00D52685">
              <w:rPr>
                <w:rFonts w:eastAsia="Times New Roman" w:cs="Arial"/>
                <w:i/>
                <w:iCs/>
                <w:sz w:val="18"/>
                <w:szCs w:val="18"/>
              </w:rPr>
              <w:t xml:space="preserve"> </w:t>
            </w:r>
            <w:r w:rsidRPr="00AC348D">
              <w:rPr>
                <w:rFonts w:eastAsia="Times New Roman" w:cs="Arial"/>
                <w:i/>
                <w:sz w:val="18"/>
                <w:szCs w:val="18"/>
              </w:rPr>
              <w:t>extraction; a marker targeting the cytochrome oxidase gene as an internal amplification marker</w:t>
            </w:r>
          </w:p>
        </w:tc>
        <w:tc>
          <w:tcPr>
            <w:tcW w:w="504" w:type="pct"/>
          </w:tcPr>
          <w:p w14:paraId="491F9A59" w14:textId="77777777" w:rsidR="00D52685" w:rsidRPr="00D52685" w:rsidRDefault="00D52685" w:rsidP="00D52685">
            <w:pPr>
              <w:jc w:val="left"/>
              <w:rPr>
                <w:rFonts w:eastAsia="Times New Roman" w:cs="Arial"/>
                <w:color w:val="000000"/>
                <w:sz w:val="18"/>
                <w:szCs w:val="18"/>
                <w:lang w:eastAsia="nl-NL"/>
              </w:rPr>
            </w:pPr>
            <w:r w:rsidRPr="00AC348D">
              <w:rPr>
                <w:rFonts w:eastAsia="Times New Roman" w:cs="Arial"/>
                <w:color w:val="000000" w:themeColor="text1"/>
                <w:sz w:val="18"/>
                <w:szCs w:val="18"/>
                <w:lang w:eastAsia="nl-NL"/>
              </w:rPr>
              <w:t>YES</w:t>
            </w:r>
          </w:p>
        </w:tc>
        <w:tc>
          <w:tcPr>
            <w:tcW w:w="2021" w:type="pct"/>
          </w:tcPr>
          <w:p w14:paraId="5C711A87" w14:textId="77777777" w:rsidR="00D52685" w:rsidRPr="00AC348D"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AC348D">
              <w:rPr>
                <w:rFonts w:eastAsia="Calibri" w:cs="Arial"/>
                <w:color w:val="000000" w:themeColor="text1"/>
                <w:sz w:val="18"/>
                <w:szCs w:val="18"/>
                <w:lang w:eastAsia="nl-NL"/>
              </w:rPr>
              <w:t>Negative process control(s)</w:t>
            </w:r>
          </w:p>
          <w:p w14:paraId="7A1390D8" w14:textId="77777777" w:rsidR="00D52685" w:rsidRPr="00AC348D"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AC348D">
              <w:rPr>
                <w:rFonts w:eastAsia="Calibri" w:cs="Arial"/>
                <w:color w:val="000000" w:themeColor="text1"/>
                <w:sz w:val="18"/>
                <w:szCs w:val="18"/>
                <w:lang w:eastAsia="nl-NL"/>
              </w:rPr>
              <w:t>Positive DNA control(s) that can be the control varieties</w:t>
            </w:r>
          </w:p>
          <w:p w14:paraId="5BA8AC92" w14:textId="77777777" w:rsidR="00D52685" w:rsidRPr="00AC348D" w:rsidRDefault="00D52685" w:rsidP="00D52685">
            <w:pPr>
              <w:numPr>
                <w:ilvl w:val="0"/>
                <w:numId w:val="17"/>
              </w:numPr>
              <w:spacing w:after="200" w:line="276" w:lineRule="auto"/>
              <w:contextualSpacing/>
              <w:jc w:val="left"/>
              <w:rPr>
                <w:rFonts w:eastAsia="Calibri" w:cs="Arial"/>
                <w:color w:val="000000"/>
                <w:sz w:val="18"/>
                <w:szCs w:val="18"/>
                <w:lang w:eastAsia="nl-NL"/>
              </w:rPr>
            </w:pPr>
            <w:r w:rsidRPr="00AC348D">
              <w:rPr>
                <w:rFonts w:eastAsia="Calibri" w:cs="Arial"/>
                <w:color w:val="000000" w:themeColor="text1"/>
                <w:sz w:val="18"/>
                <w:szCs w:val="18"/>
                <w:lang w:eastAsia="nl-NL"/>
              </w:rPr>
              <w:t xml:space="preserve"> Internal amplification control in case of a presence/absence marker</w:t>
            </w:r>
          </w:p>
          <w:p w14:paraId="70F151D9" w14:textId="77777777" w:rsidR="00D52685" w:rsidRPr="00D52685" w:rsidRDefault="00D52685" w:rsidP="00D52685">
            <w:pPr>
              <w:ind w:left="360"/>
              <w:jc w:val="left"/>
              <w:rPr>
                <w:rFonts w:eastAsia="Times New Roman" w:cs="Arial"/>
                <w:color w:val="000000"/>
                <w:sz w:val="18"/>
                <w:szCs w:val="18"/>
                <w:lang w:eastAsia="nl-NL"/>
              </w:rPr>
            </w:pPr>
          </w:p>
        </w:tc>
      </w:tr>
      <w:tr w:rsidR="00D52685" w:rsidRPr="00D52685" w14:paraId="6B12A2CB" w14:textId="77777777" w:rsidTr="004F5DA8">
        <w:trPr>
          <w:gridAfter w:val="1"/>
          <w:wAfter w:w="82" w:type="pct"/>
          <w:cantSplit/>
          <w:trHeight w:val="510"/>
        </w:trPr>
        <w:tc>
          <w:tcPr>
            <w:tcW w:w="358" w:type="pct"/>
            <w:vMerge w:val="restart"/>
            <w:vAlign w:val="center"/>
            <w:hideMark/>
          </w:tcPr>
          <w:p w14:paraId="02A0A954"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5</w:t>
            </w:r>
          </w:p>
        </w:tc>
        <w:tc>
          <w:tcPr>
            <w:tcW w:w="800" w:type="pct"/>
            <w:vMerge w:val="restart"/>
            <w:vAlign w:val="center"/>
            <w:hideMark/>
          </w:tcPr>
          <w:p w14:paraId="688C9ECE"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Preparations</w:t>
            </w:r>
          </w:p>
        </w:tc>
        <w:tc>
          <w:tcPr>
            <w:tcW w:w="1235" w:type="pct"/>
            <w:vMerge w:val="restart"/>
            <w:vAlign w:val="center"/>
            <w:hideMark/>
          </w:tcPr>
          <w:p w14:paraId="75B533E1"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w:t>
            </w:r>
            <w:r w:rsidRPr="00D52685">
              <w:rPr>
                <w:rFonts w:eastAsia="Times New Roman" w:cs="Arial"/>
                <w:i/>
                <w:color w:val="000000"/>
                <w:sz w:val="18"/>
                <w:szCs w:val="18"/>
                <w:lang w:eastAsia="nl-NL"/>
              </w:rPr>
              <w:t>e.g.</w:t>
            </w:r>
            <w:r w:rsidRPr="00D52685">
              <w:rPr>
                <w:rFonts w:eastAsia="Times New Roman" w:cs="Arial"/>
                <w:color w:val="000000"/>
                <w:sz w:val="18"/>
                <w:szCs w:val="18"/>
                <w:lang w:eastAsia="nl-NL"/>
              </w:rPr>
              <w:t xml:space="preserve"> Sampling of seedlings 4 days old followed by DNA extraction using CTAB method</w:t>
            </w:r>
          </w:p>
        </w:tc>
        <w:tc>
          <w:tcPr>
            <w:tcW w:w="504" w:type="pct"/>
            <w:vMerge w:val="restart"/>
            <w:vAlign w:val="center"/>
            <w:hideMark/>
          </w:tcPr>
          <w:p w14:paraId="439436EC"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NO</w:t>
            </w:r>
          </w:p>
        </w:tc>
        <w:tc>
          <w:tcPr>
            <w:tcW w:w="2021" w:type="pct"/>
            <w:vAlign w:val="center"/>
            <w:hideMark/>
          </w:tcPr>
          <w:p w14:paraId="280BE310"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Depending on the method used. Not in the Test Guideline. Detailed protocol(s) can be provided as an example in annex or available on request from the organization that developed the marker</w:t>
            </w:r>
          </w:p>
        </w:tc>
      </w:tr>
      <w:tr w:rsidR="00D52685" w:rsidRPr="00D52685" w14:paraId="6BF79411" w14:textId="77777777" w:rsidTr="004F5DA8">
        <w:trPr>
          <w:gridAfter w:val="1"/>
          <w:wAfter w:w="82" w:type="pct"/>
          <w:cantSplit/>
          <w:trHeight w:val="50"/>
        </w:trPr>
        <w:tc>
          <w:tcPr>
            <w:tcW w:w="358" w:type="pct"/>
            <w:vMerge/>
            <w:vAlign w:val="center"/>
            <w:hideMark/>
          </w:tcPr>
          <w:p w14:paraId="44FC389C" w14:textId="77777777" w:rsidR="00D52685" w:rsidRPr="00D52685" w:rsidRDefault="00D52685" w:rsidP="00D52685">
            <w:pPr>
              <w:jc w:val="left"/>
              <w:rPr>
                <w:rFonts w:eastAsia="Times New Roman" w:cs="Arial"/>
                <w:color w:val="000000"/>
                <w:sz w:val="18"/>
                <w:szCs w:val="18"/>
                <w:lang w:eastAsia="fr-FR"/>
              </w:rPr>
            </w:pPr>
          </w:p>
        </w:tc>
        <w:tc>
          <w:tcPr>
            <w:tcW w:w="800" w:type="pct"/>
            <w:vMerge/>
            <w:vAlign w:val="center"/>
            <w:hideMark/>
          </w:tcPr>
          <w:p w14:paraId="1B14A40C" w14:textId="77777777" w:rsidR="00D52685" w:rsidRPr="00D52685" w:rsidRDefault="00D52685" w:rsidP="00D52685">
            <w:pPr>
              <w:jc w:val="left"/>
              <w:rPr>
                <w:rFonts w:eastAsia="Times New Roman" w:cs="Arial"/>
                <w:color w:val="000000"/>
                <w:sz w:val="18"/>
                <w:szCs w:val="18"/>
                <w:lang w:eastAsia="fr-FR"/>
              </w:rPr>
            </w:pPr>
          </w:p>
        </w:tc>
        <w:tc>
          <w:tcPr>
            <w:tcW w:w="1235" w:type="pct"/>
            <w:vMerge/>
            <w:vAlign w:val="center"/>
            <w:hideMark/>
          </w:tcPr>
          <w:p w14:paraId="01E61F01" w14:textId="77777777" w:rsidR="00D52685" w:rsidRPr="00D52685" w:rsidRDefault="00D52685" w:rsidP="00D52685">
            <w:pPr>
              <w:jc w:val="left"/>
              <w:rPr>
                <w:rFonts w:eastAsia="Times New Roman" w:cs="Arial"/>
                <w:color w:val="000000"/>
                <w:sz w:val="18"/>
                <w:szCs w:val="18"/>
                <w:lang w:eastAsia="fr-FR"/>
              </w:rPr>
            </w:pPr>
          </w:p>
        </w:tc>
        <w:tc>
          <w:tcPr>
            <w:tcW w:w="504" w:type="pct"/>
            <w:vMerge/>
            <w:vAlign w:val="center"/>
            <w:hideMark/>
          </w:tcPr>
          <w:p w14:paraId="74401724" w14:textId="77777777" w:rsidR="00D52685" w:rsidRPr="00D52685" w:rsidRDefault="00D52685" w:rsidP="00D52685">
            <w:pPr>
              <w:jc w:val="left"/>
              <w:rPr>
                <w:rFonts w:eastAsia="Times New Roman" w:cs="Arial"/>
                <w:color w:val="000000"/>
                <w:sz w:val="18"/>
                <w:szCs w:val="18"/>
                <w:lang w:eastAsia="fr-FR"/>
              </w:rPr>
            </w:pPr>
          </w:p>
        </w:tc>
        <w:tc>
          <w:tcPr>
            <w:tcW w:w="2021" w:type="pct"/>
            <w:vAlign w:val="center"/>
            <w:hideMark/>
          </w:tcPr>
          <w:p w14:paraId="59C4BF9B" w14:textId="77777777" w:rsidR="00D52685" w:rsidRPr="00D52685" w:rsidRDefault="00D52685" w:rsidP="00D52685">
            <w:pPr>
              <w:jc w:val="left"/>
              <w:rPr>
                <w:rFonts w:eastAsia="Times New Roman" w:cs="Arial"/>
                <w:color w:val="000000"/>
                <w:sz w:val="18"/>
                <w:szCs w:val="18"/>
                <w:lang w:eastAsia="fr-FR"/>
              </w:rPr>
            </w:pPr>
          </w:p>
        </w:tc>
      </w:tr>
      <w:tr w:rsidR="00D52685" w:rsidRPr="00D52685" w14:paraId="0BD44695" w14:textId="77777777" w:rsidTr="004F5DA8">
        <w:trPr>
          <w:gridAfter w:val="1"/>
          <w:wAfter w:w="82" w:type="pct"/>
          <w:cantSplit/>
          <w:trHeight w:val="510"/>
        </w:trPr>
        <w:tc>
          <w:tcPr>
            <w:tcW w:w="358" w:type="pct"/>
            <w:vMerge w:val="restart"/>
            <w:vAlign w:val="center"/>
            <w:hideMark/>
          </w:tcPr>
          <w:p w14:paraId="13F84C8F"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6</w:t>
            </w:r>
          </w:p>
        </w:tc>
        <w:tc>
          <w:tcPr>
            <w:tcW w:w="800" w:type="pct"/>
            <w:vMerge w:val="restart"/>
            <w:vAlign w:val="center"/>
            <w:hideMark/>
          </w:tcPr>
          <w:p w14:paraId="379DD18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Technique of the method</w:t>
            </w:r>
          </w:p>
        </w:tc>
        <w:tc>
          <w:tcPr>
            <w:tcW w:w="1235" w:type="pct"/>
            <w:vAlign w:val="center"/>
            <w:hideMark/>
          </w:tcPr>
          <w:p w14:paraId="3C7B2D9C" w14:textId="77777777" w:rsidR="00D52685" w:rsidRPr="00D52685" w:rsidRDefault="00D52685" w:rsidP="00D52685">
            <w:pPr>
              <w:jc w:val="left"/>
              <w:rPr>
                <w:rFonts w:eastAsia="Times New Roman" w:cs="Arial"/>
                <w:color w:val="000000"/>
                <w:sz w:val="18"/>
                <w:szCs w:val="18"/>
                <w:lang w:eastAsia="fr-FR"/>
              </w:rPr>
            </w:pPr>
            <w:r w:rsidRPr="1BF7B9BC">
              <w:rPr>
                <w:rFonts w:eastAsia="Times New Roman" w:cs="Arial"/>
                <w:i/>
                <w:color w:val="000000" w:themeColor="text1"/>
                <w:sz w:val="18"/>
                <w:szCs w:val="18"/>
                <w:lang w:eastAsia="nl-NL"/>
              </w:rPr>
              <w:t>e.g.</w:t>
            </w:r>
            <w:r w:rsidRPr="1BF7B9BC">
              <w:rPr>
                <w:rFonts w:eastAsia="Times New Roman" w:cs="Arial"/>
                <w:color w:val="000000" w:themeColor="text1"/>
                <w:sz w:val="18"/>
                <w:szCs w:val="18"/>
                <w:lang w:eastAsia="nl-NL"/>
              </w:rPr>
              <w:t xml:space="preserve"> conventional PCR, TETRA-ARMS, qPCR, KASP, amplicon sequencing </w:t>
            </w:r>
          </w:p>
        </w:tc>
        <w:tc>
          <w:tcPr>
            <w:tcW w:w="504" w:type="pct"/>
            <w:vMerge w:val="restart"/>
            <w:vAlign w:val="center"/>
            <w:hideMark/>
          </w:tcPr>
          <w:p w14:paraId="5C919B27" w14:textId="77777777" w:rsidR="00D52685" w:rsidRPr="00D52685" w:rsidRDefault="00D52685" w:rsidP="00D52685">
            <w:pPr>
              <w:jc w:val="left"/>
              <w:rPr>
                <w:rFonts w:eastAsia="Times New Roman" w:cs="Arial"/>
                <w:color w:val="000000"/>
                <w:sz w:val="18"/>
                <w:szCs w:val="18"/>
                <w:lang w:eastAsia="fr-FR"/>
              </w:rPr>
            </w:pPr>
            <w:r w:rsidRPr="005B1F18">
              <w:rPr>
                <w:rFonts w:eastAsia="Times New Roman" w:cs="Arial"/>
                <w:color w:val="000000" w:themeColor="text1"/>
                <w:sz w:val="18"/>
                <w:szCs w:val="18"/>
                <w:lang w:eastAsia="nl-NL"/>
              </w:rPr>
              <w:t>YES</w:t>
            </w:r>
          </w:p>
        </w:tc>
        <w:tc>
          <w:tcPr>
            <w:tcW w:w="2021" w:type="pct"/>
            <w:vMerge w:val="restart"/>
            <w:vAlign w:val="center"/>
            <w:hideMark/>
          </w:tcPr>
          <w:p w14:paraId="58FA0D1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 xml:space="preserve">. </w:t>
            </w:r>
          </w:p>
        </w:tc>
      </w:tr>
      <w:tr w:rsidR="00D52685" w:rsidRPr="00D52685" w14:paraId="549DA130" w14:textId="77777777" w:rsidTr="004F5DA8">
        <w:trPr>
          <w:gridAfter w:val="1"/>
          <w:wAfter w:w="82" w:type="pct"/>
          <w:cantSplit/>
          <w:trHeight w:val="525"/>
        </w:trPr>
        <w:tc>
          <w:tcPr>
            <w:tcW w:w="358" w:type="pct"/>
            <w:vMerge/>
            <w:vAlign w:val="center"/>
            <w:hideMark/>
          </w:tcPr>
          <w:p w14:paraId="69A469D7" w14:textId="77777777" w:rsidR="00D52685" w:rsidRPr="00D52685" w:rsidRDefault="00D52685" w:rsidP="00D52685">
            <w:pPr>
              <w:jc w:val="left"/>
              <w:rPr>
                <w:rFonts w:eastAsia="Times New Roman" w:cs="Arial"/>
                <w:color w:val="000000"/>
                <w:sz w:val="18"/>
                <w:szCs w:val="18"/>
                <w:lang w:eastAsia="fr-FR"/>
              </w:rPr>
            </w:pPr>
          </w:p>
        </w:tc>
        <w:tc>
          <w:tcPr>
            <w:tcW w:w="800" w:type="pct"/>
            <w:vMerge/>
            <w:vAlign w:val="center"/>
            <w:hideMark/>
          </w:tcPr>
          <w:p w14:paraId="637D4148" w14:textId="77777777" w:rsidR="00D52685" w:rsidRPr="00D52685" w:rsidRDefault="00D52685" w:rsidP="00D52685">
            <w:pPr>
              <w:jc w:val="left"/>
              <w:rPr>
                <w:rFonts w:eastAsia="Times New Roman" w:cs="Arial"/>
                <w:color w:val="000000"/>
                <w:sz w:val="18"/>
                <w:szCs w:val="18"/>
                <w:lang w:eastAsia="fr-FR"/>
              </w:rPr>
            </w:pPr>
          </w:p>
        </w:tc>
        <w:tc>
          <w:tcPr>
            <w:tcW w:w="1235" w:type="pct"/>
            <w:vAlign w:val="center"/>
            <w:hideMark/>
          </w:tcPr>
          <w:p w14:paraId="573E61BD" w14:textId="77777777" w:rsidR="00D52685" w:rsidRPr="00D52685" w:rsidRDefault="00D52685" w:rsidP="00D52685">
            <w:pPr>
              <w:jc w:val="left"/>
              <w:rPr>
                <w:rFonts w:eastAsia="Times New Roman" w:cs="Arial"/>
                <w:i/>
                <w:iCs/>
                <w:color w:val="000000"/>
                <w:sz w:val="18"/>
                <w:szCs w:val="18"/>
                <w:lang w:eastAsia="fr-FR"/>
              </w:rPr>
            </w:pPr>
            <w:r w:rsidRPr="1BF7B9BC">
              <w:rPr>
                <w:rFonts w:eastAsia="Times New Roman" w:cs="Arial"/>
                <w:i/>
                <w:color w:val="000000" w:themeColor="text1"/>
                <w:sz w:val="18"/>
                <w:szCs w:val="18"/>
                <w:lang w:eastAsia="fr-FR"/>
              </w:rPr>
              <w:t>See TG/44/11/rev3 – Ad 51: ii DNA marker test add 6</w:t>
            </w:r>
          </w:p>
        </w:tc>
        <w:tc>
          <w:tcPr>
            <w:tcW w:w="504" w:type="pct"/>
            <w:vMerge/>
            <w:vAlign w:val="center"/>
            <w:hideMark/>
          </w:tcPr>
          <w:p w14:paraId="0F386FCC" w14:textId="77777777" w:rsidR="00D52685" w:rsidRPr="00D52685" w:rsidRDefault="00D52685" w:rsidP="00D52685">
            <w:pPr>
              <w:jc w:val="left"/>
              <w:rPr>
                <w:rFonts w:eastAsia="Times New Roman" w:cs="Arial"/>
                <w:color w:val="000000"/>
                <w:sz w:val="18"/>
                <w:szCs w:val="18"/>
                <w:lang w:eastAsia="fr-FR"/>
              </w:rPr>
            </w:pPr>
          </w:p>
        </w:tc>
        <w:tc>
          <w:tcPr>
            <w:tcW w:w="2021" w:type="pct"/>
            <w:vMerge/>
            <w:vAlign w:val="center"/>
            <w:hideMark/>
          </w:tcPr>
          <w:p w14:paraId="03259A50" w14:textId="77777777" w:rsidR="00D52685" w:rsidRPr="00D52685" w:rsidRDefault="00D52685" w:rsidP="00D52685">
            <w:pPr>
              <w:jc w:val="left"/>
              <w:rPr>
                <w:rFonts w:eastAsia="Times New Roman" w:cs="Arial"/>
                <w:color w:val="000000"/>
                <w:sz w:val="18"/>
                <w:szCs w:val="18"/>
                <w:lang w:eastAsia="fr-FR"/>
              </w:rPr>
            </w:pPr>
          </w:p>
        </w:tc>
      </w:tr>
      <w:tr w:rsidR="00D52685" w:rsidRPr="00D52685" w14:paraId="3866CB4D" w14:textId="77777777" w:rsidTr="004F5DA8">
        <w:trPr>
          <w:gridAfter w:val="1"/>
          <w:wAfter w:w="82" w:type="pct"/>
          <w:cantSplit/>
          <w:trHeight w:val="300"/>
        </w:trPr>
        <w:tc>
          <w:tcPr>
            <w:tcW w:w="358" w:type="pct"/>
            <w:vMerge w:val="restart"/>
            <w:vAlign w:val="center"/>
            <w:hideMark/>
          </w:tcPr>
          <w:p w14:paraId="3E3D9C23"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6.1</w:t>
            </w:r>
          </w:p>
        </w:tc>
        <w:tc>
          <w:tcPr>
            <w:tcW w:w="800" w:type="pct"/>
            <w:vMerge w:val="restart"/>
            <w:vAlign w:val="center"/>
            <w:hideMark/>
          </w:tcPr>
          <w:p w14:paraId="5C9BB23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Particular conditions</w:t>
            </w:r>
          </w:p>
        </w:tc>
        <w:tc>
          <w:tcPr>
            <w:tcW w:w="1235" w:type="pct"/>
            <w:vMerge w:val="restart"/>
            <w:vAlign w:val="center"/>
            <w:hideMark/>
          </w:tcPr>
          <w:p w14:paraId="5C100CF1"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i/>
                <w:color w:val="000000"/>
                <w:sz w:val="18"/>
                <w:szCs w:val="18"/>
                <w:lang w:eastAsia="nl-NL"/>
              </w:rPr>
              <w:t>e.g.</w:t>
            </w:r>
            <w:r w:rsidRPr="00D52685">
              <w:rPr>
                <w:rFonts w:eastAsia="Times New Roman" w:cs="Arial"/>
                <w:color w:val="000000"/>
                <w:sz w:val="18"/>
                <w:szCs w:val="18"/>
                <w:lang w:eastAsia="nl-NL"/>
              </w:rPr>
              <w:t xml:space="preserve"> PCR protocol describing primer, enzyme, dNTP concentrations, PCR cycle scheme </w:t>
            </w:r>
          </w:p>
        </w:tc>
        <w:tc>
          <w:tcPr>
            <w:tcW w:w="504" w:type="pct"/>
            <w:vMerge w:val="restart"/>
            <w:vAlign w:val="center"/>
            <w:hideMark/>
          </w:tcPr>
          <w:p w14:paraId="6ECD5F27"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NO</w:t>
            </w:r>
          </w:p>
        </w:tc>
        <w:tc>
          <w:tcPr>
            <w:tcW w:w="2021" w:type="pct"/>
            <w:vMerge w:val="restart"/>
            <w:vAlign w:val="center"/>
            <w:hideMark/>
          </w:tcPr>
          <w:p w14:paraId="57C840B2"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Depending on the method used. Not in the Test Guidelines. Detailed protocol(s) can be provided as an example in annex or available on request from the institute that developed the marker</w:t>
            </w:r>
          </w:p>
        </w:tc>
      </w:tr>
      <w:tr w:rsidR="00D52685" w:rsidRPr="00D52685" w14:paraId="5F0B8011" w14:textId="77777777" w:rsidTr="004F5DA8">
        <w:trPr>
          <w:cantSplit/>
          <w:trHeight w:val="1005"/>
        </w:trPr>
        <w:tc>
          <w:tcPr>
            <w:tcW w:w="358" w:type="pct"/>
            <w:vMerge/>
            <w:vAlign w:val="center"/>
            <w:hideMark/>
          </w:tcPr>
          <w:p w14:paraId="5A920C42" w14:textId="77777777" w:rsidR="00D52685" w:rsidRPr="00D52685" w:rsidRDefault="00D52685" w:rsidP="00D52685">
            <w:pPr>
              <w:jc w:val="left"/>
              <w:rPr>
                <w:rFonts w:eastAsia="Times New Roman" w:cs="Arial"/>
                <w:color w:val="000000"/>
                <w:sz w:val="18"/>
                <w:szCs w:val="18"/>
                <w:lang w:eastAsia="fr-FR"/>
              </w:rPr>
            </w:pPr>
          </w:p>
        </w:tc>
        <w:tc>
          <w:tcPr>
            <w:tcW w:w="800" w:type="pct"/>
            <w:vMerge/>
            <w:vAlign w:val="center"/>
            <w:hideMark/>
          </w:tcPr>
          <w:p w14:paraId="2FED1E2A" w14:textId="77777777" w:rsidR="00D52685" w:rsidRPr="00D52685" w:rsidRDefault="00D52685" w:rsidP="00D52685">
            <w:pPr>
              <w:jc w:val="left"/>
              <w:rPr>
                <w:rFonts w:eastAsia="Times New Roman" w:cs="Arial"/>
                <w:color w:val="000000"/>
                <w:sz w:val="18"/>
                <w:szCs w:val="18"/>
                <w:lang w:eastAsia="fr-FR"/>
              </w:rPr>
            </w:pPr>
          </w:p>
        </w:tc>
        <w:tc>
          <w:tcPr>
            <w:tcW w:w="1235" w:type="pct"/>
            <w:vMerge/>
            <w:vAlign w:val="center"/>
            <w:hideMark/>
          </w:tcPr>
          <w:p w14:paraId="36AAF119" w14:textId="77777777" w:rsidR="00D52685" w:rsidRPr="00D52685" w:rsidRDefault="00D52685" w:rsidP="00D52685">
            <w:pPr>
              <w:jc w:val="left"/>
              <w:rPr>
                <w:rFonts w:eastAsia="Times New Roman" w:cs="Arial"/>
                <w:color w:val="000000"/>
                <w:sz w:val="18"/>
                <w:szCs w:val="18"/>
                <w:lang w:eastAsia="fr-FR"/>
              </w:rPr>
            </w:pPr>
          </w:p>
        </w:tc>
        <w:tc>
          <w:tcPr>
            <w:tcW w:w="504" w:type="pct"/>
            <w:vMerge/>
            <w:vAlign w:val="center"/>
            <w:hideMark/>
          </w:tcPr>
          <w:p w14:paraId="56F01CA1" w14:textId="77777777" w:rsidR="00D52685" w:rsidRPr="00D52685" w:rsidRDefault="00D52685" w:rsidP="00D52685">
            <w:pPr>
              <w:jc w:val="left"/>
              <w:rPr>
                <w:rFonts w:eastAsia="Times New Roman" w:cs="Arial"/>
                <w:color w:val="000000"/>
                <w:sz w:val="18"/>
                <w:szCs w:val="18"/>
                <w:lang w:eastAsia="fr-FR"/>
              </w:rPr>
            </w:pPr>
          </w:p>
        </w:tc>
        <w:tc>
          <w:tcPr>
            <w:tcW w:w="2021" w:type="pct"/>
            <w:vMerge/>
            <w:vAlign w:val="center"/>
            <w:hideMark/>
          </w:tcPr>
          <w:p w14:paraId="54873071" w14:textId="77777777" w:rsidR="00D52685" w:rsidRPr="00D52685" w:rsidRDefault="00D52685" w:rsidP="00D52685">
            <w:pPr>
              <w:jc w:val="left"/>
              <w:rPr>
                <w:rFonts w:eastAsia="Times New Roman" w:cs="Arial"/>
                <w:color w:val="000000"/>
                <w:sz w:val="18"/>
                <w:szCs w:val="18"/>
                <w:lang w:eastAsia="fr-FR"/>
              </w:rPr>
            </w:pPr>
          </w:p>
        </w:tc>
        <w:tc>
          <w:tcPr>
            <w:tcW w:w="82" w:type="pct"/>
            <w:noWrap/>
            <w:vAlign w:val="bottom"/>
            <w:hideMark/>
          </w:tcPr>
          <w:p w14:paraId="615A44BA" w14:textId="77777777" w:rsidR="00D52685" w:rsidRPr="00D52685" w:rsidRDefault="00D52685" w:rsidP="00D52685">
            <w:pPr>
              <w:rPr>
                <w:rFonts w:eastAsia="Times New Roman" w:cs="Arial"/>
                <w:color w:val="000000"/>
                <w:lang w:eastAsia="fr-FR"/>
              </w:rPr>
            </w:pPr>
          </w:p>
        </w:tc>
      </w:tr>
      <w:tr w:rsidR="00D52685" w:rsidRPr="00D52685" w14:paraId="34659FBE" w14:textId="77777777" w:rsidTr="004F5DA8">
        <w:trPr>
          <w:cantSplit/>
          <w:trHeight w:val="300"/>
        </w:trPr>
        <w:tc>
          <w:tcPr>
            <w:tcW w:w="358" w:type="pct"/>
            <w:vMerge w:val="restart"/>
            <w:vAlign w:val="center"/>
            <w:hideMark/>
          </w:tcPr>
          <w:p w14:paraId="573CE69D"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color w:val="000000"/>
                <w:sz w:val="18"/>
                <w:szCs w:val="18"/>
                <w:lang w:eastAsia="nl-NL"/>
              </w:rPr>
              <w:t>6.2</w:t>
            </w:r>
          </w:p>
        </w:tc>
        <w:tc>
          <w:tcPr>
            <w:tcW w:w="800" w:type="pct"/>
            <w:vMerge w:val="restart"/>
            <w:vAlign w:val="center"/>
            <w:hideMark/>
          </w:tcPr>
          <w:p w14:paraId="5667F817"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color w:val="000000"/>
                <w:sz w:val="18"/>
                <w:szCs w:val="18"/>
                <w:lang w:eastAsia="nl-NL"/>
              </w:rPr>
              <w:t>Particular hardware or infrastructure</w:t>
            </w:r>
          </w:p>
        </w:tc>
        <w:tc>
          <w:tcPr>
            <w:tcW w:w="1235" w:type="pct"/>
            <w:vMerge w:val="restart"/>
            <w:vAlign w:val="center"/>
            <w:hideMark/>
          </w:tcPr>
          <w:p w14:paraId="6DA56923"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i/>
                <w:color w:val="000000"/>
                <w:sz w:val="18"/>
                <w:szCs w:val="18"/>
                <w:lang w:eastAsia="nl-NL"/>
              </w:rPr>
              <w:t>e.g.</w:t>
            </w:r>
            <w:r w:rsidRPr="00D52685">
              <w:rPr>
                <w:rFonts w:eastAsia="Times New Roman" w:cs="Arial"/>
                <w:color w:val="000000"/>
                <w:sz w:val="18"/>
                <w:szCs w:val="18"/>
                <w:lang w:eastAsia="nl-NL"/>
              </w:rPr>
              <w:t xml:space="preserve"> machines, commercial kits, manufactures of components, lot numbers of chemicals </w:t>
            </w:r>
          </w:p>
        </w:tc>
        <w:tc>
          <w:tcPr>
            <w:tcW w:w="504" w:type="pct"/>
            <w:vMerge w:val="restart"/>
            <w:vAlign w:val="center"/>
            <w:hideMark/>
          </w:tcPr>
          <w:p w14:paraId="7DBF5B4C"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color w:val="000000"/>
                <w:sz w:val="18"/>
                <w:szCs w:val="18"/>
                <w:lang w:eastAsia="nl-NL"/>
              </w:rPr>
              <w:t>NO</w:t>
            </w:r>
          </w:p>
        </w:tc>
        <w:tc>
          <w:tcPr>
            <w:tcW w:w="2021" w:type="pct"/>
            <w:vMerge w:val="restart"/>
            <w:vAlign w:val="center"/>
            <w:hideMark/>
          </w:tcPr>
          <w:p w14:paraId="311E6EEB" w14:textId="77777777" w:rsidR="00D52685" w:rsidRPr="00D52685" w:rsidRDefault="00D52685" w:rsidP="00D52685">
            <w:pPr>
              <w:keepNext/>
              <w:jc w:val="left"/>
              <w:rPr>
                <w:rFonts w:eastAsia="Times New Roman" w:cs="Arial"/>
                <w:color w:val="000000"/>
                <w:sz w:val="18"/>
                <w:szCs w:val="18"/>
                <w:lang w:eastAsia="fr-FR"/>
              </w:rPr>
            </w:pPr>
            <w:r w:rsidRPr="00D52685">
              <w:rPr>
                <w:rFonts w:eastAsia="Times New Roman" w:cs="Arial"/>
                <w:color w:val="000000"/>
                <w:sz w:val="18"/>
                <w:szCs w:val="18"/>
                <w:lang w:eastAsia="nl-NL"/>
              </w:rPr>
              <w:t>Depending on the method used. Not in the Test Guidelines. Detailed protocol(s) can be provided as an example in annex or available on request from the institute that developed the marker</w:t>
            </w:r>
          </w:p>
        </w:tc>
        <w:tc>
          <w:tcPr>
            <w:tcW w:w="82" w:type="pct"/>
            <w:vAlign w:val="center"/>
            <w:hideMark/>
          </w:tcPr>
          <w:p w14:paraId="7791EE08" w14:textId="77777777" w:rsidR="00D52685" w:rsidRPr="00D52685" w:rsidRDefault="00D52685" w:rsidP="00D52685">
            <w:pPr>
              <w:keepNext/>
              <w:rPr>
                <w:rFonts w:ascii="Times New Roman" w:eastAsia="Times New Roman" w:hAnsi="Times New Roman"/>
                <w:lang w:eastAsia="fr-FR"/>
              </w:rPr>
            </w:pPr>
          </w:p>
        </w:tc>
      </w:tr>
      <w:tr w:rsidR="00D52685" w:rsidRPr="00D52685" w14:paraId="5EF8C19F" w14:textId="77777777" w:rsidTr="004F5DA8">
        <w:trPr>
          <w:cantSplit/>
          <w:trHeight w:val="1005"/>
        </w:trPr>
        <w:tc>
          <w:tcPr>
            <w:tcW w:w="358" w:type="pct"/>
            <w:vMerge/>
            <w:vAlign w:val="center"/>
            <w:hideMark/>
          </w:tcPr>
          <w:p w14:paraId="39AE1929" w14:textId="77777777" w:rsidR="00D52685" w:rsidRPr="00D52685" w:rsidRDefault="00D52685" w:rsidP="00D52685">
            <w:pPr>
              <w:jc w:val="left"/>
              <w:rPr>
                <w:rFonts w:eastAsia="Times New Roman" w:cs="Arial"/>
                <w:color w:val="000000"/>
                <w:sz w:val="18"/>
                <w:szCs w:val="18"/>
                <w:lang w:eastAsia="fr-FR"/>
              </w:rPr>
            </w:pPr>
          </w:p>
        </w:tc>
        <w:tc>
          <w:tcPr>
            <w:tcW w:w="800" w:type="pct"/>
            <w:vMerge/>
            <w:vAlign w:val="center"/>
            <w:hideMark/>
          </w:tcPr>
          <w:p w14:paraId="67080B44" w14:textId="77777777" w:rsidR="00D52685" w:rsidRPr="00D52685" w:rsidRDefault="00D52685" w:rsidP="00D52685">
            <w:pPr>
              <w:jc w:val="left"/>
              <w:rPr>
                <w:rFonts w:eastAsia="Times New Roman" w:cs="Arial"/>
                <w:color w:val="000000"/>
                <w:sz w:val="18"/>
                <w:szCs w:val="18"/>
                <w:lang w:eastAsia="fr-FR"/>
              </w:rPr>
            </w:pPr>
          </w:p>
        </w:tc>
        <w:tc>
          <w:tcPr>
            <w:tcW w:w="1235" w:type="pct"/>
            <w:vMerge/>
            <w:vAlign w:val="center"/>
            <w:hideMark/>
          </w:tcPr>
          <w:p w14:paraId="3AA51395" w14:textId="77777777" w:rsidR="00D52685" w:rsidRPr="00D52685" w:rsidRDefault="00D52685" w:rsidP="00D52685">
            <w:pPr>
              <w:jc w:val="left"/>
              <w:rPr>
                <w:rFonts w:eastAsia="Times New Roman" w:cs="Arial"/>
                <w:color w:val="000000"/>
                <w:sz w:val="18"/>
                <w:szCs w:val="18"/>
                <w:lang w:eastAsia="fr-FR"/>
              </w:rPr>
            </w:pPr>
          </w:p>
        </w:tc>
        <w:tc>
          <w:tcPr>
            <w:tcW w:w="504" w:type="pct"/>
            <w:vMerge/>
            <w:vAlign w:val="center"/>
            <w:hideMark/>
          </w:tcPr>
          <w:p w14:paraId="69ED19D6" w14:textId="77777777" w:rsidR="00D52685" w:rsidRPr="00D52685" w:rsidRDefault="00D52685" w:rsidP="00D52685">
            <w:pPr>
              <w:jc w:val="left"/>
              <w:rPr>
                <w:rFonts w:eastAsia="Times New Roman" w:cs="Arial"/>
                <w:color w:val="000000"/>
                <w:sz w:val="18"/>
                <w:szCs w:val="18"/>
                <w:lang w:eastAsia="fr-FR"/>
              </w:rPr>
            </w:pPr>
          </w:p>
        </w:tc>
        <w:tc>
          <w:tcPr>
            <w:tcW w:w="2021" w:type="pct"/>
            <w:vMerge/>
            <w:vAlign w:val="center"/>
            <w:hideMark/>
          </w:tcPr>
          <w:p w14:paraId="4805175C" w14:textId="77777777" w:rsidR="00D52685" w:rsidRPr="00D52685" w:rsidRDefault="00D52685" w:rsidP="00D52685">
            <w:pPr>
              <w:jc w:val="left"/>
              <w:rPr>
                <w:rFonts w:eastAsia="Times New Roman" w:cs="Arial"/>
                <w:color w:val="000000"/>
                <w:sz w:val="18"/>
                <w:szCs w:val="18"/>
                <w:lang w:eastAsia="fr-FR"/>
              </w:rPr>
            </w:pPr>
          </w:p>
        </w:tc>
        <w:tc>
          <w:tcPr>
            <w:tcW w:w="82" w:type="pct"/>
            <w:noWrap/>
            <w:vAlign w:val="bottom"/>
            <w:hideMark/>
          </w:tcPr>
          <w:p w14:paraId="065DFE7D" w14:textId="77777777" w:rsidR="00D52685" w:rsidRPr="00D52685" w:rsidRDefault="00D52685" w:rsidP="00D52685">
            <w:pPr>
              <w:rPr>
                <w:rFonts w:eastAsia="Times New Roman" w:cs="Arial"/>
                <w:color w:val="000000"/>
                <w:lang w:eastAsia="fr-FR"/>
              </w:rPr>
            </w:pPr>
          </w:p>
        </w:tc>
      </w:tr>
      <w:tr w:rsidR="00D52685" w:rsidRPr="00D52685" w14:paraId="0911E5F5" w14:textId="77777777" w:rsidTr="004F5DA8">
        <w:trPr>
          <w:cantSplit/>
          <w:trHeight w:val="300"/>
        </w:trPr>
        <w:tc>
          <w:tcPr>
            <w:tcW w:w="358" w:type="pct"/>
            <w:vMerge w:val="restart"/>
            <w:vAlign w:val="center"/>
            <w:hideMark/>
          </w:tcPr>
          <w:p w14:paraId="0828E428"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7</w:t>
            </w:r>
          </w:p>
        </w:tc>
        <w:tc>
          <w:tcPr>
            <w:tcW w:w="800" w:type="pct"/>
            <w:vMerge w:val="restart"/>
            <w:vAlign w:val="center"/>
            <w:hideMark/>
          </w:tcPr>
          <w:p w14:paraId="23C57B85"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Observations</w:t>
            </w:r>
          </w:p>
        </w:tc>
        <w:tc>
          <w:tcPr>
            <w:tcW w:w="1235" w:type="pct"/>
            <w:vMerge w:val="restart"/>
            <w:vAlign w:val="center"/>
            <w:hideMark/>
          </w:tcPr>
          <w:p w14:paraId="6A205E80"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i/>
                <w:color w:val="000000"/>
                <w:sz w:val="18"/>
                <w:szCs w:val="18"/>
                <w:lang w:eastAsia="nl-NL"/>
              </w:rPr>
              <w:t>e.g.</w:t>
            </w:r>
            <w:r w:rsidRPr="00D52685">
              <w:rPr>
                <w:rFonts w:eastAsia="Times New Roman" w:cs="Arial"/>
                <w:color w:val="000000"/>
                <w:sz w:val="18"/>
                <w:szCs w:val="18"/>
                <w:lang w:eastAsia="nl-NL"/>
              </w:rPr>
              <w:t xml:space="preserve"> Bands on agarose gel (conventional PCR), Ct values (qPCR) Variant call based on sequencing reads </w:t>
            </w:r>
          </w:p>
        </w:tc>
        <w:tc>
          <w:tcPr>
            <w:tcW w:w="504" w:type="pct"/>
            <w:vMerge w:val="restart"/>
            <w:vAlign w:val="center"/>
            <w:hideMark/>
          </w:tcPr>
          <w:p w14:paraId="76D655C0"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NO</w:t>
            </w:r>
          </w:p>
        </w:tc>
        <w:tc>
          <w:tcPr>
            <w:tcW w:w="2021" w:type="pct"/>
            <w:vMerge w:val="restart"/>
            <w:vAlign w:val="center"/>
            <w:hideMark/>
          </w:tcPr>
          <w:p w14:paraId="17A48D41" w14:textId="77777777" w:rsidR="00D52685" w:rsidRPr="00D52685" w:rsidRDefault="00D52685" w:rsidP="00D52685">
            <w:pPr>
              <w:jc w:val="left"/>
              <w:rPr>
                <w:rFonts w:eastAsia="Times New Roman" w:cs="Arial"/>
                <w:color w:val="000000"/>
                <w:sz w:val="18"/>
                <w:szCs w:val="18"/>
                <w:lang w:eastAsia="fr-FR"/>
              </w:rPr>
            </w:pPr>
            <w:r w:rsidRPr="00D52685">
              <w:rPr>
                <w:rFonts w:eastAsia="Times New Roman" w:cs="Arial"/>
                <w:color w:val="000000"/>
                <w:sz w:val="18"/>
                <w:szCs w:val="18"/>
                <w:lang w:eastAsia="nl-NL"/>
              </w:rPr>
              <w:t>Depending on the method used. Not in the Test Guidelines. Detailed protocol(s) can be provided as an example in annex or available on request from the institute that developed the marker</w:t>
            </w:r>
          </w:p>
        </w:tc>
        <w:tc>
          <w:tcPr>
            <w:tcW w:w="82" w:type="pct"/>
            <w:vAlign w:val="center"/>
            <w:hideMark/>
          </w:tcPr>
          <w:p w14:paraId="1ECBBCAC" w14:textId="77777777" w:rsidR="00D52685" w:rsidRPr="00D52685" w:rsidRDefault="00D52685" w:rsidP="00D52685">
            <w:pPr>
              <w:rPr>
                <w:rFonts w:ascii="Times New Roman" w:eastAsia="Times New Roman" w:hAnsi="Times New Roman"/>
                <w:lang w:eastAsia="fr-FR"/>
              </w:rPr>
            </w:pPr>
          </w:p>
        </w:tc>
      </w:tr>
      <w:tr w:rsidR="00D52685" w:rsidRPr="00D52685" w14:paraId="28A1C2C1" w14:textId="77777777" w:rsidTr="004F5DA8">
        <w:trPr>
          <w:cantSplit/>
          <w:trHeight w:val="945"/>
        </w:trPr>
        <w:tc>
          <w:tcPr>
            <w:tcW w:w="358" w:type="pct"/>
            <w:vMerge/>
            <w:vAlign w:val="center"/>
            <w:hideMark/>
          </w:tcPr>
          <w:p w14:paraId="0EAFA8D2" w14:textId="77777777" w:rsidR="00D52685" w:rsidRPr="00D52685" w:rsidRDefault="00D52685" w:rsidP="00D52685">
            <w:pPr>
              <w:jc w:val="left"/>
              <w:rPr>
                <w:rFonts w:eastAsia="Times New Roman" w:cs="Arial"/>
                <w:color w:val="000000"/>
                <w:sz w:val="18"/>
                <w:szCs w:val="18"/>
                <w:lang w:eastAsia="fr-FR"/>
              </w:rPr>
            </w:pPr>
          </w:p>
        </w:tc>
        <w:tc>
          <w:tcPr>
            <w:tcW w:w="800" w:type="pct"/>
            <w:vMerge/>
            <w:vAlign w:val="center"/>
            <w:hideMark/>
          </w:tcPr>
          <w:p w14:paraId="03EC3857" w14:textId="77777777" w:rsidR="00D52685" w:rsidRPr="00D52685" w:rsidRDefault="00D52685" w:rsidP="00D52685">
            <w:pPr>
              <w:jc w:val="left"/>
              <w:rPr>
                <w:rFonts w:eastAsia="Times New Roman" w:cs="Arial"/>
                <w:color w:val="000000"/>
                <w:sz w:val="18"/>
                <w:szCs w:val="18"/>
                <w:lang w:eastAsia="fr-FR"/>
              </w:rPr>
            </w:pPr>
          </w:p>
        </w:tc>
        <w:tc>
          <w:tcPr>
            <w:tcW w:w="1235" w:type="pct"/>
            <w:vMerge/>
            <w:vAlign w:val="center"/>
            <w:hideMark/>
          </w:tcPr>
          <w:p w14:paraId="183A0FFD" w14:textId="77777777" w:rsidR="00D52685" w:rsidRPr="00D52685" w:rsidRDefault="00D52685" w:rsidP="00D52685">
            <w:pPr>
              <w:jc w:val="left"/>
              <w:rPr>
                <w:rFonts w:eastAsia="Times New Roman" w:cs="Arial"/>
                <w:color w:val="000000"/>
                <w:sz w:val="18"/>
                <w:szCs w:val="18"/>
                <w:lang w:eastAsia="fr-FR"/>
              </w:rPr>
            </w:pPr>
          </w:p>
        </w:tc>
        <w:tc>
          <w:tcPr>
            <w:tcW w:w="504" w:type="pct"/>
            <w:vMerge/>
            <w:vAlign w:val="center"/>
            <w:hideMark/>
          </w:tcPr>
          <w:p w14:paraId="06842119" w14:textId="77777777" w:rsidR="00D52685" w:rsidRPr="00D52685" w:rsidRDefault="00D52685" w:rsidP="00D52685">
            <w:pPr>
              <w:jc w:val="left"/>
              <w:rPr>
                <w:rFonts w:eastAsia="Times New Roman" w:cs="Arial"/>
                <w:color w:val="000000"/>
                <w:sz w:val="18"/>
                <w:szCs w:val="18"/>
                <w:lang w:eastAsia="fr-FR"/>
              </w:rPr>
            </w:pPr>
          </w:p>
        </w:tc>
        <w:tc>
          <w:tcPr>
            <w:tcW w:w="2021" w:type="pct"/>
            <w:vMerge/>
            <w:vAlign w:val="center"/>
            <w:hideMark/>
          </w:tcPr>
          <w:p w14:paraId="15F67ACD" w14:textId="77777777" w:rsidR="00D52685" w:rsidRPr="00D52685" w:rsidRDefault="00D52685" w:rsidP="00D52685">
            <w:pPr>
              <w:jc w:val="left"/>
              <w:rPr>
                <w:rFonts w:eastAsia="Times New Roman" w:cs="Arial"/>
                <w:color w:val="000000"/>
                <w:sz w:val="18"/>
                <w:szCs w:val="18"/>
                <w:lang w:eastAsia="fr-FR"/>
              </w:rPr>
            </w:pPr>
          </w:p>
        </w:tc>
        <w:tc>
          <w:tcPr>
            <w:tcW w:w="82" w:type="pct"/>
            <w:noWrap/>
            <w:vAlign w:val="bottom"/>
            <w:hideMark/>
          </w:tcPr>
          <w:p w14:paraId="2BD1BF39" w14:textId="77777777" w:rsidR="00D52685" w:rsidRPr="00D52685" w:rsidRDefault="00D52685" w:rsidP="00D52685">
            <w:pPr>
              <w:rPr>
                <w:rFonts w:eastAsia="Times New Roman" w:cs="Arial"/>
                <w:color w:val="000000"/>
                <w:lang w:eastAsia="fr-FR"/>
              </w:rPr>
            </w:pPr>
          </w:p>
        </w:tc>
      </w:tr>
      <w:tr w:rsidR="00D52685" w:rsidRPr="00D52685" w14:paraId="09DE84D1" w14:textId="77777777" w:rsidTr="004F5DA8">
        <w:trPr>
          <w:cantSplit/>
          <w:trHeight w:val="300"/>
        </w:trPr>
        <w:tc>
          <w:tcPr>
            <w:tcW w:w="358" w:type="pct"/>
            <w:vAlign w:val="center"/>
          </w:tcPr>
          <w:p w14:paraId="60B91FCE" w14:textId="77777777" w:rsidR="00D52685" w:rsidRPr="00D52685" w:rsidRDefault="00D52685" w:rsidP="00D52685">
            <w:pPr>
              <w:jc w:val="left"/>
              <w:rPr>
                <w:rFonts w:eastAsia="Times New Roman" w:cs="Arial"/>
                <w:color w:val="000000"/>
                <w:sz w:val="18"/>
                <w:szCs w:val="18"/>
                <w:lang w:eastAsia="nl-NL"/>
              </w:rPr>
            </w:pPr>
            <w:r w:rsidRPr="005B1F18">
              <w:rPr>
                <w:rFonts w:eastAsia="Times New Roman" w:cs="Arial"/>
                <w:color w:val="000000" w:themeColor="text1"/>
                <w:sz w:val="18"/>
                <w:szCs w:val="18"/>
                <w:lang w:eastAsia="nl-NL"/>
              </w:rPr>
              <w:lastRenderedPageBreak/>
              <w:t>7.1</w:t>
            </w:r>
          </w:p>
        </w:tc>
        <w:tc>
          <w:tcPr>
            <w:tcW w:w="800" w:type="pct"/>
            <w:vAlign w:val="center"/>
          </w:tcPr>
          <w:p w14:paraId="39061CCB" w14:textId="77777777" w:rsidR="00D52685" w:rsidRPr="00D52685" w:rsidRDefault="00D52685" w:rsidP="00D52685">
            <w:pPr>
              <w:jc w:val="left"/>
              <w:rPr>
                <w:rFonts w:eastAsia="Times New Roman" w:cs="Arial"/>
                <w:color w:val="000000"/>
                <w:sz w:val="18"/>
                <w:szCs w:val="18"/>
                <w:lang w:eastAsia="nl-NL"/>
              </w:rPr>
            </w:pPr>
            <w:r w:rsidRPr="005B1F18">
              <w:rPr>
                <w:rFonts w:eastAsia="Times New Roman" w:cs="Arial"/>
                <w:color w:val="000000" w:themeColor="text1"/>
                <w:sz w:val="18"/>
                <w:szCs w:val="18"/>
                <w:lang w:eastAsia="nl-NL"/>
              </w:rPr>
              <w:t>Validity of the results</w:t>
            </w:r>
          </w:p>
        </w:tc>
        <w:tc>
          <w:tcPr>
            <w:tcW w:w="1235" w:type="pct"/>
            <w:vAlign w:val="center"/>
          </w:tcPr>
          <w:p w14:paraId="3A8B745C" w14:textId="77777777" w:rsidR="00D52685" w:rsidRPr="005B1F18" w:rsidRDefault="00D52685" w:rsidP="00D52685">
            <w:pPr>
              <w:jc w:val="left"/>
              <w:rPr>
                <w:rFonts w:eastAsia="Times New Roman" w:cs="Arial"/>
                <w:color w:val="000000"/>
                <w:sz w:val="18"/>
                <w:szCs w:val="18"/>
                <w:lang w:eastAsia="fr-FR"/>
              </w:rPr>
            </w:pPr>
            <w:r w:rsidRPr="005B1F18">
              <w:rPr>
                <w:rFonts w:eastAsia="Times New Roman" w:cs="Arial"/>
                <w:i/>
                <w:color w:val="000000" w:themeColor="text1"/>
                <w:sz w:val="18"/>
                <w:szCs w:val="18"/>
                <w:lang w:eastAsia="fr-FR"/>
              </w:rPr>
              <w:t>e.g.</w:t>
            </w:r>
            <w:r w:rsidRPr="005B1F18">
              <w:rPr>
                <w:rFonts w:eastAsia="Times New Roman" w:cs="Arial"/>
                <w:color w:val="000000" w:themeColor="text1"/>
                <w:sz w:val="18"/>
                <w:szCs w:val="18"/>
                <w:lang w:eastAsia="fr-FR"/>
              </w:rPr>
              <w:t xml:space="preserve"> for qPCR, Check for typical exponential amplification curves. Check if the controls are as expected (negative controls = no signal; positive controls = shows expected signals for all fluorophores).</w:t>
            </w:r>
          </w:p>
        </w:tc>
        <w:tc>
          <w:tcPr>
            <w:tcW w:w="504" w:type="pct"/>
            <w:vAlign w:val="center"/>
          </w:tcPr>
          <w:p w14:paraId="12FBB462" w14:textId="77777777" w:rsidR="00D52685" w:rsidRPr="005B1F18" w:rsidRDefault="00D52685" w:rsidP="00D52685">
            <w:pPr>
              <w:jc w:val="left"/>
              <w:rPr>
                <w:rFonts w:eastAsia="Times New Roman" w:cs="Arial"/>
                <w:color w:val="000000"/>
                <w:sz w:val="18"/>
                <w:szCs w:val="18"/>
                <w:lang w:eastAsia="nl-NL"/>
              </w:rPr>
            </w:pPr>
            <w:r w:rsidRPr="005B1F18">
              <w:rPr>
                <w:rFonts w:eastAsia="Times New Roman" w:cs="Arial"/>
                <w:color w:val="000000" w:themeColor="text1"/>
                <w:sz w:val="18"/>
                <w:szCs w:val="18"/>
                <w:lang w:eastAsia="nl-NL"/>
              </w:rPr>
              <w:t>YES</w:t>
            </w:r>
          </w:p>
        </w:tc>
        <w:tc>
          <w:tcPr>
            <w:tcW w:w="2021" w:type="pct"/>
            <w:vAlign w:val="center"/>
          </w:tcPr>
          <w:p w14:paraId="5D43C79A" w14:textId="77777777" w:rsidR="00D52685" w:rsidRPr="00D52685" w:rsidRDefault="00D52685" w:rsidP="00D52685">
            <w:pPr>
              <w:jc w:val="left"/>
              <w:rPr>
                <w:rFonts w:eastAsia="Times New Roman" w:cs="Arial"/>
                <w:color w:val="000000"/>
                <w:sz w:val="18"/>
                <w:szCs w:val="18"/>
                <w:lang w:eastAsia="nl-NL"/>
              </w:rPr>
            </w:pPr>
            <w:r w:rsidRPr="005B1F18">
              <w:rPr>
                <w:rFonts w:eastAsia="Times New Roman" w:cs="Arial"/>
                <w:color w:val="000000" w:themeColor="text1"/>
                <w:sz w:val="18"/>
                <w:szCs w:val="18"/>
                <w:lang w:eastAsia="nl-NL"/>
              </w:rPr>
              <w:t>Depending on the method used.</w:t>
            </w:r>
            <w:r w:rsidRPr="1A7E7AF3">
              <w:rPr>
                <w:rFonts w:eastAsia="Times New Roman" w:cs="Arial"/>
                <w:color w:val="000000" w:themeColor="text1"/>
                <w:sz w:val="18"/>
                <w:szCs w:val="18"/>
                <w:lang w:eastAsia="nl-NL"/>
              </w:rPr>
              <w:t xml:space="preserve"> </w:t>
            </w:r>
          </w:p>
        </w:tc>
        <w:tc>
          <w:tcPr>
            <w:tcW w:w="82" w:type="pct"/>
            <w:vAlign w:val="center"/>
          </w:tcPr>
          <w:p w14:paraId="0C4D3B09" w14:textId="77777777" w:rsidR="00D52685" w:rsidRPr="00D52685" w:rsidRDefault="00D52685" w:rsidP="00D52685">
            <w:pPr>
              <w:rPr>
                <w:rFonts w:ascii="Times New Roman" w:eastAsia="Times New Roman" w:hAnsi="Times New Roman"/>
                <w:lang w:eastAsia="fr-FR"/>
              </w:rPr>
            </w:pPr>
          </w:p>
        </w:tc>
      </w:tr>
      <w:tr w:rsidR="00D52685" w:rsidRPr="00D52685" w14:paraId="3392CE77" w14:textId="77777777" w:rsidTr="004F5DA8">
        <w:trPr>
          <w:cantSplit/>
          <w:trHeight w:val="300"/>
        </w:trPr>
        <w:tc>
          <w:tcPr>
            <w:tcW w:w="358" w:type="pct"/>
            <w:vAlign w:val="center"/>
          </w:tcPr>
          <w:p w14:paraId="3899F069" w14:textId="77777777" w:rsidR="00D52685" w:rsidRPr="00D52685" w:rsidRDefault="00D52685" w:rsidP="00D52685">
            <w:pPr>
              <w:jc w:val="left"/>
              <w:rPr>
                <w:rFonts w:eastAsia="Times New Roman" w:cs="Arial"/>
                <w:color w:val="000000"/>
                <w:sz w:val="18"/>
                <w:szCs w:val="18"/>
                <w:highlight w:val="lightGray"/>
                <w:lang w:eastAsia="nl-NL"/>
              </w:rPr>
            </w:pPr>
            <w:r w:rsidRPr="00D52685">
              <w:rPr>
                <w:rFonts w:eastAsia="Times New Roman" w:cs="Arial"/>
                <w:color w:val="000000"/>
                <w:sz w:val="18"/>
                <w:szCs w:val="18"/>
                <w:lang w:eastAsia="nl-NL"/>
              </w:rPr>
              <w:t>8</w:t>
            </w:r>
          </w:p>
        </w:tc>
        <w:tc>
          <w:tcPr>
            <w:tcW w:w="800" w:type="pct"/>
            <w:vAlign w:val="center"/>
          </w:tcPr>
          <w:p w14:paraId="04A8C59D" w14:textId="77777777" w:rsidR="00D52685" w:rsidRPr="00D52685" w:rsidRDefault="00D52685" w:rsidP="00D52685">
            <w:pPr>
              <w:jc w:val="left"/>
              <w:rPr>
                <w:rFonts w:eastAsia="Times New Roman" w:cs="Arial"/>
                <w:color w:val="000000"/>
                <w:sz w:val="18"/>
                <w:szCs w:val="18"/>
                <w:highlight w:val="lightGray"/>
                <w:lang w:eastAsia="nl-NL"/>
              </w:rPr>
            </w:pPr>
            <w:r w:rsidRPr="00D52685">
              <w:rPr>
                <w:rFonts w:eastAsia="Times New Roman" w:cs="Arial"/>
                <w:color w:val="000000"/>
                <w:sz w:val="18"/>
                <w:szCs w:val="18"/>
                <w:lang w:eastAsia="nl-NL"/>
              </w:rPr>
              <w:t>Interpretation of the test results</w:t>
            </w:r>
          </w:p>
        </w:tc>
        <w:tc>
          <w:tcPr>
            <w:tcW w:w="1235" w:type="pct"/>
            <w:vAlign w:val="center"/>
          </w:tcPr>
          <w:p w14:paraId="59B1C6DD" w14:textId="77777777" w:rsidR="00D52685" w:rsidRPr="00D52685" w:rsidRDefault="00D52685" w:rsidP="00D52685">
            <w:pPr>
              <w:jc w:val="left"/>
              <w:rPr>
                <w:rFonts w:eastAsia="Times New Roman" w:cs="Arial"/>
                <w:color w:val="000000"/>
                <w:sz w:val="18"/>
                <w:szCs w:val="18"/>
                <w:highlight w:val="lightGray"/>
                <w:lang w:eastAsia="fr-FR"/>
              </w:rPr>
            </w:pPr>
            <w:r w:rsidRPr="00D52685">
              <w:rPr>
                <w:rFonts w:eastAsia="Times New Roman" w:cs="Arial"/>
                <w:i/>
                <w:iCs/>
                <w:color w:val="000000"/>
                <w:sz w:val="18"/>
                <w:szCs w:val="18"/>
                <w:lang w:eastAsia="fr-FR"/>
              </w:rPr>
              <w:t>See TG/44/11/rev3 – Ad 51: ii DNA marker test add 8</w:t>
            </w:r>
          </w:p>
        </w:tc>
        <w:tc>
          <w:tcPr>
            <w:tcW w:w="504" w:type="pct"/>
            <w:vAlign w:val="center"/>
          </w:tcPr>
          <w:p w14:paraId="1426FA48" w14:textId="77777777" w:rsidR="00D52685" w:rsidRPr="00D52685" w:rsidRDefault="00D52685" w:rsidP="00D52685">
            <w:pPr>
              <w:jc w:val="left"/>
              <w:rPr>
                <w:rFonts w:eastAsia="Times New Roman" w:cs="Arial"/>
                <w:color w:val="000000"/>
                <w:sz w:val="18"/>
                <w:szCs w:val="18"/>
                <w:highlight w:val="lightGray"/>
                <w:lang w:eastAsia="nl-NL"/>
              </w:rPr>
            </w:pPr>
            <w:r w:rsidRPr="00D52685">
              <w:rPr>
                <w:rFonts w:eastAsia="Times New Roman" w:cs="Arial"/>
                <w:color w:val="000000"/>
                <w:sz w:val="18"/>
                <w:szCs w:val="18"/>
                <w:lang w:eastAsia="nl-NL"/>
              </w:rPr>
              <w:t>YES</w:t>
            </w:r>
          </w:p>
        </w:tc>
        <w:tc>
          <w:tcPr>
            <w:tcW w:w="2021" w:type="pct"/>
            <w:vAlign w:val="center"/>
          </w:tcPr>
          <w:p w14:paraId="365C6882" w14:textId="77777777" w:rsidR="00D52685" w:rsidRPr="00D52685" w:rsidRDefault="00D52685" w:rsidP="00D52685">
            <w:pPr>
              <w:jc w:val="left"/>
              <w:rPr>
                <w:rFonts w:eastAsia="Times New Roman" w:cs="Arial"/>
                <w:color w:val="000000"/>
                <w:sz w:val="18"/>
                <w:szCs w:val="18"/>
                <w:lang w:eastAsia="nl-NL"/>
              </w:rPr>
            </w:pPr>
            <w:r w:rsidRPr="00D52685">
              <w:rPr>
                <w:rFonts w:eastAsia="Times New Roman" w:cs="Arial"/>
                <w:color w:val="000000"/>
                <w:sz w:val="18"/>
                <w:szCs w:val="18"/>
                <w:lang w:eastAsia="nl-NL"/>
              </w:rPr>
              <w:t>Relation between alleles and expressions (with its notes)</w:t>
            </w:r>
          </w:p>
          <w:p w14:paraId="12222097" w14:textId="77777777" w:rsidR="00D52685" w:rsidRPr="00D52685" w:rsidRDefault="00D52685" w:rsidP="00D52685">
            <w:pPr>
              <w:jc w:val="left"/>
              <w:rPr>
                <w:rFonts w:eastAsia="Times New Roman" w:cs="Arial"/>
                <w:color w:val="000000"/>
                <w:sz w:val="18"/>
                <w:szCs w:val="18"/>
                <w:lang w:eastAsia="nl-NL"/>
              </w:rPr>
            </w:pPr>
          </w:p>
          <w:p w14:paraId="424900C5" w14:textId="77777777" w:rsidR="00D52685" w:rsidRPr="00D52685" w:rsidRDefault="00D52685" w:rsidP="00D52685">
            <w:pPr>
              <w:jc w:val="left"/>
              <w:rPr>
                <w:rFonts w:eastAsia="Times New Roman" w:cs="Arial"/>
                <w:color w:val="000000"/>
                <w:sz w:val="18"/>
                <w:szCs w:val="18"/>
                <w:lang w:eastAsia="nl-NL"/>
              </w:rPr>
            </w:pPr>
            <w:r w:rsidRPr="008D74F8">
              <w:rPr>
                <w:rFonts w:eastAsia="Times New Roman" w:cs="Arial"/>
                <w:color w:val="000000"/>
                <w:sz w:val="18"/>
                <w:szCs w:val="18"/>
                <w:lang w:eastAsia="nl-NL"/>
              </w:rPr>
              <w:t xml:space="preserve">In case the DNA marker test </w:t>
            </w:r>
            <w:proofErr w:type="gramStart"/>
            <w:r w:rsidRPr="008D74F8">
              <w:rPr>
                <w:rFonts w:eastAsia="Times New Roman" w:cs="Arial"/>
                <w:color w:val="000000"/>
                <w:sz w:val="18"/>
                <w:szCs w:val="18"/>
                <w:lang w:eastAsia="nl-NL"/>
              </w:rPr>
              <w:t>result</w:t>
            </w:r>
            <w:proofErr w:type="gramEnd"/>
            <w:r w:rsidRPr="008D74F8">
              <w:rPr>
                <w:rFonts w:eastAsia="Times New Roman" w:cs="Arial"/>
                <w:color w:val="000000"/>
                <w:sz w:val="18"/>
                <w:szCs w:val="18"/>
                <w:lang w:eastAsia="nl-NL"/>
              </w:rPr>
              <w:t xml:space="preserve"> does not confirm the declaration in the Technical Questionnaire, a field trial or </w:t>
            </w:r>
            <w:proofErr w:type="gramStart"/>
            <w:r w:rsidRPr="008D74F8">
              <w:rPr>
                <w:rFonts w:eastAsia="Times New Roman" w:cs="Arial"/>
                <w:color w:val="000000"/>
                <w:sz w:val="18"/>
                <w:szCs w:val="18"/>
                <w:lang w:eastAsia="nl-NL"/>
              </w:rPr>
              <w:t>bio-assay</w:t>
            </w:r>
            <w:proofErr w:type="gramEnd"/>
            <w:r w:rsidRPr="008D74F8">
              <w:rPr>
                <w:rFonts w:eastAsia="Times New Roman" w:cs="Arial"/>
                <w:color w:val="000000"/>
                <w:sz w:val="18"/>
                <w:szCs w:val="18"/>
                <w:lang w:eastAsia="nl-NL"/>
              </w:rPr>
              <w:t xml:space="preserve"> should be performed</w:t>
            </w:r>
            <w:r w:rsidRPr="008D74F8">
              <w:rPr>
                <w:rFonts w:eastAsia="Times New Roman" w:cs="Arial"/>
                <w:strike/>
                <w:color w:val="000000"/>
                <w:sz w:val="18"/>
                <w:szCs w:val="18"/>
                <w:lang w:eastAsia="nl-NL"/>
              </w:rPr>
              <w:t xml:space="preserve"> </w:t>
            </w:r>
            <w:r w:rsidRPr="00D52685">
              <w:rPr>
                <w:rFonts w:eastAsia="Times New Roman" w:cs="Arial"/>
                <w:strike/>
                <w:color w:val="000000"/>
                <w:sz w:val="18"/>
                <w:szCs w:val="18"/>
                <w:highlight w:val="lightGray"/>
                <w:lang w:eastAsia="nl-NL"/>
              </w:rPr>
              <w:t>to assess the correctness of the declaration in the Technical Questionnaire</w:t>
            </w:r>
            <w:r w:rsidRPr="00D52685">
              <w:rPr>
                <w:rFonts w:eastAsia="Times New Roman" w:cs="Arial"/>
                <w:color w:val="000000"/>
                <w:sz w:val="18"/>
                <w:szCs w:val="18"/>
                <w:highlight w:val="lightGray"/>
                <w:lang w:eastAsia="nl-NL"/>
              </w:rPr>
              <w:t>.</w:t>
            </w:r>
          </w:p>
        </w:tc>
        <w:tc>
          <w:tcPr>
            <w:tcW w:w="82" w:type="pct"/>
            <w:vAlign w:val="center"/>
          </w:tcPr>
          <w:p w14:paraId="05AF5D16" w14:textId="77777777" w:rsidR="00D52685" w:rsidRPr="00D52685" w:rsidRDefault="00D52685" w:rsidP="00D52685">
            <w:pPr>
              <w:rPr>
                <w:rFonts w:ascii="Times New Roman" w:eastAsia="Times New Roman" w:hAnsi="Times New Roman"/>
                <w:lang w:eastAsia="fr-FR"/>
              </w:rPr>
            </w:pPr>
          </w:p>
        </w:tc>
      </w:tr>
      <w:tr w:rsidR="00D52685" w:rsidRPr="00D52685" w14:paraId="49BDB119" w14:textId="77777777" w:rsidTr="004F5DA8">
        <w:trPr>
          <w:cantSplit/>
          <w:trHeight w:val="300"/>
        </w:trPr>
        <w:tc>
          <w:tcPr>
            <w:tcW w:w="358" w:type="pct"/>
            <w:vAlign w:val="center"/>
          </w:tcPr>
          <w:p w14:paraId="22076AEC" w14:textId="77777777" w:rsidR="00D52685" w:rsidRPr="008D74F8" w:rsidRDefault="00D52685" w:rsidP="00D52685">
            <w:pPr>
              <w:jc w:val="left"/>
              <w:rPr>
                <w:rFonts w:eastAsia="Times New Roman" w:cs="Arial"/>
                <w:color w:val="000000"/>
                <w:sz w:val="18"/>
                <w:szCs w:val="18"/>
                <w:lang w:eastAsia="nl-NL"/>
              </w:rPr>
            </w:pPr>
            <w:r w:rsidRPr="008D74F8">
              <w:rPr>
                <w:rFonts w:eastAsia="Times New Roman" w:cs="Arial"/>
                <w:color w:val="000000"/>
                <w:sz w:val="18"/>
                <w:szCs w:val="18"/>
                <w:lang w:eastAsia="fr-FR"/>
              </w:rPr>
              <w:t>9</w:t>
            </w:r>
          </w:p>
        </w:tc>
        <w:tc>
          <w:tcPr>
            <w:tcW w:w="800" w:type="pct"/>
            <w:vAlign w:val="center"/>
          </w:tcPr>
          <w:p w14:paraId="119DA259" w14:textId="77777777" w:rsidR="00D52685" w:rsidRPr="008D74F8" w:rsidRDefault="00D52685" w:rsidP="00D52685">
            <w:pPr>
              <w:jc w:val="left"/>
              <w:rPr>
                <w:rFonts w:eastAsia="Times New Roman" w:cs="Arial"/>
                <w:color w:val="000000"/>
                <w:sz w:val="18"/>
                <w:szCs w:val="18"/>
                <w:lang w:eastAsia="nl-NL"/>
              </w:rPr>
            </w:pPr>
            <w:r w:rsidRPr="008D74F8">
              <w:rPr>
                <w:rFonts w:eastAsia="Times New Roman" w:cs="Arial"/>
                <w:color w:val="000000"/>
                <w:sz w:val="18"/>
                <w:szCs w:val="18"/>
                <w:lang w:eastAsia="fr-FR"/>
              </w:rPr>
              <w:t xml:space="preserve">Validation of the method, </w:t>
            </w:r>
          </w:p>
        </w:tc>
        <w:tc>
          <w:tcPr>
            <w:tcW w:w="1235" w:type="pct"/>
            <w:vAlign w:val="center"/>
          </w:tcPr>
          <w:p w14:paraId="6769F62A" w14:textId="77777777" w:rsidR="00D52685" w:rsidRPr="008D74F8" w:rsidRDefault="00D52685" w:rsidP="00D52685">
            <w:pPr>
              <w:jc w:val="left"/>
              <w:rPr>
                <w:rFonts w:eastAsia="Times New Roman" w:cs="Arial"/>
                <w:color w:val="000000"/>
                <w:sz w:val="18"/>
                <w:szCs w:val="18"/>
                <w:lang w:eastAsia="fr-FR"/>
              </w:rPr>
            </w:pPr>
            <w:r w:rsidRPr="008D74F8">
              <w:rPr>
                <w:rFonts w:eastAsia="Times New Roman" w:cs="Arial"/>
                <w:color w:val="000000"/>
                <w:sz w:val="18"/>
                <w:szCs w:val="18"/>
                <w:lang w:eastAsia="fr-FR"/>
              </w:rPr>
              <w:t xml:space="preserve">This protocol was validated by a ring-test with different laboratories </w:t>
            </w:r>
          </w:p>
        </w:tc>
        <w:tc>
          <w:tcPr>
            <w:tcW w:w="504" w:type="pct"/>
            <w:vAlign w:val="center"/>
          </w:tcPr>
          <w:p w14:paraId="67158E2F" w14:textId="77777777" w:rsidR="00D52685" w:rsidRPr="008D74F8" w:rsidRDefault="00D52685" w:rsidP="00D52685">
            <w:pPr>
              <w:jc w:val="left"/>
              <w:rPr>
                <w:rFonts w:eastAsia="Times New Roman" w:cs="Arial"/>
                <w:color w:val="000000"/>
                <w:sz w:val="18"/>
                <w:szCs w:val="18"/>
                <w:lang w:eastAsia="nl-NL"/>
              </w:rPr>
            </w:pPr>
            <w:r w:rsidRPr="008D74F8">
              <w:rPr>
                <w:rFonts w:eastAsia="Times New Roman" w:cs="Arial"/>
                <w:color w:val="000000"/>
                <w:sz w:val="18"/>
                <w:szCs w:val="18"/>
                <w:lang w:eastAsia="nl-NL"/>
              </w:rPr>
              <w:t xml:space="preserve"> YES</w:t>
            </w:r>
          </w:p>
        </w:tc>
        <w:tc>
          <w:tcPr>
            <w:tcW w:w="2021" w:type="pct"/>
            <w:vAlign w:val="center"/>
          </w:tcPr>
          <w:p w14:paraId="40FC949D" w14:textId="77777777" w:rsidR="00D52685" w:rsidRPr="008D74F8" w:rsidRDefault="00D52685" w:rsidP="00D52685">
            <w:pPr>
              <w:jc w:val="left"/>
              <w:rPr>
                <w:rFonts w:eastAsia="Times New Roman" w:cs="Arial"/>
                <w:color w:val="000000"/>
                <w:sz w:val="18"/>
                <w:szCs w:val="18"/>
                <w:lang w:eastAsia="nl-NL"/>
              </w:rPr>
            </w:pPr>
            <w:r w:rsidRPr="008D74F8">
              <w:rPr>
                <w:rFonts w:eastAsia="Times New Roman" w:cs="Arial"/>
                <w:color w:val="000000"/>
                <w:sz w:val="18"/>
                <w:szCs w:val="18"/>
                <w:lang w:eastAsia="fr-FR"/>
              </w:rPr>
              <w:t>(</w:t>
            </w:r>
            <w:r w:rsidRPr="008D74F8">
              <w:rPr>
                <w:rFonts w:eastAsia="Times New Roman" w:cs="Arial"/>
                <w:i/>
                <w:color w:val="000000"/>
                <w:sz w:val="18"/>
                <w:szCs w:val="18"/>
                <w:lang w:eastAsia="fr-FR"/>
              </w:rPr>
              <w:t>e.g.</w:t>
            </w:r>
            <w:r w:rsidRPr="008D74F8">
              <w:rPr>
                <w:rFonts w:eastAsia="Times New Roman" w:cs="Arial"/>
                <w:color w:val="000000"/>
                <w:sz w:val="18"/>
                <w:szCs w:val="18"/>
                <w:lang w:eastAsia="fr-FR"/>
              </w:rPr>
              <w:t xml:space="preserve"> interlaboratory Comparative Test INVITE 2024 </w:t>
            </w:r>
            <w:r w:rsidRPr="008D74F8">
              <w:rPr>
                <w:rFonts w:ascii="Segoe UI" w:eastAsia="Times New Roman" w:hAnsi="Segoe UI" w:cs="Arial"/>
                <w:sz w:val="18"/>
                <w:szCs w:val="18"/>
              </w:rPr>
              <w:t xml:space="preserve"> </w:t>
            </w:r>
            <w:r w:rsidRPr="008D74F8">
              <w:rPr>
                <w:rFonts w:ascii="Segoe UI" w:eastAsia="Times New Roman" w:hAnsi="Segoe UI" w:cs="Arial"/>
                <w:color w:val="333333"/>
                <w:sz w:val="18"/>
                <w:szCs w:val="18"/>
                <w:shd w:val="clear" w:color="auto" w:fill="FFFFFF"/>
              </w:rPr>
              <w:t>817970</w:t>
            </w:r>
            <w:r w:rsidRPr="008D74F8">
              <w:rPr>
                <w:rFonts w:ascii="Segoe UI" w:eastAsia="Times New Roman" w:hAnsi="Segoe UI" w:cs="Arial"/>
                <w:sz w:val="18"/>
                <w:szCs w:val="18"/>
              </w:rPr>
              <w:t xml:space="preserve"> DOI </w:t>
            </w:r>
            <w:hyperlink r:id="rId25" w:history="1">
              <w:r w:rsidRPr="008D74F8">
                <w:rPr>
                  <w:rFonts w:ascii="Segoe UI" w:eastAsia="Times New Roman" w:hAnsi="Segoe UI" w:cs="Arial"/>
                  <w:color w:val="0000FF"/>
                  <w:sz w:val="18"/>
                  <w:szCs w:val="18"/>
                  <w:u w:val="single"/>
                </w:rPr>
                <w:t>10.3030/817970</w:t>
              </w:r>
            </w:hyperlink>
            <w:r w:rsidRPr="008D74F8">
              <w:rPr>
                <w:rFonts w:eastAsia="Times New Roman" w:cs="Arial"/>
                <w:sz w:val="18"/>
                <w:szCs w:val="18"/>
              </w:rPr>
              <w:t>)</w:t>
            </w:r>
          </w:p>
        </w:tc>
        <w:tc>
          <w:tcPr>
            <w:tcW w:w="82" w:type="pct"/>
            <w:vAlign w:val="center"/>
          </w:tcPr>
          <w:p w14:paraId="34DE2852" w14:textId="77777777" w:rsidR="00D52685" w:rsidRPr="00D52685" w:rsidRDefault="00D52685" w:rsidP="00D52685">
            <w:pPr>
              <w:rPr>
                <w:rFonts w:ascii="Times New Roman" w:eastAsia="Times New Roman" w:hAnsi="Times New Roman"/>
                <w:lang w:eastAsia="fr-FR"/>
              </w:rPr>
            </w:pPr>
          </w:p>
        </w:tc>
      </w:tr>
      <w:tr w:rsidR="00D52685" w:rsidRPr="00D52685" w14:paraId="6F6E3FFF" w14:textId="77777777" w:rsidTr="004F5DA8">
        <w:trPr>
          <w:cantSplit/>
          <w:trHeight w:val="300"/>
        </w:trPr>
        <w:tc>
          <w:tcPr>
            <w:tcW w:w="358" w:type="pct"/>
            <w:vMerge w:val="restart"/>
            <w:vAlign w:val="center"/>
          </w:tcPr>
          <w:p w14:paraId="0D3FE7B9" w14:textId="77777777" w:rsidR="00D52685" w:rsidRPr="005B1F18" w:rsidRDefault="00D52685" w:rsidP="00D52685">
            <w:pPr>
              <w:jc w:val="left"/>
              <w:rPr>
                <w:rFonts w:eastAsia="Times New Roman" w:cs="Arial"/>
                <w:color w:val="000000"/>
                <w:sz w:val="18"/>
                <w:szCs w:val="18"/>
                <w:lang w:eastAsia="fr-FR"/>
              </w:rPr>
            </w:pPr>
            <w:r w:rsidRPr="005B1F18">
              <w:rPr>
                <w:rFonts w:eastAsia="Times New Roman" w:cs="Arial"/>
                <w:color w:val="000000" w:themeColor="text1"/>
                <w:sz w:val="18"/>
                <w:szCs w:val="18"/>
                <w:lang w:eastAsia="fr-FR"/>
              </w:rPr>
              <w:t>9.1</w:t>
            </w:r>
          </w:p>
        </w:tc>
        <w:tc>
          <w:tcPr>
            <w:tcW w:w="800" w:type="pct"/>
            <w:vMerge w:val="restart"/>
            <w:vAlign w:val="center"/>
          </w:tcPr>
          <w:p w14:paraId="67A95D4D" w14:textId="77777777" w:rsidR="00D52685" w:rsidRPr="005B1F18" w:rsidRDefault="00D52685" w:rsidP="00D52685">
            <w:pPr>
              <w:jc w:val="left"/>
              <w:rPr>
                <w:rFonts w:eastAsia="Times New Roman" w:cs="Arial"/>
                <w:color w:val="000000"/>
                <w:sz w:val="18"/>
                <w:szCs w:val="18"/>
                <w:lang w:eastAsia="fr-FR"/>
              </w:rPr>
            </w:pPr>
            <w:r w:rsidRPr="005B1F18">
              <w:rPr>
                <w:rFonts w:eastAsia="Times New Roman" w:cs="Arial"/>
                <w:color w:val="000000" w:themeColor="text1"/>
                <w:sz w:val="18"/>
                <w:szCs w:val="18"/>
                <w:lang w:eastAsia="fr-FR"/>
              </w:rPr>
              <w:t>Contact Examination Office</w:t>
            </w:r>
          </w:p>
        </w:tc>
        <w:tc>
          <w:tcPr>
            <w:tcW w:w="1235" w:type="pct"/>
            <w:vMerge w:val="restart"/>
            <w:vAlign w:val="center"/>
          </w:tcPr>
          <w:p w14:paraId="676D3C8B" w14:textId="77777777" w:rsidR="00D52685" w:rsidRPr="005B1F18" w:rsidRDefault="00D52685" w:rsidP="00D52685">
            <w:pPr>
              <w:jc w:val="left"/>
              <w:rPr>
                <w:rFonts w:eastAsia="Times New Roman" w:cs="Arial"/>
                <w:color w:val="000000"/>
                <w:sz w:val="18"/>
                <w:szCs w:val="18"/>
                <w:lang w:eastAsia="fr-FR"/>
              </w:rPr>
            </w:pPr>
            <w:r w:rsidRPr="005B1F18">
              <w:rPr>
                <w:rFonts w:eastAsia="Times New Roman" w:cs="Arial"/>
                <w:i/>
                <w:color w:val="000000" w:themeColor="text1"/>
                <w:sz w:val="18"/>
                <w:szCs w:val="18"/>
                <w:lang w:eastAsia="fr-FR"/>
              </w:rPr>
              <w:t>e.g.</w:t>
            </w:r>
            <w:r w:rsidRPr="005B1F18">
              <w:rPr>
                <w:rFonts w:eastAsia="Times New Roman" w:cs="Arial"/>
                <w:color w:val="000000" w:themeColor="text1"/>
                <w:sz w:val="18"/>
                <w:szCs w:val="18"/>
                <w:lang w:eastAsia="fr-FR"/>
              </w:rPr>
              <w:t xml:space="preserve"> Naktuinbouw</w:t>
            </w:r>
          </w:p>
        </w:tc>
        <w:tc>
          <w:tcPr>
            <w:tcW w:w="504" w:type="pct"/>
            <w:vMerge w:val="restart"/>
            <w:vAlign w:val="center"/>
          </w:tcPr>
          <w:p w14:paraId="64B89E13" w14:textId="77777777" w:rsidR="00D52685" w:rsidRPr="005B1F18" w:rsidRDefault="00D52685" w:rsidP="00D52685">
            <w:pPr>
              <w:jc w:val="left"/>
              <w:rPr>
                <w:rFonts w:eastAsia="Times New Roman" w:cs="Arial"/>
                <w:color w:val="000000"/>
                <w:sz w:val="18"/>
                <w:szCs w:val="18"/>
                <w:lang w:eastAsia="fr-FR"/>
              </w:rPr>
            </w:pPr>
            <w:r w:rsidRPr="005B1F18">
              <w:rPr>
                <w:rFonts w:eastAsia="Times New Roman" w:cs="Arial"/>
                <w:color w:val="000000" w:themeColor="text1"/>
                <w:sz w:val="18"/>
                <w:szCs w:val="18"/>
                <w:lang w:eastAsia="fr-FR"/>
              </w:rPr>
              <w:t>YES</w:t>
            </w:r>
          </w:p>
        </w:tc>
        <w:tc>
          <w:tcPr>
            <w:tcW w:w="2021" w:type="pct"/>
            <w:vMerge w:val="restart"/>
            <w:vAlign w:val="center"/>
          </w:tcPr>
          <w:p w14:paraId="1995293A" w14:textId="77777777" w:rsidR="00D52685" w:rsidRPr="005B1F18" w:rsidRDefault="00D52685" w:rsidP="00D52685">
            <w:pPr>
              <w:jc w:val="left"/>
              <w:rPr>
                <w:rFonts w:eastAsia="Times New Roman" w:cs="Arial"/>
                <w:color w:val="000000"/>
                <w:sz w:val="18"/>
                <w:szCs w:val="18"/>
                <w:lang w:eastAsia="fr-FR"/>
              </w:rPr>
            </w:pPr>
            <w:r w:rsidRPr="005B1F18">
              <w:rPr>
                <w:rFonts w:eastAsia="Times New Roman" w:cs="Arial"/>
                <w:color w:val="000000" w:themeColor="text1"/>
                <w:sz w:val="18"/>
                <w:szCs w:val="18"/>
                <w:lang w:eastAsia="fr-FR"/>
              </w:rPr>
              <w:t>Contact of the institute that developed this protocol, Name of the service.</w:t>
            </w:r>
          </w:p>
        </w:tc>
        <w:tc>
          <w:tcPr>
            <w:tcW w:w="82" w:type="pct"/>
            <w:vAlign w:val="center"/>
            <w:hideMark/>
          </w:tcPr>
          <w:p w14:paraId="0A5B663F" w14:textId="77777777" w:rsidR="00D52685" w:rsidRPr="00D52685" w:rsidRDefault="00D52685" w:rsidP="00D52685">
            <w:pPr>
              <w:rPr>
                <w:rFonts w:ascii="Times New Roman" w:eastAsia="Times New Roman" w:hAnsi="Times New Roman"/>
                <w:lang w:eastAsia="fr-FR"/>
              </w:rPr>
            </w:pPr>
          </w:p>
        </w:tc>
      </w:tr>
      <w:tr w:rsidR="00D52685" w:rsidRPr="00D52685" w14:paraId="7A17199C" w14:textId="77777777" w:rsidTr="004F5DA8">
        <w:trPr>
          <w:trHeight w:val="300"/>
        </w:trPr>
        <w:tc>
          <w:tcPr>
            <w:tcW w:w="358" w:type="pct"/>
            <w:vMerge/>
            <w:vAlign w:val="center"/>
          </w:tcPr>
          <w:p w14:paraId="739A13EB" w14:textId="77777777" w:rsidR="00D52685" w:rsidRPr="00D52685" w:rsidRDefault="00D52685" w:rsidP="00D52685">
            <w:pPr>
              <w:rPr>
                <w:rFonts w:eastAsia="Times New Roman" w:cs="Arial"/>
                <w:color w:val="000000"/>
                <w:sz w:val="18"/>
                <w:szCs w:val="18"/>
                <w:lang w:eastAsia="nl-NL"/>
              </w:rPr>
            </w:pPr>
          </w:p>
        </w:tc>
        <w:tc>
          <w:tcPr>
            <w:tcW w:w="800" w:type="pct"/>
            <w:vMerge/>
            <w:vAlign w:val="center"/>
          </w:tcPr>
          <w:p w14:paraId="78FB08FE" w14:textId="77777777" w:rsidR="00D52685" w:rsidRPr="00D52685" w:rsidRDefault="00D52685" w:rsidP="00D52685">
            <w:pPr>
              <w:rPr>
                <w:rFonts w:eastAsia="Times New Roman" w:cs="Arial"/>
                <w:color w:val="000000"/>
                <w:sz w:val="18"/>
                <w:szCs w:val="18"/>
                <w:lang w:eastAsia="nl-NL"/>
              </w:rPr>
            </w:pPr>
          </w:p>
        </w:tc>
        <w:tc>
          <w:tcPr>
            <w:tcW w:w="1235" w:type="pct"/>
            <w:vMerge/>
            <w:vAlign w:val="center"/>
          </w:tcPr>
          <w:p w14:paraId="5194E465" w14:textId="77777777" w:rsidR="00D52685" w:rsidRPr="00D52685" w:rsidRDefault="00D52685" w:rsidP="00D52685">
            <w:pPr>
              <w:rPr>
                <w:rFonts w:eastAsia="Times New Roman" w:cs="Arial"/>
                <w:i/>
                <w:iCs/>
                <w:color w:val="000000"/>
                <w:sz w:val="18"/>
                <w:szCs w:val="18"/>
                <w:lang w:eastAsia="fr-FR"/>
              </w:rPr>
            </w:pPr>
          </w:p>
        </w:tc>
        <w:tc>
          <w:tcPr>
            <w:tcW w:w="504" w:type="pct"/>
            <w:vMerge/>
            <w:vAlign w:val="center"/>
          </w:tcPr>
          <w:p w14:paraId="580AD4BA" w14:textId="77777777" w:rsidR="00D52685" w:rsidRPr="00D52685" w:rsidRDefault="00D52685" w:rsidP="00D52685">
            <w:pPr>
              <w:rPr>
                <w:rFonts w:eastAsia="Times New Roman" w:cs="Arial"/>
                <w:color w:val="000000"/>
                <w:sz w:val="18"/>
                <w:szCs w:val="18"/>
                <w:lang w:eastAsia="nl-NL"/>
              </w:rPr>
            </w:pPr>
          </w:p>
        </w:tc>
        <w:tc>
          <w:tcPr>
            <w:tcW w:w="2021" w:type="pct"/>
            <w:vMerge/>
            <w:vAlign w:val="center"/>
          </w:tcPr>
          <w:p w14:paraId="328FBBD6" w14:textId="77777777" w:rsidR="00D52685" w:rsidRPr="00D52685" w:rsidRDefault="00D52685" w:rsidP="00D52685">
            <w:pPr>
              <w:rPr>
                <w:rFonts w:eastAsia="Times New Roman" w:cs="Arial"/>
                <w:color w:val="000000"/>
                <w:sz w:val="18"/>
                <w:szCs w:val="18"/>
                <w:lang w:eastAsia="nl-NL"/>
              </w:rPr>
            </w:pPr>
          </w:p>
        </w:tc>
        <w:tc>
          <w:tcPr>
            <w:tcW w:w="82" w:type="pct"/>
            <w:vAlign w:val="center"/>
          </w:tcPr>
          <w:p w14:paraId="4F25D988" w14:textId="77777777" w:rsidR="00D52685" w:rsidRPr="00D52685" w:rsidRDefault="00D52685" w:rsidP="00D52685">
            <w:pPr>
              <w:rPr>
                <w:rFonts w:ascii="Times New Roman" w:eastAsia="Times New Roman" w:hAnsi="Times New Roman"/>
                <w:lang w:eastAsia="fr-FR"/>
              </w:rPr>
            </w:pPr>
          </w:p>
        </w:tc>
      </w:tr>
      <w:tr w:rsidR="00D52685" w:rsidRPr="00D52685" w14:paraId="27FE4647" w14:textId="77777777" w:rsidTr="004F5DA8">
        <w:trPr>
          <w:trHeight w:val="315"/>
        </w:trPr>
        <w:tc>
          <w:tcPr>
            <w:tcW w:w="358" w:type="pct"/>
            <w:vMerge/>
            <w:vAlign w:val="center"/>
          </w:tcPr>
          <w:p w14:paraId="633E6264" w14:textId="77777777" w:rsidR="00D52685" w:rsidRPr="00D52685" w:rsidRDefault="00D52685" w:rsidP="00D52685">
            <w:pPr>
              <w:rPr>
                <w:rFonts w:eastAsia="Times New Roman" w:cs="Arial"/>
                <w:color w:val="000000"/>
                <w:sz w:val="18"/>
                <w:szCs w:val="18"/>
                <w:lang w:eastAsia="fr-FR"/>
              </w:rPr>
            </w:pPr>
          </w:p>
        </w:tc>
        <w:tc>
          <w:tcPr>
            <w:tcW w:w="800" w:type="pct"/>
            <w:vMerge/>
            <w:vAlign w:val="center"/>
          </w:tcPr>
          <w:p w14:paraId="6B5185BF" w14:textId="77777777" w:rsidR="00D52685" w:rsidRPr="00D52685" w:rsidRDefault="00D52685" w:rsidP="00D52685">
            <w:pPr>
              <w:rPr>
                <w:rFonts w:eastAsia="Times New Roman" w:cs="Arial"/>
                <w:color w:val="000000"/>
                <w:sz w:val="18"/>
                <w:szCs w:val="18"/>
                <w:lang w:eastAsia="fr-FR"/>
              </w:rPr>
            </w:pPr>
          </w:p>
        </w:tc>
        <w:tc>
          <w:tcPr>
            <w:tcW w:w="1235" w:type="pct"/>
            <w:vMerge/>
            <w:vAlign w:val="center"/>
          </w:tcPr>
          <w:p w14:paraId="3184CE0C" w14:textId="77777777" w:rsidR="00D52685" w:rsidRPr="00D52685" w:rsidRDefault="00D52685" w:rsidP="00D52685">
            <w:pPr>
              <w:rPr>
                <w:rFonts w:eastAsia="Times New Roman" w:cs="Arial"/>
                <w:i/>
                <w:iCs/>
                <w:color w:val="000000"/>
                <w:sz w:val="18"/>
                <w:szCs w:val="18"/>
                <w:lang w:eastAsia="fr-FR"/>
              </w:rPr>
            </w:pPr>
          </w:p>
        </w:tc>
        <w:tc>
          <w:tcPr>
            <w:tcW w:w="504" w:type="pct"/>
            <w:vMerge/>
            <w:vAlign w:val="center"/>
          </w:tcPr>
          <w:p w14:paraId="4EE17E4C" w14:textId="77777777" w:rsidR="00D52685" w:rsidRPr="00D52685" w:rsidRDefault="00D52685" w:rsidP="00D52685">
            <w:pPr>
              <w:rPr>
                <w:rFonts w:eastAsia="Times New Roman" w:cs="Arial"/>
                <w:color w:val="000000"/>
                <w:sz w:val="18"/>
                <w:szCs w:val="18"/>
                <w:lang w:eastAsia="fr-FR"/>
              </w:rPr>
            </w:pPr>
          </w:p>
        </w:tc>
        <w:tc>
          <w:tcPr>
            <w:tcW w:w="2021" w:type="pct"/>
            <w:vMerge/>
            <w:vAlign w:val="center"/>
          </w:tcPr>
          <w:p w14:paraId="3BB6FE94" w14:textId="77777777" w:rsidR="00D52685" w:rsidRPr="00D52685" w:rsidRDefault="00D52685" w:rsidP="00D52685">
            <w:pPr>
              <w:rPr>
                <w:rFonts w:eastAsia="Times New Roman" w:cs="Arial"/>
                <w:color w:val="000000"/>
                <w:sz w:val="18"/>
                <w:szCs w:val="18"/>
                <w:lang w:eastAsia="fr-FR"/>
              </w:rPr>
            </w:pPr>
          </w:p>
        </w:tc>
        <w:tc>
          <w:tcPr>
            <w:tcW w:w="82" w:type="pct"/>
            <w:noWrap/>
            <w:vAlign w:val="bottom"/>
            <w:hideMark/>
          </w:tcPr>
          <w:p w14:paraId="76514CDA" w14:textId="77777777" w:rsidR="00D52685" w:rsidRPr="00D52685" w:rsidRDefault="00D52685" w:rsidP="00D52685">
            <w:pPr>
              <w:rPr>
                <w:rFonts w:eastAsia="Times New Roman" w:cs="Arial"/>
                <w:color w:val="000000"/>
                <w:lang w:eastAsia="fr-FR"/>
              </w:rPr>
            </w:pPr>
          </w:p>
        </w:tc>
      </w:tr>
    </w:tbl>
    <w:p w14:paraId="60DAC7AA" w14:textId="77777777" w:rsidR="00D52685" w:rsidRPr="00D52685" w:rsidRDefault="00D52685" w:rsidP="00D52685">
      <w:pPr>
        <w:rPr>
          <w:rFonts w:eastAsia="Times New Roman"/>
          <w:lang w:eastAsia="fr-FR"/>
        </w:rPr>
      </w:pPr>
    </w:p>
    <w:p w14:paraId="442AB59A" w14:textId="77777777" w:rsidR="00D52685" w:rsidRPr="00D52685" w:rsidRDefault="00D52685" w:rsidP="00D52685">
      <w:pPr>
        <w:rPr>
          <w:rFonts w:eastAsia="Times New Roman"/>
          <w:lang w:eastAsia="fr-FR"/>
        </w:rPr>
      </w:pPr>
    </w:p>
    <w:p w14:paraId="35859D8D" w14:textId="77777777" w:rsidR="00D52685" w:rsidRPr="00D52685" w:rsidRDefault="00D52685" w:rsidP="0077577B">
      <w:pPr>
        <w:pStyle w:val="Heading1Annex"/>
        <w:rPr>
          <w:lang w:val="en-GB"/>
        </w:rPr>
      </w:pPr>
      <w:bookmarkStart w:id="119" w:name="_Toc189576576"/>
      <w:bookmarkStart w:id="120" w:name="_Toc210139358"/>
      <w:r w:rsidRPr="00D52685">
        <w:rPr>
          <w:lang w:val="en-GB"/>
        </w:rPr>
        <w:t>VI.</w:t>
      </w:r>
      <w:r w:rsidRPr="00D52685">
        <w:rPr>
          <w:lang w:val="en-GB"/>
        </w:rPr>
        <w:tab/>
        <w:t>Follow-up survey after approval</w:t>
      </w:r>
      <w:bookmarkEnd w:id="119"/>
      <w:bookmarkEnd w:id="120"/>
    </w:p>
    <w:p w14:paraId="61FA046F" w14:textId="77777777" w:rsidR="00D52685" w:rsidRPr="00D52685" w:rsidRDefault="00D52685" w:rsidP="00D52685">
      <w:pPr>
        <w:keepNext/>
        <w:rPr>
          <w:rFonts w:eastAsia="Times New Roman"/>
          <w:lang w:eastAsia="fr-FR"/>
        </w:rPr>
      </w:pPr>
    </w:p>
    <w:p w14:paraId="4F890AD6" w14:textId="078302A8" w:rsidR="00D52685" w:rsidRPr="00D52685" w:rsidRDefault="00DC4B65" w:rsidP="00D52685">
      <w:pPr>
        <w:rPr>
          <w:rFonts w:eastAsia="Times New Roman"/>
          <w:lang w:eastAsia="fr-FR"/>
        </w:rPr>
      </w:pPr>
      <w:r>
        <w:rPr>
          <w:rFonts w:hint="eastAsia"/>
          <w:lang w:eastAsia="ja-JP"/>
        </w:rPr>
        <w:t>33.</w:t>
      </w:r>
      <w:r w:rsidR="00D52685" w:rsidRPr="00D52685">
        <w:rPr>
          <w:rFonts w:eastAsia="Times New Roman"/>
          <w:lang w:eastAsia="fr-FR"/>
        </w:rPr>
        <w:tab/>
        <w:t xml:space="preserve">Validation of the marker is not fixed as new genetics can arise from the market. This is a continuous evaluation process. Specificity should be re-assessed after validation acceptance using parallel testing (marker test and bioassay) at least during the first year with observation method. </w:t>
      </w:r>
    </w:p>
    <w:p w14:paraId="57719EE3" w14:textId="77777777" w:rsidR="00D52685" w:rsidRPr="00D52685" w:rsidRDefault="00D52685" w:rsidP="00D52685">
      <w:pPr>
        <w:rPr>
          <w:rFonts w:eastAsia="Times New Roman"/>
          <w:lang w:eastAsia="fr-FR"/>
        </w:rPr>
      </w:pPr>
    </w:p>
    <w:p w14:paraId="3CE960ED" w14:textId="13556EE3" w:rsidR="00D52685" w:rsidRPr="00D52685" w:rsidRDefault="00DC4B65" w:rsidP="00D52685">
      <w:pPr>
        <w:rPr>
          <w:rFonts w:eastAsia="Times New Roman"/>
          <w:lang w:eastAsia="fr-FR"/>
        </w:rPr>
      </w:pPr>
      <w:r>
        <w:rPr>
          <w:rFonts w:hint="eastAsia"/>
          <w:lang w:eastAsia="ja-JP"/>
        </w:rPr>
        <w:t>34.</w:t>
      </w:r>
      <w:r w:rsidR="00D52685" w:rsidRPr="00D52685">
        <w:rPr>
          <w:rFonts w:eastAsia="Times New Roman"/>
          <w:lang w:eastAsia="fr-FR"/>
        </w:rPr>
        <w:tab/>
        <w:t xml:space="preserve">After the first year of acceptance of the protocol, morphological checks on about 10% of the new varieties must be </w:t>
      </w:r>
      <w:proofErr w:type="gramStart"/>
      <w:r w:rsidR="00D52685" w:rsidRPr="00D52685">
        <w:rPr>
          <w:rFonts w:eastAsia="Times New Roman"/>
          <w:lang w:eastAsia="fr-FR"/>
        </w:rPr>
        <w:t>performed</w:t>
      </w:r>
      <w:proofErr w:type="gramEnd"/>
      <w:r w:rsidR="00D52685" w:rsidRPr="00D52685">
        <w:rPr>
          <w:rFonts w:eastAsia="Times New Roman"/>
          <w:lang w:eastAsia="fr-FR"/>
        </w:rPr>
        <w:t>.</w:t>
      </w:r>
    </w:p>
    <w:p w14:paraId="6038449B" w14:textId="77777777" w:rsidR="00D52685" w:rsidRDefault="00D52685" w:rsidP="00D52685">
      <w:pPr>
        <w:jc w:val="left"/>
        <w:rPr>
          <w:rFonts w:eastAsia="Times New Roman"/>
        </w:rPr>
      </w:pPr>
    </w:p>
    <w:p w14:paraId="425408FA" w14:textId="77777777" w:rsidR="00BF7C58" w:rsidRPr="00D52685" w:rsidRDefault="00BF7C58" w:rsidP="00D52685">
      <w:pPr>
        <w:jc w:val="left"/>
        <w:rPr>
          <w:rFonts w:eastAsia="Times New Roman"/>
        </w:rPr>
      </w:pPr>
    </w:p>
    <w:p w14:paraId="69ACC659" w14:textId="77777777" w:rsidR="00D52685" w:rsidRPr="00D52685" w:rsidRDefault="00D52685" w:rsidP="0077577B">
      <w:pPr>
        <w:pStyle w:val="Heading1Annex"/>
      </w:pPr>
      <w:bookmarkStart w:id="121" w:name="_Toc210139359"/>
      <w:r w:rsidRPr="00D52685">
        <w:t>VII.</w:t>
      </w:r>
      <w:r w:rsidRPr="00D52685">
        <w:tab/>
        <w:t>LITERATURE</w:t>
      </w:r>
      <w:bookmarkEnd w:id="121"/>
    </w:p>
    <w:p w14:paraId="24422E95" w14:textId="77777777" w:rsidR="00D52685" w:rsidRPr="00D52685" w:rsidRDefault="00D52685" w:rsidP="00D52685">
      <w:pPr>
        <w:jc w:val="left"/>
        <w:rPr>
          <w:rFonts w:eastAsia="Times New Roman"/>
        </w:rPr>
      </w:pPr>
    </w:p>
    <w:p w14:paraId="1A01D356" w14:textId="77777777" w:rsidR="00D52685" w:rsidRPr="00D52685" w:rsidRDefault="00D52685" w:rsidP="00D52685">
      <w:pPr>
        <w:rPr>
          <w:rFonts w:eastAsia="Times New Roman"/>
        </w:rPr>
      </w:pPr>
      <w:r w:rsidRPr="00D52685">
        <w:rPr>
          <w:rFonts w:eastAsia="Times New Roman"/>
        </w:rPr>
        <w:t xml:space="preserve">Arens P., Mansilla C., </w:t>
      </w:r>
      <w:proofErr w:type="spellStart"/>
      <w:r w:rsidRPr="00D52685">
        <w:rPr>
          <w:rFonts w:eastAsia="Times New Roman"/>
        </w:rPr>
        <w:t>Deinum</w:t>
      </w:r>
      <w:proofErr w:type="spellEnd"/>
      <w:r w:rsidRPr="00D52685">
        <w:rPr>
          <w:rFonts w:eastAsia="Times New Roman"/>
        </w:rPr>
        <w:t xml:space="preserve"> D., </w:t>
      </w:r>
      <w:proofErr w:type="spellStart"/>
      <w:r w:rsidRPr="00D52685">
        <w:rPr>
          <w:rFonts w:eastAsia="Times New Roman"/>
        </w:rPr>
        <w:t>Cavellini</w:t>
      </w:r>
      <w:proofErr w:type="spellEnd"/>
      <w:r w:rsidRPr="00D52685">
        <w:rPr>
          <w:rFonts w:eastAsia="Times New Roman"/>
        </w:rPr>
        <w:t xml:space="preserve"> L., Moretti A., Rolland S., van der </w:t>
      </w:r>
      <w:proofErr w:type="spellStart"/>
      <w:r w:rsidRPr="00D52685">
        <w:rPr>
          <w:rFonts w:eastAsia="Times New Roman"/>
        </w:rPr>
        <w:t>Schoot</w:t>
      </w:r>
      <w:proofErr w:type="spellEnd"/>
      <w:r w:rsidRPr="00D52685">
        <w:rPr>
          <w:rFonts w:eastAsia="Times New Roman"/>
        </w:rPr>
        <w:t xml:space="preserve"> H., Calvache D., </w:t>
      </w:r>
      <w:proofErr w:type="spellStart"/>
      <w:r w:rsidRPr="00D52685">
        <w:rPr>
          <w:rFonts w:eastAsia="Times New Roman"/>
        </w:rPr>
        <w:t>Ponz</w:t>
      </w:r>
      <w:proofErr w:type="spellEnd"/>
      <w:r w:rsidRPr="00D52685">
        <w:rPr>
          <w:rFonts w:eastAsia="Times New Roman"/>
        </w:rPr>
        <w:t xml:space="preserve"> F., </w:t>
      </w:r>
      <w:proofErr w:type="spellStart"/>
      <w:r w:rsidRPr="00D52685">
        <w:rPr>
          <w:rFonts w:eastAsia="Times New Roman"/>
        </w:rPr>
        <w:t>Collonnier</w:t>
      </w:r>
      <w:proofErr w:type="spellEnd"/>
      <w:r w:rsidRPr="00D52685">
        <w:rPr>
          <w:rFonts w:eastAsia="Times New Roman"/>
        </w:rPr>
        <w:t xml:space="preserve"> C., Mathis R., Smilde D., </w:t>
      </w:r>
      <w:proofErr w:type="spellStart"/>
      <w:r w:rsidRPr="00D52685">
        <w:rPr>
          <w:rFonts w:eastAsia="Times New Roman"/>
        </w:rPr>
        <w:t>Caranta</w:t>
      </w:r>
      <w:proofErr w:type="spellEnd"/>
      <w:r w:rsidRPr="00D52685">
        <w:rPr>
          <w:rFonts w:eastAsia="Times New Roman"/>
        </w:rPr>
        <w:t xml:space="preserve"> C.; Vosman B., 2010: Development and evaluation of robust molecular markers linked to disease resistance in tomato for distinctness, uniformity and stability testing. </w:t>
      </w:r>
    </w:p>
    <w:p w14:paraId="53154F7A" w14:textId="77777777" w:rsidR="00D52685" w:rsidRPr="00D52685" w:rsidRDefault="00D52685" w:rsidP="00D52685">
      <w:pPr>
        <w:jc w:val="left"/>
        <w:rPr>
          <w:rFonts w:eastAsia="Times New Roman"/>
        </w:rPr>
      </w:pPr>
      <w:r w:rsidRPr="00D52685">
        <w:rPr>
          <w:rFonts w:eastAsia="Times New Roman"/>
        </w:rPr>
        <w:t>Theoretical and applied genetics 120(3). pp. 655-64</w:t>
      </w:r>
    </w:p>
    <w:p w14:paraId="7396CEDD" w14:textId="77777777" w:rsidR="00D52685" w:rsidRPr="00D52685" w:rsidRDefault="00D52685" w:rsidP="00D52685">
      <w:pPr>
        <w:rPr>
          <w:rFonts w:eastAsia="Times New Roman"/>
        </w:rPr>
      </w:pPr>
    </w:p>
    <w:p w14:paraId="7B8AE26D" w14:textId="77777777" w:rsidR="00D52685" w:rsidRPr="00D52685" w:rsidRDefault="00D52685" w:rsidP="00D52685">
      <w:pPr>
        <w:rPr>
          <w:rFonts w:eastAsia="Times New Roman"/>
        </w:rPr>
      </w:pPr>
      <w:r w:rsidRPr="005B1F18">
        <w:rPr>
          <w:rFonts w:eastAsia="Times New Roman"/>
        </w:rPr>
        <w:t xml:space="preserve">Langton, S.D., </w:t>
      </w:r>
      <w:proofErr w:type="spellStart"/>
      <w:r w:rsidRPr="005B1F18">
        <w:rPr>
          <w:rFonts w:eastAsia="Times New Roman"/>
        </w:rPr>
        <w:t>Chevennement</w:t>
      </w:r>
      <w:proofErr w:type="spellEnd"/>
      <w:r w:rsidRPr="005B1F18">
        <w:rPr>
          <w:rFonts w:eastAsia="Times New Roman"/>
        </w:rPr>
        <w:t xml:space="preserve">, R., Nagelkerke, N. and Lombard, B. (2002). </w:t>
      </w:r>
      <w:proofErr w:type="spellStart"/>
      <w:r w:rsidRPr="00D52685">
        <w:rPr>
          <w:rFonts w:eastAsia="Times New Roman"/>
        </w:rPr>
        <w:t>Analysing</w:t>
      </w:r>
      <w:proofErr w:type="spellEnd"/>
      <w:r w:rsidRPr="00D52685">
        <w:rPr>
          <w:rFonts w:eastAsia="Times New Roman"/>
        </w:rPr>
        <w:t xml:space="preserve"> collaborative trials for qualitative microbiological methods: accordance and concordance. International Journal of Food Microbiology, 79, 175-181</w:t>
      </w:r>
    </w:p>
    <w:p w14:paraId="339E95E3" w14:textId="77777777" w:rsidR="00550FF9" w:rsidRPr="00F07B06" w:rsidRDefault="00550FF9" w:rsidP="00550FF9">
      <w:pPr>
        <w:jc w:val="left"/>
      </w:pPr>
    </w:p>
    <w:p w14:paraId="3FB988CA" w14:textId="77777777" w:rsidR="00EF4B00" w:rsidRPr="00F07B06" w:rsidRDefault="00EF4B00" w:rsidP="00EF4B00"/>
    <w:p w14:paraId="465282EF" w14:textId="77777777" w:rsidR="003D7A73" w:rsidRPr="00F07B06" w:rsidRDefault="003D7A73" w:rsidP="00EF4B00"/>
    <w:p w14:paraId="530048DF" w14:textId="043B73C2" w:rsidR="003D7A73" w:rsidRPr="00F07B06" w:rsidRDefault="003D7A73" w:rsidP="003D7A73">
      <w:pPr>
        <w:jc w:val="right"/>
      </w:pPr>
      <w:r w:rsidRPr="00F07B06">
        <w:t>[End of Annex and of document]</w:t>
      </w:r>
    </w:p>
    <w:sectPr w:rsidR="003D7A73" w:rsidRPr="00F07B06" w:rsidSect="0077577B">
      <w:headerReference w:type="default" r:id="rId26"/>
      <w:headerReference w:type="first" r:id="rId27"/>
      <w:pgSz w:w="11907" w:h="16840" w:code="9"/>
      <w:pgMar w:top="510" w:right="1134" w:bottom="709" w:left="1134" w:header="510" w:footer="51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330F" w14:textId="77777777" w:rsidR="00506A9E" w:rsidRDefault="00506A9E" w:rsidP="006655D3">
      <w:r>
        <w:separator/>
      </w:r>
    </w:p>
    <w:p w14:paraId="127F7907" w14:textId="77777777" w:rsidR="00506A9E" w:rsidRDefault="00506A9E" w:rsidP="006655D3"/>
    <w:p w14:paraId="3F52CC52" w14:textId="77777777" w:rsidR="00506A9E" w:rsidRDefault="00506A9E" w:rsidP="006655D3"/>
    <w:p w14:paraId="66754A44" w14:textId="77777777" w:rsidR="00506A9E" w:rsidRDefault="00506A9E"/>
  </w:endnote>
  <w:endnote w:type="continuationSeparator" w:id="0">
    <w:p w14:paraId="210B1BC3" w14:textId="77777777" w:rsidR="00506A9E" w:rsidRDefault="00506A9E" w:rsidP="006655D3">
      <w:r>
        <w:separator/>
      </w:r>
    </w:p>
    <w:p w14:paraId="4234BE8A" w14:textId="77777777" w:rsidR="00506A9E" w:rsidRPr="00294751" w:rsidRDefault="00506A9E">
      <w:pPr>
        <w:pStyle w:val="Footer"/>
        <w:spacing w:after="60"/>
        <w:rPr>
          <w:sz w:val="18"/>
          <w:lang w:val="fr-FR"/>
        </w:rPr>
      </w:pPr>
      <w:r w:rsidRPr="00294751">
        <w:rPr>
          <w:sz w:val="18"/>
          <w:lang w:val="fr-FR"/>
        </w:rPr>
        <w:t>[Suite de la note de la page précédente]</w:t>
      </w:r>
    </w:p>
    <w:p w14:paraId="7C7E7E89" w14:textId="77777777" w:rsidR="00506A9E" w:rsidRPr="00294751" w:rsidRDefault="00506A9E" w:rsidP="006655D3">
      <w:pPr>
        <w:rPr>
          <w:lang w:val="fr-FR"/>
        </w:rPr>
      </w:pPr>
    </w:p>
    <w:p w14:paraId="1BC935C6" w14:textId="77777777" w:rsidR="00506A9E" w:rsidRPr="00294751" w:rsidRDefault="00506A9E" w:rsidP="006655D3">
      <w:pPr>
        <w:rPr>
          <w:lang w:val="fr-FR"/>
        </w:rPr>
      </w:pPr>
    </w:p>
    <w:p w14:paraId="1120A4E8" w14:textId="77777777" w:rsidR="00506A9E" w:rsidRPr="004F5DA8" w:rsidRDefault="00506A9E">
      <w:pPr>
        <w:rPr>
          <w:lang w:val="fr-FR"/>
        </w:rPr>
      </w:pPr>
    </w:p>
  </w:endnote>
  <w:endnote w:type="continuationNotice" w:id="1">
    <w:p w14:paraId="6CF817F8" w14:textId="77777777" w:rsidR="00506A9E" w:rsidRPr="00294751" w:rsidRDefault="00506A9E" w:rsidP="006655D3">
      <w:pPr>
        <w:rPr>
          <w:lang w:val="fr-FR"/>
        </w:rPr>
      </w:pPr>
      <w:r w:rsidRPr="00294751">
        <w:rPr>
          <w:lang w:val="fr-FR"/>
        </w:rPr>
        <w:t>[Suite de la note page suivante]</w:t>
      </w:r>
    </w:p>
    <w:p w14:paraId="04BC69CD" w14:textId="77777777" w:rsidR="00506A9E" w:rsidRPr="00294751" w:rsidRDefault="00506A9E" w:rsidP="006655D3">
      <w:pPr>
        <w:rPr>
          <w:lang w:val="fr-FR"/>
        </w:rPr>
      </w:pPr>
    </w:p>
    <w:p w14:paraId="4B3395BE" w14:textId="77777777" w:rsidR="00506A9E" w:rsidRPr="00294751" w:rsidRDefault="00506A9E" w:rsidP="006655D3">
      <w:pPr>
        <w:rPr>
          <w:lang w:val="fr-FR"/>
        </w:rPr>
      </w:pPr>
    </w:p>
    <w:p w14:paraId="150483AD" w14:textId="77777777" w:rsidR="00506A9E" w:rsidRPr="001B3715" w:rsidRDefault="00506A9E">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93D0" w14:textId="4B02B252" w:rsidR="00441A8C" w:rsidRDefault="00441A8C">
    <w:pPr>
      <w:pStyle w:val="Footer"/>
    </w:pPr>
    <w:r>
      <w:rPr>
        <w:noProof/>
      </w:rPr>
      <mc:AlternateContent>
        <mc:Choice Requires="wps">
          <w:drawing>
            <wp:anchor distT="0" distB="0" distL="0" distR="0" simplePos="0" relativeHeight="251658241" behindDoc="0" locked="0" layoutInCell="1" allowOverlap="1" wp14:anchorId="417FCA55" wp14:editId="0E8A0F40">
              <wp:simplePos x="635" y="635"/>
              <wp:positionH relativeFrom="page">
                <wp:align>center</wp:align>
              </wp:positionH>
              <wp:positionV relativeFrom="page">
                <wp:align>bottom</wp:align>
              </wp:positionV>
              <wp:extent cx="1714500" cy="342900"/>
              <wp:effectExtent l="0" t="0" r="0" b="0"/>
              <wp:wrapNone/>
              <wp:docPr id="118886604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CE73ED2" w14:textId="7E61F1E6" w:rsidR="00441A8C" w:rsidRPr="00441A8C" w:rsidRDefault="00441A8C" w:rsidP="00441A8C">
                          <w:pPr>
                            <w:rPr>
                              <w:rFonts w:ascii="Aptos" w:eastAsia="Aptos" w:hAnsi="Aptos" w:cs="Aptos"/>
                              <w:noProof/>
                              <w:color w:val="000000"/>
                            </w:rPr>
                          </w:pPr>
                          <w:r w:rsidRPr="00441A8C">
                            <w:rPr>
                              <w:rFonts w:ascii="Aptos" w:eastAsia="Aptos" w:hAnsi="Aptos" w:cs="Aptos"/>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FCA55"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6CE73ED2" w14:textId="7E61F1E6" w:rsidR="00441A8C" w:rsidRPr="00441A8C" w:rsidRDefault="00441A8C" w:rsidP="00441A8C">
                    <w:pPr>
                      <w:rPr>
                        <w:rFonts w:ascii="Aptos" w:eastAsia="Aptos" w:hAnsi="Aptos" w:cs="Aptos"/>
                        <w:noProof/>
                        <w:color w:val="000000"/>
                      </w:rPr>
                    </w:pPr>
                    <w:r w:rsidRPr="00441A8C">
                      <w:rPr>
                        <w:rFonts w:ascii="Aptos" w:eastAsia="Aptos" w:hAnsi="Aptos" w:cs="Aptos"/>
                        <w:noProof/>
                        <w:color w:val="00000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24D0" w14:textId="4AF84BC2" w:rsidR="00441A8C" w:rsidRDefault="00441A8C">
    <w:pPr>
      <w:pStyle w:val="Footer"/>
    </w:pPr>
    <w:r>
      <w:rPr>
        <w:noProof/>
      </w:rPr>
      <mc:AlternateContent>
        <mc:Choice Requires="wps">
          <w:drawing>
            <wp:anchor distT="0" distB="0" distL="0" distR="0" simplePos="0" relativeHeight="251658242" behindDoc="0" locked="0" layoutInCell="1" allowOverlap="1" wp14:anchorId="327F29AB" wp14:editId="4A2ACB0D">
              <wp:simplePos x="635" y="635"/>
              <wp:positionH relativeFrom="page">
                <wp:align>center</wp:align>
              </wp:positionH>
              <wp:positionV relativeFrom="page">
                <wp:align>bottom</wp:align>
              </wp:positionV>
              <wp:extent cx="1714500" cy="342900"/>
              <wp:effectExtent l="0" t="0" r="0" b="0"/>
              <wp:wrapNone/>
              <wp:docPr id="227772304"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63B477B8" w14:textId="44F7AF26" w:rsidR="00441A8C" w:rsidRPr="00441A8C" w:rsidRDefault="00441A8C" w:rsidP="00441A8C">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F29AB" id="_x0000_t202" coordsize="21600,21600" o:spt="202" path="m,l,21600r21600,l21600,xe">
              <v:stroke joinstyle="miter"/>
              <v:path gradientshapeok="t" o:connecttype="rect"/>
            </v:shapetype>
            <v:shape id="Text Box 3" o:spid="_x0000_s1027" type="#_x0000_t202" alt="WIPO FOR OFFICIAL USE ONLY " style="position:absolute;left:0;text-align:left;margin-left:0;margin-top:0;width:13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" filled="f" stroked="f">
              <v:textbox style="mso-fit-shape-to-text:t" inset="0,0,0,15pt">
                <w:txbxContent>
                  <w:p w14:paraId="63B477B8" w14:textId="44F7AF26" w:rsidR="00441A8C" w:rsidRPr="00441A8C" w:rsidRDefault="00441A8C" w:rsidP="00441A8C">
                    <w:pPr>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019D" w14:textId="3892D320" w:rsidR="00441A8C" w:rsidRDefault="00441A8C">
    <w:pPr>
      <w:pStyle w:val="Footer"/>
    </w:pPr>
    <w:r>
      <w:rPr>
        <w:noProof/>
      </w:rPr>
      <mc:AlternateContent>
        <mc:Choice Requires="wps">
          <w:drawing>
            <wp:anchor distT="0" distB="0" distL="0" distR="0" simplePos="0" relativeHeight="251658240" behindDoc="0" locked="0" layoutInCell="1" allowOverlap="1" wp14:anchorId="73BA486A" wp14:editId="3B4C063A">
              <wp:simplePos x="635" y="635"/>
              <wp:positionH relativeFrom="page">
                <wp:align>center</wp:align>
              </wp:positionH>
              <wp:positionV relativeFrom="page">
                <wp:align>bottom</wp:align>
              </wp:positionV>
              <wp:extent cx="1714500" cy="342900"/>
              <wp:effectExtent l="0" t="0" r="0" b="0"/>
              <wp:wrapNone/>
              <wp:docPr id="1880760879"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0C89C6FA" w14:textId="1C9FF1FE" w:rsidR="00441A8C" w:rsidRPr="00441A8C" w:rsidRDefault="00441A8C" w:rsidP="00441A8C">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A486A" id="_x0000_t202" coordsize="21600,21600" o:spt="202" path="m,l,21600r21600,l21600,xe">
              <v:stroke joinstyle="miter"/>
              <v:path gradientshapeok="t" o:connecttype="rect"/>
            </v:shapetype>
            <v:shape id="Text Box 1" o:spid="_x0000_s1028"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" filled="f" stroked="f">
              <v:textbox style="mso-fit-shape-to-text:t" inset="0,0,0,15pt">
                <w:txbxContent>
                  <w:p w14:paraId="0C89C6FA" w14:textId="1C9FF1FE" w:rsidR="00441A8C" w:rsidRPr="00441A8C" w:rsidRDefault="00441A8C" w:rsidP="00441A8C">
                    <w:pPr>
                      <w:rPr>
                        <w:rFonts w:ascii="Aptos" w:eastAsia="Aptos" w:hAnsi="Aptos" w:cs="Aptos"/>
                        <w:noProof/>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1C70" w14:textId="77777777" w:rsidR="00506A9E" w:rsidRDefault="00506A9E" w:rsidP="006655D3">
      <w:r>
        <w:separator/>
      </w:r>
    </w:p>
  </w:footnote>
  <w:footnote w:type="continuationSeparator" w:id="0">
    <w:p w14:paraId="5E5B254D" w14:textId="77777777" w:rsidR="00506A9E" w:rsidRDefault="00506A9E" w:rsidP="006655D3">
      <w:r>
        <w:separator/>
      </w:r>
    </w:p>
    <w:p w14:paraId="69B2E871" w14:textId="77777777" w:rsidR="00506A9E" w:rsidRDefault="00506A9E"/>
  </w:footnote>
  <w:footnote w:type="continuationNotice" w:id="1">
    <w:p w14:paraId="0D9B938B" w14:textId="77777777" w:rsidR="00506A9E" w:rsidRPr="00AB530F" w:rsidRDefault="00506A9E" w:rsidP="00AB530F">
      <w:pPr>
        <w:pStyle w:val="Footer"/>
      </w:pPr>
    </w:p>
    <w:p w14:paraId="2477F8CA" w14:textId="77777777" w:rsidR="00506A9E" w:rsidRDefault="00506A9E"/>
  </w:footnote>
  <w:footnote w:id="2">
    <w:p w14:paraId="1DE810F6" w14:textId="4DE7CCD3" w:rsidR="001576C8" w:rsidRDefault="001576C8" w:rsidP="001576C8">
      <w:pPr>
        <w:pStyle w:val="FootnoteText"/>
      </w:pPr>
      <w:r>
        <w:rPr>
          <w:rStyle w:val="FootnoteReference"/>
        </w:rPr>
        <w:footnoteRef/>
      </w:r>
      <w:r>
        <w:t xml:space="preserve"> T</w:t>
      </w:r>
      <w:r w:rsidR="00405700">
        <w:rPr>
          <w:rFonts w:hint="eastAsia"/>
          <w:lang w:eastAsia="ja-JP"/>
        </w:rPr>
        <w:t>C</w:t>
      </w:r>
      <w:r>
        <w:t>, s</w:t>
      </w:r>
      <w:r w:rsidR="00405700">
        <w:rPr>
          <w:rFonts w:hint="eastAsia"/>
          <w:lang w:eastAsia="ja-JP"/>
        </w:rPr>
        <w:t>ixtieth</w:t>
      </w:r>
      <w:r>
        <w:t xml:space="preserve"> session, held </w:t>
      </w:r>
      <w:r w:rsidR="004101A6">
        <w:rPr>
          <w:rFonts w:hint="eastAsia"/>
          <w:lang w:eastAsia="ja-JP"/>
        </w:rPr>
        <w:t>in Geneva</w:t>
      </w:r>
      <w:r>
        <w:t xml:space="preserve">, from </w:t>
      </w:r>
      <w:r w:rsidR="004101A6">
        <w:rPr>
          <w:rFonts w:hint="eastAsia"/>
          <w:lang w:eastAsia="ja-JP"/>
        </w:rPr>
        <w:t>October</w:t>
      </w:r>
      <w:r>
        <w:t xml:space="preserve"> </w:t>
      </w:r>
      <w:r w:rsidR="004101A6">
        <w:rPr>
          <w:rFonts w:hint="eastAsia"/>
          <w:lang w:eastAsia="ja-JP"/>
        </w:rPr>
        <w:t>21</w:t>
      </w:r>
      <w:r>
        <w:t xml:space="preserve"> to </w:t>
      </w:r>
      <w:r w:rsidR="004101A6">
        <w:rPr>
          <w:rFonts w:hint="eastAsia"/>
          <w:lang w:eastAsia="ja-JP"/>
        </w:rPr>
        <w:t>22</w:t>
      </w:r>
      <w:r>
        <w:t>, 2024.</w:t>
      </w:r>
      <w:r w:rsidR="009B03FA">
        <w:t xml:space="preserve"> S</w:t>
      </w:r>
      <w:r w:rsidR="009B03FA">
        <w:rPr>
          <w:rFonts w:hint="eastAsia"/>
          <w:lang w:eastAsia="ja-JP"/>
        </w:rPr>
        <w:t xml:space="preserve">ee document TC/60/8 </w:t>
      </w:r>
      <w:r w:rsidR="009B03FA">
        <w:rPr>
          <w:lang w:eastAsia="ja-JP"/>
        </w:rPr>
        <w:t>“</w:t>
      </w:r>
      <w:r w:rsidR="009B03FA">
        <w:rPr>
          <w:rFonts w:hint="eastAsia"/>
          <w:lang w:eastAsia="ja-JP"/>
        </w:rPr>
        <w:t>Report</w:t>
      </w:r>
      <w:r w:rsidR="009B03FA">
        <w:rPr>
          <w:lang w:eastAsia="ja-JP"/>
        </w:rPr>
        <w:t>”</w:t>
      </w:r>
      <w:r w:rsidR="009B03FA">
        <w:rPr>
          <w:rFonts w:hint="eastAsia"/>
          <w:lang w:eastAsia="ja-JP"/>
        </w:rPr>
        <w:t>, paragraphs 51</w:t>
      </w:r>
    </w:p>
  </w:footnote>
  <w:footnote w:id="3">
    <w:p w14:paraId="2EF65F53" w14:textId="77777777" w:rsidR="00951044" w:rsidRDefault="00951044" w:rsidP="00951044">
      <w:pPr>
        <w:pStyle w:val="FootnoteText"/>
      </w:pPr>
      <w:r>
        <w:rPr>
          <w:rStyle w:val="FootnoteReference"/>
        </w:rPr>
        <w:footnoteRef/>
      </w:r>
      <w:r>
        <w:t xml:space="preserve"> TW</w:t>
      </w:r>
      <w:r>
        <w:rPr>
          <w:rFonts w:hint="eastAsia"/>
          <w:lang w:eastAsia="ja-JP"/>
        </w:rPr>
        <w:t>O</w:t>
      </w:r>
      <w:r>
        <w:t xml:space="preserve">, </w:t>
      </w:r>
      <w:r>
        <w:rPr>
          <w:rFonts w:hint="eastAsia"/>
          <w:lang w:eastAsia="ja-JP"/>
        </w:rPr>
        <w:t>fifty-seventh</w:t>
      </w:r>
      <w:r>
        <w:t xml:space="preserve"> session, held </w:t>
      </w:r>
      <w:r>
        <w:rPr>
          <w:rFonts w:hint="eastAsia"/>
          <w:lang w:eastAsia="ja-JP"/>
        </w:rPr>
        <w:t xml:space="preserve">in </w:t>
      </w:r>
      <w:r w:rsidRPr="00454749">
        <w:rPr>
          <w:lang w:eastAsia="ja-JP"/>
        </w:rPr>
        <w:t>Roelofarendsveen, Kingdom of the Netherlands</w:t>
      </w:r>
      <w:r>
        <w:t xml:space="preserve">, from </w:t>
      </w:r>
      <w:r>
        <w:rPr>
          <w:rFonts w:hint="eastAsia"/>
          <w:lang w:eastAsia="ja-JP"/>
        </w:rPr>
        <w:t>March</w:t>
      </w:r>
      <w:r>
        <w:t xml:space="preserve"> </w:t>
      </w:r>
      <w:r>
        <w:rPr>
          <w:rFonts w:hint="eastAsia"/>
          <w:lang w:eastAsia="ja-JP"/>
        </w:rPr>
        <w:t>31</w:t>
      </w:r>
      <w:r>
        <w:t xml:space="preserve"> to </w:t>
      </w:r>
      <w:r>
        <w:rPr>
          <w:rFonts w:hint="eastAsia"/>
          <w:lang w:eastAsia="ja-JP"/>
        </w:rPr>
        <w:t>April 3</w:t>
      </w:r>
      <w:r>
        <w:t>, 202</w:t>
      </w:r>
      <w:r>
        <w:rPr>
          <w:rFonts w:hint="eastAsia"/>
          <w:lang w:eastAsia="ja-JP"/>
        </w:rPr>
        <w:t>5</w:t>
      </w:r>
      <w:r>
        <w:t>. See document TW</w:t>
      </w:r>
      <w:r>
        <w:rPr>
          <w:rFonts w:hint="eastAsia"/>
          <w:lang w:eastAsia="ja-JP"/>
        </w:rPr>
        <w:t>O</w:t>
      </w:r>
      <w:r>
        <w:t>/</w:t>
      </w:r>
      <w:r>
        <w:rPr>
          <w:rFonts w:hint="eastAsia"/>
          <w:lang w:eastAsia="ja-JP"/>
        </w:rPr>
        <w:t>57</w:t>
      </w:r>
      <w:r>
        <w:t>/</w:t>
      </w:r>
      <w:r>
        <w:rPr>
          <w:rFonts w:hint="eastAsia"/>
          <w:lang w:eastAsia="ja-JP"/>
        </w:rPr>
        <w:t>10</w:t>
      </w:r>
      <w:r>
        <w:t xml:space="preserve"> “Report”, paragraphs </w:t>
      </w:r>
      <w:r>
        <w:rPr>
          <w:rFonts w:hint="eastAsia"/>
          <w:lang w:eastAsia="ja-JP"/>
        </w:rPr>
        <w:t>22</w:t>
      </w:r>
      <w:r>
        <w:t xml:space="preserve"> to </w:t>
      </w:r>
      <w:r>
        <w:rPr>
          <w:rFonts w:hint="eastAsia"/>
          <w:lang w:eastAsia="ja-JP"/>
        </w:rPr>
        <w:t>23</w:t>
      </w:r>
      <w:r>
        <w:t>.</w:t>
      </w:r>
    </w:p>
  </w:footnote>
  <w:footnote w:id="4">
    <w:p w14:paraId="302941B0" w14:textId="77777777" w:rsidR="007E36E5" w:rsidRDefault="007E36E5" w:rsidP="007E36E5">
      <w:pPr>
        <w:pStyle w:val="FootnoteText"/>
      </w:pPr>
      <w:r>
        <w:rPr>
          <w:rStyle w:val="FootnoteReference"/>
        </w:rPr>
        <w:footnoteRef/>
      </w:r>
      <w:r>
        <w:t xml:space="preserve"> </w:t>
      </w:r>
      <w:r w:rsidRPr="008A52E0">
        <w:rPr>
          <w:spacing w:val="-2"/>
        </w:rPr>
        <w:t>TW</w:t>
      </w:r>
      <w:r>
        <w:rPr>
          <w:rFonts w:hint="eastAsia"/>
          <w:spacing w:val="-2"/>
          <w:lang w:eastAsia="ja-JP"/>
        </w:rPr>
        <w:t>M</w:t>
      </w:r>
      <w:r w:rsidRPr="008A52E0">
        <w:rPr>
          <w:spacing w:val="-2"/>
        </w:rPr>
        <w:t xml:space="preserve">, </w:t>
      </w:r>
      <w:r>
        <w:rPr>
          <w:rFonts w:hint="eastAsia"/>
          <w:spacing w:val="-2"/>
          <w:lang w:eastAsia="ja-JP"/>
        </w:rPr>
        <w:t>third</w:t>
      </w:r>
      <w:r w:rsidRPr="008A52E0">
        <w:rPr>
          <w:spacing w:val="-2"/>
        </w:rPr>
        <w:t xml:space="preserve"> session, held </w:t>
      </w:r>
      <w:r>
        <w:rPr>
          <w:rFonts w:hint="eastAsia"/>
          <w:spacing w:val="-2"/>
          <w:lang w:eastAsia="ja-JP"/>
        </w:rPr>
        <w:t>in Beijing, China</w:t>
      </w:r>
      <w:r w:rsidRPr="008A52E0">
        <w:rPr>
          <w:spacing w:val="-2"/>
        </w:rPr>
        <w:t>, from April 2</w:t>
      </w:r>
      <w:r>
        <w:rPr>
          <w:rFonts w:hint="eastAsia"/>
          <w:spacing w:val="-2"/>
          <w:lang w:eastAsia="ja-JP"/>
        </w:rPr>
        <w:t>8</w:t>
      </w:r>
      <w:r w:rsidRPr="008A52E0">
        <w:rPr>
          <w:spacing w:val="-2"/>
        </w:rPr>
        <w:t xml:space="preserve"> to </w:t>
      </w:r>
      <w:r>
        <w:rPr>
          <w:rFonts w:hint="eastAsia"/>
          <w:spacing w:val="-2"/>
          <w:lang w:eastAsia="ja-JP"/>
        </w:rPr>
        <w:t>May 1</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M</w:t>
      </w:r>
      <w:r w:rsidRPr="008A52E0">
        <w:rPr>
          <w:spacing w:val="-2"/>
        </w:rPr>
        <w:t>/</w:t>
      </w:r>
      <w:r>
        <w:rPr>
          <w:rFonts w:hint="eastAsia"/>
          <w:spacing w:val="-2"/>
          <w:lang w:eastAsia="ja-JP"/>
        </w:rPr>
        <w:t>3</w:t>
      </w:r>
      <w:r w:rsidRPr="008A52E0">
        <w:rPr>
          <w:spacing w:val="-2"/>
        </w:rPr>
        <w:t>/</w:t>
      </w:r>
      <w:r>
        <w:rPr>
          <w:rFonts w:hint="eastAsia"/>
          <w:spacing w:val="-2"/>
          <w:lang w:eastAsia="ja-JP"/>
        </w:rPr>
        <w:t>29</w:t>
      </w:r>
      <w:r w:rsidRPr="008A52E0">
        <w:rPr>
          <w:spacing w:val="-2"/>
        </w:rPr>
        <w:t xml:space="preserve"> “Report”, paragraphs </w:t>
      </w:r>
      <w:r>
        <w:rPr>
          <w:rFonts w:hint="eastAsia"/>
          <w:spacing w:val="-2"/>
          <w:lang w:eastAsia="ja-JP"/>
        </w:rPr>
        <w:t>29</w:t>
      </w:r>
      <w:r w:rsidRPr="008A52E0">
        <w:rPr>
          <w:spacing w:val="-2"/>
        </w:rPr>
        <w:t xml:space="preserve"> to</w:t>
      </w:r>
      <w:r>
        <w:rPr>
          <w:rFonts w:hint="eastAsia"/>
          <w:spacing w:val="-2"/>
          <w:lang w:eastAsia="ja-JP"/>
        </w:rPr>
        <w:t xml:space="preserve"> 31</w:t>
      </w:r>
      <w:r w:rsidRPr="008A52E0">
        <w:rPr>
          <w:spacing w:val="-2"/>
        </w:rPr>
        <w:t>.</w:t>
      </w:r>
    </w:p>
  </w:footnote>
  <w:footnote w:id="5">
    <w:p w14:paraId="70F0AF2C" w14:textId="77777777" w:rsidR="00E95E7F" w:rsidRDefault="00E95E7F" w:rsidP="00E95E7F">
      <w:pPr>
        <w:pStyle w:val="FootnoteText"/>
      </w:pPr>
      <w:r>
        <w:rPr>
          <w:rStyle w:val="FootnoteReference"/>
        </w:rPr>
        <w:footnoteRef/>
      </w:r>
      <w:r>
        <w:t xml:space="preserve"> </w:t>
      </w:r>
      <w:r w:rsidRPr="008A52E0">
        <w:rPr>
          <w:spacing w:val="-2"/>
        </w:rPr>
        <w:t>TW</w:t>
      </w:r>
      <w:r>
        <w:rPr>
          <w:rFonts w:hint="eastAsia"/>
          <w:spacing w:val="-2"/>
          <w:lang w:eastAsia="ja-JP"/>
        </w:rPr>
        <w:t>V</w:t>
      </w:r>
      <w:r w:rsidRPr="008A52E0">
        <w:rPr>
          <w:spacing w:val="-2"/>
        </w:rPr>
        <w:t xml:space="preserve">, </w:t>
      </w:r>
      <w:r>
        <w:rPr>
          <w:rFonts w:hint="eastAsia"/>
          <w:spacing w:val="-2"/>
          <w:lang w:eastAsia="ja-JP"/>
        </w:rPr>
        <w:t>fifty-ninth</w:t>
      </w:r>
      <w:r w:rsidRPr="008A52E0">
        <w:rPr>
          <w:spacing w:val="-2"/>
        </w:rPr>
        <w:t xml:space="preserve"> session, held </w:t>
      </w:r>
      <w:r>
        <w:rPr>
          <w:rFonts w:hint="eastAsia"/>
          <w:spacing w:val="-2"/>
          <w:lang w:eastAsia="ja-JP"/>
        </w:rPr>
        <w:t>via electronic means</w:t>
      </w:r>
      <w:r w:rsidRPr="008A52E0">
        <w:rPr>
          <w:spacing w:val="-2"/>
        </w:rPr>
        <w:t xml:space="preserve">, from </w:t>
      </w:r>
      <w:r>
        <w:rPr>
          <w:rFonts w:hint="eastAsia"/>
          <w:spacing w:val="-2"/>
          <w:lang w:eastAsia="ja-JP"/>
        </w:rPr>
        <w:t>May</w:t>
      </w:r>
      <w:r w:rsidRPr="008A52E0">
        <w:rPr>
          <w:spacing w:val="-2"/>
        </w:rPr>
        <w:t xml:space="preserve"> </w:t>
      </w:r>
      <w:r>
        <w:rPr>
          <w:rFonts w:hint="eastAsia"/>
          <w:spacing w:val="-2"/>
          <w:lang w:eastAsia="ja-JP"/>
        </w:rPr>
        <w:t>5</w:t>
      </w:r>
      <w:r w:rsidRPr="008A52E0">
        <w:rPr>
          <w:spacing w:val="-2"/>
        </w:rPr>
        <w:t xml:space="preserve"> to </w:t>
      </w:r>
      <w:r>
        <w:rPr>
          <w:rFonts w:hint="eastAsia"/>
          <w:spacing w:val="-2"/>
          <w:lang w:eastAsia="ja-JP"/>
        </w:rPr>
        <w:t>8</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V</w:t>
      </w:r>
      <w:r w:rsidRPr="008A52E0">
        <w:rPr>
          <w:spacing w:val="-2"/>
        </w:rPr>
        <w:t>/</w:t>
      </w:r>
      <w:r>
        <w:rPr>
          <w:rFonts w:hint="eastAsia"/>
          <w:spacing w:val="-2"/>
          <w:lang w:eastAsia="ja-JP"/>
        </w:rPr>
        <w:t>59</w:t>
      </w:r>
      <w:r w:rsidRPr="008A52E0">
        <w:rPr>
          <w:spacing w:val="-2"/>
        </w:rPr>
        <w:t>/1</w:t>
      </w:r>
      <w:r>
        <w:rPr>
          <w:rFonts w:hint="eastAsia"/>
          <w:spacing w:val="-2"/>
          <w:lang w:eastAsia="ja-JP"/>
        </w:rPr>
        <w:t>9</w:t>
      </w:r>
      <w:r w:rsidRPr="008A52E0">
        <w:rPr>
          <w:spacing w:val="-2"/>
        </w:rPr>
        <w:t xml:space="preserve"> “Report”, paragraphs </w:t>
      </w:r>
      <w:r>
        <w:rPr>
          <w:rFonts w:hint="eastAsia"/>
          <w:spacing w:val="-2"/>
          <w:lang w:eastAsia="ja-JP"/>
        </w:rPr>
        <w:t>25</w:t>
      </w:r>
      <w:r w:rsidRPr="008A52E0">
        <w:rPr>
          <w:spacing w:val="-2"/>
        </w:rPr>
        <w:t xml:space="preserve"> to</w:t>
      </w:r>
      <w:r>
        <w:rPr>
          <w:rFonts w:hint="eastAsia"/>
          <w:spacing w:val="-2"/>
          <w:lang w:eastAsia="ja-JP"/>
        </w:rPr>
        <w:t xml:space="preserve"> 26</w:t>
      </w:r>
      <w:r w:rsidRPr="008A52E0">
        <w:rPr>
          <w:spacing w:val="-2"/>
        </w:rPr>
        <w:t>.</w:t>
      </w:r>
    </w:p>
  </w:footnote>
  <w:footnote w:id="6">
    <w:p w14:paraId="509C3AE5" w14:textId="77777777" w:rsidR="00E95E7F" w:rsidRDefault="00E95E7F" w:rsidP="00E95E7F">
      <w:pPr>
        <w:pStyle w:val="FootnoteText"/>
      </w:pPr>
      <w:r>
        <w:rPr>
          <w:rStyle w:val="FootnoteReference"/>
        </w:rPr>
        <w:footnoteRef/>
      </w:r>
      <w:r>
        <w:t xml:space="preserve"> </w:t>
      </w:r>
      <w:r w:rsidRPr="008A52E0">
        <w:rPr>
          <w:spacing w:val="-2"/>
        </w:rPr>
        <w:t>TW</w:t>
      </w:r>
      <w:r>
        <w:rPr>
          <w:rFonts w:hint="eastAsia"/>
          <w:spacing w:val="-2"/>
          <w:lang w:eastAsia="ja-JP"/>
        </w:rPr>
        <w:t>A</w:t>
      </w:r>
      <w:r w:rsidRPr="008A52E0">
        <w:rPr>
          <w:spacing w:val="-2"/>
        </w:rPr>
        <w:t xml:space="preserve">, </w:t>
      </w:r>
      <w:r>
        <w:rPr>
          <w:rFonts w:hint="eastAsia"/>
          <w:spacing w:val="-2"/>
          <w:lang w:eastAsia="ja-JP"/>
        </w:rPr>
        <w:t>fifty-fourth</w:t>
      </w:r>
      <w:r w:rsidRPr="008A52E0">
        <w:rPr>
          <w:spacing w:val="-2"/>
        </w:rPr>
        <w:t xml:space="preserve"> session, held </w:t>
      </w:r>
      <w:r>
        <w:rPr>
          <w:rFonts w:hint="eastAsia"/>
          <w:spacing w:val="-2"/>
          <w:lang w:eastAsia="ja-JP"/>
        </w:rPr>
        <w:t>Arusha, United Republic of Tanzania,</w:t>
      </w:r>
      <w:r w:rsidRPr="008A52E0">
        <w:rPr>
          <w:spacing w:val="-2"/>
        </w:rPr>
        <w:t xml:space="preserve"> from </w:t>
      </w:r>
      <w:r>
        <w:rPr>
          <w:rFonts w:hint="eastAsia"/>
          <w:spacing w:val="-2"/>
          <w:lang w:eastAsia="ja-JP"/>
        </w:rPr>
        <w:t>May</w:t>
      </w:r>
      <w:r w:rsidRPr="008A52E0">
        <w:rPr>
          <w:spacing w:val="-2"/>
        </w:rPr>
        <w:t xml:space="preserve"> </w:t>
      </w:r>
      <w:r>
        <w:rPr>
          <w:rFonts w:hint="eastAsia"/>
          <w:spacing w:val="-2"/>
          <w:lang w:eastAsia="ja-JP"/>
        </w:rPr>
        <w:t>19</w:t>
      </w:r>
      <w:r w:rsidRPr="008A52E0">
        <w:rPr>
          <w:spacing w:val="-2"/>
        </w:rPr>
        <w:t xml:space="preserve"> to </w:t>
      </w:r>
      <w:r>
        <w:rPr>
          <w:rFonts w:hint="eastAsia"/>
          <w:spacing w:val="-2"/>
          <w:lang w:eastAsia="ja-JP"/>
        </w:rPr>
        <w:t>22</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A</w:t>
      </w:r>
      <w:r w:rsidRPr="008A52E0">
        <w:rPr>
          <w:spacing w:val="-2"/>
        </w:rPr>
        <w:t>/</w:t>
      </w:r>
      <w:r>
        <w:rPr>
          <w:rFonts w:hint="eastAsia"/>
          <w:spacing w:val="-2"/>
          <w:lang w:eastAsia="ja-JP"/>
        </w:rPr>
        <w:t>54</w:t>
      </w:r>
      <w:r w:rsidRPr="008A52E0">
        <w:rPr>
          <w:spacing w:val="-2"/>
        </w:rPr>
        <w:t>/</w:t>
      </w:r>
      <w:r>
        <w:rPr>
          <w:rFonts w:hint="eastAsia"/>
          <w:spacing w:val="-2"/>
          <w:lang w:eastAsia="ja-JP"/>
        </w:rPr>
        <w:t>7</w:t>
      </w:r>
      <w:r w:rsidRPr="008A52E0">
        <w:rPr>
          <w:spacing w:val="-2"/>
        </w:rPr>
        <w:t xml:space="preserve"> “Report”, paragraphs </w:t>
      </w:r>
      <w:r w:rsidRPr="00CB2690">
        <w:rPr>
          <w:rFonts w:hint="eastAsia"/>
          <w:spacing w:val="-2"/>
          <w:lang w:eastAsia="ja-JP"/>
        </w:rPr>
        <w:t>13</w:t>
      </w:r>
      <w:r w:rsidRPr="00CB2690">
        <w:rPr>
          <w:spacing w:val="-2"/>
        </w:rPr>
        <w:t xml:space="preserve"> to</w:t>
      </w:r>
      <w:r w:rsidRPr="00CB2690">
        <w:rPr>
          <w:rFonts w:hint="eastAsia"/>
          <w:spacing w:val="-2"/>
          <w:lang w:eastAsia="ja-JP"/>
        </w:rPr>
        <w:t xml:space="preserve"> </w:t>
      </w:r>
      <w:r>
        <w:rPr>
          <w:rFonts w:hint="eastAsia"/>
          <w:spacing w:val="-2"/>
          <w:lang w:eastAsia="ja-JP"/>
        </w:rPr>
        <w:t>16</w:t>
      </w:r>
      <w:r w:rsidRPr="008A52E0">
        <w:rPr>
          <w:spacing w:val="-2"/>
        </w:rPr>
        <w:t>.</w:t>
      </w:r>
    </w:p>
  </w:footnote>
  <w:footnote w:id="7">
    <w:p w14:paraId="1451F2EC" w14:textId="77777777" w:rsidR="006E2D2D" w:rsidRDefault="006E2D2D" w:rsidP="006E2D2D">
      <w:pPr>
        <w:pStyle w:val="FootnoteText"/>
      </w:pPr>
      <w:r>
        <w:rPr>
          <w:rStyle w:val="FootnoteReference"/>
        </w:rPr>
        <w:footnoteRef/>
      </w:r>
      <w:r>
        <w:t xml:space="preserve"> </w:t>
      </w:r>
      <w:r w:rsidRPr="008A52E0">
        <w:rPr>
          <w:spacing w:val="-2"/>
        </w:rPr>
        <w:t>TW</w:t>
      </w:r>
      <w:r>
        <w:rPr>
          <w:rFonts w:hint="eastAsia"/>
          <w:spacing w:val="-2"/>
          <w:lang w:eastAsia="ja-JP"/>
        </w:rPr>
        <w:t>F</w:t>
      </w:r>
      <w:r w:rsidRPr="008A52E0">
        <w:rPr>
          <w:spacing w:val="-2"/>
        </w:rPr>
        <w:t xml:space="preserve">, </w:t>
      </w:r>
      <w:r>
        <w:rPr>
          <w:rFonts w:hint="eastAsia"/>
          <w:spacing w:val="-2"/>
          <w:lang w:eastAsia="ja-JP"/>
        </w:rPr>
        <w:t>fifty-sixth</w:t>
      </w:r>
      <w:r w:rsidRPr="008A52E0">
        <w:rPr>
          <w:spacing w:val="-2"/>
        </w:rPr>
        <w:t xml:space="preserve"> session, held </w:t>
      </w:r>
      <w:r w:rsidRPr="00E45EAC">
        <w:rPr>
          <w:spacing w:val="-2"/>
        </w:rPr>
        <w:t>Bursa, Türkiye</w:t>
      </w:r>
      <w:r>
        <w:rPr>
          <w:rFonts w:hint="eastAsia"/>
          <w:spacing w:val="-2"/>
          <w:lang w:eastAsia="ja-JP"/>
        </w:rPr>
        <w:t>,</w:t>
      </w:r>
      <w:r w:rsidRPr="008A52E0">
        <w:rPr>
          <w:spacing w:val="-2"/>
        </w:rPr>
        <w:t xml:space="preserve"> from </w:t>
      </w:r>
      <w:r>
        <w:rPr>
          <w:rFonts w:hint="eastAsia"/>
          <w:spacing w:val="-2"/>
          <w:lang w:eastAsia="ja-JP"/>
        </w:rPr>
        <w:t>June</w:t>
      </w:r>
      <w:r w:rsidRPr="008A52E0">
        <w:rPr>
          <w:spacing w:val="-2"/>
        </w:rPr>
        <w:t xml:space="preserve"> </w:t>
      </w:r>
      <w:r>
        <w:rPr>
          <w:rFonts w:hint="eastAsia"/>
          <w:spacing w:val="-2"/>
          <w:lang w:eastAsia="ja-JP"/>
        </w:rPr>
        <w:t>23</w:t>
      </w:r>
      <w:r w:rsidRPr="008A52E0">
        <w:rPr>
          <w:spacing w:val="-2"/>
        </w:rPr>
        <w:t xml:space="preserve"> to </w:t>
      </w:r>
      <w:r>
        <w:rPr>
          <w:rFonts w:hint="eastAsia"/>
          <w:spacing w:val="-2"/>
          <w:lang w:eastAsia="ja-JP"/>
        </w:rPr>
        <w:t>26</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F</w:t>
      </w:r>
      <w:r w:rsidRPr="008A52E0">
        <w:rPr>
          <w:spacing w:val="-2"/>
        </w:rPr>
        <w:t>/</w:t>
      </w:r>
      <w:r>
        <w:rPr>
          <w:rFonts w:hint="eastAsia"/>
          <w:spacing w:val="-2"/>
          <w:lang w:eastAsia="ja-JP"/>
        </w:rPr>
        <w:t>56</w:t>
      </w:r>
      <w:r w:rsidRPr="008A52E0">
        <w:rPr>
          <w:spacing w:val="-2"/>
        </w:rPr>
        <w:t>/</w:t>
      </w:r>
      <w:r>
        <w:rPr>
          <w:rFonts w:hint="eastAsia"/>
          <w:spacing w:val="-2"/>
          <w:lang w:eastAsia="ja-JP"/>
        </w:rPr>
        <w:t>7</w:t>
      </w:r>
      <w:r w:rsidRPr="008A52E0">
        <w:rPr>
          <w:spacing w:val="-2"/>
        </w:rPr>
        <w:t xml:space="preserve"> “Report”, </w:t>
      </w:r>
      <w:r w:rsidRPr="00B52114">
        <w:rPr>
          <w:spacing w:val="-2"/>
        </w:rPr>
        <w:t xml:space="preserve">paragraphs </w:t>
      </w:r>
      <w:r w:rsidRPr="00B52114">
        <w:rPr>
          <w:rFonts w:hint="eastAsia"/>
          <w:spacing w:val="-2"/>
          <w:lang w:eastAsia="ja-JP"/>
        </w:rPr>
        <w:t>32</w:t>
      </w:r>
      <w:r w:rsidRPr="00B52114">
        <w:rPr>
          <w:spacing w:val="-2"/>
        </w:rPr>
        <w:t xml:space="preserve"> to</w:t>
      </w:r>
      <w:r w:rsidRPr="00B52114">
        <w:rPr>
          <w:rFonts w:hint="eastAsia"/>
          <w:spacing w:val="-2"/>
          <w:lang w:eastAsia="ja-JP"/>
        </w:rPr>
        <w:t xml:space="preserve"> 36</w:t>
      </w:r>
      <w:r w:rsidRPr="008A52E0">
        <w:rPr>
          <w:spacing w:val="-2"/>
        </w:rPr>
        <w:t>.</w:t>
      </w:r>
    </w:p>
  </w:footnote>
  <w:footnote w:id="8">
    <w:p w14:paraId="588E3C4C" w14:textId="4DB9C7B3" w:rsidR="002A29A3" w:rsidRPr="00A96C63" w:rsidRDefault="002A29A3" w:rsidP="002A29A3">
      <w:pPr>
        <w:pStyle w:val="FootnoteText"/>
      </w:pPr>
      <w:r w:rsidRPr="00A96C63">
        <w:rPr>
          <w:rStyle w:val="FootnoteReference"/>
        </w:rPr>
        <w:footnoteRef/>
      </w:r>
      <w:r w:rsidRPr="00A96C63">
        <w:t xml:space="preserve"> </w:t>
      </w:r>
      <w:r>
        <w:t>TC, fifty-eighth session, h</w:t>
      </w:r>
      <w:r w:rsidRPr="00A96C63">
        <w:t xml:space="preserve">eld in Geneva, on October 24 </w:t>
      </w:r>
      <w:r>
        <w:rPr>
          <w:rFonts w:hint="eastAsia"/>
          <w:lang w:eastAsia="ja-JP"/>
        </w:rPr>
        <w:t>to</w:t>
      </w:r>
      <w:r w:rsidRPr="00A96C63">
        <w:t xml:space="preserve"> 25, 2022</w:t>
      </w:r>
      <w:r>
        <w:t>. S</w:t>
      </w:r>
      <w:r w:rsidRPr="00F07B06">
        <w:t>ee document TC/58/31 “Report”, paragraphs 48 to 50</w:t>
      </w:r>
    </w:p>
  </w:footnote>
  <w:footnote w:id="9">
    <w:p w14:paraId="7A5B00BB" w14:textId="77777777" w:rsidR="00CE1599" w:rsidRPr="00A96C63" w:rsidRDefault="00CE1599" w:rsidP="00CE1599">
      <w:pPr>
        <w:pStyle w:val="FootnoteText"/>
      </w:pPr>
      <w:r w:rsidRPr="00A96C63">
        <w:rPr>
          <w:rStyle w:val="FootnoteReference"/>
        </w:rPr>
        <w:footnoteRef/>
      </w:r>
      <w:r w:rsidRPr="00A96C63">
        <w:t xml:space="preserve"> </w:t>
      </w:r>
      <w:r>
        <w:t>TC, fifty-ninth session, h</w:t>
      </w:r>
      <w:r w:rsidRPr="00A96C63">
        <w:t>eld in Geneva, on October 2</w:t>
      </w:r>
      <w:r>
        <w:t>3</w:t>
      </w:r>
      <w:r w:rsidRPr="00A96C63">
        <w:t xml:space="preserve"> </w:t>
      </w:r>
      <w:r>
        <w:rPr>
          <w:rFonts w:hint="eastAsia"/>
          <w:lang w:eastAsia="ja-JP"/>
        </w:rPr>
        <w:t>to</w:t>
      </w:r>
      <w:r w:rsidRPr="00A96C63">
        <w:t xml:space="preserve"> 2</w:t>
      </w:r>
      <w:r>
        <w:t>4</w:t>
      </w:r>
      <w:r w:rsidRPr="00A96C63">
        <w:t>, 202</w:t>
      </w:r>
      <w:r>
        <w:t>3.</w:t>
      </w:r>
    </w:p>
  </w:footnote>
  <w:footnote w:id="10">
    <w:p w14:paraId="1E5F073A" w14:textId="77777777" w:rsidR="002D2C7C" w:rsidRPr="00A96C63" w:rsidRDefault="002D2C7C" w:rsidP="002D2C7C">
      <w:pPr>
        <w:pStyle w:val="FootnoteText"/>
      </w:pPr>
      <w:r w:rsidRPr="00A96C63">
        <w:rPr>
          <w:rStyle w:val="FootnoteReference"/>
        </w:rPr>
        <w:footnoteRef/>
      </w:r>
      <w:r w:rsidRPr="00A96C63">
        <w:t xml:space="preserve"> </w:t>
      </w:r>
      <w:r>
        <w:t xml:space="preserve">TC, </w:t>
      </w:r>
      <w:r>
        <w:rPr>
          <w:rFonts w:hint="eastAsia"/>
          <w:lang w:eastAsia="ja-JP"/>
        </w:rPr>
        <w:t>sixtieth</w:t>
      </w:r>
      <w:r>
        <w:t xml:space="preserve"> session, h</w:t>
      </w:r>
      <w:r w:rsidRPr="00A96C63">
        <w:t>eld in Geneva, on October 2</w:t>
      </w:r>
      <w:r>
        <w:rPr>
          <w:rFonts w:hint="eastAsia"/>
          <w:lang w:eastAsia="ja-JP"/>
        </w:rPr>
        <w:t>1</w:t>
      </w:r>
      <w:r w:rsidRPr="00A96C63">
        <w:t xml:space="preserve"> </w:t>
      </w:r>
      <w:r>
        <w:rPr>
          <w:rFonts w:hint="eastAsia"/>
          <w:lang w:eastAsia="ja-JP"/>
        </w:rPr>
        <w:t>to</w:t>
      </w:r>
      <w:r w:rsidRPr="00A96C63">
        <w:t xml:space="preserve"> 2</w:t>
      </w:r>
      <w:r>
        <w:rPr>
          <w:rFonts w:hint="eastAsia"/>
          <w:lang w:eastAsia="ja-JP"/>
        </w:rPr>
        <w:t>2</w:t>
      </w:r>
      <w:r w:rsidRPr="00A96C63">
        <w:t>, 202</w:t>
      </w:r>
      <w:r>
        <w:rPr>
          <w:rFonts w:hint="eastAsia"/>
          <w:lang w:eastAsia="ja-JP"/>
        </w:rPr>
        <w:t>4</w:t>
      </w:r>
      <w:r>
        <w:t>.</w:t>
      </w:r>
    </w:p>
  </w:footnote>
  <w:footnote w:id="11">
    <w:p w14:paraId="6BDF8AF5" w14:textId="5F5DE29B" w:rsidR="00C161BF" w:rsidRDefault="00C161BF" w:rsidP="00C161BF">
      <w:pPr>
        <w:pStyle w:val="FootnoteText"/>
      </w:pPr>
      <w:r>
        <w:rPr>
          <w:rStyle w:val="FootnoteReference"/>
        </w:rPr>
        <w:footnoteRef/>
      </w:r>
      <w:r>
        <w:t xml:space="preserve"> TW</w:t>
      </w:r>
      <w:r>
        <w:rPr>
          <w:rFonts w:hint="eastAsia"/>
          <w:lang w:eastAsia="ja-JP"/>
        </w:rPr>
        <w:t>O</w:t>
      </w:r>
      <w:r>
        <w:t xml:space="preserve">, </w:t>
      </w:r>
      <w:r>
        <w:rPr>
          <w:rFonts w:hint="eastAsia"/>
          <w:lang w:eastAsia="ja-JP"/>
        </w:rPr>
        <w:t>fifty-seventh</w:t>
      </w:r>
      <w:r>
        <w:t xml:space="preserve"> session, held </w:t>
      </w:r>
      <w:r>
        <w:rPr>
          <w:rFonts w:hint="eastAsia"/>
          <w:lang w:eastAsia="ja-JP"/>
        </w:rPr>
        <w:t xml:space="preserve">in </w:t>
      </w:r>
      <w:r w:rsidRPr="00454749">
        <w:rPr>
          <w:lang w:eastAsia="ja-JP"/>
        </w:rPr>
        <w:t>Roelofarendsveen, Kingdom of the Netherlands</w:t>
      </w:r>
      <w:r>
        <w:t xml:space="preserve">, from </w:t>
      </w:r>
      <w:r>
        <w:rPr>
          <w:rFonts w:hint="eastAsia"/>
          <w:lang w:eastAsia="ja-JP"/>
        </w:rPr>
        <w:t>March</w:t>
      </w:r>
      <w:r>
        <w:t xml:space="preserve"> </w:t>
      </w:r>
      <w:r>
        <w:rPr>
          <w:rFonts w:hint="eastAsia"/>
          <w:lang w:eastAsia="ja-JP"/>
        </w:rPr>
        <w:t>31</w:t>
      </w:r>
      <w:r>
        <w:t xml:space="preserve"> to </w:t>
      </w:r>
      <w:r>
        <w:rPr>
          <w:rFonts w:hint="eastAsia"/>
          <w:lang w:eastAsia="ja-JP"/>
        </w:rPr>
        <w:t>April 3</w:t>
      </w:r>
      <w:r>
        <w:t>, 202</w:t>
      </w:r>
      <w:r>
        <w:rPr>
          <w:rFonts w:hint="eastAsia"/>
          <w:lang w:eastAsia="ja-JP"/>
        </w:rPr>
        <w:t>5</w:t>
      </w:r>
      <w:r>
        <w:t>. See document TW</w:t>
      </w:r>
      <w:r>
        <w:rPr>
          <w:rFonts w:hint="eastAsia"/>
          <w:lang w:eastAsia="ja-JP"/>
        </w:rPr>
        <w:t>O</w:t>
      </w:r>
      <w:r>
        <w:t>/</w:t>
      </w:r>
      <w:r>
        <w:rPr>
          <w:rFonts w:hint="eastAsia"/>
          <w:lang w:eastAsia="ja-JP"/>
        </w:rPr>
        <w:t>57</w:t>
      </w:r>
      <w:r>
        <w:t>/</w:t>
      </w:r>
      <w:r>
        <w:rPr>
          <w:rFonts w:hint="eastAsia"/>
          <w:lang w:eastAsia="ja-JP"/>
        </w:rPr>
        <w:t>10</w:t>
      </w:r>
      <w:r>
        <w:t xml:space="preserve"> “Report”, paragraphs </w:t>
      </w:r>
      <w:r>
        <w:rPr>
          <w:rFonts w:hint="eastAsia"/>
          <w:lang w:eastAsia="ja-JP"/>
        </w:rPr>
        <w:t>2</w:t>
      </w:r>
      <w:r w:rsidR="00F03F6E">
        <w:rPr>
          <w:rFonts w:hint="eastAsia"/>
          <w:lang w:eastAsia="ja-JP"/>
        </w:rPr>
        <w:t>4</w:t>
      </w:r>
      <w:r>
        <w:t xml:space="preserve"> to </w:t>
      </w:r>
      <w:r>
        <w:rPr>
          <w:rFonts w:hint="eastAsia"/>
          <w:lang w:eastAsia="ja-JP"/>
        </w:rPr>
        <w:t>2</w:t>
      </w:r>
      <w:r w:rsidR="00F03F6E">
        <w:rPr>
          <w:rFonts w:hint="eastAsia"/>
          <w:lang w:eastAsia="ja-JP"/>
        </w:rPr>
        <w:t>7</w:t>
      </w:r>
      <w:r>
        <w:t>.</w:t>
      </w:r>
    </w:p>
  </w:footnote>
  <w:footnote w:id="12">
    <w:p w14:paraId="0AAEB1AB" w14:textId="3BF69E95" w:rsidR="00A655A8" w:rsidRDefault="00A655A8" w:rsidP="008A52E0">
      <w:pPr>
        <w:pStyle w:val="FootnoteText"/>
      </w:pPr>
      <w:r>
        <w:rPr>
          <w:rStyle w:val="FootnoteReference"/>
        </w:rPr>
        <w:footnoteRef/>
      </w:r>
      <w:r>
        <w:t xml:space="preserve"> </w:t>
      </w:r>
      <w:bookmarkStart w:id="20" w:name="_Hlk198887361"/>
      <w:r>
        <w:t xml:space="preserve">TWM, </w:t>
      </w:r>
      <w:r w:rsidR="00173C8F" w:rsidRPr="00173C8F">
        <w:rPr>
          <w:lang w:eastAsia="ja-JP"/>
        </w:rPr>
        <w:t>third session, held in Beijing, China, from April 28 to May 1, 2025. See document TWM/3/</w:t>
      </w:r>
      <w:r w:rsidR="000320D1">
        <w:rPr>
          <w:rFonts w:hint="eastAsia"/>
          <w:lang w:eastAsia="ja-JP"/>
        </w:rPr>
        <w:t>29</w:t>
      </w:r>
      <w:r w:rsidR="00173C8F" w:rsidRPr="00173C8F">
        <w:rPr>
          <w:lang w:eastAsia="ja-JP"/>
        </w:rPr>
        <w:t xml:space="preserve"> “Report”, paragraphs </w:t>
      </w:r>
      <w:r w:rsidR="00173C8F">
        <w:rPr>
          <w:rFonts w:hint="eastAsia"/>
          <w:lang w:eastAsia="ja-JP"/>
        </w:rPr>
        <w:t>63</w:t>
      </w:r>
      <w:r w:rsidR="00173C8F" w:rsidRPr="00173C8F">
        <w:rPr>
          <w:lang w:eastAsia="ja-JP"/>
        </w:rPr>
        <w:t xml:space="preserve"> to </w:t>
      </w:r>
      <w:r w:rsidR="000320D1">
        <w:rPr>
          <w:rFonts w:hint="eastAsia"/>
          <w:lang w:eastAsia="ja-JP"/>
        </w:rPr>
        <w:t>64</w:t>
      </w:r>
      <w:r w:rsidR="00825360">
        <w:t>.</w:t>
      </w:r>
      <w:bookmarkEnd w:id="20"/>
    </w:p>
  </w:footnote>
  <w:footnote w:id="13">
    <w:p w14:paraId="5DB9BB8B" w14:textId="47D4CBDD" w:rsidR="003F18BE" w:rsidRDefault="003F18BE" w:rsidP="003F18BE">
      <w:pPr>
        <w:pStyle w:val="FootnoteText"/>
      </w:pPr>
      <w:r>
        <w:rPr>
          <w:rStyle w:val="FootnoteReference"/>
        </w:rPr>
        <w:footnoteRef/>
      </w:r>
      <w:r>
        <w:t xml:space="preserve"> </w:t>
      </w:r>
      <w:r w:rsidRPr="008A52E0">
        <w:rPr>
          <w:spacing w:val="-2"/>
        </w:rPr>
        <w:t>TW</w:t>
      </w:r>
      <w:r>
        <w:rPr>
          <w:rFonts w:hint="eastAsia"/>
          <w:spacing w:val="-2"/>
          <w:lang w:eastAsia="ja-JP"/>
        </w:rPr>
        <w:t>V</w:t>
      </w:r>
      <w:r w:rsidRPr="008A52E0">
        <w:rPr>
          <w:spacing w:val="-2"/>
        </w:rPr>
        <w:t xml:space="preserve">, </w:t>
      </w:r>
      <w:r>
        <w:rPr>
          <w:rFonts w:hint="eastAsia"/>
          <w:spacing w:val="-2"/>
          <w:lang w:eastAsia="ja-JP"/>
        </w:rPr>
        <w:t>fifty-ninth</w:t>
      </w:r>
      <w:r w:rsidRPr="008A52E0">
        <w:rPr>
          <w:spacing w:val="-2"/>
        </w:rPr>
        <w:t xml:space="preserve"> session, held </w:t>
      </w:r>
      <w:r>
        <w:rPr>
          <w:rFonts w:hint="eastAsia"/>
          <w:spacing w:val="-2"/>
          <w:lang w:eastAsia="ja-JP"/>
        </w:rPr>
        <w:t>via electronic means</w:t>
      </w:r>
      <w:r w:rsidRPr="008A52E0">
        <w:rPr>
          <w:spacing w:val="-2"/>
        </w:rPr>
        <w:t xml:space="preserve">, from </w:t>
      </w:r>
      <w:r>
        <w:rPr>
          <w:rFonts w:hint="eastAsia"/>
          <w:spacing w:val="-2"/>
          <w:lang w:eastAsia="ja-JP"/>
        </w:rPr>
        <w:t>May</w:t>
      </w:r>
      <w:r w:rsidRPr="008A52E0">
        <w:rPr>
          <w:spacing w:val="-2"/>
        </w:rPr>
        <w:t xml:space="preserve"> </w:t>
      </w:r>
      <w:r>
        <w:rPr>
          <w:rFonts w:hint="eastAsia"/>
          <w:spacing w:val="-2"/>
          <w:lang w:eastAsia="ja-JP"/>
        </w:rPr>
        <w:t>5</w:t>
      </w:r>
      <w:r w:rsidRPr="008A52E0">
        <w:rPr>
          <w:spacing w:val="-2"/>
        </w:rPr>
        <w:t xml:space="preserve"> to </w:t>
      </w:r>
      <w:r>
        <w:rPr>
          <w:rFonts w:hint="eastAsia"/>
          <w:spacing w:val="-2"/>
          <w:lang w:eastAsia="ja-JP"/>
        </w:rPr>
        <w:t>8</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V</w:t>
      </w:r>
      <w:r w:rsidRPr="008A52E0">
        <w:rPr>
          <w:spacing w:val="-2"/>
        </w:rPr>
        <w:t>/</w:t>
      </w:r>
      <w:r>
        <w:rPr>
          <w:rFonts w:hint="eastAsia"/>
          <w:spacing w:val="-2"/>
          <w:lang w:eastAsia="ja-JP"/>
        </w:rPr>
        <w:t>59</w:t>
      </w:r>
      <w:r w:rsidRPr="008A52E0">
        <w:rPr>
          <w:spacing w:val="-2"/>
        </w:rPr>
        <w:t>/1</w:t>
      </w:r>
      <w:r>
        <w:rPr>
          <w:rFonts w:hint="eastAsia"/>
          <w:spacing w:val="-2"/>
          <w:lang w:eastAsia="ja-JP"/>
        </w:rPr>
        <w:t>9</w:t>
      </w:r>
      <w:r w:rsidRPr="008A52E0">
        <w:rPr>
          <w:spacing w:val="-2"/>
        </w:rPr>
        <w:t xml:space="preserve"> “Report”, paragraphs </w:t>
      </w:r>
      <w:r>
        <w:rPr>
          <w:rFonts w:hint="eastAsia"/>
          <w:spacing w:val="-2"/>
          <w:lang w:eastAsia="ja-JP"/>
        </w:rPr>
        <w:t>2</w:t>
      </w:r>
      <w:r w:rsidR="00BC6C1D">
        <w:rPr>
          <w:rFonts w:hint="eastAsia"/>
          <w:spacing w:val="-2"/>
          <w:lang w:eastAsia="ja-JP"/>
        </w:rPr>
        <w:t>7</w:t>
      </w:r>
      <w:r w:rsidRPr="008A52E0">
        <w:rPr>
          <w:spacing w:val="-2"/>
        </w:rPr>
        <w:t xml:space="preserve"> to</w:t>
      </w:r>
      <w:r>
        <w:rPr>
          <w:rFonts w:hint="eastAsia"/>
          <w:spacing w:val="-2"/>
          <w:lang w:eastAsia="ja-JP"/>
        </w:rPr>
        <w:t xml:space="preserve"> </w:t>
      </w:r>
      <w:r w:rsidR="00BC6C1D">
        <w:rPr>
          <w:rFonts w:hint="eastAsia"/>
          <w:spacing w:val="-2"/>
          <w:lang w:eastAsia="ja-JP"/>
        </w:rPr>
        <w:t>32</w:t>
      </w:r>
      <w:r w:rsidRPr="008A52E0">
        <w:rPr>
          <w:spacing w:val="-2"/>
        </w:rPr>
        <w:t>.</w:t>
      </w:r>
    </w:p>
  </w:footnote>
  <w:footnote w:id="14">
    <w:p w14:paraId="3FB9D152" w14:textId="78A26835" w:rsidR="0012713E" w:rsidRDefault="0012713E" w:rsidP="0012713E">
      <w:pPr>
        <w:pStyle w:val="FootnoteText"/>
      </w:pPr>
      <w:r>
        <w:rPr>
          <w:rStyle w:val="FootnoteReference"/>
        </w:rPr>
        <w:footnoteRef/>
      </w:r>
      <w:r>
        <w:t xml:space="preserve"> </w:t>
      </w:r>
      <w:r w:rsidRPr="008A52E0">
        <w:rPr>
          <w:spacing w:val="-2"/>
        </w:rPr>
        <w:t>TW</w:t>
      </w:r>
      <w:r>
        <w:rPr>
          <w:rFonts w:hint="eastAsia"/>
          <w:spacing w:val="-2"/>
          <w:lang w:eastAsia="ja-JP"/>
        </w:rPr>
        <w:t>A</w:t>
      </w:r>
      <w:r w:rsidRPr="008A52E0">
        <w:rPr>
          <w:spacing w:val="-2"/>
        </w:rPr>
        <w:t xml:space="preserve">, </w:t>
      </w:r>
      <w:r>
        <w:rPr>
          <w:rFonts w:hint="eastAsia"/>
          <w:spacing w:val="-2"/>
          <w:lang w:eastAsia="ja-JP"/>
        </w:rPr>
        <w:t>fifty-fourth</w:t>
      </w:r>
      <w:r w:rsidRPr="008A52E0">
        <w:rPr>
          <w:spacing w:val="-2"/>
        </w:rPr>
        <w:t xml:space="preserve"> session, held </w:t>
      </w:r>
      <w:r>
        <w:rPr>
          <w:rFonts w:hint="eastAsia"/>
          <w:spacing w:val="-2"/>
          <w:lang w:eastAsia="ja-JP"/>
        </w:rPr>
        <w:t>Arusha, United Republic of Tanzania,</w:t>
      </w:r>
      <w:r w:rsidRPr="008A52E0">
        <w:rPr>
          <w:spacing w:val="-2"/>
        </w:rPr>
        <w:t xml:space="preserve"> from </w:t>
      </w:r>
      <w:r>
        <w:rPr>
          <w:rFonts w:hint="eastAsia"/>
          <w:spacing w:val="-2"/>
          <w:lang w:eastAsia="ja-JP"/>
        </w:rPr>
        <w:t>May</w:t>
      </w:r>
      <w:r w:rsidRPr="008A52E0">
        <w:rPr>
          <w:spacing w:val="-2"/>
        </w:rPr>
        <w:t xml:space="preserve"> </w:t>
      </w:r>
      <w:r>
        <w:rPr>
          <w:rFonts w:hint="eastAsia"/>
          <w:spacing w:val="-2"/>
          <w:lang w:eastAsia="ja-JP"/>
        </w:rPr>
        <w:t>19</w:t>
      </w:r>
      <w:r w:rsidRPr="008A52E0">
        <w:rPr>
          <w:spacing w:val="-2"/>
        </w:rPr>
        <w:t xml:space="preserve"> to </w:t>
      </w:r>
      <w:r>
        <w:rPr>
          <w:rFonts w:hint="eastAsia"/>
          <w:spacing w:val="-2"/>
          <w:lang w:eastAsia="ja-JP"/>
        </w:rPr>
        <w:t>22</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A</w:t>
      </w:r>
      <w:r w:rsidRPr="008A52E0">
        <w:rPr>
          <w:spacing w:val="-2"/>
        </w:rPr>
        <w:t>/</w:t>
      </w:r>
      <w:r>
        <w:rPr>
          <w:rFonts w:hint="eastAsia"/>
          <w:spacing w:val="-2"/>
          <w:lang w:eastAsia="ja-JP"/>
        </w:rPr>
        <w:t>54</w:t>
      </w:r>
      <w:r w:rsidRPr="008A52E0">
        <w:rPr>
          <w:spacing w:val="-2"/>
        </w:rPr>
        <w:t>/</w:t>
      </w:r>
      <w:r w:rsidR="000346AB">
        <w:rPr>
          <w:rFonts w:hint="eastAsia"/>
          <w:spacing w:val="-2"/>
          <w:lang w:eastAsia="ja-JP"/>
        </w:rPr>
        <w:t>7</w:t>
      </w:r>
      <w:r w:rsidRPr="008A52E0">
        <w:rPr>
          <w:spacing w:val="-2"/>
        </w:rPr>
        <w:t xml:space="preserve"> “Report”, paragraphs </w:t>
      </w:r>
      <w:r w:rsidR="000346AB" w:rsidRPr="000346AB">
        <w:rPr>
          <w:rFonts w:hint="eastAsia"/>
          <w:spacing w:val="-2"/>
          <w:lang w:eastAsia="ja-JP"/>
        </w:rPr>
        <w:t>17</w:t>
      </w:r>
      <w:r w:rsidRPr="000346AB">
        <w:rPr>
          <w:spacing w:val="-2"/>
        </w:rPr>
        <w:t xml:space="preserve"> to</w:t>
      </w:r>
      <w:r w:rsidRPr="000346AB">
        <w:rPr>
          <w:rFonts w:hint="eastAsia"/>
          <w:spacing w:val="-2"/>
          <w:lang w:eastAsia="ja-JP"/>
        </w:rPr>
        <w:t xml:space="preserve"> </w:t>
      </w:r>
      <w:r w:rsidR="000346AB">
        <w:rPr>
          <w:rFonts w:hint="eastAsia"/>
          <w:spacing w:val="-2"/>
          <w:lang w:eastAsia="ja-JP"/>
        </w:rPr>
        <w:t>21</w:t>
      </w:r>
      <w:r w:rsidRPr="008A52E0">
        <w:rPr>
          <w:spacing w:val="-2"/>
        </w:rPr>
        <w:t>.</w:t>
      </w:r>
    </w:p>
  </w:footnote>
  <w:footnote w:id="15">
    <w:p w14:paraId="56A006A9" w14:textId="13BF8910" w:rsidR="0012713E" w:rsidRDefault="0012713E" w:rsidP="0012713E">
      <w:pPr>
        <w:pStyle w:val="FootnoteText"/>
      </w:pPr>
      <w:r>
        <w:rPr>
          <w:rStyle w:val="FootnoteReference"/>
        </w:rPr>
        <w:footnoteRef/>
      </w:r>
      <w:r>
        <w:t xml:space="preserve"> </w:t>
      </w:r>
      <w:r w:rsidRPr="008A52E0">
        <w:rPr>
          <w:spacing w:val="-2"/>
        </w:rPr>
        <w:t>TW</w:t>
      </w:r>
      <w:r>
        <w:rPr>
          <w:rFonts w:hint="eastAsia"/>
          <w:spacing w:val="-2"/>
          <w:lang w:eastAsia="ja-JP"/>
        </w:rPr>
        <w:t>F</w:t>
      </w:r>
      <w:r w:rsidRPr="008A52E0">
        <w:rPr>
          <w:spacing w:val="-2"/>
        </w:rPr>
        <w:t xml:space="preserve">, </w:t>
      </w:r>
      <w:r>
        <w:rPr>
          <w:rFonts w:hint="eastAsia"/>
          <w:spacing w:val="-2"/>
          <w:lang w:eastAsia="ja-JP"/>
        </w:rPr>
        <w:t>fifty-sixth</w:t>
      </w:r>
      <w:r w:rsidRPr="008A52E0">
        <w:rPr>
          <w:spacing w:val="-2"/>
        </w:rPr>
        <w:t xml:space="preserve"> session, held </w:t>
      </w:r>
      <w:r w:rsidRPr="00E45EAC">
        <w:rPr>
          <w:spacing w:val="-2"/>
        </w:rPr>
        <w:t>Bursa, Türkiye</w:t>
      </w:r>
      <w:r>
        <w:rPr>
          <w:rFonts w:hint="eastAsia"/>
          <w:spacing w:val="-2"/>
          <w:lang w:eastAsia="ja-JP"/>
        </w:rPr>
        <w:t>,</w:t>
      </w:r>
      <w:r w:rsidRPr="008A52E0">
        <w:rPr>
          <w:spacing w:val="-2"/>
        </w:rPr>
        <w:t xml:space="preserve"> from </w:t>
      </w:r>
      <w:r>
        <w:rPr>
          <w:rFonts w:hint="eastAsia"/>
          <w:spacing w:val="-2"/>
          <w:lang w:eastAsia="ja-JP"/>
        </w:rPr>
        <w:t>June</w:t>
      </w:r>
      <w:r w:rsidRPr="008A52E0">
        <w:rPr>
          <w:spacing w:val="-2"/>
        </w:rPr>
        <w:t xml:space="preserve"> </w:t>
      </w:r>
      <w:r>
        <w:rPr>
          <w:rFonts w:hint="eastAsia"/>
          <w:spacing w:val="-2"/>
          <w:lang w:eastAsia="ja-JP"/>
        </w:rPr>
        <w:t>23</w:t>
      </w:r>
      <w:r w:rsidRPr="008A52E0">
        <w:rPr>
          <w:spacing w:val="-2"/>
        </w:rPr>
        <w:t xml:space="preserve"> to </w:t>
      </w:r>
      <w:r>
        <w:rPr>
          <w:rFonts w:hint="eastAsia"/>
          <w:spacing w:val="-2"/>
          <w:lang w:eastAsia="ja-JP"/>
        </w:rPr>
        <w:t>26</w:t>
      </w:r>
      <w:r w:rsidRPr="008A52E0">
        <w:rPr>
          <w:spacing w:val="-2"/>
        </w:rPr>
        <w:t>, 202</w:t>
      </w:r>
      <w:r>
        <w:rPr>
          <w:rFonts w:hint="eastAsia"/>
          <w:spacing w:val="-2"/>
          <w:lang w:eastAsia="ja-JP"/>
        </w:rPr>
        <w:t>5</w:t>
      </w:r>
      <w:r w:rsidRPr="008A52E0">
        <w:rPr>
          <w:spacing w:val="-2"/>
        </w:rPr>
        <w:t>. See document TW</w:t>
      </w:r>
      <w:r>
        <w:rPr>
          <w:rFonts w:hint="eastAsia"/>
          <w:spacing w:val="-2"/>
          <w:lang w:eastAsia="ja-JP"/>
        </w:rPr>
        <w:t>F</w:t>
      </w:r>
      <w:r w:rsidRPr="008A52E0">
        <w:rPr>
          <w:spacing w:val="-2"/>
        </w:rPr>
        <w:t>/</w:t>
      </w:r>
      <w:r>
        <w:rPr>
          <w:rFonts w:hint="eastAsia"/>
          <w:spacing w:val="-2"/>
          <w:lang w:eastAsia="ja-JP"/>
        </w:rPr>
        <w:t>56</w:t>
      </w:r>
      <w:r w:rsidRPr="008A52E0">
        <w:rPr>
          <w:spacing w:val="-2"/>
        </w:rPr>
        <w:t>/</w:t>
      </w:r>
      <w:r w:rsidR="00B52114">
        <w:rPr>
          <w:rFonts w:hint="eastAsia"/>
          <w:spacing w:val="-2"/>
          <w:lang w:eastAsia="ja-JP"/>
        </w:rPr>
        <w:t>7</w:t>
      </w:r>
      <w:r w:rsidRPr="008A52E0">
        <w:rPr>
          <w:spacing w:val="-2"/>
        </w:rPr>
        <w:t xml:space="preserve"> “Report”, paragraphs </w:t>
      </w:r>
      <w:r w:rsidR="00B52114" w:rsidRPr="00B52114">
        <w:rPr>
          <w:rFonts w:hint="eastAsia"/>
          <w:spacing w:val="-2"/>
          <w:lang w:eastAsia="ja-JP"/>
        </w:rPr>
        <w:t>37</w:t>
      </w:r>
      <w:r w:rsidRPr="00B52114">
        <w:rPr>
          <w:spacing w:val="-2"/>
        </w:rPr>
        <w:t xml:space="preserve"> to</w:t>
      </w:r>
      <w:r w:rsidRPr="00B52114">
        <w:rPr>
          <w:rFonts w:hint="eastAsia"/>
          <w:spacing w:val="-2"/>
          <w:lang w:eastAsia="ja-JP"/>
        </w:rPr>
        <w:t xml:space="preserve"> </w:t>
      </w:r>
      <w:r w:rsidR="00B52114">
        <w:rPr>
          <w:rFonts w:hint="eastAsia"/>
          <w:spacing w:val="-2"/>
          <w:lang w:eastAsia="ja-JP"/>
        </w:rPr>
        <w:t>38</w:t>
      </w:r>
      <w:r w:rsidRPr="008A52E0">
        <w:rPr>
          <w:spacing w:val="-2"/>
        </w:rPr>
        <w:t>.</w:t>
      </w:r>
    </w:p>
  </w:footnote>
  <w:footnote w:id="16">
    <w:p w14:paraId="16F25E54" w14:textId="016A620A" w:rsidR="008D0B9F" w:rsidRDefault="008D0B9F" w:rsidP="008D0B9F">
      <w:pPr>
        <w:pStyle w:val="FootnoteText"/>
      </w:pPr>
      <w:r>
        <w:rPr>
          <w:rStyle w:val="FootnoteReference"/>
        </w:rPr>
        <w:footnoteRef/>
      </w:r>
      <w:r>
        <w:t xml:space="preserve"> </w:t>
      </w:r>
      <w:r w:rsidR="00A66DD1" w:rsidRPr="00A66DD1">
        <w:rPr>
          <w:spacing w:val="-2"/>
        </w:rPr>
        <w:t>TC, fifty-</w:t>
      </w:r>
      <w:r w:rsidR="00A66DD1">
        <w:rPr>
          <w:rFonts w:hint="eastAsia"/>
          <w:spacing w:val="-2"/>
          <w:lang w:eastAsia="ja-JP"/>
        </w:rPr>
        <w:t>seven</w:t>
      </w:r>
      <w:r w:rsidR="00A66DD1" w:rsidRPr="00A66DD1">
        <w:rPr>
          <w:spacing w:val="-2"/>
        </w:rPr>
        <w:t>th session, held in Geneva, on October 2</w:t>
      </w:r>
      <w:r w:rsidR="00001225">
        <w:rPr>
          <w:rFonts w:hint="eastAsia"/>
          <w:spacing w:val="-2"/>
          <w:lang w:eastAsia="ja-JP"/>
        </w:rPr>
        <w:t>5</w:t>
      </w:r>
      <w:r w:rsidR="00A66DD1" w:rsidRPr="00A66DD1">
        <w:rPr>
          <w:spacing w:val="-2"/>
        </w:rPr>
        <w:t xml:space="preserve"> </w:t>
      </w:r>
      <w:r w:rsidR="00825147">
        <w:rPr>
          <w:rFonts w:hint="eastAsia"/>
          <w:spacing w:val="-2"/>
          <w:lang w:eastAsia="ja-JP"/>
        </w:rPr>
        <w:t>to</w:t>
      </w:r>
      <w:r w:rsidR="00A66DD1" w:rsidRPr="00A66DD1">
        <w:rPr>
          <w:spacing w:val="-2"/>
        </w:rPr>
        <w:t xml:space="preserve"> 2</w:t>
      </w:r>
      <w:r w:rsidR="00001225">
        <w:rPr>
          <w:rFonts w:hint="eastAsia"/>
          <w:spacing w:val="-2"/>
          <w:lang w:eastAsia="ja-JP"/>
        </w:rPr>
        <w:t>6</w:t>
      </w:r>
      <w:r w:rsidR="00A66DD1" w:rsidRPr="00A66DD1">
        <w:rPr>
          <w:spacing w:val="-2"/>
        </w:rPr>
        <w:t>, 202</w:t>
      </w:r>
      <w:r w:rsidR="00107461">
        <w:rPr>
          <w:rFonts w:hint="eastAsia"/>
          <w:spacing w:val="-2"/>
          <w:lang w:eastAsia="ja-JP"/>
        </w:rPr>
        <w:t>1</w:t>
      </w:r>
      <w:r w:rsidRPr="008A52E0">
        <w:rPr>
          <w:spacing w:val="-2"/>
        </w:rPr>
        <w:t>.</w:t>
      </w:r>
    </w:p>
  </w:footnote>
  <w:footnote w:id="17">
    <w:p w14:paraId="27FF64D4" w14:textId="7BDBE6AB" w:rsidR="00B63F38" w:rsidRDefault="00B63F38" w:rsidP="00B63F38">
      <w:pPr>
        <w:pStyle w:val="FootnoteText"/>
      </w:pPr>
      <w:r>
        <w:rPr>
          <w:rStyle w:val="FootnoteReference"/>
        </w:rPr>
        <w:footnoteRef/>
      </w:r>
      <w:r>
        <w:t xml:space="preserve"> </w:t>
      </w:r>
      <w:r w:rsidR="00E3484E" w:rsidRPr="00E3484E">
        <w:rPr>
          <w:spacing w:val="-2"/>
        </w:rPr>
        <w:t xml:space="preserve">TWM, third session, held in Beijing, China, from April 28 to May 1, 2025. See document TWM/3/29 “Report”, paragraphs </w:t>
      </w:r>
      <w:r w:rsidR="0019155A">
        <w:rPr>
          <w:rFonts w:hint="eastAsia"/>
          <w:spacing w:val="-2"/>
          <w:lang w:eastAsia="ja-JP"/>
        </w:rPr>
        <w:t>20</w:t>
      </w:r>
      <w:r w:rsidR="00E3484E" w:rsidRPr="00E3484E">
        <w:rPr>
          <w:spacing w:val="-2"/>
        </w:rPr>
        <w:t xml:space="preserve"> to </w:t>
      </w:r>
      <w:r w:rsidR="0019155A">
        <w:rPr>
          <w:rFonts w:hint="eastAsia"/>
          <w:spacing w:val="-2"/>
          <w:lang w:eastAsia="ja-JP"/>
        </w:rPr>
        <w:t>28</w:t>
      </w:r>
      <w:r w:rsidRPr="008A52E0">
        <w:rPr>
          <w:spacing w:val="-2"/>
        </w:rPr>
        <w:t>.</w:t>
      </w:r>
    </w:p>
  </w:footnote>
  <w:footnote w:id="18">
    <w:p w14:paraId="15EDE158" w14:textId="77777777" w:rsidR="00CF2609" w:rsidRDefault="00CF2609" w:rsidP="00CF2609">
      <w:pPr>
        <w:pStyle w:val="FootnoteText"/>
      </w:pPr>
      <w:r>
        <w:rPr>
          <w:rStyle w:val="FootnoteReference"/>
        </w:rPr>
        <w:footnoteRef/>
      </w:r>
      <w:r>
        <w:t xml:space="preserve"> </w:t>
      </w:r>
      <w:r w:rsidRPr="00E3484E">
        <w:rPr>
          <w:spacing w:val="-2"/>
        </w:rPr>
        <w:t xml:space="preserve">TWM, third session, held in Beijing, China, from April 28 to May 1, 2025. See document TWM/3/29 “Report”, paragraphs </w:t>
      </w:r>
      <w:r>
        <w:rPr>
          <w:rFonts w:hint="eastAsia"/>
          <w:spacing w:val="-2"/>
          <w:lang w:eastAsia="ja-JP"/>
        </w:rPr>
        <w:t>35</w:t>
      </w:r>
      <w:r w:rsidRPr="008A52E0">
        <w:rPr>
          <w:spacing w:val="-2"/>
        </w:rPr>
        <w:t>.</w:t>
      </w:r>
    </w:p>
  </w:footnote>
  <w:footnote w:id="19">
    <w:p w14:paraId="34506994" w14:textId="22AA0015" w:rsidR="0035048E" w:rsidRDefault="0035048E">
      <w:pPr>
        <w:pStyle w:val="FootnoteText"/>
      </w:pPr>
      <w:r>
        <w:rPr>
          <w:rStyle w:val="FootnoteReference"/>
        </w:rPr>
        <w:footnoteRef/>
      </w:r>
      <w:r>
        <w:t xml:space="preserve"> </w:t>
      </w:r>
      <w:r w:rsidRPr="00E3484E">
        <w:rPr>
          <w:spacing w:val="-2"/>
        </w:rPr>
        <w:t>TWM, third session, held in Beijing, China, from April 28 to May 1, 2025. See document TWM/3/29 “Report”, paragraph</w:t>
      </w:r>
      <w:r>
        <w:rPr>
          <w:spacing w:val="-2"/>
        </w:rPr>
        <w:t xml:space="preserve"> 28</w:t>
      </w:r>
      <w:r w:rsidRPr="008A52E0">
        <w:rPr>
          <w:spacing w:val="-2"/>
        </w:rPr>
        <w:t>.</w:t>
      </w:r>
    </w:p>
  </w:footnote>
  <w:footnote w:id="20">
    <w:p w14:paraId="3DFCCC84" w14:textId="77777777" w:rsidR="00A07516" w:rsidRDefault="00A07516" w:rsidP="00A07516">
      <w:pPr>
        <w:pStyle w:val="FootnoteText"/>
      </w:pPr>
      <w:r>
        <w:rPr>
          <w:rStyle w:val="FootnoteReference"/>
        </w:rPr>
        <w:footnoteRef/>
      </w:r>
      <w:r>
        <w:t xml:space="preserve"> OECD Seed Schemes Annual Meeting, June 12-13, 2025. See document “Confirmation of outcomes”.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E0C3" w14:textId="01BB6E3A" w:rsidR="0004198B" w:rsidRPr="00C5280D" w:rsidRDefault="00C264ED" w:rsidP="00EB048E">
    <w:pPr>
      <w:pStyle w:val="Header"/>
      <w:rPr>
        <w:rStyle w:val="PageNumber"/>
        <w:lang w:val="en-US"/>
      </w:rPr>
    </w:pPr>
    <w:r>
      <w:rPr>
        <w:rStyle w:val="PageNumber"/>
        <w:lang w:val="en-US"/>
      </w:rPr>
      <w:t>SESSIONS</w:t>
    </w:r>
    <w:r w:rsidR="001B2365">
      <w:rPr>
        <w:rStyle w:val="PageNumber"/>
        <w:lang w:val="en-US"/>
      </w:rPr>
      <w:t>/</w:t>
    </w:r>
    <w:r w:rsidR="002A12E1">
      <w:rPr>
        <w:rStyle w:val="PageNumber"/>
        <w:lang w:val="en-US"/>
      </w:rPr>
      <w:t>202</w:t>
    </w:r>
    <w:r w:rsidR="00D41F59">
      <w:rPr>
        <w:rStyle w:val="PageNumber"/>
        <w:rFonts w:hint="eastAsia"/>
        <w:lang w:val="en-US" w:eastAsia="ja-JP"/>
      </w:rPr>
      <w:t>5</w:t>
    </w:r>
    <w:r w:rsidR="002A12E1">
      <w:rPr>
        <w:rStyle w:val="PageNumber"/>
        <w:lang w:val="en-US"/>
      </w:rPr>
      <w:t>/6</w:t>
    </w:r>
  </w:p>
  <w:p w14:paraId="757C8FAC"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EF49B5">
      <w:rPr>
        <w:rStyle w:val="PageNumber"/>
        <w:noProof/>
        <w:lang w:val="en-US"/>
      </w:rPr>
      <w:t>2</w:t>
    </w:r>
    <w:r w:rsidRPr="00C5280D">
      <w:rPr>
        <w:rStyle w:val="PageNumber"/>
        <w:lang w:val="en-US"/>
      </w:rPr>
      <w:fldChar w:fldCharType="end"/>
    </w:r>
  </w:p>
  <w:p w14:paraId="46A0BCFC"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6C33" w14:textId="3AFF1E79" w:rsidR="00550FF9" w:rsidRPr="00C5280D" w:rsidRDefault="00550FF9" w:rsidP="00EB048E">
    <w:pPr>
      <w:pStyle w:val="Header"/>
      <w:rPr>
        <w:rStyle w:val="PageNumber"/>
        <w:lang w:val="en-US"/>
      </w:rPr>
    </w:pPr>
    <w:r>
      <w:rPr>
        <w:rStyle w:val="PageNumber"/>
        <w:lang w:val="en-US"/>
      </w:rPr>
      <w:t>SESSIONS/202</w:t>
    </w:r>
    <w:r w:rsidR="00F4171D">
      <w:rPr>
        <w:rStyle w:val="PageNumber"/>
        <w:lang w:val="en-US"/>
      </w:rPr>
      <w:t>5</w:t>
    </w:r>
    <w:r>
      <w:rPr>
        <w:rStyle w:val="PageNumber"/>
        <w:lang w:val="en-US"/>
      </w:rPr>
      <w:t>/6</w:t>
    </w:r>
  </w:p>
  <w:p w14:paraId="2F93ACBB" w14:textId="18BCFE7B" w:rsidR="00550FF9" w:rsidRPr="00C5280D" w:rsidRDefault="00550FF9" w:rsidP="00EB048E">
    <w:pPr>
      <w:pStyle w:val="Header"/>
      <w:rPr>
        <w:lang w:val="en-US"/>
      </w:rPr>
    </w:pPr>
    <w:r>
      <w:rPr>
        <w:lang w:val="en-US"/>
      </w:rPr>
      <w:t xml:space="preserve">Annex,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4F56515B" w14:textId="77777777" w:rsidR="00550FF9" w:rsidRPr="00C5280D" w:rsidRDefault="00550FF9" w:rsidP="006655D3"/>
  <w:p w14:paraId="0D1CDE71" w14:textId="77777777" w:rsidR="001E2051" w:rsidRDefault="001E20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F377" w14:textId="498BE84E" w:rsidR="00550FF9" w:rsidRPr="00C5280D" w:rsidRDefault="00550FF9" w:rsidP="00550FF9">
    <w:pPr>
      <w:pStyle w:val="Header"/>
      <w:rPr>
        <w:rStyle w:val="PageNumber"/>
        <w:lang w:val="en-US"/>
      </w:rPr>
    </w:pPr>
    <w:r>
      <w:rPr>
        <w:rStyle w:val="PageNumber"/>
        <w:lang w:val="en-US"/>
      </w:rPr>
      <w:t>SESSIONS/202</w:t>
    </w:r>
    <w:r w:rsidR="00F4171D">
      <w:rPr>
        <w:rStyle w:val="PageNumber"/>
        <w:lang w:val="en-US"/>
      </w:rPr>
      <w:t>5</w:t>
    </w:r>
    <w:r>
      <w:rPr>
        <w:rStyle w:val="PageNumber"/>
        <w:lang w:val="en-US"/>
      </w:rPr>
      <w:t>/6</w:t>
    </w:r>
  </w:p>
  <w:p w14:paraId="3C5FC7EA" w14:textId="2DD73E5C" w:rsidR="00550FF9" w:rsidRDefault="00550FF9" w:rsidP="00550FF9">
    <w:pPr>
      <w:pStyle w:val="Header"/>
      <w:rPr>
        <w:lang w:val="en-US"/>
      </w:rPr>
    </w:pPr>
  </w:p>
  <w:p w14:paraId="0EE73618" w14:textId="289FAE55" w:rsidR="00550FF9" w:rsidRPr="00C5280D" w:rsidRDefault="00550FF9" w:rsidP="00550FF9">
    <w:pPr>
      <w:pStyle w:val="Header"/>
      <w:rPr>
        <w:lang w:val="en-US"/>
      </w:rPr>
    </w:pPr>
    <w:r>
      <w:rPr>
        <w:lang w:val="en-US"/>
      </w:rPr>
      <w:t>ANNEX</w:t>
    </w:r>
  </w:p>
  <w:p w14:paraId="3602BF50" w14:textId="77777777" w:rsidR="00550FF9" w:rsidRPr="0004198B" w:rsidRDefault="00550FF9" w:rsidP="00041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D5F"/>
    <w:multiLevelType w:val="hybridMultilevel"/>
    <w:tmpl w:val="BF688754"/>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FDD"/>
    <w:multiLevelType w:val="hybridMultilevel"/>
    <w:tmpl w:val="30C0A312"/>
    <w:lvl w:ilvl="0" w:tplc="D316845A">
      <w:start w:val="1"/>
      <w:numFmt w:val="lowerLetter"/>
      <w:lvlText w:val="(%1)"/>
      <w:lvlJc w:val="left"/>
      <w:pPr>
        <w:ind w:left="7732" w:hanging="360"/>
      </w:pPr>
      <w:rPr>
        <w:rFonts w:hint="default"/>
      </w:rPr>
    </w:lvl>
    <w:lvl w:ilvl="1" w:tplc="04090019" w:tentative="1">
      <w:start w:val="1"/>
      <w:numFmt w:val="lowerLetter"/>
      <w:lvlText w:val="%2."/>
      <w:lvlJc w:val="left"/>
      <w:pPr>
        <w:ind w:left="6260" w:hanging="360"/>
      </w:pPr>
    </w:lvl>
    <w:lvl w:ilvl="2" w:tplc="0409001B" w:tentative="1">
      <w:start w:val="1"/>
      <w:numFmt w:val="lowerRoman"/>
      <w:lvlText w:val="%3."/>
      <w:lvlJc w:val="right"/>
      <w:pPr>
        <w:ind w:left="6980" w:hanging="180"/>
      </w:pPr>
    </w:lvl>
    <w:lvl w:ilvl="3" w:tplc="0409000F" w:tentative="1">
      <w:start w:val="1"/>
      <w:numFmt w:val="decimal"/>
      <w:lvlText w:val="%4."/>
      <w:lvlJc w:val="left"/>
      <w:pPr>
        <w:ind w:left="7700" w:hanging="360"/>
      </w:pPr>
    </w:lvl>
    <w:lvl w:ilvl="4" w:tplc="04090019" w:tentative="1">
      <w:start w:val="1"/>
      <w:numFmt w:val="lowerLetter"/>
      <w:lvlText w:val="%5."/>
      <w:lvlJc w:val="left"/>
      <w:pPr>
        <w:ind w:left="8420" w:hanging="360"/>
      </w:pPr>
    </w:lvl>
    <w:lvl w:ilvl="5" w:tplc="0409001B" w:tentative="1">
      <w:start w:val="1"/>
      <w:numFmt w:val="lowerRoman"/>
      <w:lvlText w:val="%6."/>
      <w:lvlJc w:val="right"/>
      <w:pPr>
        <w:ind w:left="9140" w:hanging="180"/>
      </w:pPr>
    </w:lvl>
    <w:lvl w:ilvl="6" w:tplc="0409000F" w:tentative="1">
      <w:start w:val="1"/>
      <w:numFmt w:val="decimal"/>
      <w:lvlText w:val="%7."/>
      <w:lvlJc w:val="left"/>
      <w:pPr>
        <w:ind w:left="9860" w:hanging="360"/>
      </w:pPr>
    </w:lvl>
    <w:lvl w:ilvl="7" w:tplc="04090019" w:tentative="1">
      <w:start w:val="1"/>
      <w:numFmt w:val="lowerLetter"/>
      <w:lvlText w:val="%8."/>
      <w:lvlJc w:val="left"/>
      <w:pPr>
        <w:ind w:left="10580" w:hanging="360"/>
      </w:pPr>
    </w:lvl>
    <w:lvl w:ilvl="8" w:tplc="0409001B" w:tentative="1">
      <w:start w:val="1"/>
      <w:numFmt w:val="lowerRoman"/>
      <w:lvlText w:val="%9."/>
      <w:lvlJc w:val="right"/>
      <w:pPr>
        <w:ind w:left="11300" w:hanging="180"/>
      </w:pPr>
    </w:lvl>
  </w:abstractNum>
  <w:abstractNum w:abstractNumId="2" w15:restartNumberingAfterBreak="0">
    <w:nsid w:val="04E62763"/>
    <w:multiLevelType w:val="hybridMultilevel"/>
    <w:tmpl w:val="C1B26032"/>
    <w:lvl w:ilvl="0" w:tplc="F3860B7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940B5"/>
    <w:multiLevelType w:val="hybridMultilevel"/>
    <w:tmpl w:val="38C2D7C4"/>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0737"/>
    <w:multiLevelType w:val="hybridMultilevel"/>
    <w:tmpl w:val="23722A68"/>
    <w:lvl w:ilvl="0" w:tplc="619C1EB4">
      <w:start w:val="1"/>
      <w:numFmt w:val="lowerRoman"/>
      <w:lvlText w:val="(%1)"/>
      <w:lvlJc w:val="left"/>
      <w:pPr>
        <w:ind w:left="3617" w:hanging="360"/>
      </w:pPr>
      <w:rPr>
        <w:rFonts w:hint="default"/>
      </w:rPr>
    </w:lvl>
    <w:lvl w:ilvl="1" w:tplc="04090019">
      <w:start w:val="1"/>
      <w:numFmt w:val="lowerLetter"/>
      <w:lvlText w:val="%2."/>
      <w:lvlJc w:val="left"/>
      <w:pPr>
        <w:ind w:left="3704" w:hanging="360"/>
      </w:pPr>
    </w:lvl>
    <w:lvl w:ilvl="2" w:tplc="0409001B" w:tentative="1">
      <w:start w:val="1"/>
      <w:numFmt w:val="lowerRoman"/>
      <w:lvlText w:val="%3."/>
      <w:lvlJc w:val="right"/>
      <w:pPr>
        <w:ind w:left="4424" w:hanging="180"/>
      </w:pPr>
    </w:lvl>
    <w:lvl w:ilvl="3" w:tplc="0409000F" w:tentative="1">
      <w:start w:val="1"/>
      <w:numFmt w:val="decimal"/>
      <w:lvlText w:val="%4."/>
      <w:lvlJc w:val="left"/>
      <w:pPr>
        <w:ind w:left="5144" w:hanging="360"/>
      </w:pPr>
    </w:lvl>
    <w:lvl w:ilvl="4" w:tplc="04090019" w:tentative="1">
      <w:start w:val="1"/>
      <w:numFmt w:val="lowerLetter"/>
      <w:lvlText w:val="%5."/>
      <w:lvlJc w:val="left"/>
      <w:pPr>
        <w:ind w:left="5864" w:hanging="360"/>
      </w:pPr>
    </w:lvl>
    <w:lvl w:ilvl="5" w:tplc="0409001B" w:tentative="1">
      <w:start w:val="1"/>
      <w:numFmt w:val="lowerRoman"/>
      <w:lvlText w:val="%6."/>
      <w:lvlJc w:val="right"/>
      <w:pPr>
        <w:ind w:left="6584" w:hanging="180"/>
      </w:pPr>
    </w:lvl>
    <w:lvl w:ilvl="6" w:tplc="0409000F" w:tentative="1">
      <w:start w:val="1"/>
      <w:numFmt w:val="decimal"/>
      <w:lvlText w:val="%7."/>
      <w:lvlJc w:val="left"/>
      <w:pPr>
        <w:ind w:left="7304" w:hanging="360"/>
      </w:pPr>
    </w:lvl>
    <w:lvl w:ilvl="7" w:tplc="04090019" w:tentative="1">
      <w:start w:val="1"/>
      <w:numFmt w:val="lowerLetter"/>
      <w:lvlText w:val="%8."/>
      <w:lvlJc w:val="left"/>
      <w:pPr>
        <w:ind w:left="8024" w:hanging="360"/>
      </w:pPr>
    </w:lvl>
    <w:lvl w:ilvl="8" w:tplc="0409001B" w:tentative="1">
      <w:start w:val="1"/>
      <w:numFmt w:val="lowerRoman"/>
      <w:lvlText w:val="%9."/>
      <w:lvlJc w:val="right"/>
      <w:pPr>
        <w:ind w:left="8744" w:hanging="180"/>
      </w:pPr>
    </w:lvl>
  </w:abstractNum>
  <w:abstractNum w:abstractNumId="5" w15:restartNumberingAfterBreak="0">
    <w:nsid w:val="12E479A8"/>
    <w:multiLevelType w:val="hybridMultilevel"/>
    <w:tmpl w:val="9F867802"/>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31C84"/>
    <w:multiLevelType w:val="hybridMultilevel"/>
    <w:tmpl w:val="A306CB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4572F2"/>
    <w:multiLevelType w:val="hybridMultilevel"/>
    <w:tmpl w:val="5F30261E"/>
    <w:lvl w:ilvl="0" w:tplc="E7BA855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B10F0F"/>
    <w:multiLevelType w:val="hybridMultilevel"/>
    <w:tmpl w:val="B10EEDB6"/>
    <w:lvl w:ilvl="0" w:tplc="B59C8E6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DA1B03"/>
    <w:multiLevelType w:val="multilevel"/>
    <w:tmpl w:val="FD9E35BC"/>
    <w:lvl w:ilvl="0">
      <w:start w:val="76"/>
      <w:numFmt w:val="decimal"/>
      <w:lvlText w:val="%1."/>
      <w:lvlJc w:val="left"/>
      <w:pPr>
        <w:ind w:left="643"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704" w:hanging="720"/>
      </w:pPr>
      <w:rPr>
        <w:rFonts w:hint="default"/>
      </w:rPr>
    </w:lvl>
    <w:lvl w:ilvl="4">
      <w:start w:val="1"/>
      <w:numFmt w:val="decimal"/>
      <w:lvlText w:val="%1.%2.%3.%4.%5"/>
      <w:lvlJc w:val="left"/>
      <w:pPr>
        <w:ind w:left="3631" w:hanging="1080"/>
      </w:pPr>
      <w:rPr>
        <w:rFonts w:hint="default"/>
      </w:rPr>
    </w:lvl>
    <w:lvl w:ilvl="5">
      <w:start w:val="1"/>
      <w:numFmt w:val="decimal"/>
      <w:lvlText w:val="%1.%2.%3.%4.%5.%6"/>
      <w:lvlJc w:val="left"/>
      <w:pPr>
        <w:ind w:left="4198" w:hanging="1080"/>
      </w:pPr>
      <w:rPr>
        <w:rFonts w:hint="default"/>
      </w:rPr>
    </w:lvl>
    <w:lvl w:ilvl="6">
      <w:start w:val="1"/>
      <w:numFmt w:val="decimal"/>
      <w:lvlText w:val="%1.%2.%3.%4.%5.%6.%7"/>
      <w:lvlJc w:val="left"/>
      <w:pPr>
        <w:ind w:left="5125" w:hanging="1440"/>
      </w:pPr>
      <w:rPr>
        <w:rFonts w:hint="default"/>
      </w:rPr>
    </w:lvl>
    <w:lvl w:ilvl="7">
      <w:start w:val="1"/>
      <w:numFmt w:val="decimal"/>
      <w:lvlText w:val="%1.%2.%3.%4.%5.%6.%7.%8"/>
      <w:lvlJc w:val="left"/>
      <w:pPr>
        <w:ind w:left="5692" w:hanging="1440"/>
      </w:pPr>
      <w:rPr>
        <w:rFonts w:hint="default"/>
      </w:rPr>
    </w:lvl>
    <w:lvl w:ilvl="8">
      <w:start w:val="1"/>
      <w:numFmt w:val="decimal"/>
      <w:lvlText w:val="%1.%2.%3.%4.%5.%6.%7.%8.%9"/>
      <w:lvlJc w:val="left"/>
      <w:pPr>
        <w:ind w:left="6619" w:hanging="1800"/>
      </w:pPr>
      <w:rPr>
        <w:rFonts w:hint="default"/>
      </w:rPr>
    </w:lvl>
  </w:abstractNum>
  <w:abstractNum w:abstractNumId="10" w15:restartNumberingAfterBreak="0">
    <w:nsid w:val="18442C53"/>
    <w:multiLevelType w:val="hybridMultilevel"/>
    <w:tmpl w:val="3DD6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D2F17"/>
    <w:multiLevelType w:val="hybridMultilevel"/>
    <w:tmpl w:val="F9EA1182"/>
    <w:lvl w:ilvl="0" w:tplc="132CD72A">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C331171"/>
    <w:multiLevelType w:val="hybridMultilevel"/>
    <w:tmpl w:val="8C401B9A"/>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469F0"/>
    <w:multiLevelType w:val="multilevel"/>
    <w:tmpl w:val="F9FE3962"/>
    <w:lvl w:ilvl="0">
      <w:start w:val="1"/>
      <w:numFmt w:val="decimal"/>
      <w:lvlText w:val="%1."/>
      <w:lvlJc w:val="left"/>
      <w:pPr>
        <w:ind w:left="720" w:hanging="360"/>
      </w:pPr>
      <w:rPr>
        <w:i w:val="0"/>
        <w:iCs/>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38F655F"/>
    <w:multiLevelType w:val="hybridMultilevel"/>
    <w:tmpl w:val="F10638D8"/>
    <w:lvl w:ilvl="0" w:tplc="9D46F8E4">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29F42C76"/>
    <w:multiLevelType w:val="hybridMultilevel"/>
    <w:tmpl w:val="C4A69530"/>
    <w:lvl w:ilvl="0" w:tplc="473C44DA">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CA159F6"/>
    <w:multiLevelType w:val="hybridMultilevel"/>
    <w:tmpl w:val="D8A27B5A"/>
    <w:lvl w:ilvl="0" w:tplc="E7BCA674">
      <w:start w:val="29"/>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77B29"/>
    <w:multiLevelType w:val="hybridMultilevel"/>
    <w:tmpl w:val="31FE252C"/>
    <w:lvl w:ilvl="0" w:tplc="3CE20842">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C0F35"/>
    <w:multiLevelType w:val="hybridMultilevel"/>
    <w:tmpl w:val="0DDC2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F7A37"/>
    <w:multiLevelType w:val="hybridMultilevel"/>
    <w:tmpl w:val="E3863DBA"/>
    <w:lvl w:ilvl="0" w:tplc="D00E4B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EF0FDE"/>
    <w:multiLevelType w:val="hybridMultilevel"/>
    <w:tmpl w:val="F632A1FA"/>
    <w:lvl w:ilvl="0" w:tplc="D02CC792">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944BA"/>
    <w:multiLevelType w:val="multilevel"/>
    <w:tmpl w:val="C67E5D5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3176382"/>
    <w:multiLevelType w:val="hybridMultilevel"/>
    <w:tmpl w:val="0B10DD5A"/>
    <w:lvl w:ilvl="0" w:tplc="15F6FA9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70058BA"/>
    <w:multiLevelType w:val="hybridMultilevel"/>
    <w:tmpl w:val="547A2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1C5907"/>
    <w:multiLevelType w:val="hybridMultilevel"/>
    <w:tmpl w:val="A6F0F198"/>
    <w:lvl w:ilvl="0" w:tplc="52EA5E6A">
      <w:start w:val="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264F1"/>
    <w:multiLevelType w:val="hybridMultilevel"/>
    <w:tmpl w:val="EC368690"/>
    <w:lvl w:ilvl="0" w:tplc="75AA9FE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F2081"/>
    <w:multiLevelType w:val="hybridMultilevel"/>
    <w:tmpl w:val="5B72938E"/>
    <w:lvl w:ilvl="0" w:tplc="3CE20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2F5964"/>
    <w:multiLevelType w:val="hybridMultilevel"/>
    <w:tmpl w:val="4282F72A"/>
    <w:lvl w:ilvl="0" w:tplc="36DAD95C">
      <w:start w:val="47"/>
      <w:numFmt w:val="decimal"/>
      <w:lvlText w:val="%1."/>
      <w:lvlJc w:val="left"/>
      <w:pPr>
        <w:ind w:left="1497"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563B4B"/>
    <w:multiLevelType w:val="hybridMultilevel"/>
    <w:tmpl w:val="DF86C034"/>
    <w:lvl w:ilvl="0" w:tplc="CCBE4B30">
      <w:start w:val="41"/>
      <w:numFmt w:val="decimal"/>
      <w:lvlText w:val="%1."/>
      <w:lvlJc w:val="left"/>
      <w:pPr>
        <w:ind w:left="129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26B13"/>
    <w:multiLevelType w:val="hybridMultilevel"/>
    <w:tmpl w:val="020E3D4C"/>
    <w:lvl w:ilvl="0" w:tplc="3CA85E3E">
      <w:start w:val="2"/>
      <w:numFmt w:val="bullet"/>
      <w:lvlText w:val="-"/>
      <w:lvlJc w:val="left"/>
      <w:pPr>
        <w:ind w:left="1287" w:hanging="360"/>
      </w:pPr>
      <w:rPr>
        <w:rFonts w:ascii="Arial" w:eastAsia="MS Mincho"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6DB1711D"/>
    <w:multiLevelType w:val="hybridMultilevel"/>
    <w:tmpl w:val="484CD798"/>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0A11C9C"/>
    <w:multiLevelType w:val="hybridMultilevel"/>
    <w:tmpl w:val="763ECAFA"/>
    <w:lvl w:ilvl="0" w:tplc="6E204BC8">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677810">
    <w:abstractNumId w:val="25"/>
  </w:num>
  <w:num w:numId="2" w16cid:durableId="400761307">
    <w:abstractNumId w:val="21"/>
  </w:num>
  <w:num w:numId="3" w16cid:durableId="2101874822">
    <w:abstractNumId w:val="13"/>
  </w:num>
  <w:num w:numId="4" w16cid:durableId="408501716">
    <w:abstractNumId w:val="4"/>
  </w:num>
  <w:num w:numId="5" w16cid:durableId="937522431">
    <w:abstractNumId w:val="9"/>
  </w:num>
  <w:num w:numId="6" w16cid:durableId="484014185">
    <w:abstractNumId w:val="11"/>
  </w:num>
  <w:num w:numId="7" w16cid:durableId="1027028850">
    <w:abstractNumId w:val="11"/>
    <w:lvlOverride w:ilvl="0">
      <w:startOverride w:val="1"/>
    </w:lvlOverride>
  </w:num>
  <w:num w:numId="8" w16cid:durableId="748161896">
    <w:abstractNumId w:val="11"/>
    <w:lvlOverride w:ilvl="0">
      <w:startOverride w:val="1"/>
    </w:lvlOverride>
  </w:num>
  <w:num w:numId="9" w16cid:durableId="1246569638">
    <w:abstractNumId w:val="11"/>
    <w:lvlOverride w:ilvl="0">
      <w:startOverride w:val="1"/>
    </w:lvlOverride>
  </w:num>
  <w:num w:numId="10" w16cid:durableId="730927524">
    <w:abstractNumId w:val="11"/>
    <w:lvlOverride w:ilvl="0">
      <w:startOverride w:val="1"/>
    </w:lvlOverride>
  </w:num>
  <w:num w:numId="11" w16cid:durableId="1772823668">
    <w:abstractNumId w:val="4"/>
    <w:lvlOverride w:ilvl="0">
      <w:startOverride w:val="1"/>
    </w:lvlOverride>
  </w:num>
  <w:num w:numId="12" w16cid:durableId="1272204577">
    <w:abstractNumId w:val="11"/>
    <w:lvlOverride w:ilvl="0">
      <w:startOverride w:val="1"/>
    </w:lvlOverride>
  </w:num>
  <w:num w:numId="13" w16cid:durableId="1515454636">
    <w:abstractNumId w:val="11"/>
    <w:lvlOverride w:ilvl="0">
      <w:startOverride w:val="1"/>
    </w:lvlOverride>
  </w:num>
  <w:num w:numId="14" w16cid:durableId="465464437">
    <w:abstractNumId w:val="11"/>
    <w:lvlOverride w:ilvl="0">
      <w:startOverride w:val="1"/>
    </w:lvlOverride>
  </w:num>
  <w:num w:numId="15" w16cid:durableId="1802335823">
    <w:abstractNumId w:val="2"/>
  </w:num>
  <w:num w:numId="16" w16cid:durableId="14625678">
    <w:abstractNumId w:val="8"/>
  </w:num>
  <w:num w:numId="17" w16cid:durableId="532770014">
    <w:abstractNumId w:val="6"/>
  </w:num>
  <w:num w:numId="18" w16cid:durableId="1126849963">
    <w:abstractNumId w:val="16"/>
  </w:num>
  <w:num w:numId="19" w16cid:durableId="1938708738">
    <w:abstractNumId w:val="23"/>
  </w:num>
  <w:num w:numId="20" w16cid:durableId="938828387">
    <w:abstractNumId w:val="5"/>
  </w:num>
  <w:num w:numId="21" w16cid:durableId="1515991896">
    <w:abstractNumId w:val="31"/>
  </w:num>
  <w:num w:numId="22" w16cid:durableId="1793865248">
    <w:abstractNumId w:val="29"/>
  </w:num>
  <w:num w:numId="23" w16cid:durableId="1899050148">
    <w:abstractNumId w:val="19"/>
  </w:num>
  <w:num w:numId="24" w16cid:durableId="1829856298">
    <w:abstractNumId w:val="28"/>
  </w:num>
  <w:num w:numId="25" w16cid:durableId="1475292000">
    <w:abstractNumId w:val="15"/>
  </w:num>
  <w:num w:numId="26" w16cid:durableId="418718097">
    <w:abstractNumId w:val="27"/>
  </w:num>
  <w:num w:numId="27" w16cid:durableId="1905876233">
    <w:abstractNumId w:val="15"/>
    <w:lvlOverride w:ilvl="0">
      <w:startOverride w:val="1"/>
    </w:lvlOverride>
  </w:num>
  <w:num w:numId="28" w16cid:durableId="1128475455">
    <w:abstractNumId w:val="15"/>
    <w:lvlOverride w:ilvl="0">
      <w:startOverride w:val="2"/>
    </w:lvlOverride>
  </w:num>
  <w:num w:numId="29" w16cid:durableId="967013536">
    <w:abstractNumId w:val="30"/>
  </w:num>
  <w:num w:numId="30" w16cid:durableId="1535456979">
    <w:abstractNumId w:val="15"/>
    <w:lvlOverride w:ilvl="0">
      <w:startOverride w:val="2"/>
    </w:lvlOverride>
  </w:num>
  <w:num w:numId="31" w16cid:durableId="1705521657">
    <w:abstractNumId w:val="20"/>
  </w:num>
  <w:num w:numId="32" w16cid:durableId="2042780483">
    <w:abstractNumId w:val="15"/>
    <w:lvlOverride w:ilvl="0">
      <w:startOverride w:val="2"/>
    </w:lvlOverride>
  </w:num>
  <w:num w:numId="33" w16cid:durableId="1923835561">
    <w:abstractNumId w:val="17"/>
  </w:num>
  <w:num w:numId="34" w16cid:durableId="1716351571">
    <w:abstractNumId w:val="24"/>
  </w:num>
  <w:num w:numId="35" w16cid:durableId="815300399">
    <w:abstractNumId w:val="19"/>
    <w:lvlOverride w:ilvl="0">
      <w:startOverride w:val="1"/>
    </w:lvlOverride>
  </w:num>
  <w:num w:numId="36" w16cid:durableId="1672023006">
    <w:abstractNumId w:val="19"/>
    <w:lvlOverride w:ilvl="0">
      <w:startOverride w:val="1"/>
    </w:lvlOverride>
  </w:num>
  <w:num w:numId="37" w16cid:durableId="1953244152">
    <w:abstractNumId w:val="12"/>
  </w:num>
  <w:num w:numId="38" w16cid:durableId="1158376455">
    <w:abstractNumId w:val="22"/>
  </w:num>
  <w:num w:numId="39" w16cid:durableId="77404864">
    <w:abstractNumId w:val="22"/>
    <w:lvlOverride w:ilvl="0">
      <w:startOverride w:val="1"/>
    </w:lvlOverride>
  </w:num>
  <w:num w:numId="40" w16cid:durableId="315883774">
    <w:abstractNumId w:val="18"/>
  </w:num>
  <w:num w:numId="41" w16cid:durableId="1844275654">
    <w:abstractNumId w:val="7"/>
  </w:num>
  <w:num w:numId="42" w16cid:durableId="381172685">
    <w:abstractNumId w:val="26"/>
  </w:num>
  <w:num w:numId="43" w16cid:durableId="1433474779">
    <w:abstractNumId w:val="0"/>
  </w:num>
  <w:num w:numId="44" w16cid:durableId="1876044072">
    <w:abstractNumId w:val="10"/>
  </w:num>
  <w:num w:numId="45" w16cid:durableId="648823072">
    <w:abstractNumId w:val="3"/>
  </w:num>
  <w:num w:numId="46" w16cid:durableId="1087115865">
    <w:abstractNumId w:val="1"/>
  </w:num>
  <w:num w:numId="47" w16cid:durableId="17551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CA"/>
    <w:rsid w:val="00001225"/>
    <w:rsid w:val="000025FB"/>
    <w:rsid w:val="00003913"/>
    <w:rsid w:val="00005CE9"/>
    <w:rsid w:val="00010CF3"/>
    <w:rsid w:val="00011E27"/>
    <w:rsid w:val="00012D24"/>
    <w:rsid w:val="000148BC"/>
    <w:rsid w:val="0001494C"/>
    <w:rsid w:val="000222AF"/>
    <w:rsid w:val="000230FE"/>
    <w:rsid w:val="00024AB8"/>
    <w:rsid w:val="000271AF"/>
    <w:rsid w:val="000300DE"/>
    <w:rsid w:val="00030854"/>
    <w:rsid w:val="000320D1"/>
    <w:rsid w:val="000346AB"/>
    <w:rsid w:val="0003579E"/>
    <w:rsid w:val="00035884"/>
    <w:rsid w:val="00035DDA"/>
    <w:rsid w:val="00036028"/>
    <w:rsid w:val="0003662F"/>
    <w:rsid w:val="0004198B"/>
    <w:rsid w:val="00043781"/>
    <w:rsid w:val="00044642"/>
    <w:rsid w:val="000446B9"/>
    <w:rsid w:val="000465DE"/>
    <w:rsid w:val="00046B8C"/>
    <w:rsid w:val="0004795C"/>
    <w:rsid w:val="00047CF1"/>
    <w:rsid w:val="00047E21"/>
    <w:rsid w:val="00050514"/>
    <w:rsid w:val="00050E16"/>
    <w:rsid w:val="00051ADC"/>
    <w:rsid w:val="00055E73"/>
    <w:rsid w:val="00057B88"/>
    <w:rsid w:val="000604D6"/>
    <w:rsid w:val="00060F09"/>
    <w:rsid w:val="0006133B"/>
    <w:rsid w:val="00064944"/>
    <w:rsid w:val="0006562C"/>
    <w:rsid w:val="00066D43"/>
    <w:rsid w:val="00071409"/>
    <w:rsid w:val="00071903"/>
    <w:rsid w:val="00071B4A"/>
    <w:rsid w:val="00072B66"/>
    <w:rsid w:val="000733EC"/>
    <w:rsid w:val="000809D7"/>
    <w:rsid w:val="00081996"/>
    <w:rsid w:val="00081B61"/>
    <w:rsid w:val="00085505"/>
    <w:rsid w:val="00086156"/>
    <w:rsid w:val="00090551"/>
    <w:rsid w:val="000A0A16"/>
    <w:rsid w:val="000A1A3F"/>
    <w:rsid w:val="000A267E"/>
    <w:rsid w:val="000A33B8"/>
    <w:rsid w:val="000A4310"/>
    <w:rsid w:val="000A4770"/>
    <w:rsid w:val="000A5916"/>
    <w:rsid w:val="000A6090"/>
    <w:rsid w:val="000A67F8"/>
    <w:rsid w:val="000B17C9"/>
    <w:rsid w:val="000B5600"/>
    <w:rsid w:val="000B714A"/>
    <w:rsid w:val="000C0FD4"/>
    <w:rsid w:val="000C211C"/>
    <w:rsid w:val="000C22CC"/>
    <w:rsid w:val="000C4ABD"/>
    <w:rsid w:val="000C4E25"/>
    <w:rsid w:val="000C7021"/>
    <w:rsid w:val="000C75DB"/>
    <w:rsid w:val="000D2C46"/>
    <w:rsid w:val="000D5FE9"/>
    <w:rsid w:val="000D6BBC"/>
    <w:rsid w:val="000D7780"/>
    <w:rsid w:val="000E00AC"/>
    <w:rsid w:val="000E0474"/>
    <w:rsid w:val="000E2D6A"/>
    <w:rsid w:val="000E4974"/>
    <w:rsid w:val="000E5A79"/>
    <w:rsid w:val="000E62E5"/>
    <w:rsid w:val="000E636A"/>
    <w:rsid w:val="000F0487"/>
    <w:rsid w:val="000F2F11"/>
    <w:rsid w:val="000F44A5"/>
    <w:rsid w:val="000F52A5"/>
    <w:rsid w:val="000F538B"/>
    <w:rsid w:val="000F6BBA"/>
    <w:rsid w:val="0010001A"/>
    <w:rsid w:val="00100A5F"/>
    <w:rsid w:val="00101639"/>
    <w:rsid w:val="001057FB"/>
    <w:rsid w:val="00105929"/>
    <w:rsid w:val="00107461"/>
    <w:rsid w:val="001074F3"/>
    <w:rsid w:val="00107851"/>
    <w:rsid w:val="00107CD3"/>
    <w:rsid w:val="00107F6D"/>
    <w:rsid w:val="00110AC8"/>
    <w:rsid w:val="00110BED"/>
    <w:rsid w:val="00110C36"/>
    <w:rsid w:val="00110C4D"/>
    <w:rsid w:val="00110DC3"/>
    <w:rsid w:val="001110C5"/>
    <w:rsid w:val="00111359"/>
    <w:rsid w:val="001131D5"/>
    <w:rsid w:val="00114547"/>
    <w:rsid w:val="00115C10"/>
    <w:rsid w:val="001160C8"/>
    <w:rsid w:val="00116E11"/>
    <w:rsid w:val="0011734E"/>
    <w:rsid w:val="0012007F"/>
    <w:rsid w:val="00120291"/>
    <w:rsid w:val="00122553"/>
    <w:rsid w:val="00122C95"/>
    <w:rsid w:val="00123959"/>
    <w:rsid w:val="00124B80"/>
    <w:rsid w:val="00124F48"/>
    <w:rsid w:val="00125A34"/>
    <w:rsid w:val="00125CB1"/>
    <w:rsid w:val="00126679"/>
    <w:rsid w:val="00126B74"/>
    <w:rsid w:val="0012713E"/>
    <w:rsid w:val="00130945"/>
    <w:rsid w:val="00131AC1"/>
    <w:rsid w:val="00132FC5"/>
    <w:rsid w:val="00133695"/>
    <w:rsid w:val="0013452A"/>
    <w:rsid w:val="00135F06"/>
    <w:rsid w:val="00136277"/>
    <w:rsid w:val="00141DB8"/>
    <w:rsid w:val="0014382F"/>
    <w:rsid w:val="00143B09"/>
    <w:rsid w:val="001440A0"/>
    <w:rsid w:val="0014464E"/>
    <w:rsid w:val="0014482F"/>
    <w:rsid w:val="0014520E"/>
    <w:rsid w:val="0014552D"/>
    <w:rsid w:val="00145B4D"/>
    <w:rsid w:val="00145CA2"/>
    <w:rsid w:val="001479BD"/>
    <w:rsid w:val="00153980"/>
    <w:rsid w:val="00154B12"/>
    <w:rsid w:val="0015556F"/>
    <w:rsid w:val="001576C8"/>
    <w:rsid w:val="00163EEF"/>
    <w:rsid w:val="001650EA"/>
    <w:rsid w:val="00165994"/>
    <w:rsid w:val="00165DF3"/>
    <w:rsid w:val="00172084"/>
    <w:rsid w:val="00172360"/>
    <w:rsid w:val="00173741"/>
    <w:rsid w:val="00173B6D"/>
    <w:rsid w:val="00173C8F"/>
    <w:rsid w:val="0017474A"/>
    <w:rsid w:val="001758C6"/>
    <w:rsid w:val="001764F8"/>
    <w:rsid w:val="00176FD4"/>
    <w:rsid w:val="00181B8C"/>
    <w:rsid w:val="00182356"/>
    <w:rsid w:val="00182B99"/>
    <w:rsid w:val="00182D22"/>
    <w:rsid w:val="001844E8"/>
    <w:rsid w:val="001862A6"/>
    <w:rsid w:val="0019155A"/>
    <w:rsid w:val="00192639"/>
    <w:rsid w:val="0019267D"/>
    <w:rsid w:val="001946ED"/>
    <w:rsid w:val="001949D0"/>
    <w:rsid w:val="00196FC5"/>
    <w:rsid w:val="001A0DD8"/>
    <w:rsid w:val="001A1382"/>
    <w:rsid w:val="001A1B0D"/>
    <w:rsid w:val="001A621F"/>
    <w:rsid w:val="001A63A4"/>
    <w:rsid w:val="001B0E7D"/>
    <w:rsid w:val="001B2365"/>
    <w:rsid w:val="001B2E98"/>
    <w:rsid w:val="001B3715"/>
    <w:rsid w:val="001B49F9"/>
    <w:rsid w:val="001B721A"/>
    <w:rsid w:val="001B7A9E"/>
    <w:rsid w:val="001C0955"/>
    <w:rsid w:val="001C1009"/>
    <w:rsid w:val="001C1525"/>
    <w:rsid w:val="001C1CD0"/>
    <w:rsid w:val="001C3B54"/>
    <w:rsid w:val="001C4D2A"/>
    <w:rsid w:val="001C7987"/>
    <w:rsid w:val="001D080E"/>
    <w:rsid w:val="001D1BAC"/>
    <w:rsid w:val="001D2593"/>
    <w:rsid w:val="001D332A"/>
    <w:rsid w:val="001D3A36"/>
    <w:rsid w:val="001D41B4"/>
    <w:rsid w:val="001D42B6"/>
    <w:rsid w:val="001D71DF"/>
    <w:rsid w:val="001D736D"/>
    <w:rsid w:val="001E093B"/>
    <w:rsid w:val="001E2051"/>
    <w:rsid w:val="001E26DD"/>
    <w:rsid w:val="001E29C4"/>
    <w:rsid w:val="001E629A"/>
    <w:rsid w:val="001F1740"/>
    <w:rsid w:val="001F298F"/>
    <w:rsid w:val="001F2C27"/>
    <w:rsid w:val="001F357C"/>
    <w:rsid w:val="002010C6"/>
    <w:rsid w:val="00202982"/>
    <w:rsid w:val="00203631"/>
    <w:rsid w:val="00205CAF"/>
    <w:rsid w:val="00210B35"/>
    <w:rsid w:val="0021273E"/>
    <w:rsid w:val="0021332C"/>
    <w:rsid w:val="00213982"/>
    <w:rsid w:val="002140B8"/>
    <w:rsid w:val="0021556A"/>
    <w:rsid w:val="00217760"/>
    <w:rsid w:val="00220C27"/>
    <w:rsid w:val="00221BB8"/>
    <w:rsid w:val="00222D6D"/>
    <w:rsid w:val="00223F3E"/>
    <w:rsid w:val="00224395"/>
    <w:rsid w:val="00226B9A"/>
    <w:rsid w:val="00227B1C"/>
    <w:rsid w:val="00233C38"/>
    <w:rsid w:val="00235763"/>
    <w:rsid w:val="00235ABA"/>
    <w:rsid w:val="00240F17"/>
    <w:rsid w:val="00241B61"/>
    <w:rsid w:val="002439E9"/>
    <w:rsid w:val="0024416D"/>
    <w:rsid w:val="00244976"/>
    <w:rsid w:val="00245273"/>
    <w:rsid w:val="002516C3"/>
    <w:rsid w:val="00251D2C"/>
    <w:rsid w:val="00251E2A"/>
    <w:rsid w:val="0025439E"/>
    <w:rsid w:val="0025596F"/>
    <w:rsid w:val="00257D41"/>
    <w:rsid w:val="00257F3C"/>
    <w:rsid w:val="00260887"/>
    <w:rsid w:val="002629C3"/>
    <w:rsid w:val="00263789"/>
    <w:rsid w:val="00265782"/>
    <w:rsid w:val="00265E0F"/>
    <w:rsid w:val="00267D23"/>
    <w:rsid w:val="002709DB"/>
    <w:rsid w:val="00270BD7"/>
    <w:rsid w:val="00271911"/>
    <w:rsid w:val="002721F9"/>
    <w:rsid w:val="00272BAB"/>
    <w:rsid w:val="00273187"/>
    <w:rsid w:val="002800A0"/>
    <w:rsid w:val="002801B3"/>
    <w:rsid w:val="00281060"/>
    <w:rsid w:val="0028168A"/>
    <w:rsid w:val="002829E4"/>
    <w:rsid w:val="00284360"/>
    <w:rsid w:val="00285BD0"/>
    <w:rsid w:val="00287F52"/>
    <w:rsid w:val="00290373"/>
    <w:rsid w:val="00291EBF"/>
    <w:rsid w:val="00292C38"/>
    <w:rsid w:val="00292EF7"/>
    <w:rsid w:val="002940E8"/>
    <w:rsid w:val="00294751"/>
    <w:rsid w:val="00294986"/>
    <w:rsid w:val="00295B22"/>
    <w:rsid w:val="00296F12"/>
    <w:rsid w:val="00297B41"/>
    <w:rsid w:val="002A0E18"/>
    <w:rsid w:val="002A12E1"/>
    <w:rsid w:val="002A29A3"/>
    <w:rsid w:val="002A4C99"/>
    <w:rsid w:val="002A546D"/>
    <w:rsid w:val="002A6E50"/>
    <w:rsid w:val="002A78BA"/>
    <w:rsid w:val="002B0C00"/>
    <w:rsid w:val="002B0D5B"/>
    <w:rsid w:val="002B38CA"/>
    <w:rsid w:val="002B4298"/>
    <w:rsid w:val="002B4F38"/>
    <w:rsid w:val="002B61CD"/>
    <w:rsid w:val="002B62B0"/>
    <w:rsid w:val="002B681B"/>
    <w:rsid w:val="002B7A36"/>
    <w:rsid w:val="002B7F26"/>
    <w:rsid w:val="002C131E"/>
    <w:rsid w:val="002C1649"/>
    <w:rsid w:val="002C22A2"/>
    <w:rsid w:val="002C256A"/>
    <w:rsid w:val="002C317F"/>
    <w:rsid w:val="002C40A1"/>
    <w:rsid w:val="002C5E60"/>
    <w:rsid w:val="002C78B3"/>
    <w:rsid w:val="002D0AA1"/>
    <w:rsid w:val="002D2C7C"/>
    <w:rsid w:val="002D2D96"/>
    <w:rsid w:val="002D369F"/>
    <w:rsid w:val="002D5226"/>
    <w:rsid w:val="002D5AC9"/>
    <w:rsid w:val="002E00AC"/>
    <w:rsid w:val="002E19F6"/>
    <w:rsid w:val="002E5282"/>
    <w:rsid w:val="002E70C9"/>
    <w:rsid w:val="002F0351"/>
    <w:rsid w:val="002F242E"/>
    <w:rsid w:val="002F2CAA"/>
    <w:rsid w:val="002F3119"/>
    <w:rsid w:val="002F3898"/>
    <w:rsid w:val="002F3B82"/>
    <w:rsid w:val="002F4E52"/>
    <w:rsid w:val="002F4F15"/>
    <w:rsid w:val="002F74E3"/>
    <w:rsid w:val="002F74FC"/>
    <w:rsid w:val="00300AEA"/>
    <w:rsid w:val="003012FA"/>
    <w:rsid w:val="00303952"/>
    <w:rsid w:val="00305A7F"/>
    <w:rsid w:val="0030673D"/>
    <w:rsid w:val="00307CA9"/>
    <w:rsid w:val="00310DD2"/>
    <w:rsid w:val="00311464"/>
    <w:rsid w:val="003127BF"/>
    <w:rsid w:val="003138C6"/>
    <w:rsid w:val="00313BFE"/>
    <w:rsid w:val="00314144"/>
    <w:rsid w:val="0031427C"/>
    <w:rsid w:val="003152FE"/>
    <w:rsid w:val="00315540"/>
    <w:rsid w:val="003238DE"/>
    <w:rsid w:val="00324AC9"/>
    <w:rsid w:val="00324FFF"/>
    <w:rsid w:val="00325FC9"/>
    <w:rsid w:val="00327436"/>
    <w:rsid w:val="00327494"/>
    <w:rsid w:val="00332065"/>
    <w:rsid w:val="00334E44"/>
    <w:rsid w:val="00342001"/>
    <w:rsid w:val="00343E88"/>
    <w:rsid w:val="003445B5"/>
    <w:rsid w:val="00344BD6"/>
    <w:rsid w:val="00344E2E"/>
    <w:rsid w:val="0035048E"/>
    <w:rsid w:val="003524C5"/>
    <w:rsid w:val="003524FA"/>
    <w:rsid w:val="003532B5"/>
    <w:rsid w:val="00353CEA"/>
    <w:rsid w:val="0035528D"/>
    <w:rsid w:val="00356FB2"/>
    <w:rsid w:val="00361821"/>
    <w:rsid w:val="00361889"/>
    <w:rsid w:val="003619ED"/>
    <w:rsid w:val="00361E9E"/>
    <w:rsid w:val="00362980"/>
    <w:rsid w:val="0036318B"/>
    <w:rsid w:val="003633F8"/>
    <w:rsid w:val="003674BD"/>
    <w:rsid w:val="003679B0"/>
    <w:rsid w:val="00370AC7"/>
    <w:rsid w:val="00370E64"/>
    <w:rsid w:val="00371D06"/>
    <w:rsid w:val="0037411B"/>
    <w:rsid w:val="003743DA"/>
    <w:rsid w:val="0037470A"/>
    <w:rsid w:val="003753EE"/>
    <w:rsid w:val="003816C7"/>
    <w:rsid w:val="0038246F"/>
    <w:rsid w:val="00383D5A"/>
    <w:rsid w:val="0039176E"/>
    <w:rsid w:val="00392435"/>
    <w:rsid w:val="00392676"/>
    <w:rsid w:val="00393E94"/>
    <w:rsid w:val="003956E8"/>
    <w:rsid w:val="00395C92"/>
    <w:rsid w:val="003A0835"/>
    <w:rsid w:val="003A2DA4"/>
    <w:rsid w:val="003A3516"/>
    <w:rsid w:val="003A429E"/>
    <w:rsid w:val="003A471F"/>
    <w:rsid w:val="003A5735"/>
    <w:rsid w:val="003A5AAF"/>
    <w:rsid w:val="003A6F72"/>
    <w:rsid w:val="003A7741"/>
    <w:rsid w:val="003B1549"/>
    <w:rsid w:val="003B2B31"/>
    <w:rsid w:val="003B700A"/>
    <w:rsid w:val="003B7AA2"/>
    <w:rsid w:val="003C1A61"/>
    <w:rsid w:val="003C1A95"/>
    <w:rsid w:val="003C2A29"/>
    <w:rsid w:val="003C4763"/>
    <w:rsid w:val="003C4D6A"/>
    <w:rsid w:val="003C4DFE"/>
    <w:rsid w:val="003C6ABA"/>
    <w:rsid w:val="003C7FBE"/>
    <w:rsid w:val="003D180A"/>
    <w:rsid w:val="003D1917"/>
    <w:rsid w:val="003D227C"/>
    <w:rsid w:val="003D289F"/>
    <w:rsid w:val="003D2B4D"/>
    <w:rsid w:val="003D3189"/>
    <w:rsid w:val="003D345A"/>
    <w:rsid w:val="003D43A1"/>
    <w:rsid w:val="003D4631"/>
    <w:rsid w:val="003D5706"/>
    <w:rsid w:val="003D5A4B"/>
    <w:rsid w:val="003D5D38"/>
    <w:rsid w:val="003D6319"/>
    <w:rsid w:val="003D7A73"/>
    <w:rsid w:val="003E0592"/>
    <w:rsid w:val="003E3646"/>
    <w:rsid w:val="003E5381"/>
    <w:rsid w:val="003E5C6A"/>
    <w:rsid w:val="003F18BE"/>
    <w:rsid w:val="003F1BA1"/>
    <w:rsid w:val="003F2673"/>
    <w:rsid w:val="003F37F5"/>
    <w:rsid w:val="004000B8"/>
    <w:rsid w:val="00402208"/>
    <w:rsid w:val="00404431"/>
    <w:rsid w:val="00405700"/>
    <w:rsid w:val="00406659"/>
    <w:rsid w:val="00407828"/>
    <w:rsid w:val="004101A6"/>
    <w:rsid w:val="00411805"/>
    <w:rsid w:val="004153C2"/>
    <w:rsid w:val="004216D0"/>
    <w:rsid w:val="0042184A"/>
    <w:rsid w:val="00421DAF"/>
    <w:rsid w:val="00423B19"/>
    <w:rsid w:val="00424819"/>
    <w:rsid w:val="00425BA1"/>
    <w:rsid w:val="0042675A"/>
    <w:rsid w:val="00426911"/>
    <w:rsid w:val="004322FB"/>
    <w:rsid w:val="00432C7D"/>
    <w:rsid w:val="00434A77"/>
    <w:rsid w:val="00434F38"/>
    <w:rsid w:val="00440043"/>
    <w:rsid w:val="00440730"/>
    <w:rsid w:val="00441A8C"/>
    <w:rsid w:val="004420EC"/>
    <w:rsid w:val="0044240F"/>
    <w:rsid w:val="00444A88"/>
    <w:rsid w:val="004515E3"/>
    <w:rsid w:val="0045299F"/>
    <w:rsid w:val="004543F5"/>
    <w:rsid w:val="00454749"/>
    <w:rsid w:val="0045550C"/>
    <w:rsid w:val="00456A49"/>
    <w:rsid w:val="004601C9"/>
    <w:rsid w:val="00461438"/>
    <w:rsid w:val="0046299F"/>
    <w:rsid w:val="00464AE1"/>
    <w:rsid w:val="0046537A"/>
    <w:rsid w:val="00465ABE"/>
    <w:rsid w:val="00470586"/>
    <w:rsid w:val="00470990"/>
    <w:rsid w:val="00471342"/>
    <w:rsid w:val="0047169D"/>
    <w:rsid w:val="00471AF6"/>
    <w:rsid w:val="00472388"/>
    <w:rsid w:val="00472ACC"/>
    <w:rsid w:val="00472B51"/>
    <w:rsid w:val="004730C8"/>
    <w:rsid w:val="00473F56"/>
    <w:rsid w:val="004745CD"/>
    <w:rsid w:val="00474DA4"/>
    <w:rsid w:val="00475810"/>
    <w:rsid w:val="00475A2F"/>
    <w:rsid w:val="00475AB0"/>
    <w:rsid w:val="004767D6"/>
    <w:rsid w:val="00476B4D"/>
    <w:rsid w:val="004777B2"/>
    <w:rsid w:val="004805B3"/>
    <w:rsid w:val="004805FA"/>
    <w:rsid w:val="00481656"/>
    <w:rsid w:val="00485129"/>
    <w:rsid w:val="0048716E"/>
    <w:rsid w:val="00487C3A"/>
    <w:rsid w:val="00487C4A"/>
    <w:rsid w:val="00490B73"/>
    <w:rsid w:val="0049206E"/>
    <w:rsid w:val="004935D2"/>
    <w:rsid w:val="00493995"/>
    <w:rsid w:val="004954D4"/>
    <w:rsid w:val="00495FDB"/>
    <w:rsid w:val="004A0FFD"/>
    <w:rsid w:val="004A1ED5"/>
    <w:rsid w:val="004A2823"/>
    <w:rsid w:val="004A4889"/>
    <w:rsid w:val="004A622D"/>
    <w:rsid w:val="004A683A"/>
    <w:rsid w:val="004A6C71"/>
    <w:rsid w:val="004B01D5"/>
    <w:rsid w:val="004B1215"/>
    <w:rsid w:val="004C0FB6"/>
    <w:rsid w:val="004C120A"/>
    <w:rsid w:val="004C26EE"/>
    <w:rsid w:val="004C3564"/>
    <w:rsid w:val="004C4EE8"/>
    <w:rsid w:val="004D03AB"/>
    <w:rsid w:val="004D047D"/>
    <w:rsid w:val="004D217B"/>
    <w:rsid w:val="004D2C46"/>
    <w:rsid w:val="004D3CC7"/>
    <w:rsid w:val="004D3EE1"/>
    <w:rsid w:val="004D3FA3"/>
    <w:rsid w:val="004D46E0"/>
    <w:rsid w:val="004E1C5B"/>
    <w:rsid w:val="004E1F5A"/>
    <w:rsid w:val="004E38C5"/>
    <w:rsid w:val="004E76CD"/>
    <w:rsid w:val="004F1E9E"/>
    <w:rsid w:val="004F2420"/>
    <w:rsid w:val="004F305A"/>
    <w:rsid w:val="004F477C"/>
    <w:rsid w:val="004F4E5F"/>
    <w:rsid w:val="004F5DA8"/>
    <w:rsid w:val="00501680"/>
    <w:rsid w:val="00504359"/>
    <w:rsid w:val="00506A9E"/>
    <w:rsid w:val="00506FC9"/>
    <w:rsid w:val="00506FF1"/>
    <w:rsid w:val="00512164"/>
    <w:rsid w:val="00512B0D"/>
    <w:rsid w:val="00515759"/>
    <w:rsid w:val="00515FCE"/>
    <w:rsid w:val="00520297"/>
    <w:rsid w:val="00521806"/>
    <w:rsid w:val="00522128"/>
    <w:rsid w:val="00522B11"/>
    <w:rsid w:val="00522B64"/>
    <w:rsid w:val="00522CFF"/>
    <w:rsid w:val="00524F4D"/>
    <w:rsid w:val="00526738"/>
    <w:rsid w:val="00530B03"/>
    <w:rsid w:val="00530DD3"/>
    <w:rsid w:val="00532259"/>
    <w:rsid w:val="0053261C"/>
    <w:rsid w:val="00533444"/>
    <w:rsid w:val="005337F8"/>
    <w:rsid w:val="005338F9"/>
    <w:rsid w:val="00533933"/>
    <w:rsid w:val="00534295"/>
    <w:rsid w:val="005362A5"/>
    <w:rsid w:val="00537E91"/>
    <w:rsid w:val="005409C7"/>
    <w:rsid w:val="00540A88"/>
    <w:rsid w:val="005419DB"/>
    <w:rsid w:val="00542736"/>
    <w:rsid w:val="0054281C"/>
    <w:rsid w:val="00544205"/>
    <w:rsid w:val="00544280"/>
    <w:rsid w:val="00544581"/>
    <w:rsid w:val="00547554"/>
    <w:rsid w:val="00550FF9"/>
    <w:rsid w:val="00551D2C"/>
    <w:rsid w:val="0055268D"/>
    <w:rsid w:val="0055351F"/>
    <w:rsid w:val="0055465C"/>
    <w:rsid w:val="00556675"/>
    <w:rsid w:val="00560089"/>
    <w:rsid w:val="005612DD"/>
    <w:rsid w:val="0056173A"/>
    <w:rsid w:val="005656A6"/>
    <w:rsid w:val="00571065"/>
    <w:rsid w:val="00572817"/>
    <w:rsid w:val="005728B1"/>
    <w:rsid w:val="00573061"/>
    <w:rsid w:val="00573F07"/>
    <w:rsid w:val="0057480B"/>
    <w:rsid w:val="005751C4"/>
    <w:rsid w:val="00575DE2"/>
    <w:rsid w:val="00576BE4"/>
    <w:rsid w:val="005779DB"/>
    <w:rsid w:val="00577F8E"/>
    <w:rsid w:val="00582869"/>
    <w:rsid w:val="0058500B"/>
    <w:rsid w:val="0058621D"/>
    <w:rsid w:val="00591BAE"/>
    <w:rsid w:val="00592AD3"/>
    <w:rsid w:val="00595A50"/>
    <w:rsid w:val="00596380"/>
    <w:rsid w:val="005963F0"/>
    <w:rsid w:val="005972A1"/>
    <w:rsid w:val="005972FA"/>
    <w:rsid w:val="005A0B93"/>
    <w:rsid w:val="005A3CCA"/>
    <w:rsid w:val="005A400A"/>
    <w:rsid w:val="005A5ACE"/>
    <w:rsid w:val="005A61CB"/>
    <w:rsid w:val="005B1F18"/>
    <w:rsid w:val="005B269D"/>
    <w:rsid w:val="005B333F"/>
    <w:rsid w:val="005B4904"/>
    <w:rsid w:val="005B5A0A"/>
    <w:rsid w:val="005B6C70"/>
    <w:rsid w:val="005B74C2"/>
    <w:rsid w:val="005C0078"/>
    <w:rsid w:val="005C0FB5"/>
    <w:rsid w:val="005C297B"/>
    <w:rsid w:val="005C29E4"/>
    <w:rsid w:val="005C30C9"/>
    <w:rsid w:val="005C3343"/>
    <w:rsid w:val="005C6042"/>
    <w:rsid w:val="005D165A"/>
    <w:rsid w:val="005D1C40"/>
    <w:rsid w:val="005D33F5"/>
    <w:rsid w:val="005D4129"/>
    <w:rsid w:val="005D55E5"/>
    <w:rsid w:val="005D7F77"/>
    <w:rsid w:val="005E1862"/>
    <w:rsid w:val="005E2395"/>
    <w:rsid w:val="005E5546"/>
    <w:rsid w:val="005F0A13"/>
    <w:rsid w:val="005F0B8B"/>
    <w:rsid w:val="005F30EF"/>
    <w:rsid w:val="005F37CE"/>
    <w:rsid w:val="005F5AEF"/>
    <w:rsid w:val="005F6CA8"/>
    <w:rsid w:val="005F73D3"/>
    <w:rsid w:val="005F7B92"/>
    <w:rsid w:val="00600EC5"/>
    <w:rsid w:val="006010EF"/>
    <w:rsid w:val="0060242D"/>
    <w:rsid w:val="0060311C"/>
    <w:rsid w:val="00604707"/>
    <w:rsid w:val="00606919"/>
    <w:rsid w:val="00612379"/>
    <w:rsid w:val="00612C35"/>
    <w:rsid w:val="00613450"/>
    <w:rsid w:val="006153B6"/>
    <w:rsid w:val="0061555F"/>
    <w:rsid w:val="00622B7E"/>
    <w:rsid w:val="00623817"/>
    <w:rsid w:val="006245ED"/>
    <w:rsid w:val="006255E8"/>
    <w:rsid w:val="00630462"/>
    <w:rsid w:val="00631C28"/>
    <w:rsid w:val="006345F6"/>
    <w:rsid w:val="00636CA6"/>
    <w:rsid w:val="0063724C"/>
    <w:rsid w:val="00637BCF"/>
    <w:rsid w:val="00640E10"/>
    <w:rsid w:val="00641200"/>
    <w:rsid w:val="00642CE6"/>
    <w:rsid w:val="00642CEF"/>
    <w:rsid w:val="00643623"/>
    <w:rsid w:val="00644FB1"/>
    <w:rsid w:val="00645CA8"/>
    <w:rsid w:val="00646BF3"/>
    <w:rsid w:val="00646FDE"/>
    <w:rsid w:val="0064783F"/>
    <w:rsid w:val="0065031E"/>
    <w:rsid w:val="00650A61"/>
    <w:rsid w:val="00650BCB"/>
    <w:rsid w:val="00650FB2"/>
    <w:rsid w:val="00652348"/>
    <w:rsid w:val="00653C19"/>
    <w:rsid w:val="00653E0E"/>
    <w:rsid w:val="00657F4A"/>
    <w:rsid w:val="00657FCA"/>
    <w:rsid w:val="00662FC4"/>
    <w:rsid w:val="006639AA"/>
    <w:rsid w:val="006655D3"/>
    <w:rsid w:val="00666976"/>
    <w:rsid w:val="0066701E"/>
    <w:rsid w:val="006671EB"/>
    <w:rsid w:val="00667404"/>
    <w:rsid w:val="00671E8A"/>
    <w:rsid w:val="00673FBF"/>
    <w:rsid w:val="00675087"/>
    <w:rsid w:val="00675D1F"/>
    <w:rsid w:val="00676E2A"/>
    <w:rsid w:val="00676EFE"/>
    <w:rsid w:val="006779DC"/>
    <w:rsid w:val="0068095B"/>
    <w:rsid w:val="00681443"/>
    <w:rsid w:val="00683842"/>
    <w:rsid w:val="0068528F"/>
    <w:rsid w:val="006868F8"/>
    <w:rsid w:val="00687EB4"/>
    <w:rsid w:val="00690900"/>
    <w:rsid w:val="0069298B"/>
    <w:rsid w:val="0069391E"/>
    <w:rsid w:val="00695C56"/>
    <w:rsid w:val="00695D23"/>
    <w:rsid w:val="006971FC"/>
    <w:rsid w:val="006A1613"/>
    <w:rsid w:val="006A263B"/>
    <w:rsid w:val="006A3BDC"/>
    <w:rsid w:val="006A5CDE"/>
    <w:rsid w:val="006A6182"/>
    <w:rsid w:val="006A644A"/>
    <w:rsid w:val="006B17D2"/>
    <w:rsid w:val="006B2C85"/>
    <w:rsid w:val="006C03E6"/>
    <w:rsid w:val="006C0785"/>
    <w:rsid w:val="006C224E"/>
    <w:rsid w:val="006C3F6E"/>
    <w:rsid w:val="006C5E05"/>
    <w:rsid w:val="006C7330"/>
    <w:rsid w:val="006D0B09"/>
    <w:rsid w:val="006D0BDB"/>
    <w:rsid w:val="006D1194"/>
    <w:rsid w:val="006D3882"/>
    <w:rsid w:val="006D4149"/>
    <w:rsid w:val="006D4AAC"/>
    <w:rsid w:val="006D74B6"/>
    <w:rsid w:val="006D780A"/>
    <w:rsid w:val="006D7B49"/>
    <w:rsid w:val="006E0B11"/>
    <w:rsid w:val="006E2D2D"/>
    <w:rsid w:val="006E36AA"/>
    <w:rsid w:val="006E3774"/>
    <w:rsid w:val="006E4B3B"/>
    <w:rsid w:val="006E4B7F"/>
    <w:rsid w:val="006E4C6D"/>
    <w:rsid w:val="006E4F4F"/>
    <w:rsid w:val="006E5114"/>
    <w:rsid w:val="006E7ACD"/>
    <w:rsid w:val="006F0437"/>
    <w:rsid w:val="006F04E7"/>
    <w:rsid w:val="006F3491"/>
    <w:rsid w:val="006F66D1"/>
    <w:rsid w:val="006F79A0"/>
    <w:rsid w:val="006F7D96"/>
    <w:rsid w:val="00700E80"/>
    <w:rsid w:val="00702901"/>
    <w:rsid w:val="007052B8"/>
    <w:rsid w:val="00705887"/>
    <w:rsid w:val="007068DA"/>
    <w:rsid w:val="0071271E"/>
    <w:rsid w:val="00713D4D"/>
    <w:rsid w:val="00714D7F"/>
    <w:rsid w:val="00714E18"/>
    <w:rsid w:val="00714E2F"/>
    <w:rsid w:val="007154FD"/>
    <w:rsid w:val="0072016D"/>
    <w:rsid w:val="00720AB3"/>
    <w:rsid w:val="00726D57"/>
    <w:rsid w:val="00731381"/>
    <w:rsid w:val="00732DEC"/>
    <w:rsid w:val="00733877"/>
    <w:rsid w:val="00733A63"/>
    <w:rsid w:val="007359DF"/>
    <w:rsid w:val="00735BD5"/>
    <w:rsid w:val="007370C3"/>
    <w:rsid w:val="00742BD3"/>
    <w:rsid w:val="00742BD6"/>
    <w:rsid w:val="007451EC"/>
    <w:rsid w:val="0074558C"/>
    <w:rsid w:val="00747D33"/>
    <w:rsid w:val="0075057A"/>
    <w:rsid w:val="00751613"/>
    <w:rsid w:val="00752016"/>
    <w:rsid w:val="007523FB"/>
    <w:rsid w:val="00752DC0"/>
    <w:rsid w:val="00752F0F"/>
    <w:rsid w:val="00753EE9"/>
    <w:rsid w:val="007546B2"/>
    <w:rsid w:val="007556F6"/>
    <w:rsid w:val="007558F4"/>
    <w:rsid w:val="007578C5"/>
    <w:rsid w:val="00760EEF"/>
    <w:rsid w:val="00761064"/>
    <w:rsid w:val="00762E8C"/>
    <w:rsid w:val="00763C99"/>
    <w:rsid w:val="007722B5"/>
    <w:rsid w:val="00773832"/>
    <w:rsid w:val="00773ED0"/>
    <w:rsid w:val="0077577B"/>
    <w:rsid w:val="00777EE5"/>
    <w:rsid w:val="00781B8B"/>
    <w:rsid w:val="00784836"/>
    <w:rsid w:val="00784BBE"/>
    <w:rsid w:val="0078529E"/>
    <w:rsid w:val="007861CD"/>
    <w:rsid w:val="00786778"/>
    <w:rsid w:val="0079023E"/>
    <w:rsid w:val="00790EBF"/>
    <w:rsid w:val="007915EA"/>
    <w:rsid w:val="00792A2B"/>
    <w:rsid w:val="007955AE"/>
    <w:rsid w:val="00795BFF"/>
    <w:rsid w:val="007960A1"/>
    <w:rsid w:val="007A0D7E"/>
    <w:rsid w:val="007A2854"/>
    <w:rsid w:val="007A3B9D"/>
    <w:rsid w:val="007A7FCA"/>
    <w:rsid w:val="007B2604"/>
    <w:rsid w:val="007B317A"/>
    <w:rsid w:val="007B6664"/>
    <w:rsid w:val="007B6D37"/>
    <w:rsid w:val="007B73A9"/>
    <w:rsid w:val="007C01EB"/>
    <w:rsid w:val="007C0689"/>
    <w:rsid w:val="007C1D92"/>
    <w:rsid w:val="007C28FB"/>
    <w:rsid w:val="007C2A57"/>
    <w:rsid w:val="007C4CB9"/>
    <w:rsid w:val="007C6C55"/>
    <w:rsid w:val="007C7012"/>
    <w:rsid w:val="007D0461"/>
    <w:rsid w:val="007D0B9D"/>
    <w:rsid w:val="007D19B0"/>
    <w:rsid w:val="007D2C3E"/>
    <w:rsid w:val="007D3293"/>
    <w:rsid w:val="007D46BF"/>
    <w:rsid w:val="007D744C"/>
    <w:rsid w:val="007D762E"/>
    <w:rsid w:val="007E05E5"/>
    <w:rsid w:val="007E1602"/>
    <w:rsid w:val="007E2BB2"/>
    <w:rsid w:val="007E36E5"/>
    <w:rsid w:val="007E4687"/>
    <w:rsid w:val="007F1318"/>
    <w:rsid w:val="007F1DBF"/>
    <w:rsid w:val="007F3BBD"/>
    <w:rsid w:val="007F4487"/>
    <w:rsid w:val="007F498F"/>
    <w:rsid w:val="007F4A57"/>
    <w:rsid w:val="007F4AA5"/>
    <w:rsid w:val="007F58E5"/>
    <w:rsid w:val="007F5FA2"/>
    <w:rsid w:val="007F6BAB"/>
    <w:rsid w:val="007F72C4"/>
    <w:rsid w:val="007F7701"/>
    <w:rsid w:val="00800686"/>
    <w:rsid w:val="0080077B"/>
    <w:rsid w:val="00800D00"/>
    <w:rsid w:val="00802749"/>
    <w:rsid w:val="0080468C"/>
    <w:rsid w:val="0080679D"/>
    <w:rsid w:val="00807505"/>
    <w:rsid w:val="00807671"/>
    <w:rsid w:val="0081000F"/>
    <w:rsid w:val="008108B0"/>
    <w:rsid w:val="00811B20"/>
    <w:rsid w:val="00812609"/>
    <w:rsid w:val="008129D3"/>
    <w:rsid w:val="00813914"/>
    <w:rsid w:val="00814FF1"/>
    <w:rsid w:val="008211B5"/>
    <w:rsid w:val="0082296E"/>
    <w:rsid w:val="00824099"/>
    <w:rsid w:val="00824188"/>
    <w:rsid w:val="0082434F"/>
    <w:rsid w:val="0082493F"/>
    <w:rsid w:val="00825147"/>
    <w:rsid w:val="00825360"/>
    <w:rsid w:val="008261BF"/>
    <w:rsid w:val="008313AE"/>
    <w:rsid w:val="00831868"/>
    <w:rsid w:val="008318BF"/>
    <w:rsid w:val="00832960"/>
    <w:rsid w:val="00832DD2"/>
    <w:rsid w:val="00833141"/>
    <w:rsid w:val="00834D62"/>
    <w:rsid w:val="008375C0"/>
    <w:rsid w:val="0084006D"/>
    <w:rsid w:val="00843455"/>
    <w:rsid w:val="008441D1"/>
    <w:rsid w:val="00844AFF"/>
    <w:rsid w:val="00845148"/>
    <w:rsid w:val="00845306"/>
    <w:rsid w:val="00846D7C"/>
    <w:rsid w:val="00847509"/>
    <w:rsid w:val="00850960"/>
    <w:rsid w:val="008518DD"/>
    <w:rsid w:val="008520D3"/>
    <w:rsid w:val="008529A3"/>
    <w:rsid w:val="008534C1"/>
    <w:rsid w:val="00853E9D"/>
    <w:rsid w:val="00854A65"/>
    <w:rsid w:val="00855888"/>
    <w:rsid w:val="00857BDD"/>
    <w:rsid w:val="00860743"/>
    <w:rsid w:val="00863194"/>
    <w:rsid w:val="00864F74"/>
    <w:rsid w:val="00865A4D"/>
    <w:rsid w:val="00867156"/>
    <w:rsid w:val="00867AC1"/>
    <w:rsid w:val="00870B29"/>
    <w:rsid w:val="008732FE"/>
    <w:rsid w:val="00873F5B"/>
    <w:rsid w:val="008744E8"/>
    <w:rsid w:val="00874D30"/>
    <w:rsid w:val="008751DE"/>
    <w:rsid w:val="008773FF"/>
    <w:rsid w:val="008801D0"/>
    <w:rsid w:val="00881720"/>
    <w:rsid w:val="00882559"/>
    <w:rsid w:val="00882BE8"/>
    <w:rsid w:val="00884600"/>
    <w:rsid w:val="008864D3"/>
    <w:rsid w:val="00886E5D"/>
    <w:rsid w:val="00887232"/>
    <w:rsid w:val="0088732A"/>
    <w:rsid w:val="0088748D"/>
    <w:rsid w:val="00887594"/>
    <w:rsid w:val="0088784C"/>
    <w:rsid w:val="008902B6"/>
    <w:rsid w:val="00890B81"/>
    <w:rsid w:val="00890DF8"/>
    <w:rsid w:val="00892001"/>
    <w:rsid w:val="008950F1"/>
    <w:rsid w:val="00895393"/>
    <w:rsid w:val="00895431"/>
    <w:rsid w:val="0089621A"/>
    <w:rsid w:val="008A0ADE"/>
    <w:rsid w:val="008A13D6"/>
    <w:rsid w:val="008A1A19"/>
    <w:rsid w:val="008A22E1"/>
    <w:rsid w:val="008A3D22"/>
    <w:rsid w:val="008A4C42"/>
    <w:rsid w:val="008A52E0"/>
    <w:rsid w:val="008A5709"/>
    <w:rsid w:val="008A743F"/>
    <w:rsid w:val="008A7BE8"/>
    <w:rsid w:val="008A7BEE"/>
    <w:rsid w:val="008B34E7"/>
    <w:rsid w:val="008B3FE8"/>
    <w:rsid w:val="008B4286"/>
    <w:rsid w:val="008B5FBB"/>
    <w:rsid w:val="008B6969"/>
    <w:rsid w:val="008C0970"/>
    <w:rsid w:val="008C14E1"/>
    <w:rsid w:val="008C1675"/>
    <w:rsid w:val="008C2174"/>
    <w:rsid w:val="008C31C8"/>
    <w:rsid w:val="008C37A5"/>
    <w:rsid w:val="008C3929"/>
    <w:rsid w:val="008C4AAE"/>
    <w:rsid w:val="008C5C23"/>
    <w:rsid w:val="008C63BD"/>
    <w:rsid w:val="008D0B9F"/>
    <w:rsid w:val="008D0BC5"/>
    <w:rsid w:val="008D2CF7"/>
    <w:rsid w:val="008D2D25"/>
    <w:rsid w:val="008D4285"/>
    <w:rsid w:val="008D4A28"/>
    <w:rsid w:val="008D6514"/>
    <w:rsid w:val="008D74F8"/>
    <w:rsid w:val="008D7E0C"/>
    <w:rsid w:val="008D7E12"/>
    <w:rsid w:val="008E07B0"/>
    <w:rsid w:val="008E41E4"/>
    <w:rsid w:val="008E4C3D"/>
    <w:rsid w:val="008E6220"/>
    <w:rsid w:val="008F163D"/>
    <w:rsid w:val="008F2B43"/>
    <w:rsid w:val="008F32FF"/>
    <w:rsid w:val="008F512A"/>
    <w:rsid w:val="008F64F2"/>
    <w:rsid w:val="008F6E67"/>
    <w:rsid w:val="008F6F97"/>
    <w:rsid w:val="008F7B4A"/>
    <w:rsid w:val="00900C26"/>
    <w:rsid w:val="00901880"/>
    <w:rsid w:val="0090197F"/>
    <w:rsid w:val="0090265A"/>
    <w:rsid w:val="00903264"/>
    <w:rsid w:val="0090346B"/>
    <w:rsid w:val="0090508A"/>
    <w:rsid w:val="00906DDC"/>
    <w:rsid w:val="00910C1E"/>
    <w:rsid w:val="009112CA"/>
    <w:rsid w:val="0091222B"/>
    <w:rsid w:val="00915C02"/>
    <w:rsid w:val="0091603E"/>
    <w:rsid w:val="00916F22"/>
    <w:rsid w:val="00917967"/>
    <w:rsid w:val="00921232"/>
    <w:rsid w:val="00921B4E"/>
    <w:rsid w:val="0092328D"/>
    <w:rsid w:val="00925CD1"/>
    <w:rsid w:val="0092781C"/>
    <w:rsid w:val="00927F33"/>
    <w:rsid w:val="00930097"/>
    <w:rsid w:val="00930D0E"/>
    <w:rsid w:val="009331AA"/>
    <w:rsid w:val="00934E09"/>
    <w:rsid w:val="009353F9"/>
    <w:rsid w:val="00936253"/>
    <w:rsid w:val="00940700"/>
    <w:rsid w:val="00940D46"/>
    <w:rsid w:val="00940E2B"/>
    <w:rsid w:val="009413F1"/>
    <w:rsid w:val="00943F68"/>
    <w:rsid w:val="00945BA3"/>
    <w:rsid w:val="00946401"/>
    <w:rsid w:val="00946C0D"/>
    <w:rsid w:val="00946D69"/>
    <w:rsid w:val="00950632"/>
    <w:rsid w:val="00951044"/>
    <w:rsid w:val="0095105D"/>
    <w:rsid w:val="009517C7"/>
    <w:rsid w:val="00952DD4"/>
    <w:rsid w:val="009543F6"/>
    <w:rsid w:val="009561F4"/>
    <w:rsid w:val="00957521"/>
    <w:rsid w:val="00960466"/>
    <w:rsid w:val="00962BD8"/>
    <w:rsid w:val="00965AE7"/>
    <w:rsid w:val="00965E0F"/>
    <w:rsid w:val="009669BC"/>
    <w:rsid w:val="00970EA0"/>
    <w:rsid w:val="00970FED"/>
    <w:rsid w:val="00971032"/>
    <w:rsid w:val="00974746"/>
    <w:rsid w:val="0097485B"/>
    <w:rsid w:val="00975B88"/>
    <w:rsid w:val="009765A7"/>
    <w:rsid w:val="0097706E"/>
    <w:rsid w:val="0098110F"/>
    <w:rsid w:val="009834A3"/>
    <w:rsid w:val="00983F89"/>
    <w:rsid w:val="00984070"/>
    <w:rsid w:val="009847C1"/>
    <w:rsid w:val="009848D7"/>
    <w:rsid w:val="00984AF4"/>
    <w:rsid w:val="00986E0C"/>
    <w:rsid w:val="0098754F"/>
    <w:rsid w:val="009905F0"/>
    <w:rsid w:val="009906B3"/>
    <w:rsid w:val="0099218F"/>
    <w:rsid w:val="00992616"/>
    <w:rsid w:val="00992D82"/>
    <w:rsid w:val="00997029"/>
    <w:rsid w:val="009A00D9"/>
    <w:rsid w:val="009A0109"/>
    <w:rsid w:val="009A070B"/>
    <w:rsid w:val="009A1C20"/>
    <w:rsid w:val="009A26EE"/>
    <w:rsid w:val="009A4E71"/>
    <w:rsid w:val="009A5BEC"/>
    <w:rsid w:val="009A7339"/>
    <w:rsid w:val="009A796B"/>
    <w:rsid w:val="009A7E1A"/>
    <w:rsid w:val="009B0366"/>
    <w:rsid w:val="009B03FA"/>
    <w:rsid w:val="009B0BC5"/>
    <w:rsid w:val="009B1AED"/>
    <w:rsid w:val="009B1C2C"/>
    <w:rsid w:val="009B23AC"/>
    <w:rsid w:val="009B4181"/>
    <w:rsid w:val="009B440E"/>
    <w:rsid w:val="009B44C7"/>
    <w:rsid w:val="009B7AF7"/>
    <w:rsid w:val="009C1313"/>
    <w:rsid w:val="009C1407"/>
    <w:rsid w:val="009C44C2"/>
    <w:rsid w:val="009C71BB"/>
    <w:rsid w:val="009C7353"/>
    <w:rsid w:val="009D0402"/>
    <w:rsid w:val="009D2E02"/>
    <w:rsid w:val="009D3CBE"/>
    <w:rsid w:val="009D5FF3"/>
    <w:rsid w:val="009D690D"/>
    <w:rsid w:val="009D7047"/>
    <w:rsid w:val="009E1109"/>
    <w:rsid w:val="009E25B1"/>
    <w:rsid w:val="009E30EF"/>
    <w:rsid w:val="009E4D9F"/>
    <w:rsid w:val="009E5911"/>
    <w:rsid w:val="009E65B6"/>
    <w:rsid w:val="009F036B"/>
    <w:rsid w:val="009F0607"/>
    <w:rsid w:val="009F0A51"/>
    <w:rsid w:val="009F3FA7"/>
    <w:rsid w:val="009F4EF8"/>
    <w:rsid w:val="009F5096"/>
    <w:rsid w:val="009F5435"/>
    <w:rsid w:val="009F696E"/>
    <w:rsid w:val="009F6D86"/>
    <w:rsid w:val="009F76CF"/>
    <w:rsid w:val="009F77CF"/>
    <w:rsid w:val="009F7B9C"/>
    <w:rsid w:val="00A00571"/>
    <w:rsid w:val="00A02C6D"/>
    <w:rsid w:val="00A060A9"/>
    <w:rsid w:val="00A063DA"/>
    <w:rsid w:val="00A07516"/>
    <w:rsid w:val="00A07627"/>
    <w:rsid w:val="00A11577"/>
    <w:rsid w:val="00A1714A"/>
    <w:rsid w:val="00A20C9A"/>
    <w:rsid w:val="00A21829"/>
    <w:rsid w:val="00A2240A"/>
    <w:rsid w:val="00A239AB"/>
    <w:rsid w:val="00A24C10"/>
    <w:rsid w:val="00A26088"/>
    <w:rsid w:val="00A26BA4"/>
    <w:rsid w:val="00A27817"/>
    <w:rsid w:val="00A32BD8"/>
    <w:rsid w:val="00A3394F"/>
    <w:rsid w:val="00A33FD0"/>
    <w:rsid w:val="00A36972"/>
    <w:rsid w:val="00A40CBB"/>
    <w:rsid w:val="00A41782"/>
    <w:rsid w:val="00A42AC3"/>
    <w:rsid w:val="00A430CF"/>
    <w:rsid w:val="00A43BA5"/>
    <w:rsid w:val="00A477C8"/>
    <w:rsid w:val="00A47C5C"/>
    <w:rsid w:val="00A51C56"/>
    <w:rsid w:val="00A54309"/>
    <w:rsid w:val="00A55F6E"/>
    <w:rsid w:val="00A56E3B"/>
    <w:rsid w:val="00A610A9"/>
    <w:rsid w:val="00A61E95"/>
    <w:rsid w:val="00A62C60"/>
    <w:rsid w:val="00A6494D"/>
    <w:rsid w:val="00A64978"/>
    <w:rsid w:val="00A655A8"/>
    <w:rsid w:val="00A66274"/>
    <w:rsid w:val="00A66DD1"/>
    <w:rsid w:val="00A71069"/>
    <w:rsid w:val="00A7217D"/>
    <w:rsid w:val="00A7229D"/>
    <w:rsid w:val="00A74630"/>
    <w:rsid w:val="00A7475B"/>
    <w:rsid w:val="00A748EB"/>
    <w:rsid w:val="00A74AF8"/>
    <w:rsid w:val="00A808CA"/>
    <w:rsid w:val="00A80F2A"/>
    <w:rsid w:val="00A81216"/>
    <w:rsid w:val="00A82132"/>
    <w:rsid w:val="00A83A48"/>
    <w:rsid w:val="00A84782"/>
    <w:rsid w:val="00A848CC"/>
    <w:rsid w:val="00A84F7D"/>
    <w:rsid w:val="00A859F9"/>
    <w:rsid w:val="00A90491"/>
    <w:rsid w:val="00A920CC"/>
    <w:rsid w:val="00A92701"/>
    <w:rsid w:val="00A92EB6"/>
    <w:rsid w:val="00A93AB7"/>
    <w:rsid w:val="00A95D32"/>
    <w:rsid w:val="00A96C33"/>
    <w:rsid w:val="00A96D6A"/>
    <w:rsid w:val="00AA00C5"/>
    <w:rsid w:val="00AA13A2"/>
    <w:rsid w:val="00AA25D7"/>
    <w:rsid w:val="00AA3024"/>
    <w:rsid w:val="00AA3CE0"/>
    <w:rsid w:val="00AA4E7E"/>
    <w:rsid w:val="00AA5303"/>
    <w:rsid w:val="00AA5620"/>
    <w:rsid w:val="00AA580B"/>
    <w:rsid w:val="00AA6936"/>
    <w:rsid w:val="00AA69DD"/>
    <w:rsid w:val="00AA7EF7"/>
    <w:rsid w:val="00AB2B93"/>
    <w:rsid w:val="00AB530F"/>
    <w:rsid w:val="00AB54D6"/>
    <w:rsid w:val="00AB5644"/>
    <w:rsid w:val="00AB5B02"/>
    <w:rsid w:val="00AB5DE2"/>
    <w:rsid w:val="00AB7E5B"/>
    <w:rsid w:val="00AC2883"/>
    <w:rsid w:val="00AC2EA1"/>
    <w:rsid w:val="00AC348D"/>
    <w:rsid w:val="00AC4BE5"/>
    <w:rsid w:val="00AD05AA"/>
    <w:rsid w:val="00AD1EEE"/>
    <w:rsid w:val="00AD3527"/>
    <w:rsid w:val="00AD3753"/>
    <w:rsid w:val="00AD3E1D"/>
    <w:rsid w:val="00AD3F12"/>
    <w:rsid w:val="00AD431F"/>
    <w:rsid w:val="00AD4605"/>
    <w:rsid w:val="00AD4721"/>
    <w:rsid w:val="00AD63EB"/>
    <w:rsid w:val="00AE0EF1"/>
    <w:rsid w:val="00AE1052"/>
    <w:rsid w:val="00AE2937"/>
    <w:rsid w:val="00AE2BF9"/>
    <w:rsid w:val="00AE7553"/>
    <w:rsid w:val="00AF510C"/>
    <w:rsid w:val="00AF5629"/>
    <w:rsid w:val="00AF646F"/>
    <w:rsid w:val="00AF7C82"/>
    <w:rsid w:val="00B001D3"/>
    <w:rsid w:val="00B015DA"/>
    <w:rsid w:val="00B01CD5"/>
    <w:rsid w:val="00B01E60"/>
    <w:rsid w:val="00B01EAD"/>
    <w:rsid w:val="00B047D9"/>
    <w:rsid w:val="00B04EAF"/>
    <w:rsid w:val="00B04FEE"/>
    <w:rsid w:val="00B07301"/>
    <w:rsid w:val="00B11F3E"/>
    <w:rsid w:val="00B13218"/>
    <w:rsid w:val="00B1511A"/>
    <w:rsid w:val="00B17649"/>
    <w:rsid w:val="00B17997"/>
    <w:rsid w:val="00B17ED9"/>
    <w:rsid w:val="00B20F05"/>
    <w:rsid w:val="00B21BB3"/>
    <w:rsid w:val="00B224DE"/>
    <w:rsid w:val="00B22A08"/>
    <w:rsid w:val="00B22ED6"/>
    <w:rsid w:val="00B236B7"/>
    <w:rsid w:val="00B23A70"/>
    <w:rsid w:val="00B2430A"/>
    <w:rsid w:val="00B324D4"/>
    <w:rsid w:val="00B3260D"/>
    <w:rsid w:val="00B33E9C"/>
    <w:rsid w:val="00B34A6E"/>
    <w:rsid w:val="00B34C57"/>
    <w:rsid w:val="00B34FEB"/>
    <w:rsid w:val="00B352C1"/>
    <w:rsid w:val="00B3794E"/>
    <w:rsid w:val="00B40D4F"/>
    <w:rsid w:val="00B42CC2"/>
    <w:rsid w:val="00B43354"/>
    <w:rsid w:val="00B4392D"/>
    <w:rsid w:val="00B43A2A"/>
    <w:rsid w:val="00B45100"/>
    <w:rsid w:val="00B46575"/>
    <w:rsid w:val="00B47541"/>
    <w:rsid w:val="00B4760D"/>
    <w:rsid w:val="00B514DB"/>
    <w:rsid w:val="00B52114"/>
    <w:rsid w:val="00B52CE1"/>
    <w:rsid w:val="00B52D4B"/>
    <w:rsid w:val="00B57573"/>
    <w:rsid w:val="00B606EB"/>
    <w:rsid w:val="00B61777"/>
    <w:rsid w:val="00B622E6"/>
    <w:rsid w:val="00B62F56"/>
    <w:rsid w:val="00B63542"/>
    <w:rsid w:val="00B63F38"/>
    <w:rsid w:val="00B64F5E"/>
    <w:rsid w:val="00B65947"/>
    <w:rsid w:val="00B668C3"/>
    <w:rsid w:val="00B66ECE"/>
    <w:rsid w:val="00B70EFA"/>
    <w:rsid w:val="00B70F5C"/>
    <w:rsid w:val="00B7199D"/>
    <w:rsid w:val="00B72F57"/>
    <w:rsid w:val="00B73C40"/>
    <w:rsid w:val="00B7479D"/>
    <w:rsid w:val="00B74B71"/>
    <w:rsid w:val="00B74D30"/>
    <w:rsid w:val="00B76036"/>
    <w:rsid w:val="00B767CC"/>
    <w:rsid w:val="00B770FD"/>
    <w:rsid w:val="00B83D02"/>
    <w:rsid w:val="00B83E82"/>
    <w:rsid w:val="00B84BBD"/>
    <w:rsid w:val="00B91BD8"/>
    <w:rsid w:val="00B91C8B"/>
    <w:rsid w:val="00B92695"/>
    <w:rsid w:val="00B948B3"/>
    <w:rsid w:val="00B95B29"/>
    <w:rsid w:val="00BA1D85"/>
    <w:rsid w:val="00BA2810"/>
    <w:rsid w:val="00BA43FB"/>
    <w:rsid w:val="00BA65A2"/>
    <w:rsid w:val="00BB0116"/>
    <w:rsid w:val="00BB186A"/>
    <w:rsid w:val="00BB3227"/>
    <w:rsid w:val="00BB3FBC"/>
    <w:rsid w:val="00BB4EF6"/>
    <w:rsid w:val="00BC127D"/>
    <w:rsid w:val="00BC1FE6"/>
    <w:rsid w:val="00BC35C3"/>
    <w:rsid w:val="00BC54F0"/>
    <w:rsid w:val="00BC6103"/>
    <w:rsid w:val="00BC66E8"/>
    <w:rsid w:val="00BC6C1D"/>
    <w:rsid w:val="00BC7769"/>
    <w:rsid w:val="00BD1333"/>
    <w:rsid w:val="00BD40C6"/>
    <w:rsid w:val="00BD475B"/>
    <w:rsid w:val="00BD5CF7"/>
    <w:rsid w:val="00BD5DAA"/>
    <w:rsid w:val="00BD722D"/>
    <w:rsid w:val="00BD7BC4"/>
    <w:rsid w:val="00BE00E7"/>
    <w:rsid w:val="00BE25D0"/>
    <w:rsid w:val="00BE54E1"/>
    <w:rsid w:val="00BE5683"/>
    <w:rsid w:val="00BE6A55"/>
    <w:rsid w:val="00BF05D4"/>
    <w:rsid w:val="00BF5F4C"/>
    <w:rsid w:val="00BF7C58"/>
    <w:rsid w:val="00C01088"/>
    <w:rsid w:val="00C011F7"/>
    <w:rsid w:val="00C039B2"/>
    <w:rsid w:val="00C047FC"/>
    <w:rsid w:val="00C04FC4"/>
    <w:rsid w:val="00C061B6"/>
    <w:rsid w:val="00C07061"/>
    <w:rsid w:val="00C0753C"/>
    <w:rsid w:val="00C1212B"/>
    <w:rsid w:val="00C12F14"/>
    <w:rsid w:val="00C13791"/>
    <w:rsid w:val="00C13A89"/>
    <w:rsid w:val="00C14398"/>
    <w:rsid w:val="00C1570F"/>
    <w:rsid w:val="00C159EC"/>
    <w:rsid w:val="00C161BF"/>
    <w:rsid w:val="00C167EE"/>
    <w:rsid w:val="00C16AE1"/>
    <w:rsid w:val="00C211B0"/>
    <w:rsid w:val="00C243EE"/>
    <w:rsid w:val="00C2446C"/>
    <w:rsid w:val="00C264ED"/>
    <w:rsid w:val="00C27E72"/>
    <w:rsid w:val="00C3093B"/>
    <w:rsid w:val="00C331DD"/>
    <w:rsid w:val="00C3424E"/>
    <w:rsid w:val="00C3565D"/>
    <w:rsid w:val="00C36992"/>
    <w:rsid w:val="00C36AE5"/>
    <w:rsid w:val="00C40583"/>
    <w:rsid w:val="00C41F17"/>
    <w:rsid w:val="00C42632"/>
    <w:rsid w:val="00C51358"/>
    <w:rsid w:val="00C527FA"/>
    <w:rsid w:val="00C5280D"/>
    <w:rsid w:val="00C52BCE"/>
    <w:rsid w:val="00C52DA5"/>
    <w:rsid w:val="00C52DAE"/>
    <w:rsid w:val="00C53D7F"/>
    <w:rsid w:val="00C53EB3"/>
    <w:rsid w:val="00C5460C"/>
    <w:rsid w:val="00C56AA6"/>
    <w:rsid w:val="00C570EB"/>
    <w:rsid w:val="00C5791C"/>
    <w:rsid w:val="00C612E0"/>
    <w:rsid w:val="00C6321D"/>
    <w:rsid w:val="00C64319"/>
    <w:rsid w:val="00C64C5F"/>
    <w:rsid w:val="00C64D52"/>
    <w:rsid w:val="00C66290"/>
    <w:rsid w:val="00C67438"/>
    <w:rsid w:val="00C70CF4"/>
    <w:rsid w:val="00C72B7A"/>
    <w:rsid w:val="00C75454"/>
    <w:rsid w:val="00C76AD0"/>
    <w:rsid w:val="00C819A0"/>
    <w:rsid w:val="00C8345B"/>
    <w:rsid w:val="00C91E94"/>
    <w:rsid w:val="00C924B0"/>
    <w:rsid w:val="00C93F66"/>
    <w:rsid w:val="00C94359"/>
    <w:rsid w:val="00C973F2"/>
    <w:rsid w:val="00CA0644"/>
    <w:rsid w:val="00CA10CB"/>
    <w:rsid w:val="00CA1F55"/>
    <w:rsid w:val="00CA226E"/>
    <w:rsid w:val="00CA304C"/>
    <w:rsid w:val="00CA31C1"/>
    <w:rsid w:val="00CA3846"/>
    <w:rsid w:val="00CA3AD1"/>
    <w:rsid w:val="00CA5C5B"/>
    <w:rsid w:val="00CA6678"/>
    <w:rsid w:val="00CA6E8F"/>
    <w:rsid w:val="00CA774A"/>
    <w:rsid w:val="00CB0DEE"/>
    <w:rsid w:val="00CB1A1F"/>
    <w:rsid w:val="00CB2690"/>
    <w:rsid w:val="00CB411A"/>
    <w:rsid w:val="00CB4921"/>
    <w:rsid w:val="00CC11B0"/>
    <w:rsid w:val="00CC1D66"/>
    <w:rsid w:val="00CC1E29"/>
    <w:rsid w:val="00CC2841"/>
    <w:rsid w:val="00CC5F84"/>
    <w:rsid w:val="00CC62D8"/>
    <w:rsid w:val="00CC729A"/>
    <w:rsid w:val="00CD0D1F"/>
    <w:rsid w:val="00CD197C"/>
    <w:rsid w:val="00CD52E6"/>
    <w:rsid w:val="00CD6AE6"/>
    <w:rsid w:val="00CD74E3"/>
    <w:rsid w:val="00CE11AE"/>
    <w:rsid w:val="00CE1218"/>
    <w:rsid w:val="00CE12C2"/>
    <w:rsid w:val="00CE1599"/>
    <w:rsid w:val="00CE357F"/>
    <w:rsid w:val="00CE4D85"/>
    <w:rsid w:val="00CE55DB"/>
    <w:rsid w:val="00CE6618"/>
    <w:rsid w:val="00CE6908"/>
    <w:rsid w:val="00CE6FEE"/>
    <w:rsid w:val="00CE7A59"/>
    <w:rsid w:val="00CE7ED7"/>
    <w:rsid w:val="00CF1330"/>
    <w:rsid w:val="00CF1F2B"/>
    <w:rsid w:val="00CF2609"/>
    <w:rsid w:val="00CF2DF4"/>
    <w:rsid w:val="00CF38BA"/>
    <w:rsid w:val="00CF5F61"/>
    <w:rsid w:val="00CF61FF"/>
    <w:rsid w:val="00CF689F"/>
    <w:rsid w:val="00CF7E36"/>
    <w:rsid w:val="00D00CE3"/>
    <w:rsid w:val="00D00F56"/>
    <w:rsid w:val="00D02E24"/>
    <w:rsid w:val="00D1289F"/>
    <w:rsid w:val="00D14C85"/>
    <w:rsid w:val="00D14E7C"/>
    <w:rsid w:val="00D153DE"/>
    <w:rsid w:val="00D16288"/>
    <w:rsid w:val="00D173BC"/>
    <w:rsid w:val="00D21487"/>
    <w:rsid w:val="00D2172E"/>
    <w:rsid w:val="00D2250B"/>
    <w:rsid w:val="00D248B8"/>
    <w:rsid w:val="00D24A50"/>
    <w:rsid w:val="00D31443"/>
    <w:rsid w:val="00D315CD"/>
    <w:rsid w:val="00D317D8"/>
    <w:rsid w:val="00D324EA"/>
    <w:rsid w:val="00D33B7C"/>
    <w:rsid w:val="00D33C99"/>
    <w:rsid w:val="00D3529B"/>
    <w:rsid w:val="00D3708D"/>
    <w:rsid w:val="00D37270"/>
    <w:rsid w:val="00D40426"/>
    <w:rsid w:val="00D4053D"/>
    <w:rsid w:val="00D413EF"/>
    <w:rsid w:val="00D41F59"/>
    <w:rsid w:val="00D43671"/>
    <w:rsid w:val="00D43C0B"/>
    <w:rsid w:val="00D43CD1"/>
    <w:rsid w:val="00D447A6"/>
    <w:rsid w:val="00D44989"/>
    <w:rsid w:val="00D449F7"/>
    <w:rsid w:val="00D44D89"/>
    <w:rsid w:val="00D45477"/>
    <w:rsid w:val="00D47783"/>
    <w:rsid w:val="00D50B77"/>
    <w:rsid w:val="00D52685"/>
    <w:rsid w:val="00D52ECB"/>
    <w:rsid w:val="00D52F5C"/>
    <w:rsid w:val="00D56635"/>
    <w:rsid w:val="00D57C8A"/>
    <w:rsid w:val="00D57C96"/>
    <w:rsid w:val="00D57D18"/>
    <w:rsid w:val="00D60D7E"/>
    <w:rsid w:val="00D632F1"/>
    <w:rsid w:val="00D63E32"/>
    <w:rsid w:val="00D65B8E"/>
    <w:rsid w:val="00D675E7"/>
    <w:rsid w:val="00D70E65"/>
    <w:rsid w:val="00D71BED"/>
    <w:rsid w:val="00D71C59"/>
    <w:rsid w:val="00D72D2E"/>
    <w:rsid w:val="00D72E27"/>
    <w:rsid w:val="00D75462"/>
    <w:rsid w:val="00D755D6"/>
    <w:rsid w:val="00D84B87"/>
    <w:rsid w:val="00D856D9"/>
    <w:rsid w:val="00D8658B"/>
    <w:rsid w:val="00D91203"/>
    <w:rsid w:val="00D914FE"/>
    <w:rsid w:val="00D9352F"/>
    <w:rsid w:val="00D94460"/>
    <w:rsid w:val="00D95174"/>
    <w:rsid w:val="00D97864"/>
    <w:rsid w:val="00DA1F61"/>
    <w:rsid w:val="00DA4973"/>
    <w:rsid w:val="00DA6F36"/>
    <w:rsid w:val="00DA7220"/>
    <w:rsid w:val="00DA7C1A"/>
    <w:rsid w:val="00DA7CE0"/>
    <w:rsid w:val="00DB0627"/>
    <w:rsid w:val="00DB26D0"/>
    <w:rsid w:val="00DB2D3C"/>
    <w:rsid w:val="00DB596E"/>
    <w:rsid w:val="00DB651B"/>
    <w:rsid w:val="00DB7773"/>
    <w:rsid w:val="00DC00EA"/>
    <w:rsid w:val="00DC1ACD"/>
    <w:rsid w:val="00DC2B85"/>
    <w:rsid w:val="00DC3382"/>
    <w:rsid w:val="00DC3802"/>
    <w:rsid w:val="00DC3CD5"/>
    <w:rsid w:val="00DC4AB7"/>
    <w:rsid w:val="00DC4B65"/>
    <w:rsid w:val="00DC4D1B"/>
    <w:rsid w:val="00DC51CA"/>
    <w:rsid w:val="00DD0E4B"/>
    <w:rsid w:val="00DD1446"/>
    <w:rsid w:val="00DD2834"/>
    <w:rsid w:val="00DD43E0"/>
    <w:rsid w:val="00DD6208"/>
    <w:rsid w:val="00DE23D7"/>
    <w:rsid w:val="00DE272C"/>
    <w:rsid w:val="00DE4BB5"/>
    <w:rsid w:val="00DE5C7B"/>
    <w:rsid w:val="00DF0A78"/>
    <w:rsid w:val="00DF0F78"/>
    <w:rsid w:val="00DF113D"/>
    <w:rsid w:val="00DF156E"/>
    <w:rsid w:val="00DF29B7"/>
    <w:rsid w:val="00DF378E"/>
    <w:rsid w:val="00DF3D64"/>
    <w:rsid w:val="00DF7042"/>
    <w:rsid w:val="00DF7E99"/>
    <w:rsid w:val="00E0025C"/>
    <w:rsid w:val="00E0070C"/>
    <w:rsid w:val="00E00944"/>
    <w:rsid w:val="00E00EF4"/>
    <w:rsid w:val="00E027D2"/>
    <w:rsid w:val="00E028F6"/>
    <w:rsid w:val="00E035E4"/>
    <w:rsid w:val="00E0390B"/>
    <w:rsid w:val="00E046C3"/>
    <w:rsid w:val="00E04A16"/>
    <w:rsid w:val="00E07439"/>
    <w:rsid w:val="00E07D87"/>
    <w:rsid w:val="00E1009D"/>
    <w:rsid w:val="00E10DA2"/>
    <w:rsid w:val="00E116A4"/>
    <w:rsid w:val="00E11A64"/>
    <w:rsid w:val="00E14A4A"/>
    <w:rsid w:val="00E1599F"/>
    <w:rsid w:val="00E203B4"/>
    <w:rsid w:val="00E20F65"/>
    <w:rsid w:val="00E21CB7"/>
    <w:rsid w:val="00E21D39"/>
    <w:rsid w:val="00E22647"/>
    <w:rsid w:val="00E249C8"/>
    <w:rsid w:val="00E259F7"/>
    <w:rsid w:val="00E264A8"/>
    <w:rsid w:val="00E32F7E"/>
    <w:rsid w:val="00E33B89"/>
    <w:rsid w:val="00E33F47"/>
    <w:rsid w:val="00E3484E"/>
    <w:rsid w:val="00E35AD3"/>
    <w:rsid w:val="00E37133"/>
    <w:rsid w:val="00E4062A"/>
    <w:rsid w:val="00E40E09"/>
    <w:rsid w:val="00E4323C"/>
    <w:rsid w:val="00E43C04"/>
    <w:rsid w:val="00E44C4F"/>
    <w:rsid w:val="00E45D45"/>
    <w:rsid w:val="00E45EAC"/>
    <w:rsid w:val="00E52427"/>
    <w:rsid w:val="00E5267B"/>
    <w:rsid w:val="00E54443"/>
    <w:rsid w:val="00E559F0"/>
    <w:rsid w:val="00E561BF"/>
    <w:rsid w:val="00E56F86"/>
    <w:rsid w:val="00E57D0C"/>
    <w:rsid w:val="00E57E20"/>
    <w:rsid w:val="00E60968"/>
    <w:rsid w:val="00E63C0E"/>
    <w:rsid w:val="00E6458C"/>
    <w:rsid w:val="00E64B51"/>
    <w:rsid w:val="00E65203"/>
    <w:rsid w:val="00E65627"/>
    <w:rsid w:val="00E6765B"/>
    <w:rsid w:val="00E70303"/>
    <w:rsid w:val="00E70E86"/>
    <w:rsid w:val="00E72D49"/>
    <w:rsid w:val="00E73D53"/>
    <w:rsid w:val="00E74BF8"/>
    <w:rsid w:val="00E7593C"/>
    <w:rsid w:val="00E75B60"/>
    <w:rsid w:val="00E7678A"/>
    <w:rsid w:val="00E804DA"/>
    <w:rsid w:val="00E809AC"/>
    <w:rsid w:val="00E82896"/>
    <w:rsid w:val="00E862FC"/>
    <w:rsid w:val="00E87AB9"/>
    <w:rsid w:val="00E91CCF"/>
    <w:rsid w:val="00E929BB"/>
    <w:rsid w:val="00E92EBD"/>
    <w:rsid w:val="00E935F1"/>
    <w:rsid w:val="00E93F0D"/>
    <w:rsid w:val="00E94A81"/>
    <w:rsid w:val="00E95E7F"/>
    <w:rsid w:val="00E96D40"/>
    <w:rsid w:val="00EA1FFB"/>
    <w:rsid w:val="00EA428C"/>
    <w:rsid w:val="00EA4921"/>
    <w:rsid w:val="00EA4E4D"/>
    <w:rsid w:val="00EA7051"/>
    <w:rsid w:val="00EB048E"/>
    <w:rsid w:val="00EB0981"/>
    <w:rsid w:val="00EB105A"/>
    <w:rsid w:val="00EB11E1"/>
    <w:rsid w:val="00EB2B9A"/>
    <w:rsid w:val="00EB445E"/>
    <w:rsid w:val="00EB48DE"/>
    <w:rsid w:val="00EB4E9C"/>
    <w:rsid w:val="00EB5A96"/>
    <w:rsid w:val="00EB6270"/>
    <w:rsid w:val="00EC1D8C"/>
    <w:rsid w:val="00EC2E94"/>
    <w:rsid w:val="00EC318D"/>
    <w:rsid w:val="00EC33A0"/>
    <w:rsid w:val="00EC40C6"/>
    <w:rsid w:val="00ED04E5"/>
    <w:rsid w:val="00ED1C54"/>
    <w:rsid w:val="00ED2395"/>
    <w:rsid w:val="00ED2FBB"/>
    <w:rsid w:val="00ED3925"/>
    <w:rsid w:val="00ED6749"/>
    <w:rsid w:val="00ED7072"/>
    <w:rsid w:val="00ED7E51"/>
    <w:rsid w:val="00EE0E99"/>
    <w:rsid w:val="00EE21CC"/>
    <w:rsid w:val="00EE3009"/>
    <w:rsid w:val="00EE34DF"/>
    <w:rsid w:val="00EE37A0"/>
    <w:rsid w:val="00EE4CA7"/>
    <w:rsid w:val="00EE5ED7"/>
    <w:rsid w:val="00EE6B94"/>
    <w:rsid w:val="00EE76DF"/>
    <w:rsid w:val="00EF1618"/>
    <w:rsid w:val="00EF24D5"/>
    <w:rsid w:val="00EF2F89"/>
    <w:rsid w:val="00EF3377"/>
    <w:rsid w:val="00EF443F"/>
    <w:rsid w:val="00EF49B5"/>
    <w:rsid w:val="00EF4B00"/>
    <w:rsid w:val="00EF64C1"/>
    <w:rsid w:val="00EF6D30"/>
    <w:rsid w:val="00EF7893"/>
    <w:rsid w:val="00F0038B"/>
    <w:rsid w:val="00F024D6"/>
    <w:rsid w:val="00F02756"/>
    <w:rsid w:val="00F033F7"/>
    <w:rsid w:val="00F03E98"/>
    <w:rsid w:val="00F03F6E"/>
    <w:rsid w:val="00F04856"/>
    <w:rsid w:val="00F05E2B"/>
    <w:rsid w:val="00F05ED3"/>
    <w:rsid w:val="00F06EB5"/>
    <w:rsid w:val="00F07B06"/>
    <w:rsid w:val="00F07BAF"/>
    <w:rsid w:val="00F1019D"/>
    <w:rsid w:val="00F10A34"/>
    <w:rsid w:val="00F10B8A"/>
    <w:rsid w:val="00F1237A"/>
    <w:rsid w:val="00F1282A"/>
    <w:rsid w:val="00F1319A"/>
    <w:rsid w:val="00F13840"/>
    <w:rsid w:val="00F158F2"/>
    <w:rsid w:val="00F16285"/>
    <w:rsid w:val="00F16D33"/>
    <w:rsid w:val="00F21B88"/>
    <w:rsid w:val="00F22CBD"/>
    <w:rsid w:val="00F26C83"/>
    <w:rsid w:val="00F272F1"/>
    <w:rsid w:val="00F27569"/>
    <w:rsid w:val="00F27767"/>
    <w:rsid w:val="00F2781E"/>
    <w:rsid w:val="00F31175"/>
    <w:rsid w:val="00F31412"/>
    <w:rsid w:val="00F31A2E"/>
    <w:rsid w:val="00F31FF7"/>
    <w:rsid w:val="00F320EE"/>
    <w:rsid w:val="00F32994"/>
    <w:rsid w:val="00F32ABD"/>
    <w:rsid w:val="00F34F9D"/>
    <w:rsid w:val="00F3524B"/>
    <w:rsid w:val="00F35BA4"/>
    <w:rsid w:val="00F37B93"/>
    <w:rsid w:val="00F4171D"/>
    <w:rsid w:val="00F418A1"/>
    <w:rsid w:val="00F41F9F"/>
    <w:rsid w:val="00F42327"/>
    <w:rsid w:val="00F43350"/>
    <w:rsid w:val="00F44615"/>
    <w:rsid w:val="00F45372"/>
    <w:rsid w:val="00F46168"/>
    <w:rsid w:val="00F470DB"/>
    <w:rsid w:val="00F47B12"/>
    <w:rsid w:val="00F509D3"/>
    <w:rsid w:val="00F50B23"/>
    <w:rsid w:val="00F515A1"/>
    <w:rsid w:val="00F5283A"/>
    <w:rsid w:val="00F5305E"/>
    <w:rsid w:val="00F5327D"/>
    <w:rsid w:val="00F545B6"/>
    <w:rsid w:val="00F560F7"/>
    <w:rsid w:val="00F6206A"/>
    <w:rsid w:val="00F62132"/>
    <w:rsid w:val="00F62A67"/>
    <w:rsid w:val="00F62B0A"/>
    <w:rsid w:val="00F6334D"/>
    <w:rsid w:val="00F63599"/>
    <w:rsid w:val="00F6446D"/>
    <w:rsid w:val="00F6462C"/>
    <w:rsid w:val="00F647BF"/>
    <w:rsid w:val="00F6626A"/>
    <w:rsid w:val="00F672A7"/>
    <w:rsid w:val="00F706A6"/>
    <w:rsid w:val="00F71781"/>
    <w:rsid w:val="00F71851"/>
    <w:rsid w:val="00F71BF9"/>
    <w:rsid w:val="00F7281B"/>
    <w:rsid w:val="00F81ABC"/>
    <w:rsid w:val="00F8242D"/>
    <w:rsid w:val="00F82AE5"/>
    <w:rsid w:val="00F84259"/>
    <w:rsid w:val="00F844E3"/>
    <w:rsid w:val="00F862AE"/>
    <w:rsid w:val="00F9020B"/>
    <w:rsid w:val="00F9202D"/>
    <w:rsid w:val="00F937A7"/>
    <w:rsid w:val="00F94824"/>
    <w:rsid w:val="00F9705D"/>
    <w:rsid w:val="00FA0089"/>
    <w:rsid w:val="00FA16FA"/>
    <w:rsid w:val="00FA19CC"/>
    <w:rsid w:val="00FA1C4F"/>
    <w:rsid w:val="00FA22A4"/>
    <w:rsid w:val="00FA22AE"/>
    <w:rsid w:val="00FA2AB3"/>
    <w:rsid w:val="00FA2B4C"/>
    <w:rsid w:val="00FA2C58"/>
    <w:rsid w:val="00FA32A4"/>
    <w:rsid w:val="00FA49AB"/>
    <w:rsid w:val="00FA5FE2"/>
    <w:rsid w:val="00FB1364"/>
    <w:rsid w:val="00FB352A"/>
    <w:rsid w:val="00FB7DC3"/>
    <w:rsid w:val="00FC07ED"/>
    <w:rsid w:val="00FC1B6E"/>
    <w:rsid w:val="00FC3365"/>
    <w:rsid w:val="00FC468D"/>
    <w:rsid w:val="00FC5EAD"/>
    <w:rsid w:val="00FC5FD0"/>
    <w:rsid w:val="00FD0DFB"/>
    <w:rsid w:val="00FD31CE"/>
    <w:rsid w:val="00FD4C97"/>
    <w:rsid w:val="00FD6EC6"/>
    <w:rsid w:val="00FD741B"/>
    <w:rsid w:val="00FE14EE"/>
    <w:rsid w:val="00FE16B5"/>
    <w:rsid w:val="00FE21AF"/>
    <w:rsid w:val="00FE3532"/>
    <w:rsid w:val="00FE38C7"/>
    <w:rsid w:val="00FE39C7"/>
    <w:rsid w:val="00FE39FA"/>
    <w:rsid w:val="00FE6528"/>
    <w:rsid w:val="00FE6662"/>
    <w:rsid w:val="00FF041A"/>
    <w:rsid w:val="00FF1AD6"/>
    <w:rsid w:val="00FF2307"/>
    <w:rsid w:val="00FF4213"/>
    <w:rsid w:val="00FF4D07"/>
    <w:rsid w:val="00FF5779"/>
    <w:rsid w:val="00FF66C8"/>
    <w:rsid w:val="0327EC69"/>
    <w:rsid w:val="04907425"/>
    <w:rsid w:val="05A256E5"/>
    <w:rsid w:val="067423C1"/>
    <w:rsid w:val="07A35934"/>
    <w:rsid w:val="08291739"/>
    <w:rsid w:val="09A70763"/>
    <w:rsid w:val="0A73A534"/>
    <w:rsid w:val="0B83FF05"/>
    <w:rsid w:val="0BB76CD5"/>
    <w:rsid w:val="0C4A5536"/>
    <w:rsid w:val="0D7DA81F"/>
    <w:rsid w:val="0E51548B"/>
    <w:rsid w:val="0EDE8B78"/>
    <w:rsid w:val="1018819F"/>
    <w:rsid w:val="11E466DA"/>
    <w:rsid w:val="11FBD274"/>
    <w:rsid w:val="124D122D"/>
    <w:rsid w:val="143FBD6E"/>
    <w:rsid w:val="147A8731"/>
    <w:rsid w:val="15507C9C"/>
    <w:rsid w:val="167BE5C6"/>
    <w:rsid w:val="1A3DB0EE"/>
    <w:rsid w:val="1A7E7AF3"/>
    <w:rsid w:val="1B45E346"/>
    <w:rsid w:val="1BF7B9BC"/>
    <w:rsid w:val="1BFAE721"/>
    <w:rsid w:val="1DA84C0D"/>
    <w:rsid w:val="1DC319AE"/>
    <w:rsid w:val="20908E12"/>
    <w:rsid w:val="21644E8B"/>
    <w:rsid w:val="21CC9125"/>
    <w:rsid w:val="22BDC0BB"/>
    <w:rsid w:val="22C7B696"/>
    <w:rsid w:val="240DB7C5"/>
    <w:rsid w:val="271CD8F8"/>
    <w:rsid w:val="27DF6945"/>
    <w:rsid w:val="28E066D8"/>
    <w:rsid w:val="2974E5D7"/>
    <w:rsid w:val="29AB2BBA"/>
    <w:rsid w:val="29F2D928"/>
    <w:rsid w:val="2A486FAE"/>
    <w:rsid w:val="2ABAC2E9"/>
    <w:rsid w:val="2AF58345"/>
    <w:rsid w:val="2B399CD9"/>
    <w:rsid w:val="2B7D9FCB"/>
    <w:rsid w:val="2C7CFC64"/>
    <w:rsid w:val="2D44A7F9"/>
    <w:rsid w:val="2DC34A72"/>
    <w:rsid w:val="30388049"/>
    <w:rsid w:val="30AF2D42"/>
    <w:rsid w:val="3386983C"/>
    <w:rsid w:val="341AD705"/>
    <w:rsid w:val="34250D52"/>
    <w:rsid w:val="3697F629"/>
    <w:rsid w:val="3766A127"/>
    <w:rsid w:val="38AAEF73"/>
    <w:rsid w:val="399A97CB"/>
    <w:rsid w:val="3CD29307"/>
    <w:rsid w:val="3DAF4DD3"/>
    <w:rsid w:val="41B617F2"/>
    <w:rsid w:val="422650DD"/>
    <w:rsid w:val="42FD59A9"/>
    <w:rsid w:val="44A5A4CD"/>
    <w:rsid w:val="464547AA"/>
    <w:rsid w:val="474BF2F3"/>
    <w:rsid w:val="47C3426A"/>
    <w:rsid w:val="48BC0F87"/>
    <w:rsid w:val="48E7E8B3"/>
    <w:rsid w:val="49597D24"/>
    <w:rsid w:val="496D6919"/>
    <w:rsid w:val="4B87349A"/>
    <w:rsid w:val="4C8ADCF3"/>
    <w:rsid w:val="4CA284CF"/>
    <w:rsid w:val="4D15AABC"/>
    <w:rsid w:val="4F0F013D"/>
    <w:rsid w:val="4F516C91"/>
    <w:rsid w:val="4FC5053E"/>
    <w:rsid w:val="4FED2B58"/>
    <w:rsid w:val="51511B75"/>
    <w:rsid w:val="53313B9A"/>
    <w:rsid w:val="569EB7E5"/>
    <w:rsid w:val="57124D38"/>
    <w:rsid w:val="572B9A5D"/>
    <w:rsid w:val="57944C7F"/>
    <w:rsid w:val="59C012EC"/>
    <w:rsid w:val="5AE50338"/>
    <w:rsid w:val="5AE98DCF"/>
    <w:rsid w:val="5C847E0C"/>
    <w:rsid w:val="5CE26707"/>
    <w:rsid w:val="5DF21CBA"/>
    <w:rsid w:val="5EAC83CA"/>
    <w:rsid w:val="607A1097"/>
    <w:rsid w:val="60EE8A6D"/>
    <w:rsid w:val="612A13EE"/>
    <w:rsid w:val="620537F8"/>
    <w:rsid w:val="639FA41D"/>
    <w:rsid w:val="653BBB11"/>
    <w:rsid w:val="685EFEB5"/>
    <w:rsid w:val="6A90069F"/>
    <w:rsid w:val="6CD56267"/>
    <w:rsid w:val="6D114DA3"/>
    <w:rsid w:val="6D2E54D7"/>
    <w:rsid w:val="6DA62762"/>
    <w:rsid w:val="6DCF412A"/>
    <w:rsid w:val="6EDBA7DD"/>
    <w:rsid w:val="71476734"/>
    <w:rsid w:val="71652829"/>
    <w:rsid w:val="72015946"/>
    <w:rsid w:val="724A7DC9"/>
    <w:rsid w:val="74DE63C0"/>
    <w:rsid w:val="76609421"/>
    <w:rsid w:val="77BC0B46"/>
    <w:rsid w:val="77C10F92"/>
    <w:rsid w:val="78BA0C10"/>
    <w:rsid w:val="78CA7419"/>
    <w:rsid w:val="792A03DA"/>
    <w:rsid w:val="79DBD532"/>
    <w:rsid w:val="79DDFC26"/>
    <w:rsid w:val="7A1E3E31"/>
    <w:rsid w:val="7A6888A1"/>
    <w:rsid w:val="7AC588ED"/>
    <w:rsid w:val="7ADBEA66"/>
    <w:rsid w:val="7FC97B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33824"/>
  <w15:docId w15:val="{676C6B3B-3DB6-40A1-B520-2A363D88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EF24D5"/>
    <w:pPr>
      <w:keepNext/>
      <w:jc w:val="both"/>
      <w:outlineLvl w:val="1"/>
    </w:pPr>
    <w:rPr>
      <w:rFonts w:ascii="Arial" w:hAnsi="Arial"/>
      <w:u w:val="single"/>
    </w:rPr>
  </w:style>
  <w:style w:type="paragraph" w:styleId="Heading3">
    <w:name w:val="heading 3"/>
    <w:next w:val="Normal"/>
    <w:link w:val="Heading3Char"/>
    <w:autoRedefine/>
    <w:qFormat/>
    <w:rsid w:val="003127BF"/>
    <w:pPr>
      <w:keepNext/>
      <w:tabs>
        <w:tab w:val="left" w:pos="720"/>
      </w:tabs>
      <w:jc w:val="both"/>
      <w:outlineLvl w:val="2"/>
    </w:pPr>
    <w:rPr>
      <w:rFonts w:ascii="Arial" w:hAnsi="Arial"/>
      <w:i/>
    </w:rPr>
  </w:style>
  <w:style w:type="paragraph" w:styleId="Heading4">
    <w:name w:val="heading 4"/>
    <w:next w:val="Normal"/>
    <w:autoRedefine/>
    <w:qFormat/>
    <w:rsid w:val="00E52427"/>
    <w:pPr>
      <w:keepNext/>
      <w:ind w:left="567"/>
      <w:jc w:val="both"/>
      <w:outlineLvl w:val="3"/>
    </w:pPr>
    <w:rPr>
      <w:rFonts w:ascii="Arial" w:hAnsi="Arial"/>
      <w:spacing w:val="-2"/>
      <w:sz w:val="18"/>
      <w:szCs w:val="18"/>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link w:val="FootnoteTextChar"/>
    <w:autoRedefine/>
    <w:rsid w:val="008A52E0"/>
    <w:pPr>
      <w:spacing w:before="60"/>
      <w:jc w:val="both"/>
    </w:pPr>
    <w:rPr>
      <w:rFonts w:ascii="Arial" w:hAnsi="Arial"/>
      <w:sz w:val="16"/>
    </w:rPr>
  </w:style>
  <w:style w:type="character" w:styleId="FootnoteReference">
    <w:name w:val="footnote reference"/>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link w:val="pldetailsChar"/>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rsid w:val="00C3093B"/>
    <w:pPr>
      <w:tabs>
        <w:tab w:val="right" w:leader="dot" w:pos="9639"/>
      </w:tabs>
      <w:spacing w:after="60"/>
      <w:ind w:left="568" w:right="284" w:hanging="284"/>
      <w:contextualSpacing/>
      <w:jc w:val="left"/>
    </w:pPr>
    <w:rPr>
      <w:sz w:val="18"/>
    </w:rPr>
  </w:style>
  <w:style w:type="paragraph" w:styleId="TOC3">
    <w:name w:val="toc 3"/>
    <w:next w:val="Normal"/>
    <w:autoRedefine/>
    <w:uiPriority w:val="39"/>
    <w:rsid w:val="00733A63"/>
    <w:pPr>
      <w:tabs>
        <w:tab w:val="right" w:leader="dot" w:pos="9639"/>
      </w:tabs>
      <w:spacing w:after="60"/>
      <w:ind w:left="851" w:right="567"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C211B0"/>
    <w:pPr>
      <w:tabs>
        <w:tab w:val="right" w:leader="dot" w:pos="9639"/>
      </w:tabs>
      <w:spacing w:before="60" w:after="60"/>
      <w:ind w:left="567" w:right="567" w:hanging="567"/>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TitleofdocChar">
    <w:name w:val="Title_of_doc Char"/>
    <w:link w:val="Titleofdoc0"/>
    <w:rsid w:val="007B73A9"/>
    <w:rPr>
      <w:rFonts w:ascii="Arial" w:hAnsi="Arial"/>
      <w:b/>
      <w:caps/>
    </w:rPr>
  </w:style>
  <w:style w:type="paragraph" w:customStyle="1" w:styleId="Sessiontwp">
    <w:name w:val="Session_twp"/>
    <w:basedOn w:val="Normal"/>
    <w:next w:val="Normal"/>
    <w:qFormat/>
    <w:rsid w:val="007B73A9"/>
    <w:rPr>
      <w:b/>
    </w:rPr>
  </w:style>
  <w:style w:type="paragraph" w:customStyle="1" w:styleId="Sessiontwpplacedate">
    <w:name w:val="Session_twp_place_date"/>
    <w:basedOn w:val="Normal"/>
    <w:next w:val="Normal"/>
    <w:qFormat/>
    <w:rsid w:val="007B73A9"/>
  </w:style>
  <w:style w:type="character" w:customStyle="1" w:styleId="FootnoteTextChar">
    <w:name w:val="Footnote Text Char"/>
    <w:basedOn w:val="DefaultParagraphFont"/>
    <w:link w:val="FootnoteText"/>
    <w:rsid w:val="008A52E0"/>
    <w:rPr>
      <w:rFonts w:ascii="Arial" w:hAnsi="Arial"/>
      <w:sz w:val="16"/>
    </w:rPr>
  </w:style>
  <w:style w:type="character" w:customStyle="1" w:styleId="Heading3Char">
    <w:name w:val="Heading 3 Char"/>
    <w:basedOn w:val="DefaultParagraphFont"/>
    <w:link w:val="Heading3"/>
    <w:rsid w:val="00EF24D5"/>
    <w:rPr>
      <w:rFonts w:ascii="Arial" w:hAnsi="Arial"/>
      <w:i/>
    </w:rPr>
  </w:style>
  <w:style w:type="paragraph" w:styleId="BodyTextIndent">
    <w:name w:val="Body Text Indent"/>
    <w:basedOn w:val="Normal"/>
    <w:link w:val="BodyTextIndentChar"/>
    <w:rsid w:val="00EF4B00"/>
    <w:pPr>
      <w:ind w:left="567"/>
      <w:jc w:val="left"/>
    </w:pPr>
    <w:rPr>
      <w:rFonts w:eastAsiaTheme="minorHAnsi" w:cs="Calibri"/>
      <w:szCs w:val="22"/>
      <w:lang w:val="es-ES_tradnl"/>
      <w14:ligatures w14:val="standardContextual"/>
    </w:rPr>
  </w:style>
  <w:style w:type="character" w:customStyle="1" w:styleId="BodyTextIndentChar">
    <w:name w:val="Body Text Indent Char"/>
    <w:basedOn w:val="DefaultParagraphFont"/>
    <w:link w:val="BodyTextIndent"/>
    <w:rsid w:val="00EF4B00"/>
    <w:rPr>
      <w:rFonts w:ascii="Arial" w:eastAsiaTheme="minorHAnsi" w:hAnsi="Arial" w:cs="Calibri"/>
      <w:szCs w:val="22"/>
      <w:lang w:val="es-ES_tradnl"/>
      <w14:ligatures w14:val="standardContextual"/>
    </w:rPr>
  </w:style>
  <w:style w:type="paragraph" w:styleId="ListParagraph">
    <w:name w:val="List Paragraph"/>
    <w:aliases w:val="auto_list_(i),List Paragraph1"/>
    <w:basedOn w:val="Normal"/>
    <w:link w:val="ListParagraphChar"/>
    <w:uiPriority w:val="34"/>
    <w:qFormat/>
    <w:rsid w:val="00EF4B00"/>
    <w:pPr>
      <w:ind w:left="720"/>
      <w:contextualSpacing/>
      <w:jc w:val="left"/>
    </w:pPr>
    <w:rPr>
      <w:rFonts w:eastAsiaTheme="minorHAnsi" w:cs="Calibri"/>
      <w:szCs w:val="22"/>
      <w14:ligatures w14:val="standardContextual"/>
    </w:rPr>
  </w:style>
  <w:style w:type="character" w:customStyle="1" w:styleId="ListParagraphChar">
    <w:name w:val="List Paragraph Char"/>
    <w:aliases w:val="auto_list_(i) Char,List Paragraph1 Char"/>
    <w:basedOn w:val="DefaultParagraphFont"/>
    <w:link w:val="ListParagraph"/>
    <w:uiPriority w:val="34"/>
    <w:rsid w:val="00EF4B00"/>
    <w:rPr>
      <w:rFonts w:ascii="Arial" w:eastAsiaTheme="minorHAnsi" w:hAnsi="Arial" w:cs="Calibri"/>
      <w:szCs w:val="22"/>
      <w14:ligatures w14:val="standardContextual"/>
    </w:rPr>
  </w:style>
  <w:style w:type="character" w:customStyle="1" w:styleId="pldetailsChar">
    <w:name w:val="pldetails Char"/>
    <w:link w:val="pldetails"/>
    <w:locked/>
    <w:rsid w:val="009C1313"/>
    <w:rPr>
      <w:rFonts w:ascii="Arial" w:hAnsi="Arial"/>
      <w:noProof/>
      <w:snapToGrid w:val="0"/>
    </w:rPr>
  </w:style>
  <w:style w:type="paragraph" w:styleId="Revision">
    <w:name w:val="Revision"/>
    <w:hidden/>
    <w:uiPriority w:val="99"/>
    <w:semiHidden/>
    <w:rsid w:val="00110AC8"/>
    <w:rPr>
      <w:rFonts w:ascii="Arial" w:hAnsi="Arial"/>
    </w:rPr>
  </w:style>
  <w:style w:type="paragraph" w:customStyle="1" w:styleId="Heading1Annex">
    <w:name w:val="Heading 1 Annex"/>
    <w:basedOn w:val="Heading1"/>
    <w:next w:val="Normal"/>
    <w:qFormat/>
    <w:rsid w:val="00A21829"/>
    <w:rPr>
      <w:lang w:eastAsia="fr-FR"/>
    </w:rPr>
  </w:style>
  <w:style w:type="paragraph" w:customStyle="1" w:styleId="Heading2Annex">
    <w:name w:val="Heading 2 Annex"/>
    <w:basedOn w:val="Heading2"/>
    <w:qFormat/>
    <w:rsid w:val="00FE6528"/>
    <w:rPr>
      <w:lang w:eastAsia="fr-FR"/>
    </w:rPr>
  </w:style>
  <w:style w:type="paragraph" w:customStyle="1" w:styleId="Heading3Annex">
    <w:name w:val="Heading 3 Annex"/>
    <w:basedOn w:val="Heading3"/>
    <w:qFormat/>
    <w:rsid w:val="00FE6528"/>
    <w:rPr>
      <w:lang w:eastAsia="fr-FR"/>
    </w:rPr>
  </w:style>
  <w:style w:type="character" w:styleId="UnresolvedMention">
    <w:name w:val="Unresolved Mention"/>
    <w:basedOn w:val="DefaultParagraphFont"/>
    <w:uiPriority w:val="99"/>
    <w:semiHidden/>
    <w:unhideWhenUsed/>
    <w:rsid w:val="0001494C"/>
    <w:rPr>
      <w:color w:val="605E5C"/>
      <w:shd w:val="clear" w:color="auto" w:fill="E1DFDD"/>
    </w:rPr>
  </w:style>
  <w:style w:type="character" w:styleId="CommentReference">
    <w:name w:val="annotation reference"/>
    <w:basedOn w:val="DefaultParagraphFont"/>
    <w:semiHidden/>
    <w:unhideWhenUsed/>
    <w:rsid w:val="00921232"/>
    <w:rPr>
      <w:sz w:val="16"/>
      <w:szCs w:val="16"/>
    </w:rPr>
  </w:style>
  <w:style w:type="paragraph" w:styleId="CommentText">
    <w:name w:val="annotation text"/>
    <w:basedOn w:val="Normal"/>
    <w:link w:val="CommentTextChar"/>
    <w:unhideWhenUsed/>
    <w:rsid w:val="00921232"/>
  </w:style>
  <w:style w:type="character" w:customStyle="1" w:styleId="CommentTextChar">
    <w:name w:val="Comment Text Char"/>
    <w:basedOn w:val="DefaultParagraphFont"/>
    <w:link w:val="CommentText"/>
    <w:rsid w:val="00921232"/>
    <w:rPr>
      <w:rFonts w:ascii="Arial" w:hAnsi="Arial"/>
    </w:rPr>
  </w:style>
  <w:style w:type="paragraph" w:styleId="CommentSubject">
    <w:name w:val="annotation subject"/>
    <w:basedOn w:val="CommentText"/>
    <w:next w:val="CommentText"/>
    <w:link w:val="CommentSubjectChar"/>
    <w:semiHidden/>
    <w:unhideWhenUsed/>
    <w:rsid w:val="00921232"/>
    <w:rPr>
      <w:b/>
      <w:bCs/>
    </w:rPr>
  </w:style>
  <w:style w:type="character" w:customStyle="1" w:styleId="CommentSubjectChar">
    <w:name w:val="Comment Subject Char"/>
    <w:basedOn w:val="CommentTextChar"/>
    <w:link w:val="CommentSubject"/>
    <w:semiHidden/>
    <w:rsid w:val="00921232"/>
    <w:rPr>
      <w:rFonts w:ascii="Arial" w:hAnsi="Arial"/>
      <w:b/>
      <w:bCs/>
    </w:rPr>
  </w:style>
  <w:style w:type="character" w:styleId="Mention">
    <w:name w:val="Mention"/>
    <w:basedOn w:val="DefaultParagraphFont"/>
    <w:uiPriority w:val="99"/>
    <w:unhideWhenUsed/>
    <w:rsid w:val="003C2A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1380">
      <w:bodyDiv w:val="1"/>
      <w:marLeft w:val="0"/>
      <w:marRight w:val="0"/>
      <w:marTop w:val="0"/>
      <w:marBottom w:val="0"/>
      <w:divBdr>
        <w:top w:val="none" w:sz="0" w:space="0" w:color="auto"/>
        <w:left w:val="none" w:sz="0" w:space="0" w:color="auto"/>
        <w:bottom w:val="none" w:sz="0" w:space="0" w:color="auto"/>
        <w:right w:val="none" w:sz="0" w:space="0" w:color="auto"/>
      </w:divBdr>
    </w:div>
    <w:div w:id="1298955907">
      <w:bodyDiv w:val="1"/>
      <w:marLeft w:val="0"/>
      <w:marRight w:val="0"/>
      <w:marTop w:val="0"/>
      <w:marBottom w:val="0"/>
      <w:divBdr>
        <w:top w:val="none" w:sz="0" w:space="0" w:color="auto"/>
        <w:left w:val="none" w:sz="0" w:space="0" w:color="auto"/>
        <w:bottom w:val="none" w:sz="0" w:space="0" w:color="auto"/>
        <w:right w:val="none" w:sz="0" w:space="0" w:color="auto"/>
      </w:divBdr>
    </w:div>
    <w:div w:id="1789741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pov.int/edocs/mdocs/upov/en/tc_55/tc_55_7.pdf" TargetMode="External"/><Relationship Id="rId18" Type="http://schemas.openxmlformats.org/officeDocument/2006/relationships/hyperlink" Target="https://www.upov.int/meetings/en/doc_details.jsp?meeting_id=67786&amp;doc_id=586962"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vo.europa.eu/en/cpvo-policy-status-plant-material-used-dus-testing-purposes" TargetMode="External"/><Relationship Id="rId17" Type="http://schemas.openxmlformats.org/officeDocument/2006/relationships/hyperlink" Target="https://www.upov.int/meetings/en/doc_details.jsp?meeting_id=67786&amp;doc_id=586962" TargetMode="External"/><Relationship Id="rId25" Type="http://schemas.openxmlformats.org/officeDocument/2006/relationships/hyperlink" Target="https://doi.org/10.3030/817970" TargetMode="External"/><Relationship Id="rId2" Type="http://schemas.openxmlformats.org/officeDocument/2006/relationships/customXml" Target="../customXml/item2.xml"/><Relationship Id="rId16" Type="http://schemas.openxmlformats.org/officeDocument/2006/relationships/hyperlink" Target="https://cpvo.europa.eu/en/cpvo-policy-status-plant-material-used-dus-testing-purpose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3030/817970" TargetMode="External"/><Relationship Id="rId5" Type="http://schemas.openxmlformats.org/officeDocument/2006/relationships/numbering" Target="numbering.xml"/><Relationship Id="rId15" Type="http://schemas.openxmlformats.org/officeDocument/2006/relationships/hyperlink" Target="https://www.upov.int/edocs/tgpdocs/en/tgp_5_section_1.pdf"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lay.google.com/store/apps/details?id=com.wur.invite.morph_app&amp;hl=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pov.int/edocs/infdocs/en/upov_inf_15.pdf" TargetMode="External"/><Relationship Id="rId22" Type="http://schemas.openxmlformats.org/officeDocument/2006/relationships/footer" Target="footer2.xml"/><Relationship Id="rId27"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4\templates\routing_slip_with_doc_SESSIONS_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D5902601C100489B1F49B37D492AF5" ma:contentTypeVersion="3" ma:contentTypeDescription="Create a new document." ma:contentTypeScope="" ma:versionID="154ce688bf457e80fb1b2822bc60b085">
  <xsd:schema xmlns:xsd="http://www.w3.org/2001/XMLSchema" xmlns:xs="http://www.w3.org/2001/XMLSchema" xmlns:p="http://schemas.microsoft.com/office/2006/metadata/properties" xmlns:ns2="185ede89-064b-44e6-abc2-21e41e6af941" targetNamespace="http://schemas.microsoft.com/office/2006/metadata/properties" ma:root="true" ma:fieldsID="2e8b7abcf56edb438094a138cc2a90c8" ns2:_="">
    <xsd:import namespace="185ede89-064b-44e6-abc2-21e41e6af9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ede89-064b-44e6-abc2-21e41e6af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7F104-B5AB-46CA-B442-640F44C4A9F5}">
  <ds:schemaRefs>
    <ds:schemaRef ds:uri="http://schemas.openxmlformats.org/officeDocument/2006/bibliography"/>
  </ds:schemaRefs>
</ds:datastoreItem>
</file>

<file path=customXml/itemProps2.xml><?xml version="1.0" encoding="utf-8"?>
<ds:datastoreItem xmlns:ds="http://schemas.openxmlformats.org/officeDocument/2006/customXml" ds:itemID="{6B646C0E-9B12-44F0-9142-FA3D1895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ede89-064b-44e6-abc2-21e41e6a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EB87C-D112-4C07-B029-C8E77623FB20}">
  <ds:schemaRefs>
    <ds:schemaRef ds:uri="http://schemas.microsoft.com/sharepoint/v3/contenttype/forms"/>
  </ds:schemaRefs>
</ds:datastoreItem>
</file>

<file path=customXml/itemProps4.xml><?xml version="1.0" encoding="utf-8"?>
<ds:datastoreItem xmlns:ds="http://schemas.openxmlformats.org/officeDocument/2006/customXml" ds:itemID="{EDEFC862-1DEB-4AA8-8CE2-4A5A44732B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routing_slip_with_doc_SESSIONS_2024.dotm</Template>
  <TotalTime>15</TotalTime>
  <Pages>19</Pages>
  <Words>8349</Words>
  <Characters>51774</Characters>
  <Application>Microsoft Office Word</Application>
  <DocSecurity>0</DocSecurity>
  <Lines>3698</Lines>
  <Paragraphs>2505</Paragraphs>
  <ScaleCrop>false</ScaleCrop>
  <HeadingPairs>
    <vt:vector size="2" baseType="variant">
      <vt:variant>
        <vt:lpstr>Title</vt:lpstr>
      </vt:variant>
      <vt:variant>
        <vt:i4>1</vt:i4>
      </vt:variant>
    </vt:vector>
  </HeadingPairs>
  <TitlesOfParts>
    <vt:vector size="1" baseType="lpstr">
      <vt:lpstr>SESSIONS/2025/6</vt:lpstr>
    </vt:vector>
  </TitlesOfParts>
  <Company>UPOV</Company>
  <LinksUpToDate>false</LinksUpToDate>
  <CharactersWithSpaces>57618</CharactersWithSpaces>
  <SharedDoc>false</SharedDoc>
  <HLinks>
    <vt:vector size="228" baseType="variant">
      <vt:variant>
        <vt:i4>2752610</vt:i4>
      </vt:variant>
      <vt:variant>
        <vt:i4>379</vt:i4>
      </vt:variant>
      <vt:variant>
        <vt:i4>0</vt:i4>
      </vt:variant>
      <vt:variant>
        <vt:i4>5</vt:i4>
      </vt:variant>
      <vt:variant>
        <vt:lpwstr>https://doi.org/10.3030/817970</vt:lpwstr>
      </vt:variant>
      <vt:variant>
        <vt:lpwstr/>
      </vt:variant>
      <vt:variant>
        <vt:i4>2752610</vt:i4>
      </vt:variant>
      <vt:variant>
        <vt:i4>376</vt:i4>
      </vt:variant>
      <vt:variant>
        <vt:i4>0</vt:i4>
      </vt:variant>
      <vt:variant>
        <vt:i4>5</vt:i4>
      </vt:variant>
      <vt:variant>
        <vt:lpwstr>https://doi.org/10.3030/817970</vt:lpwstr>
      </vt:variant>
      <vt:variant>
        <vt:lpwstr/>
      </vt:variant>
      <vt:variant>
        <vt:i4>1769530</vt:i4>
      </vt:variant>
      <vt:variant>
        <vt:i4>369</vt:i4>
      </vt:variant>
      <vt:variant>
        <vt:i4>0</vt:i4>
      </vt:variant>
      <vt:variant>
        <vt:i4>5</vt:i4>
      </vt:variant>
      <vt:variant>
        <vt:lpwstr/>
      </vt:variant>
      <vt:variant>
        <vt:lpwstr>_Toc189576576</vt:lpwstr>
      </vt:variant>
      <vt:variant>
        <vt:i4>1769530</vt:i4>
      </vt:variant>
      <vt:variant>
        <vt:i4>363</vt:i4>
      </vt:variant>
      <vt:variant>
        <vt:i4>0</vt:i4>
      </vt:variant>
      <vt:variant>
        <vt:i4>5</vt:i4>
      </vt:variant>
      <vt:variant>
        <vt:lpwstr/>
      </vt:variant>
      <vt:variant>
        <vt:lpwstr>_Toc189576575</vt:lpwstr>
      </vt:variant>
      <vt:variant>
        <vt:i4>1769530</vt:i4>
      </vt:variant>
      <vt:variant>
        <vt:i4>357</vt:i4>
      </vt:variant>
      <vt:variant>
        <vt:i4>0</vt:i4>
      </vt:variant>
      <vt:variant>
        <vt:i4>5</vt:i4>
      </vt:variant>
      <vt:variant>
        <vt:lpwstr/>
      </vt:variant>
      <vt:variant>
        <vt:lpwstr>_Toc189576574</vt:lpwstr>
      </vt:variant>
      <vt:variant>
        <vt:i4>1769530</vt:i4>
      </vt:variant>
      <vt:variant>
        <vt:i4>351</vt:i4>
      </vt:variant>
      <vt:variant>
        <vt:i4>0</vt:i4>
      </vt:variant>
      <vt:variant>
        <vt:i4>5</vt:i4>
      </vt:variant>
      <vt:variant>
        <vt:lpwstr/>
      </vt:variant>
      <vt:variant>
        <vt:lpwstr>_Toc189576573</vt:lpwstr>
      </vt:variant>
      <vt:variant>
        <vt:i4>1769530</vt:i4>
      </vt:variant>
      <vt:variant>
        <vt:i4>345</vt:i4>
      </vt:variant>
      <vt:variant>
        <vt:i4>0</vt:i4>
      </vt:variant>
      <vt:variant>
        <vt:i4>5</vt:i4>
      </vt:variant>
      <vt:variant>
        <vt:lpwstr/>
      </vt:variant>
      <vt:variant>
        <vt:lpwstr>_Toc189576572</vt:lpwstr>
      </vt:variant>
      <vt:variant>
        <vt:i4>1769530</vt:i4>
      </vt:variant>
      <vt:variant>
        <vt:i4>339</vt:i4>
      </vt:variant>
      <vt:variant>
        <vt:i4>0</vt:i4>
      </vt:variant>
      <vt:variant>
        <vt:i4>5</vt:i4>
      </vt:variant>
      <vt:variant>
        <vt:lpwstr/>
      </vt:variant>
      <vt:variant>
        <vt:lpwstr>_Toc189576571</vt:lpwstr>
      </vt:variant>
      <vt:variant>
        <vt:i4>1769530</vt:i4>
      </vt:variant>
      <vt:variant>
        <vt:i4>333</vt:i4>
      </vt:variant>
      <vt:variant>
        <vt:i4>0</vt:i4>
      </vt:variant>
      <vt:variant>
        <vt:i4>5</vt:i4>
      </vt:variant>
      <vt:variant>
        <vt:lpwstr/>
      </vt:variant>
      <vt:variant>
        <vt:lpwstr>_Toc189576570</vt:lpwstr>
      </vt:variant>
      <vt:variant>
        <vt:i4>1703994</vt:i4>
      </vt:variant>
      <vt:variant>
        <vt:i4>327</vt:i4>
      </vt:variant>
      <vt:variant>
        <vt:i4>0</vt:i4>
      </vt:variant>
      <vt:variant>
        <vt:i4>5</vt:i4>
      </vt:variant>
      <vt:variant>
        <vt:lpwstr/>
      </vt:variant>
      <vt:variant>
        <vt:lpwstr>_Toc189576569</vt:lpwstr>
      </vt:variant>
      <vt:variant>
        <vt:i4>1703994</vt:i4>
      </vt:variant>
      <vt:variant>
        <vt:i4>321</vt:i4>
      </vt:variant>
      <vt:variant>
        <vt:i4>0</vt:i4>
      </vt:variant>
      <vt:variant>
        <vt:i4>5</vt:i4>
      </vt:variant>
      <vt:variant>
        <vt:lpwstr/>
      </vt:variant>
      <vt:variant>
        <vt:lpwstr>_Toc189576568</vt:lpwstr>
      </vt:variant>
      <vt:variant>
        <vt:i4>1703994</vt:i4>
      </vt:variant>
      <vt:variant>
        <vt:i4>315</vt:i4>
      </vt:variant>
      <vt:variant>
        <vt:i4>0</vt:i4>
      </vt:variant>
      <vt:variant>
        <vt:i4>5</vt:i4>
      </vt:variant>
      <vt:variant>
        <vt:lpwstr/>
      </vt:variant>
      <vt:variant>
        <vt:lpwstr>_Toc189576567</vt:lpwstr>
      </vt:variant>
      <vt:variant>
        <vt:i4>1703994</vt:i4>
      </vt:variant>
      <vt:variant>
        <vt:i4>309</vt:i4>
      </vt:variant>
      <vt:variant>
        <vt:i4>0</vt:i4>
      </vt:variant>
      <vt:variant>
        <vt:i4>5</vt:i4>
      </vt:variant>
      <vt:variant>
        <vt:lpwstr/>
      </vt:variant>
      <vt:variant>
        <vt:lpwstr>_Toc189576566</vt:lpwstr>
      </vt:variant>
      <vt:variant>
        <vt:i4>1703994</vt:i4>
      </vt:variant>
      <vt:variant>
        <vt:i4>303</vt:i4>
      </vt:variant>
      <vt:variant>
        <vt:i4>0</vt:i4>
      </vt:variant>
      <vt:variant>
        <vt:i4>5</vt:i4>
      </vt:variant>
      <vt:variant>
        <vt:lpwstr/>
      </vt:variant>
      <vt:variant>
        <vt:lpwstr>_Toc189576565</vt:lpwstr>
      </vt:variant>
      <vt:variant>
        <vt:i4>1703994</vt:i4>
      </vt:variant>
      <vt:variant>
        <vt:i4>297</vt:i4>
      </vt:variant>
      <vt:variant>
        <vt:i4>0</vt:i4>
      </vt:variant>
      <vt:variant>
        <vt:i4>5</vt:i4>
      </vt:variant>
      <vt:variant>
        <vt:lpwstr/>
      </vt:variant>
      <vt:variant>
        <vt:lpwstr>_Toc189576564</vt:lpwstr>
      </vt:variant>
      <vt:variant>
        <vt:i4>1703994</vt:i4>
      </vt:variant>
      <vt:variant>
        <vt:i4>291</vt:i4>
      </vt:variant>
      <vt:variant>
        <vt:i4>0</vt:i4>
      </vt:variant>
      <vt:variant>
        <vt:i4>5</vt:i4>
      </vt:variant>
      <vt:variant>
        <vt:lpwstr/>
      </vt:variant>
      <vt:variant>
        <vt:lpwstr>_Toc189576563</vt:lpwstr>
      </vt:variant>
      <vt:variant>
        <vt:i4>1703994</vt:i4>
      </vt:variant>
      <vt:variant>
        <vt:i4>285</vt:i4>
      </vt:variant>
      <vt:variant>
        <vt:i4>0</vt:i4>
      </vt:variant>
      <vt:variant>
        <vt:i4>5</vt:i4>
      </vt:variant>
      <vt:variant>
        <vt:lpwstr/>
      </vt:variant>
      <vt:variant>
        <vt:lpwstr>_Toc189576562</vt:lpwstr>
      </vt:variant>
      <vt:variant>
        <vt:i4>1703994</vt:i4>
      </vt:variant>
      <vt:variant>
        <vt:i4>279</vt:i4>
      </vt:variant>
      <vt:variant>
        <vt:i4>0</vt:i4>
      </vt:variant>
      <vt:variant>
        <vt:i4>5</vt:i4>
      </vt:variant>
      <vt:variant>
        <vt:lpwstr/>
      </vt:variant>
      <vt:variant>
        <vt:lpwstr>_Toc189576561</vt:lpwstr>
      </vt:variant>
      <vt:variant>
        <vt:i4>1703994</vt:i4>
      </vt:variant>
      <vt:variant>
        <vt:i4>273</vt:i4>
      </vt:variant>
      <vt:variant>
        <vt:i4>0</vt:i4>
      </vt:variant>
      <vt:variant>
        <vt:i4>5</vt:i4>
      </vt:variant>
      <vt:variant>
        <vt:lpwstr/>
      </vt:variant>
      <vt:variant>
        <vt:lpwstr>_Toc189576560</vt:lpwstr>
      </vt:variant>
      <vt:variant>
        <vt:i4>1638458</vt:i4>
      </vt:variant>
      <vt:variant>
        <vt:i4>267</vt:i4>
      </vt:variant>
      <vt:variant>
        <vt:i4>0</vt:i4>
      </vt:variant>
      <vt:variant>
        <vt:i4>5</vt:i4>
      </vt:variant>
      <vt:variant>
        <vt:lpwstr/>
      </vt:variant>
      <vt:variant>
        <vt:lpwstr>_Toc189576559</vt:lpwstr>
      </vt:variant>
      <vt:variant>
        <vt:i4>1638458</vt:i4>
      </vt:variant>
      <vt:variant>
        <vt:i4>261</vt:i4>
      </vt:variant>
      <vt:variant>
        <vt:i4>0</vt:i4>
      </vt:variant>
      <vt:variant>
        <vt:i4>5</vt:i4>
      </vt:variant>
      <vt:variant>
        <vt:lpwstr/>
      </vt:variant>
      <vt:variant>
        <vt:lpwstr>_Toc189576558</vt:lpwstr>
      </vt:variant>
      <vt:variant>
        <vt:i4>1638458</vt:i4>
      </vt:variant>
      <vt:variant>
        <vt:i4>255</vt:i4>
      </vt:variant>
      <vt:variant>
        <vt:i4>0</vt:i4>
      </vt:variant>
      <vt:variant>
        <vt:i4>5</vt:i4>
      </vt:variant>
      <vt:variant>
        <vt:lpwstr/>
      </vt:variant>
      <vt:variant>
        <vt:lpwstr>_Toc189576557</vt:lpwstr>
      </vt:variant>
      <vt:variant>
        <vt:i4>1638458</vt:i4>
      </vt:variant>
      <vt:variant>
        <vt:i4>249</vt:i4>
      </vt:variant>
      <vt:variant>
        <vt:i4>0</vt:i4>
      </vt:variant>
      <vt:variant>
        <vt:i4>5</vt:i4>
      </vt:variant>
      <vt:variant>
        <vt:lpwstr/>
      </vt:variant>
      <vt:variant>
        <vt:lpwstr>_Toc189576556</vt:lpwstr>
      </vt:variant>
      <vt:variant>
        <vt:i4>1638458</vt:i4>
      </vt:variant>
      <vt:variant>
        <vt:i4>243</vt:i4>
      </vt:variant>
      <vt:variant>
        <vt:i4>0</vt:i4>
      </vt:variant>
      <vt:variant>
        <vt:i4>5</vt:i4>
      </vt:variant>
      <vt:variant>
        <vt:lpwstr/>
      </vt:variant>
      <vt:variant>
        <vt:lpwstr>_Toc189576555</vt:lpwstr>
      </vt:variant>
      <vt:variant>
        <vt:i4>1638458</vt:i4>
      </vt:variant>
      <vt:variant>
        <vt:i4>237</vt:i4>
      </vt:variant>
      <vt:variant>
        <vt:i4>0</vt:i4>
      </vt:variant>
      <vt:variant>
        <vt:i4>5</vt:i4>
      </vt:variant>
      <vt:variant>
        <vt:lpwstr/>
      </vt:variant>
      <vt:variant>
        <vt:lpwstr>_Toc189576554</vt:lpwstr>
      </vt:variant>
      <vt:variant>
        <vt:i4>1638458</vt:i4>
      </vt:variant>
      <vt:variant>
        <vt:i4>231</vt:i4>
      </vt:variant>
      <vt:variant>
        <vt:i4>0</vt:i4>
      </vt:variant>
      <vt:variant>
        <vt:i4>5</vt:i4>
      </vt:variant>
      <vt:variant>
        <vt:lpwstr/>
      </vt:variant>
      <vt:variant>
        <vt:lpwstr>_Toc189576553</vt:lpwstr>
      </vt:variant>
      <vt:variant>
        <vt:i4>1638458</vt:i4>
      </vt:variant>
      <vt:variant>
        <vt:i4>225</vt:i4>
      </vt:variant>
      <vt:variant>
        <vt:i4>0</vt:i4>
      </vt:variant>
      <vt:variant>
        <vt:i4>5</vt:i4>
      </vt:variant>
      <vt:variant>
        <vt:lpwstr/>
      </vt:variant>
      <vt:variant>
        <vt:lpwstr>_Toc189576552</vt:lpwstr>
      </vt:variant>
      <vt:variant>
        <vt:i4>1638458</vt:i4>
      </vt:variant>
      <vt:variant>
        <vt:i4>219</vt:i4>
      </vt:variant>
      <vt:variant>
        <vt:i4>0</vt:i4>
      </vt:variant>
      <vt:variant>
        <vt:i4>5</vt:i4>
      </vt:variant>
      <vt:variant>
        <vt:lpwstr/>
      </vt:variant>
      <vt:variant>
        <vt:lpwstr>_Toc189576551</vt:lpwstr>
      </vt:variant>
      <vt:variant>
        <vt:i4>2752532</vt:i4>
      </vt:variant>
      <vt:variant>
        <vt:i4>214</vt:i4>
      </vt:variant>
      <vt:variant>
        <vt:i4>0</vt:i4>
      </vt:variant>
      <vt:variant>
        <vt:i4>5</vt:i4>
      </vt:variant>
      <vt:variant>
        <vt:lpwstr>https://play.google.com/store/apps/details?id=com.wur.invite.morph_app&amp;hl=en-US</vt:lpwstr>
      </vt:variant>
      <vt:variant>
        <vt:lpwstr/>
      </vt:variant>
      <vt:variant>
        <vt:i4>1638504</vt:i4>
      </vt:variant>
      <vt:variant>
        <vt:i4>211</vt:i4>
      </vt:variant>
      <vt:variant>
        <vt:i4>0</vt:i4>
      </vt:variant>
      <vt:variant>
        <vt:i4>5</vt:i4>
      </vt:variant>
      <vt:variant>
        <vt:lpwstr>https://www.upov.int/meetings/en/doc_details.jsp?meeting_id=67786&amp;doc_id=586962</vt:lpwstr>
      </vt:variant>
      <vt:variant>
        <vt:lpwstr/>
      </vt:variant>
      <vt:variant>
        <vt:i4>1638504</vt:i4>
      </vt:variant>
      <vt:variant>
        <vt:i4>202</vt:i4>
      </vt:variant>
      <vt:variant>
        <vt:i4>0</vt:i4>
      </vt:variant>
      <vt:variant>
        <vt:i4>5</vt:i4>
      </vt:variant>
      <vt:variant>
        <vt:lpwstr>https://www.upov.int/meetings/en/doc_details.jsp?meeting_id=67786&amp;doc_id=586962</vt:lpwstr>
      </vt:variant>
      <vt:variant>
        <vt:lpwstr/>
      </vt:variant>
      <vt:variant>
        <vt:i4>1638504</vt:i4>
      </vt:variant>
      <vt:variant>
        <vt:i4>173</vt:i4>
      </vt:variant>
      <vt:variant>
        <vt:i4>0</vt:i4>
      </vt:variant>
      <vt:variant>
        <vt:i4>5</vt:i4>
      </vt:variant>
      <vt:variant>
        <vt:lpwstr>https://www.upov.int/meetings/en/doc_details.jsp?meeting_id=67786&amp;doc_id=586962</vt:lpwstr>
      </vt:variant>
      <vt:variant>
        <vt:lpwstr/>
      </vt:variant>
      <vt:variant>
        <vt:i4>327750</vt:i4>
      </vt:variant>
      <vt:variant>
        <vt:i4>156</vt:i4>
      </vt:variant>
      <vt:variant>
        <vt:i4>0</vt:i4>
      </vt:variant>
      <vt:variant>
        <vt:i4>5</vt:i4>
      </vt:variant>
      <vt:variant>
        <vt:lpwstr>https://cpvo.europa.eu/en/cpvo-policy-status-plant-material-used-dus-testing-purposes</vt:lpwstr>
      </vt:variant>
      <vt:variant>
        <vt:lpwstr/>
      </vt:variant>
      <vt:variant>
        <vt:i4>7602267</vt:i4>
      </vt:variant>
      <vt:variant>
        <vt:i4>149</vt:i4>
      </vt:variant>
      <vt:variant>
        <vt:i4>0</vt:i4>
      </vt:variant>
      <vt:variant>
        <vt:i4>5</vt:i4>
      </vt:variant>
      <vt:variant>
        <vt:lpwstr>https://www.upov.int/edocs/tgpdocs/en/tgp_5_section_1.pdf</vt:lpwstr>
      </vt:variant>
      <vt:variant>
        <vt:lpwstr/>
      </vt:variant>
      <vt:variant>
        <vt:i4>65540</vt:i4>
      </vt:variant>
      <vt:variant>
        <vt:i4>146</vt:i4>
      </vt:variant>
      <vt:variant>
        <vt:i4>0</vt:i4>
      </vt:variant>
      <vt:variant>
        <vt:i4>5</vt:i4>
      </vt:variant>
      <vt:variant>
        <vt:lpwstr>https://www.upov.int/edocs/infdocs/en/upov_inf_15.pdf</vt:lpwstr>
      </vt:variant>
      <vt:variant>
        <vt:lpwstr/>
      </vt:variant>
      <vt:variant>
        <vt:i4>327750</vt:i4>
      </vt:variant>
      <vt:variant>
        <vt:i4>135</vt:i4>
      </vt:variant>
      <vt:variant>
        <vt:i4>0</vt:i4>
      </vt:variant>
      <vt:variant>
        <vt:i4>5</vt:i4>
      </vt:variant>
      <vt:variant>
        <vt:lpwstr>https://cpvo.europa.eu/en/cpvo-policy-status-plant-material-used-dus-testing-purposes</vt:lpwstr>
      </vt:variant>
      <vt:variant>
        <vt:lpwstr/>
      </vt:variant>
      <vt:variant>
        <vt:i4>2162755</vt:i4>
      </vt:variant>
      <vt:variant>
        <vt:i4>116</vt:i4>
      </vt:variant>
      <vt:variant>
        <vt:i4>0</vt:i4>
      </vt:variant>
      <vt:variant>
        <vt:i4>5</vt:i4>
      </vt:variant>
      <vt:variant>
        <vt:lpwstr>https://www.upov.int/edocs/mdocs/upov/en/tc_55/tc_55_7.pdf</vt:lpwstr>
      </vt:variant>
      <vt:variant>
        <vt:lpwstr/>
      </vt:variant>
      <vt:variant>
        <vt:i4>6488131</vt:i4>
      </vt:variant>
      <vt:variant>
        <vt:i4>4</vt:i4>
      </vt:variant>
      <vt:variant>
        <vt:i4>0</vt:i4>
      </vt:variant>
      <vt:variant>
        <vt:i4>5</vt:i4>
      </vt:variant>
      <vt:variant>
        <vt:lpwstr>https://www.upov.int/edocs/tgpdocs/en/tgp_15.pdf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SESSIONS/2025/6</dc:title>
  <dc:creator>SANCHEZ VIZCAINO GOMEZ Rosa Maria</dc:creator>
  <cp:lastModifiedBy>SANCHEZ VIZCAINO GOMEZ Rosa Maria</cp:lastModifiedBy>
  <cp:revision>8</cp:revision>
  <cp:lastPrinted>2025-07-21T16:08:00Z</cp:lastPrinted>
  <dcterms:created xsi:type="dcterms:W3CDTF">2025-09-30T13:29:00Z</dcterms:created>
  <dcterms:modified xsi:type="dcterms:W3CDTF">2025-10-06T15:11:00Z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0x010100A6D5902601C100489B1F49B37D492AF5</vt:lpwstr>
  </property>
  <property fmtid="{D5CDD505-2E9C-101B-9397-08002B2CF9AE}" pid="3" name="ClassificationContentMarkingFooterShapeIds">
    <vt:lpwstr>701a222f,46dca7f8,d938790</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2025-08-13T11:48:55Z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70f1b218-f72a-4676-b3ad-a332e7aae2a1</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