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C916AB">
        <w:tc>
          <w:tcPr>
            <w:tcW w:w="6512" w:type="dxa"/>
          </w:tcPr>
          <w:p w:rsidR="003D0839" w:rsidRPr="00AC2883" w:rsidRDefault="003D0839" w:rsidP="00C916AB">
            <w:pPr>
              <w:pStyle w:val="Sessiontc"/>
              <w:spacing w:line="240" w:lineRule="auto"/>
            </w:pPr>
            <w:r w:rsidRPr="00DA4973">
              <w:t>Technical Committee</w:t>
            </w:r>
          </w:p>
          <w:p w:rsidR="003D0839" w:rsidRPr="00DC3802" w:rsidRDefault="003D0839" w:rsidP="00C916AB">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C916AB">
            <w:pPr>
              <w:pStyle w:val="Doccode"/>
            </w:pPr>
            <w:r>
              <w:t>TC/58</w:t>
            </w:r>
            <w:r w:rsidRPr="00AC2883">
              <w:t>/</w:t>
            </w:r>
            <w:r w:rsidR="00EB74E5" w:rsidRPr="00EB74E5">
              <w:t>INF/6</w:t>
            </w:r>
          </w:p>
          <w:p w:rsidR="003D0839" w:rsidRPr="003C7FBE" w:rsidRDefault="003D0839" w:rsidP="00C916AB">
            <w:pPr>
              <w:pStyle w:val="Docoriginal"/>
            </w:pPr>
            <w:r w:rsidRPr="00AC2883">
              <w:t>Original:</w:t>
            </w:r>
            <w:r w:rsidRPr="000E636A">
              <w:rPr>
                <w:b w:val="0"/>
                <w:spacing w:val="0"/>
              </w:rPr>
              <w:t xml:space="preserve">  English</w:t>
            </w:r>
          </w:p>
          <w:p w:rsidR="003D0839" w:rsidRPr="007C1D92" w:rsidRDefault="003D0839" w:rsidP="009B1294">
            <w:pPr>
              <w:pStyle w:val="Docoriginal"/>
            </w:pPr>
            <w:r w:rsidRPr="00AC2883">
              <w:t>Date:</w:t>
            </w:r>
            <w:r>
              <w:rPr>
                <w:b w:val="0"/>
                <w:spacing w:val="0"/>
              </w:rPr>
              <w:t xml:space="preserve">  </w:t>
            </w:r>
            <w:r w:rsidR="00A36C59" w:rsidRPr="005C548D">
              <w:rPr>
                <w:b w:val="0"/>
                <w:spacing w:val="0"/>
              </w:rPr>
              <w:t xml:space="preserve">October </w:t>
            </w:r>
            <w:r w:rsidR="00EF757F" w:rsidRPr="005C548D">
              <w:rPr>
                <w:b w:val="0"/>
                <w:spacing w:val="0"/>
              </w:rPr>
              <w:t>1</w:t>
            </w:r>
            <w:r w:rsidR="009B1294" w:rsidRPr="005C548D">
              <w:rPr>
                <w:b w:val="0"/>
                <w:spacing w:val="0"/>
              </w:rPr>
              <w:t>2</w:t>
            </w:r>
            <w:r w:rsidRPr="005C548D">
              <w:rPr>
                <w:b w:val="0"/>
                <w:spacing w:val="0"/>
              </w:rPr>
              <w:t>, 2022</w:t>
            </w:r>
          </w:p>
        </w:tc>
      </w:tr>
    </w:tbl>
    <w:p w:rsidR="003D0839" w:rsidRPr="006A644A" w:rsidRDefault="00EB74E5" w:rsidP="003D0839">
      <w:pPr>
        <w:pStyle w:val="Titleofdoc0"/>
      </w:pPr>
      <w:r w:rsidRPr="00F62FC5">
        <w:t>Molecular techniques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8422AD" w:rsidRDefault="008422AD" w:rsidP="008422AD">
      <w:pPr>
        <w:keepNext/>
        <w:outlineLvl w:val="0"/>
        <w:rPr>
          <w:rFonts w:eastAsiaTheme="minorEastAsia"/>
          <w:caps/>
          <w:lang w:eastAsia="ja-JP"/>
        </w:rPr>
      </w:pPr>
      <w:bookmarkStart w:id="0" w:name="_Toc524691135"/>
      <w:bookmarkStart w:id="1" w:name="_Toc483235547"/>
      <w:bookmarkStart w:id="2" w:name="_Toc474404967"/>
      <w:bookmarkStart w:id="3" w:name="_Ref438649598"/>
      <w:bookmarkStart w:id="4" w:name="_Toc116500477"/>
      <w:bookmarkStart w:id="5" w:name="_Toc17894057"/>
      <w:bookmarkStart w:id="6" w:name="_Toc475955714"/>
      <w:r>
        <w:rPr>
          <w:rFonts w:eastAsiaTheme="minorEastAsia"/>
          <w:caps/>
          <w:lang w:eastAsia="ja-JP"/>
        </w:rPr>
        <w:t>EXECUTIVE SUMMARY</w:t>
      </w:r>
      <w:bookmarkEnd w:id="0"/>
      <w:bookmarkEnd w:id="1"/>
      <w:bookmarkEnd w:id="2"/>
      <w:bookmarkEnd w:id="3"/>
      <w:bookmarkEnd w:id="4"/>
    </w:p>
    <w:p w:rsidR="008422AD" w:rsidRDefault="008422AD" w:rsidP="008422AD">
      <w:pPr>
        <w:rPr>
          <w:rFonts w:eastAsiaTheme="minorEastAsia"/>
          <w:lang w:eastAsia="ja-JP"/>
        </w:rPr>
      </w:pPr>
    </w:p>
    <w:p w:rsidR="00A65330" w:rsidRPr="00FA4478" w:rsidRDefault="00A65330" w:rsidP="00A65330">
      <w:r w:rsidRPr="00FA4478">
        <w:fldChar w:fldCharType="begin"/>
      </w:r>
      <w:r w:rsidRPr="00FA4478">
        <w:instrText xml:space="preserve"> AUTONUM  </w:instrText>
      </w:r>
      <w:r w:rsidRPr="00FA4478">
        <w:fldChar w:fldCharType="end"/>
      </w:r>
      <w:r w:rsidRPr="00FA4478">
        <w:tab/>
        <w:t xml:space="preserve">The purpose of this document is to report on developments </w:t>
      </w:r>
      <w:r w:rsidR="008E15E2">
        <w:t xml:space="preserve">concerning molecular techniques </w:t>
      </w:r>
      <w:r w:rsidRPr="00FA4478">
        <w:t>at the Technical Working Parties, at their sessions in 202</w:t>
      </w:r>
      <w:r>
        <w:t>2</w:t>
      </w:r>
      <w:r w:rsidRPr="00FA4478">
        <w:t>.</w:t>
      </w:r>
    </w:p>
    <w:p w:rsidR="00A65330" w:rsidRPr="00FA4478" w:rsidRDefault="00A65330" w:rsidP="00A65330">
      <w:pPr>
        <w:rPr>
          <w:lang w:eastAsia="ja-JP"/>
        </w:rPr>
      </w:pPr>
    </w:p>
    <w:p w:rsidR="00A65330" w:rsidRPr="00FA4478" w:rsidRDefault="00A65330" w:rsidP="00A65330">
      <w:r w:rsidRPr="00FA4478">
        <w:fldChar w:fldCharType="begin"/>
      </w:r>
      <w:r w:rsidRPr="00FA4478">
        <w:instrText xml:space="preserve"> AUTONUM  </w:instrText>
      </w:r>
      <w:r w:rsidRPr="00FA4478">
        <w:fldChar w:fldCharType="end"/>
      </w:r>
      <w:r w:rsidRPr="00FA4478">
        <w:tab/>
        <w:t>Matters for consideration by the</w:t>
      </w:r>
      <w:r w:rsidRPr="00FA4478">
        <w:rPr>
          <w:rFonts w:cs="Arial"/>
          <w:snapToGrid w:val="0"/>
          <w:lang w:eastAsia="ja-JP"/>
        </w:rPr>
        <w:t xml:space="preserve"> Technical Committee (TC) </w:t>
      </w:r>
      <w:r>
        <w:rPr>
          <w:snapToGrid w:val="0"/>
        </w:rPr>
        <w:t>concerning</w:t>
      </w:r>
      <w:r w:rsidRPr="00106B8C">
        <w:rPr>
          <w:snapToGrid w:val="0"/>
        </w:rPr>
        <w:t xml:space="preserve">: (1) cooperation between </w:t>
      </w:r>
      <w:r>
        <w:rPr>
          <w:snapToGrid w:val="0"/>
        </w:rPr>
        <w:t>international organizations;</w:t>
      </w:r>
      <w:r w:rsidRPr="00106B8C">
        <w:rPr>
          <w:snapToGrid w:val="0"/>
        </w:rPr>
        <w:t xml:space="preserve"> (2) sessions to facilitate cooperation in relation to the use of molecular techniques</w:t>
      </w:r>
      <w:r>
        <w:rPr>
          <w:snapToGrid w:val="0"/>
        </w:rPr>
        <w:t xml:space="preserve"> c</w:t>
      </w:r>
      <w:r w:rsidRPr="00611278">
        <w:rPr>
          <w:snapToGrid w:val="0"/>
        </w:rPr>
        <w:t>ooperation</w:t>
      </w:r>
      <w:r>
        <w:rPr>
          <w:snapToGrid w:val="0"/>
        </w:rPr>
        <w:t xml:space="preserve">; and (3) </w:t>
      </w:r>
      <w:r w:rsidR="00EF757F">
        <w:t>c</w:t>
      </w:r>
      <w:r w:rsidRPr="00B572C9">
        <w:t>onfidentiality</w:t>
      </w:r>
      <w:r w:rsidRPr="000634C8">
        <w:t>, ownership and access to molecular data</w:t>
      </w:r>
      <w:r w:rsidRPr="00FA4478">
        <w:rPr>
          <w:rFonts w:cs="Arial"/>
          <w:snapToGrid w:val="0"/>
          <w:lang w:eastAsia="ja-JP"/>
        </w:rPr>
        <w:t xml:space="preserve"> </w:t>
      </w:r>
      <w:r w:rsidRPr="00FA4478">
        <w:t>are presented in documents TC/5</w:t>
      </w:r>
      <w:r>
        <w:t>8</w:t>
      </w:r>
      <w:r w:rsidRPr="00FA4478">
        <w:t>/</w:t>
      </w:r>
      <w:r w:rsidR="00EF757F">
        <w:t>7</w:t>
      </w:r>
      <w:r w:rsidRPr="00FA4478">
        <w:t xml:space="preserve"> “Molecular techniques” and TC/5</w:t>
      </w:r>
      <w:r>
        <w:t>8</w:t>
      </w:r>
      <w:r w:rsidRPr="00FA4478">
        <w:t>/</w:t>
      </w:r>
      <w:r>
        <w:t>17</w:t>
      </w:r>
      <w:r w:rsidRPr="00FA4478">
        <w:t xml:space="preserve"> “Progress reports on the work of the Technical Working Parties”.</w:t>
      </w:r>
    </w:p>
    <w:p w:rsidR="00F72BBA" w:rsidRDefault="00F72BBA" w:rsidP="00F72BBA">
      <w:pPr>
        <w:ind w:firstLine="630"/>
        <w:rPr>
          <w:i/>
        </w:rPr>
      </w:pPr>
    </w:p>
    <w:p w:rsidR="008422AD" w:rsidRDefault="008422AD" w:rsidP="008422AD">
      <w:pPr>
        <w:keepNext/>
        <w:keepLines/>
        <w:spacing w:after="240"/>
        <w:rPr>
          <w:snapToGrid w:val="0"/>
        </w:rPr>
      </w:pPr>
      <w:r>
        <w:fldChar w:fldCharType="begin"/>
      </w:r>
      <w:r>
        <w:instrText xml:space="preserve"> AUTONUM  </w:instrText>
      </w:r>
      <w:r>
        <w:fldChar w:fldCharType="end"/>
      </w:r>
      <w:r>
        <w:tab/>
      </w:r>
      <w:r>
        <w:rPr>
          <w:snapToGrid w:val="0"/>
        </w:rPr>
        <w:t>The structure of this document is as follows:</w:t>
      </w:r>
    </w:p>
    <w:p w:rsidR="00B330F2" w:rsidRDefault="008422AD">
      <w:pPr>
        <w:pStyle w:val="TOC1"/>
        <w:rPr>
          <w:rFonts w:asciiTheme="minorHAnsi" w:eastAsiaTheme="minorEastAsia" w:hAnsiTheme="minorHAnsi" w:cstheme="minorBidi"/>
          <w:caps w:val="0"/>
          <w:noProof/>
          <w:sz w:val="22"/>
          <w:szCs w:val="22"/>
          <w:lang w:eastAsia="ja-JP"/>
        </w:rPr>
      </w:pPr>
      <w:r>
        <w:fldChar w:fldCharType="begin"/>
      </w:r>
      <w:r>
        <w:rPr>
          <w:rFonts w:cs="Arial"/>
          <w:noProof/>
          <w:snapToGrid w:val="0"/>
          <w:sz w:val="22"/>
        </w:rPr>
        <w:instrText xml:space="preserve"> TOC \o "1-3" \u </w:instrText>
      </w:r>
      <w:r>
        <w:fldChar w:fldCharType="separate"/>
      </w:r>
      <w:r w:rsidR="00B330F2" w:rsidRPr="00E54E2A">
        <w:rPr>
          <w:rFonts w:eastAsiaTheme="minorEastAsia"/>
          <w:noProof/>
          <w:lang w:eastAsia="ja-JP"/>
        </w:rPr>
        <w:t>EXECUTIVE SUMMARY</w:t>
      </w:r>
      <w:r w:rsidR="00B330F2">
        <w:rPr>
          <w:noProof/>
        </w:rPr>
        <w:tab/>
      </w:r>
      <w:r w:rsidR="00B330F2">
        <w:rPr>
          <w:noProof/>
        </w:rPr>
        <w:fldChar w:fldCharType="begin"/>
      </w:r>
      <w:r w:rsidR="00B330F2">
        <w:rPr>
          <w:noProof/>
        </w:rPr>
        <w:instrText xml:space="preserve"> PAGEREF _Toc116500477 \h </w:instrText>
      </w:r>
      <w:r w:rsidR="00B330F2">
        <w:rPr>
          <w:noProof/>
        </w:rPr>
      </w:r>
      <w:r w:rsidR="00B330F2">
        <w:rPr>
          <w:noProof/>
        </w:rPr>
        <w:fldChar w:fldCharType="separate"/>
      </w:r>
      <w:r w:rsidR="00B330F2">
        <w:rPr>
          <w:noProof/>
        </w:rPr>
        <w:t>1</w:t>
      </w:r>
      <w:r w:rsidR="00B330F2">
        <w:rPr>
          <w:noProof/>
        </w:rPr>
        <w:fldChar w:fldCharType="end"/>
      </w:r>
    </w:p>
    <w:p w:rsidR="00B330F2" w:rsidRDefault="00B330F2">
      <w:pPr>
        <w:pStyle w:val="TOC1"/>
        <w:rPr>
          <w:rFonts w:asciiTheme="minorHAnsi" w:eastAsiaTheme="minorEastAsia" w:hAnsiTheme="minorHAnsi" w:cstheme="minorBidi"/>
          <w:caps w:val="0"/>
          <w:noProof/>
          <w:sz w:val="22"/>
          <w:szCs w:val="22"/>
          <w:lang w:eastAsia="ja-JP"/>
        </w:rPr>
      </w:pPr>
      <w:r>
        <w:rPr>
          <w:noProof/>
        </w:rPr>
        <w:t>Developments at the Technical Working Parties at their sessions in 2022</w:t>
      </w:r>
      <w:r>
        <w:rPr>
          <w:noProof/>
        </w:rPr>
        <w:tab/>
      </w:r>
      <w:r>
        <w:rPr>
          <w:noProof/>
        </w:rPr>
        <w:fldChar w:fldCharType="begin"/>
      </w:r>
      <w:r>
        <w:rPr>
          <w:noProof/>
        </w:rPr>
        <w:instrText xml:space="preserve"> PAGEREF _Toc116500478 \h </w:instrText>
      </w:r>
      <w:r>
        <w:rPr>
          <w:noProof/>
        </w:rPr>
      </w:r>
      <w:r>
        <w:rPr>
          <w:noProof/>
        </w:rPr>
        <w:fldChar w:fldCharType="separate"/>
      </w:r>
      <w:r>
        <w:rPr>
          <w:noProof/>
        </w:rPr>
        <w:t>2</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Presentation on the use of molecular techniques in DUS examination</w:t>
      </w:r>
      <w:r>
        <w:rPr>
          <w:noProof/>
        </w:rPr>
        <w:tab/>
      </w:r>
      <w:r>
        <w:rPr>
          <w:noProof/>
        </w:rPr>
        <w:fldChar w:fldCharType="begin"/>
      </w:r>
      <w:r>
        <w:rPr>
          <w:noProof/>
        </w:rPr>
        <w:instrText xml:space="preserve"> PAGEREF _Toc116500479 \h </w:instrText>
      </w:r>
      <w:r>
        <w:rPr>
          <w:noProof/>
        </w:rPr>
      </w:r>
      <w:r>
        <w:rPr>
          <w:noProof/>
        </w:rPr>
        <w:fldChar w:fldCharType="separate"/>
      </w:r>
      <w:r>
        <w:rPr>
          <w:noProof/>
        </w:rPr>
        <w:t>2</w:t>
      </w:r>
      <w:r>
        <w:rPr>
          <w:noProof/>
        </w:rPr>
        <w:fldChar w:fldCharType="end"/>
      </w:r>
    </w:p>
    <w:p w:rsidR="00B330F2" w:rsidRDefault="00B330F2">
      <w:pPr>
        <w:pStyle w:val="TOC1"/>
        <w:rPr>
          <w:rFonts w:asciiTheme="minorHAnsi" w:eastAsiaTheme="minorEastAsia" w:hAnsiTheme="minorHAnsi" w:cstheme="minorBidi"/>
          <w:caps w:val="0"/>
          <w:noProof/>
          <w:sz w:val="22"/>
          <w:szCs w:val="22"/>
          <w:lang w:eastAsia="ja-JP"/>
        </w:rPr>
      </w:pPr>
      <w:r>
        <w:rPr>
          <w:noProof/>
        </w:rPr>
        <w:t>developments at the first session of the Technical Working Party on Testing Methods and Techniques (TWM)</w:t>
      </w:r>
      <w:r>
        <w:rPr>
          <w:noProof/>
        </w:rPr>
        <w:tab/>
      </w:r>
      <w:r>
        <w:rPr>
          <w:noProof/>
        </w:rPr>
        <w:fldChar w:fldCharType="begin"/>
      </w:r>
      <w:r>
        <w:rPr>
          <w:noProof/>
        </w:rPr>
        <w:instrText xml:space="preserve"> PAGEREF _Toc116500480 \h </w:instrText>
      </w:r>
      <w:r>
        <w:rPr>
          <w:noProof/>
        </w:rPr>
      </w:r>
      <w:r>
        <w:rPr>
          <w:noProof/>
        </w:rPr>
        <w:fldChar w:fldCharType="separate"/>
      </w:r>
      <w:r>
        <w:rPr>
          <w:noProof/>
        </w:rPr>
        <w:t>2</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Papers presented</w:t>
      </w:r>
      <w:r>
        <w:rPr>
          <w:noProof/>
        </w:rPr>
        <w:tab/>
      </w:r>
      <w:r>
        <w:rPr>
          <w:noProof/>
        </w:rPr>
        <w:fldChar w:fldCharType="begin"/>
      </w:r>
      <w:r>
        <w:rPr>
          <w:noProof/>
        </w:rPr>
        <w:instrText xml:space="preserve"> PAGEREF _Toc116500481 \h </w:instrText>
      </w:r>
      <w:r>
        <w:rPr>
          <w:noProof/>
        </w:rPr>
      </w:r>
      <w:r>
        <w:rPr>
          <w:noProof/>
        </w:rPr>
        <w:fldChar w:fldCharType="separate"/>
      </w:r>
      <w:r>
        <w:rPr>
          <w:noProof/>
        </w:rPr>
        <w:t>3</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Report of work on molecular techniques in relation to DUS examination</w:t>
      </w:r>
      <w:r>
        <w:rPr>
          <w:noProof/>
        </w:rPr>
        <w:tab/>
      </w:r>
      <w:r>
        <w:rPr>
          <w:noProof/>
        </w:rPr>
        <w:fldChar w:fldCharType="begin"/>
      </w:r>
      <w:r>
        <w:rPr>
          <w:noProof/>
        </w:rPr>
        <w:instrText xml:space="preserve"> PAGEREF _Toc116500482 \h </w:instrText>
      </w:r>
      <w:r>
        <w:rPr>
          <w:noProof/>
        </w:rPr>
      </w:r>
      <w:r>
        <w:rPr>
          <w:noProof/>
        </w:rPr>
        <w:fldChar w:fldCharType="separate"/>
      </w:r>
      <w:r>
        <w:rPr>
          <w:noProof/>
        </w:rPr>
        <w:t>4</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Methods for analysis of molecular data, management of databases and exchange of data and material</w:t>
      </w:r>
      <w:r>
        <w:rPr>
          <w:noProof/>
        </w:rPr>
        <w:tab/>
      </w:r>
      <w:r>
        <w:rPr>
          <w:noProof/>
        </w:rPr>
        <w:fldChar w:fldCharType="begin"/>
      </w:r>
      <w:r>
        <w:rPr>
          <w:noProof/>
        </w:rPr>
        <w:instrText xml:space="preserve"> PAGEREF _Toc116500483 \h </w:instrText>
      </w:r>
      <w:r>
        <w:rPr>
          <w:noProof/>
        </w:rPr>
      </w:r>
      <w:r>
        <w:rPr>
          <w:noProof/>
        </w:rPr>
        <w:fldChar w:fldCharType="separate"/>
      </w:r>
      <w:r>
        <w:rPr>
          <w:noProof/>
        </w:rPr>
        <w:t>4</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The use of molecular techniques in examining essential derivation</w:t>
      </w:r>
      <w:r>
        <w:rPr>
          <w:noProof/>
        </w:rPr>
        <w:tab/>
      </w:r>
      <w:r>
        <w:rPr>
          <w:noProof/>
        </w:rPr>
        <w:fldChar w:fldCharType="begin"/>
      </w:r>
      <w:r>
        <w:rPr>
          <w:noProof/>
        </w:rPr>
        <w:instrText xml:space="preserve"> PAGEREF _Toc116500484 \h </w:instrText>
      </w:r>
      <w:r>
        <w:rPr>
          <w:noProof/>
        </w:rPr>
      </w:r>
      <w:r>
        <w:rPr>
          <w:noProof/>
        </w:rPr>
        <w:fldChar w:fldCharType="separate"/>
      </w:r>
      <w:r>
        <w:rPr>
          <w:noProof/>
        </w:rPr>
        <w:t>4</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The use of molecular techniques in variety identification</w:t>
      </w:r>
      <w:r>
        <w:rPr>
          <w:noProof/>
        </w:rPr>
        <w:tab/>
      </w:r>
      <w:r>
        <w:rPr>
          <w:noProof/>
        </w:rPr>
        <w:fldChar w:fldCharType="begin"/>
      </w:r>
      <w:r>
        <w:rPr>
          <w:noProof/>
        </w:rPr>
        <w:instrText xml:space="preserve"> PAGEREF _Toc116500485 \h </w:instrText>
      </w:r>
      <w:r>
        <w:rPr>
          <w:noProof/>
        </w:rPr>
      </w:r>
      <w:r>
        <w:rPr>
          <w:noProof/>
        </w:rPr>
        <w:fldChar w:fldCharType="separate"/>
      </w:r>
      <w:r>
        <w:rPr>
          <w:noProof/>
        </w:rPr>
        <w:t>5</w:t>
      </w:r>
      <w:r>
        <w:rPr>
          <w:noProof/>
        </w:rPr>
        <w:fldChar w:fldCharType="end"/>
      </w:r>
    </w:p>
    <w:p w:rsidR="00B330F2" w:rsidRDefault="00B330F2" w:rsidP="005C548D">
      <w:pPr>
        <w:pStyle w:val="TOC2"/>
        <w:rPr>
          <w:rFonts w:asciiTheme="minorHAnsi" w:eastAsiaTheme="minorEastAsia" w:hAnsiTheme="minorHAnsi" w:cstheme="minorBidi"/>
          <w:smallCaps/>
          <w:noProof/>
          <w:sz w:val="22"/>
          <w:szCs w:val="22"/>
          <w:lang w:eastAsia="ja-JP"/>
        </w:rPr>
      </w:pPr>
      <w:r>
        <w:rPr>
          <w:noProof/>
        </w:rPr>
        <w:t>The use of molecular techniques for enforcement</w:t>
      </w:r>
      <w:r>
        <w:rPr>
          <w:noProof/>
        </w:rPr>
        <w:tab/>
      </w:r>
      <w:r>
        <w:rPr>
          <w:noProof/>
        </w:rPr>
        <w:fldChar w:fldCharType="begin"/>
      </w:r>
      <w:r>
        <w:rPr>
          <w:noProof/>
        </w:rPr>
        <w:instrText xml:space="preserve"> PAGEREF _Toc116500486 \h </w:instrText>
      </w:r>
      <w:r>
        <w:rPr>
          <w:noProof/>
        </w:rPr>
      </w:r>
      <w:r>
        <w:rPr>
          <w:noProof/>
        </w:rPr>
        <w:fldChar w:fldCharType="separate"/>
      </w:r>
      <w:r>
        <w:rPr>
          <w:noProof/>
        </w:rPr>
        <w:t>5</w:t>
      </w:r>
      <w:r>
        <w:rPr>
          <w:noProof/>
        </w:rPr>
        <w:fldChar w:fldCharType="end"/>
      </w:r>
    </w:p>
    <w:p w:rsidR="000F6B3F" w:rsidRDefault="008422AD" w:rsidP="000F6B3F">
      <w:pPr>
        <w:spacing w:before="60" w:after="120"/>
        <w:ind w:left="1134" w:hanging="1134"/>
        <w:rPr>
          <w:snapToGrid w:val="0"/>
          <w:sz w:val="18"/>
          <w:szCs w:val="18"/>
          <w:lang w:eastAsia="ja-JP"/>
        </w:rPr>
      </w:pPr>
      <w:r>
        <w:fldChar w:fldCharType="end"/>
      </w:r>
      <w:r w:rsidR="000F6B3F" w:rsidRPr="000F6B3F">
        <w:rPr>
          <w:snapToGrid w:val="0"/>
          <w:sz w:val="18"/>
          <w:szCs w:val="18"/>
          <w:lang w:eastAsia="ja-JP"/>
        </w:rPr>
        <w:t xml:space="preserve"> </w:t>
      </w:r>
      <w:r w:rsidR="000F6B3F">
        <w:rPr>
          <w:snapToGrid w:val="0"/>
          <w:sz w:val="18"/>
          <w:szCs w:val="18"/>
          <w:lang w:eastAsia="ja-JP"/>
        </w:rPr>
        <w:t xml:space="preserve">ANNEX </w:t>
      </w:r>
      <w:r w:rsidR="000F6B3F">
        <w:rPr>
          <w:snapToGrid w:val="0"/>
          <w:sz w:val="18"/>
          <w:szCs w:val="18"/>
          <w:lang w:eastAsia="ja-JP"/>
        </w:rPr>
        <w:tab/>
      </w:r>
      <w:r w:rsidR="000F6B3F" w:rsidRPr="0010602D">
        <w:rPr>
          <w:snapToGrid w:val="0"/>
          <w:sz w:val="18"/>
          <w:szCs w:val="18"/>
          <w:lang w:eastAsia="ja-JP"/>
        </w:rPr>
        <w:t>ELEMENTS FOR DRAFT JOINT DOCUMENT EXPLAINING THE PRINCIPAL FEATURES OF THE SYSTEMS OF THE OECD, UPOV AND ISTA</w:t>
      </w:r>
    </w:p>
    <w:p w:rsidR="008422AD" w:rsidRDefault="008422AD" w:rsidP="000F6B3F">
      <w:pPr>
        <w:spacing w:before="120"/>
        <w:ind w:left="1138" w:hanging="1138"/>
        <w:rPr>
          <w:rFonts w:cs="Arial"/>
          <w:bCs/>
          <w:caps/>
          <w:noProof/>
          <w:snapToGrid w:val="0"/>
          <w:sz w:val="18"/>
        </w:rPr>
      </w:pPr>
    </w:p>
    <w:p w:rsidR="008422AD" w:rsidRDefault="008422AD" w:rsidP="008422AD">
      <w:r>
        <w:fldChar w:fldCharType="begin"/>
      </w:r>
      <w:r>
        <w:instrText xml:space="preserve"> AUTONUM  </w:instrText>
      </w:r>
      <w:r>
        <w:fldChar w:fldCharType="end"/>
      </w:r>
      <w:r>
        <w:tab/>
        <w:t xml:space="preserve">The following abbreviations </w:t>
      </w:r>
      <w:proofErr w:type="gramStart"/>
      <w:r>
        <w:t>are used</w:t>
      </w:r>
      <w:proofErr w:type="gramEnd"/>
      <w:r>
        <w:t xml:space="preserve"> in this document:</w:t>
      </w:r>
    </w:p>
    <w:p w:rsidR="008422AD" w:rsidRDefault="008422AD" w:rsidP="008422AD">
      <w:pPr>
        <w:rPr>
          <w:color w:val="000000"/>
          <w:sz w:val="16"/>
        </w:rPr>
      </w:pPr>
    </w:p>
    <w:p w:rsidR="008422AD" w:rsidRDefault="008422AD" w:rsidP="008422AD">
      <w:pPr>
        <w:ind w:left="1701" w:hanging="1134"/>
      </w:pPr>
      <w:r>
        <w:t xml:space="preserve">TC:  </w:t>
      </w:r>
      <w:r>
        <w:tab/>
        <w:t>Technical Committee</w:t>
      </w:r>
    </w:p>
    <w:p w:rsidR="008422AD" w:rsidRDefault="008422AD" w:rsidP="008422AD">
      <w:pPr>
        <w:ind w:left="1701" w:hanging="1134"/>
      </w:pPr>
      <w:r>
        <w:t xml:space="preserve">TC-EDC:  </w:t>
      </w:r>
      <w:r>
        <w:tab/>
        <w:t>Enlarged Editorial Committee</w:t>
      </w:r>
    </w:p>
    <w:p w:rsidR="008422AD" w:rsidRDefault="008422AD" w:rsidP="008422AD">
      <w:pPr>
        <w:ind w:left="1701" w:hanging="1134"/>
      </w:pPr>
      <w:r>
        <w:t xml:space="preserve">TWA:  </w:t>
      </w:r>
      <w:r>
        <w:tab/>
        <w:t>Technical Working Party for Agricultural Crops</w:t>
      </w:r>
    </w:p>
    <w:p w:rsidR="008422AD" w:rsidRDefault="008422AD" w:rsidP="008422AD">
      <w:pPr>
        <w:ind w:left="1701" w:hanging="1134"/>
      </w:pPr>
      <w:r>
        <w:t xml:space="preserve">TWC:  </w:t>
      </w:r>
      <w:r>
        <w:tab/>
        <w:t>Technical Working Party on Automation and Computer Programs</w:t>
      </w:r>
    </w:p>
    <w:p w:rsidR="007B1BA8" w:rsidRDefault="008422AD" w:rsidP="008422AD">
      <w:pPr>
        <w:ind w:left="1701" w:hanging="1134"/>
      </w:pPr>
      <w:r>
        <w:t xml:space="preserve">TWF:  </w:t>
      </w:r>
      <w:r>
        <w:tab/>
        <w:t>Technical Working Party for Fruit Crops</w:t>
      </w:r>
    </w:p>
    <w:p w:rsidR="008422AD" w:rsidRDefault="007B1BA8" w:rsidP="008422AD">
      <w:pPr>
        <w:ind w:left="1701" w:hanging="1134"/>
      </w:pPr>
      <w:r>
        <w:t>TWM:</w:t>
      </w:r>
      <w:r>
        <w:tab/>
        <w:t>Technical Working Party on Testing Methods and Techniques</w:t>
      </w:r>
      <w:r w:rsidR="008422AD">
        <w:t xml:space="preserve"> </w:t>
      </w:r>
    </w:p>
    <w:p w:rsidR="008422AD" w:rsidRDefault="008422AD" w:rsidP="008422AD">
      <w:pPr>
        <w:ind w:left="1701" w:hanging="1134"/>
      </w:pPr>
      <w:r>
        <w:t xml:space="preserve">TWO:  </w:t>
      </w:r>
      <w:r>
        <w:tab/>
        <w:t xml:space="preserve">Technical Working Party for Ornamental Plants and Forest Trees </w:t>
      </w:r>
    </w:p>
    <w:p w:rsidR="008422AD" w:rsidRDefault="008422AD" w:rsidP="008422AD">
      <w:pPr>
        <w:ind w:left="1701" w:hanging="1134"/>
        <w:rPr>
          <w:color w:val="000000"/>
        </w:rPr>
      </w:pPr>
      <w:r>
        <w:rPr>
          <w:color w:val="000000"/>
        </w:rPr>
        <w:t>TWPs:</w:t>
      </w:r>
      <w:r>
        <w:rPr>
          <w:color w:val="000000"/>
        </w:rPr>
        <w:tab/>
        <w:t>Technical Working Parties</w:t>
      </w:r>
    </w:p>
    <w:p w:rsidR="008422AD" w:rsidRDefault="008422AD" w:rsidP="008422AD">
      <w:pPr>
        <w:ind w:left="1701" w:hanging="1134"/>
      </w:pPr>
      <w:r>
        <w:t xml:space="preserve">TWV:  </w:t>
      </w:r>
      <w:r>
        <w:tab/>
        <w:t>Technical Working Party for Vegetables</w:t>
      </w:r>
    </w:p>
    <w:p w:rsidR="008422AD" w:rsidRDefault="008422AD" w:rsidP="008422AD"/>
    <w:p w:rsidR="00EF757F" w:rsidRDefault="00EF757F" w:rsidP="005C548D">
      <w:pPr>
        <w:pStyle w:val="Heading1"/>
      </w:pPr>
      <w:bookmarkStart w:id="7" w:name="_Toc52799199"/>
      <w:bookmarkStart w:id="8" w:name="_Toc52877567"/>
      <w:bookmarkStart w:id="9" w:name="_Toc84413227"/>
      <w:bookmarkStart w:id="10" w:name="_Toc116500478"/>
      <w:bookmarkEnd w:id="5"/>
      <w:bookmarkEnd w:id="6"/>
      <w:r w:rsidRPr="00BE7EB4">
        <w:lastRenderedPageBreak/>
        <w:t>Developments at the Technical Working Parties at their sessions in 202</w:t>
      </w:r>
      <w:r w:rsidR="00BE7EB4" w:rsidRPr="00BE7EB4">
        <w:t>2</w:t>
      </w:r>
      <w:bookmarkEnd w:id="7"/>
      <w:bookmarkEnd w:id="8"/>
      <w:bookmarkEnd w:id="9"/>
      <w:bookmarkEnd w:id="10"/>
    </w:p>
    <w:p w:rsidR="00E217B5" w:rsidRPr="00E217B5" w:rsidRDefault="00E217B5" w:rsidP="005C548D">
      <w:pPr>
        <w:keepNext/>
      </w:pPr>
    </w:p>
    <w:p w:rsidR="00BE7EB4" w:rsidRPr="00FA4478" w:rsidRDefault="00BE7EB4" w:rsidP="005C548D">
      <w:pPr>
        <w:keepNext/>
        <w:keepLines/>
      </w:pPr>
      <w:r w:rsidRPr="00407A9C">
        <w:fldChar w:fldCharType="begin"/>
      </w:r>
      <w:r w:rsidRPr="00407A9C">
        <w:instrText xml:space="preserve"> AUTONUM  </w:instrText>
      </w:r>
      <w:r w:rsidRPr="00407A9C">
        <w:fldChar w:fldCharType="end"/>
      </w:r>
      <w:r w:rsidRPr="00407A9C">
        <w:tab/>
      </w:r>
      <w:proofErr w:type="gramStart"/>
      <w:r w:rsidRPr="00407A9C">
        <w:t>At their sessions in 2022, the TWV</w:t>
      </w:r>
      <w:r w:rsidRPr="00407A9C">
        <w:rPr>
          <w:vertAlign w:val="superscript"/>
        </w:rPr>
        <w:footnoteReference w:id="2"/>
      </w:r>
      <w:r w:rsidRPr="00407A9C">
        <w:t>, TWA</w:t>
      </w:r>
      <w:r w:rsidRPr="00407A9C">
        <w:rPr>
          <w:vertAlign w:val="superscript"/>
        </w:rPr>
        <w:footnoteReference w:id="3"/>
      </w:r>
      <w:r w:rsidRPr="00407A9C">
        <w:t>, TWO</w:t>
      </w:r>
      <w:r w:rsidRPr="00407A9C">
        <w:rPr>
          <w:vertAlign w:val="superscript"/>
        </w:rPr>
        <w:footnoteReference w:id="4"/>
      </w:r>
      <w:r w:rsidRPr="00407A9C">
        <w:t>, TWF</w:t>
      </w:r>
      <w:r w:rsidRPr="00407A9C">
        <w:rPr>
          <w:vertAlign w:val="superscript"/>
        </w:rPr>
        <w:footnoteReference w:id="5"/>
      </w:r>
      <w:r w:rsidRPr="00407A9C">
        <w:t xml:space="preserve"> and </w:t>
      </w:r>
      <w:r w:rsidRPr="00407A9C">
        <w:rPr>
          <w:snapToGrid w:val="0"/>
        </w:rPr>
        <w:t>TWM</w:t>
      </w:r>
      <w:r w:rsidRPr="00407A9C">
        <w:rPr>
          <w:snapToGrid w:val="0"/>
          <w:vertAlign w:val="superscript"/>
        </w:rPr>
        <w:footnoteReference w:id="6"/>
      </w:r>
      <w:r w:rsidRPr="00407A9C">
        <w:t xml:space="preserve"> considered document TWP/6/7 “Molecular Techniques” (see documents TWV/56/22 “Report”, paragraphs 5</w:t>
      </w:r>
      <w:r w:rsidR="00407A9C" w:rsidRPr="00407A9C">
        <w:t>5</w:t>
      </w:r>
      <w:r w:rsidRPr="00407A9C">
        <w:t xml:space="preserve"> to </w:t>
      </w:r>
      <w:r w:rsidR="00407A9C" w:rsidRPr="00407A9C">
        <w:t>62</w:t>
      </w:r>
      <w:r w:rsidRPr="00407A9C">
        <w:t xml:space="preserve">; TWA/51/11 “Report”, paragraphs </w:t>
      </w:r>
      <w:r w:rsidR="00407A9C" w:rsidRPr="00407A9C">
        <w:t>68</w:t>
      </w:r>
      <w:r w:rsidRPr="00407A9C">
        <w:t xml:space="preserve"> to 7</w:t>
      </w:r>
      <w:r w:rsidR="00407A9C" w:rsidRPr="00407A9C">
        <w:t>9</w:t>
      </w:r>
      <w:r w:rsidRPr="00407A9C">
        <w:t>; TWO/54/6 “Report”, paragraphs 6</w:t>
      </w:r>
      <w:r w:rsidR="00407A9C" w:rsidRPr="00407A9C">
        <w:t>4</w:t>
      </w:r>
      <w:r w:rsidRPr="00407A9C">
        <w:t xml:space="preserve"> to 7</w:t>
      </w:r>
      <w:r w:rsidR="00407A9C" w:rsidRPr="00407A9C">
        <w:t>3</w:t>
      </w:r>
      <w:r w:rsidRPr="00407A9C">
        <w:t xml:space="preserve">; TWF/53/14 “Report”, paragraphs </w:t>
      </w:r>
      <w:r w:rsidR="00407A9C" w:rsidRPr="00407A9C">
        <w:t>79</w:t>
      </w:r>
      <w:r w:rsidRPr="00407A9C">
        <w:t xml:space="preserve"> to </w:t>
      </w:r>
      <w:r w:rsidR="00407A9C" w:rsidRPr="00407A9C">
        <w:t>87</w:t>
      </w:r>
      <w:r w:rsidRPr="00407A9C">
        <w:t xml:space="preserve">; and TWM/1/26 “Report”, paragraphs </w:t>
      </w:r>
      <w:r w:rsidR="00407A9C" w:rsidRPr="00407A9C">
        <w:t>73</w:t>
      </w:r>
      <w:r w:rsidRPr="00407A9C">
        <w:t xml:space="preserve"> to 80)</w:t>
      </w:r>
      <w:r w:rsidRPr="00407A9C">
        <w:rPr>
          <w:lang w:eastAsia="ja-JP"/>
        </w:rPr>
        <w:t>.</w:t>
      </w:r>
      <w:proofErr w:type="gramEnd"/>
    </w:p>
    <w:p w:rsidR="00374CE4" w:rsidRDefault="00374CE4" w:rsidP="00EF757F">
      <w:pPr>
        <w:rPr>
          <w:highlight w:val="cyan"/>
        </w:rPr>
      </w:pPr>
    </w:p>
    <w:p w:rsidR="00374CE4" w:rsidRPr="00374CE4" w:rsidRDefault="00374CE4" w:rsidP="005C548D">
      <w:pPr>
        <w:pStyle w:val="Heading2"/>
      </w:pPr>
      <w:bookmarkStart w:id="11" w:name="_Toc116500479"/>
      <w:r w:rsidRPr="00374CE4">
        <w:t>Presentation on the use of molecular techniques in DUS examination</w:t>
      </w:r>
      <w:bookmarkEnd w:id="11"/>
    </w:p>
    <w:p w:rsidR="00374CE4" w:rsidRPr="00374CE4" w:rsidRDefault="00374CE4" w:rsidP="00374CE4"/>
    <w:p w:rsidR="00374CE4" w:rsidRPr="00374CE4" w:rsidRDefault="00374CE4" w:rsidP="00374CE4">
      <w:pPr>
        <w:rPr>
          <w:rFonts w:eastAsia="Times New Roman"/>
          <w:snapToGrid w:val="0"/>
        </w:rPr>
      </w:pPr>
      <w:r w:rsidRPr="00374CE4">
        <w:rPr>
          <w:rFonts w:eastAsia="Times New Roman"/>
        </w:rPr>
        <w:fldChar w:fldCharType="begin"/>
      </w:r>
      <w:r w:rsidRPr="00374CE4">
        <w:rPr>
          <w:rFonts w:eastAsia="Times New Roman"/>
        </w:rPr>
        <w:instrText xml:space="preserve"> AUTONUM  </w:instrText>
      </w:r>
      <w:r w:rsidRPr="00374CE4">
        <w:rPr>
          <w:rFonts w:eastAsia="Times New Roman"/>
        </w:rPr>
        <w:fldChar w:fldCharType="end"/>
      </w:r>
      <w:r w:rsidRPr="00374CE4">
        <w:rPr>
          <w:rFonts w:eastAsia="Times New Roman"/>
        </w:rPr>
        <w:tab/>
        <w:t xml:space="preserve">The TWV received a presentation on </w:t>
      </w:r>
      <w:r w:rsidRPr="00374CE4">
        <w:rPr>
          <w:rFonts w:eastAsia="Times New Roman"/>
          <w:snapToGrid w:val="0"/>
        </w:rPr>
        <w:t>“</w:t>
      </w:r>
      <w:r w:rsidRPr="00374CE4">
        <w:rPr>
          <w:rFonts w:eastAsia="Times New Roman"/>
          <w:bCs/>
          <w:snapToGrid w:val="0"/>
        </w:rPr>
        <w:t>International harmonization and validation of a SNP set for the management of tomato reference collection</w:t>
      </w:r>
      <w:r w:rsidRPr="00374CE4">
        <w:rPr>
          <w:rFonts w:eastAsia="Times New Roman"/>
          <w:snapToGrid w:val="0"/>
        </w:rPr>
        <w:t xml:space="preserve">” by an expert from the Netherlands.  A copy of the presentation </w:t>
      </w:r>
      <w:proofErr w:type="gramStart"/>
      <w:r w:rsidRPr="00374CE4">
        <w:rPr>
          <w:rFonts w:eastAsia="Times New Roman"/>
          <w:snapToGrid w:val="0"/>
        </w:rPr>
        <w:t>is provided</w:t>
      </w:r>
      <w:proofErr w:type="gramEnd"/>
      <w:r w:rsidRPr="00374CE4">
        <w:rPr>
          <w:rFonts w:eastAsia="Times New Roman"/>
          <w:snapToGrid w:val="0"/>
        </w:rPr>
        <w:t xml:space="preserve"> in document TWV/56/21.</w:t>
      </w:r>
    </w:p>
    <w:p w:rsidR="00374CE4" w:rsidRPr="00374CE4" w:rsidRDefault="00374CE4" w:rsidP="00374CE4">
      <w:pPr>
        <w:rPr>
          <w:rFonts w:eastAsia="Times New Roman"/>
          <w:snapToGrid w:val="0"/>
        </w:rPr>
      </w:pPr>
    </w:p>
    <w:p w:rsidR="00374CE4" w:rsidRPr="00374CE4" w:rsidRDefault="00374CE4" w:rsidP="00374CE4">
      <w:pPr>
        <w:rPr>
          <w:rFonts w:eastAsia="Times New Roman"/>
        </w:rPr>
      </w:pPr>
      <w:r w:rsidRPr="00374CE4">
        <w:rPr>
          <w:rFonts w:eastAsia="Times New Roman"/>
        </w:rPr>
        <w:fldChar w:fldCharType="begin"/>
      </w:r>
      <w:r w:rsidRPr="00374CE4">
        <w:rPr>
          <w:rFonts w:eastAsia="Times New Roman"/>
        </w:rPr>
        <w:instrText xml:space="preserve"> AUTONUM  </w:instrText>
      </w:r>
      <w:r w:rsidRPr="00374CE4">
        <w:rPr>
          <w:rFonts w:eastAsia="Times New Roman"/>
        </w:rPr>
        <w:fldChar w:fldCharType="end"/>
      </w:r>
      <w:r w:rsidRPr="00374CE4">
        <w:rPr>
          <w:rFonts w:eastAsia="Times New Roman"/>
        </w:rPr>
        <w:tab/>
        <w:t>The TWV discussed the process of authorization from breeders for using varieties in the project and noted the importance of the agreement established to regulate access to genetic information from varieties and confidentiality aspects.</w:t>
      </w:r>
    </w:p>
    <w:p w:rsidR="00374CE4" w:rsidRPr="00374CE4" w:rsidRDefault="00374CE4" w:rsidP="00EF757F"/>
    <w:p w:rsidR="00374CE4" w:rsidRPr="00374CE4" w:rsidRDefault="00374CE4" w:rsidP="00374CE4">
      <w:r w:rsidRPr="00374CE4">
        <w:fldChar w:fldCharType="begin"/>
      </w:r>
      <w:r w:rsidRPr="00374CE4">
        <w:instrText xml:space="preserve"> AUTONUM  </w:instrText>
      </w:r>
      <w:r w:rsidRPr="00374CE4">
        <w:fldChar w:fldCharType="end"/>
      </w:r>
      <w:r w:rsidRPr="00374CE4">
        <w:tab/>
        <w:t xml:space="preserve">The TWA received a presentation on the “Use of molecular techniques in DUS examination: Report from Argentina” by an expert from Argentina.  A copy of the presentation </w:t>
      </w:r>
      <w:proofErr w:type="gramStart"/>
      <w:r w:rsidRPr="00374CE4">
        <w:t>is provided</w:t>
      </w:r>
      <w:proofErr w:type="gramEnd"/>
      <w:r w:rsidRPr="00374CE4">
        <w:t xml:space="preserve"> in document TWA/51/4.</w:t>
      </w:r>
    </w:p>
    <w:p w:rsidR="00374CE4" w:rsidRPr="00374CE4" w:rsidRDefault="00374CE4" w:rsidP="00374CE4"/>
    <w:p w:rsidR="00374CE4" w:rsidRPr="00374CE4" w:rsidRDefault="00374CE4" w:rsidP="00374CE4">
      <w:r w:rsidRPr="00374CE4">
        <w:fldChar w:fldCharType="begin"/>
      </w:r>
      <w:r w:rsidRPr="00374CE4">
        <w:instrText xml:space="preserve"> AUTONUM  </w:instrText>
      </w:r>
      <w:r w:rsidRPr="00374CE4">
        <w:fldChar w:fldCharType="end"/>
      </w:r>
      <w:r w:rsidRPr="00374CE4">
        <w:tab/>
        <w:t xml:space="preserve">The TWA received a presentation on “Developing a strategy to apply SNP molecular markers in the framework of winter oilseed rape DUS testing” by an expert from France.  A copy of the presentation </w:t>
      </w:r>
      <w:proofErr w:type="gramStart"/>
      <w:r w:rsidRPr="00374CE4">
        <w:t>is provided</w:t>
      </w:r>
      <w:proofErr w:type="gramEnd"/>
      <w:r w:rsidRPr="00374CE4">
        <w:t xml:space="preserve"> in document TWA/51/4 Add.</w:t>
      </w:r>
    </w:p>
    <w:p w:rsidR="00374CE4" w:rsidRPr="00374CE4" w:rsidRDefault="00374CE4" w:rsidP="00374CE4">
      <w:pPr>
        <w:jc w:val="left"/>
      </w:pPr>
    </w:p>
    <w:p w:rsidR="00374CE4" w:rsidRPr="00374CE4" w:rsidRDefault="00374CE4" w:rsidP="00374CE4">
      <w:r w:rsidRPr="00374CE4">
        <w:fldChar w:fldCharType="begin"/>
      </w:r>
      <w:r w:rsidRPr="00374CE4">
        <w:instrText xml:space="preserve"> AUTONUM  </w:instrText>
      </w:r>
      <w:r w:rsidRPr="00374CE4">
        <w:fldChar w:fldCharType="end"/>
      </w:r>
      <w:r w:rsidRPr="00374CE4">
        <w:tab/>
        <w:t xml:space="preserve">The TWF received a presentation on “Application of molecular techniques in DUS testing and PBR enforcement of fruit sector in China” by an expert from China.  A copy of the presentation </w:t>
      </w:r>
      <w:proofErr w:type="gramStart"/>
      <w:r w:rsidRPr="00374CE4">
        <w:t>is provided</w:t>
      </w:r>
      <w:proofErr w:type="gramEnd"/>
      <w:r w:rsidRPr="00374CE4">
        <w:t xml:space="preserve"> in document TWF/53/12.</w:t>
      </w:r>
    </w:p>
    <w:p w:rsidR="00374CE4" w:rsidRPr="00374CE4" w:rsidRDefault="00374CE4" w:rsidP="00374CE4"/>
    <w:p w:rsidR="00374CE4" w:rsidRPr="00374CE4" w:rsidRDefault="00374CE4" w:rsidP="00374CE4">
      <w:r w:rsidRPr="00374CE4">
        <w:fldChar w:fldCharType="begin"/>
      </w:r>
      <w:r w:rsidRPr="00374CE4">
        <w:instrText xml:space="preserve"> AUTONUM  </w:instrText>
      </w:r>
      <w:r w:rsidRPr="00374CE4">
        <w:fldChar w:fldCharType="end"/>
      </w:r>
      <w:r w:rsidRPr="00374CE4">
        <w:tab/>
        <w:t xml:space="preserve">The TWF noted that molecular markers </w:t>
      </w:r>
      <w:proofErr w:type="gramStart"/>
      <w:r w:rsidRPr="00374CE4">
        <w:t>could be used</w:t>
      </w:r>
      <w:proofErr w:type="gramEnd"/>
      <w:r w:rsidRPr="00374CE4">
        <w:t xml:space="preserve"> in China as first instance evidence for enforcement of breeders’ rights, followed by a growing trial in case required.</w:t>
      </w:r>
    </w:p>
    <w:p w:rsidR="00374CE4" w:rsidRPr="00374CE4" w:rsidRDefault="00374CE4" w:rsidP="00374CE4"/>
    <w:p w:rsidR="00374CE4" w:rsidRPr="00374CE4" w:rsidRDefault="00374CE4" w:rsidP="00374CE4">
      <w:r w:rsidRPr="00374CE4">
        <w:fldChar w:fldCharType="begin"/>
      </w:r>
      <w:r w:rsidRPr="00374CE4">
        <w:instrText xml:space="preserve"> AUTONUM  </w:instrText>
      </w:r>
      <w:r w:rsidRPr="00374CE4">
        <w:fldChar w:fldCharType="end"/>
      </w:r>
      <w:r w:rsidRPr="00374CE4">
        <w:tab/>
        <w:t xml:space="preserve">Following the presentation from China, the TWF had an open discussion about the use of molecular markers in DUS examination and variety identification.  </w:t>
      </w:r>
      <w:proofErr w:type="gramStart"/>
      <w:r w:rsidRPr="00374CE4">
        <w:t>The following aspects were mentioned by participants</w:t>
      </w:r>
      <w:proofErr w:type="gramEnd"/>
      <w:r w:rsidRPr="00374CE4">
        <w:t>:</w:t>
      </w:r>
    </w:p>
    <w:p w:rsidR="00374CE4" w:rsidRPr="00374CE4" w:rsidRDefault="00374CE4" w:rsidP="00374CE4"/>
    <w:p w:rsidR="00374CE4" w:rsidRPr="00374CE4" w:rsidRDefault="00374CE4" w:rsidP="00374CE4">
      <w:pPr>
        <w:pStyle w:val="ListParagraph"/>
        <w:numPr>
          <w:ilvl w:val="0"/>
          <w:numId w:val="14"/>
        </w:numPr>
        <w:spacing w:line="276" w:lineRule="auto"/>
        <w:ind w:left="1134" w:hanging="567"/>
      </w:pPr>
      <w:r w:rsidRPr="00374CE4">
        <w:t xml:space="preserve">Possibilities for cooperation on the constitution of common databases, including for authorities receiving relatively few applications for particular crops </w:t>
      </w:r>
    </w:p>
    <w:p w:rsidR="00374CE4" w:rsidRPr="00374CE4" w:rsidRDefault="00374CE4" w:rsidP="00374CE4">
      <w:pPr>
        <w:pStyle w:val="ListParagraph"/>
        <w:numPr>
          <w:ilvl w:val="0"/>
          <w:numId w:val="14"/>
        </w:numPr>
        <w:spacing w:line="276" w:lineRule="auto"/>
        <w:ind w:left="567" w:firstLine="0"/>
      </w:pPr>
      <w:r w:rsidRPr="00374CE4">
        <w:t>Origin of plant material for DNA extraction (e.g. material provided for DUS testing)</w:t>
      </w:r>
    </w:p>
    <w:p w:rsidR="00374CE4" w:rsidRPr="00374CE4" w:rsidRDefault="00374CE4" w:rsidP="00374CE4">
      <w:pPr>
        <w:pStyle w:val="ListParagraph"/>
        <w:numPr>
          <w:ilvl w:val="0"/>
          <w:numId w:val="14"/>
        </w:numPr>
        <w:spacing w:line="276" w:lineRule="auto"/>
        <w:ind w:left="1134" w:hanging="567"/>
      </w:pPr>
      <w:r w:rsidRPr="00374CE4">
        <w:t>Selection of markers for each crop, according to intended use (e.g. for PBR and/or variety identification).</w:t>
      </w:r>
    </w:p>
    <w:p w:rsidR="00374CE4" w:rsidRPr="00374CE4" w:rsidRDefault="00374CE4" w:rsidP="00374CE4">
      <w:pPr>
        <w:pStyle w:val="ListParagraph"/>
        <w:numPr>
          <w:ilvl w:val="0"/>
          <w:numId w:val="14"/>
        </w:numPr>
        <w:spacing w:line="276" w:lineRule="auto"/>
        <w:ind w:left="1134" w:hanging="567"/>
      </w:pPr>
      <w:r w:rsidRPr="00374CE4">
        <w:t>Selecting one or more laboratories capable of providing high-quality molecular profiles (e.g. security back-up);</w:t>
      </w:r>
    </w:p>
    <w:p w:rsidR="00374CE4" w:rsidRPr="00374CE4" w:rsidRDefault="00374CE4" w:rsidP="00374CE4">
      <w:pPr>
        <w:pStyle w:val="ListParagraph"/>
        <w:numPr>
          <w:ilvl w:val="0"/>
          <w:numId w:val="14"/>
        </w:numPr>
        <w:spacing w:line="276" w:lineRule="auto"/>
        <w:ind w:left="567" w:firstLine="0"/>
      </w:pPr>
      <w:r w:rsidRPr="00374CE4">
        <w:t xml:space="preserve">High cost for harmonizing methodologies for DNA profiling among different laboratories; </w:t>
      </w:r>
    </w:p>
    <w:p w:rsidR="00374CE4" w:rsidRPr="00374CE4" w:rsidRDefault="00374CE4" w:rsidP="00374CE4">
      <w:pPr>
        <w:pStyle w:val="ListParagraph"/>
        <w:numPr>
          <w:ilvl w:val="0"/>
          <w:numId w:val="14"/>
        </w:numPr>
        <w:spacing w:line="276" w:lineRule="auto"/>
        <w:ind w:left="567" w:firstLine="0"/>
      </w:pPr>
      <w:r w:rsidRPr="00374CE4">
        <w:t>Difficulties to obtain the same results even for laboratories using harmonized methodologies.</w:t>
      </w:r>
    </w:p>
    <w:p w:rsidR="00374CE4" w:rsidRPr="00F34BF7" w:rsidRDefault="00374CE4" w:rsidP="00374CE4"/>
    <w:p w:rsidR="00374CE4" w:rsidRPr="00374CE4" w:rsidRDefault="00374CE4" w:rsidP="00374CE4">
      <w:pPr>
        <w:ind w:left="567" w:hanging="567"/>
        <w:rPr>
          <w:lang w:eastAsia="ja-JP"/>
        </w:rPr>
      </w:pPr>
    </w:p>
    <w:p w:rsidR="00374CE4" w:rsidRPr="00CA1EF5" w:rsidRDefault="00374CE4" w:rsidP="00CA1EF5">
      <w:pPr>
        <w:pStyle w:val="Heading1"/>
      </w:pPr>
      <w:bookmarkStart w:id="12" w:name="_Toc116500480"/>
      <w:bookmarkStart w:id="13" w:name="_Toc525647178"/>
      <w:bookmarkStart w:id="14" w:name="_Toc526175650"/>
      <w:bookmarkStart w:id="15" w:name="_Toc53728409"/>
      <w:bookmarkStart w:id="16" w:name="_Toc84413230"/>
      <w:r w:rsidRPr="00CA1EF5">
        <w:t>developments at the first session of the Technical Working Party on Testing Methods and Techniques (TWM)</w:t>
      </w:r>
      <w:bookmarkEnd w:id="12"/>
      <w:r w:rsidRPr="00CA1EF5">
        <w:t xml:space="preserve"> </w:t>
      </w:r>
      <w:bookmarkEnd w:id="13"/>
      <w:bookmarkEnd w:id="14"/>
      <w:bookmarkEnd w:id="15"/>
      <w:bookmarkEnd w:id="16"/>
    </w:p>
    <w:p w:rsidR="00374CE4" w:rsidRPr="00374CE4" w:rsidRDefault="00374CE4" w:rsidP="00CA1EF5">
      <w:pPr>
        <w:pStyle w:val="Heading1"/>
        <w:rPr>
          <w:lang w:eastAsia="ja-JP"/>
        </w:rPr>
      </w:pPr>
    </w:p>
    <w:p w:rsidR="00374CE4" w:rsidRPr="00374CE4" w:rsidRDefault="00374CE4" w:rsidP="00374CE4">
      <w:pPr>
        <w:rPr>
          <w:lang w:eastAsia="ja-JP"/>
        </w:rPr>
      </w:pPr>
      <w:r w:rsidRPr="00374CE4">
        <w:rPr>
          <w:color w:val="000000"/>
        </w:rPr>
        <w:fldChar w:fldCharType="begin"/>
      </w:r>
      <w:r w:rsidRPr="00374CE4">
        <w:rPr>
          <w:color w:val="000000"/>
        </w:rPr>
        <w:instrText xml:space="preserve"> AUTONUM  </w:instrText>
      </w:r>
      <w:r w:rsidRPr="00374CE4">
        <w:rPr>
          <w:color w:val="000000"/>
        </w:rPr>
        <w:fldChar w:fldCharType="end"/>
      </w:r>
      <w:r w:rsidRPr="00374CE4">
        <w:rPr>
          <w:color w:val="000000"/>
        </w:rPr>
        <w:tab/>
        <w:t xml:space="preserve">The TWM held its first session </w:t>
      </w:r>
      <w:r w:rsidRPr="00374CE4">
        <w:rPr>
          <w:rFonts w:cs="Arial"/>
        </w:rPr>
        <w:t>organized by electronic means, from September 19 to 23, 2022</w:t>
      </w:r>
      <w:r w:rsidRPr="00374CE4">
        <w:rPr>
          <w:lang w:eastAsia="ja-JP"/>
        </w:rPr>
        <w:t xml:space="preserve"> (see document TWM/1/26 “Report”, paragraph 1)</w:t>
      </w:r>
      <w:r w:rsidRPr="00374CE4">
        <w:t xml:space="preserve">. </w:t>
      </w:r>
    </w:p>
    <w:p w:rsidR="005C548D" w:rsidRDefault="005C548D" w:rsidP="005C548D">
      <w:pPr>
        <w:pStyle w:val="Heading2"/>
      </w:pPr>
      <w:bookmarkStart w:id="17" w:name="_Toc525647179"/>
      <w:bookmarkStart w:id="18" w:name="_Toc526175651"/>
      <w:bookmarkStart w:id="19" w:name="_Toc53728410"/>
      <w:bookmarkStart w:id="20" w:name="_Toc84413231"/>
      <w:bookmarkStart w:id="21" w:name="_Toc116500481"/>
    </w:p>
    <w:p w:rsidR="00EF757F" w:rsidRPr="002776BE" w:rsidRDefault="00EF757F" w:rsidP="005C548D">
      <w:pPr>
        <w:pStyle w:val="Heading2"/>
        <w:keepNext/>
      </w:pPr>
      <w:r w:rsidRPr="002776BE">
        <w:t xml:space="preserve">Papers </w:t>
      </w:r>
      <w:r w:rsidRPr="00CA1EF5">
        <w:t>presented</w:t>
      </w:r>
      <w:bookmarkEnd w:id="17"/>
      <w:bookmarkEnd w:id="18"/>
      <w:bookmarkEnd w:id="19"/>
      <w:bookmarkEnd w:id="20"/>
      <w:bookmarkEnd w:id="21"/>
    </w:p>
    <w:p w:rsidR="00EF757F" w:rsidRPr="00EF757F" w:rsidRDefault="00EF757F" w:rsidP="005C548D">
      <w:pPr>
        <w:keepNext/>
        <w:rPr>
          <w:highlight w:val="cyan"/>
        </w:rPr>
      </w:pPr>
    </w:p>
    <w:p w:rsidR="00EF757F" w:rsidRPr="000F0880" w:rsidRDefault="00EF757F" w:rsidP="00EF757F">
      <w:pPr>
        <w:keepNext/>
      </w:pPr>
      <w:r w:rsidRPr="000F0880">
        <w:fldChar w:fldCharType="begin"/>
      </w:r>
      <w:r w:rsidRPr="000F0880">
        <w:instrText xml:space="preserve"> AUTONUM  </w:instrText>
      </w:r>
      <w:r w:rsidRPr="000F0880">
        <w:fldChar w:fldCharType="end"/>
      </w:r>
      <w:r w:rsidRPr="000F0880">
        <w:tab/>
        <w:t xml:space="preserve">The papers presented under each of the agenda items of the </w:t>
      </w:r>
      <w:r w:rsidR="000F0880" w:rsidRPr="000F0880">
        <w:t>first</w:t>
      </w:r>
      <w:r w:rsidRPr="000F0880">
        <w:t xml:space="preserve"> session of the </w:t>
      </w:r>
      <w:r w:rsidR="002776BE" w:rsidRPr="000F0880">
        <w:t>TWM</w:t>
      </w:r>
      <w:r w:rsidRPr="000F0880">
        <w:t xml:space="preserve"> were as follows:</w:t>
      </w:r>
    </w:p>
    <w:p w:rsidR="000F0880" w:rsidRPr="000F0880" w:rsidRDefault="000F0880" w:rsidP="00EF757F">
      <w:pPr>
        <w:spacing w:after="120"/>
        <w:ind w:left="567"/>
        <w:rPr>
          <w:i/>
          <w:snapToGrid w:val="0"/>
        </w:rPr>
      </w:pPr>
    </w:p>
    <w:p w:rsidR="00EF757F" w:rsidRPr="000F0880" w:rsidRDefault="00EF757F" w:rsidP="00EF757F">
      <w:pPr>
        <w:spacing w:after="120"/>
        <w:ind w:left="567"/>
        <w:rPr>
          <w:i/>
          <w:snapToGrid w:val="0"/>
        </w:rPr>
      </w:pPr>
      <w:r w:rsidRPr="000F0880">
        <w:rPr>
          <w:i/>
          <w:snapToGrid w:val="0"/>
        </w:rPr>
        <w:t>Reports on developments in UPOV (document </w:t>
      </w:r>
      <w:r w:rsidR="00392E40">
        <w:rPr>
          <w:i/>
          <w:snapToGrid w:val="0"/>
        </w:rPr>
        <w:t>TWM</w:t>
      </w:r>
      <w:r w:rsidRPr="000F0880">
        <w:rPr>
          <w:i/>
          <w:snapToGrid w:val="0"/>
        </w:rPr>
        <w:t>/</w:t>
      </w:r>
      <w:r w:rsidR="00392E40">
        <w:rPr>
          <w:i/>
          <w:snapToGrid w:val="0"/>
        </w:rPr>
        <w:t>1</w:t>
      </w:r>
      <w:r w:rsidRPr="000F0880">
        <w:rPr>
          <w:i/>
          <w:snapToGrid w:val="0"/>
        </w:rPr>
        <w:t xml:space="preserve">/2) </w:t>
      </w:r>
    </w:p>
    <w:p w:rsidR="00EF757F" w:rsidRPr="00392E40" w:rsidRDefault="00EF757F" w:rsidP="00EF757F">
      <w:pPr>
        <w:spacing w:after="120"/>
        <w:ind w:left="567"/>
        <w:rPr>
          <w:i/>
          <w:snapToGrid w:val="0"/>
        </w:rPr>
      </w:pPr>
      <w:r w:rsidRPr="000F0880">
        <w:rPr>
          <w:i/>
          <w:snapToGrid w:val="0"/>
        </w:rPr>
        <w:t xml:space="preserve">Short presentations on new developments in biochemical and molecular techniques by DUS experts, biochemical and molecular specialists, plant breeders and relevant international organizations </w:t>
      </w:r>
      <w:r w:rsidR="00392E40" w:rsidRPr="000F0880">
        <w:rPr>
          <w:i/>
          <w:snapToGrid w:val="0"/>
        </w:rPr>
        <w:t>document </w:t>
      </w:r>
      <w:r w:rsidR="00392E40">
        <w:rPr>
          <w:i/>
          <w:snapToGrid w:val="0"/>
        </w:rPr>
        <w:t>TWM</w:t>
      </w:r>
      <w:r w:rsidR="00392E40" w:rsidRPr="000F0880">
        <w:rPr>
          <w:i/>
          <w:snapToGrid w:val="0"/>
        </w:rPr>
        <w:t>/</w:t>
      </w:r>
      <w:r w:rsidR="00392E40">
        <w:rPr>
          <w:i/>
          <w:snapToGrid w:val="0"/>
        </w:rPr>
        <w:t>1/3</w:t>
      </w:r>
      <w:r w:rsidRPr="00392E40">
        <w:rPr>
          <w:i/>
          <w:snapToGrid w:val="0"/>
        </w:rPr>
        <w:t xml:space="preserve">) </w:t>
      </w:r>
    </w:p>
    <w:p w:rsidR="000F0880" w:rsidRPr="00392E40" w:rsidRDefault="000F0880" w:rsidP="000F0880">
      <w:pPr>
        <w:spacing w:after="120"/>
        <w:ind w:left="567" w:hanging="5"/>
        <w:rPr>
          <w:i/>
          <w:snapToGrid w:val="0"/>
        </w:rPr>
      </w:pPr>
      <w:r w:rsidRPr="00392E40">
        <w:rPr>
          <w:i/>
          <w:snapToGrid w:val="0"/>
        </w:rPr>
        <w:t xml:space="preserve">Software and statistical analysis methods for DUS examination </w:t>
      </w:r>
    </w:p>
    <w:p w:rsidR="000F0880" w:rsidRPr="00392E40" w:rsidRDefault="000F0880" w:rsidP="000F0880">
      <w:pPr>
        <w:spacing w:after="120"/>
        <w:ind w:left="567" w:hanging="5"/>
        <w:rPr>
          <w:i/>
          <w:snapToGrid w:val="0"/>
        </w:rPr>
      </w:pPr>
      <w:r w:rsidRPr="00392E40">
        <w:rPr>
          <w:i/>
          <w:snapToGrid w:val="0"/>
        </w:rPr>
        <w:t>(a)</w:t>
      </w:r>
      <w:r w:rsidRPr="00392E40">
        <w:rPr>
          <w:i/>
          <w:snapToGrid w:val="0"/>
        </w:rPr>
        <w:tab/>
        <w:t>Statistical tools and methods for DUS examination</w:t>
      </w:r>
    </w:p>
    <w:p w:rsidR="000F0880" w:rsidRPr="00392E40" w:rsidRDefault="00017EC0" w:rsidP="000F0880">
      <w:pPr>
        <w:spacing w:after="120"/>
        <w:ind w:left="567" w:hanging="5"/>
        <w:rPr>
          <w:i/>
          <w:snapToGrid w:val="0"/>
        </w:rPr>
      </w:pPr>
      <w:r>
        <w:rPr>
          <w:i/>
          <w:snapToGrid w:val="0"/>
        </w:rPr>
        <w:tab/>
      </w:r>
      <w:r>
        <w:rPr>
          <w:i/>
          <w:snapToGrid w:val="0"/>
        </w:rPr>
        <w:tab/>
      </w:r>
      <w:r w:rsidR="000F0880" w:rsidRPr="00392E40">
        <w:rPr>
          <w:i/>
          <w:snapToGrid w:val="0"/>
        </w:rPr>
        <w:t xml:space="preserve">- Developments on the improved COYU method (splines) (TWM/1/8 and TWM/1/8 Add.)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Combined-over-year uniformity (COYU) criterion: Extrapolation (TWM/1/7 and TWM/1/7 Add.)  </w:t>
      </w:r>
    </w:p>
    <w:p w:rsidR="000F0880" w:rsidRPr="00392E40" w:rsidRDefault="000F0880" w:rsidP="000F0880">
      <w:pPr>
        <w:spacing w:after="120"/>
        <w:ind w:left="567" w:hanging="5"/>
        <w:rPr>
          <w:i/>
          <w:snapToGrid w:val="0"/>
        </w:rPr>
      </w:pPr>
      <w:r w:rsidRPr="00392E40">
        <w:rPr>
          <w:i/>
          <w:snapToGrid w:val="0"/>
        </w:rPr>
        <w:t>(b)</w:t>
      </w:r>
      <w:r w:rsidRPr="00392E40">
        <w:rPr>
          <w:i/>
          <w:snapToGrid w:val="0"/>
        </w:rPr>
        <w:tab/>
        <w:t>Exchange and use of software and equipment</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Development of Statistical Analysis Software: DUSCEL (TWM/1/10)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PATHOSTAT application (TWM/1/11)</w:t>
      </w:r>
    </w:p>
    <w:p w:rsidR="000F0880" w:rsidRPr="00392E40" w:rsidRDefault="000F0880" w:rsidP="000F0880">
      <w:pPr>
        <w:spacing w:after="120"/>
        <w:ind w:left="567" w:hanging="5"/>
        <w:rPr>
          <w:i/>
          <w:snapToGrid w:val="0"/>
        </w:rPr>
      </w:pPr>
      <w:r w:rsidRPr="00392E40">
        <w:rPr>
          <w:i/>
          <w:snapToGrid w:val="0"/>
        </w:rPr>
        <w:t xml:space="preserve">Phenotyping and image analysis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Image Analysis in Plant Variety Testing (TWM/1/4)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Color Imaging Analysis System (TWM/1/5)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DUS characteristics image processor (TWM/1/6)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UAV potential in DUS testing (TWM/1/20)</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Machine Learning </w:t>
      </w:r>
      <w:proofErr w:type="spellStart"/>
      <w:r w:rsidRPr="00392E40">
        <w:rPr>
          <w:i/>
          <w:snapToGrid w:val="0"/>
        </w:rPr>
        <w:t>InnoVar</w:t>
      </w:r>
      <w:proofErr w:type="spellEnd"/>
      <w:r w:rsidRPr="00392E40">
        <w:rPr>
          <w:i/>
          <w:snapToGrid w:val="0"/>
        </w:rPr>
        <w:t xml:space="preserve"> project (TWM/1/25)</w:t>
      </w:r>
    </w:p>
    <w:p w:rsidR="000F0880" w:rsidRPr="00392E40" w:rsidRDefault="000F0880" w:rsidP="000F0880">
      <w:pPr>
        <w:spacing w:after="120"/>
        <w:ind w:left="567" w:hanging="5"/>
        <w:rPr>
          <w:i/>
          <w:snapToGrid w:val="0"/>
        </w:rPr>
      </w:pPr>
      <w:r w:rsidRPr="00392E40">
        <w:rPr>
          <w:i/>
          <w:snapToGrid w:val="0"/>
        </w:rPr>
        <w:t xml:space="preserve">Developments in molecular techniques and bioinformatics </w:t>
      </w:r>
    </w:p>
    <w:p w:rsidR="000F0880" w:rsidRPr="00392E40" w:rsidRDefault="000F0880" w:rsidP="000F0880">
      <w:pPr>
        <w:spacing w:after="120"/>
        <w:ind w:left="567" w:hanging="5"/>
        <w:rPr>
          <w:i/>
          <w:snapToGrid w:val="0"/>
        </w:rPr>
      </w:pPr>
      <w:r w:rsidRPr="00392E40">
        <w:rPr>
          <w:i/>
          <w:snapToGrid w:val="0"/>
        </w:rPr>
        <w:t>(a)</w:t>
      </w:r>
      <w:r w:rsidRPr="00392E40">
        <w:rPr>
          <w:i/>
          <w:snapToGrid w:val="0"/>
        </w:rPr>
        <w:tab/>
        <w:t>Latest developments in molecular techniques and bioinformatics</w:t>
      </w:r>
    </w:p>
    <w:p w:rsidR="00017EC0" w:rsidRPr="00392E40" w:rsidRDefault="00017EC0" w:rsidP="00017EC0">
      <w:pPr>
        <w:spacing w:after="120"/>
        <w:ind w:left="567" w:hanging="5"/>
        <w:rPr>
          <w:i/>
          <w:snapToGrid w:val="0"/>
        </w:rPr>
      </w:pPr>
      <w:r>
        <w:rPr>
          <w:i/>
          <w:snapToGrid w:val="0"/>
        </w:rPr>
        <w:tab/>
      </w:r>
      <w:r>
        <w:rPr>
          <w:i/>
          <w:snapToGrid w:val="0"/>
        </w:rPr>
        <w:tab/>
        <w:t xml:space="preserve">- </w:t>
      </w:r>
      <w:r w:rsidRPr="00392E40">
        <w:rPr>
          <w:i/>
          <w:snapToGrid w:val="0"/>
        </w:rPr>
        <w:t xml:space="preserve">No documents </w:t>
      </w:r>
      <w:proofErr w:type="gramStart"/>
      <w:r w:rsidRPr="00392E40">
        <w:rPr>
          <w:i/>
          <w:snapToGrid w:val="0"/>
        </w:rPr>
        <w:t>were received</w:t>
      </w:r>
      <w:proofErr w:type="gramEnd"/>
      <w:r w:rsidRPr="00392E40">
        <w:rPr>
          <w:i/>
          <w:snapToGrid w:val="0"/>
        </w:rPr>
        <w:t xml:space="preserve"> for this agenda item.</w:t>
      </w:r>
    </w:p>
    <w:p w:rsidR="000F0880" w:rsidRPr="00392E40" w:rsidRDefault="000F0880" w:rsidP="000F0880">
      <w:pPr>
        <w:spacing w:after="120"/>
        <w:ind w:left="567" w:hanging="5"/>
        <w:rPr>
          <w:i/>
          <w:snapToGrid w:val="0"/>
        </w:rPr>
      </w:pPr>
      <w:r w:rsidRPr="00392E40">
        <w:rPr>
          <w:i/>
          <w:snapToGrid w:val="0"/>
        </w:rPr>
        <w:t>(b)</w:t>
      </w:r>
      <w:r w:rsidRPr="00392E40">
        <w:rPr>
          <w:i/>
          <w:snapToGrid w:val="0"/>
        </w:rPr>
        <w:tab/>
        <w:t xml:space="preserve">Cooperation between international organizations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ISTA report on the use of molecular techniques (TWM/1/23)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Latest developments in the application of BMT under the OECD Seed Schemes (TWM/1/24)</w:t>
      </w:r>
    </w:p>
    <w:p w:rsidR="000F0880" w:rsidRPr="00392E40" w:rsidRDefault="000F0880" w:rsidP="000F0880">
      <w:pPr>
        <w:spacing w:after="120"/>
        <w:ind w:left="567" w:hanging="5"/>
        <w:rPr>
          <w:i/>
          <w:snapToGrid w:val="0"/>
        </w:rPr>
      </w:pPr>
      <w:r w:rsidRPr="00392E40">
        <w:rPr>
          <w:i/>
          <w:snapToGrid w:val="0"/>
        </w:rPr>
        <w:t>(c)</w:t>
      </w:r>
      <w:r w:rsidRPr="00392E40">
        <w:rPr>
          <w:i/>
          <w:snapToGrid w:val="0"/>
        </w:rPr>
        <w:tab/>
        <w:t>Report of work on molecular techniques in relation to DUS examination</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Update on IMODDUS activities (TWM/1/14)  </w:t>
      </w:r>
    </w:p>
    <w:p w:rsidR="000F0880" w:rsidRPr="00392E40" w:rsidRDefault="000F0880" w:rsidP="000F0880">
      <w:pPr>
        <w:spacing w:after="120"/>
        <w:ind w:left="567" w:hanging="5"/>
        <w:rPr>
          <w:i/>
          <w:snapToGrid w:val="0"/>
        </w:rPr>
      </w:pPr>
      <w:r w:rsidRPr="00392E40">
        <w:rPr>
          <w:i/>
          <w:snapToGrid w:val="0"/>
        </w:rPr>
        <w:t>(d)</w:t>
      </w:r>
      <w:r w:rsidRPr="00392E40">
        <w:rPr>
          <w:i/>
          <w:snapToGrid w:val="0"/>
        </w:rPr>
        <w:tab/>
        <w:t>Methods for analysis of molecular data, management of databases and exchange of data and material</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Application of molecular markers in DUS testing of new varieties of Chinese cabbage (TWM/1/9)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w:t>
      </w:r>
      <w:proofErr w:type="spellStart"/>
      <w:r w:rsidRPr="00392E40">
        <w:rPr>
          <w:i/>
          <w:snapToGrid w:val="0"/>
        </w:rPr>
        <w:t>DURDUStools</w:t>
      </w:r>
      <w:proofErr w:type="spellEnd"/>
      <w:r w:rsidRPr="00392E40">
        <w:rPr>
          <w:i/>
          <w:snapToGrid w:val="0"/>
        </w:rPr>
        <w:t xml:space="preserve">: Development of a common online molecular database and a genetic distance calculation tool for durum wheat (TWM/1/12)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Development of a SNP marker set in Cannabis to support DUS testing (TWM/1/17)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International </w:t>
      </w:r>
      <w:proofErr w:type="spellStart"/>
      <w:r w:rsidRPr="00392E40">
        <w:rPr>
          <w:i/>
          <w:snapToGrid w:val="0"/>
        </w:rPr>
        <w:t>harmonisation</w:t>
      </w:r>
      <w:proofErr w:type="spellEnd"/>
      <w:r w:rsidRPr="00392E40">
        <w:rPr>
          <w:i/>
          <w:snapToGrid w:val="0"/>
        </w:rPr>
        <w:t xml:space="preserve"> and validation of a SNP set for the management of tomato reference collection (TWM/1/18)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Cotton genotyping using the TAMU 63KSNPsArray (TWM/1/13)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The US PVPO Soybean molecular marker method (TWM/1/16)</w:t>
      </w:r>
    </w:p>
    <w:p w:rsidR="000F0880" w:rsidRPr="00392E40" w:rsidRDefault="000F0880" w:rsidP="000F0880">
      <w:pPr>
        <w:spacing w:after="120"/>
        <w:ind w:left="567" w:hanging="5"/>
        <w:rPr>
          <w:i/>
          <w:snapToGrid w:val="0"/>
        </w:rPr>
      </w:pPr>
      <w:r w:rsidRPr="00392E40">
        <w:rPr>
          <w:i/>
          <w:snapToGrid w:val="0"/>
        </w:rPr>
        <w:t>(e)</w:t>
      </w:r>
      <w:r w:rsidRPr="00392E40">
        <w:rPr>
          <w:i/>
          <w:snapToGrid w:val="0"/>
        </w:rPr>
        <w:tab/>
        <w:t>Confidentiality, ownership and access to molecular data, including model agreement template (TWM/1/22)</w:t>
      </w:r>
    </w:p>
    <w:p w:rsidR="000F0880" w:rsidRDefault="000F0880" w:rsidP="000F0880">
      <w:pPr>
        <w:spacing w:after="120"/>
        <w:ind w:left="567" w:hanging="5"/>
        <w:rPr>
          <w:i/>
          <w:snapToGrid w:val="0"/>
        </w:rPr>
      </w:pPr>
      <w:r w:rsidRPr="00392E40">
        <w:rPr>
          <w:i/>
          <w:snapToGrid w:val="0"/>
        </w:rPr>
        <w:t>(f)</w:t>
      </w:r>
      <w:r w:rsidRPr="00392E40">
        <w:rPr>
          <w:i/>
          <w:snapToGrid w:val="0"/>
        </w:rPr>
        <w:tab/>
        <w:t>The use of molecular techniques in examining essential derivation</w:t>
      </w:r>
    </w:p>
    <w:p w:rsidR="00392E40" w:rsidRPr="00392E40" w:rsidRDefault="00392E40" w:rsidP="000F0880">
      <w:pPr>
        <w:spacing w:after="120"/>
        <w:ind w:left="567" w:hanging="5"/>
        <w:rPr>
          <w:i/>
          <w:snapToGrid w:val="0"/>
        </w:rPr>
      </w:pPr>
      <w:r>
        <w:rPr>
          <w:i/>
          <w:snapToGrid w:val="0"/>
        </w:rPr>
        <w:tab/>
      </w:r>
      <w:r>
        <w:rPr>
          <w:i/>
          <w:snapToGrid w:val="0"/>
        </w:rPr>
        <w:tab/>
        <w:t xml:space="preserve">- </w:t>
      </w:r>
      <w:r w:rsidRPr="00392E40">
        <w:rPr>
          <w:i/>
          <w:snapToGrid w:val="0"/>
        </w:rPr>
        <w:t xml:space="preserve">No documents </w:t>
      </w:r>
      <w:proofErr w:type="gramStart"/>
      <w:r w:rsidRPr="00392E40">
        <w:rPr>
          <w:i/>
          <w:snapToGrid w:val="0"/>
        </w:rPr>
        <w:t>were received</w:t>
      </w:r>
      <w:proofErr w:type="gramEnd"/>
      <w:r w:rsidRPr="00392E40">
        <w:rPr>
          <w:i/>
          <w:snapToGrid w:val="0"/>
        </w:rPr>
        <w:t xml:space="preserve"> for this agenda item.</w:t>
      </w:r>
    </w:p>
    <w:p w:rsidR="000F0880" w:rsidRPr="00392E40" w:rsidRDefault="000F0880" w:rsidP="000F0880">
      <w:pPr>
        <w:spacing w:after="120"/>
        <w:ind w:left="567" w:hanging="5"/>
        <w:rPr>
          <w:i/>
          <w:snapToGrid w:val="0"/>
        </w:rPr>
      </w:pPr>
      <w:r w:rsidRPr="00392E40">
        <w:rPr>
          <w:i/>
          <w:snapToGrid w:val="0"/>
        </w:rPr>
        <w:t>(g)</w:t>
      </w:r>
      <w:r w:rsidRPr="00392E40">
        <w:rPr>
          <w:i/>
          <w:snapToGrid w:val="0"/>
        </w:rPr>
        <w:tab/>
        <w:t>The use of molecular techniques in variety identification</w:t>
      </w:r>
      <w:r w:rsidRPr="00392E40">
        <w:rPr>
          <w:i/>
          <w:snapToGrid w:val="0"/>
          <w:vertAlign w:val="superscript"/>
        </w:rPr>
        <w:t>1</w:t>
      </w:r>
      <w:r w:rsidRPr="00392E40">
        <w:rPr>
          <w:i/>
          <w:snapToGrid w:val="0"/>
        </w:rPr>
        <w:t xml:space="preserve">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xml:space="preserve">- Variety identification: soybean case in Argentina (TWM/1/15) </w:t>
      </w:r>
    </w:p>
    <w:p w:rsidR="000F0880" w:rsidRPr="00392E40" w:rsidRDefault="000F0880" w:rsidP="000F0880">
      <w:pPr>
        <w:spacing w:after="120"/>
        <w:ind w:left="567" w:hanging="5"/>
        <w:rPr>
          <w:i/>
          <w:snapToGrid w:val="0"/>
        </w:rPr>
      </w:pPr>
      <w:r w:rsidRPr="00392E40">
        <w:rPr>
          <w:i/>
          <w:snapToGrid w:val="0"/>
        </w:rPr>
        <w:tab/>
      </w:r>
      <w:r w:rsidRPr="00392E40">
        <w:rPr>
          <w:i/>
          <w:snapToGrid w:val="0"/>
        </w:rPr>
        <w:tab/>
        <w:t>- Digital PCR for Genotype Quantification: A Case Study in a Pasta Production Chain (TWM/1/21)</w:t>
      </w:r>
    </w:p>
    <w:p w:rsidR="000F0880" w:rsidRPr="00392E40" w:rsidRDefault="000F0880" w:rsidP="000F0880">
      <w:pPr>
        <w:spacing w:after="120"/>
        <w:ind w:left="567" w:hanging="5"/>
        <w:rPr>
          <w:i/>
          <w:snapToGrid w:val="0"/>
        </w:rPr>
      </w:pPr>
      <w:r w:rsidRPr="00392E40">
        <w:rPr>
          <w:i/>
          <w:snapToGrid w:val="0"/>
        </w:rPr>
        <w:t>(h)</w:t>
      </w:r>
      <w:r w:rsidRPr="00392E40">
        <w:rPr>
          <w:i/>
          <w:snapToGrid w:val="0"/>
        </w:rPr>
        <w:tab/>
        <w:t>The use of molecular techniques for enforcement</w:t>
      </w:r>
      <w:r w:rsidRPr="00392E40">
        <w:rPr>
          <w:i/>
          <w:snapToGrid w:val="0"/>
          <w:vertAlign w:val="superscript"/>
        </w:rPr>
        <w:t>1</w:t>
      </w:r>
      <w:r w:rsidRPr="00392E40">
        <w:rPr>
          <w:i/>
          <w:snapToGrid w:val="0"/>
        </w:rPr>
        <w:t xml:space="preserve"> </w:t>
      </w:r>
    </w:p>
    <w:p w:rsidR="00EF757F" w:rsidRPr="007022C5" w:rsidRDefault="000F0880" w:rsidP="007022C5">
      <w:pPr>
        <w:spacing w:after="120"/>
        <w:ind w:left="567" w:hanging="5"/>
        <w:rPr>
          <w:i/>
          <w:snapToGrid w:val="0"/>
        </w:rPr>
      </w:pPr>
      <w:r w:rsidRPr="00392E40">
        <w:rPr>
          <w:i/>
          <w:snapToGrid w:val="0"/>
        </w:rPr>
        <w:tab/>
      </w:r>
      <w:r w:rsidRPr="00392E40">
        <w:rPr>
          <w:i/>
          <w:snapToGrid w:val="0"/>
        </w:rPr>
        <w:tab/>
        <w:t xml:space="preserve">- Variety Tracer: Fraudulent use of parental lines (TWM/1/19) </w:t>
      </w:r>
    </w:p>
    <w:p w:rsidR="00EF757F" w:rsidRPr="00EF757F" w:rsidRDefault="00EF757F" w:rsidP="00EF757F">
      <w:pPr>
        <w:rPr>
          <w:highlight w:val="cyan"/>
        </w:rPr>
      </w:pPr>
    </w:p>
    <w:p w:rsidR="00306A90" w:rsidRPr="00F360DA" w:rsidRDefault="00306A90" w:rsidP="005C548D">
      <w:pPr>
        <w:pStyle w:val="Heading2"/>
      </w:pPr>
      <w:bookmarkStart w:id="22" w:name="_Toc116500482"/>
      <w:r w:rsidRPr="00F360DA">
        <w:t>Report of work on molecular techniques in relation to DUS examination</w:t>
      </w:r>
      <w:bookmarkEnd w:id="22"/>
    </w:p>
    <w:p w:rsidR="00306A90" w:rsidRPr="00F360DA" w:rsidRDefault="00306A90" w:rsidP="00306A90"/>
    <w:p w:rsidR="00306A90" w:rsidRPr="00C26C2E" w:rsidRDefault="00306A90" w:rsidP="00306A90">
      <w:r w:rsidRPr="00F360DA">
        <w:fldChar w:fldCharType="begin"/>
      </w:r>
      <w:r w:rsidRPr="00F360DA">
        <w:instrText xml:space="preserve"> AUTONUM  </w:instrText>
      </w:r>
      <w:r w:rsidRPr="00F360DA">
        <w:fldChar w:fldCharType="end"/>
      </w:r>
      <w:r w:rsidRPr="00F360DA">
        <w:tab/>
        <w:t xml:space="preserve">The TWM received a presentation from Ms. Cécile </w:t>
      </w:r>
      <w:proofErr w:type="spellStart"/>
      <w:r w:rsidRPr="00F360DA">
        <w:t>Collonnier</w:t>
      </w:r>
      <w:proofErr w:type="spellEnd"/>
      <w:r w:rsidRPr="00F360DA">
        <w:t xml:space="preserve"> (Community Plant Variety Office (CPVO)</w:t>
      </w:r>
      <w:r w:rsidRPr="00F360DA">
        <w:rPr>
          <w:rFonts w:cs="Arial"/>
        </w:rPr>
        <w:t>) on “</w:t>
      </w:r>
      <w:r w:rsidRPr="00F360DA">
        <w:t>Update on IMODDUS activities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TWM/1/14.</w:t>
      </w:r>
    </w:p>
    <w:p w:rsidR="00306A90" w:rsidRDefault="00306A90" w:rsidP="00306A90"/>
    <w:p w:rsidR="00306A90" w:rsidRPr="00076892" w:rsidRDefault="00306A90" w:rsidP="005C548D">
      <w:pPr>
        <w:pStyle w:val="Heading2"/>
      </w:pPr>
      <w:bookmarkStart w:id="23" w:name="_Toc116500483"/>
      <w:r w:rsidRPr="00076892">
        <w:t>Methods for analysis of molecular data, management of databases and exchange of data and material</w:t>
      </w:r>
      <w:bookmarkEnd w:id="23"/>
    </w:p>
    <w:p w:rsidR="00306A90" w:rsidRPr="00F360DA" w:rsidRDefault="00306A90" w:rsidP="00306A90"/>
    <w:p w:rsidR="00306A90" w:rsidRDefault="00306A90" w:rsidP="00306A90">
      <w:r w:rsidRPr="00F360DA">
        <w:fldChar w:fldCharType="begin"/>
      </w:r>
      <w:r w:rsidRPr="00F360DA">
        <w:instrText xml:space="preserve"> AUTONUM  </w:instrText>
      </w:r>
      <w:r w:rsidRPr="00F360DA">
        <w:fldChar w:fldCharType="end"/>
      </w:r>
      <w:r w:rsidRPr="00F360DA">
        <w:tab/>
        <w:t>The TWM received a presentation from Mr. Ruixi Han (China</w:t>
      </w:r>
      <w:r w:rsidRPr="00F360DA">
        <w:rPr>
          <w:rFonts w:cs="Arial"/>
        </w:rPr>
        <w:t>) on “</w:t>
      </w:r>
      <w:r w:rsidRPr="00F360DA">
        <w:t>Application of molecular markers in DUS testing of new varieties of Chinese cabbage</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TWM/1/9.</w:t>
      </w:r>
    </w:p>
    <w:p w:rsidR="00306A90" w:rsidRDefault="00306A90" w:rsidP="00306A90"/>
    <w:p w:rsidR="00306A90" w:rsidRPr="00F360DA" w:rsidRDefault="00306A90" w:rsidP="00306A90">
      <w:r>
        <w:fldChar w:fldCharType="begin"/>
      </w:r>
      <w:r>
        <w:instrText xml:space="preserve"> AUTONUM  </w:instrText>
      </w:r>
      <w:r>
        <w:fldChar w:fldCharType="end"/>
      </w:r>
      <w:r>
        <w:tab/>
        <w:t xml:space="preserve">Clarifications </w:t>
      </w:r>
      <w:proofErr w:type="gramStart"/>
      <w:r>
        <w:t>were provided</w:t>
      </w:r>
      <w:proofErr w:type="gramEnd"/>
      <w:r>
        <w:t xml:space="preserve"> on the number of varieties considered for the establishment of the genetic similarity threshold.</w:t>
      </w:r>
    </w:p>
    <w:p w:rsidR="00306A90" w:rsidRPr="00F360DA" w:rsidRDefault="00306A90" w:rsidP="00306A90"/>
    <w:p w:rsidR="00306A90" w:rsidRDefault="00306A90" w:rsidP="00306A90">
      <w:r w:rsidRPr="00F360DA">
        <w:fldChar w:fldCharType="begin"/>
      </w:r>
      <w:r w:rsidRPr="00F360DA">
        <w:instrText xml:space="preserve"> AUTONUM  </w:instrText>
      </w:r>
      <w:r w:rsidRPr="00F360DA">
        <w:fldChar w:fldCharType="end"/>
      </w:r>
      <w:r w:rsidRPr="00F360DA">
        <w:tab/>
        <w:t xml:space="preserve">The TWM received a presentation from Ms. Alexandra </w:t>
      </w:r>
      <w:proofErr w:type="spellStart"/>
      <w:r w:rsidRPr="00F360DA">
        <w:t>Ribarits</w:t>
      </w:r>
      <w:proofErr w:type="spellEnd"/>
      <w:r w:rsidRPr="00F360DA">
        <w:t xml:space="preserve"> (Austria</w:t>
      </w:r>
      <w:r w:rsidRPr="00F360DA">
        <w:rPr>
          <w:rFonts w:cs="Arial"/>
        </w:rPr>
        <w:t>) on “</w:t>
      </w:r>
      <w:proofErr w:type="spellStart"/>
      <w:r w:rsidRPr="00F360DA">
        <w:t>DURDUStools</w:t>
      </w:r>
      <w:proofErr w:type="spellEnd"/>
      <w:r w:rsidRPr="00F360DA">
        <w:t>: Development of a common online molecular database and a genetic distance calculation tool for durum wheat</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TWM/1/12.</w:t>
      </w:r>
    </w:p>
    <w:p w:rsidR="00306A90" w:rsidRDefault="00306A90" w:rsidP="00306A90"/>
    <w:p w:rsidR="00306A90" w:rsidRPr="00F360DA" w:rsidRDefault="00306A90" w:rsidP="00306A90">
      <w:r>
        <w:fldChar w:fldCharType="begin"/>
      </w:r>
      <w:r>
        <w:instrText xml:space="preserve"> AUTONUM  </w:instrText>
      </w:r>
      <w:r>
        <w:fldChar w:fldCharType="end"/>
      </w:r>
      <w:r>
        <w:tab/>
        <w:t xml:space="preserve">Clarifications </w:t>
      </w:r>
      <w:proofErr w:type="gramStart"/>
      <w:r>
        <w:t>were provided</w:t>
      </w:r>
      <w:proofErr w:type="gramEnd"/>
      <w:r>
        <w:t xml:space="preserve"> on aspects related to the use of an external service provider for data extraction, including the perception that updates in the marker array could bring even more information into the database.  Data obtained using a reduced number of markers from a prior version of the marker set would still be comparable to that obtained using a later version.  The expert explained that molecular information </w:t>
      </w:r>
      <w:proofErr w:type="gramStart"/>
      <w:r>
        <w:t>was used</w:t>
      </w:r>
      <w:proofErr w:type="gramEnd"/>
      <w:r>
        <w:t xml:space="preserve"> during the second year of DUS trial due to difficulty in obtaining data at earlier stage of examination.  Molecular data </w:t>
      </w:r>
      <w:proofErr w:type="gramStart"/>
      <w:r>
        <w:t>was then used</w:t>
      </w:r>
      <w:proofErr w:type="gramEnd"/>
      <w:r>
        <w:t xml:space="preserve"> along with morphological data during the second year of examination to ensure comparison with all relevant similar varieties.</w:t>
      </w:r>
    </w:p>
    <w:p w:rsidR="00306A90" w:rsidRPr="00F360DA" w:rsidRDefault="00306A90" w:rsidP="00306A90"/>
    <w:p w:rsidR="00306A90" w:rsidRPr="00F360DA" w:rsidRDefault="00306A90" w:rsidP="00306A90">
      <w:r w:rsidRPr="00F360DA">
        <w:fldChar w:fldCharType="begin"/>
      </w:r>
      <w:r w:rsidRPr="00F360DA">
        <w:instrText xml:space="preserve"> AUTONUM  </w:instrText>
      </w:r>
      <w:r w:rsidRPr="00F360DA">
        <w:fldChar w:fldCharType="end"/>
      </w:r>
      <w:r w:rsidRPr="00F360DA">
        <w:tab/>
        <w:t xml:space="preserve">The TWM received a presentation from Ms. </w:t>
      </w:r>
      <w:proofErr w:type="spellStart"/>
      <w:r w:rsidRPr="00F360DA">
        <w:t>Hedwich</w:t>
      </w:r>
      <w:proofErr w:type="spellEnd"/>
      <w:r w:rsidRPr="00F360DA">
        <w:t xml:space="preserve"> </w:t>
      </w:r>
      <w:proofErr w:type="spellStart"/>
      <w:r w:rsidRPr="00F360DA">
        <w:t>Teunissen</w:t>
      </w:r>
      <w:proofErr w:type="spellEnd"/>
      <w:r w:rsidRPr="00F360DA">
        <w:t xml:space="preserve"> (the Netherlands</w:t>
      </w:r>
      <w:r w:rsidRPr="00F360DA">
        <w:rPr>
          <w:rFonts w:cs="Arial"/>
        </w:rPr>
        <w:t>) on “</w:t>
      </w:r>
      <w:r w:rsidRPr="00F360DA">
        <w:t>Development of a SNP marker set in Cannabis to support DUS testing</w:t>
      </w:r>
      <w:r w:rsidRPr="00F360DA">
        <w:rPr>
          <w:rFonts w:cs="Arial"/>
        </w:rPr>
        <w:t>”</w:t>
      </w:r>
      <w:r w:rsidRPr="00F360DA">
        <w:rPr>
          <w:rFonts w:cs="Arial"/>
          <w:iCs/>
        </w:rPr>
        <w:t>,</w:t>
      </w:r>
      <w:r w:rsidRPr="00F360DA">
        <w:t xml:space="preserve"> </w:t>
      </w:r>
      <w:r w:rsidRPr="00F360DA">
        <w:rPr>
          <w:rFonts w:cs="Arial"/>
          <w:iCs/>
        </w:rPr>
        <w:t xml:space="preserve">a copy of which </w:t>
      </w:r>
      <w:proofErr w:type="gramStart"/>
      <w:r w:rsidRPr="00F360DA">
        <w:rPr>
          <w:rFonts w:cs="Arial"/>
          <w:iCs/>
        </w:rPr>
        <w:t>is reproduced</w:t>
      </w:r>
      <w:proofErr w:type="gramEnd"/>
      <w:r w:rsidRPr="00F360DA">
        <w:rPr>
          <w:rFonts w:cs="Arial"/>
          <w:iCs/>
        </w:rPr>
        <w:t xml:space="preserve"> in document </w:t>
      </w:r>
      <w:r w:rsidRPr="00F360DA">
        <w:t>TWM/1/17.</w:t>
      </w:r>
    </w:p>
    <w:p w:rsidR="00306A90" w:rsidRPr="00F360DA" w:rsidRDefault="00306A90" w:rsidP="00306A90"/>
    <w:p w:rsidR="00306A90" w:rsidRDefault="00306A90" w:rsidP="00306A90">
      <w:r w:rsidRPr="00F360DA">
        <w:fldChar w:fldCharType="begin"/>
      </w:r>
      <w:r w:rsidRPr="00F360DA">
        <w:instrText xml:space="preserve"> AUTONUM  </w:instrText>
      </w:r>
      <w:r w:rsidRPr="00F360DA">
        <w:fldChar w:fldCharType="end"/>
      </w:r>
      <w:r w:rsidRPr="00F360DA">
        <w:tab/>
        <w:t xml:space="preserve">The TWM received a presentation from Ms. </w:t>
      </w:r>
      <w:proofErr w:type="spellStart"/>
      <w:r w:rsidRPr="00F360DA">
        <w:t>Hedwich</w:t>
      </w:r>
      <w:proofErr w:type="spellEnd"/>
      <w:r w:rsidRPr="00F360DA">
        <w:t xml:space="preserve"> </w:t>
      </w:r>
      <w:proofErr w:type="spellStart"/>
      <w:r w:rsidRPr="00F360DA">
        <w:t>Teunissen</w:t>
      </w:r>
      <w:proofErr w:type="spellEnd"/>
      <w:r w:rsidRPr="00F360DA">
        <w:t xml:space="preserve"> (the Netherlands</w:t>
      </w:r>
      <w:r w:rsidRPr="00F360DA">
        <w:rPr>
          <w:rFonts w:cs="Arial"/>
        </w:rPr>
        <w:t>) on “</w:t>
      </w:r>
      <w:r w:rsidRPr="00F360DA">
        <w:t xml:space="preserve">International </w:t>
      </w:r>
      <w:proofErr w:type="spellStart"/>
      <w:r w:rsidRPr="00F360DA">
        <w:t>harmonisation</w:t>
      </w:r>
      <w:proofErr w:type="spellEnd"/>
      <w:r w:rsidRPr="00F360DA">
        <w:t xml:space="preserve"> and validation of a SNP set for the management of tomato reference collection</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TWM/1/18.</w:t>
      </w:r>
    </w:p>
    <w:p w:rsidR="00306A90" w:rsidRDefault="00306A90" w:rsidP="00306A90"/>
    <w:p w:rsidR="00306A90" w:rsidRPr="00F360DA" w:rsidRDefault="00306A90" w:rsidP="00306A90">
      <w:r>
        <w:fldChar w:fldCharType="begin"/>
      </w:r>
      <w:r>
        <w:instrText xml:space="preserve"> AUTONUM  </w:instrText>
      </w:r>
      <w:r>
        <w:fldChar w:fldCharType="end"/>
      </w:r>
      <w:r>
        <w:tab/>
        <w:t xml:space="preserve">Clarifications were </w:t>
      </w:r>
      <w:proofErr w:type="gramStart"/>
      <w:r>
        <w:t>provided that</w:t>
      </w:r>
      <w:proofErr w:type="gramEnd"/>
      <w:r>
        <w:t xml:space="preserve"> the SNPs set could be applied to the </w:t>
      </w:r>
      <w:r w:rsidRPr="0085367D">
        <w:t>tomato reference collection</w:t>
      </w:r>
      <w:r>
        <w:t xml:space="preserve"> in other parts in the world.</w:t>
      </w:r>
    </w:p>
    <w:p w:rsidR="00306A90" w:rsidRDefault="00306A90" w:rsidP="00306A90"/>
    <w:p w:rsidR="00306A90" w:rsidRPr="00F360DA" w:rsidRDefault="00306A90" w:rsidP="00306A90">
      <w:r>
        <w:fldChar w:fldCharType="begin"/>
      </w:r>
      <w:r>
        <w:instrText xml:space="preserve"> AUTONUM  </w:instrText>
      </w:r>
      <w:r>
        <w:fldChar w:fldCharType="end"/>
      </w:r>
      <w:r>
        <w:tab/>
        <w:t xml:space="preserve">Clarifications were </w:t>
      </w:r>
      <w:proofErr w:type="gramStart"/>
      <w:r>
        <w:t>provided that</w:t>
      </w:r>
      <w:proofErr w:type="gramEnd"/>
      <w:r>
        <w:t xml:space="preserve"> the selected marker set of 297 SNPs were publicly available and would soon be published.  The expert clarified that due to the broad genetic base represented in the project, the selected markers </w:t>
      </w:r>
      <w:proofErr w:type="gramStart"/>
      <w:r>
        <w:t>could be used</w:t>
      </w:r>
      <w:proofErr w:type="gramEnd"/>
      <w:r>
        <w:t xml:space="preserve"> in any geographical region.</w:t>
      </w:r>
    </w:p>
    <w:p w:rsidR="00306A90" w:rsidRPr="00F360DA" w:rsidRDefault="00306A90" w:rsidP="00306A90"/>
    <w:p w:rsidR="00306A90" w:rsidRDefault="00306A90" w:rsidP="00306A90">
      <w:r w:rsidRPr="00F360DA">
        <w:fldChar w:fldCharType="begin"/>
      </w:r>
      <w:r w:rsidRPr="00F360DA">
        <w:instrText xml:space="preserve"> AUTONUM  </w:instrText>
      </w:r>
      <w:r w:rsidRPr="00F360DA">
        <w:fldChar w:fldCharType="end"/>
      </w:r>
      <w:r w:rsidRPr="00F360DA">
        <w:tab/>
        <w:t xml:space="preserve">The TWM received a presentation from Mr. </w:t>
      </w:r>
      <w:r w:rsidRPr="00F360DA">
        <w:rPr>
          <w:rFonts w:cs="Arial"/>
        </w:rPr>
        <w:t>Alberto Ballesteros</w:t>
      </w:r>
      <w:r w:rsidRPr="00F360DA">
        <w:t xml:space="preserve"> (Argentina</w:t>
      </w:r>
      <w:r w:rsidRPr="00F360DA">
        <w:rPr>
          <w:rFonts w:cs="Arial"/>
        </w:rPr>
        <w:t>) on “</w:t>
      </w:r>
      <w:r w:rsidRPr="00F360DA">
        <w:t>Cotton genotyping using the TAMU 63KSNPsArray</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TWM/1/13.</w:t>
      </w:r>
    </w:p>
    <w:p w:rsidR="00306A90" w:rsidRDefault="00306A90" w:rsidP="00306A90"/>
    <w:p w:rsidR="00306A90" w:rsidRDefault="00306A90" w:rsidP="00306A90">
      <w:r w:rsidRPr="00C26C2E">
        <w:fldChar w:fldCharType="begin"/>
      </w:r>
      <w:r w:rsidRPr="00C26C2E">
        <w:instrText xml:space="preserve"> AUTONUM  </w:instrText>
      </w:r>
      <w:r w:rsidRPr="00C26C2E">
        <w:fldChar w:fldCharType="end"/>
      </w:r>
      <w:r w:rsidRPr="00C26C2E">
        <w:tab/>
        <w:t>The TW</w:t>
      </w:r>
      <w:r>
        <w:t>M</w:t>
      </w:r>
      <w:r w:rsidRPr="00C26C2E">
        <w:t xml:space="preserve"> </w:t>
      </w:r>
      <w:r w:rsidRPr="00A17C89">
        <w:t>received a presentation from</w:t>
      </w:r>
      <w:r>
        <w:t xml:space="preserve"> </w:t>
      </w:r>
      <w:r w:rsidRPr="00A17C89">
        <w:t>M</w:t>
      </w:r>
      <w:r>
        <w:t>r</w:t>
      </w:r>
      <w:r w:rsidRPr="00A17C89">
        <w:t xml:space="preserve">. </w:t>
      </w:r>
      <w:r>
        <w:rPr>
          <w:rFonts w:cs="Arial"/>
        </w:rPr>
        <w:t>Jeffery Haynes</w:t>
      </w:r>
      <w:r w:rsidRPr="00A17C89">
        <w:t xml:space="preserve"> (</w:t>
      </w:r>
      <w:r>
        <w:t>United States of America</w:t>
      </w:r>
      <w:r w:rsidRPr="00A17C89">
        <w:rPr>
          <w:rFonts w:cs="Arial"/>
        </w:rPr>
        <w:t>) on “</w:t>
      </w:r>
      <w:r>
        <w:t>The US </w:t>
      </w:r>
      <w:r w:rsidRPr="00860C66">
        <w:t xml:space="preserve">PVPO </w:t>
      </w:r>
      <w:r>
        <w:t>Soybean molecular marker method</w:t>
      </w:r>
      <w:r w:rsidRPr="00A17C89">
        <w:rPr>
          <w:rFonts w:cs="Arial"/>
        </w:rPr>
        <w:t>”</w:t>
      </w:r>
      <w:r w:rsidRPr="00A17C89">
        <w:rPr>
          <w:rFonts w:cs="Arial"/>
          <w:iCs/>
        </w:rPr>
        <w:t>,</w:t>
      </w:r>
      <w:r w:rsidRPr="00C26C2E">
        <w:t xml:space="preserve"> </w:t>
      </w:r>
      <w:r w:rsidRPr="00A17C89">
        <w:rPr>
          <w:rFonts w:cs="Arial"/>
          <w:iCs/>
        </w:rPr>
        <w:t xml:space="preserve">a copy </w:t>
      </w:r>
      <w:r w:rsidRPr="000634C8">
        <w:rPr>
          <w:rFonts w:cs="Arial"/>
          <w:iCs/>
        </w:rPr>
        <w:t>of which is reproduced in document </w:t>
      </w:r>
      <w:r w:rsidRPr="000634C8">
        <w:t>TWM/1/16.</w:t>
      </w:r>
    </w:p>
    <w:p w:rsidR="00306A90" w:rsidRDefault="00306A90" w:rsidP="00306A90"/>
    <w:p w:rsidR="00306A90" w:rsidRDefault="00306A90" w:rsidP="00306A90">
      <w:r>
        <w:fldChar w:fldCharType="begin"/>
      </w:r>
      <w:r>
        <w:instrText xml:space="preserve"> AUTONUM  </w:instrText>
      </w:r>
      <w:r>
        <w:fldChar w:fldCharType="end"/>
      </w:r>
      <w:r>
        <w:tab/>
        <w:t xml:space="preserve">Clarifications were </w:t>
      </w:r>
      <w:proofErr w:type="gramStart"/>
      <w:r>
        <w:t>provided that</w:t>
      </w:r>
      <w:proofErr w:type="gramEnd"/>
      <w:r>
        <w:t xml:space="preserve"> the method presented had been developed in collaboration with plant breeders and was used as supplementary information in support of distinctness analysis.  </w:t>
      </w:r>
    </w:p>
    <w:p w:rsidR="00306A90" w:rsidRDefault="00306A90" w:rsidP="00306A90"/>
    <w:p w:rsidR="00306A90" w:rsidRPr="000634C8" w:rsidRDefault="00306A90" w:rsidP="005C548D">
      <w:pPr>
        <w:pStyle w:val="Heading2"/>
      </w:pPr>
      <w:bookmarkStart w:id="24" w:name="_Toc116500484"/>
      <w:r w:rsidRPr="000634C8">
        <w:t>The use of molecular techniques in examining essential derivation</w:t>
      </w:r>
      <w:bookmarkEnd w:id="24"/>
    </w:p>
    <w:p w:rsidR="00306A90" w:rsidRPr="000634C8" w:rsidRDefault="00306A90" w:rsidP="00306A90"/>
    <w:p w:rsidR="00306A90" w:rsidRPr="000634C8" w:rsidRDefault="00306A90" w:rsidP="00306A90">
      <w:r w:rsidRPr="000634C8">
        <w:fldChar w:fldCharType="begin"/>
      </w:r>
      <w:r w:rsidRPr="000634C8">
        <w:instrText xml:space="preserve"> AUTONUM  </w:instrText>
      </w:r>
      <w:r w:rsidRPr="000634C8">
        <w:fldChar w:fldCharType="end"/>
      </w:r>
      <w:r w:rsidRPr="000634C8">
        <w:tab/>
        <w:t xml:space="preserve">No documents </w:t>
      </w:r>
      <w:proofErr w:type="gramStart"/>
      <w:r w:rsidRPr="000634C8">
        <w:t>were received</w:t>
      </w:r>
      <w:proofErr w:type="gramEnd"/>
      <w:r w:rsidRPr="000634C8">
        <w:t xml:space="preserve"> for this agenda item.</w:t>
      </w:r>
    </w:p>
    <w:p w:rsidR="00306A90" w:rsidRPr="000634C8" w:rsidRDefault="00306A90" w:rsidP="00306A90"/>
    <w:p w:rsidR="00306A90" w:rsidRPr="000634C8" w:rsidRDefault="00306A90" w:rsidP="005C548D">
      <w:pPr>
        <w:pStyle w:val="Heading2"/>
        <w:keepNext/>
      </w:pPr>
      <w:bookmarkStart w:id="25" w:name="_Toc116500485"/>
      <w:r w:rsidRPr="000634C8">
        <w:t>The use of molecular techniques in variety identification</w:t>
      </w:r>
      <w:bookmarkEnd w:id="25"/>
      <w:r>
        <w:t xml:space="preserve"> </w:t>
      </w:r>
    </w:p>
    <w:p w:rsidR="00306A90" w:rsidRPr="000634C8" w:rsidRDefault="00306A90" w:rsidP="005C548D">
      <w:pPr>
        <w:keepNext/>
        <w:jc w:val="left"/>
      </w:pPr>
    </w:p>
    <w:p w:rsidR="00306A90" w:rsidRDefault="00306A90" w:rsidP="005C548D">
      <w:pPr>
        <w:keepNext/>
      </w:pPr>
      <w:r w:rsidRPr="000634C8">
        <w:fldChar w:fldCharType="begin"/>
      </w:r>
      <w:r w:rsidRPr="000634C8">
        <w:instrText xml:space="preserve"> AUTONUM  </w:instrText>
      </w:r>
      <w:r w:rsidRPr="000634C8">
        <w:fldChar w:fldCharType="end"/>
      </w:r>
      <w:r w:rsidRPr="000634C8">
        <w:tab/>
        <w:t>The TWM received a presentation from Ms. Ana Laura Vicario (Argentina</w:t>
      </w:r>
      <w:r w:rsidRPr="000634C8">
        <w:rPr>
          <w:rFonts w:cs="Arial"/>
        </w:rPr>
        <w:t>) on “</w:t>
      </w:r>
      <w:r w:rsidRPr="000634C8">
        <w:t>Variety identification: soybean case in Argentina</w:t>
      </w:r>
      <w:r w:rsidRPr="000634C8">
        <w:rPr>
          <w:rFonts w:cs="Arial"/>
        </w:rPr>
        <w:t>”</w:t>
      </w:r>
      <w:r w:rsidRPr="000634C8">
        <w:rPr>
          <w:rFonts w:cs="Arial"/>
          <w:iCs/>
        </w:rPr>
        <w:t>,</w:t>
      </w:r>
      <w:r w:rsidRPr="000634C8">
        <w:t xml:space="preserve"> </w:t>
      </w:r>
      <w:r w:rsidRPr="000634C8">
        <w:rPr>
          <w:rFonts w:cs="Arial"/>
          <w:iCs/>
        </w:rPr>
        <w:t>a copy of which is reproduced in document </w:t>
      </w:r>
      <w:r w:rsidRPr="000634C8">
        <w:t>TWM/1/15.</w:t>
      </w:r>
    </w:p>
    <w:p w:rsidR="00306A90" w:rsidRDefault="00306A90" w:rsidP="00306A90"/>
    <w:p w:rsidR="00306A90" w:rsidRPr="000634C8" w:rsidRDefault="00306A90" w:rsidP="00306A90">
      <w:r>
        <w:fldChar w:fldCharType="begin"/>
      </w:r>
      <w:r>
        <w:instrText xml:space="preserve"> AUTONUM  </w:instrText>
      </w:r>
      <w:r>
        <w:fldChar w:fldCharType="end"/>
      </w:r>
      <w:r>
        <w:tab/>
        <w:t xml:space="preserve">Clarifications </w:t>
      </w:r>
      <w:proofErr w:type="gramStart"/>
      <w:r>
        <w:t>were provided</w:t>
      </w:r>
      <w:proofErr w:type="gramEnd"/>
      <w:r>
        <w:t xml:space="preserve"> on the different types of samples used</w:t>
      </w:r>
      <w:r w:rsidRPr="00135422">
        <w:t xml:space="preserve"> </w:t>
      </w:r>
      <w:r>
        <w:t xml:space="preserve">in the development of the method, which included seeds from different generations of propagation.   The expert explained that a public set of markers </w:t>
      </w:r>
      <w:proofErr w:type="gramStart"/>
      <w:r>
        <w:t>had been used</w:t>
      </w:r>
      <w:proofErr w:type="gramEnd"/>
      <w:r>
        <w:t xml:space="preserve">.  Clarifications </w:t>
      </w:r>
      <w:proofErr w:type="gramStart"/>
      <w:r>
        <w:t>were also provided</w:t>
      </w:r>
      <w:proofErr w:type="gramEnd"/>
      <w:r>
        <w:t xml:space="preserve"> on a previous study that enabled the use of molecular distances to reduce the size of soybean trials in Argentina.  </w:t>
      </w:r>
    </w:p>
    <w:p w:rsidR="00306A90" w:rsidRPr="000634C8" w:rsidRDefault="00306A90" w:rsidP="00306A90"/>
    <w:p w:rsidR="00306A90" w:rsidRDefault="00306A90" w:rsidP="00306A90">
      <w:r w:rsidRPr="000634C8">
        <w:fldChar w:fldCharType="begin"/>
      </w:r>
      <w:r w:rsidRPr="000634C8">
        <w:instrText xml:space="preserve"> AUTONUM  </w:instrText>
      </w:r>
      <w:r w:rsidRPr="000634C8">
        <w:fldChar w:fldCharType="end"/>
      </w:r>
      <w:r w:rsidRPr="000634C8">
        <w:tab/>
        <w:t xml:space="preserve">The TWM received a presentation from Ms. Chiara </w:t>
      </w:r>
      <w:proofErr w:type="spellStart"/>
      <w:r w:rsidRPr="000634C8">
        <w:t>Delogu</w:t>
      </w:r>
      <w:proofErr w:type="spellEnd"/>
      <w:r w:rsidRPr="000634C8">
        <w:t xml:space="preserve"> (Italy</w:t>
      </w:r>
      <w:r w:rsidRPr="000634C8">
        <w:rPr>
          <w:rFonts w:cs="Arial"/>
        </w:rPr>
        <w:t>) on “</w:t>
      </w:r>
      <w:r w:rsidRPr="000634C8">
        <w:t>Digital PCR for Genotype Quantification: A Case Study in a Pasta Production Chain</w:t>
      </w:r>
      <w:r w:rsidRPr="000634C8">
        <w:rPr>
          <w:rFonts w:cs="Arial"/>
        </w:rPr>
        <w:t>”</w:t>
      </w:r>
      <w:r w:rsidRPr="000634C8">
        <w:rPr>
          <w:rFonts w:cs="Arial"/>
          <w:iCs/>
        </w:rPr>
        <w:t>,</w:t>
      </w:r>
      <w:r w:rsidRPr="000634C8">
        <w:t xml:space="preserve"> </w:t>
      </w:r>
      <w:r w:rsidRPr="000634C8">
        <w:rPr>
          <w:rFonts w:cs="Arial"/>
          <w:iCs/>
        </w:rPr>
        <w:t>a copy of which is reproduced in document </w:t>
      </w:r>
      <w:r w:rsidRPr="000634C8">
        <w:t>TWM/1/21.</w:t>
      </w:r>
    </w:p>
    <w:p w:rsidR="00306A90" w:rsidRDefault="00306A90" w:rsidP="00306A90"/>
    <w:p w:rsidR="00306A90" w:rsidRPr="00226C46" w:rsidRDefault="00306A90" w:rsidP="00306A90">
      <w:r>
        <w:fldChar w:fldCharType="begin"/>
      </w:r>
      <w:r>
        <w:instrText xml:space="preserve"> AUTONUM  </w:instrText>
      </w:r>
      <w:r>
        <w:fldChar w:fldCharType="end"/>
      </w:r>
      <w:r>
        <w:tab/>
        <w:t xml:space="preserve">Clarifications were </w:t>
      </w:r>
      <w:proofErr w:type="gramStart"/>
      <w:r>
        <w:t>provided that</w:t>
      </w:r>
      <w:proofErr w:type="gramEnd"/>
      <w:r>
        <w:t xml:space="preserve"> up to 96 samples could be analyzed in each run of the equipment used by the presenter.</w:t>
      </w:r>
    </w:p>
    <w:p w:rsidR="00306A90" w:rsidRPr="000634C8" w:rsidRDefault="00306A90" w:rsidP="00306A90">
      <w:pPr>
        <w:jc w:val="left"/>
      </w:pPr>
    </w:p>
    <w:p w:rsidR="00306A90" w:rsidRPr="000634C8" w:rsidRDefault="00306A90" w:rsidP="005C548D">
      <w:pPr>
        <w:pStyle w:val="Heading2"/>
      </w:pPr>
      <w:bookmarkStart w:id="26" w:name="_Toc116500486"/>
      <w:r w:rsidRPr="000634C8">
        <w:t>The use of molecular techniques for enforcement</w:t>
      </w:r>
      <w:bookmarkEnd w:id="26"/>
      <w:r>
        <w:t xml:space="preserve"> </w:t>
      </w:r>
    </w:p>
    <w:p w:rsidR="00306A90" w:rsidRPr="000634C8" w:rsidRDefault="00306A90" w:rsidP="00306A90">
      <w:pPr>
        <w:jc w:val="left"/>
      </w:pPr>
    </w:p>
    <w:p w:rsidR="00306A90" w:rsidRDefault="00306A90" w:rsidP="00306A90">
      <w:r w:rsidRPr="000634C8">
        <w:fldChar w:fldCharType="begin"/>
      </w:r>
      <w:r w:rsidRPr="000634C8">
        <w:instrText xml:space="preserve"> AUTONUM  </w:instrText>
      </w:r>
      <w:r w:rsidRPr="000634C8">
        <w:fldChar w:fldCharType="end"/>
      </w:r>
      <w:r w:rsidRPr="000634C8">
        <w:tab/>
        <w:t xml:space="preserve">The TWM received a presentation by Ms. </w:t>
      </w:r>
      <w:proofErr w:type="spellStart"/>
      <w:r w:rsidRPr="000634C8">
        <w:t>Hedwich</w:t>
      </w:r>
      <w:proofErr w:type="spellEnd"/>
      <w:r w:rsidRPr="000634C8">
        <w:t xml:space="preserve"> </w:t>
      </w:r>
      <w:proofErr w:type="spellStart"/>
      <w:r w:rsidRPr="000634C8">
        <w:t>Teunissen</w:t>
      </w:r>
      <w:proofErr w:type="spellEnd"/>
      <w:r w:rsidRPr="000634C8">
        <w:t xml:space="preserve"> (the Netherlands</w:t>
      </w:r>
      <w:r w:rsidRPr="000634C8">
        <w:rPr>
          <w:rFonts w:cs="Arial"/>
        </w:rPr>
        <w:t>) on “</w:t>
      </w:r>
      <w:r w:rsidRPr="000634C8">
        <w:t>Variety Tracer: Fraudulent use of parental lines</w:t>
      </w:r>
      <w:r w:rsidRPr="000634C8">
        <w:rPr>
          <w:rFonts w:cs="Arial"/>
        </w:rPr>
        <w:t>”</w:t>
      </w:r>
      <w:r w:rsidRPr="000634C8">
        <w:rPr>
          <w:rFonts w:cs="Arial"/>
          <w:iCs/>
        </w:rPr>
        <w:t>,</w:t>
      </w:r>
      <w:r w:rsidRPr="000634C8">
        <w:t xml:space="preserve"> </w:t>
      </w:r>
      <w:r w:rsidRPr="000634C8">
        <w:rPr>
          <w:rFonts w:cs="Arial"/>
          <w:iCs/>
        </w:rPr>
        <w:t>a copy of which is reproduced in document </w:t>
      </w:r>
      <w:r w:rsidRPr="000634C8">
        <w:t>TWM/1/19.</w:t>
      </w:r>
    </w:p>
    <w:p w:rsidR="00306A90" w:rsidRDefault="00306A90" w:rsidP="00306A90"/>
    <w:p w:rsidR="00306A90" w:rsidRDefault="00306A90" w:rsidP="00306A90">
      <w:r>
        <w:fldChar w:fldCharType="begin"/>
      </w:r>
      <w:r>
        <w:instrText xml:space="preserve"> AUTONUM  </w:instrText>
      </w:r>
      <w:r>
        <w:fldChar w:fldCharType="end"/>
      </w:r>
      <w:r>
        <w:tab/>
        <w:t xml:space="preserve">Participants heard that allele frequencies </w:t>
      </w:r>
      <w:proofErr w:type="gramStart"/>
      <w:r>
        <w:t>had been requested</w:t>
      </w:r>
      <w:proofErr w:type="gramEnd"/>
      <w:r>
        <w:t xml:space="preserve"> in some cases and that these could provide additional information to address cases of potential infringement.  </w:t>
      </w:r>
    </w:p>
    <w:p w:rsidR="00686083" w:rsidRDefault="00686083" w:rsidP="00445B73"/>
    <w:p w:rsidR="00306A90" w:rsidRDefault="00306A90" w:rsidP="00445B73"/>
    <w:p w:rsidR="00686083" w:rsidRDefault="00686083" w:rsidP="00445B73"/>
    <w:p w:rsidR="004133B2" w:rsidRDefault="00B06F4E" w:rsidP="00B06F4E">
      <w:pPr>
        <w:jc w:val="right"/>
        <w:rPr>
          <w:rFonts w:cs="Arial"/>
        </w:rPr>
      </w:pPr>
      <w:r w:rsidRPr="00B06F4E">
        <w:rPr>
          <w:rFonts w:cs="Arial"/>
        </w:rPr>
        <w:t xml:space="preserve"> [Annex follow</w:t>
      </w:r>
      <w:r w:rsidR="000F6B3F">
        <w:rPr>
          <w:rFonts w:cs="Arial"/>
        </w:rPr>
        <w:t>s</w:t>
      </w:r>
      <w:r w:rsidRPr="00B06F4E">
        <w:rPr>
          <w:rFonts w:cs="Arial"/>
        </w:rPr>
        <w:t>]</w:t>
      </w:r>
    </w:p>
    <w:p w:rsidR="00B06F4E" w:rsidRDefault="00B06F4E" w:rsidP="00B06F4E">
      <w:pPr>
        <w:jc w:val="right"/>
        <w:rPr>
          <w:rFonts w:cs="Arial"/>
        </w:rPr>
        <w:sectPr w:rsidR="00B06F4E" w:rsidSect="0004198B">
          <w:headerReference w:type="default" r:id="rId9"/>
          <w:pgSz w:w="11907" w:h="16840" w:code="9"/>
          <w:pgMar w:top="510" w:right="1134" w:bottom="1134" w:left="1134" w:header="510" w:footer="680" w:gutter="0"/>
          <w:pgNumType w:start="1"/>
          <w:cols w:space="720"/>
          <w:titlePg/>
        </w:sectPr>
      </w:pPr>
    </w:p>
    <w:p w:rsidR="007B1BA8" w:rsidRDefault="007B1BA8" w:rsidP="00445B73">
      <w:pPr>
        <w:rPr>
          <w:rFonts w:cs="Arial"/>
          <w:lang w:val="en-GB"/>
        </w:rPr>
      </w:pPr>
    </w:p>
    <w:p w:rsidR="00EB74E5" w:rsidRPr="00EF6C3B" w:rsidRDefault="00EB74E5" w:rsidP="00EB74E5"/>
    <w:p w:rsidR="00EB74E5" w:rsidRPr="00EF6C3B" w:rsidRDefault="00EB74E5" w:rsidP="00EB74E5">
      <w:r w:rsidRPr="00EF6C3B">
        <w:t xml:space="preserve">ELEMENTS FOR DRAFT JOINT DOCUMENT </w:t>
      </w:r>
      <w:r w:rsidRPr="00EF6C3B">
        <w:rPr>
          <w:caps/>
        </w:rPr>
        <w:t>explaining the principal features of the systems of the OECD, UPOV and ISTA</w:t>
      </w:r>
    </w:p>
    <w:p w:rsidR="00EB74E5" w:rsidRPr="00EF6C3B" w:rsidRDefault="00EB74E5" w:rsidP="00EB74E5"/>
    <w:p w:rsidR="00EB74E5" w:rsidRPr="00EF6C3B" w:rsidRDefault="00EB74E5" w:rsidP="00EB74E5">
      <w:pPr>
        <w:rPr>
          <w:bCs/>
          <w:u w:val="single"/>
        </w:rPr>
      </w:pPr>
      <w:r w:rsidRPr="00EF6C3B">
        <w:rPr>
          <w:bCs/>
          <w:u w:val="single"/>
        </w:rPr>
        <w:t xml:space="preserve">The </w:t>
      </w:r>
      <w:proofErr w:type="spellStart"/>
      <w:r w:rsidRPr="00EF6C3B">
        <w:rPr>
          <w:bCs/>
          <w:u w:val="single"/>
        </w:rPr>
        <w:t>Organisation</w:t>
      </w:r>
      <w:proofErr w:type="spellEnd"/>
      <w:r w:rsidRPr="00EF6C3B">
        <w:rPr>
          <w:bCs/>
          <w:u w:val="single"/>
        </w:rPr>
        <w:t xml:space="preserve"> for Economic Co-operation and Development (OECD)</w:t>
      </w:r>
    </w:p>
    <w:p w:rsidR="00EB74E5" w:rsidRPr="00EF6C3B" w:rsidRDefault="00EB74E5" w:rsidP="00EB74E5"/>
    <w:p w:rsidR="00EB74E5" w:rsidRPr="00EF6C3B" w:rsidRDefault="00EB74E5" w:rsidP="00EB74E5">
      <w:pPr>
        <w:spacing w:before="91"/>
        <w:rPr>
          <w:i/>
        </w:rPr>
      </w:pPr>
      <w:r w:rsidRPr="00EF6C3B">
        <w:rPr>
          <w:i/>
        </w:rPr>
        <w:t>What are the OECD Seed Schemes?</w:t>
      </w:r>
    </w:p>
    <w:p w:rsidR="00EB74E5" w:rsidRPr="00EF6C3B" w:rsidRDefault="00EB74E5" w:rsidP="00EB74E5">
      <w:pPr>
        <w:spacing w:before="4"/>
        <w:rPr>
          <w:b/>
        </w:rPr>
      </w:pPr>
    </w:p>
    <w:p w:rsidR="00EB74E5" w:rsidRPr="00EF6C3B" w:rsidRDefault="00EB74E5" w:rsidP="00EB74E5">
      <w:pPr>
        <w:widowControl w:val="0"/>
        <w:tabs>
          <w:tab w:val="left" w:pos="1125"/>
          <w:tab w:val="left" w:pos="1126"/>
        </w:tabs>
        <w:autoSpaceDE w:val="0"/>
        <w:autoSpaceDN w:val="0"/>
        <w:spacing w:before="1"/>
        <w:ind w:right="214"/>
        <w:rPr>
          <w:rFonts w:cs="Arial"/>
          <w:lang w:val="en-GB" w:eastAsia="en-GB" w:bidi="en-GB"/>
        </w:rPr>
      </w:pPr>
      <w:r w:rsidRPr="00EF6C3B">
        <w:rPr>
          <w:rFonts w:cs="Arial"/>
          <w:lang w:val="en-GB" w:eastAsia="en-GB" w:bidi="en-GB"/>
        </w:rPr>
        <w:t xml:space="preserve">The OECD Seed Schemes provide an international framework for the varietal certification of agricultural seed moving in international trade. The Schemes </w:t>
      </w:r>
      <w:proofErr w:type="gramStart"/>
      <w:r w:rsidRPr="00EF6C3B">
        <w:rPr>
          <w:rFonts w:cs="Arial"/>
          <w:lang w:val="en-GB" w:eastAsia="en-GB" w:bidi="en-GB"/>
        </w:rPr>
        <w:t>were established</w:t>
      </w:r>
      <w:proofErr w:type="gramEnd"/>
      <w:r w:rsidRPr="00EF6C3B">
        <w:rPr>
          <w:rFonts w:cs="Arial"/>
          <w:lang w:val="en-GB" w:eastAsia="en-GB" w:bidi="en-GB"/>
        </w:rPr>
        <w:t xml:space="preserve">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EF6C3B">
        <w:rPr>
          <w:rFonts w:cs="Arial"/>
          <w:spacing w:val="-31"/>
          <w:lang w:val="en-GB" w:eastAsia="en-GB" w:bidi="en-GB"/>
        </w:rPr>
        <w:t xml:space="preserve"> </w:t>
      </w:r>
      <w:r w:rsidRPr="00EF6C3B">
        <w:rPr>
          <w:rFonts w:cs="Arial"/>
          <w:lang w:val="en-GB" w:eastAsia="en-GB" w:bidi="en-GB"/>
        </w:rPr>
        <w:t>Schemes.</w:t>
      </w:r>
    </w:p>
    <w:p w:rsidR="00EB74E5" w:rsidRPr="00EF6C3B" w:rsidRDefault="00EB74E5" w:rsidP="00EB74E5">
      <w:pPr>
        <w:spacing w:before="3"/>
        <w:rPr>
          <w:rFonts w:cs="Arial"/>
        </w:rPr>
      </w:pPr>
    </w:p>
    <w:p w:rsidR="00EB74E5" w:rsidRPr="00EF6C3B" w:rsidRDefault="00EB74E5" w:rsidP="00EB74E5">
      <w:pPr>
        <w:rPr>
          <w:i/>
        </w:rPr>
      </w:pPr>
      <w:bookmarkStart w:id="27" w:name="Participating_countries"/>
      <w:bookmarkEnd w:id="27"/>
      <w:r w:rsidRPr="00EF6C3B">
        <w:rPr>
          <w:i/>
        </w:rPr>
        <w:t>Participating countries</w:t>
      </w:r>
    </w:p>
    <w:p w:rsidR="00EB74E5" w:rsidRPr="00EF6C3B" w:rsidRDefault="00EB74E5" w:rsidP="00EB74E5">
      <w:pPr>
        <w:spacing w:before="4"/>
        <w:rPr>
          <w:rFonts w:cs="Arial"/>
          <w:b/>
        </w:rPr>
      </w:pPr>
    </w:p>
    <w:p w:rsidR="00EB74E5" w:rsidRPr="00EF6C3B" w:rsidRDefault="00EB74E5" w:rsidP="00EB74E5">
      <w:pPr>
        <w:widowControl w:val="0"/>
        <w:tabs>
          <w:tab w:val="left" w:pos="567"/>
        </w:tabs>
        <w:autoSpaceDE w:val="0"/>
        <w:autoSpaceDN w:val="0"/>
        <w:spacing w:before="1"/>
        <w:ind w:right="216"/>
        <w:rPr>
          <w:rFonts w:cs="Arial"/>
          <w:lang w:val="en-GB" w:eastAsia="en-GB" w:bidi="en-GB"/>
        </w:rPr>
      </w:pPr>
      <w:r w:rsidRPr="00EF6C3B">
        <w:rPr>
          <w:rFonts w:cs="Arial"/>
          <w:lang w:val="en-GB" w:eastAsia="en-GB" w:bidi="en-GB"/>
        </w:rPr>
        <w:t xml:space="preserve">59 countries from Europe, North and South America, Africa, the </w:t>
      </w:r>
      <w:proofErr w:type="gramStart"/>
      <w:r w:rsidRPr="00EF6C3B">
        <w:rPr>
          <w:rFonts w:cs="Arial"/>
          <w:lang w:val="en-GB" w:eastAsia="en-GB" w:bidi="en-GB"/>
        </w:rPr>
        <w:t>Middle-East</w:t>
      </w:r>
      <w:proofErr w:type="gramEnd"/>
      <w:r w:rsidRPr="00EF6C3B">
        <w:rPr>
          <w:rFonts w:cs="Arial"/>
          <w:lang w:val="en-GB" w:eastAsia="en-GB" w:bidi="en-GB"/>
        </w:rPr>
        <w:t>, Asia and Oceania currently participate in the OECD Seed</w:t>
      </w:r>
      <w:r w:rsidRPr="00EF6C3B">
        <w:rPr>
          <w:rFonts w:cs="Arial"/>
          <w:spacing w:val="-7"/>
          <w:lang w:val="en-GB" w:eastAsia="en-GB" w:bidi="en-GB"/>
        </w:rPr>
        <w:t xml:space="preserve"> </w:t>
      </w:r>
      <w:r w:rsidRPr="00EF6C3B">
        <w:rPr>
          <w:rFonts w:cs="Arial"/>
          <w:lang w:val="en-GB" w:eastAsia="en-GB" w:bidi="en-GB"/>
        </w:rPr>
        <w:t>Schemes:</w:t>
      </w:r>
    </w:p>
    <w:p w:rsidR="00EB74E5" w:rsidRPr="00EF6C3B" w:rsidRDefault="00EB74E5" w:rsidP="00EB74E5">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EB74E5" w:rsidRPr="00EF6C3B" w:rsidTr="00C916AB">
        <w:trPr>
          <w:trHeight w:val="257"/>
        </w:trPr>
        <w:tc>
          <w:tcPr>
            <w:tcW w:w="2482" w:type="dxa"/>
            <w:tcBorders>
              <w:top w:val="single" w:sz="4" w:space="0" w:color="000000"/>
            </w:tcBorders>
            <w:shd w:val="clear" w:color="auto" w:fill="DBE5F1"/>
          </w:tcPr>
          <w:p w:rsidR="00EB74E5" w:rsidRPr="00EF6C3B" w:rsidRDefault="00EB74E5" w:rsidP="00C916AB">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ALBANIA</w:t>
            </w:r>
          </w:p>
        </w:tc>
        <w:tc>
          <w:tcPr>
            <w:tcW w:w="1438" w:type="dxa"/>
            <w:tcBorders>
              <w:top w:val="single" w:sz="4" w:space="0" w:color="000000"/>
            </w:tcBorders>
          </w:tcPr>
          <w:p w:rsidR="00EB74E5" w:rsidRPr="00EF6C3B" w:rsidRDefault="00EB74E5" w:rsidP="00C916AB">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shd w:val="clear" w:color="auto" w:fill="DBE5F1"/>
          </w:tcPr>
          <w:p w:rsidR="00EB74E5" w:rsidRPr="00EF6C3B" w:rsidRDefault="00EB74E5" w:rsidP="00C916AB">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LITHUANIA</w:t>
            </w:r>
          </w:p>
        </w:tc>
        <w:tc>
          <w:tcPr>
            <w:tcW w:w="1143" w:type="dxa"/>
            <w:tcBorders>
              <w:top w:val="single" w:sz="8" w:space="0" w:color="000000"/>
            </w:tcBorders>
          </w:tcPr>
          <w:p w:rsidR="00EB74E5" w:rsidRPr="00EF6C3B" w:rsidRDefault="00EB74E5" w:rsidP="00C916AB">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EB74E5" w:rsidRPr="00EF6C3B" w:rsidTr="00C916AB">
        <w:trPr>
          <w:trHeight w:val="248"/>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ARGENTINA</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LUXEMBOURG</w:t>
            </w:r>
          </w:p>
        </w:tc>
        <w:tc>
          <w:tcPr>
            <w:tcW w:w="1143"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B74E5" w:rsidRPr="00EF6C3B" w:rsidTr="00C916AB">
        <w:trPr>
          <w:trHeight w:val="249"/>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AUSTRALIA</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MEXICO</w:t>
            </w:r>
          </w:p>
        </w:tc>
        <w:tc>
          <w:tcPr>
            <w:tcW w:w="1143"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B74E5" w:rsidRPr="00EF6C3B" w:rsidTr="00C916AB">
        <w:trPr>
          <w:trHeight w:val="249"/>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AUSTRIA</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MOLDOVA</w:t>
            </w:r>
          </w:p>
        </w:tc>
        <w:tc>
          <w:tcPr>
            <w:tcW w:w="1143"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EB74E5" w:rsidRPr="00EF6C3B" w:rsidTr="00C916AB">
        <w:trPr>
          <w:trHeight w:val="248"/>
        </w:trPr>
        <w:tc>
          <w:tcPr>
            <w:tcW w:w="2482" w:type="dxa"/>
            <w:shd w:val="clear" w:color="auto" w:fill="DBE5F1"/>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BELGIUM</w:t>
            </w:r>
          </w:p>
        </w:tc>
        <w:tc>
          <w:tcPr>
            <w:tcW w:w="1438" w:type="dxa"/>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MOROCCO</w:t>
            </w:r>
          </w:p>
        </w:tc>
        <w:tc>
          <w:tcPr>
            <w:tcW w:w="1143" w:type="dxa"/>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EB74E5" w:rsidRPr="00EF6C3B" w:rsidTr="00C916AB">
        <w:trPr>
          <w:trHeight w:val="248"/>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BOLIVIA</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NETHERLANDS</w:t>
            </w:r>
          </w:p>
        </w:tc>
        <w:tc>
          <w:tcPr>
            <w:tcW w:w="1143"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B74E5" w:rsidRPr="00EF6C3B" w:rsidTr="00C916AB">
        <w:trPr>
          <w:trHeight w:val="249"/>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BRAZIL</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NEW ZEALAND</w:t>
            </w:r>
          </w:p>
        </w:tc>
        <w:tc>
          <w:tcPr>
            <w:tcW w:w="1143"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B74E5" w:rsidRPr="00EF6C3B" w:rsidTr="00C916AB">
        <w:trPr>
          <w:trHeight w:val="249"/>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BULGARIA</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NORWAY</w:t>
            </w:r>
          </w:p>
        </w:tc>
        <w:tc>
          <w:tcPr>
            <w:tcW w:w="1143"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B74E5" w:rsidRPr="00EF6C3B" w:rsidTr="00C916AB">
        <w:trPr>
          <w:trHeight w:val="248"/>
        </w:trPr>
        <w:tc>
          <w:tcPr>
            <w:tcW w:w="2482" w:type="dxa"/>
            <w:shd w:val="clear" w:color="auto" w:fill="DBE5F1"/>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CANADA</w:t>
            </w:r>
          </w:p>
        </w:tc>
        <w:tc>
          <w:tcPr>
            <w:tcW w:w="1438" w:type="dxa"/>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POLAND</w:t>
            </w:r>
          </w:p>
        </w:tc>
        <w:tc>
          <w:tcPr>
            <w:tcW w:w="1143" w:type="dxa"/>
          </w:tcPr>
          <w:p w:rsidR="00EB74E5" w:rsidRPr="00EF6C3B" w:rsidRDefault="00EB74E5" w:rsidP="00C916A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B74E5" w:rsidRPr="00EF6C3B" w:rsidTr="00C916AB">
        <w:trPr>
          <w:trHeight w:val="260"/>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CHILE</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PORTUGAL</w:t>
            </w:r>
          </w:p>
        </w:tc>
        <w:tc>
          <w:tcPr>
            <w:tcW w:w="1143" w:type="dxa"/>
          </w:tcPr>
          <w:p w:rsidR="00EB74E5" w:rsidRPr="00EF6C3B" w:rsidRDefault="00EB74E5" w:rsidP="00C916AB">
            <w:pPr>
              <w:widowControl w:val="0"/>
              <w:autoSpaceDE w:val="0"/>
              <w:autoSpaceDN w:val="0"/>
              <w:spacing w:before="19" w:line="22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CROATIA</w:t>
            </w:r>
          </w:p>
        </w:tc>
        <w:tc>
          <w:tcPr>
            <w:tcW w:w="1438" w:type="dxa"/>
          </w:tcPr>
          <w:p w:rsidR="00EB74E5" w:rsidRPr="00EF6C3B" w:rsidRDefault="00EB74E5" w:rsidP="00C916AB">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ROMANIA</w:t>
            </w:r>
          </w:p>
        </w:tc>
        <w:tc>
          <w:tcPr>
            <w:tcW w:w="1143" w:type="dxa"/>
          </w:tcPr>
          <w:p w:rsidR="00EB74E5" w:rsidRPr="00EF6C3B" w:rsidRDefault="00EB74E5" w:rsidP="00C916AB">
            <w:pPr>
              <w:widowControl w:val="0"/>
              <w:autoSpaceDE w:val="0"/>
              <w:autoSpaceDN w:val="0"/>
              <w:spacing w:before="32" w:line="220"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83"/>
        </w:trPr>
        <w:tc>
          <w:tcPr>
            <w:tcW w:w="2482" w:type="dxa"/>
            <w:shd w:val="clear" w:color="auto" w:fill="DBE5F1"/>
          </w:tcPr>
          <w:p w:rsidR="00EB74E5" w:rsidRPr="00EF6C3B" w:rsidRDefault="00EB74E5" w:rsidP="00C916AB">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CYPRUS</w:t>
            </w:r>
            <w:r w:rsidRPr="00EF6C3B">
              <w:rPr>
                <w:rFonts w:ascii="Trebuchet MS" w:eastAsia="Trebuchet MS" w:hAnsi="Trebuchet MS" w:cs="Trebuchet MS"/>
                <w:sz w:val="18"/>
                <w:szCs w:val="22"/>
                <w:vertAlign w:val="superscript"/>
                <w:lang w:val="en-GB" w:eastAsia="en-GB" w:bidi="en-GB"/>
              </w:rPr>
              <w:t>1</w:t>
            </w:r>
          </w:p>
        </w:tc>
        <w:tc>
          <w:tcPr>
            <w:tcW w:w="1438" w:type="dxa"/>
          </w:tcPr>
          <w:p w:rsidR="00EB74E5" w:rsidRPr="00EF6C3B" w:rsidRDefault="00EB74E5" w:rsidP="00C916AB">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RUSSIAN FEDERATION</w:t>
            </w:r>
          </w:p>
        </w:tc>
        <w:tc>
          <w:tcPr>
            <w:tcW w:w="1143" w:type="dxa"/>
          </w:tcPr>
          <w:p w:rsidR="00EB74E5" w:rsidRPr="00EF6C3B" w:rsidRDefault="00EB74E5" w:rsidP="00C916AB">
            <w:pPr>
              <w:widowControl w:val="0"/>
              <w:autoSpaceDE w:val="0"/>
              <w:autoSpaceDN w:val="0"/>
              <w:spacing w:before="31"/>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CZECH REPUBLIC</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SENEGAL</w:t>
            </w:r>
          </w:p>
        </w:tc>
        <w:tc>
          <w:tcPr>
            <w:tcW w:w="1143" w:type="dxa"/>
          </w:tcPr>
          <w:p w:rsidR="00EB74E5" w:rsidRPr="00EF6C3B" w:rsidRDefault="00EB74E5" w:rsidP="00C916AB">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DENMARK</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SERBIA</w:t>
            </w:r>
          </w:p>
        </w:tc>
        <w:tc>
          <w:tcPr>
            <w:tcW w:w="1143" w:type="dxa"/>
          </w:tcPr>
          <w:p w:rsidR="00EB74E5" w:rsidRPr="00EF6C3B" w:rsidRDefault="00EB74E5" w:rsidP="00C916AB">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EGYPT</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SLOVAKIA</w:t>
            </w:r>
          </w:p>
        </w:tc>
        <w:tc>
          <w:tcPr>
            <w:tcW w:w="1143" w:type="dxa"/>
          </w:tcPr>
          <w:p w:rsidR="00EB74E5" w:rsidRPr="00EF6C3B" w:rsidRDefault="00EB74E5" w:rsidP="00C916AB">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71"/>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ESTONIA</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SLOVENIA</w:t>
            </w:r>
          </w:p>
        </w:tc>
        <w:tc>
          <w:tcPr>
            <w:tcW w:w="1143" w:type="dxa"/>
          </w:tcPr>
          <w:p w:rsidR="00EB74E5" w:rsidRPr="00EF6C3B" w:rsidRDefault="00EB74E5" w:rsidP="00C916AB">
            <w:pPr>
              <w:widowControl w:val="0"/>
              <w:autoSpaceDE w:val="0"/>
              <w:autoSpaceDN w:val="0"/>
              <w:spacing w:before="19"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FINLAND</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SOUTH AFRICA</w:t>
            </w:r>
          </w:p>
        </w:tc>
        <w:tc>
          <w:tcPr>
            <w:tcW w:w="1143" w:type="dxa"/>
          </w:tcPr>
          <w:p w:rsidR="00EB74E5" w:rsidRPr="00EF6C3B" w:rsidRDefault="00EB74E5" w:rsidP="00C916AB">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FRANCE</w:t>
            </w:r>
          </w:p>
        </w:tc>
        <w:tc>
          <w:tcPr>
            <w:tcW w:w="1438" w:type="dxa"/>
          </w:tcPr>
          <w:p w:rsidR="00EB74E5" w:rsidRPr="00EF6C3B" w:rsidRDefault="00EB74E5" w:rsidP="00C916AB">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SPAIN</w:t>
            </w:r>
          </w:p>
        </w:tc>
        <w:tc>
          <w:tcPr>
            <w:tcW w:w="1143" w:type="dxa"/>
          </w:tcPr>
          <w:p w:rsidR="00EB74E5" w:rsidRPr="00EF6C3B" w:rsidRDefault="00EB74E5" w:rsidP="00C916AB">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65"/>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GERMANY</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SWEDEN</w:t>
            </w:r>
          </w:p>
        </w:tc>
        <w:tc>
          <w:tcPr>
            <w:tcW w:w="1143" w:type="dxa"/>
          </w:tcPr>
          <w:p w:rsidR="00EB74E5" w:rsidRPr="00EF6C3B" w:rsidRDefault="00EB74E5" w:rsidP="00C916AB">
            <w:pPr>
              <w:widowControl w:val="0"/>
              <w:autoSpaceDE w:val="0"/>
              <w:autoSpaceDN w:val="0"/>
              <w:spacing w:before="19" w:line="225"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bl>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p>
    <w:p w:rsidR="00EB74E5" w:rsidRPr="00EF6C3B" w:rsidRDefault="00EB74E5" w:rsidP="00EB74E5">
      <w:pPr>
        <w:spacing w:before="2"/>
        <w:rPr>
          <w:sz w:val="15"/>
        </w:rPr>
      </w:pPr>
      <w:r w:rsidRPr="00EF6C3B">
        <w:rPr>
          <w:noProof/>
          <w:sz w:val="22"/>
        </w:rPr>
        <mc:AlternateContent>
          <mc:Choice Requires="wps">
            <w:drawing>
              <wp:anchor distT="0" distB="0" distL="0" distR="0" simplePos="0" relativeHeight="251661312" behindDoc="1" locked="0" layoutInCell="1" allowOverlap="1" wp14:anchorId="68FAE1B1" wp14:editId="7BB1394F">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1276"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EB74E5" w:rsidRPr="00EF6C3B" w:rsidRDefault="00EB74E5" w:rsidP="00EB74E5">
      <w:pPr>
        <w:spacing w:before="35"/>
        <w:rPr>
          <w:rFonts w:ascii="Trebuchet MS"/>
          <w:sz w:val="18"/>
        </w:rPr>
      </w:pPr>
      <w:proofErr w:type="gramStart"/>
      <w:r>
        <w:rPr>
          <w:rFonts w:ascii="Trebuchet MS"/>
          <w:position w:val="9"/>
          <w:sz w:val="13"/>
        </w:rPr>
        <w:t>1</w:t>
      </w:r>
      <w:proofErr w:type="gramEnd"/>
      <w:r>
        <w:rPr>
          <w:rFonts w:ascii="Trebuchet MS"/>
          <w:position w:val="9"/>
          <w:sz w:val="13"/>
        </w:rPr>
        <w:t xml:space="preserve"> </w:t>
      </w:r>
      <w:r>
        <w:rPr>
          <w:rFonts w:ascii="Trebuchet MS"/>
          <w:sz w:val="18"/>
        </w:rPr>
        <w:t xml:space="preserve">Source OECD </w:t>
      </w:r>
      <w:r>
        <w:rPr>
          <w:rFonts w:ascii="Trebuchet MS"/>
          <w:sz w:val="18"/>
        </w:rPr>
        <w:t>“</w:t>
      </w:r>
      <w:r>
        <w:rPr>
          <w:rFonts w:ascii="Trebuchet MS"/>
          <w:sz w:val="18"/>
        </w:rPr>
        <w:t>N</w:t>
      </w:r>
      <w:r w:rsidRPr="00EF6C3B">
        <w:rPr>
          <w:rFonts w:ascii="Trebuchet MS"/>
          <w:sz w:val="18"/>
        </w:rPr>
        <w:t>ote by Turkey</w:t>
      </w:r>
    </w:p>
    <w:p w:rsidR="00EB74E5" w:rsidRPr="00EF6C3B" w:rsidRDefault="00EB74E5" w:rsidP="00EB74E5">
      <w:pPr>
        <w:spacing w:before="127"/>
        <w:ind w:right="216"/>
        <w:rPr>
          <w:rFonts w:ascii="Trebuchet MS" w:hAnsi="Trebuchet MS"/>
          <w:sz w:val="18"/>
        </w:rPr>
      </w:pPr>
      <w:r w:rsidRPr="00EF6C3B">
        <w:rPr>
          <w:rFonts w:ascii="Trebuchet MS" w:hAnsi="Trebuchet MS"/>
          <w:sz w:val="18"/>
        </w:rPr>
        <w:t>The information in th</w:t>
      </w:r>
      <w:r>
        <w:rPr>
          <w:rFonts w:ascii="Trebuchet MS" w:hAnsi="Trebuchet MS"/>
          <w:sz w:val="18"/>
        </w:rPr>
        <w:t>is document with reference to ‘</w:t>
      </w:r>
      <w:r w:rsidRPr="00EF6C3B">
        <w:rPr>
          <w:rFonts w:ascii="Trebuchet MS" w:hAnsi="Trebuchet MS"/>
          <w:sz w:val="18"/>
        </w:rPr>
        <w:t>Cyprus</w:t>
      </w:r>
      <w:r>
        <w:rPr>
          <w:rFonts w:ascii="Trebuchet MS" w:hAnsi="Trebuchet MS"/>
          <w:sz w:val="18"/>
        </w:rPr>
        <w:t>’</w:t>
      </w:r>
      <w:r w:rsidRPr="00EF6C3B">
        <w:rPr>
          <w:rFonts w:ascii="Trebuchet MS" w:hAnsi="Trebuchet MS"/>
          <w:sz w:val="18"/>
        </w:rPr>
        <w:t xml:space="preserve"> relates to the southern part of the Island. There is no single authority representing both Turkish and Greek Cypriot people on the Island. Turkey </w:t>
      </w:r>
      <w:proofErr w:type="spellStart"/>
      <w:r w:rsidRPr="00EF6C3B">
        <w:rPr>
          <w:rFonts w:ascii="Trebuchet MS" w:hAnsi="Trebuchet MS"/>
          <w:sz w:val="18"/>
        </w:rPr>
        <w:t>recognises</w:t>
      </w:r>
      <w:proofErr w:type="spellEnd"/>
      <w:r w:rsidRPr="00EF6C3B">
        <w:rPr>
          <w:rFonts w:ascii="Trebuchet MS" w:hAnsi="Trebuchet MS"/>
          <w:sz w:val="18"/>
        </w:rPr>
        <w:t xml:space="preserve"> the Turkish Republic of Northern Cyprus (TRNC). Until a lasting and equitable solution </w:t>
      </w:r>
      <w:proofErr w:type="gramStart"/>
      <w:r w:rsidRPr="00EF6C3B">
        <w:rPr>
          <w:rFonts w:ascii="Trebuchet MS" w:hAnsi="Trebuchet MS"/>
          <w:sz w:val="18"/>
        </w:rPr>
        <w:t>is found</w:t>
      </w:r>
      <w:proofErr w:type="gramEnd"/>
      <w:r w:rsidRPr="00EF6C3B">
        <w:rPr>
          <w:rFonts w:ascii="Trebuchet MS" w:hAnsi="Trebuchet MS"/>
          <w:sz w:val="18"/>
        </w:rPr>
        <w:t xml:space="preserve"> within the context of the United Nations, Turkey shall preser</w:t>
      </w:r>
      <w:r>
        <w:rPr>
          <w:rFonts w:ascii="Trebuchet MS" w:hAnsi="Trebuchet MS"/>
          <w:sz w:val="18"/>
        </w:rPr>
        <w:t>ve its position concerning the ‘</w:t>
      </w:r>
      <w:r w:rsidRPr="00EF6C3B">
        <w:rPr>
          <w:rFonts w:ascii="Trebuchet MS" w:hAnsi="Trebuchet MS"/>
          <w:sz w:val="18"/>
        </w:rPr>
        <w:t>Cyprus issue</w:t>
      </w:r>
      <w:r>
        <w:rPr>
          <w:rFonts w:ascii="Trebuchet MS" w:hAnsi="Trebuchet MS"/>
          <w:sz w:val="18"/>
        </w:rPr>
        <w:t>’</w:t>
      </w:r>
      <w:r w:rsidRPr="00EF6C3B">
        <w:rPr>
          <w:rFonts w:ascii="Trebuchet MS" w:hAnsi="Trebuchet MS"/>
          <w:sz w:val="18"/>
        </w:rPr>
        <w:t>.</w:t>
      </w:r>
    </w:p>
    <w:p w:rsidR="00EB74E5" w:rsidRPr="00EF6C3B" w:rsidRDefault="00EB74E5" w:rsidP="00EB74E5">
      <w:pPr>
        <w:spacing w:before="119"/>
        <w:rPr>
          <w:rFonts w:ascii="Trebuchet MS"/>
          <w:sz w:val="18"/>
        </w:rPr>
      </w:pPr>
      <w:r w:rsidRPr="00EF6C3B">
        <w:rPr>
          <w:rFonts w:ascii="Trebuchet MS"/>
          <w:sz w:val="18"/>
        </w:rPr>
        <w:t>Note by all the European Union Member States of the OECD and the European Union</w:t>
      </w:r>
    </w:p>
    <w:p w:rsidR="00EB74E5" w:rsidRPr="00EF6C3B" w:rsidRDefault="00EB74E5" w:rsidP="00EB74E5">
      <w:pPr>
        <w:spacing w:before="120"/>
        <w:ind w:right="216"/>
        <w:rPr>
          <w:rFonts w:ascii="Trebuchet MS"/>
          <w:sz w:val="18"/>
        </w:rPr>
      </w:pPr>
      <w:proofErr w:type="gramStart"/>
      <w:r w:rsidRPr="00EF6C3B">
        <w:rPr>
          <w:rFonts w:ascii="Trebuchet MS"/>
          <w:sz w:val="18"/>
        </w:rPr>
        <w:t xml:space="preserve">The Republic of Cyprus is </w:t>
      </w:r>
      <w:proofErr w:type="spellStart"/>
      <w:r w:rsidRPr="00EF6C3B">
        <w:rPr>
          <w:rFonts w:ascii="Trebuchet MS"/>
          <w:sz w:val="18"/>
        </w:rPr>
        <w:t>recognised</w:t>
      </w:r>
      <w:proofErr w:type="spellEnd"/>
      <w:r w:rsidRPr="00EF6C3B">
        <w:rPr>
          <w:rFonts w:ascii="Trebuchet MS"/>
          <w:sz w:val="18"/>
        </w:rPr>
        <w:t xml:space="preserve"> by all members of the United Nations with the exception of Turkey</w:t>
      </w:r>
      <w:proofErr w:type="gramEnd"/>
      <w:r w:rsidRPr="00EF6C3B">
        <w:rPr>
          <w:rFonts w:ascii="Trebuchet MS"/>
          <w:sz w:val="18"/>
        </w:rPr>
        <w:t>. The information in this document relates to the area under the effective control of the Government of the Republic of Cyprus.</w:t>
      </w:r>
      <w:r>
        <w:rPr>
          <w:rFonts w:ascii="Trebuchet MS"/>
          <w:sz w:val="18"/>
        </w:rPr>
        <w:t>”</w:t>
      </w:r>
    </w:p>
    <w:p w:rsidR="00EB74E5" w:rsidRPr="00EF6C3B" w:rsidRDefault="00EB74E5" w:rsidP="00EB74E5">
      <w:pPr>
        <w:spacing w:before="120"/>
        <w:ind w:right="216"/>
        <w:rPr>
          <w:rFonts w:ascii="Trebuchet MS"/>
          <w:sz w:val="18"/>
        </w:rPr>
      </w:pPr>
    </w:p>
    <w:p w:rsidR="00EB74E5" w:rsidRPr="00EF6C3B" w:rsidRDefault="00EB74E5" w:rsidP="00EB74E5">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EB74E5" w:rsidRPr="00EF6C3B" w:rsidTr="00C916AB">
        <w:trPr>
          <w:trHeight w:val="279"/>
        </w:trPr>
        <w:tc>
          <w:tcPr>
            <w:tcW w:w="2482" w:type="dxa"/>
            <w:shd w:val="clear" w:color="auto" w:fill="DBE5F1"/>
          </w:tcPr>
          <w:p w:rsidR="00EB74E5" w:rsidRPr="00EF6C3B" w:rsidRDefault="00EB74E5" w:rsidP="00C916A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GREECE</w:t>
            </w:r>
          </w:p>
        </w:tc>
        <w:tc>
          <w:tcPr>
            <w:tcW w:w="1438" w:type="dxa"/>
          </w:tcPr>
          <w:p w:rsidR="00EB74E5" w:rsidRPr="00EF6C3B" w:rsidRDefault="00EB74E5" w:rsidP="00C916A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SWITZERLAND</w:t>
            </w:r>
          </w:p>
        </w:tc>
        <w:tc>
          <w:tcPr>
            <w:tcW w:w="1143" w:type="dxa"/>
          </w:tcPr>
          <w:p w:rsidR="00EB74E5" w:rsidRPr="00EF6C3B" w:rsidRDefault="00EB74E5" w:rsidP="00C916AB">
            <w:pPr>
              <w:widowControl w:val="0"/>
              <w:autoSpaceDE w:val="0"/>
              <w:autoSpaceDN w:val="0"/>
              <w:spacing w:before="28" w:line="232"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HUNGARY</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TUNISIA</w:t>
            </w:r>
          </w:p>
        </w:tc>
        <w:tc>
          <w:tcPr>
            <w:tcW w:w="1143" w:type="dxa"/>
          </w:tcPr>
          <w:p w:rsidR="00EB74E5" w:rsidRPr="00EF6C3B" w:rsidRDefault="00EB74E5" w:rsidP="00C916AB">
            <w:pPr>
              <w:widowControl w:val="0"/>
              <w:autoSpaceDE w:val="0"/>
              <w:autoSpaceDN w:val="0"/>
              <w:spacing w:before="20"/>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ICELAND</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TURKEY</w:t>
            </w:r>
          </w:p>
        </w:tc>
        <w:tc>
          <w:tcPr>
            <w:tcW w:w="1143" w:type="dxa"/>
          </w:tcPr>
          <w:p w:rsidR="00EB74E5" w:rsidRPr="00EF6C3B" w:rsidRDefault="00EB74E5" w:rsidP="00C916AB">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INDIA</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UGANDA</w:t>
            </w:r>
          </w:p>
        </w:tc>
        <w:tc>
          <w:tcPr>
            <w:tcW w:w="1143" w:type="dxa"/>
          </w:tcPr>
          <w:p w:rsidR="00EB74E5" w:rsidRPr="00EF6C3B" w:rsidRDefault="00EB74E5" w:rsidP="00C916AB">
            <w:pPr>
              <w:widowControl w:val="0"/>
              <w:autoSpaceDE w:val="0"/>
              <w:autoSpaceDN w:val="0"/>
              <w:spacing w:before="19"/>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IRAN</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UKRAINE</w:t>
            </w:r>
          </w:p>
        </w:tc>
        <w:tc>
          <w:tcPr>
            <w:tcW w:w="1143" w:type="dxa"/>
          </w:tcPr>
          <w:p w:rsidR="00EB74E5" w:rsidRPr="00EF6C3B" w:rsidRDefault="00EB74E5" w:rsidP="00C916AB">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59"/>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IRELAND</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KINGDOM</w:t>
            </w:r>
          </w:p>
        </w:tc>
        <w:tc>
          <w:tcPr>
            <w:tcW w:w="1143" w:type="dxa"/>
          </w:tcPr>
          <w:p w:rsidR="00EB74E5" w:rsidRPr="00EF6C3B" w:rsidRDefault="00EB74E5" w:rsidP="00C916AB">
            <w:pPr>
              <w:widowControl w:val="0"/>
              <w:autoSpaceDE w:val="0"/>
              <w:autoSpaceDN w:val="0"/>
              <w:spacing w:before="19" w:line="220"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84"/>
        </w:trPr>
        <w:tc>
          <w:tcPr>
            <w:tcW w:w="2482" w:type="dxa"/>
            <w:shd w:val="clear" w:color="auto" w:fill="DBE5F1"/>
          </w:tcPr>
          <w:p w:rsidR="00EB74E5" w:rsidRPr="00EF6C3B" w:rsidRDefault="00EB74E5" w:rsidP="00C916AB">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ISRAEL</w:t>
            </w:r>
          </w:p>
        </w:tc>
        <w:tc>
          <w:tcPr>
            <w:tcW w:w="1438" w:type="dxa"/>
          </w:tcPr>
          <w:p w:rsidR="00EB74E5" w:rsidRPr="00EF6C3B" w:rsidRDefault="00EB74E5" w:rsidP="00C916AB">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STATES</w:t>
            </w:r>
          </w:p>
        </w:tc>
        <w:tc>
          <w:tcPr>
            <w:tcW w:w="1143" w:type="dxa"/>
          </w:tcPr>
          <w:p w:rsidR="00EB74E5" w:rsidRPr="00EF6C3B" w:rsidRDefault="00EB74E5" w:rsidP="00C916AB">
            <w:pPr>
              <w:widowControl w:val="0"/>
              <w:autoSpaceDE w:val="0"/>
              <w:autoSpaceDN w:val="0"/>
              <w:spacing w:before="31"/>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B74E5" w:rsidRPr="00EF6C3B" w:rsidTr="00C916AB">
        <w:trPr>
          <w:trHeight w:val="272"/>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ITALY</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URUGUAY</w:t>
            </w:r>
          </w:p>
        </w:tc>
        <w:tc>
          <w:tcPr>
            <w:tcW w:w="1143" w:type="dxa"/>
          </w:tcPr>
          <w:p w:rsidR="00EB74E5" w:rsidRPr="00EF6C3B" w:rsidRDefault="00EB74E5" w:rsidP="00C916AB">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64"/>
        </w:trPr>
        <w:tc>
          <w:tcPr>
            <w:tcW w:w="2482" w:type="dxa"/>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JAPAN</w:t>
            </w:r>
          </w:p>
        </w:tc>
        <w:tc>
          <w:tcPr>
            <w:tcW w:w="1438" w:type="dxa"/>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tcBorders>
              <w:bottom w:val="single" w:sz="8" w:space="0" w:color="000000"/>
            </w:tcBorders>
            <w:shd w:val="clear" w:color="auto" w:fill="DBE5F1"/>
          </w:tcPr>
          <w:p w:rsidR="00EB74E5" w:rsidRPr="00EF6C3B" w:rsidRDefault="00EB74E5" w:rsidP="00C916A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ZIMBABWE</w:t>
            </w:r>
          </w:p>
        </w:tc>
        <w:tc>
          <w:tcPr>
            <w:tcW w:w="1143" w:type="dxa"/>
            <w:tcBorders>
              <w:bottom w:val="single" w:sz="8" w:space="0" w:color="000000"/>
            </w:tcBorders>
          </w:tcPr>
          <w:p w:rsidR="00EB74E5" w:rsidRPr="00EF6C3B" w:rsidRDefault="00EB74E5" w:rsidP="00C916AB">
            <w:pPr>
              <w:widowControl w:val="0"/>
              <w:autoSpaceDE w:val="0"/>
              <w:autoSpaceDN w:val="0"/>
              <w:spacing w:before="19" w:line="225"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B74E5" w:rsidRPr="00EF6C3B" w:rsidTr="00C916AB">
        <w:trPr>
          <w:trHeight w:val="256"/>
        </w:trPr>
        <w:tc>
          <w:tcPr>
            <w:tcW w:w="2482" w:type="dxa"/>
            <w:shd w:val="clear" w:color="auto" w:fill="DBE5F1"/>
          </w:tcPr>
          <w:p w:rsidR="00EB74E5" w:rsidRPr="00EF6C3B" w:rsidRDefault="00EB74E5" w:rsidP="00C916A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KENYA</w:t>
            </w:r>
          </w:p>
        </w:tc>
        <w:tc>
          <w:tcPr>
            <w:tcW w:w="1438" w:type="dxa"/>
          </w:tcPr>
          <w:p w:rsidR="00EB74E5" w:rsidRPr="00EF6C3B" w:rsidRDefault="00EB74E5" w:rsidP="00C916A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tcPr>
          <w:p w:rsidR="00EB74E5" w:rsidRPr="00EF6C3B" w:rsidRDefault="00EB74E5" w:rsidP="00C916AB">
            <w:pPr>
              <w:widowControl w:val="0"/>
              <w:autoSpaceDE w:val="0"/>
              <w:autoSpaceDN w:val="0"/>
              <w:jc w:val="left"/>
              <w:rPr>
                <w:rFonts w:ascii="Times New Roman" w:eastAsia="Trebuchet MS" w:hAnsi="Trebuchet MS" w:cs="Trebuchet MS"/>
                <w:sz w:val="18"/>
                <w:szCs w:val="22"/>
                <w:lang w:val="en-GB" w:eastAsia="en-GB" w:bidi="en-GB"/>
              </w:rPr>
            </w:pPr>
          </w:p>
        </w:tc>
        <w:tc>
          <w:tcPr>
            <w:tcW w:w="1143" w:type="dxa"/>
            <w:tcBorders>
              <w:top w:val="single" w:sz="8" w:space="0" w:color="000000"/>
            </w:tcBorders>
          </w:tcPr>
          <w:p w:rsidR="00EB74E5" w:rsidRPr="00EF6C3B" w:rsidRDefault="00EB74E5" w:rsidP="00C916AB">
            <w:pPr>
              <w:widowControl w:val="0"/>
              <w:autoSpaceDE w:val="0"/>
              <w:autoSpaceDN w:val="0"/>
              <w:jc w:val="left"/>
              <w:rPr>
                <w:rFonts w:ascii="Times New Roman" w:eastAsia="Trebuchet MS" w:hAnsi="Trebuchet MS" w:cs="Trebuchet MS"/>
                <w:sz w:val="18"/>
                <w:szCs w:val="22"/>
                <w:lang w:val="en-GB" w:eastAsia="en-GB" w:bidi="en-GB"/>
              </w:rPr>
            </w:pPr>
          </w:p>
        </w:tc>
      </w:tr>
      <w:tr w:rsidR="00EB74E5" w:rsidRPr="00EF6C3B" w:rsidTr="00C916AB">
        <w:trPr>
          <w:trHeight w:val="249"/>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KYRGYZSTAN</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 OECD Member Country</w:t>
            </w:r>
          </w:p>
        </w:tc>
        <w:tc>
          <w:tcPr>
            <w:tcW w:w="1143" w:type="dxa"/>
          </w:tcPr>
          <w:p w:rsidR="00EB74E5" w:rsidRPr="00EF6C3B" w:rsidRDefault="00EB74E5" w:rsidP="00C916AB">
            <w:pPr>
              <w:widowControl w:val="0"/>
              <w:autoSpaceDE w:val="0"/>
              <w:autoSpaceDN w:val="0"/>
              <w:jc w:val="left"/>
              <w:rPr>
                <w:rFonts w:ascii="Times New Roman" w:eastAsia="Trebuchet MS" w:hAnsi="Trebuchet MS" w:cs="Trebuchet MS"/>
                <w:sz w:val="18"/>
                <w:szCs w:val="22"/>
                <w:lang w:val="en-GB" w:eastAsia="en-GB" w:bidi="en-GB"/>
              </w:rPr>
            </w:pPr>
          </w:p>
        </w:tc>
      </w:tr>
      <w:tr w:rsidR="00EB74E5" w:rsidRPr="00EF6C3B" w:rsidTr="00C916AB">
        <w:trPr>
          <w:trHeight w:val="249"/>
        </w:trPr>
        <w:tc>
          <w:tcPr>
            <w:tcW w:w="2482" w:type="dxa"/>
            <w:shd w:val="clear" w:color="auto" w:fill="DBE5F1"/>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LATVIA</w:t>
            </w:r>
          </w:p>
        </w:tc>
        <w:tc>
          <w:tcPr>
            <w:tcW w:w="1438" w:type="dxa"/>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4022" w:type="dxa"/>
            <w:gridSpan w:val="2"/>
          </w:tcPr>
          <w:p w:rsidR="00EB74E5" w:rsidRPr="00EF6C3B" w:rsidRDefault="00EB74E5" w:rsidP="00C916A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 Non OECD Member Country</w:t>
            </w:r>
          </w:p>
        </w:tc>
      </w:tr>
    </w:tbl>
    <w:p w:rsidR="00EB74E5" w:rsidRPr="00EF6C3B" w:rsidRDefault="00EB74E5" w:rsidP="00EB74E5">
      <w:pPr>
        <w:rPr>
          <w:rFonts w:ascii="Trebuchet MS"/>
        </w:rPr>
      </w:pPr>
    </w:p>
    <w:p w:rsidR="00EB74E5" w:rsidRPr="00EF6C3B" w:rsidRDefault="00EB74E5" w:rsidP="00EB74E5">
      <w:pPr>
        <w:spacing w:before="5"/>
        <w:rPr>
          <w:rFonts w:ascii="Trebuchet MS"/>
        </w:rPr>
      </w:pPr>
    </w:p>
    <w:p w:rsidR="00EB74E5" w:rsidRPr="00EF6C3B" w:rsidRDefault="00EB74E5" w:rsidP="00EB74E5">
      <w:r w:rsidRPr="00EF6C3B">
        <w:rPr>
          <w:noProof/>
          <w:sz w:val="22"/>
        </w:rPr>
        <mc:AlternateContent>
          <mc:Choice Requires="wpg">
            <w:drawing>
              <wp:anchor distT="0" distB="0" distL="114300" distR="114300" simplePos="0" relativeHeight="251662336" behindDoc="0" locked="0" layoutInCell="1" allowOverlap="1" wp14:anchorId="58F08F1F" wp14:editId="1FAF892E">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9F805C"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EF6C3B">
        <w:t xml:space="preserve">Figure </w:t>
      </w:r>
      <w:proofErr w:type="gramStart"/>
      <w:r w:rsidRPr="00EF6C3B">
        <w:t>1</w:t>
      </w:r>
      <w:proofErr w:type="gramEnd"/>
      <w:r w:rsidRPr="00EF6C3B">
        <w:t xml:space="preserve"> Map of Participating Countries in the OECD Seed Schemes (2016)</w:t>
      </w:r>
    </w:p>
    <w:p w:rsidR="00EB74E5" w:rsidRPr="00EF6C3B" w:rsidRDefault="00EB74E5" w:rsidP="00EB74E5">
      <w:pPr>
        <w:rPr>
          <w:b/>
        </w:rPr>
      </w:pPr>
    </w:p>
    <w:p w:rsidR="00EB74E5" w:rsidRPr="00EF6C3B" w:rsidRDefault="00EB74E5" w:rsidP="00EB74E5">
      <w:pPr>
        <w:spacing w:before="5"/>
        <w:rPr>
          <w:b/>
          <w:sz w:val="15"/>
        </w:rPr>
      </w:pPr>
      <w:r w:rsidRPr="00EF6C3B">
        <w:rPr>
          <w:noProof/>
        </w:rPr>
        <w:drawing>
          <wp:anchor distT="0" distB="0" distL="0" distR="0" simplePos="0" relativeHeight="251660288" behindDoc="0" locked="0" layoutInCell="1" allowOverlap="1" wp14:anchorId="2C2E7949" wp14:editId="0DEFBB9E">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348250" cy="2987040"/>
                    </a:xfrm>
                    <a:prstGeom prst="rect">
                      <a:avLst/>
                    </a:prstGeom>
                  </pic:spPr>
                </pic:pic>
              </a:graphicData>
            </a:graphic>
          </wp:anchor>
        </w:drawing>
      </w:r>
    </w:p>
    <w:p w:rsidR="00EB74E5" w:rsidRPr="00EF6C3B" w:rsidRDefault="00EB74E5" w:rsidP="00EB74E5">
      <w:pPr>
        <w:spacing w:before="11"/>
        <w:rPr>
          <w:b/>
          <w:sz w:val="23"/>
        </w:rPr>
      </w:pPr>
    </w:p>
    <w:p w:rsidR="00EB74E5" w:rsidRPr="00EF6C3B" w:rsidRDefault="00EB74E5" w:rsidP="00EB74E5">
      <w:pPr>
        <w:rPr>
          <w:i/>
        </w:rPr>
      </w:pPr>
      <w:bookmarkStart w:id="28" w:name="Objectives"/>
      <w:bookmarkEnd w:id="28"/>
      <w:r w:rsidRPr="00EF6C3B">
        <w:rPr>
          <w:i/>
        </w:rPr>
        <w:t>Objectives</w:t>
      </w:r>
    </w:p>
    <w:p w:rsidR="00EB74E5" w:rsidRPr="00EF6C3B" w:rsidRDefault="00EB74E5" w:rsidP="00EB74E5">
      <w:pPr>
        <w:spacing w:before="4"/>
        <w:rPr>
          <w:rFonts w:cs="Arial"/>
          <w:b/>
        </w:rPr>
      </w:pPr>
    </w:p>
    <w:p w:rsidR="00EB74E5" w:rsidRPr="00EF6C3B" w:rsidRDefault="00EB74E5" w:rsidP="00EB74E5">
      <w:pPr>
        <w:widowControl w:val="0"/>
        <w:tabs>
          <w:tab w:val="left" w:pos="1069"/>
          <w:tab w:val="left" w:pos="1071"/>
        </w:tabs>
        <w:autoSpaceDE w:val="0"/>
        <w:autoSpaceDN w:val="0"/>
        <w:ind w:right="213"/>
        <w:rPr>
          <w:rFonts w:cs="Arial"/>
          <w:lang w:val="en-GB" w:eastAsia="en-GB" w:bidi="en-GB"/>
        </w:rPr>
      </w:pPr>
      <w:r w:rsidRPr="00EF6C3B">
        <w:rPr>
          <w:rFonts w:cs="Arial"/>
          <w:lang w:val="en-GB" w:eastAsia="en-GB" w:bidi="en-GB"/>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EF6C3B">
        <w:rPr>
          <w:rFonts w:cs="Arial"/>
          <w:spacing w:val="-15"/>
          <w:lang w:val="en-GB" w:eastAsia="en-GB" w:bidi="en-GB"/>
        </w:rPr>
        <w:t xml:space="preserve"> </w:t>
      </w:r>
      <w:r w:rsidRPr="00EF6C3B">
        <w:rPr>
          <w:rFonts w:cs="Arial"/>
          <w:lang w:val="en-GB" w:eastAsia="en-GB" w:bidi="en-GB"/>
        </w:rPr>
        <w:t>purity.</w:t>
      </w:r>
    </w:p>
    <w:p w:rsidR="00EB74E5" w:rsidRPr="00EF6C3B" w:rsidRDefault="00EB74E5" w:rsidP="00EB74E5">
      <w:pPr>
        <w:rPr>
          <w:rFonts w:cs="Arial"/>
        </w:rPr>
      </w:pPr>
    </w:p>
    <w:p w:rsidR="00EB74E5" w:rsidRPr="00EF6C3B" w:rsidRDefault="00EB74E5" w:rsidP="00EB74E5">
      <w:pPr>
        <w:widowControl w:val="0"/>
        <w:tabs>
          <w:tab w:val="left" w:pos="1069"/>
          <w:tab w:val="left" w:pos="1071"/>
        </w:tabs>
        <w:autoSpaceDE w:val="0"/>
        <w:autoSpaceDN w:val="0"/>
        <w:spacing w:before="1"/>
        <w:ind w:right="212"/>
        <w:rPr>
          <w:rFonts w:cs="Arial"/>
          <w:lang w:val="en-GB" w:eastAsia="en-GB" w:bidi="en-GB"/>
        </w:rPr>
      </w:pPr>
      <w:r w:rsidRPr="00EF6C3B">
        <w:rPr>
          <w:rFonts w:cs="Arial"/>
          <w:lang w:val="en-GB" w:eastAsia="en-GB" w:bidi="en-GB"/>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EF6C3B">
        <w:rPr>
          <w:rFonts w:cs="Arial"/>
          <w:spacing w:val="-2"/>
          <w:lang w:val="en-GB" w:eastAsia="en-GB" w:bidi="en-GB"/>
        </w:rPr>
        <w:t xml:space="preserve"> </w:t>
      </w:r>
      <w:r w:rsidRPr="00EF6C3B">
        <w:rPr>
          <w:rFonts w:cs="Arial"/>
          <w:lang w:val="en-GB" w:eastAsia="en-GB" w:bidi="en-GB"/>
        </w:rPr>
        <w:t>tonnes.</w:t>
      </w:r>
    </w:p>
    <w:p w:rsidR="00EB74E5" w:rsidRPr="00EF6C3B" w:rsidRDefault="00EB74E5" w:rsidP="00EB74E5">
      <w:pPr>
        <w:spacing w:before="5"/>
        <w:rPr>
          <w:sz w:val="14"/>
        </w:rPr>
      </w:pPr>
    </w:p>
    <w:p w:rsidR="00EB74E5" w:rsidRPr="00EF6C3B" w:rsidRDefault="00EB74E5" w:rsidP="00EB74E5">
      <w:pPr>
        <w:rPr>
          <w:i/>
        </w:rPr>
      </w:pPr>
      <w:bookmarkStart w:id="29" w:name="How_do_the_Seed_Schemes_operate"/>
      <w:bookmarkEnd w:id="29"/>
      <w:r w:rsidRPr="00EF6C3B">
        <w:rPr>
          <w:i/>
        </w:rPr>
        <w:t xml:space="preserve">How do the Seed Schemes </w:t>
      </w:r>
      <w:proofErr w:type="gramStart"/>
      <w:r w:rsidRPr="00EF6C3B">
        <w:rPr>
          <w:i/>
        </w:rPr>
        <w:t>operate</w:t>
      </w:r>
      <w:proofErr w:type="gramEnd"/>
    </w:p>
    <w:p w:rsidR="00EB74E5" w:rsidRPr="00EF6C3B" w:rsidRDefault="00EB74E5" w:rsidP="00EB74E5">
      <w:pPr>
        <w:spacing w:before="4"/>
        <w:rPr>
          <w:rFonts w:cs="Arial"/>
          <w:b/>
        </w:rPr>
      </w:pPr>
    </w:p>
    <w:p w:rsidR="00EB74E5" w:rsidRPr="00EF6C3B" w:rsidRDefault="00EB74E5" w:rsidP="00EB74E5">
      <w:pPr>
        <w:widowControl w:val="0"/>
        <w:tabs>
          <w:tab w:val="left" w:pos="1069"/>
          <w:tab w:val="left" w:pos="1071"/>
        </w:tabs>
        <w:autoSpaceDE w:val="0"/>
        <w:autoSpaceDN w:val="0"/>
        <w:ind w:right="216"/>
        <w:rPr>
          <w:rFonts w:cs="Arial"/>
          <w:lang w:val="en-GB" w:eastAsia="en-GB" w:bidi="en-GB"/>
        </w:rPr>
      </w:pPr>
      <w:r w:rsidRPr="00EF6C3B">
        <w:rPr>
          <w:rFonts w:cs="Arial"/>
          <w:lang w:val="en-GB" w:eastAsia="en-GB" w:bidi="en-GB"/>
        </w:rPr>
        <w:t xml:space="preserve">The success of international certification depends upon close co-operation between maintainers, seed producers, traders and the designated authority (appointed by the government) in each participating country. </w:t>
      </w:r>
      <w:proofErr w:type="gramStart"/>
      <w:r w:rsidRPr="00EF6C3B">
        <w:rPr>
          <w:rFonts w:cs="Arial"/>
          <w:lang w:val="en-GB" w:eastAsia="en-GB" w:bidi="en-GB"/>
        </w:rPr>
        <w:t>Frequent  meetings</w:t>
      </w:r>
      <w:proofErr w:type="gramEnd"/>
      <w:r w:rsidRPr="00EF6C3B">
        <w:rPr>
          <w:rFonts w:cs="Arial"/>
          <w:lang w:val="en-GB" w:eastAsia="en-GB" w:bidi="en-GB"/>
        </w:rPr>
        <w:t xml:space="preserve"> allow for a multi-stakeholder dialogue to exchange information, discuss case studies, revise rules and update the Schemes. A wide range of international and non-governmental organisations as well as and seed industry networks participate actively in the</w:t>
      </w:r>
      <w:r w:rsidRPr="00EF6C3B">
        <w:rPr>
          <w:rFonts w:cs="Arial"/>
          <w:spacing w:val="-4"/>
          <w:lang w:val="en-GB" w:eastAsia="en-GB" w:bidi="en-GB"/>
        </w:rPr>
        <w:t xml:space="preserve"> </w:t>
      </w:r>
      <w:r w:rsidRPr="00EF6C3B">
        <w:rPr>
          <w:rFonts w:cs="Arial"/>
          <w:lang w:val="en-GB" w:eastAsia="en-GB" w:bidi="en-GB"/>
        </w:rPr>
        <w:t>Schemes.</w:t>
      </w:r>
    </w:p>
    <w:p w:rsidR="00EB74E5" w:rsidRPr="00EF6C3B" w:rsidRDefault="00EB74E5" w:rsidP="00EB74E5">
      <w:pPr>
        <w:spacing w:before="3"/>
        <w:rPr>
          <w:rFonts w:cs="Arial"/>
        </w:rPr>
      </w:pPr>
    </w:p>
    <w:p w:rsidR="00EB74E5" w:rsidRPr="00EF6C3B" w:rsidRDefault="00EB74E5" w:rsidP="00EB74E5">
      <w:pPr>
        <w:rPr>
          <w:i/>
        </w:rPr>
      </w:pPr>
      <w:bookmarkStart w:id="30" w:name="Benefits_of_the_Schemes"/>
      <w:bookmarkEnd w:id="30"/>
      <w:r w:rsidRPr="00EF6C3B">
        <w:rPr>
          <w:i/>
        </w:rPr>
        <w:t>Benefits of the Schemes</w:t>
      </w:r>
    </w:p>
    <w:p w:rsidR="00EB74E5" w:rsidRPr="00EF6C3B" w:rsidRDefault="00EB74E5" w:rsidP="00EB74E5">
      <w:pPr>
        <w:spacing w:before="5"/>
        <w:rPr>
          <w:rFonts w:cs="Arial"/>
          <w:b/>
        </w:rPr>
      </w:pPr>
    </w:p>
    <w:p w:rsidR="00EB74E5" w:rsidRPr="00EF6C3B" w:rsidRDefault="00EB74E5" w:rsidP="00EB74E5">
      <w:pPr>
        <w:widowControl w:val="0"/>
        <w:numPr>
          <w:ilvl w:val="1"/>
          <w:numId w:val="13"/>
        </w:numPr>
        <w:tabs>
          <w:tab w:val="left" w:pos="1071"/>
        </w:tabs>
        <w:autoSpaceDE w:val="0"/>
        <w:autoSpaceDN w:val="0"/>
        <w:ind w:right="219"/>
        <w:rPr>
          <w:rFonts w:cs="Arial"/>
          <w:lang w:val="en-GB" w:eastAsia="en-GB" w:bidi="en-GB"/>
        </w:rPr>
      </w:pPr>
      <w:r w:rsidRPr="00EF6C3B">
        <w:rPr>
          <w:rFonts w:cs="Arial"/>
          <w:lang w:val="en-GB" w:eastAsia="en-GB" w:bidi="en-GB"/>
        </w:rPr>
        <w:t xml:space="preserve">To facilitate international trade by using harmonised certification procedures, crop inspection techniques and use of control plots. The varietal purity standards for the appropriate species </w:t>
      </w:r>
      <w:proofErr w:type="gramStart"/>
      <w:r w:rsidRPr="00EF6C3B">
        <w:rPr>
          <w:rFonts w:cs="Arial"/>
          <w:lang w:val="en-GB" w:eastAsia="en-GB" w:bidi="en-GB"/>
        </w:rPr>
        <w:t>are also agreed and standardised by all member states</w:t>
      </w:r>
      <w:proofErr w:type="gramEnd"/>
      <w:r w:rsidRPr="00EF6C3B">
        <w:rPr>
          <w:rFonts w:cs="Arial"/>
          <w:lang w:val="en-GB" w:eastAsia="en-GB" w:bidi="en-GB"/>
        </w:rPr>
        <w:t>.</w:t>
      </w:r>
    </w:p>
    <w:p w:rsidR="00EB74E5" w:rsidRPr="00EF6C3B" w:rsidRDefault="00EB74E5" w:rsidP="00EB74E5">
      <w:pPr>
        <w:widowControl w:val="0"/>
        <w:numPr>
          <w:ilvl w:val="1"/>
          <w:numId w:val="13"/>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provide a framework to develop seed production with other countries or</w:t>
      </w:r>
      <w:r w:rsidRPr="00EF6C3B">
        <w:rPr>
          <w:rFonts w:cs="Arial"/>
          <w:spacing w:val="-12"/>
          <w:lang w:val="en-GB" w:eastAsia="en-GB" w:bidi="en-GB"/>
        </w:rPr>
        <w:t xml:space="preserve"> </w:t>
      </w:r>
      <w:r w:rsidRPr="00EF6C3B">
        <w:rPr>
          <w:rFonts w:cs="Arial"/>
          <w:lang w:val="en-GB" w:eastAsia="en-GB" w:bidi="en-GB"/>
        </w:rPr>
        <w:t>companies.</w:t>
      </w:r>
    </w:p>
    <w:p w:rsidR="00EB74E5" w:rsidRPr="00EF6C3B" w:rsidRDefault="00EB74E5" w:rsidP="00EB74E5">
      <w:pPr>
        <w:widowControl w:val="0"/>
        <w:numPr>
          <w:ilvl w:val="1"/>
          <w:numId w:val="13"/>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participate in the elaboration of international rules for seed</w:t>
      </w:r>
      <w:r w:rsidRPr="00EF6C3B">
        <w:rPr>
          <w:rFonts w:cs="Arial"/>
          <w:spacing w:val="-15"/>
          <w:lang w:val="en-GB" w:eastAsia="en-GB" w:bidi="en-GB"/>
        </w:rPr>
        <w:t xml:space="preserve"> </w:t>
      </w:r>
      <w:r w:rsidRPr="00EF6C3B">
        <w:rPr>
          <w:rFonts w:cs="Arial"/>
          <w:lang w:val="en-GB" w:eastAsia="en-GB" w:bidi="en-GB"/>
        </w:rPr>
        <w:t>certification.</w:t>
      </w:r>
    </w:p>
    <w:p w:rsidR="00EB74E5" w:rsidRPr="00EF6C3B" w:rsidRDefault="00EB74E5" w:rsidP="00EB74E5">
      <w:pPr>
        <w:widowControl w:val="0"/>
        <w:numPr>
          <w:ilvl w:val="1"/>
          <w:numId w:val="13"/>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develop collaboration between the public and private</w:t>
      </w:r>
      <w:r w:rsidRPr="00EF6C3B">
        <w:rPr>
          <w:rFonts w:cs="Arial"/>
          <w:spacing w:val="-10"/>
          <w:lang w:val="en-GB" w:eastAsia="en-GB" w:bidi="en-GB"/>
        </w:rPr>
        <w:t xml:space="preserve"> </w:t>
      </w:r>
      <w:r w:rsidRPr="00EF6C3B">
        <w:rPr>
          <w:rFonts w:cs="Arial"/>
          <w:lang w:val="en-GB" w:eastAsia="en-GB" w:bidi="en-GB"/>
        </w:rPr>
        <w:t>sectors.</w:t>
      </w:r>
    </w:p>
    <w:p w:rsidR="00EB74E5" w:rsidRPr="00EF6C3B" w:rsidRDefault="00EB74E5" w:rsidP="00EB74E5">
      <w:pPr>
        <w:widowControl w:val="0"/>
        <w:numPr>
          <w:ilvl w:val="1"/>
          <w:numId w:val="13"/>
        </w:numPr>
        <w:tabs>
          <w:tab w:val="left" w:pos="1071"/>
        </w:tabs>
        <w:autoSpaceDE w:val="0"/>
        <w:autoSpaceDN w:val="0"/>
        <w:ind w:right="225"/>
        <w:rPr>
          <w:rFonts w:cs="Arial"/>
          <w:lang w:val="en-GB" w:eastAsia="en-GB" w:bidi="en-GB"/>
        </w:rPr>
      </w:pPr>
      <w:r w:rsidRPr="00EF6C3B">
        <w:rPr>
          <w:rFonts w:cs="Arial"/>
          <w:lang w:val="en-GB" w:eastAsia="en-GB" w:bidi="en-GB"/>
        </w:rPr>
        <w:t>To benefit from regular exchanges of information with other national certification agencies and Observer organisations.</w:t>
      </w:r>
    </w:p>
    <w:p w:rsidR="00EB74E5" w:rsidRPr="00EF6C3B" w:rsidRDefault="00EB74E5" w:rsidP="00EB74E5">
      <w:pPr>
        <w:spacing w:before="5"/>
        <w:rPr>
          <w:rFonts w:cs="Arial"/>
        </w:rPr>
      </w:pPr>
    </w:p>
    <w:p w:rsidR="00EB74E5" w:rsidRPr="00EF6C3B" w:rsidRDefault="00EB74E5" w:rsidP="00EB74E5">
      <w:pPr>
        <w:rPr>
          <w:i/>
        </w:rPr>
      </w:pPr>
      <w:bookmarkStart w:id="31" w:name="Annual_List_of_Varieties"/>
      <w:bookmarkEnd w:id="31"/>
      <w:r w:rsidRPr="00EF6C3B">
        <w:rPr>
          <w:i/>
        </w:rPr>
        <w:t>Annual List of Varieties</w:t>
      </w:r>
    </w:p>
    <w:p w:rsidR="00EB74E5" w:rsidRPr="00EF6C3B" w:rsidRDefault="00EB74E5" w:rsidP="00EB74E5">
      <w:pPr>
        <w:spacing w:before="4"/>
        <w:rPr>
          <w:rFonts w:cs="Arial"/>
          <w:b/>
        </w:rPr>
      </w:pPr>
    </w:p>
    <w:p w:rsidR="00EB74E5" w:rsidRPr="00EF6C3B" w:rsidRDefault="00EB74E5" w:rsidP="00EB74E5">
      <w:pPr>
        <w:widowControl w:val="0"/>
        <w:tabs>
          <w:tab w:val="left" w:pos="1127"/>
          <w:tab w:val="left" w:pos="1128"/>
        </w:tabs>
        <w:autoSpaceDE w:val="0"/>
        <w:autoSpaceDN w:val="0"/>
        <w:ind w:right="216"/>
        <w:rPr>
          <w:rFonts w:cs="Arial"/>
          <w:lang w:val="en-GB" w:eastAsia="en-GB" w:bidi="en-GB"/>
        </w:rPr>
      </w:pPr>
      <w:r w:rsidRPr="00EF6C3B">
        <w:rPr>
          <w:rFonts w:cs="Arial"/>
          <w:w w:val="105"/>
          <w:lang w:val="en-GB" w:eastAsia="en-GB" w:bidi="en-GB"/>
        </w:rPr>
        <w:t xml:space="preserve">The Annual List of Varieties eligible for OECD certification includes </w:t>
      </w:r>
      <w:proofErr w:type="gramStart"/>
      <w:r w:rsidRPr="00EF6C3B">
        <w:rPr>
          <w:rFonts w:cs="Arial"/>
          <w:w w:val="105"/>
          <w:lang w:val="en-GB" w:eastAsia="en-GB" w:bidi="en-GB"/>
        </w:rPr>
        <w:t>varieties which</w:t>
      </w:r>
      <w:proofErr w:type="gramEnd"/>
      <w:r w:rsidRPr="00EF6C3B">
        <w:rPr>
          <w:rFonts w:cs="Arial"/>
          <w:w w:val="105"/>
          <w:lang w:val="en-GB" w:eastAsia="en-GB" w:bidi="en-GB"/>
        </w:rPr>
        <w:t xml:space="preserve">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EF6C3B">
        <w:rPr>
          <w:rFonts w:cs="Arial"/>
          <w:spacing w:val="16"/>
          <w:w w:val="105"/>
          <w:lang w:val="en-GB" w:eastAsia="en-GB" w:bidi="en-GB"/>
        </w:rPr>
        <w:t xml:space="preserve"> </w:t>
      </w:r>
      <w:r w:rsidRPr="00EF6C3B">
        <w:rPr>
          <w:rFonts w:cs="Arial"/>
          <w:w w:val="105"/>
          <w:lang w:val="en-GB" w:eastAsia="en-GB" w:bidi="en-GB"/>
        </w:rPr>
        <w:t>frequently.</w:t>
      </w:r>
    </w:p>
    <w:p w:rsidR="00EB74E5" w:rsidRPr="00EF6C3B" w:rsidRDefault="00EB74E5" w:rsidP="00EB74E5">
      <w:pPr>
        <w:spacing w:before="4"/>
        <w:rPr>
          <w:rFonts w:cs="Arial"/>
        </w:rPr>
      </w:pPr>
    </w:p>
    <w:p w:rsidR="00EB74E5" w:rsidRPr="00EF6C3B" w:rsidRDefault="00EB74E5" w:rsidP="00EB74E5">
      <w:pPr>
        <w:rPr>
          <w:i/>
        </w:rPr>
      </w:pPr>
      <w:bookmarkStart w:id="32" w:name="Outlook"/>
      <w:bookmarkEnd w:id="32"/>
      <w:r w:rsidRPr="00EF6C3B">
        <w:rPr>
          <w:i/>
        </w:rPr>
        <w:t>Outlook</w:t>
      </w:r>
    </w:p>
    <w:p w:rsidR="00EB74E5" w:rsidRPr="00EF6C3B" w:rsidRDefault="00EB74E5" w:rsidP="00EB74E5">
      <w:pPr>
        <w:spacing w:before="6"/>
        <w:rPr>
          <w:rFonts w:cs="Arial"/>
          <w:b/>
        </w:rPr>
      </w:pPr>
    </w:p>
    <w:p w:rsidR="00EB74E5" w:rsidRPr="00EF6C3B" w:rsidRDefault="00EB74E5" w:rsidP="00EB74E5">
      <w:pPr>
        <w:widowControl w:val="0"/>
        <w:tabs>
          <w:tab w:val="left" w:pos="1069"/>
          <w:tab w:val="left" w:pos="1071"/>
        </w:tabs>
        <w:autoSpaceDE w:val="0"/>
        <w:autoSpaceDN w:val="0"/>
        <w:spacing w:before="1"/>
        <w:ind w:right="223"/>
        <w:rPr>
          <w:rFonts w:cs="Arial"/>
          <w:lang w:val="en-GB" w:eastAsia="en-GB" w:bidi="en-GB"/>
        </w:rPr>
      </w:pPr>
      <w:r w:rsidRPr="00EF6C3B">
        <w:rPr>
          <w:rFonts w:cs="Arial"/>
          <w:lang w:val="en-GB" w:eastAsia="en-GB" w:bidi="en-GB"/>
        </w:rPr>
        <w:t>As seed “consumers” become more demanding, there are greater needs for uniform seed standards, while at the same time public financial resources for regulation and quality control are</w:t>
      </w:r>
      <w:r w:rsidRPr="00EF6C3B">
        <w:rPr>
          <w:rFonts w:cs="Arial"/>
          <w:spacing w:val="-9"/>
          <w:lang w:val="en-GB" w:eastAsia="en-GB" w:bidi="en-GB"/>
        </w:rPr>
        <w:t xml:space="preserve"> </w:t>
      </w:r>
      <w:r w:rsidRPr="00EF6C3B">
        <w:rPr>
          <w:rFonts w:cs="Arial"/>
          <w:lang w:val="en-GB" w:eastAsia="en-GB" w:bidi="en-GB"/>
        </w:rPr>
        <w:t>limited.</w:t>
      </w:r>
    </w:p>
    <w:p w:rsidR="00EB74E5" w:rsidRPr="00EF6C3B" w:rsidRDefault="00EB74E5" w:rsidP="00EB74E5">
      <w:pPr>
        <w:spacing w:before="8"/>
        <w:rPr>
          <w:rFonts w:cs="Arial"/>
        </w:rPr>
      </w:pPr>
    </w:p>
    <w:p w:rsidR="00EB74E5" w:rsidRPr="00EF6C3B" w:rsidRDefault="00EB74E5" w:rsidP="00EB74E5">
      <w:pPr>
        <w:widowControl w:val="0"/>
        <w:tabs>
          <w:tab w:val="left" w:pos="1069"/>
          <w:tab w:val="left" w:pos="1071"/>
        </w:tabs>
        <w:autoSpaceDE w:val="0"/>
        <w:autoSpaceDN w:val="0"/>
        <w:ind w:right="214"/>
        <w:rPr>
          <w:rFonts w:cs="Arial"/>
          <w:lang w:val="en-GB" w:eastAsia="en-GB" w:bidi="en-GB"/>
        </w:rPr>
      </w:pPr>
      <w:r w:rsidRPr="00EF6C3B">
        <w:rPr>
          <w:rFonts w:cs="Arial"/>
          <w:lang w:val="en-GB" w:eastAsia="en-GB" w:bidi="en-GB"/>
        </w:rPr>
        <w:t>Co-operation among countries and stakeholders in the framework of the Schemes is a response to the concern for a market-responsive regulatory approach</w:t>
      </w:r>
      <w:r w:rsidRPr="00EF6C3B">
        <w:rPr>
          <w:rFonts w:cs="Arial"/>
          <w:i/>
          <w:lang w:val="en-GB" w:eastAsia="en-GB" w:bidi="en-GB"/>
        </w:rPr>
        <w:t xml:space="preserve">. </w:t>
      </w:r>
      <w:r w:rsidRPr="00EF6C3B">
        <w:rPr>
          <w:rFonts w:cs="Arial"/>
          <w:lang w:val="en-GB" w:eastAsia="en-GB" w:bidi="en-GB"/>
        </w:rPr>
        <w:t xml:space="preserve">Every country is confronted with a different legal framework, institutional barriers and trade relations whilst the different approaches must remain consistent between countries </w:t>
      </w:r>
      <w:proofErr w:type="gramStart"/>
      <w:r w:rsidRPr="00EF6C3B">
        <w:rPr>
          <w:rFonts w:cs="Arial"/>
          <w:lang w:val="en-GB" w:eastAsia="en-GB" w:bidi="en-GB"/>
        </w:rPr>
        <w:t>entering  international</w:t>
      </w:r>
      <w:proofErr w:type="gramEnd"/>
      <w:r w:rsidRPr="00EF6C3B">
        <w:rPr>
          <w:rFonts w:cs="Arial"/>
          <w:lang w:val="en-GB" w:eastAsia="en-GB" w:bidi="en-GB"/>
        </w:rPr>
        <w:t xml:space="preserve"> markets as importers or exporters of</w:t>
      </w:r>
      <w:r w:rsidRPr="00EF6C3B">
        <w:rPr>
          <w:rFonts w:cs="Arial"/>
          <w:spacing w:val="-6"/>
          <w:lang w:val="en-GB" w:eastAsia="en-GB" w:bidi="en-GB"/>
        </w:rPr>
        <w:t xml:space="preserve"> </w:t>
      </w:r>
      <w:r w:rsidRPr="00EF6C3B">
        <w:rPr>
          <w:rFonts w:cs="Arial"/>
          <w:lang w:val="en-GB" w:eastAsia="en-GB" w:bidi="en-GB"/>
        </w:rPr>
        <w:t>seed.</w:t>
      </w:r>
    </w:p>
    <w:p w:rsidR="00EB74E5" w:rsidRPr="00EF6C3B" w:rsidRDefault="00EB74E5" w:rsidP="00EB74E5">
      <w:pPr>
        <w:spacing w:before="10"/>
        <w:rPr>
          <w:rFonts w:cs="Arial"/>
        </w:rPr>
      </w:pPr>
    </w:p>
    <w:p w:rsidR="00EB74E5" w:rsidRPr="00EF6C3B" w:rsidRDefault="00EB74E5" w:rsidP="00EB74E5">
      <w:pPr>
        <w:widowControl w:val="0"/>
        <w:tabs>
          <w:tab w:val="left" w:pos="1069"/>
          <w:tab w:val="left" w:pos="1071"/>
        </w:tabs>
        <w:autoSpaceDE w:val="0"/>
        <w:autoSpaceDN w:val="0"/>
        <w:spacing w:before="1"/>
        <w:ind w:right="217"/>
        <w:rPr>
          <w:rFonts w:cs="Arial"/>
          <w:lang w:val="en-GB" w:eastAsia="en-GB" w:bidi="en-GB"/>
        </w:rPr>
      </w:pPr>
      <w:r w:rsidRPr="00EF6C3B">
        <w:rPr>
          <w:rFonts w:cs="Arial"/>
          <w:lang w:val="en-GB" w:eastAsia="en-GB" w:bidi="en-GB"/>
        </w:rPr>
        <w:t xml:space="preserve">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w:t>
      </w:r>
      <w:proofErr w:type="gramStart"/>
      <w:r w:rsidRPr="00EF6C3B">
        <w:rPr>
          <w:rFonts w:cs="Arial"/>
          <w:lang w:val="en-GB" w:eastAsia="en-GB" w:bidi="en-GB"/>
        </w:rPr>
        <w:t>defined</w:t>
      </w:r>
      <w:proofErr w:type="gramEnd"/>
      <w:r w:rsidRPr="00EF6C3B">
        <w:rPr>
          <w:rFonts w:cs="Arial"/>
          <w:lang w:val="en-GB" w:eastAsia="en-GB" w:bidi="en-GB"/>
        </w:rPr>
        <w:t>, endorsed and enforced when multiplying seed in large quantities for the trade. The OECD Seed Schemes provide this legal framework at international level.</w:t>
      </w:r>
    </w:p>
    <w:p w:rsidR="00EB74E5" w:rsidRPr="00EF6C3B" w:rsidRDefault="00EB74E5" w:rsidP="00EB74E5">
      <w:pPr>
        <w:widowControl w:val="0"/>
        <w:tabs>
          <w:tab w:val="left" w:pos="1069"/>
          <w:tab w:val="left" w:pos="1071"/>
        </w:tabs>
        <w:autoSpaceDE w:val="0"/>
        <w:autoSpaceDN w:val="0"/>
        <w:spacing w:before="1"/>
        <w:ind w:left="220" w:right="217"/>
        <w:rPr>
          <w:rFonts w:cs="Arial"/>
          <w:lang w:val="en-GB" w:eastAsia="en-GB" w:bidi="en-GB"/>
        </w:rPr>
      </w:pPr>
    </w:p>
    <w:p w:rsidR="00EB74E5" w:rsidRPr="00EF6C3B" w:rsidRDefault="00EB74E5" w:rsidP="00EB74E5">
      <w:pPr>
        <w:rPr>
          <w:i/>
        </w:rPr>
      </w:pPr>
      <w:r w:rsidRPr="00EF6C3B">
        <w:rPr>
          <w:i/>
          <w:lang w:val="en-GB"/>
        </w:rPr>
        <w:t xml:space="preserve">Status of Biochemical and Molecular Techniques </w:t>
      </w:r>
      <w:r w:rsidRPr="00EF6C3B">
        <w:rPr>
          <w:i/>
          <w:spacing w:val="-3"/>
        </w:rPr>
        <w:t xml:space="preserve">(BMT) </w:t>
      </w:r>
      <w:r w:rsidRPr="00EF6C3B">
        <w:rPr>
          <w:i/>
        </w:rPr>
        <w:t>in the OECD Seed Schemes</w:t>
      </w:r>
    </w:p>
    <w:p w:rsidR="00EB74E5" w:rsidRPr="00EF6C3B" w:rsidRDefault="00EB74E5" w:rsidP="00EB74E5">
      <w:pPr>
        <w:ind w:right="556"/>
      </w:pPr>
    </w:p>
    <w:p w:rsidR="00EB74E5" w:rsidRPr="00EF6C3B" w:rsidRDefault="00EB74E5" w:rsidP="00EB74E5">
      <w:pPr>
        <w:spacing w:line="247" w:lineRule="exact"/>
      </w:pPr>
      <w:r w:rsidRPr="00EF6C3B">
        <w:t xml:space="preserve">The OECD Seed Schemes do not specifically endorse any laboratory method for determining varietal identity or for determining varietal purity. The traditional OECD methods of using field inspection techniques together with pre- and post- control plots are to </w:t>
      </w:r>
      <w:proofErr w:type="gramStart"/>
      <w:r w:rsidRPr="00EF6C3B">
        <w:t>be regarded</w:t>
      </w:r>
      <w:proofErr w:type="gramEnd"/>
      <w:r w:rsidRPr="00EF6C3B">
        <w:t xml:space="preserve"> as the required methods of determining varietal identity and varietal purity.</w:t>
      </w:r>
    </w:p>
    <w:p w:rsidR="00EB74E5" w:rsidRPr="00EF6C3B" w:rsidRDefault="00EB74E5" w:rsidP="00EB74E5">
      <w:pPr>
        <w:spacing w:line="247" w:lineRule="exact"/>
      </w:pPr>
    </w:p>
    <w:p w:rsidR="00EB74E5" w:rsidRPr="00EF6C3B" w:rsidRDefault="00EB74E5" w:rsidP="00EB74E5">
      <w:pPr>
        <w:ind w:right="102"/>
      </w:pPr>
      <w:r w:rsidRPr="00EF6C3B">
        <w:t xml:space="preserve">However, the OECD Seed Schemes do </w:t>
      </w:r>
      <w:proofErr w:type="spellStart"/>
      <w:r w:rsidRPr="00EF6C3B">
        <w:t>recognise</w:t>
      </w:r>
      <w:proofErr w:type="spellEnd"/>
      <w:r w:rsidRPr="00EF6C3B">
        <w:t xml:space="preserve"> that there are occasions where these traditional methods limit the certainty of the varietal determination, and in some </w:t>
      </w:r>
      <w:proofErr w:type="gramStart"/>
      <w:r w:rsidRPr="00EF6C3B">
        <w:t>cases</w:t>
      </w:r>
      <w:proofErr w:type="gramEnd"/>
      <w:r w:rsidRPr="00EF6C3B">
        <w:t xml:space="preserve"> varieties of some species cannot be identified with certainty using these traditional methods. In these specific circumstances, it might be beneficial to use non-field based techniques such as BMT, which </w:t>
      </w:r>
      <w:proofErr w:type="gramStart"/>
      <w:r w:rsidRPr="00EF6C3B">
        <w:t>must be seen</w:t>
      </w:r>
      <w:proofErr w:type="gramEnd"/>
      <w:r w:rsidRPr="00EF6C3B">
        <w:t xml:space="preserve"> as supplementing and not replacing the more traditional methods.</w:t>
      </w:r>
    </w:p>
    <w:p w:rsidR="00EB74E5" w:rsidRPr="00EF6C3B" w:rsidRDefault="00EB74E5" w:rsidP="00EB74E5">
      <w:pPr>
        <w:spacing w:before="8"/>
      </w:pPr>
    </w:p>
    <w:p w:rsidR="00EB74E5" w:rsidRPr="00EF6C3B" w:rsidRDefault="00EB74E5" w:rsidP="00EB74E5">
      <w:pPr>
        <w:spacing w:before="1"/>
        <w:rPr>
          <w:b/>
        </w:rPr>
      </w:pPr>
      <w:r w:rsidRPr="00EF6C3B">
        <w:t xml:space="preserve">For more information on the OECD Seed Schemes see: </w:t>
      </w:r>
      <w:hyperlink r:id="rId11">
        <w:r w:rsidRPr="00EF6C3B">
          <w:rPr>
            <w:b/>
          </w:rPr>
          <w:t>www.oecd.org/tad</w:t>
        </w:r>
        <w:r w:rsidRPr="00EF6C3B">
          <w:t>/</w:t>
        </w:r>
        <w:r w:rsidRPr="00EF6C3B">
          <w:rPr>
            <w:b/>
          </w:rPr>
          <w:t>seed</w:t>
        </w:r>
      </w:hyperlink>
    </w:p>
    <w:p w:rsidR="00EB74E5" w:rsidRPr="00EF6C3B" w:rsidRDefault="00EB74E5" w:rsidP="00EB74E5"/>
    <w:p w:rsidR="00EB74E5" w:rsidRPr="00EF6C3B" w:rsidRDefault="00EB74E5" w:rsidP="00EB74E5"/>
    <w:p w:rsidR="00EB74E5" w:rsidRPr="00EF6C3B" w:rsidRDefault="00EB74E5" w:rsidP="00EB74E5">
      <w:pPr>
        <w:rPr>
          <w:bCs/>
          <w:u w:val="single"/>
        </w:rPr>
      </w:pPr>
      <w:r w:rsidRPr="00EF6C3B">
        <w:rPr>
          <w:bCs/>
          <w:u w:val="single"/>
        </w:rPr>
        <w:t>International Union for the Protection of New Varieties of Plants (UPOV)</w:t>
      </w:r>
    </w:p>
    <w:p w:rsidR="00EB74E5" w:rsidRPr="00EF6C3B" w:rsidRDefault="00EB74E5" w:rsidP="00EB74E5"/>
    <w:p w:rsidR="00EB74E5" w:rsidRPr="00EF6C3B" w:rsidRDefault="00EB74E5" w:rsidP="00EB74E5">
      <w:r w:rsidRPr="00EF6C3B">
        <w:rPr>
          <w:bCs/>
        </w:rPr>
        <w:t xml:space="preserve">Type of Organization: </w:t>
      </w:r>
      <w:r w:rsidRPr="00EF6C3B">
        <w:t>Intergovernmental</w:t>
      </w:r>
    </w:p>
    <w:p w:rsidR="00EB74E5" w:rsidRPr="00EF6C3B" w:rsidRDefault="00EB74E5" w:rsidP="00EB74E5">
      <w:r w:rsidRPr="00EF6C3B">
        <w:t> </w:t>
      </w:r>
    </w:p>
    <w:p w:rsidR="00EB74E5" w:rsidRPr="00EF6C3B" w:rsidRDefault="00EB74E5" w:rsidP="00EB74E5">
      <w:pPr>
        <w:rPr>
          <w:bCs/>
        </w:rPr>
      </w:pPr>
      <w:r w:rsidRPr="00EF6C3B">
        <w:rPr>
          <w:bCs/>
        </w:rPr>
        <w:t>Membership</w:t>
      </w:r>
    </w:p>
    <w:p w:rsidR="00EB74E5" w:rsidRPr="00EF6C3B" w:rsidRDefault="00BD0C0C" w:rsidP="00EB74E5">
      <w:hyperlink r:id="rId12" w:history="1">
        <w:r w:rsidR="00EB74E5" w:rsidRPr="00EF6C3B">
          <w:rPr>
            <w:color w:val="0000FF"/>
            <w:u w:val="single"/>
          </w:rPr>
          <w:t>List of UPOV members</w:t>
        </w:r>
      </w:hyperlink>
      <w:r w:rsidR="00EB74E5" w:rsidRPr="00EF6C3B">
        <w:t xml:space="preserve">  / </w:t>
      </w:r>
      <w:hyperlink r:id="rId13" w:history="1">
        <w:r w:rsidR="00EB74E5" w:rsidRPr="00EF6C3B">
          <w:rPr>
            <w:color w:val="0000FF"/>
            <w:u w:val="single"/>
          </w:rPr>
          <w:t>Situation in UPOV</w:t>
        </w:r>
      </w:hyperlink>
    </w:p>
    <w:p w:rsidR="00EB74E5" w:rsidRPr="00EF6C3B" w:rsidRDefault="00EB74E5" w:rsidP="00EB74E5">
      <w:r w:rsidRPr="00EF6C3B">
        <w:t> </w:t>
      </w:r>
    </w:p>
    <w:p w:rsidR="00EB74E5" w:rsidRPr="00EF6C3B" w:rsidRDefault="00EB74E5" w:rsidP="005C548D">
      <w:pPr>
        <w:keepNext/>
        <w:rPr>
          <w:bCs/>
          <w:i/>
        </w:rPr>
      </w:pPr>
      <w:bookmarkStart w:id="33" w:name="_GoBack"/>
      <w:r w:rsidRPr="00EF6C3B">
        <w:rPr>
          <w:bCs/>
          <w:i/>
        </w:rPr>
        <w:t>What is UPOV?</w:t>
      </w:r>
    </w:p>
    <w:p w:rsidR="00EB74E5" w:rsidRPr="00EF6C3B" w:rsidRDefault="00EB74E5" w:rsidP="005C548D">
      <w:pPr>
        <w:keepNext/>
        <w:rPr>
          <w:bCs/>
        </w:rPr>
      </w:pPr>
    </w:p>
    <w:p w:rsidR="00EB74E5" w:rsidRPr="00EF6C3B" w:rsidRDefault="00EB74E5" w:rsidP="005C548D">
      <w:pPr>
        <w:keepNext/>
      </w:pPr>
      <w:r w:rsidRPr="00EF6C3B">
        <w:t xml:space="preserve">The International Union for the Protection of New Varieties of Plants (UPOV) is an intergovernmental </w:t>
      </w:r>
      <w:bookmarkEnd w:id="33"/>
      <w:r w:rsidRPr="00EF6C3B">
        <w:t xml:space="preserve">organization based in Geneva, Switzerland. </w:t>
      </w:r>
      <w:proofErr w:type="gramStart"/>
      <w:r w:rsidRPr="00EF6C3B">
        <w:t>UPOV was established in 1961 by the International Convention</w:t>
      </w:r>
      <w:proofErr w:type="gramEnd"/>
      <w:r w:rsidRPr="00EF6C3B">
        <w:t xml:space="preserve"> for the Protection of New Varieties of Plants (the "UPOV Convention").</w:t>
      </w:r>
    </w:p>
    <w:p w:rsidR="00EB74E5" w:rsidRPr="00EF6C3B" w:rsidRDefault="00EB74E5" w:rsidP="00EB74E5">
      <w:r w:rsidRPr="00EF6C3B">
        <w:t xml:space="preserve">The </w:t>
      </w:r>
      <w:r w:rsidRPr="00EF6C3B">
        <w:rPr>
          <w:bCs/>
        </w:rPr>
        <w:t>mission</w:t>
      </w:r>
      <w:r w:rsidRPr="00EF6C3B">
        <w:t xml:space="preserve"> of UPOV is to provide and promote an effective system of plant variety protection, with the aim of encouraging the development of new varieties of plants, for the benefit of society.</w:t>
      </w:r>
    </w:p>
    <w:p w:rsidR="00EB74E5" w:rsidRPr="00EF6C3B" w:rsidRDefault="00EB74E5" w:rsidP="00EB74E5">
      <w:r w:rsidRPr="00EF6C3B">
        <w:t>The UPOV Convention provides the basis for members to encourage plant breeding by granting breeders of new plant varieties an intellectual property right: the breeder’s right.</w:t>
      </w:r>
    </w:p>
    <w:p w:rsidR="00EB74E5" w:rsidRPr="00EF6C3B" w:rsidRDefault="00EB74E5" w:rsidP="00EB74E5">
      <w:r w:rsidRPr="00EF6C3B">
        <w:t> </w:t>
      </w:r>
    </w:p>
    <w:p w:rsidR="00EB74E5" w:rsidRPr="00EF6C3B" w:rsidRDefault="00EB74E5" w:rsidP="00EB74E5">
      <w:pPr>
        <w:rPr>
          <w:bCs/>
          <w:i/>
        </w:rPr>
      </w:pPr>
      <w:r w:rsidRPr="00EF6C3B">
        <w:rPr>
          <w:bCs/>
          <w:i/>
        </w:rPr>
        <w:t>What does UPOV do?</w:t>
      </w:r>
    </w:p>
    <w:p w:rsidR="00EB74E5" w:rsidRPr="00EF6C3B" w:rsidRDefault="00EB74E5" w:rsidP="00EB74E5">
      <w:pPr>
        <w:rPr>
          <w:bCs/>
        </w:rPr>
      </w:pPr>
    </w:p>
    <w:p w:rsidR="00EB74E5" w:rsidRPr="00EF6C3B" w:rsidRDefault="00EB74E5" w:rsidP="00EB74E5">
      <w:r w:rsidRPr="00EF6C3B">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EB74E5" w:rsidRPr="00EF6C3B" w:rsidRDefault="00EB74E5" w:rsidP="00EB74E5">
      <w:pPr>
        <w:numPr>
          <w:ilvl w:val="0"/>
          <w:numId w:val="10"/>
        </w:numPr>
      </w:pPr>
      <w:r w:rsidRPr="00EF6C3B">
        <w:t>provide and develop the legal, administrative and technical basis for international cooperation in plant variety protection;</w:t>
      </w:r>
    </w:p>
    <w:p w:rsidR="00EB74E5" w:rsidRPr="00EF6C3B" w:rsidRDefault="00EB74E5" w:rsidP="00EB74E5">
      <w:pPr>
        <w:numPr>
          <w:ilvl w:val="0"/>
          <w:numId w:val="10"/>
        </w:numPr>
      </w:pPr>
      <w:r w:rsidRPr="00EF6C3B">
        <w:t>assist States and organizations in the development of legislation and the implementation of an effective plant variety protection system; and</w:t>
      </w:r>
    </w:p>
    <w:p w:rsidR="00EB74E5" w:rsidRPr="00EF6C3B" w:rsidRDefault="00EB74E5" w:rsidP="00EB74E5">
      <w:pPr>
        <w:numPr>
          <w:ilvl w:val="0"/>
          <w:numId w:val="10"/>
        </w:numPr>
      </w:pPr>
      <w:proofErr w:type="gramStart"/>
      <w:r w:rsidRPr="00EF6C3B">
        <w:t>enhance</w:t>
      </w:r>
      <w:proofErr w:type="gramEnd"/>
      <w:r w:rsidRPr="00EF6C3B">
        <w:t xml:space="preserve"> public awareness and understanding of the UPOV system of plant variety protection.</w:t>
      </w:r>
    </w:p>
    <w:p w:rsidR="00EB74E5" w:rsidRPr="00EF6C3B" w:rsidRDefault="00EB74E5" w:rsidP="00EB74E5">
      <w:r w:rsidRPr="00EF6C3B">
        <w:rPr>
          <w:bCs/>
        </w:rPr>
        <w:t> </w:t>
      </w:r>
    </w:p>
    <w:p w:rsidR="00EB74E5" w:rsidRPr="00EF6C3B" w:rsidRDefault="00EB74E5" w:rsidP="00EB74E5">
      <w:pPr>
        <w:rPr>
          <w:bCs/>
          <w:i/>
        </w:rPr>
      </w:pPr>
      <w:r w:rsidRPr="00EF6C3B">
        <w:rPr>
          <w:bCs/>
          <w:i/>
        </w:rPr>
        <w:t>What are the benefits of plant variety protection and UPOV membership?</w:t>
      </w:r>
    </w:p>
    <w:p w:rsidR="00EB74E5" w:rsidRPr="00EF6C3B" w:rsidRDefault="00EB74E5" w:rsidP="00EB74E5">
      <w:pPr>
        <w:rPr>
          <w:bCs/>
        </w:rPr>
      </w:pPr>
    </w:p>
    <w:p w:rsidR="00EB74E5" w:rsidRPr="00EF6C3B" w:rsidRDefault="00EB74E5" w:rsidP="00EB74E5">
      <w:r w:rsidRPr="00EF6C3B">
        <w:t xml:space="preserve">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t>
      </w:r>
      <w:proofErr w:type="gramStart"/>
      <w:r w:rsidRPr="00EF6C3B">
        <w:t>were found to be associated</w:t>
      </w:r>
      <w:proofErr w:type="gramEnd"/>
      <w:r w:rsidRPr="00EF6C3B">
        <w:t xml:space="preserve"> with:</w:t>
      </w:r>
    </w:p>
    <w:p w:rsidR="00EB74E5" w:rsidRPr="00EF6C3B" w:rsidRDefault="00EB74E5" w:rsidP="00EB74E5"/>
    <w:p w:rsidR="00EB74E5" w:rsidRPr="00EF6C3B" w:rsidRDefault="00EB74E5" w:rsidP="00EB74E5">
      <w:r w:rsidRPr="00EF6C3B">
        <w:t>(</w:t>
      </w:r>
      <w:proofErr w:type="gramStart"/>
      <w:r w:rsidRPr="00EF6C3B">
        <w:t>a</w:t>
      </w:r>
      <w:proofErr w:type="gramEnd"/>
      <w:r w:rsidRPr="00EF6C3B">
        <w:t>) increased breeding activities,</w:t>
      </w:r>
    </w:p>
    <w:p w:rsidR="00EB74E5" w:rsidRPr="00EF6C3B" w:rsidRDefault="00EB74E5" w:rsidP="00EB74E5">
      <w:r w:rsidRPr="00EF6C3B">
        <w:t xml:space="preserve">(b) </w:t>
      </w:r>
      <w:proofErr w:type="gramStart"/>
      <w:r w:rsidRPr="00EF6C3B">
        <w:t>greater</w:t>
      </w:r>
      <w:proofErr w:type="gramEnd"/>
      <w:r w:rsidRPr="00EF6C3B">
        <w:t xml:space="preserve"> availability of improved varieties,</w:t>
      </w:r>
    </w:p>
    <w:p w:rsidR="00EB74E5" w:rsidRPr="00EF6C3B" w:rsidRDefault="00EB74E5" w:rsidP="00EB74E5">
      <w:r w:rsidRPr="00EF6C3B">
        <w:t>(</w:t>
      </w:r>
      <w:proofErr w:type="gramStart"/>
      <w:r w:rsidRPr="00EF6C3B">
        <w:t>c</w:t>
      </w:r>
      <w:proofErr w:type="gramEnd"/>
      <w:r w:rsidRPr="00EF6C3B">
        <w:t>) increased number of new varieties,</w:t>
      </w:r>
    </w:p>
    <w:p w:rsidR="00EB74E5" w:rsidRPr="00EF6C3B" w:rsidRDefault="00EB74E5" w:rsidP="00EB74E5">
      <w:r w:rsidRPr="00EF6C3B">
        <w:t xml:space="preserve">(d) </w:t>
      </w:r>
      <w:proofErr w:type="gramStart"/>
      <w:r w:rsidRPr="00EF6C3B">
        <w:t>diversification</w:t>
      </w:r>
      <w:proofErr w:type="gramEnd"/>
      <w:r w:rsidRPr="00EF6C3B">
        <w:t xml:space="preserve"> of types of breeders (e.g. private breeders, researchers),</w:t>
      </w:r>
    </w:p>
    <w:p w:rsidR="00EB74E5" w:rsidRPr="00EF6C3B" w:rsidRDefault="00EB74E5" w:rsidP="00EB74E5">
      <w:r w:rsidRPr="00EF6C3B">
        <w:t>(</w:t>
      </w:r>
      <w:proofErr w:type="gramStart"/>
      <w:r w:rsidRPr="00EF6C3B">
        <w:t>e</w:t>
      </w:r>
      <w:proofErr w:type="gramEnd"/>
      <w:r w:rsidRPr="00EF6C3B">
        <w:t>) increased number of foreign new varieties,</w:t>
      </w:r>
    </w:p>
    <w:p w:rsidR="00EB74E5" w:rsidRPr="00EF6C3B" w:rsidRDefault="00EB74E5" w:rsidP="00EB74E5">
      <w:r w:rsidRPr="00EF6C3B">
        <w:t xml:space="preserve">(f) </w:t>
      </w:r>
      <w:proofErr w:type="gramStart"/>
      <w:r w:rsidRPr="00EF6C3B">
        <w:t>encouraging</w:t>
      </w:r>
      <w:proofErr w:type="gramEnd"/>
      <w:r w:rsidRPr="00EF6C3B">
        <w:t xml:space="preserve"> the development of a new industry competitiveness on foreign markets, and</w:t>
      </w:r>
    </w:p>
    <w:p w:rsidR="00EB74E5" w:rsidRPr="00EF6C3B" w:rsidRDefault="00EB74E5" w:rsidP="00EB74E5">
      <w:r w:rsidRPr="00EF6C3B">
        <w:t xml:space="preserve">(g) </w:t>
      </w:r>
      <w:proofErr w:type="gramStart"/>
      <w:r w:rsidRPr="00EF6C3B">
        <w:t>improved</w:t>
      </w:r>
      <w:proofErr w:type="gramEnd"/>
      <w:r w:rsidRPr="00EF6C3B">
        <w:t xml:space="preserve"> access to foreign plant varieties and enhanced domestic breeding programs.</w:t>
      </w:r>
    </w:p>
    <w:p w:rsidR="00EB74E5" w:rsidRPr="00EF6C3B" w:rsidRDefault="00EB74E5" w:rsidP="00EB74E5">
      <w:r w:rsidRPr="00EF6C3B">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EB74E5" w:rsidRPr="00EF6C3B" w:rsidRDefault="00EB74E5" w:rsidP="00EB74E5">
      <w:pPr>
        <w:keepNext/>
        <w:rPr>
          <w:i/>
        </w:rPr>
      </w:pPr>
    </w:p>
    <w:p w:rsidR="00EB74E5" w:rsidRPr="00EF6C3B" w:rsidRDefault="00EB74E5" w:rsidP="00EB74E5">
      <w:pPr>
        <w:keepNext/>
        <w:rPr>
          <w:i/>
          <w:lang w:val="en-GB"/>
        </w:rPr>
      </w:pPr>
      <w:r w:rsidRPr="00EF6C3B">
        <w:rPr>
          <w:i/>
          <w:lang w:val="en-GB"/>
        </w:rPr>
        <w:t>Does UPOV allow molecular techniques (DNA profiles) in the examination of Distinctness, Uniformity and Stability (“DUS”)?</w:t>
      </w:r>
    </w:p>
    <w:p w:rsidR="00EB74E5" w:rsidRPr="00EF6C3B" w:rsidRDefault="00EB74E5" w:rsidP="00EB74E5">
      <w:pPr>
        <w:keepNext/>
        <w:rPr>
          <w:lang w:val="en-GB"/>
        </w:rPr>
      </w:pPr>
    </w:p>
    <w:p w:rsidR="00EB74E5" w:rsidRPr="00EF6C3B" w:rsidRDefault="00EB74E5" w:rsidP="00EB74E5">
      <w:pPr>
        <w:keepNext/>
        <w:rPr>
          <w:lang w:val="en-GB"/>
        </w:rPr>
      </w:pPr>
      <w:r w:rsidRPr="00EF6C3B">
        <w:rPr>
          <w:lang w:val="en-GB"/>
        </w:rPr>
        <w:t xml:space="preserve">It is important to note that, in some </w:t>
      </w:r>
      <w:proofErr w:type="gramStart"/>
      <w:r w:rsidRPr="00EF6C3B">
        <w:rPr>
          <w:lang w:val="en-GB"/>
        </w:rPr>
        <w:t>cases,</w:t>
      </w:r>
      <w:proofErr w:type="gramEnd"/>
      <w:r w:rsidRPr="00EF6C3B">
        <w:rPr>
          <w:lang w:val="en-GB"/>
        </w:rPr>
        <w:t xml:space="preserve"> varieties may have a different DNA profile but be phenotypically identical, whilst, in other cases, varieties which have a large phenotypic difference may have the same DNA profile for a particular set of molecular markers (e.g. some mutations).</w:t>
      </w:r>
    </w:p>
    <w:p w:rsidR="00EB74E5" w:rsidRPr="00EF6C3B" w:rsidRDefault="00EB74E5" w:rsidP="00EB74E5">
      <w:pPr>
        <w:rPr>
          <w:lang w:val="en-GB"/>
        </w:rPr>
      </w:pPr>
    </w:p>
    <w:p w:rsidR="00EB74E5" w:rsidRPr="00EF6C3B" w:rsidRDefault="00EB74E5" w:rsidP="00EB74E5">
      <w:pPr>
        <w:rPr>
          <w:lang w:val="en-GB"/>
        </w:rPr>
      </w:pPr>
      <w:r w:rsidRPr="00EF6C3B">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EB74E5" w:rsidRPr="00EF6C3B" w:rsidRDefault="00EB74E5" w:rsidP="00EB74E5">
      <w:pPr>
        <w:rPr>
          <w:lang w:val="en-GB"/>
        </w:rPr>
      </w:pPr>
    </w:p>
    <w:p w:rsidR="00EB74E5" w:rsidRPr="00EF6C3B" w:rsidRDefault="00EB74E5" w:rsidP="00EB74E5">
      <w:pPr>
        <w:rPr>
          <w:lang w:val="en-GB"/>
        </w:rPr>
      </w:pPr>
      <w:r w:rsidRPr="00EF6C3B">
        <w:rPr>
          <w:lang w:val="en-GB"/>
        </w:rPr>
        <w:t>On the above basis, UPOV has agreed the following uses of molecular markers in relation to DUS examination:</w:t>
      </w:r>
    </w:p>
    <w:p w:rsidR="00EB74E5" w:rsidRPr="00EF6C3B" w:rsidRDefault="00EB74E5" w:rsidP="00EB74E5">
      <w:pPr>
        <w:rPr>
          <w:lang w:val="en-GB"/>
        </w:rPr>
      </w:pPr>
    </w:p>
    <w:p w:rsidR="00EB74E5" w:rsidRPr="00EF6C3B" w:rsidRDefault="00EB74E5" w:rsidP="00EB74E5">
      <w:pPr>
        <w:rPr>
          <w:lang w:val="en-GB"/>
        </w:rPr>
      </w:pPr>
      <w:r w:rsidRPr="00EF6C3B">
        <w:rPr>
          <w:lang w:val="en-GB"/>
        </w:rPr>
        <w:t xml:space="preserve">(a)   Molecular markers </w:t>
      </w:r>
      <w:proofErr w:type="gramStart"/>
      <w:r w:rsidRPr="00EF6C3B">
        <w:rPr>
          <w:lang w:val="en-GB"/>
        </w:rPr>
        <w:t>can be used</w:t>
      </w:r>
      <w:proofErr w:type="gramEnd"/>
      <w:r w:rsidRPr="00EF6C3B">
        <w:rPr>
          <w:lang w:val="en-GB"/>
        </w:rPr>
        <w:t xml:space="preserve"> as a method of examining DUS characteristics that satisfy the criteria for characteristics set out in the General Introduction if there is a reliable link between the marker and the characteristic.</w:t>
      </w:r>
    </w:p>
    <w:p w:rsidR="00EB74E5" w:rsidRPr="00EF6C3B" w:rsidRDefault="00EB74E5" w:rsidP="00EB74E5">
      <w:pPr>
        <w:rPr>
          <w:lang w:val="en-GB"/>
        </w:rPr>
      </w:pPr>
    </w:p>
    <w:p w:rsidR="00EB74E5" w:rsidRPr="00EF6C3B" w:rsidRDefault="00EB74E5" w:rsidP="00EB74E5">
      <w:pPr>
        <w:rPr>
          <w:lang w:val="en-GB"/>
        </w:rPr>
      </w:pPr>
      <w:proofErr w:type="gramStart"/>
      <w:r w:rsidRPr="00EF6C3B">
        <w:rPr>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roofErr w:type="gramEnd"/>
    </w:p>
    <w:p w:rsidR="00EB74E5" w:rsidRPr="00EF6C3B" w:rsidRDefault="00EB74E5" w:rsidP="00EB74E5">
      <w:pPr>
        <w:rPr>
          <w:lang w:val="en-GB"/>
        </w:rPr>
      </w:pPr>
    </w:p>
    <w:p w:rsidR="00EB74E5" w:rsidRPr="00EF6C3B" w:rsidRDefault="00EB74E5" w:rsidP="00EB74E5">
      <w:pPr>
        <w:rPr>
          <w:lang w:val="en-GB"/>
        </w:rPr>
      </w:pPr>
      <w:r w:rsidRPr="00EF6C3B">
        <w:rPr>
          <w:lang w:val="en-GB"/>
        </w:rPr>
        <w:t xml:space="preserve">The situation in UPOV </w:t>
      </w:r>
      <w:proofErr w:type="gramStart"/>
      <w:r w:rsidRPr="00EF6C3B">
        <w:rPr>
          <w:lang w:val="en-GB"/>
        </w:rPr>
        <w:t>is explained</w:t>
      </w:r>
      <w:proofErr w:type="gramEnd"/>
      <w:r w:rsidRPr="00EF6C3B">
        <w:rPr>
          <w:lang w:val="en-GB"/>
        </w:rPr>
        <w:t xml:space="preserve"> in documents TGP/15 “Guidance on the Use of Biochemical and Molecular Markers in the Examination of Distinctness, Uniformity and Stability (DUS)” and UPOV/INF/18 “Possible use of Molecular Markers in the Examination of Distinctness, Uniformity and Stability (DUS)”.</w:t>
      </w:r>
    </w:p>
    <w:p w:rsidR="00EB74E5" w:rsidRPr="00EF6C3B" w:rsidRDefault="00EB74E5" w:rsidP="00EB74E5">
      <w:pPr>
        <w:rPr>
          <w:lang w:val="en-GB"/>
        </w:rPr>
      </w:pPr>
    </w:p>
    <w:p w:rsidR="00EB74E5" w:rsidRPr="00EF6C3B" w:rsidRDefault="00BD0C0C" w:rsidP="00EB74E5">
      <w:pPr>
        <w:rPr>
          <w:lang w:val="en-GB"/>
        </w:rPr>
      </w:pPr>
      <w:hyperlink r:id="rId14" w:anchor="QB80" w:history="1">
        <w:r w:rsidR="00EB74E5" w:rsidRPr="00EF6C3B">
          <w:rPr>
            <w:color w:val="0000FF"/>
            <w:u w:val="single"/>
            <w:lang w:val="en-GB"/>
          </w:rPr>
          <w:t>https://www.upov.int/about/en/faq.html#QB80</w:t>
        </w:r>
      </w:hyperlink>
    </w:p>
    <w:p w:rsidR="00EB74E5" w:rsidRPr="00EF6C3B" w:rsidRDefault="00EB74E5" w:rsidP="00EB74E5">
      <w:pPr>
        <w:rPr>
          <w:lang w:val="en-GB"/>
        </w:rPr>
      </w:pPr>
    </w:p>
    <w:p w:rsidR="00EB74E5" w:rsidRPr="00EF6C3B" w:rsidRDefault="00EB74E5" w:rsidP="00EB74E5">
      <w:pPr>
        <w:rPr>
          <w:lang w:val="en-GB"/>
        </w:rPr>
      </w:pPr>
    </w:p>
    <w:p w:rsidR="00EB74E5" w:rsidRPr="00EF6C3B" w:rsidRDefault="00EB74E5" w:rsidP="00EB74E5"/>
    <w:p w:rsidR="00EB74E5" w:rsidRPr="00EF6C3B" w:rsidRDefault="00EB74E5" w:rsidP="00EB74E5">
      <w:pPr>
        <w:rPr>
          <w:bCs/>
          <w:u w:val="single"/>
        </w:rPr>
      </w:pPr>
      <w:r w:rsidRPr="00EF6C3B">
        <w:rPr>
          <w:bCs/>
          <w:u w:val="single"/>
        </w:rPr>
        <w:t>International Seed Testing Association (ISTA)</w:t>
      </w:r>
    </w:p>
    <w:p w:rsidR="00EB74E5" w:rsidRPr="00EF6C3B" w:rsidRDefault="00EB74E5" w:rsidP="00EB74E5"/>
    <w:p w:rsidR="00EB74E5" w:rsidRPr="00EF6C3B" w:rsidRDefault="00EB74E5" w:rsidP="00EB74E5">
      <w:pPr>
        <w:rPr>
          <w:rFonts w:eastAsia="Calibri"/>
        </w:rPr>
      </w:pPr>
      <w:r w:rsidRPr="00EF6C3B">
        <w:rPr>
          <w:rFonts w:eastAsia="Calibri"/>
        </w:rPr>
        <w:t>ISTA’S VISION: UNIFORMITY IN SEED TESTING</w:t>
      </w:r>
    </w:p>
    <w:p w:rsidR="00EB74E5" w:rsidRPr="00EF6C3B" w:rsidRDefault="00EB74E5" w:rsidP="00EB74E5">
      <w:pPr>
        <w:rPr>
          <w:rFonts w:eastAsia="Calibri"/>
        </w:rPr>
      </w:pPr>
    </w:p>
    <w:p w:rsidR="00EB74E5" w:rsidRPr="00EF6C3B" w:rsidRDefault="00EB74E5" w:rsidP="00EB74E5">
      <w:pPr>
        <w:spacing w:after="160" w:line="259" w:lineRule="auto"/>
        <w:rPr>
          <w:rFonts w:eastAsia="Calibri" w:cs="Arial"/>
          <w:color w:val="000000"/>
          <w:shd w:val="clear" w:color="auto" w:fill="FFFFFF"/>
        </w:rPr>
      </w:pPr>
      <w:r w:rsidRPr="00EF6C3B">
        <w:rPr>
          <w:rFonts w:eastAsia="Calibri" w:cs="Arial"/>
          <w:color w:val="000000"/>
          <w:shd w:val="clear" w:color="auto" w:fill="FFFFFF"/>
        </w:rPr>
        <w:t xml:space="preserve">Founded in 1924, with the aim to develop and publish standard procedures in the field of seed testing, ISTA </w:t>
      </w:r>
      <w:proofErr w:type="gramStart"/>
      <w:r w:rsidRPr="00EF6C3B">
        <w:rPr>
          <w:rFonts w:eastAsia="Calibri" w:cs="Arial"/>
          <w:color w:val="000000"/>
          <w:shd w:val="clear" w:color="auto" w:fill="FFFFFF"/>
        </w:rPr>
        <w:t>is inextricably linked</w:t>
      </w:r>
      <w:proofErr w:type="gramEnd"/>
      <w:r w:rsidRPr="00EF6C3B">
        <w:rPr>
          <w:rFonts w:eastAsia="Calibri" w:cs="Arial"/>
          <w:color w:val="000000"/>
          <w:shd w:val="clear" w:color="auto" w:fill="FFFFFF"/>
        </w:rPr>
        <w:t xml:space="preserve"> with the history of seed testing. With member laboratories in over 80 countries/distinct economies worldwide, ISTA membership is truly a global network.</w:t>
      </w:r>
    </w:p>
    <w:p w:rsidR="00EB74E5" w:rsidRPr="00EF6C3B" w:rsidRDefault="00EB74E5" w:rsidP="00EB74E5">
      <w:pPr>
        <w:spacing w:after="160" w:line="259" w:lineRule="auto"/>
        <w:rPr>
          <w:rFonts w:eastAsia="Calibri" w:cs="Arial"/>
          <w:color w:val="000000"/>
          <w:shd w:val="clear" w:color="auto" w:fill="FFFFFF"/>
        </w:rPr>
      </w:pPr>
      <w:r w:rsidRPr="00EF6C3B">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EB74E5" w:rsidRPr="00EF6C3B" w:rsidRDefault="00EB74E5" w:rsidP="00EB74E5">
      <w:pPr>
        <w:spacing w:after="160" w:line="259" w:lineRule="auto"/>
        <w:jc w:val="left"/>
        <w:rPr>
          <w:rFonts w:eastAsia="Calibri" w:cs="Arial"/>
          <w:bCs/>
        </w:rPr>
      </w:pPr>
      <w:r w:rsidRPr="00EF6C3B">
        <w:rPr>
          <w:rFonts w:eastAsia="Calibri" w:cs="Arial"/>
          <w:bCs/>
        </w:rPr>
        <w:t>ISTA’S MEMBERSHIP 2019</w:t>
      </w:r>
    </w:p>
    <w:p w:rsidR="00EB74E5" w:rsidRPr="00EF6C3B" w:rsidRDefault="00EB74E5" w:rsidP="00EB74E5">
      <w:pPr>
        <w:spacing w:after="160" w:line="259" w:lineRule="auto"/>
        <w:rPr>
          <w:rFonts w:eastAsia="Calibri" w:cs="Arial"/>
        </w:rPr>
      </w:pPr>
      <w:r w:rsidRPr="00EF6C3B">
        <w:rPr>
          <w:rFonts w:eastAsia="Calibri" w:cs="Arial"/>
        </w:rPr>
        <w:t>With member laboratories in 82 countries/distinct economies worldwide, ISTA membership is a truly global network. Currently, ISTA membership consists of:</w:t>
      </w:r>
    </w:p>
    <w:p w:rsidR="00EB74E5" w:rsidRPr="00EF6C3B" w:rsidRDefault="00EB74E5" w:rsidP="00EB74E5">
      <w:pPr>
        <w:autoSpaceDE w:val="0"/>
        <w:autoSpaceDN w:val="0"/>
        <w:adjustRightInd w:val="0"/>
        <w:jc w:val="left"/>
        <w:rPr>
          <w:rFonts w:eastAsia="Calibri" w:cs="Arial"/>
          <w:strike/>
          <w:color w:val="C00000"/>
        </w:rPr>
      </w:pPr>
    </w:p>
    <w:p w:rsidR="00EB74E5" w:rsidRPr="00EF6C3B" w:rsidRDefault="00EB74E5" w:rsidP="00EB74E5">
      <w:pPr>
        <w:numPr>
          <w:ilvl w:val="0"/>
          <w:numId w:val="12"/>
        </w:numPr>
        <w:autoSpaceDE w:val="0"/>
        <w:autoSpaceDN w:val="0"/>
        <w:adjustRightInd w:val="0"/>
        <w:spacing w:after="278" w:line="259" w:lineRule="auto"/>
        <w:jc w:val="left"/>
        <w:rPr>
          <w:rFonts w:eastAsia="Calibri" w:cs="Arial"/>
          <w:color w:val="000000"/>
        </w:rPr>
      </w:pPr>
      <w:r w:rsidRPr="00EF6C3B">
        <w:rPr>
          <w:rFonts w:eastAsia="Calibri" w:cs="Arial"/>
          <w:color w:val="000000"/>
        </w:rPr>
        <w:t xml:space="preserve">235 Member Laboratories, out of which 136 are ISTA accredited </w:t>
      </w:r>
    </w:p>
    <w:p w:rsidR="00EB74E5" w:rsidRPr="00EF6C3B" w:rsidRDefault="00EB74E5" w:rsidP="00EB74E5">
      <w:pPr>
        <w:numPr>
          <w:ilvl w:val="0"/>
          <w:numId w:val="12"/>
        </w:numPr>
        <w:autoSpaceDE w:val="0"/>
        <w:autoSpaceDN w:val="0"/>
        <w:adjustRightInd w:val="0"/>
        <w:spacing w:after="278" w:line="259" w:lineRule="auto"/>
        <w:jc w:val="left"/>
        <w:rPr>
          <w:rFonts w:eastAsia="Calibri" w:cs="Arial"/>
          <w:color w:val="000000"/>
        </w:rPr>
      </w:pPr>
      <w:r w:rsidRPr="00EF6C3B">
        <w:rPr>
          <w:rFonts w:eastAsia="Calibri" w:cs="Arial"/>
          <w:color w:val="000000"/>
        </w:rPr>
        <w:t>63   Associate Members</w:t>
      </w:r>
    </w:p>
    <w:p w:rsidR="00EB74E5" w:rsidRPr="00EF6C3B" w:rsidRDefault="00EB74E5" w:rsidP="00EB74E5">
      <w:pPr>
        <w:numPr>
          <w:ilvl w:val="0"/>
          <w:numId w:val="12"/>
        </w:numPr>
        <w:autoSpaceDE w:val="0"/>
        <w:autoSpaceDN w:val="0"/>
        <w:adjustRightInd w:val="0"/>
        <w:spacing w:after="278" w:line="259" w:lineRule="auto"/>
        <w:jc w:val="left"/>
        <w:rPr>
          <w:rFonts w:eastAsia="Calibri" w:cs="Arial"/>
          <w:color w:val="000000"/>
        </w:rPr>
      </w:pPr>
      <w:r w:rsidRPr="00EF6C3B">
        <w:rPr>
          <w:rFonts w:eastAsia="Calibri" w:cs="Arial"/>
          <w:color w:val="000000"/>
        </w:rPr>
        <w:t>39   Personal Members</w:t>
      </w:r>
    </w:p>
    <w:p w:rsidR="00EB74E5" w:rsidRPr="00EF6C3B" w:rsidRDefault="00EB74E5" w:rsidP="00EB74E5">
      <w:pPr>
        <w:autoSpaceDE w:val="0"/>
        <w:autoSpaceDN w:val="0"/>
        <w:adjustRightInd w:val="0"/>
        <w:jc w:val="left"/>
        <w:rPr>
          <w:rFonts w:eastAsia="Calibri" w:cs="Arial"/>
          <w:bCs/>
        </w:rPr>
      </w:pPr>
      <w:r w:rsidRPr="00EF6C3B">
        <w:rPr>
          <w:rFonts w:eastAsia="Calibri" w:cs="Arial"/>
          <w:bCs/>
        </w:rPr>
        <w:t>ISTA</w:t>
      </w:r>
      <w:r w:rsidRPr="00EF6C3B">
        <w:rPr>
          <w:rFonts w:eastAsia="Calibri" w:cs="Arial"/>
          <w:bCs/>
          <w:color w:val="000000"/>
        </w:rPr>
        <w:t>’</w:t>
      </w:r>
      <w:r w:rsidRPr="00EF6C3B">
        <w:rPr>
          <w:rFonts w:eastAsia="Calibri" w:cs="Arial"/>
          <w:bCs/>
        </w:rPr>
        <w:t>S TECHNICAL WORK</w:t>
      </w:r>
    </w:p>
    <w:p w:rsidR="00EB74E5" w:rsidRPr="00EF6C3B" w:rsidRDefault="00EB74E5" w:rsidP="00EB74E5">
      <w:pPr>
        <w:autoSpaceDE w:val="0"/>
        <w:autoSpaceDN w:val="0"/>
        <w:adjustRightInd w:val="0"/>
        <w:jc w:val="left"/>
        <w:rPr>
          <w:rFonts w:eastAsia="Calibri" w:cs="Arial"/>
          <w:b/>
          <w:bCs/>
        </w:rPr>
      </w:pPr>
    </w:p>
    <w:p w:rsidR="00EB74E5" w:rsidRPr="00EF6C3B" w:rsidRDefault="00EB74E5" w:rsidP="00EB74E5">
      <w:pPr>
        <w:autoSpaceDE w:val="0"/>
        <w:autoSpaceDN w:val="0"/>
        <w:adjustRightInd w:val="0"/>
        <w:rPr>
          <w:rFonts w:eastAsia="Calibri" w:cs="Arial"/>
          <w:color w:val="000000"/>
        </w:rPr>
      </w:pPr>
      <w:r w:rsidRPr="00EF6C3B">
        <w:rPr>
          <w:rFonts w:eastAsia="Calibri" w:cs="Arial"/>
          <w:color w:val="000000"/>
        </w:rPr>
        <w:t xml:space="preserve">The principle objective of ISTA Technical Committees is to develop, </w:t>
      </w:r>
      <w:proofErr w:type="spellStart"/>
      <w:r w:rsidRPr="00EF6C3B">
        <w:rPr>
          <w:rFonts w:eastAsia="Calibri" w:cs="Arial"/>
          <w:color w:val="000000"/>
        </w:rPr>
        <w:t>standardise</w:t>
      </w:r>
      <w:proofErr w:type="spellEnd"/>
      <w:r w:rsidRPr="00EF6C3B">
        <w:rPr>
          <w:rFonts w:eastAsia="Calibri" w:cs="Arial"/>
          <w:color w:val="000000"/>
        </w:rPr>
        <w:t xml:space="preserve"> and validate methods for sampling and testing of seed quality, using the best scientific knowledge available. They enhance the </w:t>
      </w:r>
      <w:r w:rsidRPr="00EF6C3B">
        <w:rPr>
          <w:rFonts w:eastAsia="Calibri" w:cs="Arial"/>
          <w:b/>
          <w:bCs/>
          <w:color w:val="000000"/>
        </w:rPr>
        <w:t xml:space="preserve">ISTA ‘International Rules for Seed Testing’ </w:t>
      </w:r>
      <w:r w:rsidRPr="00EF6C3B">
        <w:rPr>
          <w:rFonts w:eastAsia="Calibri" w:cs="Arial"/>
          <w:color w:val="000000"/>
        </w:rPr>
        <w:t xml:space="preserve">and develop ISTA Handbooks on seed methods including sampling and testing. </w:t>
      </w:r>
      <w:proofErr w:type="gramStart"/>
      <w:r w:rsidRPr="00EF6C3B">
        <w:rPr>
          <w:rFonts w:eastAsia="Calibri" w:cs="Arial"/>
          <w:color w:val="000000"/>
        </w:rPr>
        <w:t>Further</w:t>
      </w:r>
      <w:proofErr w:type="gramEnd"/>
      <w:r w:rsidRPr="00EF6C3B">
        <w:rPr>
          <w:rFonts w:eastAsia="Calibri" w:cs="Arial"/>
          <w:color w:val="000000"/>
        </w:rPr>
        <w:t xml:space="preserve"> they are responsible for the </w:t>
      </w:r>
      <w:proofErr w:type="spellStart"/>
      <w:r w:rsidRPr="00EF6C3B">
        <w:rPr>
          <w:rFonts w:eastAsia="Calibri" w:cs="Arial"/>
          <w:color w:val="000000"/>
        </w:rPr>
        <w:t>organisation</w:t>
      </w:r>
      <w:proofErr w:type="spellEnd"/>
      <w:r w:rsidRPr="00EF6C3B">
        <w:rPr>
          <w:rFonts w:eastAsia="Calibri" w:cs="Arial"/>
          <w:color w:val="000000"/>
        </w:rPr>
        <w:t xml:space="preserve"> of Symposia, Seminars and Workshops. ISTA Technical Committees regularly hold </w:t>
      </w:r>
      <w:proofErr w:type="gramStart"/>
      <w:r w:rsidRPr="00EF6C3B">
        <w:rPr>
          <w:rFonts w:eastAsia="Calibri" w:cs="Arial"/>
          <w:color w:val="000000"/>
        </w:rPr>
        <w:t>workshops which</w:t>
      </w:r>
      <w:proofErr w:type="gramEnd"/>
      <w:r w:rsidRPr="00EF6C3B">
        <w:rPr>
          <w:rFonts w:eastAsia="Calibri" w:cs="Arial"/>
          <w:color w:val="000000"/>
        </w:rPr>
        <w:t xml:space="preserve"> provide a platform for training as well as the exchange of information, experience and ideas.</w:t>
      </w:r>
    </w:p>
    <w:p w:rsidR="00EB74E5" w:rsidRPr="00EF6C3B" w:rsidRDefault="00EB74E5" w:rsidP="00EB74E5">
      <w:pPr>
        <w:autoSpaceDE w:val="0"/>
        <w:autoSpaceDN w:val="0"/>
        <w:adjustRightInd w:val="0"/>
        <w:jc w:val="left"/>
        <w:rPr>
          <w:rFonts w:eastAsia="Calibri" w:cs="Arial"/>
          <w:color w:val="000000"/>
        </w:rPr>
      </w:pPr>
    </w:p>
    <w:p w:rsidR="00EB74E5" w:rsidRPr="00EF6C3B" w:rsidRDefault="00EB74E5" w:rsidP="00EB74E5">
      <w:pPr>
        <w:autoSpaceDE w:val="0"/>
        <w:autoSpaceDN w:val="0"/>
        <w:adjustRightInd w:val="0"/>
        <w:jc w:val="left"/>
        <w:rPr>
          <w:rFonts w:eastAsia="Calibri" w:cs="Arial"/>
          <w:color w:val="000000"/>
        </w:rPr>
      </w:pPr>
      <w:r w:rsidRPr="00EF6C3B">
        <w:rPr>
          <w:rFonts w:eastAsia="Calibri" w:cs="Arial"/>
          <w:color w:val="000000"/>
        </w:rPr>
        <w:t>There are 20 Technical Committees in ISTA:</w:t>
      </w:r>
    </w:p>
    <w:p w:rsidR="00EB74E5" w:rsidRPr="00EF6C3B" w:rsidRDefault="00EB74E5" w:rsidP="00EB74E5">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EB74E5" w:rsidRPr="00EF6C3B" w:rsidTr="00C916AB">
        <w:trPr>
          <w:trHeight w:val="474"/>
        </w:trPr>
        <w:tc>
          <w:tcPr>
            <w:tcW w:w="495" w:type="dxa"/>
          </w:tcPr>
          <w:p w:rsidR="00EB74E5" w:rsidRPr="005C548D" w:rsidRDefault="00EB74E5" w:rsidP="00C916AB">
            <w:pPr>
              <w:autoSpaceDE w:val="0"/>
              <w:autoSpaceDN w:val="0"/>
              <w:adjustRightInd w:val="0"/>
              <w:jc w:val="left"/>
              <w:rPr>
                <w:rFonts w:ascii="Calibri" w:hAnsi="Calibri" w:cs="Arial"/>
                <w:lang w:val="en-US"/>
              </w:rPr>
            </w:pPr>
          </w:p>
        </w:tc>
        <w:tc>
          <w:tcPr>
            <w:tcW w:w="5312" w:type="dxa"/>
          </w:tcPr>
          <w:p w:rsidR="00EB74E5" w:rsidRPr="005C548D" w:rsidRDefault="00EB74E5" w:rsidP="00C916AB">
            <w:pPr>
              <w:autoSpaceDE w:val="0"/>
              <w:autoSpaceDN w:val="0"/>
              <w:adjustRightInd w:val="0"/>
              <w:jc w:val="left"/>
              <w:rPr>
                <w:rFonts w:ascii="Calibri" w:hAnsi="Calibri" w:cs="Arial"/>
                <w:b/>
                <w:bCs/>
                <w:lang w:val="en-US"/>
              </w:rPr>
            </w:pPr>
          </w:p>
          <w:p w:rsidR="00EB74E5" w:rsidRPr="00EF6C3B" w:rsidRDefault="00EB74E5" w:rsidP="00C916AB">
            <w:pPr>
              <w:autoSpaceDE w:val="0"/>
              <w:autoSpaceDN w:val="0"/>
              <w:adjustRightInd w:val="0"/>
              <w:jc w:val="left"/>
              <w:rPr>
                <w:rFonts w:ascii="Calibri" w:hAnsi="Calibri" w:cs="Arial"/>
                <w:b/>
                <w:bCs/>
                <w:color w:val="000000"/>
              </w:rPr>
            </w:pPr>
            <w:r w:rsidRPr="00EF6C3B">
              <w:rPr>
                <w:rFonts w:ascii="Calibri" w:hAnsi="Calibri" w:cs="Arial"/>
                <w:color w:val="000000"/>
              </w:rPr>
              <w:t xml:space="preserve">Technical </w:t>
            </w:r>
            <w:proofErr w:type="spellStart"/>
            <w:r w:rsidRPr="00EF6C3B">
              <w:rPr>
                <w:rFonts w:ascii="Calibri" w:hAnsi="Calibri" w:cs="Arial"/>
                <w:color w:val="000000"/>
              </w:rPr>
              <w:t>Committees</w:t>
            </w:r>
            <w:proofErr w:type="spellEnd"/>
          </w:p>
          <w:p w:rsidR="00EB74E5" w:rsidRPr="00EF6C3B" w:rsidRDefault="00EB74E5" w:rsidP="00C916AB">
            <w:pPr>
              <w:autoSpaceDE w:val="0"/>
              <w:autoSpaceDN w:val="0"/>
              <w:adjustRightInd w:val="0"/>
              <w:jc w:val="left"/>
              <w:rPr>
                <w:rFonts w:ascii="Calibri" w:hAnsi="Calibri" w:cs="Arial"/>
              </w:rPr>
            </w:pP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Advanced Technologies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2.</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Bulking and Sampling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3.</w:t>
            </w:r>
          </w:p>
        </w:tc>
        <w:tc>
          <w:tcPr>
            <w:tcW w:w="5312" w:type="dxa"/>
          </w:tcPr>
          <w:p w:rsidR="00EB74E5" w:rsidRPr="005C548D" w:rsidRDefault="00EB74E5" w:rsidP="00C916AB">
            <w:pPr>
              <w:autoSpaceDE w:val="0"/>
              <w:autoSpaceDN w:val="0"/>
              <w:adjustRightInd w:val="0"/>
              <w:jc w:val="left"/>
              <w:rPr>
                <w:rFonts w:ascii="Calibri" w:hAnsi="Calibri" w:cs="Arial"/>
                <w:lang w:val="en-US"/>
              </w:rPr>
            </w:pPr>
            <w:r w:rsidRPr="005C548D">
              <w:rPr>
                <w:rFonts w:ascii="Calibri" w:hAnsi="Calibri" w:cs="Arial"/>
                <w:lang w:val="en-US"/>
              </w:rPr>
              <w:t>Editorial Board of Seed Science and Technology</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4.</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Flower Seed Testing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 xml:space="preserve">5. </w:t>
            </w:r>
          </w:p>
        </w:tc>
        <w:tc>
          <w:tcPr>
            <w:tcW w:w="5312" w:type="dxa"/>
          </w:tcPr>
          <w:p w:rsidR="00EB74E5" w:rsidRPr="005C548D" w:rsidRDefault="00EB74E5" w:rsidP="00C916AB">
            <w:pPr>
              <w:autoSpaceDE w:val="0"/>
              <w:autoSpaceDN w:val="0"/>
              <w:adjustRightInd w:val="0"/>
              <w:jc w:val="left"/>
              <w:rPr>
                <w:rFonts w:ascii="Calibri" w:hAnsi="Calibri" w:cs="Arial"/>
                <w:lang w:val="en-US"/>
              </w:rPr>
            </w:pPr>
            <w:r w:rsidRPr="005C548D">
              <w:rPr>
                <w:rFonts w:ascii="Calibri" w:hAnsi="Calibri" w:cs="Arial"/>
                <w:lang w:val="en-US"/>
              </w:rPr>
              <w:t>Forest Tree and Shrub Seed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6.</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Germination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7.</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GMO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8.</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Moisture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9.</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Nomenclature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10.</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Proficiency Test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11.</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Purity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12.</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Rules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13.</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Seed Health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14.</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Seed Science Advisory Group</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15.</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Statistics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16.</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Seed Storage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17.</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Tetrazolium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18.</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Variety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19.</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Vigour Committee</w:t>
            </w:r>
          </w:p>
        </w:tc>
      </w:tr>
      <w:tr w:rsidR="00EB74E5" w:rsidRPr="00EF6C3B" w:rsidTr="00C916AB">
        <w:tc>
          <w:tcPr>
            <w:tcW w:w="495"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20.</w:t>
            </w:r>
          </w:p>
        </w:tc>
        <w:tc>
          <w:tcPr>
            <w:tcW w:w="5312" w:type="dxa"/>
          </w:tcPr>
          <w:p w:rsidR="00EB74E5" w:rsidRPr="00EF6C3B" w:rsidRDefault="00EB74E5" w:rsidP="00C916AB">
            <w:pPr>
              <w:autoSpaceDE w:val="0"/>
              <w:autoSpaceDN w:val="0"/>
              <w:adjustRightInd w:val="0"/>
              <w:jc w:val="left"/>
              <w:rPr>
                <w:rFonts w:ascii="Calibri" w:hAnsi="Calibri" w:cs="Arial"/>
              </w:rPr>
            </w:pPr>
            <w:r w:rsidRPr="00EF6C3B">
              <w:rPr>
                <w:rFonts w:ascii="Calibri" w:hAnsi="Calibri" w:cs="Arial"/>
              </w:rPr>
              <w:t>Wild Species Working Group</w:t>
            </w:r>
          </w:p>
        </w:tc>
      </w:tr>
    </w:tbl>
    <w:p w:rsidR="00EB74E5" w:rsidRPr="00EF6C3B" w:rsidRDefault="00EB74E5" w:rsidP="00EB74E5">
      <w:pPr>
        <w:spacing w:after="160" w:line="259" w:lineRule="auto"/>
        <w:jc w:val="left"/>
        <w:rPr>
          <w:rFonts w:ascii="Calibri" w:eastAsia="Calibri" w:hAnsi="Calibri"/>
          <w:b/>
          <w:bCs/>
          <w:sz w:val="22"/>
          <w:szCs w:val="22"/>
        </w:rPr>
      </w:pPr>
    </w:p>
    <w:p w:rsidR="00EB74E5" w:rsidRPr="00EF6C3B" w:rsidRDefault="00EB74E5" w:rsidP="00EB74E5">
      <w:pPr>
        <w:spacing w:after="160" w:line="259" w:lineRule="auto"/>
        <w:jc w:val="left"/>
        <w:rPr>
          <w:rFonts w:ascii="Calibri" w:eastAsia="Calibri" w:hAnsi="Calibri"/>
          <w:bCs/>
          <w:sz w:val="22"/>
          <w:szCs w:val="22"/>
        </w:rPr>
      </w:pPr>
      <w:r w:rsidRPr="00EF6C3B">
        <w:rPr>
          <w:rFonts w:ascii="Calibri" w:eastAsia="Calibri" w:hAnsi="Calibri"/>
          <w:bCs/>
          <w:sz w:val="22"/>
          <w:szCs w:val="22"/>
        </w:rPr>
        <w:t>ISTA ACCREDITATION PROGRAMME:</w:t>
      </w:r>
    </w:p>
    <w:p w:rsidR="00EB74E5" w:rsidRPr="00EF6C3B" w:rsidRDefault="00EB74E5" w:rsidP="00EB74E5">
      <w:pPr>
        <w:rPr>
          <w:rFonts w:eastAsia="Calibri" w:cs="Arial"/>
          <w:color w:val="000000"/>
        </w:rPr>
      </w:pPr>
      <w:r w:rsidRPr="00EF6C3B">
        <w:rPr>
          <w:rFonts w:eastAsia="Calibri" w:cs="Arial"/>
          <w:color w:val="000000"/>
        </w:rPr>
        <w:t>ISTA Accreditation verifies whether a laboratory is technically competent to carry out seed sampling and testing procedures in accordance with the </w:t>
      </w:r>
      <w:hyperlink r:id="rId15" w:history="1">
        <w:r w:rsidRPr="00EF6C3B">
          <w:rPr>
            <w:rFonts w:eastAsia="Calibri" w:cs="Arial"/>
            <w:color w:val="000000"/>
          </w:rPr>
          <w:t>ISTA International Rules for Seed Testing</w:t>
        </w:r>
      </w:hyperlink>
      <w:r w:rsidRPr="00EF6C3B">
        <w:rPr>
          <w:rFonts w:eastAsia="Calibri" w:cs="Arial"/>
          <w:color w:val="000000"/>
        </w:rPr>
        <w:t>. Accredited laboratories must run a quality assurance system, fulfilling the requirements of the </w:t>
      </w:r>
      <w:hyperlink r:id="rId16" w:history="1">
        <w:r w:rsidRPr="00EF6C3B">
          <w:rPr>
            <w:rFonts w:eastAsia="Calibri" w:cs="Arial"/>
            <w:color w:val="000000"/>
          </w:rPr>
          <w:t>ISTA Accreditation Standard</w:t>
        </w:r>
      </w:hyperlink>
      <w:r w:rsidRPr="00EF6C3B">
        <w:rPr>
          <w:rFonts w:eastAsia="Calibri" w:cs="Arial"/>
          <w:color w:val="000000"/>
        </w:rPr>
        <w:t xml:space="preserve">. Accreditation </w:t>
      </w:r>
      <w:proofErr w:type="gramStart"/>
      <w:r w:rsidRPr="00EF6C3B">
        <w:rPr>
          <w:rFonts w:eastAsia="Calibri" w:cs="Arial"/>
          <w:color w:val="000000"/>
        </w:rPr>
        <w:t>can be granted</w:t>
      </w:r>
      <w:proofErr w:type="gramEnd"/>
      <w:r w:rsidRPr="00EF6C3B">
        <w:rPr>
          <w:rFonts w:eastAsia="Calibri" w:cs="Arial"/>
          <w:color w:val="000000"/>
        </w:rPr>
        <w:t xml:space="preserve"> for:</w:t>
      </w:r>
    </w:p>
    <w:p w:rsidR="00EB74E5" w:rsidRPr="00EF6C3B" w:rsidRDefault="00EB74E5" w:rsidP="00EB74E5">
      <w:pPr>
        <w:numPr>
          <w:ilvl w:val="0"/>
          <w:numId w:val="11"/>
        </w:numPr>
        <w:shd w:val="clear" w:color="auto" w:fill="FFFFFF"/>
        <w:spacing w:before="100" w:beforeAutospacing="1" w:after="100" w:afterAutospacing="1" w:line="259" w:lineRule="auto"/>
        <w:jc w:val="left"/>
        <w:rPr>
          <w:rFonts w:eastAsia="Calibri" w:cs="Arial"/>
          <w:color w:val="000000"/>
          <w:lang w:val="de-CH"/>
        </w:rPr>
      </w:pPr>
      <w:r w:rsidRPr="00EF6C3B">
        <w:rPr>
          <w:rFonts w:eastAsia="Calibri" w:cs="Arial"/>
          <w:color w:val="000000"/>
          <w:lang w:val="de-CH"/>
        </w:rPr>
        <w:t>entities performing sampling only</w:t>
      </w:r>
      <w:r w:rsidRPr="00EF6C3B">
        <w:rPr>
          <w:rFonts w:eastAsia="Calibri" w:cs="Arial"/>
          <w:color w:val="000000"/>
          <w:lang w:val="de-CH"/>
        </w:rPr>
        <w:br/>
      </w:r>
    </w:p>
    <w:p w:rsidR="00EB74E5" w:rsidRPr="00EF6C3B" w:rsidRDefault="00EB74E5" w:rsidP="00EB74E5">
      <w:pPr>
        <w:numPr>
          <w:ilvl w:val="0"/>
          <w:numId w:val="11"/>
        </w:numPr>
        <w:shd w:val="clear" w:color="auto" w:fill="FFFFFF"/>
        <w:spacing w:before="100" w:beforeAutospacing="1" w:after="100" w:afterAutospacing="1" w:line="259" w:lineRule="auto"/>
        <w:jc w:val="left"/>
        <w:rPr>
          <w:rFonts w:eastAsia="Calibri" w:cs="Arial"/>
          <w:color w:val="000000"/>
          <w:lang w:val="de-CH"/>
        </w:rPr>
      </w:pPr>
      <w:r w:rsidRPr="00EF6C3B">
        <w:rPr>
          <w:rFonts w:eastAsia="Calibri" w:cs="Arial"/>
          <w:color w:val="000000"/>
          <w:lang w:val="de-CH"/>
        </w:rPr>
        <w:t>laboratories performing testing only</w:t>
      </w:r>
      <w:r w:rsidRPr="00EF6C3B">
        <w:rPr>
          <w:rFonts w:eastAsia="Calibri" w:cs="Arial"/>
          <w:color w:val="000000"/>
          <w:lang w:val="de-CH"/>
        </w:rPr>
        <w:br/>
      </w:r>
    </w:p>
    <w:p w:rsidR="00EB74E5" w:rsidRPr="00EF6C3B" w:rsidRDefault="00EB74E5" w:rsidP="00EB74E5">
      <w:pPr>
        <w:numPr>
          <w:ilvl w:val="0"/>
          <w:numId w:val="11"/>
        </w:numPr>
        <w:shd w:val="clear" w:color="auto" w:fill="FFFFFF"/>
        <w:spacing w:before="100" w:beforeAutospacing="1" w:after="100" w:afterAutospacing="1" w:line="259" w:lineRule="auto"/>
        <w:jc w:val="left"/>
        <w:rPr>
          <w:rFonts w:eastAsia="Calibri" w:cs="Arial"/>
          <w:color w:val="000000"/>
        </w:rPr>
      </w:pPr>
      <w:proofErr w:type="gramStart"/>
      <w:r w:rsidRPr="00EF6C3B">
        <w:rPr>
          <w:rFonts w:eastAsia="Calibri" w:cs="Arial"/>
          <w:color w:val="000000"/>
        </w:rPr>
        <w:t>laboratories</w:t>
      </w:r>
      <w:proofErr w:type="gramEnd"/>
      <w:r w:rsidRPr="00EF6C3B">
        <w:rPr>
          <w:rFonts w:eastAsia="Calibri" w:cs="Arial"/>
          <w:color w:val="000000"/>
        </w:rPr>
        <w:t xml:space="preserve"> performing sampling and testing.</w:t>
      </w:r>
    </w:p>
    <w:p w:rsidR="00EB74E5" w:rsidRPr="00EF6C3B" w:rsidRDefault="00EB74E5" w:rsidP="00EB74E5">
      <w:pPr>
        <w:spacing w:after="160" w:line="259" w:lineRule="auto"/>
        <w:jc w:val="left"/>
        <w:rPr>
          <w:rFonts w:ascii="Calibri" w:eastAsia="Calibri" w:hAnsi="Calibri"/>
          <w:bCs/>
          <w:sz w:val="22"/>
          <w:szCs w:val="22"/>
        </w:rPr>
      </w:pPr>
      <w:r w:rsidRPr="00EF6C3B">
        <w:rPr>
          <w:rFonts w:ascii="Calibri" w:eastAsia="Calibri" w:hAnsi="Calibri"/>
          <w:bCs/>
          <w:sz w:val="22"/>
          <w:szCs w:val="22"/>
        </w:rPr>
        <w:t>ISTA CERTIFICATES: PASSPORT FOR INTERNATIONAL SEED TRADING</w:t>
      </w:r>
    </w:p>
    <w:p w:rsidR="00EB74E5" w:rsidRPr="00EF6C3B" w:rsidRDefault="00EB74E5" w:rsidP="00EB74E5">
      <w:pPr>
        <w:spacing w:after="160" w:line="259" w:lineRule="auto"/>
        <w:rPr>
          <w:rFonts w:eastAsia="Calibri" w:cs="Arial"/>
          <w:color w:val="000000"/>
        </w:rPr>
      </w:pPr>
      <w:r w:rsidRPr="00EF6C3B">
        <w:rPr>
          <w:rFonts w:eastAsia="Calibri" w:cs="Arial"/>
          <w:color w:val="000000"/>
        </w:rPr>
        <w:t xml:space="preserve">Only ISTA-accredited laboratories are </w:t>
      </w:r>
      <w:proofErr w:type="spellStart"/>
      <w:r w:rsidRPr="00EF6C3B">
        <w:rPr>
          <w:rFonts w:eastAsia="Calibri" w:cs="Arial"/>
          <w:color w:val="000000"/>
        </w:rPr>
        <w:t>authorised</w:t>
      </w:r>
      <w:proofErr w:type="spellEnd"/>
      <w:r w:rsidRPr="00EF6C3B">
        <w:rPr>
          <w:rFonts w:eastAsia="Calibri" w:cs="Arial"/>
          <w:color w:val="000000"/>
        </w:rPr>
        <w:t xml:space="preserve"> to issue ISTA certificates for seed analysis.</w:t>
      </w:r>
    </w:p>
    <w:p w:rsidR="00EB74E5" w:rsidRPr="00EF6C3B" w:rsidRDefault="00EB74E5" w:rsidP="00EB74E5">
      <w:pPr>
        <w:spacing w:after="160" w:line="259" w:lineRule="auto"/>
        <w:rPr>
          <w:rFonts w:eastAsia="Calibri" w:cs="Arial"/>
          <w:color w:val="000000"/>
        </w:rPr>
      </w:pPr>
      <w:r w:rsidRPr="00EF6C3B">
        <w:rPr>
          <w:rFonts w:eastAsia="Calibri" w:cs="Arial"/>
          <w:color w:val="000000"/>
        </w:rPr>
        <w:t xml:space="preserve">By reporting seed test results on ISTA Certificates, the issuing laboratory assures that the sampling and testing </w:t>
      </w:r>
      <w:proofErr w:type="gramStart"/>
      <w:r w:rsidRPr="00EF6C3B">
        <w:rPr>
          <w:rFonts w:eastAsia="Calibri" w:cs="Arial"/>
          <w:color w:val="000000"/>
        </w:rPr>
        <w:t>has been carried out</w:t>
      </w:r>
      <w:proofErr w:type="gramEnd"/>
      <w:r w:rsidRPr="00EF6C3B">
        <w:rPr>
          <w:rFonts w:eastAsia="Calibri" w:cs="Arial"/>
          <w:color w:val="000000"/>
        </w:rPr>
        <w:t xml:space="preserve"> in accordance with the ISTA Rules. ISTA Certificates are accepted by most authorities and are mentioned in the seed Acts of several countries.</w:t>
      </w:r>
    </w:p>
    <w:p w:rsidR="00EB74E5" w:rsidRPr="00EF6C3B" w:rsidRDefault="00EB74E5" w:rsidP="00EB74E5">
      <w:pPr>
        <w:spacing w:after="160" w:line="259" w:lineRule="auto"/>
        <w:rPr>
          <w:rFonts w:eastAsia="Calibri" w:cs="Arial"/>
          <w:color w:val="000000"/>
        </w:rPr>
      </w:pPr>
      <w:r w:rsidRPr="00EF6C3B">
        <w:rPr>
          <w:rFonts w:eastAsia="Calibri" w:cs="Arial"/>
          <w:color w:val="000000"/>
        </w:rPr>
        <w:t>The ISTA certificates are assuring that the results are reproducible, true and represent the quality of the seed.</w:t>
      </w:r>
    </w:p>
    <w:p w:rsidR="00EB74E5" w:rsidRPr="00EF6C3B" w:rsidRDefault="00EB74E5" w:rsidP="00EB74E5">
      <w:pPr>
        <w:tabs>
          <w:tab w:val="left" w:pos="6104"/>
        </w:tabs>
        <w:spacing w:after="160" w:line="259" w:lineRule="auto"/>
        <w:jc w:val="left"/>
        <w:rPr>
          <w:rFonts w:ascii="Calibri" w:eastAsia="Calibri" w:hAnsi="Calibri"/>
          <w:sz w:val="22"/>
          <w:szCs w:val="22"/>
        </w:rPr>
      </w:pPr>
      <w:r w:rsidRPr="00EF6C3B">
        <w:rPr>
          <w:rFonts w:eastAsia="Calibri" w:cs="Arial"/>
          <w:noProof/>
          <w:color w:val="000000"/>
        </w:rPr>
        <w:drawing>
          <wp:anchor distT="0" distB="0" distL="114300" distR="114300" simplePos="0" relativeHeight="251659264" behindDoc="0" locked="0" layoutInCell="1" allowOverlap="1" wp14:anchorId="40FD448F" wp14:editId="4F3C0993">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Pr="00EF6C3B">
        <w:rPr>
          <w:rFonts w:ascii="Calibri" w:eastAsia="Calibri" w:hAnsi="Calibri"/>
          <w:sz w:val="22"/>
          <w:szCs w:val="22"/>
        </w:rPr>
        <w:tab/>
      </w:r>
    </w:p>
    <w:p w:rsidR="00EB74E5" w:rsidRPr="00EF6C3B" w:rsidRDefault="00EB74E5" w:rsidP="00EB74E5">
      <w:pPr>
        <w:tabs>
          <w:tab w:val="left" w:pos="2434"/>
          <w:tab w:val="left" w:pos="687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EB74E5" w:rsidRPr="00EF6C3B" w:rsidRDefault="00EB74E5" w:rsidP="00EB74E5">
      <w:pPr>
        <w:tabs>
          <w:tab w:val="left" w:pos="1702"/>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EB74E5" w:rsidRPr="00EF6C3B" w:rsidRDefault="00EB74E5" w:rsidP="00EB74E5">
      <w:pPr>
        <w:spacing w:after="160" w:line="259" w:lineRule="auto"/>
        <w:jc w:val="left"/>
        <w:rPr>
          <w:rFonts w:ascii="Calibri" w:eastAsia="Calibri" w:hAnsi="Calibri"/>
          <w:sz w:val="22"/>
          <w:szCs w:val="22"/>
        </w:rPr>
      </w:pPr>
    </w:p>
    <w:p w:rsidR="00EB74E5" w:rsidRPr="00EF6C3B" w:rsidRDefault="00EB74E5" w:rsidP="00EB74E5">
      <w:pPr>
        <w:spacing w:after="160" w:line="259" w:lineRule="auto"/>
        <w:jc w:val="left"/>
        <w:rPr>
          <w:rFonts w:ascii="Calibri" w:eastAsia="Calibri" w:hAnsi="Calibri"/>
          <w:sz w:val="22"/>
          <w:szCs w:val="22"/>
        </w:rPr>
      </w:pPr>
    </w:p>
    <w:p w:rsidR="00EB74E5" w:rsidRPr="00EF6C3B" w:rsidRDefault="00EB74E5" w:rsidP="00EB74E5">
      <w:pPr>
        <w:tabs>
          <w:tab w:val="left" w:pos="3102"/>
          <w:tab w:val="left" w:pos="696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EB74E5" w:rsidRPr="00EF6C3B" w:rsidRDefault="00EB74E5" w:rsidP="00EB74E5">
      <w:pPr>
        <w:tabs>
          <w:tab w:val="left" w:pos="7433"/>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EB74E5" w:rsidRPr="00EF6C3B" w:rsidRDefault="00EB74E5" w:rsidP="00EB74E5">
      <w:pPr>
        <w:spacing w:after="160" w:line="259" w:lineRule="auto"/>
        <w:rPr>
          <w:rFonts w:eastAsia="Calibri" w:cs="Arial"/>
        </w:rPr>
      </w:pPr>
      <w:r w:rsidRPr="00EF6C3B">
        <w:rPr>
          <w:rFonts w:eastAsia="Calibri" w:cs="Arial"/>
        </w:rPr>
        <w:t>More than 200,000 ISTA Orange and Blue Certificates are issued every year, facilitating trading of seed internationally.</w:t>
      </w:r>
    </w:p>
    <w:p w:rsidR="00EB74E5" w:rsidRPr="00EF6C3B" w:rsidRDefault="00EB74E5" w:rsidP="00EB74E5">
      <w:pPr>
        <w:spacing w:line="259" w:lineRule="auto"/>
        <w:rPr>
          <w:rFonts w:eastAsia="Calibri" w:cs="Arial"/>
        </w:rPr>
      </w:pPr>
    </w:p>
    <w:p w:rsidR="00EB74E5" w:rsidRPr="00EF6C3B" w:rsidRDefault="00EB74E5" w:rsidP="00EB74E5">
      <w:pPr>
        <w:spacing w:after="160" w:line="259" w:lineRule="auto"/>
        <w:rPr>
          <w:rFonts w:eastAsia="Calibri" w:cs="Arial"/>
          <w:b/>
          <w:bCs/>
        </w:rPr>
      </w:pPr>
      <w:r w:rsidRPr="00EF6C3B">
        <w:rPr>
          <w:rFonts w:eastAsia="Calibri" w:cs="Arial"/>
          <w:b/>
          <w:bCs/>
        </w:rPr>
        <w:t>THE STATUS OF BIOCHEMICAL AND MOLECULAR TECHNIQUE (BMT) IN ISTA.</w:t>
      </w:r>
    </w:p>
    <w:p w:rsidR="00EB74E5" w:rsidRPr="00EF6C3B" w:rsidRDefault="00EB74E5" w:rsidP="00EB74E5">
      <w:pPr>
        <w:rPr>
          <w:rFonts w:eastAsia="Calibri" w:cs="Arial"/>
          <w:color w:val="000000"/>
        </w:rPr>
      </w:pPr>
      <w:r w:rsidRPr="00EF6C3B">
        <w:rPr>
          <w:rFonts w:eastAsia="Calibri" w:cs="Arial"/>
          <w:color w:val="000000"/>
        </w:rPr>
        <w:t xml:space="preserve">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w:t>
      </w:r>
      <w:proofErr w:type="gramStart"/>
      <w:r w:rsidRPr="00EF6C3B">
        <w:rPr>
          <w:rFonts w:eastAsia="Calibri" w:cs="Arial"/>
          <w:color w:val="000000"/>
        </w:rPr>
        <w:t>are used</w:t>
      </w:r>
      <w:proofErr w:type="gramEnd"/>
      <w:r w:rsidRPr="00EF6C3B">
        <w:rPr>
          <w:rFonts w:eastAsia="Calibri" w:cs="Arial"/>
          <w:color w:val="000000"/>
        </w:rPr>
        <w:t xml:space="preserve"> as diagnostic and quantitative assessment tools in seed health testing methods. Testing for species and varieties verification also makes use of BMTs by </w:t>
      </w:r>
      <w:proofErr w:type="spellStart"/>
      <w:r w:rsidRPr="00EF6C3B">
        <w:rPr>
          <w:rFonts w:eastAsia="Calibri" w:cs="Arial"/>
          <w:color w:val="000000"/>
        </w:rPr>
        <w:t>analysing</w:t>
      </w:r>
      <w:proofErr w:type="spellEnd"/>
      <w:r w:rsidRPr="00EF6C3B">
        <w:rPr>
          <w:rFonts w:eastAsia="Calibri" w:cs="Arial"/>
          <w:color w:val="000000"/>
        </w:rPr>
        <w:t xml:space="preserve"> storage protein profiles for sunflower, maize, oat, barley, wheat, rye grass and pea or by DNA fingerprint using molecular markers for maize and wheat. As the versatility of these methods increases and the cost of utilizing </w:t>
      </w:r>
      <w:proofErr w:type="gramStart"/>
      <w:r w:rsidRPr="00EF6C3B">
        <w:rPr>
          <w:rFonts w:eastAsia="Calibri" w:cs="Arial"/>
          <w:color w:val="000000"/>
        </w:rPr>
        <w:t>them</w:t>
      </w:r>
      <w:proofErr w:type="gramEnd"/>
      <w:r w:rsidRPr="00EF6C3B">
        <w:rPr>
          <w:rFonts w:eastAsia="Calibri" w:cs="Arial"/>
          <w:color w:val="000000"/>
        </w:rPr>
        <w:t xml:space="preserve"> decreases, they may in the future play an even larger role in seed testing.</w:t>
      </w:r>
    </w:p>
    <w:p w:rsidR="00EB74E5" w:rsidRPr="00EF6C3B" w:rsidRDefault="00EB74E5" w:rsidP="00EB74E5">
      <w:pPr>
        <w:spacing w:after="160" w:line="259" w:lineRule="auto"/>
        <w:jc w:val="left"/>
        <w:rPr>
          <w:rFonts w:eastAsia="Calibri" w:cs="Arial"/>
          <w:color w:val="000000"/>
        </w:rPr>
      </w:pPr>
    </w:p>
    <w:p w:rsidR="00EB74E5" w:rsidRPr="00EF6C3B" w:rsidRDefault="00EB74E5" w:rsidP="00EB74E5">
      <w:pPr>
        <w:spacing w:after="160" w:line="259" w:lineRule="auto"/>
        <w:jc w:val="left"/>
        <w:rPr>
          <w:rFonts w:eastAsia="Calibri" w:cs="Arial"/>
          <w:color w:val="000000"/>
        </w:rPr>
      </w:pPr>
      <w:r w:rsidRPr="00EF6C3B">
        <w:rPr>
          <w:rFonts w:eastAsia="Calibri" w:cs="Arial"/>
          <w:color w:val="000000"/>
        </w:rPr>
        <w:t xml:space="preserve">To learn more about ISTA, visit our website: </w:t>
      </w:r>
      <w:hyperlink r:id="rId22" w:history="1">
        <w:r w:rsidRPr="00EF6C3B">
          <w:rPr>
            <w:rFonts w:eastAsia="Calibri" w:cs="Arial"/>
            <w:color w:val="000000"/>
          </w:rPr>
          <w:t>www.seedtest.org</w:t>
        </w:r>
      </w:hyperlink>
    </w:p>
    <w:p w:rsidR="00A16EC8" w:rsidRPr="00A16EC8" w:rsidRDefault="00A16EC8" w:rsidP="00445B73">
      <w:pPr>
        <w:rPr>
          <w:rFonts w:cs="Arial"/>
          <w:lang w:val="en-GB"/>
        </w:rPr>
      </w:pPr>
    </w:p>
    <w:p w:rsidR="00B06F4E" w:rsidRPr="00C651CE" w:rsidRDefault="00B06F4E" w:rsidP="00B06F4E"/>
    <w:p w:rsidR="00B06F4E" w:rsidRPr="00C5280D" w:rsidRDefault="00B06F4E" w:rsidP="00450501">
      <w:pPr>
        <w:jc w:val="right"/>
      </w:pPr>
      <w:r w:rsidRPr="00C5280D">
        <w:t xml:space="preserve">[End of </w:t>
      </w:r>
      <w:r>
        <w:t xml:space="preserve">Annex and of </w:t>
      </w:r>
      <w:r w:rsidRPr="00C5280D">
        <w:t>document]</w:t>
      </w:r>
    </w:p>
    <w:p w:rsidR="00445B73" w:rsidRPr="00B06F4E" w:rsidRDefault="00445B73" w:rsidP="00445B73">
      <w:pPr>
        <w:jc w:val="right"/>
        <w:rPr>
          <w:rFonts w:cs="Arial"/>
        </w:rPr>
      </w:pPr>
    </w:p>
    <w:p w:rsidR="00445B73" w:rsidRPr="00C5280D" w:rsidRDefault="00445B73" w:rsidP="00445B73">
      <w:pPr>
        <w:jc w:val="left"/>
      </w:pPr>
    </w:p>
    <w:p w:rsidR="00050E16" w:rsidRPr="00C5280D" w:rsidRDefault="00050E16" w:rsidP="009B440E">
      <w:pPr>
        <w:jc w:val="left"/>
      </w:pPr>
    </w:p>
    <w:sectPr w:rsidR="00050E16" w:rsidRPr="00C5280D" w:rsidSect="0004198B">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35" w:rsidRDefault="00604B35" w:rsidP="006655D3">
      <w:r>
        <w:separator/>
      </w:r>
    </w:p>
    <w:p w:rsidR="00604B35" w:rsidRDefault="00604B35" w:rsidP="006655D3"/>
    <w:p w:rsidR="00604B35" w:rsidRDefault="00604B35" w:rsidP="006655D3"/>
  </w:endnote>
  <w:endnote w:type="continuationSeparator" w:id="0">
    <w:p w:rsidR="00604B35" w:rsidRDefault="00604B35" w:rsidP="006655D3">
      <w:r>
        <w:separator/>
      </w:r>
    </w:p>
    <w:p w:rsidR="00604B35" w:rsidRPr="00294751" w:rsidRDefault="00604B35">
      <w:pPr>
        <w:pStyle w:val="Footer"/>
        <w:spacing w:after="60"/>
        <w:rPr>
          <w:sz w:val="18"/>
          <w:lang w:val="fr-FR"/>
        </w:rPr>
      </w:pPr>
      <w:r w:rsidRPr="00294751">
        <w:rPr>
          <w:sz w:val="18"/>
          <w:lang w:val="fr-FR"/>
        </w:rPr>
        <w:t>[Suite de la note de la page précédente]</w:t>
      </w:r>
    </w:p>
    <w:p w:rsidR="00604B35" w:rsidRPr="00294751" w:rsidRDefault="00604B35" w:rsidP="006655D3">
      <w:pPr>
        <w:rPr>
          <w:lang w:val="fr-FR"/>
        </w:rPr>
      </w:pPr>
    </w:p>
    <w:p w:rsidR="00604B35" w:rsidRPr="00294751" w:rsidRDefault="00604B35" w:rsidP="006655D3">
      <w:pPr>
        <w:rPr>
          <w:lang w:val="fr-FR"/>
        </w:rPr>
      </w:pPr>
    </w:p>
  </w:endnote>
  <w:endnote w:type="continuationNotice" w:id="1">
    <w:p w:rsidR="00604B35" w:rsidRPr="00294751" w:rsidRDefault="00604B35" w:rsidP="006655D3">
      <w:pPr>
        <w:rPr>
          <w:lang w:val="fr-FR"/>
        </w:rPr>
      </w:pPr>
      <w:r w:rsidRPr="00294751">
        <w:rPr>
          <w:lang w:val="fr-FR"/>
        </w:rPr>
        <w:t>[Suite de la note page suivante]</w:t>
      </w:r>
    </w:p>
    <w:p w:rsidR="00604B35" w:rsidRPr="00294751" w:rsidRDefault="00604B35" w:rsidP="006655D3">
      <w:pPr>
        <w:rPr>
          <w:lang w:val="fr-FR"/>
        </w:rPr>
      </w:pPr>
    </w:p>
    <w:p w:rsidR="00604B35" w:rsidRPr="00294751" w:rsidRDefault="00604B3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35" w:rsidRDefault="00604B35" w:rsidP="006655D3">
      <w:r>
        <w:separator/>
      </w:r>
    </w:p>
  </w:footnote>
  <w:footnote w:type="continuationSeparator" w:id="0">
    <w:p w:rsidR="00604B35" w:rsidRDefault="00604B35" w:rsidP="006655D3">
      <w:r>
        <w:separator/>
      </w:r>
    </w:p>
  </w:footnote>
  <w:footnote w:type="continuationNotice" w:id="1">
    <w:p w:rsidR="00604B35" w:rsidRPr="00AB530F" w:rsidRDefault="00604B35" w:rsidP="00AB530F">
      <w:pPr>
        <w:pStyle w:val="Footer"/>
      </w:pPr>
    </w:p>
  </w:footnote>
  <w:footnote w:id="2">
    <w:p w:rsidR="00604B35" w:rsidRPr="0067537F" w:rsidRDefault="00604B35" w:rsidP="00BE7EB4">
      <w:pPr>
        <w:pStyle w:val="FootnoteText"/>
      </w:pPr>
      <w:r w:rsidRPr="0067537F">
        <w:rPr>
          <w:rStyle w:val="FootnoteReference"/>
        </w:rPr>
        <w:footnoteRef/>
      </w:r>
      <w:r w:rsidRPr="0067537F">
        <w:t xml:space="preserve"> at its fifty-sixth session, held via electronic means, from April 18 to 22, 2022</w:t>
      </w:r>
    </w:p>
  </w:footnote>
  <w:footnote w:id="3">
    <w:p w:rsidR="00604B35" w:rsidRPr="0067537F" w:rsidRDefault="00604B35" w:rsidP="00BE7EB4">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4">
    <w:p w:rsidR="00604B35" w:rsidRPr="0067537F" w:rsidRDefault="00604B35" w:rsidP="00BE7EB4">
      <w:pPr>
        <w:pStyle w:val="FootnoteText"/>
        <w:rPr>
          <w:highlight w:val="cyan"/>
        </w:rPr>
      </w:pPr>
      <w:r w:rsidRPr="00D27BB4">
        <w:rPr>
          <w:rStyle w:val="FootnoteReference"/>
        </w:rPr>
        <w:footnoteRef/>
      </w:r>
      <w:r>
        <w:t xml:space="preserve"> at its fifty-fourth session, </w:t>
      </w:r>
      <w:r w:rsidRPr="00D27BB4">
        <w:t>hosted by Germany held via electronic means, from June 13 to 17, 2022</w:t>
      </w:r>
    </w:p>
  </w:footnote>
  <w:footnote w:id="5">
    <w:p w:rsidR="00604B35" w:rsidRDefault="00604B35" w:rsidP="00BE7EB4">
      <w:pPr>
        <w:pStyle w:val="FootnoteText"/>
      </w:pPr>
      <w:r w:rsidRPr="00D27BB4">
        <w:rPr>
          <w:rStyle w:val="FootnoteReference"/>
        </w:rPr>
        <w:footnoteRef/>
      </w:r>
      <w:r w:rsidRPr="00D27BB4">
        <w:t xml:space="preserve"> at its fifty-third session, held via electronic means, from July 11 to 15, 2022</w:t>
      </w:r>
    </w:p>
  </w:footnote>
  <w:footnote w:id="6">
    <w:p w:rsidR="00604B35" w:rsidRPr="005F1F78" w:rsidRDefault="00604B35" w:rsidP="00BE7EB4">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35" w:rsidRDefault="00604B35" w:rsidP="00B06F4E">
    <w:pPr>
      <w:jc w:val="center"/>
      <w:rPr>
        <w:rStyle w:val="PageNumber"/>
      </w:rPr>
    </w:pPr>
    <w:r w:rsidRPr="00EB74E5">
      <w:rPr>
        <w:rStyle w:val="PageNumber"/>
      </w:rPr>
      <w:t>TC/58/INF/6</w:t>
    </w:r>
  </w:p>
  <w:p w:rsidR="00604B35" w:rsidRPr="00455A1B" w:rsidRDefault="00604B35" w:rsidP="00B06F4E">
    <w:pPr>
      <w:jc w:val="center"/>
    </w:pPr>
    <w:proofErr w:type="gramStart"/>
    <w:r w:rsidRPr="00455A1B">
      <w:t>page</w:t>
    </w:r>
    <w:proofErr w:type="gramEnd"/>
    <w:r w:rsidRPr="00455A1B">
      <w:t xml:space="preserve"> </w:t>
    </w:r>
    <w:r w:rsidRPr="00455A1B">
      <w:fldChar w:fldCharType="begin"/>
    </w:r>
    <w:r w:rsidRPr="00455A1B">
      <w:instrText xml:space="preserve"> PAGE </w:instrText>
    </w:r>
    <w:r w:rsidRPr="00455A1B">
      <w:fldChar w:fldCharType="separate"/>
    </w:r>
    <w:r w:rsidR="00BD0C0C">
      <w:rPr>
        <w:noProof/>
      </w:rPr>
      <w:t>5</w:t>
    </w:r>
    <w:r w:rsidRPr="00455A1B">
      <w:fldChar w:fldCharType="end"/>
    </w:r>
  </w:p>
  <w:p w:rsidR="00604B35" w:rsidRPr="00C5280D" w:rsidRDefault="00604B3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35" w:rsidRPr="00EB74E5" w:rsidRDefault="00604B35" w:rsidP="00B06F4E">
    <w:pPr>
      <w:jc w:val="center"/>
      <w:rPr>
        <w:rStyle w:val="PageNumber"/>
        <w:lang w:val="fr-FR"/>
      </w:rPr>
    </w:pPr>
    <w:r w:rsidRPr="00EB74E5">
      <w:rPr>
        <w:rStyle w:val="PageNumber"/>
        <w:lang w:val="fr-FR"/>
      </w:rPr>
      <w:t>TC/58/INF/6</w:t>
    </w:r>
  </w:p>
  <w:p w:rsidR="00604B35" w:rsidRPr="00EB74E5" w:rsidRDefault="00604B35" w:rsidP="00B06F4E">
    <w:pPr>
      <w:jc w:val="center"/>
      <w:rPr>
        <w:lang w:val="fr-FR"/>
      </w:rPr>
    </w:pPr>
    <w:r w:rsidRPr="00EB74E5">
      <w:rPr>
        <w:lang w:val="fr-FR"/>
      </w:rPr>
      <w:t>A</w:t>
    </w:r>
    <w:r w:rsidR="005C548D">
      <w:rPr>
        <w:lang w:val="fr-FR"/>
      </w:rPr>
      <w:t>nnex</w:t>
    </w:r>
    <w:r w:rsidRPr="00EB74E5">
      <w:rPr>
        <w:lang w:val="fr-FR"/>
      </w:rPr>
      <w:t xml:space="preserve">, page </w:t>
    </w:r>
    <w:r w:rsidRPr="00455A1B">
      <w:fldChar w:fldCharType="begin"/>
    </w:r>
    <w:r w:rsidRPr="00EB74E5">
      <w:rPr>
        <w:lang w:val="fr-FR"/>
      </w:rPr>
      <w:instrText xml:space="preserve"> PAGE </w:instrText>
    </w:r>
    <w:r w:rsidRPr="00455A1B">
      <w:fldChar w:fldCharType="separate"/>
    </w:r>
    <w:r w:rsidR="00BD0C0C">
      <w:rPr>
        <w:noProof/>
        <w:lang w:val="fr-FR"/>
      </w:rPr>
      <w:t>7</w:t>
    </w:r>
    <w:r w:rsidRPr="00455A1B">
      <w:fldChar w:fldCharType="end"/>
    </w:r>
  </w:p>
  <w:p w:rsidR="00604B35" w:rsidRPr="00EB74E5" w:rsidRDefault="00604B35"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35" w:rsidRDefault="00604B35" w:rsidP="00A16EC8">
    <w:pPr>
      <w:jc w:val="center"/>
      <w:rPr>
        <w:rStyle w:val="PageNumber"/>
      </w:rPr>
    </w:pPr>
    <w:r w:rsidRPr="00EB74E5">
      <w:rPr>
        <w:rStyle w:val="PageNumber"/>
      </w:rPr>
      <w:t>TC/58/INF/6</w:t>
    </w:r>
  </w:p>
  <w:p w:rsidR="00604B35" w:rsidRDefault="00604B35" w:rsidP="00A16EC8">
    <w:pPr>
      <w:jc w:val="center"/>
      <w:rPr>
        <w:rStyle w:val="PageNumber"/>
      </w:rPr>
    </w:pPr>
  </w:p>
  <w:p w:rsidR="00604B35" w:rsidRPr="0004198B" w:rsidRDefault="00604B35" w:rsidP="00A16EC8">
    <w:pPr>
      <w:jc w:val="center"/>
    </w:pPr>
    <w:r w:rsidRPr="0031757A">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E97A8FDE"/>
    <w:lvl w:ilvl="0" w:tplc="4216D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5"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D04FC4"/>
    <w:multiLevelType w:val="hybridMultilevel"/>
    <w:tmpl w:val="978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33CFD"/>
    <w:multiLevelType w:val="hybridMultilevel"/>
    <w:tmpl w:val="F8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B30A8"/>
    <w:multiLevelType w:val="hybridMultilevel"/>
    <w:tmpl w:val="2BB41828"/>
    <w:lvl w:ilvl="0" w:tplc="81D65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5320D"/>
    <w:multiLevelType w:val="hybridMultilevel"/>
    <w:tmpl w:val="FEB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0"/>
  </w:num>
  <w:num w:numId="5">
    <w:abstractNumId w:val="13"/>
  </w:num>
  <w:num w:numId="6">
    <w:abstractNumId w:val="12"/>
  </w:num>
  <w:num w:numId="7">
    <w:abstractNumId w:val="8"/>
  </w:num>
  <w:num w:numId="8">
    <w:abstractNumId w:val="6"/>
  </w:num>
  <w:num w:numId="9">
    <w:abstractNumId w:val="2"/>
  </w:num>
  <w:num w:numId="10">
    <w:abstractNumId w:val="7"/>
  </w:num>
  <w:num w:numId="11">
    <w:abstractNumId w:val="11"/>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13A"/>
    <w:rsid w:val="000148BC"/>
    <w:rsid w:val="00017EC0"/>
    <w:rsid w:val="00024AB8"/>
    <w:rsid w:val="00025ADC"/>
    <w:rsid w:val="00030854"/>
    <w:rsid w:val="00036028"/>
    <w:rsid w:val="0004198B"/>
    <w:rsid w:val="00044642"/>
    <w:rsid w:val="000446B9"/>
    <w:rsid w:val="00047E21"/>
    <w:rsid w:val="00050E16"/>
    <w:rsid w:val="00051FED"/>
    <w:rsid w:val="000571F7"/>
    <w:rsid w:val="00085505"/>
    <w:rsid w:val="000C4E25"/>
    <w:rsid w:val="000C7021"/>
    <w:rsid w:val="000D1DF9"/>
    <w:rsid w:val="000D6BBC"/>
    <w:rsid w:val="000D7780"/>
    <w:rsid w:val="000E636A"/>
    <w:rsid w:val="000F0880"/>
    <w:rsid w:val="000F2F11"/>
    <w:rsid w:val="000F6B3F"/>
    <w:rsid w:val="00100A5F"/>
    <w:rsid w:val="00105929"/>
    <w:rsid w:val="00110BED"/>
    <w:rsid w:val="00110C36"/>
    <w:rsid w:val="001131D5"/>
    <w:rsid w:val="00114547"/>
    <w:rsid w:val="00141DB8"/>
    <w:rsid w:val="00144612"/>
    <w:rsid w:val="0015619C"/>
    <w:rsid w:val="00172084"/>
    <w:rsid w:val="0017474A"/>
    <w:rsid w:val="001758C6"/>
    <w:rsid w:val="00182B99"/>
    <w:rsid w:val="001A49CE"/>
    <w:rsid w:val="001C1525"/>
    <w:rsid w:val="001C6546"/>
    <w:rsid w:val="001D14EA"/>
    <w:rsid w:val="0021332C"/>
    <w:rsid w:val="00213982"/>
    <w:rsid w:val="0024416D"/>
    <w:rsid w:val="00270348"/>
    <w:rsid w:val="00271911"/>
    <w:rsid w:val="00273187"/>
    <w:rsid w:val="002776BE"/>
    <w:rsid w:val="002800A0"/>
    <w:rsid w:val="002801B3"/>
    <w:rsid w:val="00281060"/>
    <w:rsid w:val="00284050"/>
    <w:rsid w:val="00284ACE"/>
    <w:rsid w:val="00285BD0"/>
    <w:rsid w:val="002940E8"/>
    <w:rsid w:val="00294751"/>
    <w:rsid w:val="002A6E50"/>
    <w:rsid w:val="002B4298"/>
    <w:rsid w:val="002B587E"/>
    <w:rsid w:val="002B7A36"/>
    <w:rsid w:val="002C256A"/>
    <w:rsid w:val="002D5226"/>
    <w:rsid w:val="002D7623"/>
    <w:rsid w:val="00302764"/>
    <w:rsid w:val="00305A7F"/>
    <w:rsid w:val="003065A8"/>
    <w:rsid w:val="00306A90"/>
    <w:rsid w:val="003152FE"/>
    <w:rsid w:val="00327436"/>
    <w:rsid w:val="0034068E"/>
    <w:rsid w:val="00344BD6"/>
    <w:rsid w:val="003509ED"/>
    <w:rsid w:val="0035528D"/>
    <w:rsid w:val="00361821"/>
    <w:rsid w:val="00361E9E"/>
    <w:rsid w:val="00367A58"/>
    <w:rsid w:val="00374CE4"/>
    <w:rsid w:val="003753EE"/>
    <w:rsid w:val="00392E40"/>
    <w:rsid w:val="0039544A"/>
    <w:rsid w:val="003A0835"/>
    <w:rsid w:val="003A5AAF"/>
    <w:rsid w:val="003B5240"/>
    <w:rsid w:val="003B700A"/>
    <w:rsid w:val="003C7FBE"/>
    <w:rsid w:val="003D0839"/>
    <w:rsid w:val="003D227C"/>
    <w:rsid w:val="003D2B4D"/>
    <w:rsid w:val="003D5F5B"/>
    <w:rsid w:val="003F37F5"/>
    <w:rsid w:val="00407A9C"/>
    <w:rsid w:val="004133B2"/>
    <w:rsid w:val="00440A9A"/>
    <w:rsid w:val="00444A88"/>
    <w:rsid w:val="00445B73"/>
    <w:rsid w:val="00447E75"/>
    <w:rsid w:val="00450501"/>
    <w:rsid w:val="00474DA4"/>
    <w:rsid w:val="00476B4D"/>
    <w:rsid w:val="004805FA"/>
    <w:rsid w:val="004935D2"/>
    <w:rsid w:val="0049526B"/>
    <w:rsid w:val="004B1215"/>
    <w:rsid w:val="004D047D"/>
    <w:rsid w:val="004D34C0"/>
    <w:rsid w:val="004F1E9E"/>
    <w:rsid w:val="004F305A"/>
    <w:rsid w:val="004F7B12"/>
    <w:rsid w:val="005007AA"/>
    <w:rsid w:val="00512164"/>
    <w:rsid w:val="00520297"/>
    <w:rsid w:val="005338F9"/>
    <w:rsid w:val="005414A0"/>
    <w:rsid w:val="0054281C"/>
    <w:rsid w:val="00542955"/>
    <w:rsid w:val="00544581"/>
    <w:rsid w:val="0055268D"/>
    <w:rsid w:val="00575DE2"/>
    <w:rsid w:val="00576BE4"/>
    <w:rsid w:val="005779DB"/>
    <w:rsid w:val="005A2A67"/>
    <w:rsid w:val="005A400A"/>
    <w:rsid w:val="005A618A"/>
    <w:rsid w:val="005B269D"/>
    <w:rsid w:val="005C548D"/>
    <w:rsid w:val="005D4DA7"/>
    <w:rsid w:val="005E7118"/>
    <w:rsid w:val="005F7B92"/>
    <w:rsid w:val="00602BA5"/>
    <w:rsid w:val="00604B35"/>
    <w:rsid w:val="00605D26"/>
    <w:rsid w:val="00612379"/>
    <w:rsid w:val="00614F2B"/>
    <w:rsid w:val="006153B6"/>
    <w:rsid w:val="0061555F"/>
    <w:rsid w:val="006245ED"/>
    <w:rsid w:val="00636CA6"/>
    <w:rsid w:val="00641200"/>
    <w:rsid w:val="00645CA8"/>
    <w:rsid w:val="006655D3"/>
    <w:rsid w:val="00667404"/>
    <w:rsid w:val="00673997"/>
    <w:rsid w:val="0067537F"/>
    <w:rsid w:val="00686083"/>
    <w:rsid w:val="00687EB4"/>
    <w:rsid w:val="00695C56"/>
    <w:rsid w:val="006A5CDE"/>
    <w:rsid w:val="006A644A"/>
    <w:rsid w:val="006B17D2"/>
    <w:rsid w:val="006C224E"/>
    <w:rsid w:val="006D780A"/>
    <w:rsid w:val="00700DD6"/>
    <w:rsid w:val="007022C5"/>
    <w:rsid w:val="0070630F"/>
    <w:rsid w:val="0071271E"/>
    <w:rsid w:val="0072507E"/>
    <w:rsid w:val="00732DEC"/>
    <w:rsid w:val="00735BD5"/>
    <w:rsid w:val="007451EC"/>
    <w:rsid w:val="00751613"/>
    <w:rsid w:val="00753EE9"/>
    <w:rsid w:val="007556F6"/>
    <w:rsid w:val="00760EEF"/>
    <w:rsid w:val="00777EE5"/>
    <w:rsid w:val="00784836"/>
    <w:rsid w:val="0079023E"/>
    <w:rsid w:val="007915C4"/>
    <w:rsid w:val="007A2854"/>
    <w:rsid w:val="007B1BA8"/>
    <w:rsid w:val="007C1D92"/>
    <w:rsid w:val="007C4CB9"/>
    <w:rsid w:val="007D0B9D"/>
    <w:rsid w:val="007D19B0"/>
    <w:rsid w:val="007F498F"/>
    <w:rsid w:val="00800C5A"/>
    <w:rsid w:val="0080679D"/>
    <w:rsid w:val="008108B0"/>
    <w:rsid w:val="00811B20"/>
    <w:rsid w:val="00812609"/>
    <w:rsid w:val="008211B5"/>
    <w:rsid w:val="0082296E"/>
    <w:rsid w:val="00824099"/>
    <w:rsid w:val="00827704"/>
    <w:rsid w:val="00836B13"/>
    <w:rsid w:val="008422AD"/>
    <w:rsid w:val="00846D7C"/>
    <w:rsid w:val="008537B9"/>
    <w:rsid w:val="00853C01"/>
    <w:rsid w:val="0086245B"/>
    <w:rsid w:val="00867AC1"/>
    <w:rsid w:val="008751DE"/>
    <w:rsid w:val="00881F5A"/>
    <w:rsid w:val="00890DF8"/>
    <w:rsid w:val="008A0ADE"/>
    <w:rsid w:val="008A743F"/>
    <w:rsid w:val="008C0970"/>
    <w:rsid w:val="008D0BC5"/>
    <w:rsid w:val="008D2CF7"/>
    <w:rsid w:val="008E15E2"/>
    <w:rsid w:val="00900C26"/>
    <w:rsid w:val="0090197F"/>
    <w:rsid w:val="00903264"/>
    <w:rsid w:val="00906DDC"/>
    <w:rsid w:val="00932468"/>
    <w:rsid w:val="00934E09"/>
    <w:rsid w:val="00936253"/>
    <w:rsid w:val="00940D46"/>
    <w:rsid w:val="009413F1"/>
    <w:rsid w:val="00952DD4"/>
    <w:rsid w:val="009561F4"/>
    <w:rsid w:val="00965AE7"/>
    <w:rsid w:val="00970FED"/>
    <w:rsid w:val="00973E35"/>
    <w:rsid w:val="00985E41"/>
    <w:rsid w:val="00992D82"/>
    <w:rsid w:val="00997029"/>
    <w:rsid w:val="009A7339"/>
    <w:rsid w:val="009B1294"/>
    <w:rsid w:val="009B440E"/>
    <w:rsid w:val="009D3227"/>
    <w:rsid w:val="009D690D"/>
    <w:rsid w:val="009E65B6"/>
    <w:rsid w:val="009F0A51"/>
    <w:rsid w:val="009F0B7F"/>
    <w:rsid w:val="009F77CF"/>
    <w:rsid w:val="00A12795"/>
    <w:rsid w:val="00A16EC8"/>
    <w:rsid w:val="00A2054A"/>
    <w:rsid w:val="00A24C10"/>
    <w:rsid w:val="00A36C59"/>
    <w:rsid w:val="00A42AC3"/>
    <w:rsid w:val="00A430CF"/>
    <w:rsid w:val="00A54309"/>
    <w:rsid w:val="00A5499F"/>
    <w:rsid w:val="00A55168"/>
    <w:rsid w:val="00A610A9"/>
    <w:rsid w:val="00A65330"/>
    <w:rsid w:val="00A80F2A"/>
    <w:rsid w:val="00A96C33"/>
    <w:rsid w:val="00AB2B93"/>
    <w:rsid w:val="00AB530F"/>
    <w:rsid w:val="00AB7D8B"/>
    <w:rsid w:val="00AB7E5B"/>
    <w:rsid w:val="00AC2883"/>
    <w:rsid w:val="00AE0EF1"/>
    <w:rsid w:val="00AE2937"/>
    <w:rsid w:val="00AE3F08"/>
    <w:rsid w:val="00AF7A39"/>
    <w:rsid w:val="00B06F4E"/>
    <w:rsid w:val="00B07301"/>
    <w:rsid w:val="00B11F3E"/>
    <w:rsid w:val="00B224DE"/>
    <w:rsid w:val="00B324D4"/>
    <w:rsid w:val="00B330F2"/>
    <w:rsid w:val="00B36B85"/>
    <w:rsid w:val="00B46575"/>
    <w:rsid w:val="00B50005"/>
    <w:rsid w:val="00B61777"/>
    <w:rsid w:val="00B622E6"/>
    <w:rsid w:val="00B83E82"/>
    <w:rsid w:val="00B84BBD"/>
    <w:rsid w:val="00B91195"/>
    <w:rsid w:val="00BA43FB"/>
    <w:rsid w:val="00BC127D"/>
    <w:rsid w:val="00BC1FE6"/>
    <w:rsid w:val="00BD0C0C"/>
    <w:rsid w:val="00BD42F5"/>
    <w:rsid w:val="00BE7EB4"/>
    <w:rsid w:val="00C061B6"/>
    <w:rsid w:val="00C2446C"/>
    <w:rsid w:val="00C36AE5"/>
    <w:rsid w:val="00C41F17"/>
    <w:rsid w:val="00C45098"/>
    <w:rsid w:val="00C527FA"/>
    <w:rsid w:val="00C5280D"/>
    <w:rsid w:val="00C53EB3"/>
    <w:rsid w:val="00C5459B"/>
    <w:rsid w:val="00C5791C"/>
    <w:rsid w:val="00C66290"/>
    <w:rsid w:val="00C72B7A"/>
    <w:rsid w:val="00C87187"/>
    <w:rsid w:val="00C916AB"/>
    <w:rsid w:val="00C973F2"/>
    <w:rsid w:val="00CA1EF5"/>
    <w:rsid w:val="00CA304C"/>
    <w:rsid w:val="00CA774A"/>
    <w:rsid w:val="00CB4921"/>
    <w:rsid w:val="00CC11B0"/>
    <w:rsid w:val="00CC2841"/>
    <w:rsid w:val="00CC6619"/>
    <w:rsid w:val="00CF1330"/>
    <w:rsid w:val="00CF4074"/>
    <w:rsid w:val="00CF7E36"/>
    <w:rsid w:val="00D27BB4"/>
    <w:rsid w:val="00D323D5"/>
    <w:rsid w:val="00D3708D"/>
    <w:rsid w:val="00D40426"/>
    <w:rsid w:val="00D57C96"/>
    <w:rsid w:val="00D57D18"/>
    <w:rsid w:val="00D644CD"/>
    <w:rsid w:val="00D70E65"/>
    <w:rsid w:val="00D91203"/>
    <w:rsid w:val="00D95174"/>
    <w:rsid w:val="00DA4973"/>
    <w:rsid w:val="00DA6F36"/>
    <w:rsid w:val="00DB596E"/>
    <w:rsid w:val="00DB7773"/>
    <w:rsid w:val="00DC00EA"/>
    <w:rsid w:val="00DC3802"/>
    <w:rsid w:val="00DD1482"/>
    <w:rsid w:val="00DD6208"/>
    <w:rsid w:val="00DF7E99"/>
    <w:rsid w:val="00E07D87"/>
    <w:rsid w:val="00E217B5"/>
    <w:rsid w:val="00E249C8"/>
    <w:rsid w:val="00E32F7E"/>
    <w:rsid w:val="00E5267B"/>
    <w:rsid w:val="00E559F0"/>
    <w:rsid w:val="00E63C0E"/>
    <w:rsid w:val="00E7232A"/>
    <w:rsid w:val="00E72D49"/>
    <w:rsid w:val="00E7593C"/>
    <w:rsid w:val="00E7678A"/>
    <w:rsid w:val="00E91B19"/>
    <w:rsid w:val="00E935F1"/>
    <w:rsid w:val="00E94A81"/>
    <w:rsid w:val="00EA1FFB"/>
    <w:rsid w:val="00EB048E"/>
    <w:rsid w:val="00EB4E9C"/>
    <w:rsid w:val="00EB74E5"/>
    <w:rsid w:val="00EC634B"/>
    <w:rsid w:val="00EC6E4C"/>
    <w:rsid w:val="00EE34DF"/>
    <w:rsid w:val="00EF2F89"/>
    <w:rsid w:val="00EF757F"/>
    <w:rsid w:val="00F019CB"/>
    <w:rsid w:val="00F03E98"/>
    <w:rsid w:val="00F1237A"/>
    <w:rsid w:val="00F17B5F"/>
    <w:rsid w:val="00F22CBD"/>
    <w:rsid w:val="00F23F1E"/>
    <w:rsid w:val="00F272F1"/>
    <w:rsid w:val="00F31412"/>
    <w:rsid w:val="00F45372"/>
    <w:rsid w:val="00F560F7"/>
    <w:rsid w:val="00F6334D"/>
    <w:rsid w:val="00F63599"/>
    <w:rsid w:val="00F6677A"/>
    <w:rsid w:val="00F71781"/>
    <w:rsid w:val="00F72BBA"/>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EEFAD0A"/>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A1EF5"/>
    <w:pPr>
      <w:keepNext/>
      <w:jc w:val="both"/>
      <w:outlineLvl w:val="0"/>
    </w:pPr>
    <w:rPr>
      <w:rFonts w:ascii="Arial" w:hAnsi="Arial"/>
      <w:caps/>
    </w:rPr>
  </w:style>
  <w:style w:type="paragraph" w:styleId="Heading2">
    <w:name w:val="heading 2"/>
    <w:aliases w:val="VARIETY,variety"/>
    <w:next w:val="Normal"/>
    <w:link w:val="Heading2Char"/>
    <w:autoRedefine/>
    <w:qFormat/>
    <w:rsid w:val="005C548D"/>
    <w:pPr>
      <w:jc w:val="both"/>
      <w:outlineLvl w:val="1"/>
    </w:pPr>
    <w:rPr>
      <w:rFonts w:ascii="Arial" w:hAnsi="Arial"/>
      <w:u w:val="single"/>
      <w:lang w:eastAsia="ja-JP"/>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C548D"/>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C54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4133B2"/>
    <w:rPr>
      <w:rFonts w:ascii="Arial" w:hAnsi="Arial"/>
      <w:u w:val="single"/>
      <w:lang w:val="fr-FR"/>
    </w:rPr>
  </w:style>
  <w:style w:type="character" w:customStyle="1" w:styleId="Heading5Char">
    <w:name w:val="Heading 5 Char"/>
    <w:link w:val="Heading5"/>
    <w:locked/>
    <w:rsid w:val="004133B2"/>
    <w:rPr>
      <w:rFonts w:ascii="Arial" w:hAnsi="Arial"/>
      <w:i/>
    </w:rPr>
  </w:style>
  <w:style w:type="character" w:customStyle="1" w:styleId="FootnoteTextChar">
    <w:name w:val="Footnote Text Char"/>
    <w:basedOn w:val="DefaultParagraphFont"/>
    <w:link w:val="FootnoteText"/>
    <w:rsid w:val="008422AD"/>
    <w:rPr>
      <w:rFonts w:ascii="Arial" w:hAnsi="Arial"/>
      <w:sz w:val="16"/>
    </w:rPr>
  </w:style>
  <w:style w:type="paragraph" w:styleId="ListParagraph">
    <w:name w:val="List Paragraph"/>
    <w:aliases w:val="auto_list_(i),List Paragraph1"/>
    <w:basedOn w:val="Normal"/>
    <w:link w:val="ListParagraphChar"/>
    <w:uiPriority w:val="34"/>
    <w:qFormat/>
    <w:rsid w:val="008422AD"/>
    <w:pPr>
      <w:ind w:left="720"/>
      <w:contextualSpacing/>
    </w:pPr>
  </w:style>
  <w:style w:type="character" w:customStyle="1" w:styleId="TitleofdocChar">
    <w:name w:val="Title_of_doc Char"/>
    <w:link w:val="Titleofdoc0"/>
    <w:rsid w:val="00B06F4E"/>
    <w:rPr>
      <w:rFonts w:ascii="Arial" w:hAnsi="Arial"/>
      <w:b/>
      <w:caps/>
    </w:rPr>
  </w:style>
  <w:style w:type="table" w:styleId="TableGrid">
    <w:name w:val="Table Grid"/>
    <w:basedOn w:val="TableNormal"/>
    <w:uiPriority w:val="39"/>
    <w:rsid w:val="00B06F4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B06F4E"/>
    <w:rPr>
      <w:rFonts w:ascii="Calibri" w:eastAsia="Calibri" w:hAnsi="Calibri"/>
      <w:sz w:val="22"/>
      <w:szCs w:val="22"/>
      <w:lang w:val="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06F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aliases w:val="VARIETY Char,variety Char"/>
    <w:link w:val="Heading2"/>
    <w:locked/>
    <w:rsid w:val="005C548D"/>
    <w:rPr>
      <w:rFonts w:ascii="Arial" w:hAnsi="Arial"/>
      <w:u w:val="single"/>
      <w:lang w:eastAsia="ja-JP"/>
    </w:rPr>
  </w:style>
  <w:style w:type="character" w:customStyle="1" w:styleId="Heading3Char">
    <w:name w:val="Heading 3 Char"/>
    <w:basedOn w:val="DefaultParagraphFont"/>
    <w:link w:val="Heading3"/>
    <w:rsid w:val="00EB74E5"/>
    <w:rPr>
      <w:rFonts w:ascii="Arial" w:hAnsi="Arial"/>
      <w:i/>
    </w:rPr>
  </w:style>
  <w:style w:type="table" w:customStyle="1" w:styleId="TableGrid1">
    <w:name w:val="Table Grid1"/>
    <w:basedOn w:val="TableNormal"/>
    <w:next w:val="TableGrid"/>
    <w:uiPriority w:val="39"/>
    <w:rsid w:val="00EB74E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EF5"/>
    <w:rPr>
      <w:rFonts w:ascii="Arial" w:hAnsi="Arial"/>
      <w:caps/>
    </w:rPr>
  </w:style>
  <w:style w:type="character" w:customStyle="1" w:styleId="ListParagraphChar">
    <w:name w:val="List Paragraph Char"/>
    <w:aliases w:val="auto_list_(i) Char,List Paragraph1 Char"/>
    <w:basedOn w:val="DefaultParagraphFont"/>
    <w:link w:val="ListParagraph"/>
    <w:uiPriority w:val="34"/>
    <w:rsid w:val="00374C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1947">
      <w:bodyDiv w:val="1"/>
      <w:marLeft w:val="0"/>
      <w:marRight w:val="0"/>
      <w:marTop w:val="0"/>
      <w:marBottom w:val="0"/>
      <w:divBdr>
        <w:top w:val="none" w:sz="0" w:space="0" w:color="auto"/>
        <w:left w:val="none" w:sz="0" w:space="0" w:color="auto"/>
        <w:bottom w:val="none" w:sz="0" w:space="0" w:color="auto"/>
        <w:right w:val="none" w:sz="0" w:space="0" w:color="auto"/>
      </w:divBdr>
    </w:div>
    <w:div w:id="163637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export/sites/upov/images/worldmap_en.jpg" TargetMode="Externa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upov.int/export/sites/upov/members/en/pdf/pub423.pdf"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edtest.org/upload/cms/user/ISTAAccreditationStandardforSeedTestingandSeedSamplingV6.11.pdf"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d/see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eedtest.org/en/international-rules-for-seed-testing-2019-_content---1--1083--1065.html"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about/en/faq.html" TargetMode="External"/><Relationship Id="rId22" Type="http://schemas.openxmlformats.org/officeDocument/2006/relationships/hyperlink" Target="http://www.seedte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DBD5-9AAD-453D-B94D-BD8AED04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12</Pages>
  <Words>4267</Words>
  <Characters>25692</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5</cp:revision>
  <cp:lastPrinted>2016-11-22T15:41:00Z</cp:lastPrinted>
  <dcterms:created xsi:type="dcterms:W3CDTF">2022-10-12T18:56:00Z</dcterms:created>
  <dcterms:modified xsi:type="dcterms:W3CDTF">2022-10-13T06:41:00Z</dcterms:modified>
</cp:coreProperties>
</file>