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3C0" w:rsidRDefault="006A03C0" w:rsidP="00AC2883"/>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3D0839" w:rsidRPr="00365DC1" w:rsidRDefault="003D0839" w:rsidP="003D083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C5280D" w:rsidTr="007A4FDD">
        <w:tc>
          <w:tcPr>
            <w:tcW w:w="6512" w:type="dxa"/>
          </w:tcPr>
          <w:p w:rsidR="003D0839" w:rsidRPr="00AC2883" w:rsidRDefault="003D0839" w:rsidP="007A4FDD">
            <w:pPr>
              <w:pStyle w:val="Sessiontc"/>
              <w:spacing w:line="240" w:lineRule="auto"/>
            </w:pPr>
            <w:r w:rsidRPr="00DA4973">
              <w:t>Technical Committee</w:t>
            </w:r>
          </w:p>
          <w:p w:rsidR="003D0839" w:rsidRPr="00DC3802" w:rsidRDefault="003D0839" w:rsidP="007A4FDD">
            <w:pPr>
              <w:pStyle w:val="Sessiontcplacedate"/>
              <w:rPr>
                <w:sz w:val="22"/>
              </w:rPr>
            </w:pPr>
            <w:r w:rsidRPr="00DA4973">
              <w:t>Fifty-</w:t>
            </w:r>
            <w:r>
              <w:t>Eighth</w:t>
            </w:r>
            <w:r w:rsidRPr="00DA4973">
              <w:t xml:space="preserve"> Session</w:t>
            </w:r>
            <w:r w:rsidRPr="00DA4973">
              <w:br/>
              <w:t xml:space="preserve">Geneva, </w:t>
            </w:r>
            <w:r>
              <w:t>October 24 and 25, 2022</w:t>
            </w:r>
          </w:p>
        </w:tc>
        <w:tc>
          <w:tcPr>
            <w:tcW w:w="3127" w:type="dxa"/>
          </w:tcPr>
          <w:p w:rsidR="003D0839" w:rsidRPr="003C7FBE" w:rsidRDefault="003D0839" w:rsidP="007A4FDD">
            <w:pPr>
              <w:pStyle w:val="Doccode"/>
            </w:pPr>
            <w:r>
              <w:t>TC/58</w:t>
            </w:r>
            <w:r w:rsidRPr="00AC2883">
              <w:t>/</w:t>
            </w:r>
            <w:r w:rsidR="003D5F5B">
              <w:t>6</w:t>
            </w:r>
          </w:p>
          <w:p w:rsidR="003D0839" w:rsidRPr="003C7FBE" w:rsidRDefault="003D0839" w:rsidP="007A4FDD">
            <w:pPr>
              <w:pStyle w:val="Docoriginal"/>
            </w:pPr>
            <w:r w:rsidRPr="00AC2883">
              <w:t>Original:</w:t>
            </w:r>
            <w:r w:rsidRPr="000E636A">
              <w:rPr>
                <w:b w:val="0"/>
                <w:spacing w:val="0"/>
              </w:rPr>
              <w:t xml:space="preserve">  English</w:t>
            </w:r>
          </w:p>
          <w:p w:rsidR="003D0839" w:rsidRPr="007C1D92" w:rsidRDefault="003D0839" w:rsidP="00DD136E">
            <w:pPr>
              <w:pStyle w:val="Docoriginal"/>
            </w:pPr>
            <w:r w:rsidRPr="00AC2883">
              <w:t>Date:</w:t>
            </w:r>
            <w:r>
              <w:rPr>
                <w:b w:val="0"/>
                <w:spacing w:val="0"/>
              </w:rPr>
              <w:t xml:space="preserve">  </w:t>
            </w:r>
            <w:r w:rsidR="00A36C59" w:rsidRPr="00DD136E">
              <w:rPr>
                <w:b w:val="0"/>
                <w:spacing w:val="0"/>
              </w:rPr>
              <w:t xml:space="preserve">October </w:t>
            </w:r>
            <w:r w:rsidR="00DD136E" w:rsidRPr="00DD136E">
              <w:rPr>
                <w:b w:val="0"/>
                <w:spacing w:val="0"/>
              </w:rPr>
              <w:t>5</w:t>
            </w:r>
            <w:r w:rsidRPr="00DD136E">
              <w:rPr>
                <w:b w:val="0"/>
                <w:spacing w:val="0"/>
              </w:rPr>
              <w:t>, 2022</w:t>
            </w:r>
          </w:p>
        </w:tc>
      </w:tr>
    </w:tbl>
    <w:p w:rsidR="003D0839" w:rsidRPr="006A644A" w:rsidRDefault="003D5F5B" w:rsidP="003D0839">
      <w:pPr>
        <w:pStyle w:val="Titleofdoc0"/>
      </w:pPr>
      <w:r w:rsidRPr="003D5F5B">
        <w:t>The Combined-Over-Years Uniformity Criterion (COYU)</w:t>
      </w:r>
    </w:p>
    <w:p w:rsidR="003D0839" w:rsidRPr="006A644A" w:rsidRDefault="003D0839" w:rsidP="003D0839">
      <w:pPr>
        <w:pStyle w:val="preparedby1"/>
        <w:jc w:val="left"/>
      </w:pPr>
      <w:r w:rsidRPr="000C4E25">
        <w:t>Document prepared by the Office of the Union</w:t>
      </w:r>
    </w:p>
    <w:p w:rsidR="003D0839" w:rsidRPr="006A644A" w:rsidRDefault="003D0839" w:rsidP="003D0839">
      <w:pPr>
        <w:pStyle w:val="Disclaimer"/>
      </w:pPr>
      <w:r w:rsidRPr="006A644A">
        <w:t>Disclaimer:  this document does not represent UPOV policies or guidance</w:t>
      </w:r>
    </w:p>
    <w:p w:rsidR="008422AD" w:rsidRDefault="008422AD" w:rsidP="008422AD">
      <w:pPr>
        <w:keepNext/>
        <w:outlineLvl w:val="0"/>
        <w:rPr>
          <w:rFonts w:eastAsiaTheme="minorEastAsia"/>
          <w:caps/>
          <w:lang w:eastAsia="ja-JP"/>
        </w:rPr>
      </w:pPr>
      <w:bookmarkStart w:id="0" w:name="_Toc80801908"/>
      <w:bookmarkStart w:id="1" w:name="_Toc524691135"/>
      <w:bookmarkStart w:id="2" w:name="_Toc483235547"/>
      <w:bookmarkStart w:id="3" w:name="_Toc474404967"/>
      <w:bookmarkStart w:id="4" w:name="_Ref438649598"/>
      <w:bookmarkStart w:id="5" w:name="_Toc17894057"/>
      <w:bookmarkStart w:id="6" w:name="_Toc475955714"/>
      <w:r>
        <w:rPr>
          <w:rFonts w:eastAsiaTheme="minorEastAsia"/>
          <w:caps/>
          <w:lang w:eastAsia="ja-JP"/>
        </w:rPr>
        <w:t>EXECUTIVE SUMMARY</w:t>
      </w:r>
      <w:bookmarkEnd w:id="0"/>
      <w:bookmarkEnd w:id="1"/>
      <w:bookmarkEnd w:id="2"/>
      <w:bookmarkEnd w:id="3"/>
      <w:bookmarkEnd w:id="4"/>
    </w:p>
    <w:p w:rsidR="008422AD" w:rsidRDefault="008422AD" w:rsidP="008422AD">
      <w:pPr>
        <w:rPr>
          <w:rFonts w:eastAsiaTheme="minorEastAsia"/>
          <w:lang w:eastAsia="ja-JP"/>
        </w:rPr>
      </w:pPr>
    </w:p>
    <w:p w:rsidR="008422AD" w:rsidRDefault="008422AD" w:rsidP="008422AD">
      <w:r>
        <w:fldChar w:fldCharType="begin"/>
      </w:r>
      <w:r>
        <w:rPr>
          <w:rFonts w:eastAsiaTheme="minorEastAsia"/>
        </w:rPr>
        <w:instrText xml:space="preserve"> AUTONUM  </w:instrText>
      </w:r>
      <w:r>
        <w:fldChar w:fldCharType="end"/>
      </w:r>
      <w:r>
        <w:rPr>
          <w:rFonts w:eastAsiaTheme="minorEastAsia"/>
        </w:rPr>
        <w:tab/>
        <w:t xml:space="preserve">The purpose of this document is to consider a proposal for </w:t>
      </w:r>
      <w:r>
        <w:t xml:space="preserve">a </w:t>
      </w:r>
      <w:r>
        <w:rPr>
          <w:iCs/>
        </w:rPr>
        <w:t xml:space="preserve">draft revision of document TGP/8 </w:t>
      </w:r>
      <w:r>
        <w:rPr>
          <w:lang w:val="en-GB"/>
        </w:rPr>
        <w:t>“Trial Design and Techniques Used in the Examination of Distinctness, Uniformity and Stability”, Section 9 “The Combined-Over-Years Uniformity Criterion (COYU)”</w:t>
      </w:r>
      <w:r>
        <w:t>.</w:t>
      </w:r>
    </w:p>
    <w:p w:rsidR="008422AD" w:rsidRDefault="008422AD" w:rsidP="008422AD"/>
    <w:p w:rsidR="008422AD" w:rsidRDefault="008422AD" w:rsidP="008422AD">
      <w:pPr>
        <w:tabs>
          <w:tab w:val="left" w:pos="567"/>
          <w:tab w:val="left" w:pos="1134"/>
          <w:tab w:val="left" w:pos="5387"/>
        </w:tabs>
      </w:pPr>
      <w:r>
        <w:fldChar w:fldCharType="begin"/>
      </w:r>
      <w:r>
        <w:instrText xml:space="preserve"> AUTONUM  </w:instrText>
      </w:r>
      <w:r>
        <w:fldChar w:fldCharType="end"/>
      </w:r>
      <w:r>
        <w:tab/>
        <w:t xml:space="preserve">The TC </w:t>
      </w:r>
      <w:proofErr w:type="gramStart"/>
      <w:r>
        <w:t>is invited</w:t>
      </w:r>
      <w:proofErr w:type="gramEnd"/>
      <w:r>
        <w:t xml:space="preserve"> to:</w:t>
      </w:r>
    </w:p>
    <w:p w:rsidR="008422AD" w:rsidRDefault="008422AD" w:rsidP="008422AD">
      <w:pPr>
        <w:tabs>
          <w:tab w:val="left" w:pos="567"/>
          <w:tab w:val="left" w:pos="1134"/>
          <w:tab w:val="left" w:pos="5387"/>
        </w:tabs>
      </w:pPr>
    </w:p>
    <w:p w:rsidR="00F72BBA" w:rsidRDefault="00F72BBA" w:rsidP="00F72BBA">
      <w:pPr>
        <w:ind w:firstLine="630"/>
      </w:pPr>
      <w:r>
        <w:t>(a)</w:t>
      </w:r>
      <w:r>
        <w:tab/>
        <w:t xml:space="preserve">note that a new version of DUSTNT incorporating COYU with splines (DUST9NT) </w:t>
      </w:r>
      <w:r w:rsidR="00C87187">
        <w:t xml:space="preserve">was planned to </w:t>
      </w:r>
      <w:r>
        <w:t xml:space="preserve">be launched by September 2023, once the improvements identified from the testing campaign </w:t>
      </w:r>
      <w:r w:rsidR="00C87187">
        <w:t xml:space="preserve">have </w:t>
      </w:r>
      <w:r>
        <w:t>been incorporated, including extrapolation;</w:t>
      </w:r>
    </w:p>
    <w:p w:rsidR="00F72BBA" w:rsidRDefault="00F72BBA" w:rsidP="00F72BBA">
      <w:pPr>
        <w:ind w:firstLine="630"/>
      </w:pPr>
    </w:p>
    <w:p w:rsidR="00F72BBA" w:rsidRDefault="00F72BBA" w:rsidP="00F72BBA">
      <w:pPr>
        <w:ind w:firstLine="630"/>
      </w:pPr>
      <w:r>
        <w:t>(b)</w:t>
      </w:r>
      <w:r>
        <w:tab/>
      </w:r>
      <w:proofErr w:type="gramStart"/>
      <w:r>
        <w:t>note</w:t>
      </w:r>
      <w:proofErr w:type="gramEnd"/>
      <w:r>
        <w:t xml:space="preserve"> that further revisions to document TGP/8 would be required to incorporate guidance on extrapolation and minimum data requirements;</w:t>
      </w:r>
    </w:p>
    <w:p w:rsidR="00F72BBA" w:rsidRDefault="00F72BBA" w:rsidP="00F72BBA">
      <w:pPr>
        <w:ind w:firstLine="630"/>
      </w:pPr>
    </w:p>
    <w:p w:rsidR="00F72BBA" w:rsidRDefault="00F72BBA" w:rsidP="00F72BBA">
      <w:pPr>
        <w:ind w:firstLine="630"/>
      </w:pPr>
      <w:r>
        <w:t>(c)</w:t>
      </w:r>
      <w:r>
        <w:tab/>
      </w:r>
      <w:proofErr w:type="gramStart"/>
      <w:r>
        <w:t>note</w:t>
      </w:r>
      <w:proofErr w:type="gramEnd"/>
      <w:r>
        <w:t xml:space="preserve"> the recommendation that there should be particular consideration of uniformity by the crop experts when extrapolation occurred; </w:t>
      </w:r>
    </w:p>
    <w:p w:rsidR="00F72BBA" w:rsidRDefault="00F72BBA" w:rsidP="00F72BBA">
      <w:pPr>
        <w:ind w:firstLine="630"/>
      </w:pPr>
    </w:p>
    <w:p w:rsidR="00F72BBA" w:rsidRDefault="00F72BBA" w:rsidP="00F72BBA">
      <w:pPr>
        <w:ind w:firstLine="630"/>
      </w:pPr>
      <w:r>
        <w:t>(d)</w:t>
      </w:r>
      <w:r>
        <w:tab/>
        <w:t xml:space="preserve">note that the TWM agreed that further discussion would be required on approaches when extrapolation was indicated and </w:t>
      </w:r>
      <w:r w:rsidR="003B5240">
        <w:t xml:space="preserve">invited </w:t>
      </w:r>
      <w:r>
        <w:t>the United Kingdom and other members to report at the second session of the TWM; and</w:t>
      </w:r>
    </w:p>
    <w:p w:rsidR="00F72BBA" w:rsidRDefault="00F72BBA" w:rsidP="00F72BBA">
      <w:pPr>
        <w:ind w:firstLine="630"/>
      </w:pPr>
    </w:p>
    <w:p w:rsidR="008422AD" w:rsidRDefault="00F72BBA" w:rsidP="00F72BBA">
      <w:pPr>
        <w:ind w:firstLine="630"/>
      </w:pPr>
      <w:r>
        <w:t>(e)</w:t>
      </w:r>
      <w:r>
        <w:tab/>
      </w:r>
      <w:proofErr w:type="gramStart"/>
      <w:r>
        <w:t>request</w:t>
      </w:r>
      <w:proofErr w:type="gramEnd"/>
      <w:r>
        <w:t xml:space="preserve"> the TWM to prepare a report of the results of the test campaign of the software for COYU</w:t>
      </w:r>
      <w:r w:rsidR="003B5240">
        <w:t> </w:t>
      </w:r>
      <w:r>
        <w:t xml:space="preserve">Splines for consideration by the TC, in conjunction with the revision of document TGP/8.  </w:t>
      </w:r>
    </w:p>
    <w:p w:rsidR="00F72BBA" w:rsidRDefault="00F72BBA" w:rsidP="00F72BBA">
      <w:pPr>
        <w:ind w:firstLine="630"/>
        <w:rPr>
          <w:rFonts w:eastAsia="MS Mincho"/>
          <w:i/>
        </w:rPr>
      </w:pPr>
    </w:p>
    <w:p w:rsidR="008422AD" w:rsidRDefault="008422AD" w:rsidP="008422AD">
      <w:pPr>
        <w:keepNext/>
        <w:keepLines/>
        <w:spacing w:after="240"/>
        <w:rPr>
          <w:snapToGrid w:val="0"/>
        </w:rPr>
      </w:pPr>
      <w:r>
        <w:fldChar w:fldCharType="begin"/>
      </w:r>
      <w:r>
        <w:instrText xml:space="preserve"> AUTONUM  </w:instrText>
      </w:r>
      <w:r>
        <w:fldChar w:fldCharType="end"/>
      </w:r>
      <w:r>
        <w:tab/>
      </w:r>
      <w:r>
        <w:rPr>
          <w:snapToGrid w:val="0"/>
        </w:rPr>
        <w:t>The structure of this document is as follows:</w:t>
      </w:r>
    </w:p>
    <w:p w:rsidR="008422AD" w:rsidRPr="00990D12" w:rsidRDefault="008422AD" w:rsidP="008422AD">
      <w:pPr>
        <w:pStyle w:val="TOC1"/>
        <w:rPr>
          <w:rFonts w:asciiTheme="minorHAnsi" w:eastAsiaTheme="minorEastAsia" w:hAnsiTheme="minorHAnsi" w:cstheme="minorBidi"/>
          <w:caps w:val="0"/>
          <w:noProof/>
          <w:szCs w:val="18"/>
        </w:rPr>
      </w:pPr>
      <w:r w:rsidRPr="00990D12">
        <w:rPr>
          <w:szCs w:val="18"/>
        </w:rPr>
        <w:fldChar w:fldCharType="begin"/>
      </w:r>
      <w:r w:rsidRPr="00990D12">
        <w:rPr>
          <w:rFonts w:cs="Arial"/>
          <w:noProof/>
          <w:snapToGrid w:val="0"/>
          <w:szCs w:val="18"/>
        </w:rPr>
        <w:instrText xml:space="preserve"> TOC \o "1-3" \u </w:instrText>
      </w:r>
      <w:r w:rsidRPr="00990D12">
        <w:rPr>
          <w:szCs w:val="18"/>
        </w:rPr>
        <w:fldChar w:fldCharType="separate"/>
      </w:r>
      <w:r w:rsidRPr="00990D12">
        <w:rPr>
          <w:rFonts w:eastAsiaTheme="minorEastAsia"/>
          <w:noProof/>
          <w:szCs w:val="18"/>
          <w:lang w:eastAsia="ja-JP"/>
        </w:rPr>
        <w:t>EXECUTIVE SUMMARY</w:t>
      </w:r>
      <w:r w:rsidRPr="00990D12">
        <w:rPr>
          <w:noProof/>
          <w:szCs w:val="18"/>
        </w:rPr>
        <w:tab/>
      </w:r>
      <w:r w:rsidRPr="00990D12">
        <w:rPr>
          <w:szCs w:val="18"/>
        </w:rPr>
        <w:fldChar w:fldCharType="begin"/>
      </w:r>
      <w:r w:rsidRPr="00990D12">
        <w:rPr>
          <w:noProof/>
          <w:szCs w:val="18"/>
        </w:rPr>
        <w:instrText xml:space="preserve"> PAGEREF _Toc80801908 \h </w:instrText>
      </w:r>
      <w:r w:rsidRPr="00990D12">
        <w:rPr>
          <w:szCs w:val="18"/>
        </w:rPr>
      </w:r>
      <w:r w:rsidRPr="00990D12">
        <w:rPr>
          <w:szCs w:val="18"/>
        </w:rPr>
        <w:fldChar w:fldCharType="separate"/>
      </w:r>
      <w:r w:rsidRPr="00990D12">
        <w:rPr>
          <w:noProof/>
          <w:szCs w:val="18"/>
        </w:rPr>
        <w:t>1</w:t>
      </w:r>
      <w:r w:rsidRPr="00990D12">
        <w:rPr>
          <w:szCs w:val="18"/>
        </w:rPr>
        <w:fldChar w:fldCharType="end"/>
      </w:r>
    </w:p>
    <w:p w:rsidR="008422AD" w:rsidRPr="00990D12" w:rsidRDefault="008422AD" w:rsidP="008422AD">
      <w:pPr>
        <w:pStyle w:val="TOC1"/>
        <w:rPr>
          <w:rFonts w:asciiTheme="minorHAnsi" w:eastAsiaTheme="minorEastAsia" w:hAnsiTheme="minorHAnsi" w:cstheme="minorBidi"/>
          <w:caps w:val="0"/>
          <w:noProof/>
          <w:szCs w:val="18"/>
        </w:rPr>
      </w:pPr>
      <w:r w:rsidRPr="00990D12">
        <w:rPr>
          <w:noProof/>
          <w:szCs w:val="18"/>
        </w:rPr>
        <w:t>BACKGROUND</w:t>
      </w:r>
      <w:r w:rsidRPr="00990D12">
        <w:rPr>
          <w:noProof/>
          <w:szCs w:val="18"/>
        </w:rPr>
        <w:tab/>
      </w:r>
      <w:r w:rsidRPr="00990D12">
        <w:rPr>
          <w:szCs w:val="18"/>
        </w:rPr>
        <w:fldChar w:fldCharType="begin"/>
      </w:r>
      <w:r w:rsidRPr="00990D12">
        <w:rPr>
          <w:noProof/>
          <w:szCs w:val="18"/>
        </w:rPr>
        <w:instrText xml:space="preserve"> PAGEREF _Toc80801909 \h </w:instrText>
      </w:r>
      <w:r w:rsidRPr="00990D12">
        <w:rPr>
          <w:szCs w:val="18"/>
        </w:rPr>
      </w:r>
      <w:r w:rsidRPr="00990D12">
        <w:rPr>
          <w:szCs w:val="18"/>
        </w:rPr>
        <w:fldChar w:fldCharType="separate"/>
      </w:r>
      <w:r w:rsidRPr="00990D12">
        <w:rPr>
          <w:noProof/>
          <w:szCs w:val="18"/>
        </w:rPr>
        <w:t>2</w:t>
      </w:r>
      <w:r w:rsidRPr="00990D12">
        <w:rPr>
          <w:szCs w:val="18"/>
        </w:rPr>
        <w:fldChar w:fldCharType="end"/>
      </w:r>
    </w:p>
    <w:p w:rsidR="008422AD" w:rsidRPr="00990D12" w:rsidRDefault="008422AD" w:rsidP="008422AD">
      <w:pPr>
        <w:pStyle w:val="TOC1"/>
        <w:rPr>
          <w:rFonts w:asciiTheme="minorHAnsi" w:eastAsiaTheme="minorEastAsia" w:hAnsiTheme="minorHAnsi" w:cstheme="minorBidi"/>
          <w:caps w:val="0"/>
          <w:noProof/>
          <w:szCs w:val="18"/>
        </w:rPr>
      </w:pPr>
      <w:r w:rsidRPr="00990D12">
        <w:rPr>
          <w:noProof/>
          <w:szCs w:val="18"/>
          <w:lang w:val="en-GB"/>
        </w:rPr>
        <w:t>developments at the technical working parties</w:t>
      </w:r>
      <w:r w:rsidRPr="00990D12">
        <w:rPr>
          <w:noProof/>
          <w:szCs w:val="18"/>
        </w:rPr>
        <w:tab/>
      </w:r>
      <w:r w:rsidRPr="00990D12">
        <w:rPr>
          <w:szCs w:val="18"/>
        </w:rPr>
        <w:fldChar w:fldCharType="begin"/>
      </w:r>
      <w:r w:rsidRPr="00990D12">
        <w:rPr>
          <w:noProof/>
          <w:szCs w:val="18"/>
        </w:rPr>
        <w:instrText xml:space="preserve"> PAGEREF _Toc80801910 \h </w:instrText>
      </w:r>
      <w:r w:rsidRPr="00990D12">
        <w:rPr>
          <w:szCs w:val="18"/>
        </w:rPr>
      </w:r>
      <w:r w:rsidRPr="00990D12">
        <w:rPr>
          <w:szCs w:val="18"/>
        </w:rPr>
        <w:fldChar w:fldCharType="separate"/>
      </w:r>
      <w:r w:rsidRPr="00990D12">
        <w:rPr>
          <w:noProof/>
          <w:szCs w:val="18"/>
        </w:rPr>
        <w:t>2</w:t>
      </w:r>
      <w:r w:rsidRPr="00990D12">
        <w:rPr>
          <w:szCs w:val="18"/>
        </w:rPr>
        <w:fldChar w:fldCharType="end"/>
      </w:r>
    </w:p>
    <w:p w:rsidR="008422AD" w:rsidRPr="00990D12" w:rsidRDefault="008422AD" w:rsidP="008422AD">
      <w:pPr>
        <w:pStyle w:val="TOC1"/>
        <w:rPr>
          <w:rFonts w:asciiTheme="minorHAnsi" w:eastAsiaTheme="minorEastAsia" w:hAnsiTheme="minorHAnsi" w:cstheme="minorBidi"/>
          <w:caps w:val="0"/>
          <w:noProof/>
          <w:szCs w:val="18"/>
        </w:rPr>
      </w:pPr>
      <w:r w:rsidRPr="00990D12">
        <w:rPr>
          <w:noProof/>
          <w:szCs w:val="18"/>
        </w:rPr>
        <w:t>next steps</w:t>
      </w:r>
      <w:r w:rsidRPr="00990D12">
        <w:rPr>
          <w:noProof/>
          <w:szCs w:val="18"/>
        </w:rPr>
        <w:tab/>
      </w:r>
      <w:r w:rsidRPr="00990D12">
        <w:rPr>
          <w:szCs w:val="18"/>
        </w:rPr>
        <w:fldChar w:fldCharType="begin"/>
      </w:r>
      <w:r w:rsidRPr="00990D12">
        <w:rPr>
          <w:noProof/>
          <w:szCs w:val="18"/>
        </w:rPr>
        <w:instrText xml:space="preserve"> PAGEREF _Toc80801912 \h </w:instrText>
      </w:r>
      <w:r w:rsidRPr="00990D12">
        <w:rPr>
          <w:szCs w:val="18"/>
        </w:rPr>
      </w:r>
      <w:r w:rsidRPr="00990D12">
        <w:rPr>
          <w:szCs w:val="18"/>
        </w:rPr>
        <w:fldChar w:fldCharType="separate"/>
      </w:r>
      <w:r w:rsidRPr="00990D12">
        <w:rPr>
          <w:noProof/>
          <w:szCs w:val="18"/>
        </w:rPr>
        <w:t>3</w:t>
      </w:r>
      <w:r w:rsidRPr="00990D12">
        <w:rPr>
          <w:szCs w:val="18"/>
        </w:rPr>
        <w:fldChar w:fldCharType="end"/>
      </w:r>
    </w:p>
    <w:p w:rsidR="00450501" w:rsidRPr="00990D12" w:rsidRDefault="008422AD" w:rsidP="00450501">
      <w:pPr>
        <w:spacing w:before="120"/>
        <w:ind w:left="1138" w:hanging="1138"/>
        <w:rPr>
          <w:sz w:val="18"/>
          <w:szCs w:val="18"/>
        </w:rPr>
      </w:pPr>
      <w:r w:rsidRPr="00990D12">
        <w:rPr>
          <w:sz w:val="18"/>
          <w:szCs w:val="18"/>
        </w:rPr>
        <w:fldChar w:fldCharType="end"/>
      </w:r>
      <w:r w:rsidR="00450501" w:rsidRPr="00990D12">
        <w:rPr>
          <w:sz w:val="18"/>
          <w:szCs w:val="18"/>
        </w:rPr>
        <w:t xml:space="preserve">ANNEX </w:t>
      </w:r>
      <w:proofErr w:type="gramStart"/>
      <w:r w:rsidR="00450501" w:rsidRPr="00990D12">
        <w:rPr>
          <w:sz w:val="18"/>
          <w:szCs w:val="18"/>
        </w:rPr>
        <w:t>I</w:t>
      </w:r>
      <w:proofErr w:type="gramEnd"/>
      <w:r w:rsidR="00450501" w:rsidRPr="00990D12">
        <w:rPr>
          <w:sz w:val="18"/>
          <w:szCs w:val="18"/>
        </w:rPr>
        <w:t>:</w:t>
      </w:r>
      <w:r w:rsidR="00450501" w:rsidRPr="00990D12">
        <w:rPr>
          <w:sz w:val="18"/>
          <w:szCs w:val="18"/>
        </w:rPr>
        <w:tab/>
        <w:t>DOCUMENT TWM/1/7 COMBINED-OVER-YEAR UNIFORMITY (COYU) CRITERION: EXTRAPOLATION</w:t>
      </w:r>
    </w:p>
    <w:p w:rsidR="00450501" w:rsidRPr="00990D12" w:rsidRDefault="00450501" w:rsidP="00450501">
      <w:pPr>
        <w:spacing w:before="120"/>
        <w:ind w:left="1138" w:hanging="1138"/>
        <w:rPr>
          <w:sz w:val="18"/>
          <w:szCs w:val="18"/>
        </w:rPr>
      </w:pPr>
      <w:r w:rsidRPr="00990D12">
        <w:rPr>
          <w:sz w:val="18"/>
          <w:szCs w:val="18"/>
        </w:rPr>
        <w:t xml:space="preserve">ANNEX II: </w:t>
      </w:r>
      <w:r w:rsidRPr="00990D12">
        <w:rPr>
          <w:sz w:val="18"/>
          <w:szCs w:val="18"/>
        </w:rPr>
        <w:tab/>
        <w:t>DOCUMENT TWM/1/7 DEVELOPMENTS ON THE IMPROVED COYU METHOD (SPLINES)</w:t>
      </w:r>
    </w:p>
    <w:p w:rsidR="008422AD" w:rsidRDefault="008422AD" w:rsidP="00990D12">
      <w:pPr>
        <w:rPr>
          <w:noProof/>
          <w:snapToGrid w:val="0"/>
        </w:rPr>
      </w:pPr>
    </w:p>
    <w:p w:rsidR="008422AD" w:rsidRDefault="008422AD" w:rsidP="008422AD">
      <w:r>
        <w:fldChar w:fldCharType="begin"/>
      </w:r>
      <w:r>
        <w:instrText xml:space="preserve"> AUTONUM  </w:instrText>
      </w:r>
      <w:r>
        <w:fldChar w:fldCharType="end"/>
      </w:r>
      <w:r>
        <w:tab/>
        <w:t xml:space="preserve">The following abbreviations </w:t>
      </w:r>
      <w:proofErr w:type="gramStart"/>
      <w:r>
        <w:t>are used</w:t>
      </w:r>
      <w:proofErr w:type="gramEnd"/>
      <w:r>
        <w:t xml:space="preserve"> in this document:</w:t>
      </w:r>
    </w:p>
    <w:p w:rsidR="008422AD" w:rsidRDefault="008422AD" w:rsidP="00990D12"/>
    <w:p w:rsidR="008422AD" w:rsidRDefault="008422AD" w:rsidP="008422AD">
      <w:pPr>
        <w:ind w:left="1701" w:hanging="1134"/>
      </w:pPr>
      <w:r>
        <w:t xml:space="preserve">TC:  </w:t>
      </w:r>
      <w:r>
        <w:tab/>
        <w:t>Technical Committee</w:t>
      </w:r>
    </w:p>
    <w:p w:rsidR="008422AD" w:rsidRDefault="008422AD" w:rsidP="008422AD">
      <w:pPr>
        <w:ind w:left="1701" w:hanging="1134"/>
      </w:pPr>
      <w:r>
        <w:t xml:space="preserve">TC-EDC:  </w:t>
      </w:r>
      <w:r>
        <w:tab/>
        <w:t>Enlarged Editorial Committee</w:t>
      </w:r>
    </w:p>
    <w:p w:rsidR="008422AD" w:rsidRDefault="008422AD" w:rsidP="008422AD">
      <w:pPr>
        <w:ind w:left="1701" w:hanging="1134"/>
      </w:pPr>
      <w:r>
        <w:t xml:space="preserve">TWA:  </w:t>
      </w:r>
      <w:r>
        <w:tab/>
        <w:t>Technical Working Party for Agricultural Crops</w:t>
      </w:r>
    </w:p>
    <w:p w:rsidR="008422AD" w:rsidRDefault="008422AD" w:rsidP="008422AD">
      <w:pPr>
        <w:ind w:left="1701" w:hanging="1134"/>
      </w:pPr>
      <w:r>
        <w:t xml:space="preserve">TWC:  </w:t>
      </w:r>
      <w:r>
        <w:tab/>
        <w:t>Technical Working Party on Automation and Computer Programs</w:t>
      </w:r>
    </w:p>
    <w:p w:rsidR="007B1BA8" w:rsidRDefault="008422AD" w:rsidP="008422AD">
      <w:pPr>
        <w:ind w:left="1701" w:hanging="1134"/>
      </w:pPr>
      <w:r>
        <w:t xml:space="preserve">TWF:  </w:t>
      </w:r>
      <w:r>
        <w:tab/>
        <w:t>Technical Working Party for Fruit Crops</w:t>
      </w:r>
    </w:p>
    <w:p w:rsidR="008422AD" w:rsidRDefault="007B1BA8" w:rsidP="008422AD">
      <w:pPr>
        <w:ind w:left="1701" w:hanging="1134"/>
      </w:pPr>
      <w:r>
        <w:t>TWM:</w:t>
      </w:r>
      <w:r>
        <w:tab/>
        <w:t>Technical Working Party on Testing Methods and Techniques</w:t>
      </w:r>
      <w:r w:rsidR="008422AD">
        <w:t xml:space="preserve"> </w:t>
      </w:r>
    </w:p>
    <w:p w:rsidR="008422AD" w:rsidRDefault="008422AD" w:rsidP="008422AD">
      <w:pPr>
        <w:ind w:left="1701" w:hanging="1134"/>
      </w:pPr>
      <w:r>
        <w:t xml:space="preserve">TWO:  </w:t>
      </w:r>
      <w:r>
        <w:tab/>
        <w:t xml:space="preserve">Technical Working Party for Ornamental Plants and Forest Trees </w:t>
      </w:r>
    </w:p>
    <w:p w:rsidR="008422AD" w:rsidRDefault="008422AD" w:rsidP="008422AD">
      <w:pPr>
        <w:ind w:left="1701" w:hanging="1134"/>
        <w:rPr>
          <w:color w:val="000000"/>
        </w:rPr>
      </w:pPr>
      <w:r>
        <w:rPr>
          <w:color w:val="000000"/>
        </w:rPr>
        <w:t>TWPs:</w:t>
      </w:r>
      <w:r>
        <w:rPr>
          <w:color w:val="000000"/>
        </w:rPr>
        <w:tab/>
        <w:t>Technical Working Parties</w:t>
      </w:r>
    </w:p>
    <w:p w:rsidR="008422AD" w:rsidRDefault="008422AD" w:rsidP="008422AD">
      <w:pPr>
        <w:ind w:left="1701" w:hanging="1134"/>
      </w:pPr>
      <w:r>
        <w:t xml:space="preserve">TWV:  </w:t>
      </w:r>
      <w:r>
        <w:tab/>
        <w:t>Technical Working Party for Vegetables</w:t>
      </w:r>
    </w:p>
    <w:p w:rsidR="008422AD" w:rsidRDefault="008422AD" w:rsidP="008422AD"/>
    <w:p w:rsidR="00450501" w:rsidRDefault="00450501" w:rsidP="008422AD"/>
    <w:p w:rsidR="008422AD" w:rsidRDefault="008422AD" w:rsidP="008422AD">
      <w:pPr>
        <w:keepNext/>
        <w:outlineLvl w:val="0"/>
        <w:rPr>
          <w:caps/>
        </w:rPr>
      </w:pPr>
      <w:bookmarkStart w:id="7" w:name="_Toc80801909"/>
      <w:bookmarkStart w:id="8" w:name="_Toc524691136"/>
      <w:bookmarkStart w:id="9" w:name="_Toc474404968"/>
      <w:bookmarkEnd w:id="5"/>
      <w:bookmarkEnd w:id="6"/>
      <w:r>
        <w:rPr>
          <w:caps/>
        </w:rPr>
        <w:t>BACKGROUND</w:t>
      </w:r>
      <w:bookmarkEnd w:id="7"/>
      <w:bookmarkEnd w:id="8"/>
      <w:bookmarkEnd w:id="9"/>
    </w:p>
    <w:p w:rsidR="008422AD" w:rsidRDefault="008422AD" w:rsidP="008422AD">
      <w:pPr>
        <w:rPr>
          <w:szCs w:val="24"/>
          <w:lang w:eastAsia="ja-JP"/>
        </w:rPr>
      </w:pPr>
    </w:p>
    <w:p w:rsidR="008422AD" w:rsidRPr="00A36C59" w:rsidRDefault="008422AD" w:rsidP="008422AD">
      <w:pPr>
        <w:rPr>
          <w:szCs w:val="24"/>
          <w:lang w:val="en-GB" w:eastAsia="ja-JP"/>
        </w:rPr>
      </w:pPr>
      <w:r w:rsidRPr="00A36C59">
        <w:rPr>
          <w:rFonts w:eastAsia="Calibri"/>
          <w:lang w:val="en-GB"/>
        </w:rPr>
        <w:fldChar w:fldCharType="begin"/>
      </w:r>
      <w:r w:rsidRPr="00A36C59">
        <w:rPr>
          <w:rFonts w:eastAsia="Calibri"/>
          <w:lang w:val="en-GB"/>
        </w:rPr>
        <w:instrText xml:space="preserve"> AUTONUM  </w:instrText>
      </w:r>
      <w:r w:rsidRPr="00A36C59">
        <w:rPr>
          <w:rFonts w:eastAsia="Calibri"/>
          <w:lang w:val="en-GB"/>
        </w:rPr>
        <w:fldChar w:fldCharType="end"/>
      </w:r>
      <w:r w:rsidRPr="00A36C59">
        <w:rPr>
          <w:rFonts w:eastAsia="Calibri"/>
          <w:lang w:val="en-GB"/>
        </w:rPr>
        <w:tab/>
        <w:t xml:space="preserve">The </w:t>
      </w:r>
      <w:r w:rsidRPr="00A36C59">
        <w:rPr>
          <w:lang w:val="en-GB"/>
        </w:rPr>
        <w:t>Combined-Over-</w:t>
      </w:r>
      <w:r>
        <w:rPr>
          <w:lang w:val="en-GB"/>
        </w:rPr>
        <w:t xml:space="preserve">Years Uniformity </w:t>
      </w:r>
      <w:r>
        <w:rPr>
          <w:rFonts w:eastAsia="Calibri"/>
          <w:lang w:val="en-GB"/>
        </w:rPr>
        <w:t xml:space="preserve">(COYU) criterion is a method used to assess uniformity on the </w:t>
      </w:r>
      <w:r w:rsidRPr="00A36C59">
        <w:rPr>
          <w:rFonts w:eastAsia="Calibri"/>
          <w:lang w:val="en-GB"/>
        </w:rPr>
        <w:t xml:space="preserve">basis of measured quantitative characteristics (see document TGP/8/3 “Trial Design and Techniques Used in the Examination of Distinctness, Uniformity and Stability”).  </w:t>
      </w:r>
    </w:p>
    <w:p w:rsidR="008422AD" w:rsidRPr="00A36C59" w:rsidRDefault="008422AD" w:rsidP="008422AD">
      <w:pPr>
        <w:rPr>
          <w:szCs w:val="24"/>
          <w:lang w:eastAsia="ja-JP"/>
        </w:rPr>
      </w:pPr>
    </w:p>
    <w:p w:rsidR="008422AD" w:rsidRPr="00A36C59" w:rsidRDefault="008422AD" w:rsidP="008422AD">
      <w:pPr>
        <w:keepNext/>
        <w:rPr>
          <w:iCs/>
        </w:rPr>
      </w:pPr>
      <w:r w:rsidRPr="00A36C59">
        <w:fldChar w:fldCharType="begin"/>
      </w:r>
      <w:r w:rsidRPr="00A36C59">
        <w:instrText xml:space="preserve"> AUTONUM  </w:instrText>
      </w:r>
      <w:r w:rsidRPr="00A36C59">
        <w:fldChar w:fldCharType="end"/>
      </w:r>
      <w:r w:rsidRPr="00A36C59">
        <w:tab/>
        <w:t>The TC, at its fifty-fourth session</w:t>
      </w:r>
      <w:r w:rsidRPr="00A36C59">
        <w:rPr>
          <w:vertAlign w:val="superscript"/>
        </w:rPr>
        <w:footnoteReference w:id="2"/>
      </w:r>
      <w:r w:rsidRPr="00A36C59">
        <w:t xml:space="preserve">, noted that the statistical development of the new method of calculation of COYU </w:t>
      </w:r>
      <w:proofErr w:type="gramStart"/>
      <w:r w:rsidRPr="00A36C59">
        <w:t>had been completed</w:t>
      </w:r>
      <w:proofErr w:type="gramEnd"/>
      <w:r w:rsidRPr="00A36C59">
        <w:t xml:space="preserve">, including the establishment of the probability levels required </w:t>
      </w:r>
      <w:r w:rsidRPr="00A36C59">
        <w:rPr>
          <w:bCs/>
        </w:rPr>
        <w:t xml:space="preserve">to most closely match decisions using the current method for calculation of COYU.  </w:t>
      </w:r>
      <w:r w:rsidRPr="00A36C59">
        <w:t>The TC noted the invitation by the</w:t>
      </w:r>
      <w:r w:rsidRPr="00A36C59">
        <w:rPr>
          <w:iCs/>
        </w:rPr>
        <w:t xml:space="preserve"> TWC for the expert from the United Kingdom to draft a replacement section for document TGP/8 on the method of calculation of COYU </w:t>
      </w:r>
      <w:r w:rsidRPr="00A36C59">
        <w:rPr>
          <w:rFonts w:eastAsia="MS Mincho"/>
        </w:rPr>
        <w:t>(see document TC/54/25 “Report”, paragraphs 221 to 224)</w:t>
      </w:r>
      <w:r w:rsidRPr="00A36C59">
        <w:rPr>
          <w:iCs/>
        </w:rPr>
        <w:t>.</w:t>
      </w:r>
    </w:p>
    <w:p w:rsidR="008422AD" w:rsidRPr="00A36C59" w:rsidRDefault="008422AD" w:rsidP="008422AD">
      <w:pPr>
        <w:rPr>
          <w:u w:val="single"/>
          <w:lang w:eastAsia="ja-JP"/>
        </w:rPr>
      </w:pPr>
    </w:p>
    <w:p w:rsidR="008422AD" w:rsidRPr="00A36C59" w:rsidRDefault="008422AD" w:rsidP="008422AD">
      <w:pPr>
        <w:rPr>
          <w:szCs w:val="24"/>
          <w:lang w:eastAsia="ja-JP"/>
        </w:rPr>
      </w:pPr>
      <w:r w:rsidRPr="00A36C59">
        <w:fldChar w:fldCharType="begin"/>
      </w:r>
      <w:r w:rsidRPr="00A36C59">
        <w:instrText xml:space="preserve"> AUTONUM  </w:instrText>
      </w:r>
      <w:r w:rsidRPr="00A36C59">
        <w:fldChar w:fldCharType="end"/>
      </w:r>
      <w:r w:rsidRPr="00A36C59">
        <w:tab/>
      </w:r>
      <w:r w:rsidRPr="00A36C59">
        <w:rPr>
          <w:szCs w:val="24"/>
        </w:rPr>
        <w:t>Further background to this matter is provided in document TC/5</w:t>
      </w:r>
      <w:r w:rsidR="005A618A" w:rsidRPr="00A36C59">
        <w:rPr>
          <w:szCs w:val="24"/>
        </w:rPr>
        <w:t>7</w:t>
      </w:r>
      <w:r w:rsidRPr="00A36C59">
        <w:rPr>
          <w:szCs w:val="24"/>
        </w:rPr>
        <w:t>/</w:t>
      </w:r>
      <w:r w:rsidR="005A618A" w:rsidRPr="00A36C59">
        <w:rPr>
          <w:szCs w:val="24"/>
        </w:rPr>
        <w:t xml:space="preserve">7 </w:t>
      </w:r>
      <w:r w:rsidRPr="00A36C59">
        <w:rPr>
          <w:szCs w:val="24"/>
        </w:rPr>
        <w:t xml:space="preserve">“The Combined </w:t>
      </w:r>
      <w:proofErr w:type="gramStart"/>
      <w:r w:rsidRPr="00A36C59">
        <w:rPr>
          <w:szCs w:val="24"/>
        </w:rPr>
        <w:t>Over</w:t>
      </w:r>
      <w:proofErr w:type="gramEnd"/>
      <w:r w:rsidRPr="00A36C59">
        <w:rPr>
          <w:szCs w:val="24"/>
        </w:rPr>
        <w:t xml:space="preserve"> Years Uniformity Criterion (COYU)”</w:t>
      </w:r>
      <w:r w:rsidRPr="00A36C59">
        <w:rPr>
          <w:szCs w:val="24"/>
          <w:lang w:eastAsia="ja-JP"/>
        </w:rPr>
        <w:t>.</w:t>
      </w:r>
    </w:p>
    <w:p w:rsidR="008422AD" w:rsidRPr="00A36C59" w:rsidRDefault="008422AD" w:rsidP="008422AD">
      <w:pPr>
        <w:rPr>
          <w:szCs w:val="24"/>
          <w:lang w:eastAsia="ja-JP"/>
        </w:rPr>
      </w:pPr>
    </w:p>
    <w:p w:rsidR="005A618A" w:rsidRPr="00A36C59" w:rsidRDefault="005A618A" w:rsidP="005A618A">
      <w:r w:rsidRPr="00A36C59">
        <w:fldChar w:fldCharType="begin"/>
      </w:r>
      <w:r w:rsidRPr="00A36C59">
        <w:instrText xml:space="preserve"> AUTONUM  </w:instrText>
      </w:r>
      <w:r w:rsidRPr="00A36C59">
        <w:fldChar w:fldCharType="end"/>
      </w:r>
      <w:r w:rsidRPr="00A36C59">
        <w:tab/>
        <w:t>The TC</w:t>
      </w:r>
      <w:r w:rsidR="0072507E">
        <w:t>,</w:t>
      </w:r>
      <w:r w:rsidR="0072507E" w:rsidRPr="0072507E">
        <w:t xml:space="preserve"> </w:t>
      </w:r>
      <w:r w:rsidR="0072507E">
        <w:t>at its fifty-seventh session</w:t>
      </w:r>
      <w:r w:rsidRPr="00A36C59">
        <w:rPr>
          <w:rStyle w:val="FootnoteReference"/>
        </w:rPr>
        <w:footnoteReference w:id="3"/>
      </w:r>
      <w:r w:rsidR="0072507E">
        <w:t>,</w:t>
      </w:r>
      <w:r w:rsidRPr="00A36C59">
        <w:t xml:space="preserve"> noted that software for COYU Splines was under evaluation and </w:t>
      </w:r>
      <w:proofErr w:type="gramStart"/>
      <w:r w:rsidRPr="00A36C59">
        <w:t>was planned to be implemented</w:t>
      </w:r>
      <w:proofErr w:type="gramEnd"/>
      <w:r w:rsidRPr="00A36C59">
        <w:t xml:space="preserve"> in the United Kingdom from 2022.</w:t>
      </w:r>
    </w:p>
    <w:p w:rsidR="005A618A" w:rsidRPr="00A36C59" w:rsidRDefault="005A618A" w:rsidP="005A618A">
      <w:pPr>
        <w:jc w:val="left"/>
      </w:pPr>
    </w:p>
    <w:p w:rsidR="005A618A" w:rsidRPr="00A36C59" w:rsidRDefault="005A618A" w:rsidP="005A618A">
      <w:r w:rsidRPr="00A36C59">
        <w:fldChar w:fldCharType="begin"/>
      </w:r>
      <w:r w:rsidRPr="00A36C59">
        <w:instrText xml:space="preserve"> AUTONUM  </w:instrText>
      </w:r>
      <w:r w:rsidRPr="00A36C59">
        <w:fldChar w:fldCharType="end"/>
      </w:r>
      <w:r w:rsidRPr="00A36C59">
        <w:tab/>
        <w:t xml:space="preserve">The TC noted that evaluation versions of software for COYU Splines </w:t>
      </w:r>
      <w:proofErr w:type="gramStart"/>
      <w:r w:rsidRPr="00A36C59">
        <w:t>were made</w:t>
      </w:r>
      <w:proofErr w:type="gramEnd"/>
      <w:r w:rsidRPr="00A36C59">
        <w:t xml:space="preserve"> available in August 2021.</w:t>
      </w:r>
    </w:p>
    <w:p w:rsidR="005A618A" w:rsidRPr="00A36C59" w:rsidRDefault="005A618A" w:rsidP="005A618A">
      <w:pPr>
        <w:jc w:val="left"/>
      </w:pPr>
    </w:p>
    <w:p w:rsidR="005A618A" w:rsidRPr="00A36C59" w:rsidRDefault="005A618A" w:rsidP="005A618A">
      <w:r w:rsidRPr="00A36C59">
        <w:fldChar w:fldCharType="begin"/>
      </w:r>
      <w:r w:rsidRPr="00A36C59">
        <w:instrText xml:space="preserve"> AUTONUM  </w:instrText>
      </w:r>
      <w:r w:rsidRPr="00A36C59">
        <w:fldChar w:fldCharType="end"/>
      </w:r>
      <w:r w:rsidRPr="00A36C59">
        <w:tab/>
        <w:t>The TC noted the invitation for members of the Union to participate in the test campaign of the COYU Splines software and report outcomes to the expert from the United Kingdom by December 31, 2021</w:t>
      </w:r>
      <w:r w:rsidR="0015619C" w:rsidRPr="00A36C59">
        <w:t>.</w:t>
      </w:r>
    </w:p>
    <w:p w:rsidR="005A618A" w:rsidRPr="00A36C59" w:rsidRDefault="005A618A" w:rsidP="005A618A">
      <w:pPr>
        <w:jc w:val="left"/>
      </w:pPr>
    </w:p>
    <w:p w:rsidR="005A618A" w:rsidRPr="00A36C59" w:rsidRDefault="005A618A" w:rsidP="005A618A">
      <w:r w:rsidRPr="00A36C59">
        <w:fldChar w:fldCharType="begin"/>
      </w:r>
      <w:r w:rsidRPr="00A36C59">
        <w:instrText xml:space="preserve"> AUTONUM  </w:instrText>
      </w:r>
      <w:r w:rsidRPr="00A36C59">
        <w:fldChar w:fldCharType="end"/>
      </w:r>
      <w:r w:rsidRPr="00A36C59">
        <w:tab/>
        <w:t>The TC agreed to request the TWC to prepare a report of the results of the test campaign of the software for COYU Splines for consideration by the TC, at its fifty</w:t>
      </w:r>
      <w:r w:rsidRPr="00A36C59">
        <w:noBreakHyphen/>
        <w:t>eighth session, in conjunction with the revision of document TGP/8 (see document TC/57/25 “Report”, paragraph 33).</w:t>
      </w:r>
    </w:p>
    <w:p w:rsidR="005A618A" w:rsidRPr="00A36C59" w:rsidRDefault="005A618A" w:rsidP="005A618A"/>
    <w:p w:rsidR="008422AD" w:rsidRPr="00A36C59" w:rsidRDefault="008422AD" w:rsidP="008422AD">
      <w:pPr>
        <w:rPr>
          <w:iCs/>
        </w:rPr>
      </w:pPr>
    </w:p>
    <w:p w:rsidR="008422AD" w:rsidRPr="00A36C59" w:rsidRDefault="008422AD" w:rsidP="008422AD">
      <w:pPr>
        <w:keepNext/>
        <w:keepLines/>
        <w:outlineLvl w:val="0"/>
        <w:rPr>
          <w:caps/>
          <w:lang w:val="en-GB"/>
        </w:rPr>
      </w:pPr>
      <w:bookmarkStart w:id="10" w:name="_Toc80801910"/>
      <w:r w:rsidRPr="00A36C59">
        <w:rPr>
          <w:caps/>
          <w:lang w:val="en-GB"/>
        </w:rPr>
        <w:t>developments at the technical working parties</w:t>
      </w:r>
      <w:bookmarkEnd w:id="10"/>
    </w:p>
    <w:p w:rsidR="008422AD" w:rsidRPr="00A36C59" w:rsidRDefault="008422AD" w:rsidP="008422AD">
      <w:pPr>
        <w:keepNext/>
        <w:keepLines/>
        <w:outlineLvl w:val="0"/>
        <w:rPr>
          <w:rFonts w:cs="Arial"/>
          <w:caps/>
        </w:rPr>
      </w:pPr>
    </w:p>
    <w:p w:rsidR="008422AD" w:rsidRPr="00A36C59" w:rsidRDefault="008422AD" w:rsidP="008422AD">
      <w:pPr>
        <w:keepNext/>
        <w:keepLines/>
      </w:pPr>
      <w:r w:rsidRPr="00A36C59">
        <w:fldChar w:fldCharType="begin"/>
      </w:r>
      <w:r w:rsidRPr="00A36C59">
        <w:instrText xml:space="preserve"> AUTONUM  </w:instrText>
      </w:r>
      <w:r w:rsidRPr="00A36C59">
        <w:fldChar w:fldCharType="end"/>
      </w:r>
      <w:r w:rsidRPr="00A36C59">
        <w:tab/>
      </w:r>
      <w:proofErr w:type="gramStart"/>
      <w:r w:rsidRPr="00A36C59">
        <w:t>At their sessions in 202</w:t>
      </w:r>
      <w:r w:rsidR="0070630F" w:rsidRPr="00A36C59">
        <w:t>2</w:t>
      </w:r>
      <w:r w:rsidRPr="00A36C59">
        <w:t>, the TWV</w:t>
      </w:r>
      <w:r w:rsidRPr="00A36C59">
        <w:rPr>
          <w:vertAlign w:val="superscript"/>
        </w:rPr>
        <w:footnoteReference w:id="4"/>
      </w:r>
      <w:r w:rsidRPr="00A36C59">
        <w:t xml:space="preserve">, </w:t>
      </w:r>
      <w:r w:rsidR="0070630F" w:rsidRPr="00A36C59">
        <w:t>TWA</w:t>
      </w:r>
      <w:r w:rsidR="0070630F" w:rsidRPr="00A36C59">
        <w:rPr>
          <w:vertAlign w:val="superscript"/>
        </w:rPr>
        <w:footnoteReference w:id="5"/>
      </w:r>
      <w:r w:rsidR="0070630F" w:rsidRPr="00A36C59">
        <w:t xml:space="preserve">, </w:t>
      </w:r>
      <w:r w:rsidRPr="00A36C59">
        <w:t>TWO</w:t>
      </w:r>
      <w:r w:rsidRPr="00A36C59">
        <w:rPr>
          <w:vertAlign w:val="superscript"/>
        </w:rPr>
        <w:footnoteReference w:id="6"/>
      </w:r>
      <w:r w:rsidRPr="00A36C59">
        <w:t>, TWF</w:t>
      </w:r>
      <w:r w:rsidRPr="00A36C59">
        <w:rPr>
          <w:vertAlign w:val="superscript"/>
        </w:rPr>
        <w:footnoteReference w:id="7"/>
      </w:r>
      <w:r w:rsidRPr="00A36C59">
        <w:t xml:space="preserve"> </w:t>
      </w:r>
      <w:r w:rsidR="007915C4" w:rsidRPr="00A36C59">
        <w:t xml:space="preserve">and </w:t>
      </w:r>
      <w:r w:rsidR="007915C4" w:rsidRPr="00A36C59">
        <w:rPr>
          <w:snapToGrid w:val="0"/>
        </w:rPr>
        <w:t>TW</w:t>
      </w:r>
      <w:r w:rsidR="00B50005" w:rsidRPr="00A36C59">
        <w:rPr>
          <w:snapToGrid w:val="0"/>
        </w:rPr>
        <w:t>M</w:t>
      </w:r>
      <w:r w:rsidR="007915C4" w:rsidRPr="00A36C59">
        <w:rPr>
          <w:snapToGrid w:val="0"/>
          <w:vertAlign w:val="superscript"/>
        </w:rPr>
        <w:footnoteReference w:id="8"/>
      </w:r>
      <w:r w:rsidR="007915C4" w:rsidRPr="00A36C59">
        <w:rPr>
          <w:color w:val="000000"/>
        </w:rPr>
        <w:t>.</w:t>
      </w:r>
      <w:r w:rsidRPr="00A36C59">
        <w:t>considered document TWP/</w:t>
      </w:r>
      <w:r w:rsidR="0070630F" w:rsidRPr="00A36C59">
        <w:t>6</w:t>
      </w:r>
      <w:r w:rsidRPr="00A36C59">
        <w:t>/11 “The Combined-Over-Years Uniformity Criterion (COYU)” (see documents TWV/5</w:t>
      </w:r>
      <w:r w:rsidR="0067537F" w:rsidRPr="00A36C59">
        <w:t>6</w:t>
      </w:r>
      <w:r w:rsidRPr="00A36C59">
        <w:t>/</w:t>
      </w:r>
      <w:r w:rsidR="0067537F" w:rsidRPr="00A36C59">
        <w:t>22</w:t>
      </w:r>
      <w:r w:rsidRPr="00A36C59">
        <w:t xml:space="preserve"> “Report”, paragraphs </w:t>
      </w:r>
      <w:r w:rsidR="0067537F" w:rsidRPr="00A36C59">
        <w:t>12</w:t>
      </w:r>
      <w:r w:rsidRPr="00A36C59">
        <w:t xml:space="preserve"> to </w:t>
      </w:r>
      <w:r w:rsidR="0067537F" w:rsidRPr="00A36C59">
        <w:t>15; TWA/51/11 “Report”, paragraphs 30 to 35</w:t>
      </w:r>
      <w:r w:rsidRPr="00A36C59">
        <w:t>; TWO/5</w:t>
      </w:r>
      <w:r w:rsidR="00D27BB4" w:rsidRPr="00A36C59">
        <w:t>4</w:t>
      </w:r>
      <w:r w:rsidRPr="00A36C59">
        <w:t>/</w:t>
      </w:r>
      <w:r w:rsidR="00D27BB4" w:rsidRPr="00A36C59">
        <w:t>6</w:t>
      </w:r>
      <w:r w:rsidRPr="00A36C59">
        <w:t xml:space="preserve"> “Report”, paragraphs 29 to 33; TWF/5</w:t>
      </w:r>
      <w:r w:rsidR="00447E75" w:rsidRPr="00A36C59">
        <w:t>3</w:t>
      </w:r>
      <w:r w:rsidRPr="00A36C59">
        <w:t>/1</w:t>
      </w:r>
      <w:r w:rsidR="00447E75" w:rsidRPr="00A36C59">
        <w:t>4</w:t>
      </w:r>
      <w:r w:rsidRPr="00A36C59">
        <w:t xml:space="preserve"> “Report”, paragraphs </w:t>
      </w:r>
      <w:r w:rsidR="00447E75" w:rsidRPr="00A36C59">
        <w:t>14</w:t>
      </w:r>
      <w:r w:rsidRPr="00A36C59">
        <w:t xml:space="preserve"> to </w:t>
      </w:r>
      <w:r w:rsidR="00447E75" w:rsidRPr="00A36C59">
        <w:t>18</w:t>
      </w:r>
      <w:r w:rsidR="00F6677A" w:rsidRPr="00A36C59">
        <w:t>; and TWM/1/26 “Report”, paragraphs 37 to 42</w:t>
      </w:r>
      <w:r w:rsidRPr="00A36C59">
        <w:t>)</w:t>
      </w:r>
      <w:r w:rsidRPr="00A36C59">
        <w:rPr>
          <w:lang w:eastAsia="ja-JP"/>
        </w:rPr>
        <w:t>.</w:t>
      </w:r>
      <w:proofErr w:type="gramEnd"/>
    </w:p>
    <w:p w:rsidR="008422AD" w:rsidRPr="00A36C59" w:rsidRDefault="008422AD" w:rsidP="008422AD">
      <w:pPr>
        <w:rPr>
          <w:snapToGrid w:val="0"/>
        </w:rPr>
      </w:pPr>
    </w:p>
    <w:p w:rsidR="008422AD" w:rsidRPr="00A36C59" w:rsidRDefault="008422AD" w:rsidP="008422AD">
      <w:pPr>
        <w:rPr>
          <w:rFonts w:cs="Arial"/>
        </w:rPr>
      </w:pPr>
      <w:r w:rsidRPr="00A36C59">
        <w:rPr>
          <w:snapToGrid w:val="0"/>
        </w:rPr>
        <w:fldChar w:fldCharType="begin"/>
      </w:r>
      <w:r w:rsidRPr="00A36C59">
        <w:rPr>
          <w:snapToGrid w:val="0"/>
        </w:rPr>
        <w:instrText xml:space="preserve"> AUTONUM  </w:instrText>
      </w:r>
      <w:r w:rsidRPr="00A36C59">
        <w:rPr>
          <w:snapToGrid w:val="0"/>
        </w:rPr>
        <w:fldChar w:fldCharType="end"/>
      </w:r>
      <w:r w:rsidRPr="00A36C59">
        <w:rPr>
          <w:snapToGrid w:val="0"/>
        </w:rPr>
        <w:tab/>
      </w:r>
      <w:r w:rsidRPr="00A36C59">
        <w:t>The TWV</w:t>
      </w:r>
      <w:r w:rsidR="0015619C" w:rsidRPr="00A36C59">
        <w:t xml:space="preserve">, </w:t>
      </w:r>
      <w:r w:rsidRPr="00A36C59">
        <w:t>TWA</w:t>
      </w:r>
      <w:r w:rsidR="0015619C" w:rsidRPr="00A36C59">
        <w:t>, TWO</w:t>
      </w:r>
      <w:r w:rsidR="00D644CD" w:rsidRPr="00A36C59">
        <w:t xml:space="preserve">, </w:t>
      </w:r>
      <w:r w:rsidRPr="00A36C59">
        <w:t xml:space="preserve">TWF </w:t>
      </w:r>
      <w:r w:rsidR="00D644CD" w:rsidRPr="00A36C59">
        <w:t xml:space="preserve">and TWM </w:t>
      </w:r>
      <w:r w:rsidR="0015619C" w:rsidRPr="00A36C59">
        <w:rPr>
          <w:rFonts w:cs="Arial"/>
        </w:rPr>
        <w:t xml:space="preserve">noted that software for COYU Splines would be under evaluation and planned to </w:t>
      </w:r>
      <w:proofErr w:type="gramStart"/>
      <w:r w:rsidR="0015619C" w:rsidRPr="00A36C59">
        <w:rPr>
          <w:rFonts w:cs="Arial"/>
        </w:rPr>
        <w:t>be implemented</w:t>
      </w:r>
      <w:proofErr w:type="gramEnd"/>
      <w:r w:rsidR="0015619C" w:rsidRPr="00A36C59">
        <w:rPr>
          <w:rFonts w:cs="Arial"/>
        </w:rPr>
        <w:t xml:space="preserve"> in the United Kingdom from 2022.  </w:t>
      </w:r>
      <w:r w:rsidR="0015619C" w:rsidRPr="00A36C59">
        <w:t>The TWV, TWA, TWO</w:t>
      </w:r>
      <w:r w:rsidR="00D644CD" w:rsidRPr="00A36C59">
        <w:t>,</w:t>
      </w:r>
      <w:r w:rsidR="0015619C" w:rsidRPr="00A36C59">
        <w:t xml:space="preserve"> TWF </w:t>
      </w:r>
      <w:r w:rsidR="00D644CD" w:rsidRPr="00A36C59">
        <w:t xml:space="preserve">and TWM </w:t>
      </w:r>
      <w:r w:rsidR="0015619C" w:rsidRPr="00A36C59">
        <w:rPr>
          <w:rFonts w:cs="Arial"/>
        </w:rPr>
        <w:t xml:space="preserve">noted that evaluation versions of software for COYU Splines </w:t>
      </w:r>
      <w:proofErr w:type="gramStart"/>
      <w:r w:rsidR="0015619C" w:rsidRPr="00A36C59">
        <w:rPr>
          <w:rFonts w:cs="Arial"/>
        </w:rPr>
        <w:t>had been made</w:t>
      </w:r>
      <w:proofErr w:type="gramEnd"/>
      <w:r w:rsidR="0015619C" w:rsidRPr="00A36C59">
        <w:rPr>
          <w:rFonts w:cs="Arial"/>
        </w:rPr>
        <w:t xml:space="preserve"> available in August 2021.  </w:t>
      </w:r>
    </w:p>
    <w:p w:rsidR="0015619C" w:rsidRPr="00A36C59" w:rsidRDefault="0015619C" w:rsidP="008422AD">
      <w:pPr>
        <w:rPr>
          <w:rFonts w:cs="Arial"/>
        </w:rPr>
      </w:pPr>
    </w:p>
    <w:p w:rsidR="0015619C" w:rsidRPr="00A36C59" w:rsidRDefault="008422AD" w:rsidP="008422AD">
      <w:r w:rsidRPr="00A36C59">
        <w:fldChar w:fldCharType="begin"/>
      </w:r>
      <w:r w:rsidRPr="00A36C59">
        <w:instrText xml:space="preserve"> AUTONUM  </w:instrText>
      </w:r>
      <w:r w:rsidRPr="00A36C59">
        <w:fldChar w:fldCharType="end"/>
      </w:r>
      <w:r w:rsidRPr="00A36C59">
        <w:tab/>
      </w:r>
      <w:r w:rsidR="0015619C" w:rsidRPr="00A36C59">
        <w:t>The TWV, TWA, TWO</w:t>
      </w:r>
      <w:r w:rsidR="00F019CB" w:rsidRPr="00A36C59">
        <w:t xml:space="preserve">, </w:t>
      </w:r>
      <w:r w:rsidR="0015619C" w:rsidRPr="00A36C59">
        <w:t xml:space="preserve">TWF </w:t>
      </w:r>
      <w:r w:rsidR="00F019CB" w:rsidRPr="00A36C59">
        <w:t xml:space="preserve">and TWM </w:t>
      </w:r>
      <w:r w:rsidR="0015619C" w:rsidRPr="00A36C59">
        <w:t>noted the invitation for members of the Union to participate in the test campaign of the COYU Splines software and report outcomes to the expert from the United Kingdom.</w:t>
      </w:r>
      <w:r w:rsidR="00F019CB" w:rsidRPr="00A36C59">
        <w:t xml:space="preserve"> The TWM noted that feedback </w:t>
      </w:r>
      <w:proofErr w:type="gramStart"/>
      <w:r w:rsidR="00F019CB" w:rsidRPr="00A36C59">
        <w:t>had been received</w:t>
      </w:r>
      <w:proofErr w:type="gramEnd"/>
      <w:r w:rsidR="00F019CB" w:rsidRPr="00A36C59">
        <w:t xml:space="preserve"> from Czech Republic, Finland, Slovakia and United</w:t>
      </w:r>
      <w:r w:rsidR="002D7623">
        <w:t> </w:t>
      </w:r>
      <w:r w:rsidR="00F019CB" w:rsidRPr="00A36C59">
        <w:t>Kingdom.</w:t>
      </w:r>
    </w:p>
    <w:p w:rsidR="0015619C" w:rsidRPr="00A36C59" w:rsidRDefault="0015619C" w:rsidP="008422AD"/>
    <w:p w:rsidR="00CC6619" w:rsidRPr="00A36C59" w:rsidRDefault="00CC6619" w:rsidP="00CC6619">
      <w:pPr>
        <w:rPr>
          <w:rFonts w:cs="Arial"/>
        </w:rPr>
      </w:pPr>
      <w:r w:rsidRPr="00A36C59">
        <w:fldChar w:fldCharType="begin"/>
      </w:r>
      <w:r w:rsidRPr="00A36C59">
        <w:instrText xml:space="preserve"> AUTONUM  </w:instrText>
      </w:r>
      <w:r w:rsidRPr="00A36C59">
        <w:fldChar w:fldCharType="end"/>
      </w:r>
      <w:r w:rsidRPr="00A36C59">
        <w:tab/>
      </w:r>
      <w:r w:rsidR="00CF4074" w:rsidRPr="00A36C59">
        <w:t>The TWV, TWA, TWO</w:t>
      </w:r>
      <w:r w:rsidR="00F019CB" w:rsidRPr="00A36C59">
        <w:t xml:space="preserve">, </w:t>
      </w:r>
      <w:r w:rsidR="00CF4074" w:rsidRPr="00A36C59">
        <w:t xml:space="preserve">TWF </w:t>
      </w:r>
      <w:r w:rsidR="00F019CB" w:rsidRPr="00A36C59">
        <w:t xml:space="preserve">and TWM </w:t>
      </w:r>
      <w:r w:rsidRPr="00A36C59">
        <w:rPr>
          <w:rFonts w:cs="Arial"/>
        </w:rPr>
        <w:t>noted the request for the TWM to prepare a report of the results of the test campaign of the software for COYU Splines for consideration by the TC, at its fifty-eight session, in conjunction with the revision of document TGP/8.</w:t>
      </w:r>
    </w:p>
    <w:p w:rsidR="008422AD" w:rsidRPr="00A36C59" w:rsidRDefault="008422AD" w:rsidP="008422AD"/>
    <w:p w:rsidR="00AE3F08" w:rsidRPr="00A36C59" w:rsidRDefault="00AE3F08" w:rsidP="00AE3F08"/>
    <w:p w:rsidR="00AE3F08" w:rsidRPr="00A36C59" w:rsidRDefault="00AE3F08" w:rsidP="002D7623">
      <w:pPr>
        <w:pStyle w:val="Heading2"/>
      </w:pPr>
      <w:r w:rsidRPr="00A36C59">
        <w:t>Development of software for the improved COYU method (splines)</w:t>
      </w:r>
    </w:p>
    <w:p w:rsidR="00AE3F08" w:rsidRPr="00A36C59" w:rsidRDefault="00AE3F08" w:rsidP="00AE3F08">
      <w:pPr>
        <w:jc w:val="left"/>
      </w:pPr>
    </w:p>
    <w:p w:rsidR="00A36C59" w:rsidRDefault="00A36C59" w:rsidP="00A36C59">
      <w:r w:rsidRPr="00A36C59">
        <w:fldChar w:fldCharType="begin"/>
      </w:r>
      <w:r w:rsidRPr="00A36C59">
        <w:instrText xml:space="preserve"> AUTONUM  </w:instrText>
      </w:r>
      <w:r w:rsidRPr="00A36C59">
        <w:fldChar w:fldCharType="end"/>
      </w:r>
      <w:r w:rsidRPr="00A36C59">
        <w:tab/>
        <w:t xml:space="preserve">The TWA received a </w:t>
      </w:r>
      <w:r w:rsidRPr="00A36C59">
        <w:rPr>
          <w:snapToGrid w:val="0"/>
        </w:rPr>
        <w:t>presentation</w:t>
      </w:r>
      <w:r w:rsidRPr="005D51E6">
        <w:rPr>
          <w:snapToGrid w:val="0"/>
        </w:rPr>
        <w:t xml:space="preserve"> </w:t>
      </w:r>
      <w:r>
        <w:rPr>
          <w:snapToGrid w:val="0"/>
        </w:rPr>
        <w:t xml:space="preserve">on </w:t>
      </w:r>
      <w:r w:rsidRPr="005D51E6">
        <w:rPr>
          <w:snapToGrid w:val="0"/>
        </w:rPr>
        <w:t>“</w:t>
      </w:r>
      <w:r w:rsidRPr="0072251F">
        <w:rPr>
          <w:snapToGrid w:val="0"/>
        </w:rPr>
        <w:t xml:space="preserve">COYU </w:t>
      </w:r>
      <w:r>
        <w:rPr>
          <w:snapToGrid w:val="0"/>
        </w:rPr>
        <w:t>S</w:t>
      </w:r>
      <w:r w:rsidRPr="0072251F">
        <w:rPr>
          <w:snapToGrid w:val="0"/>
        </w:rPr>
        <w:t>plines</w:t>
      </w:r>
      <w:r>
        <w:rPr>
          <w:snapToGrid w:val="0"/>
        </w:rPr>
        <w:t xml:space="preserve">: </w:t>
      </w:r>
      <w:r w:rsidRPr="0072251F">
        <w:rPr>
          <w:snapToGrid w:val="0"/>
        </w:rPr>
        <w:t>Path to implementation</w:t>
      </w:r>
      <w:r>
        <w:rPr>
          <w:snapToGrid w:val="0"/>
        </w:rPr>
        <w:t xml:space="preserve"> </w:t>
      </w:r>
      <w:r w:rsidRPr="0072251F">
        <w:rPr>
          <w:snapToGrid w:val="0"/>
        </w:rPr>
        <w:t>in the United Kingdom</w:t>
      </w:r>
      <w:r>
        <w:rPr>
          <w:snapToGrid w:val="0"/>
        </w:rPr>
        <w:t>”</w:t>
      </w:r>
      <w:r w:rsidRPr="005D51E6">
        <w:rPr>
          <w:snapToGrid w:val="0"/>
        </w:rPr>
        <w:t xml:space="preserve"> by </w:t>
      </w:r>
      <w:r>
        <w:rPr>
          <w:snapToGrid w:val="0"/>
        </w:rPr>
        <w:t xml:space="preserve">an </w:t>
      </w:r>
      <w:r w:rsidRPr="005D51E6">
        <w:rPr>
          <w:snapToGrid w:val="0"/>
        </w:rPr>
        <w:t xml:space="preserve">expert from </w:t>
      </w:r>
      <w:r>
        <w:rPr>
          <w:snapToGrid w:val="0"/>
        </w:rPr>
        <w:t xml:space="preserve">the United Kingdom.  </w:t>
      </w:r>
      <w:r>
        <w:t xml:space="preserve">A copy of the presentation </w:t>
      </w:r>
      <w:proofErr w:type="gramStart"/>
      <w:r>
        <w:t>is provided</w:t>
      </w:r>
      <w:proofErr w:type="gramEnd"/>
      <w:r>
        <w:t xml:space="preserve"> in document TWA/51/8.  The TWA noted the work reported and agreed to invite the expert from the United Kingdom to report developments at its fifty</w:t>
      </w:r>
      <w:r>
        <w:noBreakHyphen/>
        <w:t>second session.</w:t>
      </w:r>
    </w:p>
    <w:p w:rsidR="00A36C59" w:rsidRDefault="00A36C59" w:rsidP="00A36C59"/>
    <w:p w:rsidR="00AE3F08" w:rsidRDefault="00AE3F08" w:rsidP="00AE3F08">
      <w:r>
        <w:fldChar w:fldCharType="begin"/>
      </w:r>
      <w:r>
        <w:instrText xml:space="preserve"> AUTONUM  </w:instrText>
      </w:r>
      <w:r>
        <w:fldChar w:fldCharType="end"/>
      </w:r>
      <w:r>
        <w:tab/>
        <w:t>The TWM considered document TWM/1/8</w:t>
      </w:r>
      <w:r w:rsidR="00450501">
        <w:rPr>
          <w:rFonts w:cs="Arial"/>
          <w:bCs/>
        </w:rPr>
        <w:t xml:space="preserve">, as provided </w:t>
      </w:r>
      <w:r w:rsidR="00450501" w:rsidRPr="00107A89">
        <w:rPr>
          <w:rFonts w:cs="Arial"/>
          <w:bCs/>
        </w:rPr>
        <w:t>in Annex I to this do</w:t>
      </w:r>
      <w:r w:rsidR="00450501">
        <w:rPr>
          <w:rFonts w:cs="Arial"/>
          <w:bCs/>
        </w:rPr>
        <w:t xml:space="preserve">cument, </w:t>
      </w:r>
      <w:r>
        <w:t>and received a presentation from Mr. Adrian Roberts and Ms. </w:t>
      </w:r>
      <w:proofErr w:type="spellStart"/>
      <w:r>
        <w:t>Haidee</w:t>
      </w:r>
      <w:proofErr w:type="spellEnd"/>
      <w:r>
        <w:t xml:space="preserve"> Philpott (United Kingdom) on “Developments on the improved COYU method (splines)”, </w:t>
      </w:r>
      <w:r>
        <w:rPr>
          <w:rFonts w:cs="Arial"/>
          <w:iCs/>
        </w:rPr>
        <w:t>a copy of which is reproduced in document </w:t>
      </w:r>
      <w:r>
        <w:t>TWM/1/8 Add..</w:t>
      </w:r>
    </w:p>
    <w:p w:rsidR="00AE3F08" w:rsidRPr="00F019CB" w:rsidRDefault="00AE3F08" w:rsidP="00AE3F08">
      <w:pPr>
        <w:rPr>
          <w:rFonts w:eastAsiaTheme="minorEastAsia"/>
          <w:lang w:eastAsia="ja-JP"/>
        </w:rPr>
      </w:pPr>
    </w:p>
    <w:p w:rsidR="00AE3F08" w:rsidRDefault="00AE3F08" w:rsidP="00AE3F08">
      <w:r>
        <w:fldChar w:fldCharType="begin"/>
      </w:r>
      <w:r>
        <w:instrText xml:space="preserve"> AUTONUM  </w:instrText>
      </w:r>
      <w:r>
        <w:fldChar w:fldCharType="end"/>
      </w:r>
      <w:r>
        <w:tab/>
      </w:r>
      <w:r>
        <w:rPr>
          <w:rFonts w:cs="Arial"/>
        </w:rPr>
        <w:t xml:space="preserve">The </w:t>
      </w:r>
      <w:r>
        <w:t>TWM</w:t>
      </w:r>
      <w:r>
        <w:rPr>
          <w:rFonts w:cs="Arial"/>
        </w:rPr>
        <w:t xml:space="preserve"> noted that </w:t>
      </w:r>
      <w:r>
        <w:t xml:space="preserve">a new version of DUSTNT incorporating COYU with splines </w:t>
      </w:r>
      <w:r>
        <w:rPr>
          <w:rFonts w:cs="Arial"/>
        </w:rPr>
        <w:t xml:space="preserve">(DUST9NT) </w:t>
      </w:r>
      <w:proofErr w:type="gramStart"/>
      <w:r>
        <w:t>would be launched</w:t>
      </w:r>
      <w:proofErr w:type="gramEnd"/>
      <w:r>
        <w:t xml:space="preserve"> by September 2023,</w:t>
      </w:r>
      <w:r>
        <w:rPr>
          <w:rFonts w:cs="Arial"/>
        </w:rPr>
        <w:t xml:space="preserve"> o</w:t>
      </w:r>
      <w:r>
        <w:t>nce the improvements identified from the testing campaign had been incorporated, including extrapolation.</w:t>
      </w:r>
    </w:p>
    <w:p w:rsidR="00AE3F08" w:rsidRDefault="00AE3F08" w:rsidP="00AE3F08">
      <w:pPr>
        <w:rPr>
          <w:rFonts w:cs="Arial"/>
        </w:rPr>
      </w:pPr>
    </w:p>
    <w:p w:rsidR="00AE3F08" w:rsidRDefault="00AE3F08" w:rsidP="00AE3F08">
      <w:pPr>
        <w:rPr>
          <w:rFonts w:cs="Arial"/>
        </w:rPr>
      </w:pPr>
      <w:r>
        <w:fldChar w:fldCharType="begin"/>
      </w:r>
      <w:r>
        <w:instrText xml:space="preserve"> AUTONUM  </w:instrText>
      </w:r>
      <w:r>
        <w:fldChar w:fldCharType="end"/>
      </w:r>
      <w:r>
        <w:tab/>
      </w:r>
      <w:r>
        <w:rPr>
          <w:rFonts w:cs="Arial"/>
        </w:rPr>
        <w:t xml:space="preserve">The expert </w:t>
      </w:r>
      <w:r w:rsidR="002D7623">
        <w:rPr>
          <w:rFonts w:cs="Arial"/>
        </w:rPr>
        <w:t xml:space="preserve">from the United Kingdom </w:t>
      </w:r>
      <w:r>
        <w:rPr>
          <w:rFonts w:cs="Arial"/>
        </w:rPr>
        <w:t>noted that further revisions to document</w:t>
      </w:r>
      <w:r>
        <w:t> </w:t>
      </w:r>
      <w:r>
        <w:rPr>
          <w:rFonts w:cs="Arial"/>
        </w:rPr>
        <w:t>TGP/8 would be required to incorporate guidance on extrapolation and minimum data requirements.</w:t>
      </w:r>
    </w:p>
    <w:p w:rsidR="00AE3F08" w:rsidRDefault="00AE3F08" w:rsidP="002D7623"/>
    <w:p w:rsidR="002D7623" w:rsidRPr="002D7623" w:rsidRDefault="002D7623" w:rsidP="002D7623"/>
    <w:p w:rsidR="00AE3F08" w:rsidRPr="004133B2" w:rsidRDefault="00AE3F08" w:rsidP="002D7623">
      <w:pPr>
        <w:pStyle w:val="Heading2"/>
      </w:pPr>
      <w:r w:rsidRPr="004133B2">
        <w:t>Extrapolation in relation to COYU</w:t>
      </w:r>
    </w:p>
    <w:p w:rsidR="00AE3F08" w:rsidRDefault="00AE3F08" w:rsidP="00AE3F08">
      <w:pPr>
        <w:jc w:val="left"/>
      </w:pPr>
    </w:p>
    <w:p w:rsidR="00AE3F08" w:rsidRDefault="00AE3F08" w:rsidP="00AE3F08">
      <w:r>
        <w:fldChar w:fldCharType="begin"/>
      </w:r>
      <w:r>
        <w:instrText xml:space="preserve"> AUTONUM  </w:instrText>
      </w:r>
      <w:r>
        <w:fldChar w:fldCharType="end"/>
      </w:r>
      <w:r>
        <w:tab/>
        <w:t>The TWM considered document TWM/1/7</w:t>
      </w:r>
      <w:r w:rsidR="00450501">
        <w:rPr>
          <w:rFonts w:cs="Arial"/>
          <w:bCs/>
        </w:rPr>
        <w:t xml:space="preserve">, as provided </w:t>
      </w:r>
      <w:r w:rsidR="00450501" w:rsidRPr="00107A89">
        <w:rPr>
          <w:rFonts w:cs="Arial"/>
          <w:bCs/>
        </w:rPr>
        <w:t>in Annex I</w:t>
      </w:r>
      <w:r w:rsidR="00450501">
        <w:rPr>
          <w:rFonts w:cs="Arial"/>
          <w:bCs/>
        </w:rPr>
        <w:t>I</w:t>
      </w:r>
      <w:r w:rsidR="00450501" w:rsidRPr="00107A89">
        <w:rPr>
          <w:rFonts w:cs="Arial"/>
          <w:bCs/>
        </w:rPr>
        <w:t xml:space="preserve"> to this do</w:t>
      </w:r>
      <w:r w:rsidR="00450501">
        <w:rPr>
          <w:rFonts w:cs="Arial"/>
          <w:bCs/>
        </w:rPr>
        <w:t xml:space="preserve">cument, </w:t>
      </w:r>
      <w:r>
        <w:t xml:space="preserve">and received a presentation from Mr. Adrian Roberts (United Kingdom) on “Combined-over-year uniformity (COYU) criterion: Extrapolation”, </w:t>
      </w:r>
      <w:r>
        <w:rPr>
          <w:rFonts w:cs="Arial"/>
          <w:iCs/>
        </w:rPr>
        <w:t>a copy of which is reproduced in document </w:t>
      </w:r>
      <w:r>
        <w:t>TWM/1/7 Add..</w:t>
      </w:r>
    </w:p>
    <w:p w:rsidR="00AE3F08" w:rsidRDefault="00AE3F08" w:rsidP="00AE3F08"/>
    <w:p w:rsidR="00AE3F08" w:rsidRDefault="00AE3F08" w:rsidP="00AE3F08">
      <w:r w:rsidRPr="00F66ADD">
        <w:fldChar w:fldCharType="begin"/>
      </w:r>
      <w:r w:rsidRPr="00F66ADD">
        <w:instrText xml:space="preserve"> AUTONUM  </w:instrText>
      </w:r>
      <w:r w:rsidRPr="00F66ADD">
        <w:fldChar w:fldCharType="end"/>
      </w:r>
      <w:r w:rsidRPr="00F66ADD">
        <w:tab/>
      </w:r>
      <w:r w:rsidRPr="000A2C7B">
        <w:t>The TWM noted the recommendation that there should be particular consideration of uniformity by the crop experts when extrapolation occurred.  Whichever COYU approach is used (moving average; splines), the verdict on uniformity should be subject to confirmation by the crop experts (when extrapolation occurred).</w:t>
      </w:r>
    </w:p>
    <w:p w:rsidR="00AE3F08" w:rsidRDefault="00AE3F08" w:rsidP="00AE3F08"/>
    <w:p w:rsidR="00AE3F08" w:rsidRDefault="00AE3F08" w:rsidP="00AE3F08">
      <w:r>
        <w:fldChar w:fldCharType="begin"/>
      </w:r>
      <w:r>
        <w:instrText xml:space="preserve"> AUTONUM  </w:instrText>
      </w:r>
      <w:r>
        <w:fldChar w:fldCharType="end"/>
      </w:r>
      <w:r>
        <w:tab/>
        <w:t xml:space="preserve">The TWM agreed that further discussion would be required on approaches when extrapolation </w:t>
      </w:r>
      <w:proofErr w:type="gramStart"/>
      <w:r>
        <w:t>was indicated and agreed to invite the United Kingdom and other members to report at the second session of the TWM</w:t>
      </w:r>
      <w:proofErr w:type="gramEnd"/>
      <w:r>
        <w:t>.</w:t>
      </w:r>
    </w:p>
    <w:p w:rsidR="00AE3F08" w:rsidRDefault="00AE3F08" w:rsidP="00AE3F08"/>
    <w:p w:rsidR="00AE3F08" w:rsidRDefault="00AE3F08" w:rsidP="00AE3F08"/>
    <w:p w:rsidR="007915C4" w:rsidRDefault="007915C4" w:rsidP="007915C4">
      <w:pPr>
        <w:keepNext/>
        <w:outlineLvl w:val="0"/>
        <w:rPr>
          <w:caps/>
        </w:rPr>
      </w:pPr>
      <w:bookmarkStart w:id="11" w:name="_Toc80801912"/>
      <w:r>
        <w:rPr>
          <w:caps/>
        </w:rPr>
        <w:t>next steps</w:t>
      </w:r>
      <w:bookmarkEnd w:id="11"/>
    </w:p>
    <w:p w:rsidR="007915C4" w:rsidRDefault="007915C4" w:rsidP="007915C4"/>
    <w:p w:rsidR="007915C4" w:rsidRDefault="007915C4" w:rsidP="007915C4">
      <w:r>
        <w:fldChar w:fldCharType="begin"/>
      </w:r>
      <w:r>
        <w:instrText xml:space="preserve"> AUTONUM  </w:instrText>
      </w:r>
      <w:r>
        <w:fldChar w:fldCharType="end"/>
      </w:r>
      <w:r>
        <w:tab/>
        <w:t xml:space="preserve">The TC </w:t>
      </w:r>
      <w:proofErr w:type="gramStart"/>
      <w:r>
        <w:t>is invited</w:t>
      </w:r>
      <w:proofErr w:type="gramEnd"/>
      <w:r>
        <w:t xml:space="preserve"> to renew its request for the TW</w:t>
      </w:r>
      <w:r w:rsidR="00AE3F08">
        <w:t>M</w:t>
      </w:r>
      <w:r>
        <w:t xml:space="preserve"> to prepare a report of the results of the test campaign of the COYU Splines software for consideration by the TC, in conjunction with the revision of document TGP/8.</w:t>
      </w:r>
    </w:p>
    <w:p w:rsidR="007915C4" w:rsidRDefault="007915C4" w:rsidP="007915C4"/>
    <w:p w:rsidR="007915C4" w:rsidRDefault="007915C4" w:rsidP="007915C4"/>
    <w:p w:rsidR="007915C4" w:rsidRDefault="007915C4" w:rsidP="007915C4">
      <w:pPr>
        <w:pStyle w:val="DecisionParagraphs"/>
      </w:pPr>
      <w:r>
        <w:fldChar w:fldCharType="begin"/>
      </w:r>
      <w:r>
        <w:instrText xml:space="preserve"> AUTONUM  </w:instrText>
      </w:r>
      <w:r>
        <w:fldChar w:fldCharType="end"/>
      </w:r>
      <w:r>
        <w:tab/>
        <w:t xml:space="preserve">The TC </w:t>
      </w:r>
      <w:proofErr w:type="gramStart"/>
      <w:r>
        <w:t>is invited</w:t>
      </w:r>
      <w:proofErr w:type="gramEnd"/>
      <w:r>
        <w:t xml:space="preserve"> to:</w:t>
      </w:r>
    </w:p>
    <w:p w:rsidR="007915C4" w:rsidRDefault="007915C4" w:rsidP="007915C4">
      <w:pPr>
        <w:pStyle w:val="DecisionParagraphs"/>
      </w:pPr>
    </w:p>
    <w:p w:rsidR="007915C4" w:rsidRDefault="00800C5A" w:rsidP="007915C4">
      <w:pPr>
        <w:pStyle w:val="DecisionParagraphs"/>
      </w:pPr>
      <w:r>
        <w:tab/>
      </w:r>
      <w:r w:rsidR="007915C4">
        <w:t>(a)</w:t>
      </w:r>
      <w:r w:rsidR="007915C4">
        <w:tab/>
      </w:r>
      <w:r w:rsidR="009E2692">
        <w:t>note that a new version of DUSTNT incorporating COYU with splines (DUST9NT) was planned to be launched by September 2023, once the improvements identified from the testing campaign have been incorporated, including extrapolation</w:t>
      </w:r>
      <w:r w:rsidR="007915C4">
        <w:t>;</w:t>
      </w:r>
    </w:p>
    <w:p w:rsidR="007915C4" w:rsidRDefault="007915C4" w:rsidP="007915C4">
      <w:pPr>
        <w:pStyle w:val="DecisionParagraphs"/>
      </w:pPr>
    </w:p>
    <w:p w:rsidR="007B1BA8" w:rsidRDefault="00800C5A" w:rsidP="007915C4">
      <w:pPr>
        <w:pStyle w:val="DecisionParagraphs"/>
      </w:pPr>
      <w:r>
        <w:tab/>
      </w:r>
      <w:r w:rsidR="007915C4">
        <w:t>(b)</w:t>
      </w:r>
      <w:r w:rsidR="007915C4">
        <w:tab/>
      </w:r>
      <w:proofErr w:type="gramStart"/>
      <w:r w:rsidR="007B1BA8">
        <w:rPr>
          <w:rFonts w:cs="Arial"/>
        </w:rPr>
        <w:t>note</w:t>
      </w:r>
      <w:proofErr w:type="gramEnd"/>
      <w:r w:rsidR="007B1BA8">
        <w:rPr>
          <w:rFonts w:cs="Arial"/>
        </w:rPr>
        <w:t xml:space="preserve"> that further revisions to document</w:t>
      </w:r>
      <w:r w:rsidR="007B1BA8">
        <w:t> </w:t>
      </w:r>
      <w:r w:rsidR="007B1BA8">
        <w:rPr>
          <w:rFonts w:cs="Arial"/>
        </w:rPr>
        <w:t>TGP/8 would be required to incorporate guidance on extrapolation and minimum data requirements;</w:t>
      </w:r>
    </w:p>
    <w:p w:rsidR="007B1BA8" w:rsidRDefault="007B1BA8" w:rsidP="007915C4">
      <w:pPr>
        <w:pStyle w:val="DecisionParagraphs"/>
      </w:pPr>
    </w:p>
    <w:p w:rsidR="007915C4" w:rsidRDefault="00800C5A" w:rsidP="007915C4">
      <w:pPr>
        <w:pStyle w:val="DecisionParagraphs"/>
      </w:pPr>
      <w:r>
        <w:tab/>
      </w:r>
      <w:r w:rsidR="007B1BA8">
        <w:t>(c)</w:t>
      </w:r>
      <w:r w:rsidR="007B1BA8">
        <w:tab/>
      </w:r>
      <w:proofErr w:type="gramStart"/>
      <w:r w:rsidR="007915C4">
        <w:t>note</w:t>
      </w:r>
      <w:proofErr w:type="gramEnd"/>
      <w:r w:rsidR="007915C4">
        <w:t xml:space="preserve"> </w:t>
      </w:r>
      <w:r w:rsidR="007B1BA8" w:rsidRPr="000A2C7B">
        <w:t>the recommendation that there should be particular consideration of uniformity by the crop expe</w:t>
      </w:r>
      <w:r w:rsidR="007B1BA8">
        <w:t>rts when extrapolation occurred</w:t>
      </w:r>
      <w:r w:rsidR="007915C4">
        <w:t xml:space="preserve">; </w:t>
      </w:r>
    </w:p>
    <w:p w:rsidR="007915C4" w:rsidRDefault="007915C4" w:rsidP="007915C4">
      <w:pPr>
        <w:pStyle w:val="DecisionParagraphs"/>
      </w:pPr>
    </w:p>
    <w:p w:rsidR="007915C4" w:rsidRDefault="00800C5A" w:rsidP="007915C4">
      <w:pPr>
        <w:pStyle w:val="DecisionParagraphs"/>
      </w:pPr>
      <w:r>
        <w:tab/>
      </w:r>
      <w:r w:rsidR="007915C4">
        <w:t>(</w:t>
      </w:r>
      <w:r w:rsidR="007B1BA8">
        <w:t>d</w:t>
      </w:r>
      <w:r w:rsidR="007915C4">
        <w:t>)</w:t>
      </w:r>
      <w:r w:rsidR="007915C4">
        <w:tab/>
        <w:t xml:space="preserve">note </w:t>
      </w:r>
      <w:r w:rsidR="007B1BA8">
        <w:t>that the TWM agreed that further discussion would be required on approaches when extrapolation was indicated and agreed to invite the United Kingdom and other members to report at the second session of the TWM</w:t>
      </w:r>
      <w:r w:rsidR="007915C4">
        <w:t>;</w:t>
      </w:r>
      <w:r w:rsidR="007B1BA8" w:rsidRPr="007B1BA8">
        <w:t xml:space="preserve"> </w:t>
      </w:r>
      <w:r w:rsidR="007B1BA8">
        <w:t>and</w:t>
      </w:r>
    </w:p>
    <w:p w:rsidR="007915C4" w:rsidRDefault="007915C4" w:rsidP="007915C4">
      <w:pPr>
        <w:pStyle w:val="DecisionParagraphs"/>
      </w:pPr>
    </w:p>
    <w:p w:rsidR="007915C4" w:rsidRDefault="00800C5A" w:rsidP="007915C4">
      <w:pPr>
        <w:pStyle w:val="DecisionParagraphs"/>
      </w:pPr>
      <w:r>
        <w:tab/>
      </w:r>
      <w:r w:rsidR="007915C4">
        <w:t>(</w:t>
      </w:r>
      <w:r w:rsidR="00F72BBA">
        <w:t>e</w:t>
      </w:r>
      <w:r w:rsidR="007915C4">
        <w:t>)</w:t>
      </w:r>
      <w:r w:rsidR="007915C4">
        <w:tab/>
      </w:r>
      <w:proofErr w:type="gramStart"/>
      <w:r w:rsidR="007915C4">
        <w:t>request</w:t>
      </w:r>
      <w:proofErr w:type="gramEnd"/>
      <w:r w:rsidR="007915C4">
        <w:t xml:space="preserve"> the TW</w:t>
      </w:r>
      <w:r w:rsidR="00AE3F08">
        <w:t>M</w:t>
      </w:r>
      <w:r w:rsidR="007915C4">
        <w:t xml:space="preserve"> to prepare a report of the results of the test campaign of the software for COYU Splines for consideration by the TC</w:t>
      </w:r>
      <w:r w:rsidR="007B1BA8">
        <w:t xml:space="preserve">, </w:t>
      </w:r>
      <w:r w:rsidR="007915C4">
        <w:t>in conjunction with</w:t>
      </w:r>
      <w:r w:rsidR="007B1BA8">
        <w:t xml:space="preserve"> the revision of document TGP/8.</w:t>
      </w:r>
      <w:r w:rsidR="007915C4">
        <w:t xml:space="preserve">  </w:t>
      </w:r>
    </w:p>
    <w:p w:rsidR="004133B2" w:rsidRDefault="004133B2" w:rsidP="00445B73"/>
    <w:p w:rsidR="00B06F4E" w:rsidRDefault="00B06F4E" w:rsidP="00445B73">
      <w:r w:rsidRPr="00B06F4E">
        <w:t xml:space="preserve"> </w:t>
      </w:r>
    </w:p>
    <w:p w:rsidR="00B06F4E" w:rsidRDefault="00B06F4E" w:rsidP="00445B73"/>
    <w:p w:rsidR="004133B2" w:rsidRDefault="00B06F4E" w:rsidP="00B06F4E">
      <w:pPr>
        <w:jc w:val="right"/>
        <w:rPr>
          <w:rFonts w:cs="Arial"/>
        </w:rPr>
      </w:pPr>
      <w:r w:rsidRPr="00B06F4E">
        <w:rPr>
          <w:rFonts w:cs="Arial"/>
        </w:rPr>
        <w:t xml:space="preserve"> [Annexes follow]</w:t>
      </w:r>
    </w:p>
    <w:p w:rsidR="00B06F4E" w:rsidRDefault="00B06F4E" w:rsidP="00B06F4E">
      <w:pPr>
        <w:jc w:val="right"/>
        <w:rPr>
          <w:rFonts w:cs="Arial"/>
        </w:rPr>
        <w:sectPr w:rsidR="00B06F4E" w:rsidSect="0004198B">
          <w:headerReference w:type="default" r:id="rId9"/>
          <w:pgSz w:w="11907" w:h="16840" w:code="9"/>
          <w:pgMar w:top="510" w:right="1134" w:bottom="1134" w:left="1134" w:header="510" w:footer="680" w:gutter="0"/>
          <w:pgNumType w:start="1"/>
          <w:cols w:space="720"/>
          <w:titlePg/>
        </w:sectPr>
      </w:pPr>
    </w:p>
    <w:tbl>
      <w:tblPr>
        <w:tblW w:w="5000" w:type="pct"/>
        <w:tblLayout w:type="fixed"/>
        <w:tblCellMar>
          <w:left w:w="0" w:type="dxa"/>
          <w:right w:w="0" w:type="dxa"/>
        </w:tblCellMar>
        <w:tblLook w:val="0000" w:firstRow="0" w:lastRow="0" w:firstColumn="0" w:lastColumn="0" w:noHBand="0" w:noVBand="0"/>
      </w:tblPr>
      <w:tblGrid>
        <w:gridCol w:w="6522"/>
        <w:gridCol w:w="3117"/>
      </w:tblGrid>
      <w:tr w:rsidR="00A16EC8" w:rsidRPr="00815738" w:rsidTr="00B81F0A">
        <w:tc>
          <w:tcPr>
            <w:tcW w:w="6522" w:type="dxa"/>
          </w:tcPr>
          <w:p w:rsidR="00A16EC8" w:rsidRPr="00AC2883" w:rsidRDefault="00A16EC8" w:rsidP="00B81F0A">
            <w:bookmarkStart w:id="12" w:name="_GoBack" w:colFirst="0" w:colLast="0"/>
            <w:r w:rsidRPr="00D250C5">
              <w:rPr>
                <w:noProof/>
              </w:rPr>
              <w:drawing>
                <wp:inline distT="0" distB="0" distL="0" distR="0" wp14:anchorId="11459749" wp14:editId="35C990FB">
                  <wp:extent cx="952031" cy="244054"/>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A16EC8" w:rsidRPr="007C1D92" w:rsidRDefault="00A16EC8" w:rsidP="00B81F0A">
            <w:pPr>
              <w:pStyle w:val="Lettrine"/>
            </w:pPr>
            <w:r w:rsidRPr="00172084">
              <w:t>E</w:t>
            </w:r>
          </w:p>
        </w:tc>
      </w:tr>
      <w:tr w:rsidR="00A16EC8" w:rsidRPr="00DA4973" w:rsidTr="00B81F0A">
        <w:trPr>
          <w:trHeight w:val="219"/>
        </w:trPr>
        <w:tc>
          <w:tcPr>
            <w:tcW w:w="6522" w:type="dxa"/>
          </w:tcPr>
          <w:p w:rsidR="00A16EC8" w:rsidRPr="00AC2883" w:rsidRDefault="00A16EC8" w:rsidP="00B81F0A">
            <w:pPr>
              <w:pStyle w:val="upove"/>
            </w:pPr>
            <w:r w:rsidRPr="00AC2883">
              <w:t>International Union for the Protection of New Varieties of Plants</w:t>
            </w:r>
          </w:p>
        </w:tc>
        <w:tc>
          <w:tcPr>
            <w:tcW w:w="3117" w:type="dxa"/>
          </w:tcPr>
          <w:p w:rsidR="00A16EC8" w:rsidRPr="00DA4973" w:rsidRDefault="00A16EC8" w:rsidP="00B81F0A"/>
        </w:tc>
      </w:tr>
      <w:bookmarkEnd w:id="12"/>
    </w:tbl>
    <w:p w:rsidR="00A16EC8" w:rsidRDefault="00A16EC8" w:rsidP="00A16EC8"/>
    <w:p w:rsidR="00A16EC8" w:rsidRPr="00365DC1" w:rsidRDefault="00A16EC8" w:rsidP="00A16EC8"/>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A16EC8" w:rsidRPr="00C5280D" w:rsidTr="00B81F0A">
        <w:tc>
          <w:tcPr>
            <w:tcW w:w="6512" w:type="dxa"/>
          </w:tcPr>
          <w:p w:rsidR="00A16EC8" w:rsidRPr="00AC2883" w:rsidRDefault="00A16EC8" w:rsidP="00B81F0A">
            <w:pPr>
              <w:pStyle w:val="Sessiontc"/>
            </w:pPr>
            <w:r w:rsidRPr="00E70039">
              <w:t xml:space="preserve">Technical Working Party </w:t>
            </w:r>
            <w:r w:rsidRPr="00501F3C">
              <w:t xml:space="preserve">on </w:t>
            </w:r>
            <w:r w:rsidRPr="00D567BF">
              <w:t>Testing Methods and Techniques</w:t>
            </w:r>
          </w:p>
          <w:p w:rsidR="00A16EC8" w:rsidRPr="00DC3802" w:rsidRDefault="00A16EC8" w:rsidP="00B81F0A">
            <w:pPr>
              <w:pStyle w:val="Sessiontcplacedate"/>
              <w:rPr>
                <w:sz w:val="22"/>
              </w:rPr>
            </w:pPr>
            <w:r>
              <w:t>First</w:t>
            </w:r>
            <w:r w:rsidRPr="00501F3C">
              <w:t xml:space="preserve"> Session</w:t>
            </w:r>
            <w:r w:rsidRPr="00501F3C">
              <w:br/>
            </w:r>
            <w:r>
              <w:t>Virtual meeting, September 19 to 23, 2022</w:t>
            </w:r>
          </w:p>
        </w:tc>
        <w:tc>
          <w:tcPr>
            <w:tcW w:w="3127" w:type="dxa"/>
          </w:tcPr>
          <w:p w:rsidR="00A16EC8" w:rsidRPr="003C7FBE" w:rsidRDefault="00A16EC8" w:rsidP="00B81F0A">
            <w:pPr>
              <w:pStyle w:val="Doccode"/>
            </w:pPr>
            <w:r>
              <w:t>TWM/1</w:t>
            </w:r>
            <w:r w:rsidRPr="00AC2883">
              <w:t>/</w:t>
            </w:r>
            <w:r>
              <w:t>8</w:t>
            </w:r>
          </w:p>
          <w:p w:rsidR="00A16EC8" w:rsidRPr="003C7FBE" w:rsidRDefault="00A16EC8" w:rsidP="00B81F0A">
            <w:pPr>
              <w:pStyle w:val="Docoriginal"/>
            </w:pPr>
            <w:r w:rsidRPr="00AC2883">
              <w:t>Original:</w:t>
            </w:r>
            <w:r w:rsidRPr="000E636A">
              <w:rPr>
                <w:b w:val="0"/>
                <w:spacing w:val="0"/>
              </w:rPr>
              <w:t xml:space="preserve">  English</w:t>
            </w:r>
          </w:p>
          <w:p w:rsidR="00A16EC8" w:rsidRPr="007C1D92" w:rsidRDefault="00A16EC8" w:rsidP="00B81F0A">
            <w:pPr>
              <w:pStyle w:val="Docoriginal"/>
            </w:pPr>
            <w:r w:rsidRPr="00AC2883">
              <w:t>Date:</w:t>
            </w:r>
            <w:r w:rsidRPr="000E636A">
              <w:rPr>
                <w:b w:val="0"/>
                <w:spacing w:val="0"/>
              </w:rPr>
              <w:t xml:space="preserve">  </w:t>
            </w:r>
            <w:r w:rsidRPr="00625F7F">
              <w:rPr>
                <w:b w:val="0"/>
                <w:spacing w:val="0"/>
              </w:rPr>
              <w:t>August 29, 2022</w:t>
            </w:r>
          </w:p>
        </w:tc>
      </w:tr>
    </w:tbl>
    <w:p w:rsidR="00A16EC8" w:rsidRPr="006A644A" w:rsidRDefault="00A16EC8" w:rsidP="00A16EC8">
      <w:pPr>
        <w:pStyle w:val="Titleofdoc0"/>
      </w:pPr>
      <w:r w:rsidRPr="007229A4">
        <w:rPr>
          <w:lang w:val="en-GB"/>
        </w:rPr>
        <w:t>Developments on the improved COYU method (splines)</w:t>
      </w:r>
    </w:p>
    <w:p w:rsidR="00A16EC8" w:rsidRPr="006A644A" w:rsidRDefault="00A16EC8" w:rsidP="00A16EC8">
      <w:pPr>
        <w:pStyle w:val="preparedby1"/>
        <w:jc w:val="left"/>
      </w:pPr>
      <w:r w:rsidRPr="000C4E25">
        <w:t xml:space="preserve">Document prepared </w:t>
      </w:r>
      <w:r>
        <w:t>by experts from the United Kingdom</w:t>
      </w:r>
    </w:p>
    <w:p w:rsidR="00A16EC8" w:rsidRPr="006A644A" w:rsidRDefault="00A16EC8" w:rsidP="00A16EC8">
      <w:pPr>
        <w:pStyle w:val="Disclaimer"/>
      </w:pPr>
      <w:r w:rsidRPr="006A644A">
        <w:t>Disclaimer:  this document does not represent UPOV policies or guidance</w:t>
      </w:r>
    </w:p>
    <w:p w:rsidR="00A16EC8" w:rsidRPr="00772327" w:rsidRDefault="00A16EC8" w:rsidP="00A16EC8">
      <w:pPr>
        <w:pStyle w:val="Heading1"/>
        <w:rPr>
          <w:snapToGrid w:val="0"/>
          <w:lang w:val="en-GB"/>
        </w:rPr>
      </w:pPr>
      <w:r w:rsidRPr="00772327">
        <w:rPr>
          <w:snapToGrid w:val="0"/>
          <w:lang w:val="en-GB"/>
        </w:rPr>
        <w:t>Executive summary</w:t>
      </w:r>
    </w:p>
    <w:p w:rsidR="00A16EC8" w:rsidRPr="00772327" w:rsidRDefault="00A16EC8" w:rsidP="00A16EC8">
      <w:pPr>
        <w:rPr>
          <w:rFonts w:eastAsia="Calibri"/>
          <w:lang w:val="en-GB"/>
        </w:rPr>
      </w:pPr>
    </w:p>
    <w:p w:rsidR="00A16EC8" w:rsidRPr="00772327" w:rsidRDefault="00A16EC8" w:rsidP="00A16EC8">
      <w:pPr>
        <w:numPr>
          <w:ilvl w:val="0"/>
          <w:numId w:val="5"/>
        </w:numPr>
        <w:ind w:left="0" w:firstLine="0"/>
        <w:contextualSpacing/>
        <w:rPr>
          <w:rFonts w:eastAsia="Calibri" w:cs="Arial"/>
          <w:lang w:val="en-GB"/>
        </w:rPr>
      </w:pPr>
      <w:r w:rsidRPr="00772327">
        <w:rPr>
          <w:rFonts w:eastAsia="Calibri" w:cs="Arial"/>
          <w:lang w:val="en-GB"/>
        </w:rPr>
        <w:t xml:space="preserve">The purpose of this document to give an update on developments on the improved version of the Combined </w:t>
      </w:r>
      <w:proofErr w:type="gramStart"/>
      <w:r w:rsidRPr="00772327">
        <w:rPr>
          <w:rFonts w:eastAsia="Calibri" w:cs="Arial"/>
          <w:lang w:val="en-GB"/>
        </w:rPr>
        <w:t>Over</w:t>
      </w:r>
      <w:proofErr w:type="gramEnd"/>
      <w:r w:rsidRPr="00772327">
        <w:rPr>
          <w:rFonts w:eastAsia="Calibri" w:cs="Arial"/>
          <w:lang w:val="en-GB"/>
        </w:rPr>
        <w:t xml:space="preserve"> Years Uniformity (COYU) criterion using splines. It reports on a test campaign for the software implementing the new method, and the subsequent software development. </w:t>
      </w:r>
    </w:p>
    <w:p w:rsidR="00A16EC8" w:rsidRPr="00772327" w:rsidRDefault="00A16EC8" w:rsidP="00A16EC8">
      <w:pPr>
        <w:contextualSpacing/>
        <w:rPr>
          <w:rFonts w:eastAsia="Calibri" w:cs="Arial"/>
          <w:lang w:val="en-GB"/>
        </w:rPr>
      </w:pPr>
    </w:p>
    <w:p w:rsidR="00A16EC8" w:rsidRPr="00772327" w:rsidRDefault="00A16EC8" w:rsidP="00A16EC8">
      <w:pPr>
        <w:numPr>
          <w:ilvl w:val="0"/>
          <w:numId w:val="5"/>
        </w:numPr>
        <w:ind w:left="0" w:firstLine="0"/>
        <w:contextualSpacing/>
        <w:rPr>
          <w:rFonts w:eastAsia="Calibri" w:cs="Arial"/>
          <w:lang w:val="en-GB"/>
        </w:rPr>
      </w:pPr>
      <w:r w:rsidRPr="00772327">
        <w:rPr>
          <w:rFonts w:eastAsia="Calibri" w:cs="Arial"/>
          <w:lang w:val="en-GB"/>
        </w:rPr>
        <w:t xml:space="preserve">The document should be read along with document TWP/6/11 “The Combined </w:t>
      </w:r>
      <w:proofErr w:type="gramStart"/>
      <w:r w:rsidRPr="00772327">
        <w:rPr>
          <w:rFonts w:eastAsia="Calibri" w:cs="Arial"/>
          <w:lang w:val="en-GB"/>
        </w:rPr>
        <w:t>Over</w:t>
      </w:r>
      <w:proofErr w:type="gramEnd"/>
      <w:r w:rsidRPr="00772327">
        <w:rPr>
          <w:rFonts w:eastAsia="Calibri" w:cs="Arial"/>
          <w:lang w:val="en-GB"/>
        </w:rPr>
        <w:t xml:space="preserve"> Years Uniformity Criterion (COYU)”.</w:t>
      </w:r>
    </w:p>
    <w:p w:rsidR="00A16EC8" w:rsidRPr="00772327" w:rsidRDefault="00A16EC8" w:rsidP="00A16EC8">
      <w:pPr>
        <w:rPr>
          <w:rFonts w:eastAsia="Calibri" w:cs="Arial"/>
          <w:lang w:val="en-GB"/>
        </w:rPr>
      </w:pPr>
    </w:p>
    <w:p w:rsidR="00A16EC8" w:rsidRPr="00772327" w:rsidRDefault="00A16EC8" w:rsidP="00A16EC8">
      <w:pPr>
        <w:numPr>
          <w:ilvl w:val="0"/>
          <w:numId w:val="6"/>
        </w:numPr>
        <w:ind w:left="1134" w:hanging="567"/>
        <w:contextualSpacing/>
        <w:rPr>
          <w:rFonts w:eastAsia="Calibri" w:cs="Arial"/>
          <w:lang w:val="en-GB"/>
        </w:rPr>
      </w:pPr>
      <w:r w:rsidRPr="00772327">
        <w:rPr>
          <w:rFonts w:eastAsia="Calibri" w:cs="Arial"/>
          <w:lang w:val="en-GB"/>
        </w:rPr>
        <w:t xml:space="preserve">The TWM </w:t>
      </w:r>
      <w:proofErr w:type="gramStart"/>
      <w:r w:rsidRPr="00772327">
        <w:rPr>
          <w:rFonts w:eastAsia="Calibri" w:cs="Arial"/>
          <w:lang w:val="en-GB"/>
        </w:rPr>
        <w:t>is invited</w:t>
      </w:r>
      <w:proofErr w:type="gramEnd"/>
      <w:r w:rsidRPr="00772327">
        <w:rPr>
          <w:rFonts w:eastAsia="Calibri" w:cs="Arial"/>
          <w:lang w:val="en-GB"/>
        </w:rPr>
        <w:t xml:space="preserve"> to note the developments.</w:t>
      </w:r>
    </w:p>
    <w:p w:rsidR="00A16EC8" w:rsidRPr="00772327" w:rsidRDefault="00A16EC8" w:rsidP="00A16EC8">
      <w:pPr>
        <w:rPr>
          <w:rFonts w:eastAsia="Calibri" w:cs="Arial"/>
          <w:lang w:val="en-GB"/>
        </w:rPr>
      </w:pPr>
    </w:p>
    <w:p w:rsidR="00A16EC8" w:rsidRPr="00772327" w:rsidRDefault="00A16EC8" w:rsidP="00A16EC8">
      <w:pPr>
        <w:rPr>
          <w:rFonts w:eastAsia="Calibri" w:cs="Arial"/>
          <w:lang w:val="en-GB"/>
        </w:rPr>
      </w:pPr>
    </w:p>
    <w:p w:rsidR="00A16EC8" w:rsidRPr="00772327" w:rsidRDefault="00A16EC8" w:rsidP="00A16EC8">
      <w:pPr>
        <w:pStyle w:val="Heading1"/>
        <w:rPr>
          <w:rFonts w:eastAsia="Calibri"/>
          <w:lang w:val="en-GB"/>
        </w:rPr>
      </w:pPr>
      <w:r w:rsidRPr="00772327">
        <w:rPr>
          <w:rFonts w:eastAsia="Calibri"/>
          <w:lang w:val="en-GB"/>
        </w:rPr>
        <w:t>BACKGROUND</w:t>
      </w:r>
    </w:p>
    <w:p w:rsidR="00A16EC8" w:rsidRPr="00772327" w:rsidRDefault="00A16EC8" w:rsidP="00A16EC8">
      <w:pPr>
        <w:rPr>
          <w:rFonts w:eastAsia="Calibri"/>
          <w:lang w:val="en-GB"/>
        </w:rPr>
      </w:pPr>
    </w:p>
    <w:p w:rsidR="00A16EC8" w:rsidRPr="00772327" w:rsidRDefault="00A16EC8" w:rsidP="00A16EC8">
      <w:pPr>
        <w:numPr>
          <w:ilvl w:val="0"/>
          <w:numId w:val="5"/>
        </w:numPr>
        <w:ind w:left="0" w:firstLine="0"/>
        <w:contextualSpacing/>
        <w:rPr>
          <w:rFonts w:eastAsia="Calibri" w:cs="Arial"/>
          <w:lang w:val="en-GB"/>
        </w:rPr>
      </w:pPr>
      <w:r w:rsidRPr="00772327">
        <w:rPr>
          <w:rFonts w:eastAsia="Calibri" w:cs="Arial"/>
          <w:lang w:val="en-GB"/>
        </w:rPr>
        <w:t xml:space="preserve">The Combined </w:t>
      </w:r>
      <w:proofErr w:type="gramStart"/>
      <w:r w:rsidRPr="00772327">
        <w:rPr>
          <w:rFonts w:eastAsia="Calibri" w:cs="Arial"/>
          <w:lang w:val="en-GB"/>
        </w:rPr>
        <w:t>Over</w:t>
      </w:r>
      <w:proofErr w:type="gramEnd"/>
      <w:r w:rsidRPr="00772327">
        <w:rPr>
          <w:rFonts w:eastAsia="Calibri" w:cs="Arial"/>
          <w:lang w:val="en-GB"/>
        </w:rPr>
        <w:t xml:space="preserve"> Years Uniformity (COYU) criterion is a method used to assess uniformity on the basis of measured quantitative characteristics (see document TGP/8/3 “Trial Design and Techniques Used in the Examination of Distinctness, Uniformity and Stability”).  Previously, the development of an improved method </w:t>
      </w:r>
      <w:proofErr w:type="gramStart"/>
      <w:r w:rsidRPr="00772327">
        <w:rPr>
          <w:rFonts w:eastAsia="Calibri" w:cs="Arial"/>
          <w:lang w:val="en-GB"/>
        </w:rPr>
        <w:t>has been reported</w:t>
      </w:r>
      <w:proofErr w:type="gramEnd"/>
      <w:r w:rsidRPr="00772327">
        <w:rPr>
          <w:rFonts w:eastAsia="Calibri" w:cs="Arial"/>
          <w:lang w:val="en-GB"/>
        </w:rPr>
        <w:t xml:space="preserve">. For further background on the improved method using splines, see document TWC/38/6 “The Combined </w:t>
      </w:r>
      <w:proofErr w:type="gramStart"/>
      <w:r w:rsidRPr="00772327">
        <w:rPr>
          <w:rFonts w:eastAsia="Calibri" w:cs="Arial"/>
          <w:lang w:val="en-GB"/>
        </w:rPr>
        <w:t>Over</w:t>
      </w:r>
      <w:proofErr w:type="gramEnd"/>
      <w:r w:rsidRPr="00772327">
        <w:rPr>
          <w:rFonts w:eastAsia="Calibri" w:cs="Arial"/>
          <w:lang w:val="en-GB"/>
        </w:rPr>
        <w:t xml:space="preserve"> Years Uniformity Criterion (COYU)”.</w:t>
      </w:r>
    </w:p>
    <w:p w:rsidR="00A16EC8" w:rsidRPr="00772327" w:rsidRDefault="00A16EC8" w:rsidP="00A16EC8">
      <w:pPr>
        <w:rPr>
          <w:rFonts w:eastAsia="Calibri" w:cs="Arial"/>
          <w:lang w:val="en-GB"/>
        </w:rPr>
      </w:pPr>
    </w:p>
    <w:p w:rsidR="00A16EC8" w:rsidRPr="00772327" w:rsidRDefault="00A16EC8" w:rsidP="00A16EC8">
      <w:pPr>
        <w:numPr>
          <w:ilvl w:val="0"/>
          <w:numId w:val="5"/>
        </w:numPr>
        <w:ind w:left="0" w:firstLine="0"/>
        <w:contextualSpacing/>
        <w:rPr>
          <w:rFonts w:eastAsia="Calibri" w:cs="Arial"/>
          <w:lang w:val="en-GB"/>
        </w:rPr>
      </w:pPr>
      <w:r w:rsidRPr="00772327">
        <w:rPr>
          <w:rFonts w:eastAsia="Calibri" w:cs="Arial"/>
          <w:lang w:val="en-GB"/>
        </w:rPr>
        <w:t xml:space="preserve">Previously, it </w:t>
      </w:r>
      <w:proofErr w:type="gramStart"/>
      <w:r w:rsidRPr="00772327">
        <w:rPr>
          <w:rFonts w:eastAsia="Calibri" w:cs="Arial"/>
          <w:lang w:val="en-GB"/>
        </w:rPr>
        <w:t>was noted</w:t>
      </w:r>
      <w:proofErr w:type="gramEnd"/>
      <w:r w:rsidRPr="00772327">
        <w:rPr>
          <w:rFonts w:eastAsia="Calibri" w:cs="Arial"/>
          <w:lang w:val="en-GB"/>
        </w:rPr>
        <w:t xml:space="preserve"> that software had been developed to support the implementation of COYU with splines. This software is available in two forms: as a package for R, and as a module in DUSTNT. </w:t>
      </w:r>
    </w:p>
    <w:p w:rsidR="00A16EC8" w:rsidRPr="00772327" w:rsidRDefault="00A16EC8" w:rsidP="00A16EC8">
      <w:pPr>
        <w:ind w:left="720"/>
        <w:contextualSpacing/>
        <w:rPr>
          <w:rFonts w:eastAsia="Calibri" w:cs="Arial"/>
          <w:lang w:val="en-GB"/>
        </w:rPr>
      </w:pPr>
    </w:p>
    <w:p w:rsidR="00A16EC8" w:rsidRPr="00772327" w:rsidRDefault="00A16EC8" w:rsidP="00A16EC8">
      <w:pPr>
        <w:numPr>
          <w:ilvl w:val="0"/>
          <w:numId w:val="5"/>
        </w:numPr>
        <w:ind w:left="0" w:firstLine="0"/>
        <w:contextualSpacing/>
        <w:rPr>
          <w:rFonts w:eastAsia="Calibri" w:cs="Arial"/>
          <w:lang w:val="en-GB"/>
        </w:rPr>
      </w:pPr>
      <w:r w:rsidRPr="00772327">
        <w:rPr>
          <w:rFonts w:eastAsia="Calibri" w:cs="Arial"/>
          <w:lang w:val="en-GB"/>
        </w:rPr>
        <w:t xml:space="preserve">DUSTNT is a software package for the analysis of data from DUS trials, and is freely available (see document UPOV/INF/16/9 “Exchangeable Software”). This software </w:t>
      </w:r>
      <w:proofErr w:type="gramStart"/>
      <w:r w:rsidRPr="00772327">
        <w:rPr>
          <w:rFonts w:eastAsia="Calibri" w:cs="Arial"/>
          <w:lang w:val="en-GB"/>
        </w:rPr>
        <w:t>is not only used</w:t>
      </w:r>
      <w:proofErr w:type="gramEnd"/>
      <w:r w:rsidRPr="00772327">
        <w:rPr>
          <w:rFonts w:eastAsia="Calibri" w:cs="Arial"/>
          <w:lang w:val="en-GB"/>
        </w:rPr>
        <w:t xml:space="preserve"> routinely by a number of members, but has been used for benchmarking software for COYD and COYU. As part of the process of incorporating the new module, the installation process </w:t>
      </w:r>
      <w:proofErr w:type="gramStart"/>
      <w:r w:rsidRPr="00772327">
        <w:rPr>
          <w:rFonts w:eastAsia="Calibri" w:cs="Arial"/>
          <w:lang w:val="en-GB"/>
        </w:rPr>
        <w:t>has been updated</w:t>
      </w:r>
      <w:proofErr w:type="gramEnd"/>
      <w:r w:rsidRPr="00772327">
        <w:rPr>
          <w:rFonts w:eastAsia="Calibri" w:cs="Arial"/>
          <w:lang w:val="en-GB"/>
        </w:rPr>
        <w:t xml:space="preserve"> to fit the current Windows model.</w:t>
      </w:r>
    </w:p>
    <w:p w:rsidR="00A16EC8" w:rsidRPr="00772327" w:rsidRDefault="00A16EC8" w:rsidP="00A16EC8">
      <w:pPr>
        <w:rPr>
          <w:rFonts w:eastAsia="Calibri" w:cs="Arial"/>
          <w:lang w:val="en-GB"/>
        </w:rPr>
      </w:pPr>
    </w:p>
    <w:p w:rsidR="00A16EC8" w:rsidRPr="00772327" w:rsidRDefault="00A16EC8" w:rsidP="00A16EC8">
      <w:pPr>
        <w:numPr>
          <w:ilvl w:val="0"/>
          <w:numId w:val="5"/>
        </w:numPr>
        <w:ind w:left="0" w:firstLine="0"/>
        <w:contextualSpacing/>
        <w:rPr>
          <w:rFonts w:eastAsia="Calibri" w:cs="Arial"/>
          <w:lang w:val="en-GB"/>
        </w:rPr>
      </w:pPr>
      <w:r w:rsidRPr="00772327">
        <w:rPr>
          <w:rFonts w:eastAsia="Calibri" w:cs="Arial"/>
          <w:lang w:val="en-GB"/>
        </w:rPr>
        <w:t xml:space="preserve">The version in the form of an R package is suitable for those members already using R software for DUS analysis. R is freely available as is the COYU package. The COYU package is available either as source code or as a more easily installed R library binary. </w:t>
      </w:r>
    </w:p>
    <w:p w:rsidR="00A16EC8" w:rsidRPr="00772327" w:rsidRDefault="00A16EC8" w:rsidP="00A16EC8">
      <w:pPr>
        <w:rPr>
          <w:rFonts w:eastAsia="Calibri"/>
          <w:lang w:val="en-GB"/>
        </w:rPr>
      </w:pPr>
    </w:p>
    <w:p w:rsidR="00A16EC8" w:rsidRPr="00772327" w:rsidRDefault="00A16EC8" w:rsidP="00A16EC8">
      <w:pPr>
        <w:rPr>
          <w:rFonts w:eastAsia="Calibri"/>
          <w:lang w:val="en-GB"/>
        </w:rPr>
      </w:pPr>
    </w:p>
    <w:p w:rsidR="00A16EC8" w:rsidRPr="00772327" w:rsidRDefault="00A16EC8" w:rsidP="00A16EC8">
      <w:pPr>
        <w:pStyle w:val="Heading1"/>
        <w:rPr>
          <w:rFonts w:eastAsia="Calibri"/>
          <w:lang w:val="en-GB"/>
        </w:rPr>
      </w:pPr>
      <w:r w:rsidRPr="00772327">
        <w:rPr>
          <w:rFonts w:eastAsia="Calibri"/>
          <w:lang w:val="en-GB"/>
        </w:rPr>
        <w:t>Evaluation of the new software</w:t>
      </w:r>
    </w:p>
    <w:p w:rsidR="00A16EC8" w:rsidRPr="00772327" w:rsidRDefault="00A16EC8" w:rsidP="00A16EC8">
      <w:pPr>
        <w:rPr>
          <w:rFonts w:eastAsia="Calibri"/>
          <w:lang w:val="en-GB"/>
        </w:rPr>
      </w:pPr>
    </w:p>
    <w:p w:rsidR="00A16EC8" w:rsidRPr="00772327" w:rsidRDefault="00A16EC8" w:rsidP="00A16EC8">
      <w:pPr>
        <w:numPr>
          <w:ilvl w:val="0"/>
          <w:numId w:val="5"/>
        </w:numPr>
        <w:ind w:left="0" w:firstLine="0"/>
        <w:contextualSpacing/>
        <w:rPr>
          <w:rFonts w:eastAsia="Calibri" w:cs="Arial"/>
          <w:lang w:val="en-GB"/>
        </w:rPr>
      </w:pPr>
      <w:r w:rsidRPr="00772327">
        <w:rPr>
          <w:rFonts w:eastAsia="Calibri" w:cs="Arial"/>
          <w:lang w:val="en-GB"/>
        </w:rPr>
        <w:t xml:space="preserve">In early August 2021, a circular </w:t>
      </w:r>
      <w:proofErr w:type="gramStart"/>
      <w:r w:rsidRPr="00772327">
        <w:rPr>
          <w:rFonts w:eastAsia="Calibri" w:cs="Arial"/>
          <w:lang w:val="en-GB"/>
        </w:rPr>
        <w:t>was sent out</w:t>
      </w:r>
      <w:proofErr w:type="gramEnd"/>
      <w:r w:rsidRPr="00772327">
        <w:rPr>
          <w:rFonts w:eastAsia="Calibri" w:cs="Arial"/>
          <w:lang w:val="en-GB"/>
        </w:rPr>
        <w:t xml:space="preserve"> by the UPOV Office to seek participation in the testing of the new software. This campaign was due to </w:t>
      </w:r>
      <w:proofErr w:type="gramStart"/>
      <w:r w:rsidRPr="00772327">
        <w:rPr>
          <w:rFonts w:eastAsia="Calibri" w:cs="Arial"/>
          <w:lang w:val="en-GB"/>
        </w:rPr>
        <w:t>be completed</w:t>
      </w:r>
      <w:proofErr w:type="gramEnd"/>
      <w:r w:rsidRPr="00772327">
        <w:rPr>
          <w:rFonts w:eastAsia="Calibri" w:cs="Arial"/>
          <w:lang w:val="en-GB"/>
        </w:rPr>
        <w:t xml:space="preserve"> by the end of December 2021. Both forms of software </w:t>
      </w:r>
      <w:proofErr w:type="gramStart"/>
      <w:r w:rsidRPr="00772327">
        <w:rPr>
          <w:rFonts w:eastAsia="Calibri" w:cs="Arial"/>
          <w:lang w:val="en-GB"/>
        </w:rPr>
        <w:t>were made</w:t>
      </w:r>
      <w:proofErr w:type="gramEnd"/>
      <w:r w:rsidRPr="00772327">
        <w:rPr>
          <w:rFonts w:eastAsia="Calibri" w:cs="Arial"/>
          <w:lang w:val="en-GB"/>
        </w:rPr>
        <w:t xml:space="preserve"> available for evaluation.  </w:t>
      </w:r>
    </w:p>
    <w:p w:rsidR="00A16EC8" w:rsidRPr="00772327" w:rsidRDefault="00A16EC8" w:rsidP="00A16EC8">
      <w:pPr>
        <w:ind w:left="720"/>
        <w:contextualSpacing/>
        <w:rPr>
          <w:rFonts w:eastAsia="Calibri" w:cs="Arial"/>
          <w:lang w:val="en-GB"/>
        </w:rPr>
      </w:pPr>
    </w:p>
    <w:p w:rsidR="00A16EC8" w:rsidRPr="00772327" w:rsidRDefault="00A16EC8" w:rsidP="00A16EC8">
      <w:pPr>
        <w:numPr>
          <w:ilvl w:val="0"/>
          <w:numId w:val="5"/>
        </w:numPr>
        <w:ind w:left="0" w:firstLine="0"/>
        <w:contextualSpacing/>
        <w:rPr>
          <w:rFonts w:eastAsia="Calibri" w:cs="Arial"/>
          <w:lang w:val="en-GB"/>
        </w:rPr>
      </w:pPr>
      <w:r w:rsidRPr="00772327">
        <w:rPr>
          <w:rFonts w:eastAsia="Calibri" w:cs="Arial"/>
          <w:lang w:val="en-GB"/>
        </w:rPr>
        <w:t xml:space="preserve">Many members took part in the exercise, as evidenced by downloads of the evaluation version of DUSTNT. The following gave feedback following their evaluations: Czech Republic, Finland, Slovakia, </w:t>
      </w:r>
      <w:proofErr w:type="gramStart"/>
      <w:r w:rsidRPr="00772327">
        <w:rPr>
          <w:rFonts w:eastAsia="Calibri" w:cs="Arial"/>
          <w:lang w:val="en-GB"/>
        </w:rPr>
        <w:t>United</w:t>
      </w:r>
      <w:proofErr w:type="gramEnd"/>
      <w:r w:rsidRPr="00772327">
        <w:rPr>
          <w:rFonts w:eastAsia="Calibri" w:cs="Arial"/>
          <w:lang w:val="en-GB"/>
        </w:rPr>
        <w:t xml:space="preserve"> Kingdom. The development team is very grateful for these valuable responses.</w:t>
      </w:r>
    </w:p>
    <w:p w:rsidR="00A16EC8" w:rsidRPr="00772327" w:rsidRDefault="00A16EC8" w:rsidP="00A16EC8">
      <w:pPr>
        <w:ind w:left="720"/>
        <w:contextualSpacing/>
        <w:rPr>
          <w:rFonts w:eastAsia="Calibri" w:cs="Arial"/>
          <w:lang w:val="en-GB"/>
        </w:rPr>
      </w:pPr>
    </w:p>
    <w:p w:rsidR="00A16EC8" w:rsidRPr="00772327" w:rsidRDefault="00A16EC8" w:rsidP="00A16EC8">
      <w:pPr>
        <w:numPr>
          <w:ilvl w:val="0"/>
          <w:numId w:val="5"/>
        </w:numPr>
        <w:ind w:left="0" w:firstLine="0"/>
        <w:contextualSpacing/>
        <w:rPr>
          <w:rFonts w:eastAsia="Calibri" w:cs="Arial"/>
          <w:lang w:val="en-GB"/>
        </w:rPr>
      </w:pPr>
      <w:r w:rsidRPr="00772327">
        <w:rPr>
          <w:rFonts w:eastAsia="Calibri" w:cs="Arial"/>
          <w:lang w:val="en-GB"/>
        </w:rPr>
        <w:t xml:space="preserve">Whilst overall feedback was positive, a number of software improvements </w:t>
      </w:r>
      <w:proofErr w:type="gramStart"/>
      <w:r w:rsidRPr="00772327">
        <w:rPr>
          <w:rFonts w:eastAsia="Calibri" w:cs="Arial"/>
          <w:lang w:val="en-GB"/>
        </w:rPr>
        <w:t>were identified</w:t>
      </w:r>
      <w:proofErr w:type="gramEnd"/>
      <w:r w:rsidRPr="00772327">
        <w:rPr>
          <w:rFonts w:eastAsia="Calibri" w:cs="Arial"/>
          <w:lang w:val="en-GB"/>
        </w:rPr>
        <w:t xml:space="preserve"> for the DUST version.</w:t>
      </w:r>
    </w:p>
    <w:p w:rsidR="00A16EC8" w:rsidRPr="00772327" w:rsidRDefault="00A16EC8" w:rsidP="00A16EC8">
      <w:pPr>
        <w:rPr>
          <w:rFonts w:eastAsia="Calibri" w:cs="Arial"/>
          <w:lang w:val="en-GB"/>
        </w:rPr>
      </w:pPr>
    </w:p>
    <w:p w:rsidR="00A16EC8" w:rsidRPr="00772327" w:rsidRDefault="00A16EC8" w:rsidP="00A16EC8">
      <w:pPr>
        <w:rPr>
          <w:rFonts w:eastAsia="Calibri" w:cs="Arial"/>
          <w:lang w:val="en-GB"/>
        </w:rPr>
      </w:pPr>
    </w:p>
    <w:p w:rsidR="00A16EC8" w:rsidRPr="00772327" w:rsidRDefault="00A16EC8" w:rsidP="00A16EC8">
      <w:pPr>
        <w:pStyle w:val="Heading1"/>
        <w:rPr>
          <w:rFonts w:eastAsia="Calibri"/>
          <w:lang w:val="en-GB"/>
        </w:rPr>
      </w:pPr>
      <w:r w:rsidRPr="00772327">
        <w:rPr>
          <w:rFonts w:eastAsia="Calibri"/>
          <w:lang w:val="en-GB"/>
        </w:rPr>
        <w:t>Further development of software incorporating the new COYU method</w:t>
      </w:r>
    </w:p>
    <w:p w:rsidR="00A16EC8" w:rsidRPr="00772327" w:rsidRDefault="00A16EC8" w:rsidP="00A16EC8">
      <w:pPr>
        <w:rPr>
          <w:rFonts w:eastAsia="Calibri"/>
          <w:lang w:val="en-GB"/>
        </w:rPr>
      </w:pPr>
    </w:p>
    <w:p w:rsidR="00A16EC8" w:rsidRPr="00772327" w:rsidRDefault="00A16EC8" w:rsidP="00A16EC8">
      <w:pPr>
        <w:numPr>
          <w:ilvl w:val="0"/>
          <w:numId w:val="5"/>
        </w:numPr>
        <w:ind w:left="0" w:firstLine="0"/>
        <w:contextualSpacing/>
        <w:rPr>
          <w:rFonts w:eastAsia="Calibri" w:cs="Arial"/>
          <w:lang w:val="en-GB"/>
        </w:rPr>
      </w:pPr>
      <w:r w:rsidRPr="00772327">
        <w:rPr>
          <w:rFonts w:eastAsia="Calibri" w:cs="Arial"/>
          <w:lang w:val="en-GB"/>
        </w:rPr>
        <w:t>The following improvements to the DUSTNT software were identified from the testing campaign:</w:t>
      </w:r>
    </w:p>
    <w:p w:rsidR="00A16EC8" w:rsidRPr="00772327" w:rsidRDefault="00A16EC8" w:rsidP="00A16EC8">
      <w:pPr>
        <w:numPr>
          <w:ilvl w:val="0"/>
          <w:numId w:val="7"/>
        </w:numPr>
        <w:contextualSpacing/>
        <w:rPr>
          <w:rFonts w:eastAsia="Calibri" w:cs="Arial"/>
          <w:lang w:val="en-GB"/>
        </w:rPr>
      </w:pPr>
      <w:r w:rsidRPr="00772327">
        <w:rPr>
          <w:rFonts w:eastAsia="Calibri" w:cs="Arial"/>
          <w:lang w:val="en-GB"/>
        </w:rPr>
        <w:t>Improvements to the reports, including formatting and extra information;</w:t>
      </w:r>
    </w:p>
    <w:p w:rsidR="00A16EC8" w:rsidRPr="00772327" w:rsidRDefault="00A16EC8" w:rsidP="00A16EC8">
      <w:pPr>
        <w:numPr>
          <w:ilvl w:val="0"/>
          <w:numId w:val="7"/>
        </w:numPr>
        <w:contextualSpacing/>
        <w:rPr>
          <w:rFonts w:eastAsia="Calibri" w:cs="Arial"/>
          <w:lang w:val="en-GB"/>
        </w:rPr>
      </w:pPr>
      <w:r w:rsidRPr="00772327">
        <w:rPr>
          <w:rFonts w:eastAsia="Calibri" w:cs="Arial"/>
          <w:lang w:val="en-GB"/>
        </w:rPr>
        <w:t>Criteria for flagging data sets that are too small;</w:t>
      </w:r>
    </w:p>
    <w:p w:rsidR="00A16EC8" w:rsidRPr="00772327" w:rsidRDefault="00A16EC8" w:rsidP="00A16EC8">
      <w:pPr>
        <w:numPr>
          <w:ilvl w:val="0"/>
          <w:numId w:val="7"/>
        </w:numPr>
        <w:contextualSpacing/>
        <w:rPr>
          <w:rFonts w:eastAsia="Calibri" w:cs="Arial"/>
          <w:lang w:val="en-GB"/>
        </w:rPr>
      </w:pPr>
      <w:r w:rsidRPr="00772327">
        <w:rPr>
          <w:rFonts w:eastAsia="Calibri" w:cs="Arial"/>
          <w:lang w:val="en-GB"/>
        </w:rPr>
        <w:t>Extra tables in csv format;</w:t>
      </w:r>
    </w:p>
    <w:p w:rsidR="00A16EC8" w:rsidRPr="00772327" w:rsidRDefault="00A16EC8" w:rsidP="00A16EC8">
      <w:pPr>
        <w:numPr>
          <w:ilvl w:val="0"/>
          <w:numId w:val="7"/>
        </w:numPr>
        <w:contextualSpacing/>
        <w:rPr>
          <w:rFonts w:eastAsia="Calibri" w:cs="Arial"/>
          <w:lang w:val="en-GB"/>
        </w:rPr>
      </w:pPr>
      <w:r w:rsidRPr="00772327">
        <w:rPr>
          <w:rFonts w:eastAsia="Calibri" w:cs="Arial"/>
          <w:lang w:val="en-GB"/>
        </w:rPr>
        <w:t>Improved graphics;</w:t>
      </w:r>
    </w:p>
    <w:p w:rsidR="00A16EC8" w:rsidRPr="00772327" w:rsidRDefault="00A16EC8" w:rsidP="00A16EC8">
      <w:pPr>
        <w:numPr>
          <w:ilvl w:val="0"/>
          <w:numId w:val="7"/>
        </w:numPr>
        <w:contextualSpacing/>
        <w:rPr>
          <w:rFonts w:eastAsia="Calibri" w:cs="Arial"/>
          <w:lang w:val="en-GB"/>
        </w:rPr>
      </w:pPr>
      <w:r w:rsidRPr="00772327">
        <w:rPr>
          <w:rFonts w:eastAsia="Calibri" w:cs="Arial"/>
          <w:lang w:val="en-GB"/>
        </w:rPr>
        <w:t>Modification of flagging of cases with extrapolation;</w:t>
      </w:r>
    </w:p>
    <w:p w:rsidR="00A16EC8" w:rsidRPr="00772327" w:rsidRDefault="00A16EC8" w:rsidP="00A16EC8">
      <w:pPr>
        <w:numPr>
          <w:ilvl w:val="0"/>
          <w:numId w:val="7"/>
        </w:numPr>
        <w:contextualSpacing/>
        <w:rPr>
          <w:rFonts w:eastAsia="Calibri" w:cs="Arial"/>
          <w:lang w:val="en-GB"/>
        </w:rPr>
      </w:pPr>
      <w:r w:rsidRPr="00772327">
        <w:rPr>
          <w:rFonts w:eastAsia="Calibri" w:cs="Arial"/>
          <w:lang w:val="en-GB"/>
        </w:rPr>
        <w:t>Managing diacritics in file and directory names.</w:t>
      </w:r>
    </w:p>
    <w:p w:rsidR="00A16EC8" w:rsidRPr="00772327" w:rsidRDefault="00A16EC8" w:rsidP="00A16EC8">
      <w:pPr>
        <w:contextualSpacing/>
        <w:rPr>
          <w:rFonts w:eastAsia="Calibri" w:cs="Arial"/>
          <w:lang w:val="en-GB"/>
        </w:rPr>
      </w:pPr>
    </w:p>
    <w:p w:rsidR="00A16EC8" w:rsidRPr="00772327" w:rsidRDefault="00A16EC8" w:rsidP="00A16EC8">
      <w:pPr>
        <w:numPr>
          <w:ilvl w:val="0"/>
          <w:numId w:val="5"/>
        </w:numPr>
        <w:ind w:left="0" w:firstLine="0"/>
        <w:contextualSpacing/>
        <w:rPr>
          <w:rFonts w:eastAsia="Calibri" w:cs="Arial"/>
          <w:lang w:val="en-GB"/>
        </w:rPr>
      </w:pPr>
      <w:r w:rsidRPr="00772327">
        <w:rPr>
          <w:rFonts w:eastAsia="Calibri" w:cs="Arial"/>
          <w:lang w:val="en-GB"/>
        </w:rPr>
        <w:t xml:space="preserve"> At the time of writing, many of these identified improvements </w:t>
      </w:r>
      <w:proofErr w:type="gramStart"/>
      <w:r w:rsidRPr="00772327">
        <w:rPr>
          <w:rFonts w:eastAsia="Calibri" w:cs="Arial"/>
          <w:lang w:val="en-GB"/>
        </w:rPr>
        <w:t>have been coded</w:t>
      </w:r>
      <w:proofErr w:type="gramEnd"/>
      <w:r w:rsidRPr="00772327">
        <w:rPr>
          <w:rFonts w:eastAsia="Calibri" w:cs="Arial"/>
          <w:lang w:val="en-GB"/>
        </w:rPr>
        <w:t xml:space="preserve">. An update </w:t>
      </w:r>
      <w:proofErr w:type="gramStart"/>
      <w:r w:rsidRPr="00772327">
        <w:rPr>
          <w:rFonts w:eastAsia="Calibri" w:cs="Arial"/>
          <w:lang w:val="en-GB"/>
        </w:rPr>
        <w:t>will be given</w:t>
      </w:r>
      <w:proofErr w:type="gramEnd"/>
      <w:r w:rsidRPr="00772327">
        <w:rPr>
          <w:rFonts w:eastAsia="Calibri" w:cs="Arial"/>
          <w:lang w:val="en-GB"/>
        </w:rPr>
        <w:t xml:space="preserve"> at the TWM.</w:t>
      </w:r>
    </w:p>
    <w:p w:rsidR="00A16EC8" w:rsidRPr="00772327" w:rsidRDefault="00A16EC8" w:rsidP="00A16EC8">
      <w:pPr>
        <w:rPr>
          <w:rFonts w:eastAsia="Calibri" w:cs="Arial"/>
          <w:lang w:val="en-GB"/>
        </w:rPr>
      </w:pPr>
    </w:p>
    <w:p w:rsidR="00A16EC8" w:rsidRPr="00772327" w:rsidRDefault="00A16EC8" w:rsidP="00A16EC8">
      <w:pPr>
        <w:numPr>
          <w:ilvl w:val="0"/>
          <w:numId w:val="5"/>
        </w:numPr>
        <w:ind w:left="0" w:firstLine="0"/>
        <w:contextualSpacing/>
        <w:rPr>
          <w:rFonts w:eastAsia="Calibri" w:cs="Arial"/>
          <w:lang w:val="en-GB"/>
        </w:rPr>
      </w:pPr>
      <w:r w:rsidRPr="00772327">
        <w:rPr>
          <w:rFonts w:eastAsia="Calibri" w:cs="Arial"/>
          <w:lang w:val="en-GB"/>
        </w:rPr>
        <w:t xml:space="preserve">Once the improvements have been incorporated and tested, a new version of DUSTNT incorporating COYU with splines </w:t>
      </w:r>
      <w:proofErr w:type="gramStart"/>
      <w:r w:rsidRPr="00772327">
        <w:rPr>
          <w:rFonts w:eastAsia="Calibri" w:cs="Arial"/>
          <w:lang w:val="en-GB"/>
        </w:rPr>
        <w:t>will be launched</w:t>
      </w:r>
      <w:proofErr w:type="gramEnd"/>
      <w:r w:rsidRPr="00772327">
        <w:rPr>
          <w:rFonts w:eastAsia="Calibri" w:cs="Arial"/>
          <w:lang w:val="en-GB"/>
        </w:rPr>
        <w:t>.</w:t>
      </w:r>
    </w:p>
    <w:p w:rsidR="00A16EC8" w:rsidRPr="00772327" w:rsidRDefault="00A16EC8" w:rsidP="00A16EC8">
      <w:pPr>
        <w:rPr>
          <w:rFonts w:eastAsia="Calibri"/>
          <w:lang w:val="en-GB"/>
        </w:rPr>
      </w:pPr>
    </w:p>
    <w:p w:rsidR="00A16EC8" w:rsidRPr="00772327" w:rsidRDefault="00A16EC8" w:rsidP="00A16EC8">
      <w:pPr>
        <w:rPr>
          <w:rFonts w:eastAsia="Calibri"/>
          <w:lang w:val="en-GB"/>
        </w:rPr>
      </w:pPr>
    </w:p>
    <w:p w:rsidR="00A16EC8" w:rsidRPr="00772327" w:rsidRDefault="00A16EC8" w:rsidP="00A16EC8">
      <w:pPr>
        <w:pStyle w:val="Heading1"/>
        <w:rPr>
          <w:rFonts w:eastAsia="Calibri"/>
          <w:lang w:val="en-GB"/>
        </w:rPr>
      </w:pPr>
      <w:r w:rsidRPr="00772327">
        <w:rPr>
          <w:rFonts w:eastAsia="Calibri"/>
          <w:lang w:val="en-GB"/>
        </w:rPr>
        <w:t>Introduction of COYU with splines in the United Kingdom</w:t>
      </w:r>
    </w:p>
    <w:p w:rsidR="00A16EC8" w:rsidRPr="00772327" w:rsidRDefault="00A16EC8" w:rsidP="00A16EC8">
      <w:pPr>
        <w:rPr>
          <w:rFonts w:eastAsia="Calibri"/>
          <w:lang w:val="en-GB"/>
        </w:rPr>
      </w:pPr>
    </w:p>
    <w:p w:rsidR="00A16EC8" w:rsidRPr="00772327" w:rsidRDefault="00A16EC8" w:rsidP="00A16EC8">
      <w:pPr>
        <w:numPr>
          <w:ilvl w:val="0"/>
          <w:numId w:val="5"/>
        </w:numPr>
        <w:ind w:left="0" w:firstLine="0"/>
        <w:contextualSpacing/>
        <w:rPr>
          <w:rFonts w:eastAsia="Calibri" w:cs="Arial"/>
          <w:lang w:val="en-GB"/>
        </w:rPr>
      </w:pPr>
      <w:r w:rsidRPr="00772327">
        <w:rPr>
          <w:rFonts w:eastAsia="Calibri" w:cs="Arial"/>
          <w:lang w:val="en-GB"/>
        </w:rPr>
        <w:t xml:space="preserve">The United Kingdom has started a process of introducing COYU with splines into DUS testing. </w:t>
      </w:r>
    </w:p>
    <w:p w:rsidR="00A16EC8" w:rsidRPr="00772327" w:rsidRDefault="00A16EC8" w:rsidP="00A16EC8">
      <w:pPr>
        <w:contextualSpacing/>
        <w:rPr>
          <w:rFonts w:eastAsia="Calibri" w:cs="Arial"/>
          <w:lang w:val="en-GB"/>
        </w:rPr>
      </w:pPr>
    </w:p>
    <w:p w:rsidR="00A16EC8" w:rsidRPr="00772327" w:rsidRDefault="00A16EC8" w:rsidP="00A16EC8">
      <w:pPr>
        <w:numPr>
          <w:ilvl w:val="0"/>
          <w:numId w:val="5"/>
        </w:numPr>
        <w:ind w:left="0" w:firstLine="0"/>
        <w:contextualSpacing/>
        <w:rPr>
          <w:rFonts w:eastAsia="Calibri" w:cs="Arial"/>
          <w:lang w:val="en-GB"/>
        </w:rPr>
      </w:pPr>
      <w:r w:rsidRPr="00772327">
        <w:rPr>
          <w:rFonts w:eastAsia="Calibri" w:cs="Arial"/>
          <w:lang w:val="en-GB"/>
        </w:rPr>
        <w:t xml:space="preserve">This year, comparisons </w:t>
      </w:r>
      <w:proofErr w:type="gramStart"/>
      <w:r w:rsidRPr="00772327">
        <w:rPr>
          <w:rFonts w:eastAsia="Calibri" w:cs="Arial"/>
          <w:lang w:val="en-GB"/>
        </w:rPr>
        <w:t>have been made</w:t>
      </w:r>
      <w:proofErr w:type="gramEnd"/>
      <w:r w:rsidRPr="00772327">
        <w:rPr>
          <w:rFonts w:eastAsia="Calibri" w:cs="Arial"/>
          <w:lang w:val="en-GB"/>
        </w:rPr>
        <w:t xml:space="preserve"> between the old COYU method (moving average) and COYU with splines using historical data. Crops covered included perennial ryegrass, pea, onion, swede, and oilseed rape. Few differences in decisions </w:t>
      </w:r>
      <w:proofErr w:type="gramStart"/>
      <w:r w:rsidRPr="00772327">
        <w:rPr>
          <w:rFonts w:eastAsia="Calibri" w:cs="Arial"/>
          <w:lang w:val="en-GB"/>
        </w:rPr>
        <w:t>were found</w:t>
      </w:r>
      <w:proofErr w:type="gramEnd"/>
      <w:r w:rsidRPr="00772327">
        <w:rPr>
          <w:rFonts w:eastAsia="Calibri" w:cs="Arial"/>
          <w:lang w:val="en-GB"/>
        </w:rPr>
        <w:t xml:space="preserve">, and in only a small number of marginal cases which was to be expected. The work highlighted the importance of the extrapolation issue (see below). </w:t>
      </w:r>
    </w:p>
    <w:p w:rsidR="00A16EC8" w:rsidRPr="00772327" w:rsidRDefault="00A16EC8" w:rsidP="00A16EC8">
      <w:pPr>
        <w:ind w:left="720"/>
        <w:contextualSpacing/>
        <w:rPr>
          <w:rFonts w:eastAsia="Calibri" w:cs="Arial"/>
          <w:lang w:val="en-GB"/>
        </w:rPr>
      </w:pPr>
    </w:p>
    <w:p w:rsidR="00A16EC8" w:rsidRPr="00772327" w:rsidRDefault="00A16EC8" w:rsidP="00A16EC8">
      <w:pPr>
        <w:numPr>
          <w:ilvl w:val="0"/>
          <w:numId w:val="5"/>
        </w:numPr>
        <w:ind w:left="0" w:firstLine="0"/>
        <w:contextualSpacing/>
        <w:rPr>
          <w:rFonts w:eastAsia="Calibri" w:cs="Arial"/>
          <w:lang w:val="en-GB"/>
        </w:rPr>
      </w:pPr>
      <w:r w:rsidRPr="00772327">
        <w:rPr>
          <w:rFonts w:eastAsia="Calibri" w:cs="Arial"/>
          <w:lang w:val="en-GB"/>
        </w:rPr>
        <w:t>Following this study, the United Kingdom is considering the way forward.</w:t>
      </w:r>
    </w:p>
    <w:p w:rsidR="00A16EC8" w:rsidRPr="00772327" w:rsidRDefault="00A16EC8" w:rsidP="00A16EC8">
      <w:pPr>
        <w:rPr>
          <w:rFonts w:eastAsia="Calibri" w:cs="Arial"/>
          <w:lang w:val="en-GB"/>
        </w:rPr>
      </w:pPr>
    </w:p>
    <w:p w:rsidR="00A16EC8" w:rsidRPr="00772327" w:rsidRDefault="00A16EC8" w:rsidP="00A16EC8">
      <w:pPr>
        <w:rPr>
          <w:rFonts w:eastAsia="Calibri" w:cs="Arial"/>
          <w:lang w:val="en-GB"/>
        </w:rPr>
      </w:pPr>
    </w:p>
    <w:p w:rsidR="00A16EC8" w:rsidRPr="00772327" w:rsidRDefault="00A16EC8" w:rsidP="00A16EC8">
      <w:pPr>
        <w:pStyle w:val="Heading1"/>
        <w:rPr>
          <w:rFonts w:eastAsia="Calibri"/>
          <w:lang w:val="en-GB"/>
        </w:rPr>
      </w:pPr>
      <w:r w:rsidRPr="00772327">
        <w:rPr>
          <w:rFonts w:eastAsia="Calibri"/>
          <w:lang w:val="en-GB"/>
        </w:rPr>
        <w:t>Extrapolation</w:t>
      </w:r>
    </w:p>
    <w:p w:rsidR="00A16EC8" w:rsidRPr="00772327" w:rsidRDefault="00A16EC8" w:rsidP="00A16EC8">
      <w:pPr>
        <w:rPr>
          <w:rFonts w:eastAsia="Calibri"/>
          <w:lang w:val="en-GB"/>
        </w:rPr>
      </w:pPr>
    </w:p>
    <w:p w:rsidR="00A16EC8" w:rsidRPr="00772327" w:rsidRDefault="00A16EC8" w:rsidP="00A16EC8">
      <w:pPr>
        <w:numPr>
          <w:ilvl w:val="0"/>
          <w:numId w:val="5"/>
        </w:numPr>
        <w:ind w:left="0" w:firstLine="0"/>
        <w:contextualSpacing/>
        <w:rPr>
          <w:rFonts w:eastAsia="Calibri" w:cs="Arial"/>
          <w:lang w:val="en-GB"/>
        </w:rPr>
      </w:pPr>
      <w:r w:rsidRPr="00772327">
        <w:rPr>
          <w:rFonts w:eastAsia="Calibri" w:cs="Arial"/>
          <w:lang w:val="en-GB"/>
        </w:rPr>
        <w:t xml:space="preserve">Extrapolation is a key issue for COYU and </w:t>
      </w:r>
      <w:proofErr w:type="gramStart"/>
      <w:r w:rsidRPr="00772327">
        <w:rPr>
          <w:rFonts w:eastAsia="Calibri" w:cs="Arial"/>
          <w:lang w:val="en-GB"/>
        </w:rPr>
        <w:t>is discussed</w:t>
      </w:r>
      <w:proofErr w:type="gramEnd"/>
      <w:r w:rsidRPr="00772327">
        <w:rPr>
          <w:rFonts w:eastAsia="Calibri" w:cs="Arial"/>
          <w:lang w:val="en-GB"/>
        </w:rPr>
        <w:t xml:space="preserve"> in document </w:t>
      </w:r>
      <w:r w:rsidRPr="00E569C0">
        <w:rPr>
          <w:rFonts w:eastAsia="Calibri" w:cs="Arial"/>
          <w:lang w:val="en-GB"/>
        </w:rPr>
        <w:t>TWM/1/</w:t>
      </w:r>
      <w:r>
        <w:rPr>
          <w:rFonts w:eastAsia="Calibri" w:cs="Arial"/>
          <w:lang w:val="en-GB"/>
        </w:rPr>
        <w:t>7</w:t>
      </w:r>
      <w:r w:rsidRPr="00E569C0">
        <w:rPr>
          <w:rFonts w:eastAsia="Calibri" w:cs="Arial"/>
          <w:lang w:val="en-GB"/>
        </w:rPr>
        <w:t>.</w:t>
      </w:r>
      <w:r w:rsidRPr="00772327">
        <w:rPr>
          <w:rFonts w:eastAsia="Calibri" w:cs="Arial"/>
          <w:lang w:val="en-GB"/>
        </w:rPr>
        <w:t xml:space="preserve">  This is an issue particular to both versions of COYU, but </w:t>
      </w:r>
      <w:proofErr w:type="gramStart"/>
      <w:r w:rsidRPr="00772327">
        <w:rPr>
          <w:rFonts w:eastAsia="Calibri" w:cs="Arial"/>
          <w:lang w:val="en-GB"/>
        </w:rPr>
        <w:t>was not identified</w:t>
      </w:r>
      <w:proofErr w:type="gramEnd"/>
      <w:r w:rsidRPr="00772327">
        <w:rPr>
          <w:rFonts w:eastAsia="Calibri" w:cs="Arial"/>
          <w:lang w:val="en-GB"/>
        </w:rPr>
        <w:t xml:space="preserve"> with COYU (moving average). </w:t>
      </w:r>
    </w:p>
    <w:p w:rsidR="00A16EC8" w:rsidRDefault="00A16EC8" w:rsidP="00A16EC8">
      <w:pPr>
        <w:rPr>
          <w:rFonts w:eastAsia="Calibri" w:cs="Arial"/>
          <w:lang w:val="en-GB"/>
        </w:rPr>
      </w:pPr>
    </w:p>
    <w:p w:rsidR="00A16EC8" w:rsidRPr="00772327" w:rsidRDefault="00A16EC8" w:rsidP="00A16EC8">
      <w:pPr>
        <w:rPr>
          <w:rFonts w:eastAsia="Calibri" w:cs="Arial"/>
          <w:lang w:val="en-GB"/>
        </w:rPr>
      </w:pPr>
    </w:p>
    <w:p w:rsidR="00A16EC8" w:rsidRPr="00772327" w:rsidRDefault="00A16EC8" w:rsidP="00A16EC8">
      <w:pPr>
        <w:pStyle w:val="Heading1"/>
        <w:rPr>
          <w:rFonts w:eastAsia="Calibri"/>
          <w:lang w:val="en-GB"/>
        </w:rPr>
      </w:pPr>
      <w:r w:rsidRPr="00772327">
        <w:rPr>
          <w:rFonts w:eastAsia="Calibri"/>
          <w:lang w:val="en-GB"/>
        </w:rPr>
        <w:t>Guidance on COYU with splines</w:t>
      </w:r>
    </w:p>
    <w:p w:rsidR="00A16EC8" w:rsidRPr="00772327" w:rsidRDefault="00A16EC8" w:rsidP="00A16EC8">
      <w:pPr>
        <w:rPr>
          <w:rFonts w:eastAsia="Calibri"/>
          <w:lang w:val="en-GB"/>
        </w:rPr>
      </w:pPr>
    </w:p>
    <w:p w:rsidR="00A16EC8" w:rsidRPr="00772327" w:rsidRDefault="00A16EC8" w:rsidP="00A16EC8">
      <w:pPr>
        <w:numPr>
          <w:ilvl w:val="0"/>
          <w:numId w:val="5"/>
        </w:numPr>
        <w:ind w:left="0" w:firstLine="0"/>
        <w:contextualSpacing/>
        <w:rPr>
          <w:rFonts w:eastAsia="Calibri" w:cs="Arial"/>
          <w:lang w:val="en-GB"/>
        </w:rPr>
      </w:pPr>
      <w:r w:rsidRPr="00772327">
        <w:rPr>
          <w:rFonts w:eastAsia="Calibri" w:cs="Arial"/>
          <w:lang w:val="en-GB"/>
        </w:rPr>
        <w:t xml:space="preserve">Guidance for the new method of COYU with splines has been drafted (see document TWP/5/11 </w:t>
      </w:r>
      <w:proofErr w:type="gramStart"/>
      <w:r w:rsidRPr="00772327">
        <w:rPr>
          <w:rFonts w:eastAsia="Calibri" w:cs="Arial"/>
          <w:lang w:val="en-GB"/>
        </w:rPr>
        <w:t>The Combined Over</w:t>
      </w:r>
      <w:proofErr w:type="gramEnd"/>
      <w:r w:rsidRPr="00772327">
        <w:rPr>
          <w:rFonts w:eastAsia="Calibri" w:cs="Arial"/>
          <w:lang w:val="en-GB"/>
        </w:rPr>
        <w:t xml:space="preserve"> Years Uniformity Criterion (COYU)).</w:t>
      </w:r>
    </w:p>
    <w:p w:rsidR="00A16EC8" w:rsidRPr="00772327" w:rsidRDefault="00A16EC8" w:rsidP="00A16EC8">
      <w:pPr>
        <w:contextualSpacing/>
        <w:rPr>
          <w:rFonts w:eastAsia="Calibri" w:cs="Arial"/>
          <w:lang w:val="en-GB"/>
        </w:rPr>
      </w:pPr>
    </w:p>
    <w:p w:rsidR="00A16EC8" w:rsidRPr="00772327" w:rsidRDefault="00A16EC8" w:rsidP="00A16EC8">
      <w:pPr>
        <w:numPr>
          <w:ilvl w:val="0"/>
          <w:numId w:val="5"/>
        </w:numPr>
        <w:ind w:left="0" w:firstLine="0"/>
        <w:contextualSpacing/>
        <w:rPr>
          <w:rFonts w:eastAsia="Calibri" w:cs="Arial"/>
          <w:lang w:val="en-GB"/>
        </w:rPr>
      </w:pPr>
      <w:r w:rsidRPr="00772327">
        <w:rPr>
          <w:rFonts w:eastAsia="Calibri" w:cs="Arial"/>
          <w:lang w:val="en-GB"/>
        </w:rPr>
        <w:t>The testing exercise indicated two areas for improvement to the draft guidance:</w:t>
      </w:r>
    </w:p>
    <w:p w:rsidR="00A16EC8" w:rsidRPr="00772327" w:rsidRDefault="00A16EC8" w:rsidP="00A16EC8">
      <w:pPr>
        <w:numPr>
          <w:ilvl w:val="0"/>
          <w:numId w:val="8"/>
        </w:numPr>
        <w:contextualSpacing/>
        <w:rPr>
          <w:rFonts w:eastAsia="Calibri" w:cs="Arial"/>
          <w:lang w:val="en-GB"/>
        </w:rPr>
      </w:pPr>
      <w:r w:rsidRPr="00772327">
        <w:rPr>
          <w:rFonts w:eastAsia="Calibri" w:cs="Arial"/>
          <w:lang w:val="en-GB"/>
        </w:rPr>
        <w:t>To the criteria for indicating whether a data set is sufficiently large to allow use of COYU;</w:t>
      </w:r>
    </w:p>
    <w:p w:rsidR="00A16EC8" w:rsidRPr="00772327" w:rsidRDefault="00A16EC8" w:rsidP="00A16EC8">
      <w:pPr>
        <w:numPr>
          <w:ilvl w:val="0"/>
          <w:numId w:val="8"/>
        </w:numPr>
        <w:contextualSpacing/>
        <w:rPr>
          <w:rFonts w:eastAsia="Calibri" w:cs="Arial"/>
          <w:lang w:val="en-GB"/>
        </w:rPr>
      </w:pPr>
      <w:r w:rsidRPr="00772327">
        <w:rPr>
          <w:rFonts w:eastAsia="Calibri" w:cs="Arial"/>
          <w:lang w:val="en-GB"/>
        </w:rPr>
        <w:t>To guidance on extrapolation.</w:t>
      </w:r>
    </w:p>
    <w:p w:rsidR="00A16EC8" w:rsidRPr="00772327" w:rsidRDefault="00A16EC8" w:rsidP="00A16EC8">
      <w:pPr>
        <w:ind w:left="720"/>
        <w:contextualSpacing/>
        <w:rPr>
          <w:rFonts w:eastAsia="Calibri" w:cs="Arial"/>
          <w:lang w:val="en-GB"/>
        </w:rPr>
      </w:pPr>
    </w:p>
    <w:p w:rsidR="00A16EC8" w:rsidRDefault="00A16EC8" w:rsidP="00A16EC8">
      <w:pPr>
        <w:numPr>
          <w:ilvl w:val="0"/>
          <w:numId w:val="5"/>
        </w:numPr>
        <w:ind w:left="0" w:firstLine="0"/>
        <w:contextualSpacing/>
        <w:rPr>
          <w:rFonts w:eastAsia="Calibri" w:cs="Arial"/>
          <w:lang w:val="en-GB"/>
        </w:rPr>
      </w:pPr>
      <w:r w:rsidRPr="00772327">
        <w:rPr>
          <w:rFonts w:eastAsia="Calibri" w:cs="Arial"/>
          <w:lang w:val="en-GB"/>
        </w:rPr>
        <w:t xml:space="preserve">The authors intend to propose improvements to the draft guidance following the session of the TWM. </w:t>
      </w:r>
    </w:p>
    <w:p w:rsidR="00A16EC8" w:rsidRDefault="00A16EC8" w:rsidP="00A16EC8">
      <w:pPr>
        <w:contextualSpacing/>
        <w:rPr>
          <w:rFonts w:eastAsia="Calibri" w:cs="Arial"/>
          <w:lang w:val="en-GB"/>
        </w:rPr>
      </w:pPr>
    </w:p>
    <w:p w:rsidR="00A16EC8" w:rsidRDefault="00A16EC8" w:rsidP="00A16EC8">
      <w:pPr>
        <w:contextualSpacing/>
        <w:rPr>
          <w:rFonts w:eastAsia="Calibri" w:cs="Arial"/>
          <w:lang w:val="en-GB"/>
        </w:rPr>
      </w:pPr>
    </w:p>
    <w:p w:rsidR="00A16EC8" w:rsidRPr="00772327" w:rsidRDefault="00A16EC8" w:rsidP="00A16EC8">
      <w:pPr>
        <w:pStyle w:val="DecisionParagraphs"/>
        <w:rPr>
          <w:rFonts w:eastAsia="Calibri"/>
          <w:lang w:val="en-GB"/>
        </w:rPr>
      </w:pPr>
      <w:r w:rsidRPr="00772327">
        <w:rPr>
          <w:rFonts w:eastAsia="Calibri"/>
          <w:lang w:val="en-GB"/>
        </w:rPr>
        <w:t xml:space="preserve">The TWM </w:t>
      </w:r>
      <w:proofErr w:type="gramStart"/>
      <w:r w:rsidRPr="00772327">
        <w:rPr>
          <w:rFonts w:eastAsia="Calibri"/>
          <w:lang w:val="en-GB"/>
        </w:rPr>
        <w:t>is invited</w:t>
      </w:r>
      <w:proofErr w:type="gramEnd"/>
      <w:r w:rsidRPr="00772327">
        <w:rPr>
          <w:rFonts w:eastAsia="Calibri"/>
          <w:lang w:val="en-GB"/>
        </w:rPr>
        <w:t xml:space="preserve"> to note these developments.</w:t>
      </w:r>
    </w:p>
    <w:p w:rsidR="007B1BA8" w:rsidRDefault="007B1BA8" w:rsidP="00445B73">
      <w:pPr>
        <w:rPr>
          <w:rFonts w:cs="Arial"/>
          <w:lang w:val="en-GB"/>
        </w:rPr>
      </w:pPr>
    </w:p>
    <w:p w:rsidR="00A16EC8" w:rsidRDefault="00A16EC8" w:rsidP="00445B73">
      <w:pPr>
        <w:rPr>
          <w:rFonts w:cs="Arial"/>
          <w:lang w:val="en-GB"/>
        </w:rPr>
      </w:pPr>
    </w:p>
    <w:p w:rsidR="00A16EC8" w:rsidRDefault="00A16EC8" w:rsidP="00445B73">
      <w:pPr>
        <w:rPr>
          <w:rFonts w:cs="Arial"/>
          <w:lang w:val="en-GB"/>
        </w:rPr>
      </w:pPr>
    </w:p>
    <w:p w:rsidR="00A16EC8" w:rsidRPr="00A16EC8" w:rsidRDefault="00A16EC8" w:rsidP="00445B73">
      <w:pPr>
        <w:rPr>
          <w:rFonts w:cs="Arial"/>
          <w:lang w:val="en-GB"/>
        </w:rPr>
      </w:pPr>
    </w:p>
    <w:p w:rsidR="00B06F4E" w:rsidRDefault="00445B73" w:rsidP="00B06F4E">
      <w:pPr>
        <w:jc w:val="right"/>
        <w:rPr>
          <w:rFonts w:cs="Arial"/>
        </w:rPr>
      </w:pPr>
      <w:r w:rsidRPr="00B06F4E">
        <w:rPr>
          <w:rFonts w:cs="Arial"/>
        </w:rPr>
        <w:t>[</w:t>
      </w:r>
      <w:r w:rsidR="00B06F4E">
        <w:rPr>
          <w:rFonts w:cs="Arial"/>
        </w:rPr>
        <w:t>Annex II follows</w:t>
      </w:r>
      <w:r w:rsidRPr="00B06F4E">
        <w:rPr>
          <w:rFonts w:cs="Arial"/>
        </w:rPr>
        <w:t>]</w:t>
      </w:r>
      <w:r w:rsidR="00B06F4E" w:rsidRPr="00B06F4E">
        <w:rPr>
          <w:rFonts w:cs="Arial"/>
        </w:rPr>
        <w:t xml:space="preserve"> </w:t>
      </w:r>
    </w:p>
    <w:p w:rsidR="00B06F4E" w:rsidRDefault="00B06F4E" w:rsidP="00B06F4E">
      <w:pPr>
        <w:jc w:val="right"/>
        <w:rPr>
          <w:rFonts w:cs="Arial"/>
        </w:rPr>
        <w:sectPr w:rsidR="00B06F4E" w:rsidSect="0004198B">
          <w:headerReference w:type="default" r:id="rId10"/>
          <w:headerReference w:type="first" r:id="rId11"/>
          <w:pgSz w:w="11907" w:h="16840" w:code="9"/>
          <w:pgMar w:top="510" w:right="1134" w:bottom="1134" w:left="1134" w:header="510" w:footer="680" w:gutter="0"/>
          <w:pgNumType w:start="1"/>
          <w:cols w:space="720"/>
          <w:titlePg/>
        </w:sectPr>
      </w:pPr>
    </w:p>
    <w:p w:rsidR="00A16EC8" w:rsidRPr="00B06F4E" w:rsidRDefault="00A16EC8" w:rsidP="00A16EC8">
      <w:pPr>
        <w:jc w:val="right"/>
        <w:rPr>
          <w:rFonts w:cs="Arial"/>
        </w:rPr>
      </w:pPr>
    </w:p>
    <w:tbl>
      <w:tblPr>
        <w:tblW w:w="5000" w:type="pct"/>
        <w:tblLayout w:type="fixed"/>
        <w:tblCellMar>
          <w:left w:w="0" w:type="dxa"/>
          <w:right w:w="0" w:type="dxa"/>
        </w:tblCellMar>
        <w:tblLook w:val="0000" w:firstRow="0" w:lastRow="0" w:firstColumn="0" w:lastColumn="0" w:noHBand="0" w:noVBand="0"/>
      </w:tblPr>
      <w:tblGrid>
        <w:gridCol w:w="6522"/>
        <w:gridCol w:w="3117"/>
      </w:tblGrid>
      <w:tr w:rsidR="00A16EC8" w:rsidRPr="00815738" w:rsidTr="00B81F0A">
        <w:tc>
          <w:tcPr>
            <w:tcW w:w="6522" w:type="dxa"/>
          </w:tcPr>
          <w:p w:rsidR="00A16EC8" w:rsidRPr="00AC2883" w:rsidRDefault="00A16EC8" w:rsidP="00B81F0A">
            <w:r w:rsidRPr="00D250C5">
              <w:rPr>
                <w:noProof/>
              </w:rPr>
              <w:drawing>
                <wp:inline distT="0" distB="0" distL="0" distR="0" wp14:anchorId="4C1CD6CF" wp14:editId="0969946D">
                  <wp:extent cx="952031" cy="244054"/>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A16EC8" w:rsidRPr="007C1D92" w:rsidRDefault="00A16EC8" w:rsidP="00B81F0A">
            <w:pPr>
              <w:pStyle w:val="Lettrine"/>
            </w:pPr>
            <w:r w:rsidRPr="00172084">
              <w:t>E</w:t>
            </w:r>
          </w:p>
        </w:tc>
      </w:tr>
      <w:tr w:rsidR="00A16EC8" w:rsidRPr="00DA4973" w:rsidTr="00B81F0A">
        <w:trPr>
          <w:trHeight w:val="219"/>
        </w:trPr>
        <w:tc>
          <w:tcPr>
            <w:tcW w:w="6522" w:type="dxa"/>
          </w:tcPr>
          <w:p w:rsidR="00A16EC8" w:rsidRPr="00AC2883" w:rsidRDefault="00A16EC8" w:rsidP="00B81F0A">
            <w:pPr>
              <w:pStyle w:val="upove"/>
            </w:pPr>
            <w:r w:rsidRPr="00AC2883">
              <w:t>International Union for the Protection of New Varieties of Plants</w:t>
            </w:r>
          </w:p>
        </w:tc>
        <w:tc>
          <w:tcPr>
            <w:tcW w:w="3117" w:type="dxa"/>
          </w:tcPr>
          <w:p w:rsidR="00A16EC8" w:rsidRPr="00DA4973" w:rsidRDefault="00A16EC8" w:rsidP="00B81F0A"/>
        </w:tc>
      </w:tr>
    </w:tbl>
    <w:p w:rsidR="00A16EC8" w:rsidRDefault="00A16EC8" w:rsidP="00A16EC8"/>
    <w:p w:rsidR="00A16EC8" w:rsidRPr="00365DC1" w:rsidRDefault="00A16EC8" w:rsidP="00A16EC8"/>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A16EC8" w:rsidRPr="00C5280D" w:rsidTr="00B81F0A">
        <w:tc>
          <w:tcPr>
            <w:tcW w:w="6512" w:type="dxa"/>
          </w:tcPr>
          <w:p w:rsidR="00A16EC8" w:rsidRPr="00AC2883" w:rsidRDefault="00A16EC8" w:rsidP="00B81F0A">
            <w:pPr>
              <w:pStyle w:val="Sessiontc"/>
            </w:pPr>
            <w:r w:rsidRPr="00E70039">
              <w:t xml:space="preserve">Technical Working Party </w:t>
            </w:r>
            <w:r w:rsidRPr="00501F3C">
              <w:t xml:space="preserve">on </w:t>
            </w:r>
            <w:r w:rsidRPr="00D567BF">
              <w:t>Testing Methods and Techniques</w:t>
            </w:r>
          </w:p>
          <w:p w:rsidR="00A16EC8" w:rsidRPr="00DC3802" w:rsidRDefault="00A16EC8" w:rsidP="00B81F0A">
            <w:pPr>
              <w:pStyle w:val="Sessiontcplacedate"/>
              <w:rPr>
                <w:sz w:val="22"/>
              </w:rPr>
            </w:pPr>
            <w:r>
              <w:t>First</w:t>
            </w:r>
            <w:r w:rsidRPr="00501F3C">
              <w:t xml:space="preserve"> Session</w:t>
            </w:r>
            <w:r w:rsidRPr="00501F3C">
              <w:br/>
            </w:r>
            <w:r>
              <w:t>Virtual meeting, September 19 to 23, 2022</w:t>
            </w:r>
          </w:p>
        </w:tc>
        <w:tc>
          <w:tcPr>
            <w:tcW w:w="3127" w:type="dxa"/>
          </w:tcPr>
          <w:p w:rsidR="00A16EC8" w:rsidRPr="003C7FBE" w:rsidRDefault="00A16EC8" w:rsidP="00B81F0A">
            <w:pPr>
              <w:pStyle w:val="Doccode"/>
            </w:pPr>
            <w:r>
              <w:t>TWM/1</w:t>
            </w:r>
            <w:r w:rsidRPr="00AC2883">
              <w:t>/</w:t>
            </w:r>
            <w:r>
              <w:t>7</w:t>
            </w:r>
          </w:p>
          <w:p w:rsidR="00A16EC8" w:rsidRPr="003C7FBE" w:rsidRDefault="00A16EC8" w:rsidP="00B81F0A">
            <w:pPr>
              <w:pStyle w:val="Docoriginal"/>
            </w:pPr>
            <w:r w:rsidRPr="00AC2883">
              <w:t>Original:</w:t>
            </w:r>
            <w:r w:rsidRPr="000E636A">
              <w:rPr>
                <w:b w:val="0"/>
                <w:spacing w:val="0"/>
              </w:rPr>
              <w:t xml:space="preserve">  English</w:t>
            </w:r>
          </w:p>
          <w:p w:rsidR="00A16EC8" w:rsidRPr="007C1D92" w:rsidRDefault="00A16EC8" w:rsidP="00B81F0A">
            <w:pPr>
              <w:pStyle w:val="Docoriginal"/>
            </w:pPr>
            <w:r w:rsidRPr="00AC2883">
              <w:t>Date:</w:t>
            </w:r>
            <w:r w:rsidRPr="000E636A">
              <w:rPr>
                <w:b w:val="0"/>
                <w:spacing w:val="0"/>
              </w:rPr>
              <w:t xml:space="preserve">  </w:t>
            </w:r>
            <w:r w:rsidRPr="008F787E">
              <w:rPr>
                <w:b w:val="0"/>
                <w:spacing w:val="0"/>
              </w:rPr>
              <w:t>August 29, 2022</w:t>
            </w:r>
          </w:p>
        </w:tc>
      </w:tr>
    </w:tbl>
    <w:p w:rsidR="00A16EC8" w:rsidRPr="006A644A" w:rsidRDefault="00A16EC8" w:rsidP="00A16EC8">
      <w:pPr>
        <w:pStyle w:val="Titleofdoc0"/>
      </w:pPr>
      <w:bookmarkStart w:id="13" w:name="TitleOfDoc"/>
      <w:bookmarkEnd w:id="13"/>
      <w:r w:rsidRPr="005C5F76">
        <w:rPr>
          <w:lang w:val="en-GB"/>
        </w:rPr>
        <w:t>Combined-over-year uniformity (COYU) criterion: Extrapolation</w:t>
      </w:r>
    </w:p>
    <w:p w:rsidR="00A16EC8" w:rsidRPr="006A644A" w:rsidRDefault="00A16EC8" w:rsidP="00A16EC8">
      <w:pPr>
        <w:pStyle w:val="preparedby1"/>
        <w:jc w:val="left"/>
      </w:pPr>
      <w:bookmarkStart w:id="14" w:name="Prepared"/>
      <w:bookmarkEnd w:id="14"/>
      <w:r w:rsidRPr="000C4E25">
        <w:t xml:space="preserve">Document prepared </w:t>
      </w:r>
      <w:r>
        <w:t>by experts from the United Kingdom</w:t>
      </w:r>
    </w:p>
    <w:p w:rsidR="00A16EC8" w:rsidRPr="006A644A" w:rsidRDefault="00A16EC8" w:rsidP="00A16EC8">
      <w:pPr>
        <w:pStyle w:val="Disclaimer"/>
      </w:pPr>
      <w:r w:rsidRPr="006A644A">
        <w:t>Disclaimer:  this document does not represent UPOV policies or guidance</w:t>
      </w:r>
    </w:p>
    <w:p w:rsidR="00A16EC8" w:rsidRPr="005C5F76" w:rsidRDefault="00A16EC8" w:rsidP="00A16EC8">
      <w:pPr>
        <w:pStyle w:val="Heading1"/>
        <w:rPr>
          <w:lang w:val="en-GB"/>
        </w:rPr>
      </w:pPr>
      <w:r w:rsidRPr="005C5F76">
        <w:rPr>
          <w:lang w:val="en-GB"/>
        </w:rPr>
        <w:t>Introduction</w:t>
      </w:r>
    </w:p>
    <w:p w:rsidR="00A16EC8" w:rsidRPr="005C5F76" w:rsidRDefault="00A16EC8" w:rsidP="00A16EC8">
      <w:pPr>
        <w:rPr>
          <w:rFonts w:eastAsia="Calibri"/>
          <w:lang w:val="en-GB"/>
        </w:rPr>
      </w:pPr>
    </w:p>
    <w:p w:rsidR="00A16EC8" w:rsidRPr="005C5F76" w:rsidRDefault="00A16EC8" w:rsidP="00A16EC8">
      <w:pPr>
        <w:numPr>
          <w:ilvl w:val="0"/>
          <w:numId w:val="2"/>
        </w:numPr>
        <w:contextualSpacing/>
        <w:rPr>
          <w:rFonts w:eastAsia="Calibri" w:cs="Arial"/>
          <w:lang w:val="en-GB"/>
        </w:rPr>
      </w:pPr>
      <w:r w:rsidRPr="005C5F76">
        <w:rPr>
          <w:rFonts w:eastAsia="Calibri" w:cs="Arial"/>
          <w:lang w:val="en-GB"/>
        </w:rPr>
        <w:t xml:space="preserve">This document describes the issue of extrapolation in relation to COYU. It makes proposals about how this issue </w:t>
      </w:r>
      <w:proofErr w:type="gramStart"/>
      <w:r w:rsidRPr="005C5F76">
        <w:rPr>
          <w:rFonts w:eastAsia="Calibri" w:cs="Arial"/>
          <w:lang w:val="en-GB"/>
        </w:rPr>
        <w:t>can be managed</w:t>
      </w:r>
      <w:proofErr w:type="gramEnd"/>
      <w:r w:rsidRPr="005C5F76">
        <w:rPr>
          <w:rFonts w:eastAsia="Calibri" w:cs="Arial"/>
          <w:lang w:val="en-GB"/>
        </w:rPr>
        <w:t>.  These proposals are open for discussion by experts.</w:t>
      </w:r>
    </w:p>
    <w:p w:rsidR="00A16EC8" w:rsidRPr="005C5F76" w:rsidRDefault="00A16EC8" w:rsidP="00A16EC8">
      <w:pPr>
        <w:rPr>
          <w:rFonts w:eastAsia="Calibri" w:cs="Arial"/>
          <w:lang w:val="en-GB"/>
        </w:rPr>
      </w:pPr>
    </w:p>
    <w:p w:rsidR="00A16EC8" w:rsidRPr="005C5F76" w:rsidRDefault="00A16EC8" w:rsidP="00A16EC8">
      <w:pPr>
        <w:numPr>
          <w:ilvl w:val="0"/>
          <w:numId w:val="2"/>
        </w:numPr>
        <w:contextualSpacing/>
        <w:rPr>
          <w:rFonts w:eastAsia="Calibri" w:cs="Arial"/>
          <w:lang w:val="en-GB"/>
        </w:rPr>
      </w:pPr>
      <w:r w:rsidRPr="005C5F76">
        <w:rPr>
          <w:rFonts w:eastAsia="Calibri" w:cs="Arial"/>
          <w:lang w:val="en-GB"/>
        </w:rPr>
        <w:t xml:space="preserve">In UPOV document TWC/31/15 corr., the issue of extrapolation </w:t>
      </w:r>
      <w:proofErr w:type="gramStart"/>
      <w:r w:rsidRPr="005C5F76">
        <w:rPr>
          <w:rFonts w:eastAsia="Calibri" w:cs="Arial"/>
          <w:lang w:val="en-GB"/>
        </w:rPr>
        <w:t>was raised</w:t>
      </w:r>
      <w:proofErr w:type="gramEnd"/>
      <w:r w:rsidRPr="005C5F76">
        <w:rPr>
          <w:rFonts w:eastAsia="Calibri" w:cs="Arial"/>
          <w:lang w:val="en-GB"/>
        </w:rPr>
        <w:t xml:space="preserve"> in connection with COYU. This issue is relevant to both old and improved methods of COYU, but </w:t>
      </w:r>
      <w:proofErr w:type="gramStart"/>
      <w:r w:rsidRPr="005C5F76">
        <w:rPr>
          <w:rFonts w:eastAsia="Calibri" w:cs="Arial"/>
          <w:lang w:val="en-GB"/>
        </w:rPr>
        <w:t>was only identified</w:t>
      </w:r>
      <w:proofErr w:type="gramEnd"/>
      <w:r w:rsidRPr="005C5F76">
        <w:rPr>
          <w:rFonts w:eastAsia="Calibri" w:cs="Arial"/>
          <w:lang w:val="en-GB"/>
        </w:rPr>
        <w:t xml:space="preserve"> during the development of the improved method.</w:t>
      </w:r>
    </w:p>
    <w:p w:rsidR="00A16EC8" w:rsidRPr="005C5F76" w:rsidRDefault="00A16EC8" w:rsidP="00A16EC8">
      <w:pPr>
        <w:rPr>
          <w:rFonts w:eastAsia="Calibri" w:cs="Arial"/>
          <w:lang w:val="en-GB"/>
        </w:rPr>
      </w:pPr>
    </w:p>
    <w:p w:rsidR="00A16EC8" w:rsidRPr="005C5F76" w:rsidRDefault="00A16EC8" w:rsidP="00A16EC8">
      <w:pPr>
        <w:numPr>
          <w:ilvl w:val="0"/>
          <w:numId w:val="2"/>
        </w:numPr>
        <w:contextualSpacing/>
        <w:rPr>
          <w:rFonts w:eastAsia="Calibri" w:cs="Arial"/>
          <w:lang w:val="en-GB"/>
        </w:rPr>
      </w:pPr>
      <w:r w:rsidRPr="005C5F76">
        <w:rPr>
          <w:rFonts w:eastAsia="Calibri" w:cs="Arial"/>
          <w:lang w:val="en-GB"/>
        </w:rPr>
        <w:t xml:space="preserve">In the context of COYU, </w:t>
      </w:r>
      <w:proofErr w:type="gramStart"/>
      <w:r w:rsidRPr="005C5F76">
        <w:rPr>
          <w:rFonts w:eastAsia="Calibri" w:cs="Arial"/>
          <w:lang w:val="en-GB"/>
        </w:rPr>
        <w:t>extrapolation</w:t>
      </w:r>
      <w:proofErr w:type="gramEnd"/>
      <w:r w:rsidRPr="005C5F76">
        <w:rPr>
          <w:rFonts w:eastAsia="Calibri" w:cs="Arial"/>
          <w:lang w:val="en-GB"/>
        </w:rPr>
        <w:t xml:space="preserve"> is </w:t>
      </w:r>
      <w:proofErr w:type="gramStart"/>
      <w:r w:rsidRPr="005C5F76">
        <w:rPr>
          <w:rFonts w:eastAsia="Calibri" w:cs="Arial"/>
          <w:lang w:val="en-GB"/>
        </w:rPr>
        <w:t>where</w:t>
      </w:r>
      <w:proofErr w:type="gramEnd"/>
      <w:r w:rsidRPr="005C5F76">
        <w:rPr>
          <w:rFonts w:eastAsia="Calibri" w:cs="Arial"/>
          <w:lang w:val="en-GB"/>
        </w:rPr>
        <w:t xml:space="preserve"> a candidate variety has a mean score outside the range of scores expressed by the reference varieties in a particular year. Figure 1 shows an example.</w:t>
      </w:r>
    </w:p>
    <w:p w:rsidR="00A16EC8" w:rsidRPr="005C5F76" w:rsidRDefault="00A16EC8" w:rsidP="00A16EC8">
      <w:pPr>
        <w:rPr>
          <w:rFonts w:eastAsia="Calibri"/>
          <w:lang w:val="en-GB"/>
        </w:rPr>
      </w:pPr>
    </w:p>
    <w:p w:rsidR="00A16EC8" w:rsidRPr="005C5F76" w:rsidRDefault="00A16EC8" w:rsidP="00A16EC8">
      <w:pPr>
        <w:ind w:left="720"/>
        <w:contextualSpacing/>
        <w:jc w:val="left"/>
        <w:rPr>
          <w:rFonts w:ascii="Calibri" w:eastAsia="Calibri" w:hAnsi="Calibri"/>
          <w:sz w:val="22"/>
          <w:szCs w:val="22"/>
          <w:lang w:val="en-GB"/>
        </w:rPr>
      </w:pPr>
      <w:r w:rsidRPr="005C5F76">
        <w:rPr>
          <w:rFonts w:ascii="Calibri" w:eastAsia="Calibri" w:hAnsi="Calibri"/>
          <w:noProof/>
          <w:sz w:val="22"/>
          <w:szCs w:val="22"/>
        </w:rPr>
        <w:drawing>
          <wp:inline distT="0" distB="0" distL="0" distR="0" wp14:anchorId="326FC92E" wp14:editId="0585AA4E">
            <wp:extent cx="2895012" cy="281381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fig1.wmf"/>
                    <pic:cNvPicPr/>
                  </pic:nvPicPr>
                  <pic:blipFill rotWithShape="1">
                    <a:blip r:embed="rId12">
                      <a:extLst>
                        <a:ext uri="{28A0092B-C50C-407E-A947-70E740481C1C}">
                          <a14:useLocalDpi xmlns:a14="http://schemas.microsoft.com/office/drawing/2010/main" val="0"/>
                        </a:ext>
                      </a:extLst>
                    </a:blip>
                    <a:srcRect r="31628" b="33545"/>
                    <a:stretch/>
                  </pic:blipFill>
                  <pic:spPr bwMode="auto">
                    <a:xfrm>
                      <a:off x="0" y="0"/>
                      <a:ext cx="2897117" cy="2815855"/>
                    </a:xfrm>
                    <a:prstGeom prst="rect">
                      <a:avLst/>
                    </a:prstGeom>
                    <a:ln>
                      <a:noFill/>
                    </a:ln>
                    <a:extLst>
                      <a:ext uri="{53640926-AAD7-44D8-BBD7-CCE9431645EC}">
                        <a14:shadowObscured xmlns:a14="http://schemas.microsoft.com/office/drawing/2010/main"/>
                      </a:ext>
                    </a:extLst>
                  </pic:spPr>
                </pic:pic>
              </a:graphicData>
            </a:graphic>
          </wp:inline>
        </w:drawing>
      </w:r>
    </w:p>
    <w:p w:rsidR="00A16EC8" w:rsidRPr="005C5F76" w:rsidRDefault="00A16EC8" w:rsidP="00A16EC8">
      <w:pPr>
        <w:rPr>
          <w:rFonts w:eastAsia="Calibri" w:cs="Arial"/>
          <w:i/>
          <w:sz w:val="18"/>
          <w:lang w:val="en-GB"/>
        </w:rPr>
      </w:pPr>
      <w:r w:rsidRPr="005C5F76">
        <w:rPr>
          <w:rFonts w:eastAsia="Calibri" w:cs="Arial"/>
          <w:b/>
          <w:i/>
          <w:sz w:val="18"/>
          <w:lang w:val="en-GB"/>
        </w:rPr>
        <w:t>Figure 1:</w:t>
      </w:r>
      <w:r w:rsidRPr="005C5F76">
        <w:rPr>
          <w:rFonts w:eastAsia="Calibri" w:cs="Arial"/>
          <w:i/>
          <w:sz w:val="18"/>
          <w:lang w:val="en-GB"/>
        </w:rPr>
        <w:t xml:space="preserve"> </w:t>
      </w:r>
      <w:r>
        <w:rPr>
          <w:rFonts w:eastAsia="Calibri" w:cs="Arial"/>
          <w:i/>
          <w:sz w:val="18"/>
          <w:lang w:val="en-GB"/>
        </w:rPr>
        <w:t>E</w:t>
      </w:r>
      <w:r w:rsidRPr="005C5F76">
        <w:rPr>
          <w:rFonts w:eastAsia="Calibri" w:cs="Arial"/>
          <w:i/>
          <w:sz w:val="18"/>
          <w:lang w:val="en-GB"/>
        </w:rPr>
        <w:t xml:space="preserve">xample of extrapolation. For a single year/cycle, a measure of variability (log of the standard deviation of within-plot scores) </w:t>
      </w:r>
      <w:proofErr w:type="gramStart"/>
      <w:r w:rsidRPr="005C5F76">
        <w:rPr>
          <w:rFonts w:eastAsia="Calibri" w:cs="Arial"/>
          <w:i/>
          <w:sz w:val="18"/>
          <w:lang w:val="en-GB"/>
        </w:rPr>
        <w:t>is plotted</w:t>
      </w:r>
      <w:proofErr w:type="gramEnd"/>
      <w:r w:rsidRPr="005C5F76">
        <w:rPr>
          <w:rFonts w:eastAsia="Calibri" w:cs="Arial"/>
          <w:i/>
          <w:sz w:val="18"/>
          <w:lang w:val="en-GB"/>
        </w:rPr>
        <w:t xml:space="preserve"> against the mean score (read document TGP/8 for more details on COYU). The reference varieties are represented by ‘x’ and the candidate by ‘c’. The candidate has a larger mean </w:t>
      </w:r>
      <w:proofErr w:type="gramStart"/>
      <w:r w:rsidRPr="005C5F76">
        <w:rPr>
          <w:rFonts w:eastAsia="Calibri" w:cs="Arial"/>
          <w:i/>
          <w:sz w:val="18"/>
          <w:lang w:val="en-GB"/>
        </w:rPr>
        <w:t>than any of the reference varieties</w:t>
      </w:r>
      <w:proofErr w:type="gramEnd"/>
      <w:r w:rsidRPr="005C5F76">
        <w:rPr>
          <w:rFonts w:eastAsia="Calibri" w:cs="Arial"/>
          <w:i/>
          <w:sz w:val="18"/>
          <w:lang w:val="en-GB"/>
        </w:rPr>
        <w:t xml:space="preserve">. Whilst a trend </w:t>
      </w:r>
      <w:proofErr w:type="gramStart"/>
      <w:r w:rsidRPr="005C5F76">
        <w:rPr>
          <w:rFonts w:eastAsia="Calibri" w:cs="Arial"/>
          <w:i/>
          <w:sz w:val="18"/>
          <w:lang w:val="en-GB"/>
        </w:rPr>
        <w:t>can be seen</w:t>
      </w:r>
      <w:proofErr w:type="gramEnd"/>
      <w:r w:rsidRPr="005C5F76">
        <w:rPr>
          <w:rFonts w:eastAsia="Calibri" w:cs="Arial"/>
          <w:i/>
          <w:sz w:val="18"/>
          <w:lang w:val="en-GB"/>
        </w:rPr>
        <w:t xml:space="preserve"> in the reference varieties, can we extend this out to the candidate?</w:t>
      </w:r>
    </w:p>
    <w:p w:rsidR="00A16EC8" w:rsidRPr="005C5F76" w:rsidRDefault="00A16EC8" w:rsidP="00A16EC8">
      <w:pPr>
        <w:rPr>
          <w:rFonts w:eastAsia="Calibri"/>
          <w:lang w:val="en-GB"/>
        </w:rPr>
      </w:pPr>
    </w:p>
    <w:p w:rsidR="00A16EC8" w:rsidRPr="005C5F76" w:rsidRDefault="00A16EC8" w:rsidP="00A16EC8">
      <w:pPr>
        <w:rPr>
          <w:rFonts w:eastAsia="Calibri"/>
          <w:lang w:val="en-GB"/>
        </w:rPr>
      </w:pPr>
    </w:p>
    <w:p w:rsidR="00A16EC8" w:rsidRPr="005C5F76" w:rsidRDefault="00A16EC8" w:rsidP="00A16EC8">
      <w:pPr>
        <w:keepNext/>
        <w:numPr>
          <w:ilvl w:val="0"/>
          <w:numId w:val="2"/>
        </w:numPr>
        <w:contextualSpacing/>
        <w:jc w:val="left"/>
        <w:rPr>
          <w:rFonts w:eastAsia="Calibri" w:cs="Arial"/>
          <w:lang w:val="en-GB"/>
        </w:rPr>
      </w:pPr>
      <w:r w:rsidRPr="005C5F76">
        <w:rPr>
          <w:rFonts w:eastAsia="Calibri" w:cs="Arial"/>
          <w:lang w:val="en-GB"/>
        </w:rPr>
        <w:t>Extrapolation is a problem both in principle and technically. The General Introduction to the Examination of Distinctness, Uniformity and Stability and the Development of Harmonized Descriptions of New Varieties of Plants (TG/1/3) says in relation to uniformity:</w:t>
      </w:r>
    </w:p>
    <w:p w:rsidR="00A16EC8" w:rsidRPr="005C5F76" w:rsidRDefault="00A16EC8" w:rsidP="00A16EC8">
      <w:pPr>
        <w:keepNext/>
        <w:rPr>
          <w:rFonts w:eastAsia="Calibri"/>
          <w:lang w:val="en-GB"/>
        </w:rPr>
      </w:pPr>
    </w:p>
    <w:p w:rsidR="00A16EC8" w:rsidRPr="005C5F76" w:rsidRDefault="00A16EC8" w:rsidP="00A16EC8">
      <w:pPr>
        <w:keepNext/>
        <w:ind w:left="720"/>
        <w:rPr>
          <w:rFonts w:eastAsia="Calibri" w:cs="Arial"/>
          <w:i/>
          <w:lang w:val="en-GB"/>
        </w:rPr>
      </w:pPr>
      <w:r w:rsidRPr="005C5F76">
        <w:rPr>
          <w:rFonts w:eastAsia="Calibri" w:cs="Arial"/>
          <w:i/>
          <w:lang w:val="en-GB"/>
        </w:rPr>
        <w:t>“6.4.2.2.1 For measured characteristics, the acceptable level of variation for the variety should not significantly exceed the level of variation found in comparable varieties</w:t>
      </w:r>
      <w:r w:rsidRPr="005C5F76">
        <w:rPr>
          <w:rFonts w:eastAsia="Calibri" w:cs="Arial"/>
          <w:i/>
          <w:vertAlign w:val="superscript"/>
          <w:lang w:val="en-GB"/>
        </w:rPr>
        <w:footnoteReference w:id="9"/>
      </w:r>
      <w:r w:rsidRPr="005C5F76">
        <w:rPr>
          <w:rFonts w:eastAsia="Calibri" w:cs="Arial"/>
          <w:i/>
          <w:lang w:val="en-GB"/>
        </w:rPr>
        <w:t xml:space="preserve"> already known.”</w:t>
      </w:r>
    </w:p>
    <w:p w:rsidR="00A16EC8" w:rsidRPr="005C5F76" w:rsidRDefault="00A16EC8" w:rsidP="00A16EC8">
      <w:pPr>
        <w:rPr>
          <w:rFonts w:eastAsia="Calibri"/>
          <w:lang w:val="en-GB"/>
        </w:rPr>
      </w:pPr>
    </w:p>
    <w:p w:rsidR="00A16EC8" w:rsidRPr="005C5F76" w:rsidRDefault="00A16EC8" w:rsidP="00A16EC8">
      <w:pPr>
        <w:rPr>
          <w:rFonts w:eastAsia="Calibri"/>
          <w:lang w:val="en-GB"/>
        </w:rPr>
      </w:pPr>
      <w:r w:rsidRPr="005C5F76">
        <w:rPr>
          <w:rFonts w:eastAsia="Calibri"/>
          <w:lang w:val="en-GB"/>
        </w:rPr>
        <w:t xml:space="preserve">If the level of expression of the candidate variety is very different from the set of “comparable” varieties, it </w:t>
      </w:r>
      <w:proofErr w:type="gramStart"/>
      <w:r w:rsidRPr="005C5F76">
        <w:rPr>
          <w:rFonts w:eastAsia="Calibri"/>
          <w:lang w:val="en-GB"/>
        </w:rPr>
        <w:t>might be questioned</w:t>
      </w:r>
      <w:proofErr w:type="gramEnd"/>
      <w:r w:rsidRPr="005C5F76">
        <w:rPr>
          <w:rFonts w:eastAsia="Calibri"/>
          <w:lang w:val="en-GB"/>
        </w:rPr>
        <w:t xml:space="preserve"> whether these varieties are actually comparable. </w:t>
      </w:r>
    </w:p>
    <w:p w:rsidR="00A16EC8" w:rsidRPr="005C5F76" w:rsidRDefault="00A16EC8" w:rsidP="00A16EC8">
      <w:pPr>
        <w:rPr>
          <w:rFonts w:eastAsia="Calibri"/>
          <w:lang w:val="en-GB"/>
        </w:rPr>
      </w:pPr>
    </w:p>
    <w:p w:rsidR="00A16EC8" w:rsidRPr="005C5F76" w:rsidRDefault="00A16EC8" w:rsidP="00A16EC8">
      <w:pPr>
        <w:numPr>
          <w:ilvl w:val="0"/>
          <w:numId w:val="2"/>
        </w:numPr>
        <w:contextualSpacing/>
        <w:rPr>
          <w:rFonts w:eastAsia="Calibri" w:cs="Arial"/>
          <w:lang w:val="en-GB"/>
        </w:rPr>
      </w:pPr>
      <w:r w:rsidRPr="005C5F76">
        <w:rPr>
          <w:rFonts w:eastAsia="Calibri" w:cs="Arial"/>
          <w:lang w:val="en-GB"/>
        </w:rPr>
        <w:t xml:space="preserve">Extrapolation is particularly important as in COYU we adjust for the relationship between variability between plants and the mean. Such as relationship occurs in many characteristics. Within the range of the reference varieties, the relationship </w:t>
      </w:r>
      <w:proofErr w:type="gramStart"/>
      <w:r w:rsidRPr="005C5F76">
        <w:rPr>
          <w:rFonts w:eastAsia="Calibri" w:cs="Arial"/>
          <w:lang w:val="en-GB"/>
        </w:rPr>
        <w:t>can be based</w:t>
      </w:r>
      <w:proofErr w:type="gramEnd"/>
      <w:r w:rsidRPr="005C5F76">
        <w:rPr>
          <w:rFonts w:eastAsia="Calibri" w:cs="Arial"/>
          <w:lang w:val="en-GB"/>
        </w:rPr>
        <w:t xml:space="preserve"> on the evidence provided by these varieties. Outside the range, the relationship is speculative. Indeed, the old and new methods of COYU give substantially different “guesses” as to the relationship (see below).</w:t>
      </w:r>
    </w:p>
    <w:p w:rsidR="00A16EC8" w:rsidRPr="005C5F76" w:rsidRDefault="00A16EC8" w:rsidP="00A16EC8">
      <w:pPr>
        <w:rPr>
          <w:rFonts w:eastAsia="Calibri" w:cs="Arial"/>
          <w:lang w:val="en-GB"/>
        </w:rPr>
      </w:pPr>
    </w:p>
    <w:p w:rsidR="00A16EC8" w:rsidRPr="005C5F76" w:rsidRDefault="00A16EC8" w:rsidP="00A16EC8">
      <w:pPr>
        <w:numPr>
          <w:ilvl w:val="0"/>
          <w:numId w:val="2"/>
        </w:numPr>
        <w:contextualSpacing/>
        <w:rPr>
          <w:rFonts w:eastAsia="Calibri" w:cs="Arial"/>
          <w:lang w:val="en-GB"/>
        </w:rPr>
      </w:pPr>
      <w:r w:rsidRPr="005C5F76">
        <w:rPr>
          <w:rFonts w:eastAsia="Calibri" w:cs="Arial"/>
          <w:lang w:val="en-GB"/>
        </w:rPr>
        <w:t xml:space="preserve">Previously, cases of extrapolation </w:t>
      </w:r>
      <w:proofErr w:type="gramStart"/>
      <w:r w:rsidRPr="005C5F76">
        <w:rPr>
          <w:rFonts w:eastAsia="Calibri" w:cs="Arial"/>
          <w:lang w:val="en-GB"/>
        </w:rPr>
        <w:t>were not routinely flagged</w:t>
      </w:r>
      <w:proofErr w:type="gramEnd"/>
      <w:r w:rsidRPr="005C5F76">
        <w:rPr>
          <w:rFonts w:eastAsia="Calibri" w:cs="Arial"/>
          <w:lang w:val="en-GB"/>
        </w:rPr>
        <w:t xml:space="preserve">.  For the new method, we have suggested that cases of extrapolation </w:t>
      </w:r>
      <w:proofErr w:type="gramStart"/>
      <w:r w:rsidRPr="005C5F76">
        <w:rPr>
          <w:rFonts w:eastAsia="Calibri" w:cs="Arial"/>
          <w:lang w:val="en-GB"/>
        </w:rPr>
        <w:t>should be flagged and given special attention by DUS experts</w:t>
      </w:r>
      <w:proofErr w:type="gramEnd"/>
      <w:r w:rsidRPr="005C5F76">
        <w:rPr>
          <w:rFonts w:eastAsia="Calibri" w:cs="Arial"/>
          <w:lang w:val="en-GB"/>
        </w:rPr>
        <w:t xml:space="preserve">. In such cases, the verdicts indicated by COYU, old or new, </w:t>
      </w:r>
      <w:proofErr w:type="gramStart"/>
      <w:r w:rsidRPr="005C5F76">
        <w:rPr>
          <w:rFonts w:eastAsia="Calibri" w:cs="Arial"/>
          <w:lang w:val="en-GB"/>
        </w:rPr>
        <w:t>should not be automatically accepted</w:t>
      </w:r>
      <w:proofErr w:type="gramEnd"/>
      <w:r w:rsidRPr="005C5F76">
        <w:rPr>
          <w:rFonts w:eastAsia="Calibri" w:cs="Arial"/>
          <w:lang w:val="en-GB"/>
        </w:rPr>
        <w:t>.  Indeed, decisions for the two methods may be quite different from each other when there is extrapolation.</w:t>
      </w:r>
    </w:p>
    <w:p w:rsidR="00A16EC8" w:rsidRPr="005C5F76" w:rsidRDefault="00A16EC8" w:rsidP="00A16EC8">
      <w:pPr>
        <w:rPr>
          <w:rFonts w:eastAsia="Calibri"/>
          <w:lang w:val="en-GB"/>
        </w:rPr>
      </w:pPr>
    </w:p>
    <w:p w:rsidR="00A16EC8" w:rsidRPr="005C5F76" w:rsidRDefault="00A16EC8" w:rsidP="00A16EC8">
      <w:pPr>
        <w:rPr>
          <w:rFonts w:eastAsia="Calibri"/>
          <w:lang w:val="en-GB"/>
        </w:rPr>
      </w:pPr>
    </w:p>
    <w:p w:rsidR="00A16EC8" w:rsidRPr="005C5F76" w:rsidRDefault="00A16EC8" w:rsidP="00A16EC8">
      <w:pPr>
        <w:pStyle w:val="Heading1"/>
        <w:rPr>
          <w:lang w:val="en-GB"/>
        </w:rPr>
      </w:pPr>
      <w:r w:rsidRPr="005C5F76">
        <w:rPr>
          <w:lang w:val="en-GB"/>
        </w:rPr>
        <w:t>How new and old COYU methods perform with extrapolation</w:t>
      </w:r>
    </w:p>
    <w:p w:rsidR="00A16EC8" w:rsidRPr="005C5F76" w:rsidRDefault="00A16EC8" w:rsidP="00A16EC8">
      <w:pPr>
        <w:rPr>
          <w:rFonts w:eastAsia="Calibri"/>
          <w:lang w:val="en-GB"/>
        </w:rPr>
      </w:pPr>
    </w:p>
    <w:p w:rsidR="00A16EC8" w:rsidRPr="005C5F76" w:rsidRDefault="00A16EC8" w:rsidP="00A16EC8">
      <w:pPr>
        <w:numPr>
          <w:ilvl w:val="0"/>
          <w:numId w:val="2"/>
        </w:numPr>
        <w:contextualSpacing/>
        <w:rPr>
          <w:rFonts w:eastAsia="Calibri" w:cs="Arial"/>
          <w:lang w:val="en-GB"/>
        </w:rPr>
      </w:pPr>
      <w:r w:rsidRPr="005C5F76">
        <w:rPr>
          <w:rFonts w:eastAsia="Calibri" w:cs="Arial"/>
          <w:lang w:val="en-GB"/>
        </w:rPr>
        <w:t xml:space="preserve">The old and new COYU methods differ in the statistical model used to relate variability to the mean scores. The old method uses moving averages, and the new method uses splines. </w:t>
      </w:r>
    </w:p>
    <w:p w:rsidR="00A16EC8" w:rsidRPr="005C5F76" w:rsidRDefault="00A16EC8" w:rsidP="00A16EC8">
      <w:pPr>
        <w:ind w:left="360"/>
        <w:contextualSpacing/>
        <w:rPr>
          <w:rFonts w:eastAsia="Calibri" w:cs="Arial"/>
          <w:lang w:val="en-GB"/>
        </w:rPr>
      </w:pPr>
    </w:p>
    <w:p w:rsidR="00A16EC8" w:rsidRPr="005C5F76" w:rsidRDefault="00A16EC8" w:rsidP="00A16EC8">
      <w:pPr>
        <w:numPr>
          <w:ilvl w:val="0"/>
          <w:numId w:val="2"/>
        </w:numPr>
        <w:contextualSpacing/>
        <w:rPr>
          <w:rFonts w:eastAsia="Calibri" w:cs="Arial"/>
          <w:lang w:val="en-GB"/>
        </w:rPr>
      </w:pPr>
      <w:r w:rsidRPr="005C5F76">
        <w:rPr>
          <w:rFonts w:eastAsia="Calibri" w:cs="Arial"/>
          <w:lang w:val="en-GB"/>
        </w:rPr>
        <w:t>This has the following repercussions when there is a case of extrapolation:</w:t>
      </w:r>
    </w:p>
    <w:p w:rsidR="00A16EC8" w:rsidRPr="005C5F76" w:rsidRDefault="00A16EC8" w:rsidP="00A16EC8">
      <w:pPr>
        <w:numPr>
          <w:ilvl w:val="1"/>
          <w:numId w:val="2"/>
        </w:numPr>
        <w:contextualSpacing/>
        <w:rPr>
          <w:rFonts w:eastAsia="Calibri" w:cs="Arial"/>
          <w:lang w:val="en-GB"/>
        </w:rPr>
      </w:pPr>
      <w:r w:rsidRPr="005C5F76">
        <w:rPr>
          <w:rFonts w:eastAsia="Calibri" w:cs="Arial"/>
          <w:lang w:val="en-GB"/>
        </w:rPr>
        <w:t xml:space="preserve">Outside the range of the reference varieties, the line is horizontal for moving averages (following the trend of the outer varieties), and linear but not necessarily horizontal for splines. This </w:t>
      </w:r>
      <w:proofErr w:type="gramStart"/>
      <w:r w:rsidRPr="005C5F76">
        <w:rPr>
          <w:rFonts w:eastAsia="Calibri" w:cs="Arial"/>
          <w:lang w:val="en-GB"/>
        </w:rPr>
        <w:t>is illustrated</w:t>
      </w:r>
      <w:proofErr w:type="gramEnd"/>
      <w:r w:rsidRPr="005C5F76">
        <w:rPr>
          <w:rFonts w:eastAsia="Calibri" w:cs="Arial"/>
          <w:lang w:val="en-GB"/>
        </w:rPr>
        <w:t xml:space="preserve"> in Figure 2.</w:t>
      </w:r>
    </w:p>
    <w:p w:rsidR="00A16EC8" w:rsidRPr="005C5F76" w:rsidRDefault="00A16EC8" w:rsidP="00A16EC8">
      <w:pPr>
        <w:numPr>
          <w:ilvl w:val="1"/>
          <w:numId w:val="2"/>
        </w:numPr>
        <w:contextualSpacing/>
        <w:rPr>
          <w:rFonts w:eastAsia="Calibri" w:cs="Arial"/>
          <w:lang w:val="en-GB"/>
        </w:rPr>
      </w:pPr>
      <w:r w:rsidRPr="005C5F76">
        <w:rPr>
          <w:rFonts w:eastAsia="Calibri" w:cs="Arial"/>
          <w:lang w:val="en-GB"/>
        </w:rPr>
        <w:t xml:space="preserve">Relative to the fitted line, the uncertainty used to produce the COYU threshold is undetermined, and presumed constant for COYU with moving averages outside the range of the reference varieties, but increases using the new COYU the further away from the reference varieties. This </w:t>
      </w:r>
      <w:proofErr w:type="gramStart"/>
      <w:r w:rsidRPr="005C5F76">
        <w:rPr>
          <w:rFonts w:eastAsia="Calibri" w:cs="Arial"/>
          <w:lang w:val="en-GB"/>
        </w:rPr>
        <w:t>is illustrated</w:t>
      </w:r>
      <w:proofErr w:type="gramEnd"/>
      <w:r w:rsidRPr="005C5F76">
        <w:rPr>
          <w:rFonts w:eastAsia="Calibri" w:cs="Arial"/>
          <w:lang w:val="en-GB"/>
        </w:rPr>
        <w:t xml:space="preserve"> in Figure 3.</w:t>
      </w:r>
    </w:p>
    <w:p w:rsidR="00A16EC8" w:rsidRPr="005C5F76" w:rsidRDefault="00A16EC8" w:rsidP="00A16EC8">
      <w:pPr>
        <w:rPr>
          <w:rFonts w:eastAsia="Calibri"/>
          <w:lang w:val="en-GB"/>
        </w:rPr>
      </w:pPr>
    </w:p>
    <w:p w:rsidR="00A16EC8" w:rsidRPr="005C5F76" w:rsidRDefault="00A16EC8" w:rsidP="00A16EC8">
      <w:pPr>
        <w:rPr>
          <w:rFonts w:ascii="Calibri" w:eastAsia="Calibri" w:hAnsi="Calibri"/>
          <w:sz w:val="22"/>
          <w:szCs w:val="22"/>
          <w:highlight w:val="yellow"/>
          <w:lang w:val="en-GB"/>
        </w:rPr>
      </w:pPr>
      <w:r w:rsidRPr="005C5F76">
        <w:rPr>
          <w:rFonts w:ascii="Calibri" w:eastAsia="Calibri" w:hAnsi="Calibri"/>
          <w:noProof/>
          <w:sz w:val="22"/>
          <w:szCs w:val="22"/>
        </w:rPr>
        <w:drawing>
          <wp:inline distT="0" distB="0" distL="0" distR="0" wp14:anchorId="73E31579" wp14:editId="69BBCA6D">
            <wp:extent cx="3135086" cy="2732608"/>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fig2.wmf"/>
                    <pic:cNvPicPr/>
                  </pic:nvPicPr>
                  <pic:blipFill rotWithShape="1">
                    <a:blip r:embed="rId13" cstate="print">
                      <a:extLst>
                        <a:ext uri="{28A0092B-C50C-407E-A947-70E740481C1C}">
                          <a14:useLocalDpi xmlns:a14="http://schemas.microsoft.com/office/drawing/2010/main" val="0"/>
                        </a:ext>
                      </a:extLst>
                    </a:blip>
                    <a:srcRect r="24381" b="34089"/>
                    <a:stretch/>
                  </pic:blipFill>
                  <pic:spPr bwMode="auto">
                    <a:xfrm>
                      <a:off x="0" y="0"/>
                      <a:ext cx="3135782" cy="2733214"/>
                    </a:xfrm>
                    <a:prstGeom prst="rect">
                      <a:avLst/>
                    </a:prstGeom>
                    <a:ln>
                      <a:noFill/>
                    </a:ln>
                    <a:extLst>
                      <a:ext uri="{53640926-AAD7-44D8-BBD7-CCE9431645EC}">
                        <a14:shadowObscured xmlns:a14="http://schemas.microsoft.com/office/drawing/2010/main"/>
                      </a:ext>
                    </a:extLst>
                  </pic:spPr>
                </pic:pic>
              </a:graphicData>
            </a:graphic>
          </wp:inline>
        </w:drawing>
      </w:r>
    </w:p>
    <w:p w:rsidR="00A16EC8" w:rsidRPr="005C5F76" w:rsidRDefault="00A16EC8" w:rsidP="00A16EC8">
      <w:pPr>
        <w:rPr>
          <w:rFonts w:eastAsia="Calibri" w:cs="Arial"/>
          <w:i/>
          <w:sz w:val="18"/>
          <w:lang w:val="en-GB"/>
        </w:rPr>
      </w:pPr>
      <w:r w:rsidRPr="005C5F76">
        <w:rPr>
          <w:rFonts w:eastAsia="Calibri" w:cs="Arial"/>
          <w:b/>
          <w:sz w:val="18"/>
          <w:lang w:val="en-GB"/>
        </w:rPr>
        <w:t>Figure 2:</w:t>
      </w:r>
      <w:r w:rsidRPr="005C5F76">
        <w:rPr>
          <w:rFonts w:eastAsia="Calibri" w:cs="Arial"/>
          <w:sz w:val="18"/>
          <w:lang w:val="en-GB"/>
        </w:rPr>
        <w:t xml:space="preserve"> </w:t>
      </w:r>
      <w:r>
        <w:rPr>
          <w:rFonts w:eastAsia="Calibri" w:cs="Arial"/>
          <w:i/>
          <w:sz w:val="18"/>
          <w:lang w:val="en-GB"/>
        </w:rPr>
        <w:t>E</w:t>
      </w:r>
      <w:r w:rsidRPr="005C5F76">
        <w:rPr>
          <w:rFonts w:eastAsia="Calibri" w:cs="Arial"/>
          <w:i/>
          <w:sz w:val="18"/>
          <w:lang w:val="en-GB"/>
        </w:rPr>
        <w:t>xample from Figure 1 showing how the moving average and spline trend extend when extrapolating outside the range of the reference varieties. The reference varieties are represented by ‘x’ and the candidate by ‘c’. The red dashed line is for the moving average method, and the blue line is for the spline.</w:t>
      </w:r>
    </w:p>
    <w:p w:rsidR="00A16EC8" w:rsidRPr="005C5F76" w:rsidRDefault="00A16EC8" w:rsidP="00A16EC8">
      <w:pPr>
        <w:rPr>
          <w:rFonts w:ascii="Calibri" w:eastAsia="Calibri" w:hAnsi="Calibri"/>
          <w:i/>
          <w:sz w:val="22"/>
          <w:szCs w:val="22"/>
          <w:lang w:val="en-GB"/>
        </w:rPr>
      </w:pPr>
    </w:p>
    <w:p w:rsidR="00A16EC8" w:rsidRPr="005C5F76" w:rsidRDefault="00A16EC8" w:rsidP="00A16EC8">
      <w:pPr>
        <w:rPr>
          <w:rFonts w:ascii="Calibri" w:eastAsia="Calibri" w:hAnsi="Calibri"/>
          <w:i/>
          <w:sz w:val="22"/>
          <w:szCs w:val="22"/>
          <w:lang w:val="en-GB"/>
        </w:rPr>
      </w:pPr>
      <w:r w:rsidRPr="005C5F76">
        <w:rPr>
          <w:rFonts w:ascii="Calibri" w:eastAsia="Calibri" w:hAnsi="Calibri"/>
          <w:i/>
          <w:noProof/>
          <w:sz w:val="22"/>
          <w:szCs w:val="22"/>
        </w:rPr>
        <w:drawing>
          <wp:inline distT="0" distB="0" distL="0" distR="0" wp14:anchorId="6451A105" wp14:editId="2A9B2C76">
            <wp:extent cx="3205696" cy="2969153"/>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fig3.wmf"/>
                    <pic:cNvPicPr/>
                  </pic:nvPicPr>
                  <pic:blipFill rotWithShape="1">
                    <a:blip r:embed="rId14">
                      <a:extLst>
                        <a:ext uri="{28A0092B-C50C-407E-A947-70E740481C1C}">
                          <a14:useLocalDpi xmlns:a14="http://schemas.microsoft.com/office/drawing/2010/main" val="0"/>
                        </a:ext>
                      </a:extLst>
                    </a:blip>
                    <a:srcRect r="27320" b="32683"/>
                    <a:stretch/>
                  </pic:blipFill>
                  <pic:spPr bwMode="auto">
                    <a:xfrm>
                      <a:off x="0" y="0"/>
                      <a:ext cx="3208412" cy="2971669"/>
                    </a:xfrm>
                    <a:prstGeom prst="rect">
                      <a:avLst/>
                    </a:prstGeom>
                    <a:ln>
                      <a:noFill/>
                    </a:ln>
                    <a:extLst>
                      <a:ext uri="{53640926-AAD7-44D8-BBD7-CCE9431645EC}">
                        <a14:shadowObscured xmlns:a14="http://schemas.microsoft.com/office/drawing/2010/main"/>
                      </a:ext>
                    </a:extLst>
                  </pic:spPr>
                </pic:pic>
              </a:graphicData>
            </a:graphic>
          </wp:inline>
        </w:drawing>
      </w:r>
    </w:p>
    <w:p w:rsidR="00A16EC8" w:rsidRPr="005C5F76" w:rsidRDefault="00A16EC8" w:rsidP="00A16EC8">
      <w:pPr>
        <w:rPr>
          <w:rFonts w:eastAsia="Calibri"/>
          <w:lang w:val="en-GB"/>
        </w:rPr>
      </w:pPr>
    </w:p>
    <w:p w:rsidR="00A16EC8" w:rsidRPr="005C5F76" w:rsidRDefault="00A16EC8" w:rsidP="00A16EC8">
      <w:pPr>
        <w:rPr>
          <w:rFonts w:eastAsia="Calibri" w:cs="Arial"/>
          <w:i/>
          <w:sz w:val="18"/>
          <w:lang w:val="en-GB"/>
        </w:rPr>
      </w:pPr>
      <w:r w:rsidRPr="005C5F76">
        <w:rPr>
          <w:rFonts w:eastAsia="Calibri" w:cs="Arial"/>
          <w:b/>
          <w:i/>
          <w:sz w:val="18"/>
          <w:lang w:val="en-GB"/>
        </w:rPr>
        <w:t>Figure 3:</w:t>
      </w:r>
      <w:r w:rsidRPr="005C5F76">
        <w:rPr>
          <w:rFonts w:eastAsia="Calibri" w:cs="Arial"/>
          <w:i/>
          <w:sz w:val="18"/>
          <w:lang w:val="en-GB"/>
        </w:rPr>
        <w:t xml:space="preserve"> </w:t>
      </w:r>
      <w:r>
        <w:rPr>
          <w:rFonts w:eastAsia="Calibri" w:cs="Arial"/>
          <w:i/>
          <w:sz w:val="18"/>
          <w:lang w:val="en-GB"/>
        </w:rPr>
        <w:t>E</w:t>
      </w:r>
      <w:r w:rsidRPr="005C5F76">
        <w:rPr>
          <w:rFonts w:eastAsia="Calibri" w:cs="Arial"/>
          <w:i/>
          <w:sz w:val="18"/>
          <w:lang w:val="en-GB"/>
        </w:rPr>
        <w:t xml:space="preserve">xample continued from Figure 2. Here, a blue dashed line represents one standard error for prediction above the spline trend line. Note, this standard error </w:t>
      </w:r>
      <w:proofErr w:type="gramStart"/>
      <w:r w:rsidRPr="005C5F76">
        <w:rPr>
          <w:rFonts w:eastAsia="Calibri" w:cs="Arial"/>
          <w:i/>
          <w:sz w:val="18"/>
          <w:lang w:val="en-GB"/>
        </w:rPr>
        <w:t>is not used</w:t>
      </w:r>
      <w:proofErr w:type="gramEnd"/>
      <w:r w:rsidRPr="005C5F76">
        <w:rPr>
          <w:rFonts w:eastAsia="Calibri" w:cs="Arial"/>
          <w:i/>
          <w:sz w:val="18"/>
          <w:lang w:val="en-GB"/>
        </w:rPr>
        <w:t xml:space="preserve"> directly, but enters into the COYUs calculations through an amalgamation with the other years/cycles. It does show though the steep increase in the uncertainty due to extrapolation</w:t>
      </w:r>
    </w:p>
    <w:p w:rsidR="00A16EC8" w:rsidRPr="005C5F76" w:rsidRDefault="00A16EC8" w:rsidP="00A16EC8">
      <w:pPr>
        <w:rPr>
          <w:rFonts w:eastAsia="Calibri"/>
          <w:lang w:val="en-GB"/>
        </w:rPr>
      </w:pPr>
    </w:p>
    <w:p w:rsidR="00A16EC8" w:rsidRPr="005C5F76" w:rsidRDefault="00A16EC8" w:rsidP="00A16EC8">
      <w:pPr>
        <w:rPr>
          <w:rFonts w:eastAsia="Calibri"/>
          <w:lang w:val="en-GB"/>
        </w:rPr>
      </w:pPr>
    </w:p>
    <w:p w:rsidR="00A16EC8" w:rsidRPr="005C5F76" w:rsidRDefault="00A16EC8" w:rsidP="00A16EC8">
      <w:pPr>
        <w:numPr>
          <w:ilvl w:val="0"/>
          <w:numId w:val="2"/>
        </w:numPr>
        <w:contextualSpacing/>
        <w:rPr>
          <w:rFonts w:eastAsia="Calibri" w:cs="Arial"/>
          <w:lang w:val="en-GB"/>
        </w:rPr>
      </w:pPr>
      <w:r w:rsidRPr="005C5F76">
        <w:rPr>
          <w:rFonts w:eastAsia="Calibri" w:cs="Arial"/>
          <w:lang w:val="en-GB"/>
        </w:rPr>
        <w:t xml:space="preserve">Figure </w:t>
      </w:r>
      <w:proofErr w:type="gramStart"/>
      <w:r w:rsidRPr="005C5F76">
        <w:rPr>
          <w:rFonts w:eastAsia="Calibri" w:cs="Arial"/>
          <w:lang w:val="en-GB"/>
        </w:rPr>
        <w:t>2</w:t>
      </w:r>
      <w:proofErr w:type="gramEnd"/>
      <w:r w:rsidRPr="005C5F76">
        <w:rPr>
          <w:rFonts w:eastAsia="Calibri" w:cs="Arial"/>
          <w:lang w:val="en-GB"/>
        </w:rPr>
        <w:t xml:space="preserve"> shows how the two COYU methods may lead to different conclusions. The candidate is under the moving average trend line for the moving average but considerably above it for the spline. It is arguable that the COYU with splines treats cases with extrapolation more sensibly. The line fitted seems a better guess for what might happen, and the increasing uncertainty better reflects the reality.</w:t>
      </w:r>
    </w:p>
    <w:p w:rsidR="00A16EC8" w:rsidRPr="005C5F76" w:rsidRDefault="00A16EC8" w:rsidP="00A16EC8">
      <w:pPr>
        <w:rPr>
          <w:rFonts w:eastAsia="Calibri"/>
          <w:highlight w:val="yellow"/>
          <w:lang w:val="en-GB"/>
        </w:rPr>
      </w:pPr>
    </w:p>
    <w:p w:rsidR="00A16EC8" w:rsidRPr="005C5F76" w:rsidRDefault="00A16EC8" w:rsidP="00A16EC8">
      <w:pPr>
        <w:rPr>
          <w:rFonts w:eastAsia="Calibri"/>
          <w:lang w:val="en-GB"/>
        </w:rPr>
      </w:pPr>
    </w:p>
    <w:p w:rsidR="00A16EC8" w:rsidRPr="005C5F76" w:rsidRDefault="00A16EC8" w:rsidP="00A16EC8">
      <w:pPr>
        <w:pStyle w:val="Heading1"/>
        <w:rPr>
          <w:lang w:val="en-GB"/>
        </w:rPr>
      </w:pPr>
      <w:r w:rsidRPr="005C5F76">
        <w:rPr>
          <w:lang w:val="en-GB"/>
        </w:rPr>
        <w:t>Defining extrapolation</w:t>
      </w:r>
    </w:p>
    <w:p w:rsidR="00A16EC8" w:rsidRPr="005C5F76" w:rsidRDefault="00A16EC8" w:rsidP="00A16EC8">
      <w:pPr>
        <w:rPr>
          <w:rFonts w:eastAsia="Calibri"/>
          <w:lang w:val="en-GB"/>
        </w:rPr>
      </w:pPr>
    </w:p>
    <w:p w:rsidR="00A16EC8" w:rsidRPr="005C5F76" w:rsidRDefault="00A16EC8" w:rsidP="00A16EC8">
      <w:pPr>
        <w:numPr>
          <w:ilvl w:val="0"/>
          <w:numId w:val="2"/>
        </w:numPr>
        <w:contextualSpacing/>
        <w:rPr>
          <w:rFonts w:eastAsia="Calibri" w:cs="Arial"/>
          <w:lang w:val="en-GB"/>
        </w:rPr>
      </w:pPr>
      <w:r w:rsidRPr="005C5F76">
        <w:rPr>
          <w:rFonts w:eastAsia="Calibri" w:cs="Arial"/>
          <w:lang w:val="en-GB"/>
        </w:rPr>
        <w:t>How should we define extrapolation in practice? A strict definition where the candidate score is outside the range of the reference varieties, even by a minuscule amount, could lead to a very high number of cases for the expert to consider. In an earlier study reported at the TWC (</w:t>
      </w:r>
      <w:hyperlink r:id="rId15" w:history="1">
        <w:r w:rsidRPr="005C5F76">
          <w:rPr>
            <w:rFonts w:eastAsia="Calibri" w:cs="Arial"/>
            <w:color w:val="0563C1"/>
            <w:u w:val="single"/>
            <w:lang w:val="en-GB"/>
          </w:rPr>
          <w:t>https://www.upov.int/edocs/mdocs/upov/en/twc_35/twc_35_6.pdf</w:t>
        </w:r>
      </w:hyperlink>
      <w:r w:rsidRPr="005C5F76">
        <w:rPr>
          <w:rFonts w:eastAsia="Calibri" w:cs="Arial"/>
          <w:lang w:val="en-GB"/>
        </w:rPr>
        <w:t>, see annex, page 9), levels of strict extrapolation varied by crop, for example being relatively high for the perennial ryegrass (13%) and low for oilseed rape (1-2%).</w:t>
      </w:r>
    </w:p>
    <w:p w:rsidR="00A16EC8" w:rsidRPr="005C5F76" w:rsidRDefault="00A16EC8" w:rsidP="00A16EC8">
      <w:pPr>
        <w:ind w:left="360"/>
        <w:contextualSpacing/>
        <w:rPr>
          <w:rFonts w:eastAsia="Calibri" w:cs="Arial"/>
          <w:lang w:val="en-GB"/>
        </w:rPr>
      </w:pPr>
    </w:p>
    <w:p w:rsidR="00A16EC8" w:rsidRPr="005C5F76" w:rsidRDefault="00A16EC8" w:rsidP="00A16EC8">
      <w:pPr>
        <w:numPr>
          <w:ilvl w:val="0"/>
          <w:numId w:val="2"/>
        </w:numPr>
        <w:contextualSpacing/>
        <w:rPr>
          <w:rFonts w:eastAsia="Calibri" w:cs="Arial"/>
          <w:lang w:val="en-GB"/>
        </w:rPr>
      </w:pPr>
      <w:r w:rsidRPr="005C5F76">
        <w:rPr>
          <w:rFonts w:eastAsia="Calibri" w:cs="Arial"/>
          <w:lang w:val="en-GB"/>
        </w:rPr>
        <w:t xml:space="preserve">In document TWC/35/6, two methods </w:t>
      </w:r>
      <w:proofErr w:type="gramStart"/>
      <w:r w:rsidRPr="005C5F76">
        <w:rPr>
          <w:rFonts w:eastAsia="Calibri" w:cs="Arial"/>
          <w:lang w:val="en-GB"/>
        </w:rPr>
        <w:t>were proposed</w:t>
      </w:r>
      <w:proofErr w:type="gramEnd"/>
      <w:r w:rsidRPr="005C5F76">
        <w:rPr>
          <w:rFonts w:eastAsia="Calibri" w:cs="Arial"/>
          <w:lang w:val="en-GB"/>
        </w:rPr>
        <w:t xml:space="preserve"> for indicating the degree of extrapolation (paragraph 19). Following this document, the second of the two methods (19b) </w:t>
      </w:r>
      <w:proofErr w:type="gramStart"/>
      <w:r w:rsidRPr="005C5F76">
        <w:rPr>
          <w:rFonts w:eastAsia="Calibri" w:cs="Arial"/>
          <w:lang w:val="en-GB"/>
        </w:rPr>
        <w:t>was adopted</w:t>
      </w:r>
      <w:proofErr w:type="gramEnd"/>
      <w:r w:rsidRPr="005C5F76">
        <w:rPr>
          <w:rFonts w:eastAsia="Calibri" w:cs="Arial"/>
          <w:lang w:val="en-GB"/>
        </w:rPr>
        <w:t xml:space="preserve"> in draft guidance and in the software code developed.</w:t>
      </w:r>
    </w:p>
    <w:p w:rsidR="00A16EC8" w:rsidRPr="005C5F76" w:rsidRDefault="00A16EC8" w:rsidP="00A16EC8">
      <w:pPr>
        <w:ind w:left="720"/>
        <w:contextualSpacing/>
        <w:rPr>
          <w:rFonts w:eastAsia="Calibri" w:cs="Arial"/>
          <w:lang w:val="en-GB"/>
        </w:rPr>
      </w:pPr>
    </w:p>
    <w:p w:rsidR="00A16EC8" w:rsidRPr="005C5F76" w:rsidRDefault="00A16EC8" w:rsidP="00A16EC8">
      <w:pPr>
        <w:numPr>
          <w:ilvl w:val="0"/>
          <w:numId w:val="2"/>
        </w:numPr>
        <w:contextualSpacing/>
        <w:rPr>
          <w:rFonts w:eastAsia="Calibri" w:cs="Arial"/>
          <w:lang w:val="en-GB"/>
        </w:rPr>
      </w:pPr>
      <w:r w:rsidRPr="005C5F76">
        <w:rPr>
          <w:rFonts w:eastAsia="Calibri" w:cs="Arial"/>
          <w:lang w:val="en-GB"/>
        </w:rPr>
        <w:t xml:space="preserve">The extrapolation index measures the inflation of the COYU criterion for the candidate variety in question, compared to the closest reference variety.  </w:t>
      </w:r>
    </w:p>
    <w:p w:rsidR="00A16EC8" w:rsidRPr="005C5F76" w:rsidRDefault="00A16EC8" w:rsidP="00A16EC8">
      <w:pPr>
        <w:ind w:left="720"/>
        <w:contextualSpacing/>
        <w:rPr>
          <w:rFonts w:eastAsia="Calibri" w:cs="Arial"/>
          <w:lang w:val="en-GB"/>
        </w:rPr>
      </w:pPr>
    </w:p>
    <w:p w:rsidR="00A16EC8" w:rsidRPr="005C5F76" w:rsidRDefault="00A16EC8" w:rsidP="00A16EC8">
      <w:pPr>
        <w:numPr>
          <w:ilvl w:val="0"/>
          <w:numId w:val="2"/>
        </w:numPr>
        <w:contextualSpacing/>
        <w:rPr>
          <w:rFonts w:eastAsia="Calibri" w:cs="Arial"/>
          <w:lang w:val="en-GB"/>
        </w:rPr>
      </w:pPr>
      <w:r w:rsidRPr="005C5F76">
        <w:rPr>
          <w:rFonts w:eastAsia="Calibri" w:cs="Arial"/>
          <w:lang w:val="en-GB"/>
        </w:rPr>
        <w:t xml:space="preserve">In more detail, for each year/cycle, the extrapolation index is the ratio of the square roots of the spline prediction errors and the closest variety. It has a value of </w:t>
      </w:r>
      <w:proofErr w:type="gramStart"/>
      <w:r w:rsidRPr="005C5F76">
        <w:rPr>
          <w:rFonts w:eastAsia="Calibri" w:cs="Arial"/>
          <w:lang w:val="en-GB"/>
        </w:rPr>
        <w:t>1</w:t>
      </w:r>
      <w:proofErr w:type="gramEnd"/>
      <w:r w:rsidRPr="005C5F76">
        <w:rPr>
          <w:rFonts w:eastAsia="Calibri" w:cs="Arial"/>
          <w:lang w:val="en-GB"/>
        </w:rPr>
        <w:t xml:space="preserve"> for when there is strictly no extrapolation, and greater than 1 when the candidate is outside the range of the reference varieties. The value increases the greater the degree of extrapolation. In the developed software, the maximum index over the years/cycles </w:t>
      </w:r>
      <w:proofErr w:type="gramStart"/>
      <w:r w:rsidRPr="005C5F76">
        <w:rPr>
          <w:rFonts w:eastAsia="Calibri" w:cs="Arial"/>
          <w:lang w:val="en-GB"/>
        </w:rPr>
        <w:t>is given</w:t>
      </w:r>
      <w:proofErr w:type="gramEnd"/>
      <w:r w:rsidRPr="005C5F76">
        <w:rPr>
          <w:rFonts w:eastAsia="Calibri" w:cs="Arial"/>
          <w:lang w:val="en-GB"/>
        </w:rPr>
        <w:t xml:space="preserve"> as the overall extrapolation index for the candidate.</w:t>
      </w:r>
    </w:p>
    <w:p w:rsidR="00A16EC8" w:rsidRPr="005C5F76" w:rsidRDefault="00A16EC8" w:rsidP="00A16EC8">
      <w:pPr>
        <w:ind w:left="720"/>
        <w:contextualSpacing/>
        <w:rPr>
          <w:rFonts w:eastAsia="Calibri" w:cs="Arial"/>
          <w:lang w:val="en-GB"/>
        </w:rPr>
      </w:pPr>
    </w:p>
    <w:p w:rsidR="00A16EC8" w:rsidRPr="005C5F76" w:rsidRDefault="00A16EC8" w:rsidP="00A16EC8">
      <w:pPr>
        <w:numPr>
          <w:ilvl w:val="0"/>
          <w:numId w:val="2"/>
        </w:numPr>
        <w:contextualSpacing/>
        <w:rPr>
          <w:rFonts w:eastAsia="Calibri" w:cs="Arial"/>
          <w:lang w:val="en-GB"/>
        </w:rPr>
      </w:pPr>
      <w:r w:rsidRPr="005C5F76">
        <w:rPr>
          <w:rFonts w:eastAsia="Calibri" w:cs="Arial"/>
          <w:lang w:val="en-GB"/>
        </w:rPr>
        <w:t xml:space="preserve">Figure </w:t>
      </w:r>
      <w:proofErr w:type="gramStart"/>
      <w:r w:rsidRPr="005C5F76">
        <w:rPr>
          <w:rFonts w:eastAsia="Calibri" w:cs="Arial"/>
          <w:lang w:val="en-GB"/>
        </w:rPr>
        <w:t>4</w:t>
      </w:r>
      <w:proofErr w:type="gramEnd"/>
      <w:r w:rsidRPr="005C5F76">
        <w:rPr>
          <w:rFonts w:eastAsia="Calibri" w:cs="Arial"/>
          <w:lang w:val="en-GB"/>
        </w:rPr>
        <w:t xml:space="preserve"> shows how the extrapolation index increases outside of the reference varieties. The index increases more slowly when there are more reference varieties. This reflects the greater certainty in the estimated trend.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751"/>
      </w:tblGrid>
      <w:tr w:rsidR="00A16EC8" w:rsidRPr="005C5F76" w:rsidTr="00B81F0A">
        <w:tc>
          <w:tcPr>
            <w:tcW w:w="4513" w:type="dxa"/>
          </w:tcPr>
          <w:p w:rsidR="00A16EC8" w:rsidRPr="005C5F76" w:rsidRDefault="00A16EC8" w:rsidP="00B81F0A">
            <w:pPr>
              <w:rPr>
                <w:rFonts w:ascii="Calibri" w:hAnsi="Calibri"/>
              </w:rPr>
            </w:pPr>
            <w:r w:rsidRPr="005C5F76">
              <w:rPr>
                <w:rFonts w:ascii="Calibri" w:hAnsi="Calibri"/>
                <w:noProof/>
              </w:rPr>
              <w:drawing>
                <wp:inline distT="0" distB="0" distL="0" distR="0" wp14:anchorId="1E057712" wp14:editId="52B5BCF6">
                  <wp:extent cx="2879725" cy="28800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madeup_example_extrap_20obs.wmf"/>
                          <pic:cNvPicPr/>
                        </pic:nvPicPr>
                        <pic:blipFill rotWithShape="1">
                          <a:blip r:embed="rId16">
                            <a:extLst>
                              <a:ext uri="{28A0092B-C50C-407E-A947-70E740481C1C}">
                                <a14:useLocalDpi xmlns:a14="http://schemas.microsoft.com/office/drawing/2010/main" val="0"/>
                              </a:ext>
                            </a:extLst>
                          </a:blip>
                          <a:srcRect r="33857" b="33850"/>
                          <a:stretch/>
                        </pic:blipFill>
                        <pic:spPr bwMode="auto">
                          <a:xfrm>
                            <a:off x="0" y="0"/>
                            <a:ext cx="2883600" cy="2883875"/>
                          </a:xfrm>
                          <a:prstGeom prst="rect">
                            <a:avLst/>
                          </a:prstGeom>
                          <a:ln>
                            <a:noFill/>
                          </a:ln>
                          <a:extLst>
                            <a:ext uri="{53640926-AAD7-44D8-BBD7-CCE9431645EC}">
                              <a14:shadowObscured xmlns:a14="http://schemas.microsoft.com/office/drawing/2010/main"/>
                            </a:ext>
                          </a:extLst>
                        </pic:spPr>
                      </pic:pic>
                    </a:graphicData>
                  </a:graphic>
                </wp:inline>
              </w:drawing>
            </w:r>
          </w:p>
        </w:tc>
        <w:tc>
          <w:tcPr>
            <w:tcW w:w="4513" w:type="dxa"/>
          </w:tcPr>
          <w:p w:rsidR="00A16EC8" w:rsidRPr="005C5F76" w:rsidRDefault="00A16EC8" w:rsidP="00B81F0A">
            <w:pPr>
              <w:rPr>
                <w:rFonts w:ascii="Calibri" w:hAnsi="Calibri"/>
              </w:rPr>
            </w:pPr>
            <w:r w:rsidRPr="005C5F76">
              <w:rPr>
                <w:rFonts w:ascii="Calibri" w:hAnsi="Calibri"/>
                <w:noProof/>
              </w:rPr>
              <w:drawing>
                <wp:inline distT="0" distB="0" distL="0" distR="0" wp14:anchorId="211F17E3" wp14:editId="40E4363B">
                  <wp:extent cx="2879725" cy="28800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madeup_example_extrap_50obs.wmf"/>
                          <pic:cNvPicPr/>
                        </pic:nvPicPr>
                        <pic:blipFill rotWithShape="1">
                          <a:blip r:embed="rId17">
                            <a:extLst>
                              <a:ext uri="{28A0092B-C50C-407E-A947-70E740481C1C}">
                                <a14:useLocalDpi xmlns:a14="http://schemas.microsoft.com/office/drawing/2010/main" val="0"/>
                              </a:ext>
                            </a:extLst>
                          </a:blip>
                          <a:srcRect r="33905" b="33899"/>
                          <a:stretch/>
                        </pic:blipFill>
                        <pic:spPr bwMode="auto">
                          <a:xfrm>
                            <a:off x="0" y="0"/>
                            <a:ext cx="2882184" cy="2882459"/>
                          </a:xfrm>
                          <a:prstGeom prst="rect">
                            <a:avLst/>
                          </a:prstGeom>
                          <a:ln>
                            <a:noFill/>
                          </a:ln>
                          <a:extLst>
                            <a:ext uri="{53640926-AAD7-44D8-BBD7-CCE9431645EC}">
                              <a14:shadowObscured xmlns:a14="http://schemas.microsoft.com/office/drawing/2010/main"/>
                            </a:ext>
                          </a:extLst>
                        </pic:spPr>
                      </pic:pic>
                    </a:graphicData>
                  </a:graphic>
                </wp:inline>
              </w:drawing>
            </w:r>
          </w:p>
        </w:tc>
      </w:tr>
      <w:tr w:rsidR="00A16EC8" w:rsidRPr="005C5F76" w:rsidTr="00B81F0A">
        <w:tc>
          <w:tcPr>
            <w:tcW w:w="4513" w:type="dxa"/>
          </w:tcPr>
          <w:p w:rsidR="00A16EC8" w:rsidRPr="005C5F76" w:rsidRDefault="00A16EC8" w:rsidP="00B81F0A">
            <w:pPr>
              <w:numPr>
                <w:ilvl w:val="0"/>
                <w:numId w:val="3"/>
              </w:numPr>
              <w:contextualSpacing/>
              <w:jc w:val="left"/>
              <w:rPr>
                <w:rFonts w:ascii="Calibri" w:hAnsi="Calibri"/>
                <w:i/>
                <w:noProof/>
                <w:lang w:eastAsia="en-GB"/>
              </w:rPr>
            </w:pPr>
            <w:r w:rsidRPr="005C5F76">
              <w:rPr>
                <w:rFonts w:ascii="Calibri" w:hAnsi="Calibri"/>
                <w:i/>
                <w:noProof/>
                <w:lang w:eastAsia="en-GB"/>
              </w:rPr>
              <w:t>20 reference varieties</w:t>
            </w:r>
          </w:p>
        </w:tc>
        <w:tc>
          <w:tcPr>
            <w:tcW w:w="4513" w:type="dxa"/>
          </w:tcPr>
          <w:p w:rsidR="00A16EC8" w:rsidRPr="005C5F76" w:rsidRDefault="00A16EC8" w:rsidP="00B81F0A">
            <w:pPr>
              <w:numPr>
                <w:ilvl w:val="0"/>
                <w:numId w:val="3"/>
              </w:numPr>
              <w:contextualSpacing/>
              <w:jc w:val="left"/>
              <w:rPr>
                <w:rFonts w:ascii="Calibri" w:hAnsi="Calibri"/>
                <w:i/>
                <w:noProof/>
                <w:lang w:eastAsia="en-GB"/>
              </w:rPr>
            </w:pPr>
            <w:r w:rsidRPr="005C5F76">
              <w:rPr>
                <w:rFonts w:ascii="Calibri" w:hAnsi="Calibri"/>
                <w:i/>
                <w:noProof/>
                <w:lang w:eastAsia="en-GB"/>
              </w:rPr>
              <w:t>50 reference varieties</w:t>
            </w:r>
          </w:p>
        </w:tc>
      </w:tr>
    </w:tbl>
    <w:p w:rsidR="00A16EC8" w:rsidRPr="005C5F76" w:rsidRDefault="00A16EC8" w:rsidP="00A16EC8">
      <w:pPr>
        <w:rPr>
          <w:rFonts w:eastAsia="Calibri"/>
          <w:lang w:val="en-GB"/>
        </w:rPr>
      </w:pPr>
    </w:p>
    <w:p w:rsidR="00A16EC8" w:rsidRPr="005C5F76" w:rsidRDefault="00A16EC8" w:rsidP="00A16EC8">
      <w:pPr>
        <w:rPr>
          <w:rFonts w:eastAsia="Calibri" w:cs="Arial"/>
          <w:i/>
          <w:sz w:val="18"/>
          <w:szCs w:val="18"/>
          <w:lang w:val="en-GB"/>
        </w:rPr>
      </w:pPr>
      <w:r w:rsidRPr="005C5F76">
        <w:rPr>
          <w:rFonts w:eastAsia="Calibri" w:cs="Arial"/>
          <w:b/>
          <w:i/>
          <w:sz w:val="18"/>
          <w:szCs w:val="18"/>
          <w:lang w:val="en-GB"/>
        </w:rPr>
        <w:t>Figure 4:</w:t>
      </w:r>
      <w:r w:rsidRPr="005C5F76">
        <w:rPr>
          <w:rFonts w:eastAsia="Calibri" w:cs="Arial"/>
          <w:i/>
          <w:sz w:val="18"/>
          <w:szCs w:val="18"/>
          <w:lang w:val="en-GB"/>
        </w:rPr>
        <w:t xml:space="preserve"> </w:t>
      </w:r>
      <w:r>
        <w:rPr>
          <w:rFonts w:eastAsia="Calibri" w:cs="Arial"/>
          <w:i/>
          <w:sz w:val="18"/>
          <w:szCs w:val="18"/>
          <w:lang w:val="en-GB"/>
        </w:rPr>
        <w:t>T</w:t>
      </w:r>
      <w:r w:rsidRPr="005C5F76">
        <w:rPr>
          <w:rFonts w:eastAsia="Calibri" w:cs="Arial"/>
          <w:i/>
          <w:sz w:val="18"/>
          <w:szCs w:val="18"/>
          <w:lang w:val="en-GB"/>
        </w:rPr>
        <w:t>wo examples showing how the extrapolation index increases with distance from outer reference varieties. Vertical dashed lines indicate the extrapolation index, with values from 1.1 to 2.0. In (a), there are 20 reference varieties, and in (b) there are 50</w:t>
      </w:r>
    </w:p>
    <w:p w:rsidR="00A16EC8" w:rsidRPr="005C5F76" w:rsidRDefault="00A16EC8" w:rsidP="00A16EC8">
      <w:pPr>
        <w:rPr>
          <w:rFonts w:eastAsia="Calibri"/>
          <w:lang w:val="en-GB"/>
        </w:rPr>
      </w:pPr>
    </w:p>
    <w:p w:rsidR="00A16EC8" w:rsidRPr="005C5F76" w:rsidRDefault="00A16EC8" w:rsidP="00A16EC8">
      <w:pPr>
        <w:rPr>
          <w:rFonts w:eastAsia="Calibri"/>
          <w:lang w:val="en-GB"/>
        </w:rPr>
      </w:pPr>
    </w:p>
    <w:p w:rsidR="00A16EC8" w:rsidRPr="005C5F76" w:rsidRDefault="00A16EC8" w:rsidP="00A16EC8">
      <w:pPr>
        <w:numPr>
          <w:ilvl w:val="0"/>
          <w:numId w:val="2"/>
        </w:numPr>
        <w:contextualSpacing/>
        <w:rPr>
          <w:rFonts w:eastAsia="Calibri" w:cs="Arial"/>
          <w:lang w:val="en-GB"/>
        </w:rPr>
      </w:pPr>
      <w:r w:rsidRPr="005C5F76">
        <w:rPr>
          <w:rFonts w:eastAsia="Calibri" w:cs="Arial"/>
          <w:lang w:val="en-GB"/>
        </w:rPr>
        <w:t xml:space="preserve">We propose that a threshold is set for the extrapolation index, such that the COYU </w:t>
      </w:r>
      <w:proofErr w:type="gramStart"/>
      <w:r w:rsidRPr="005C5F76">
        <w:rPr>
          <w:rFonts w:eastAsia="Calibri" w:cs="Arial"/>
          <w:lang w:val="en-GB"/>
        </w:rPr>
        <w:t>is not used</w:t>
      </w:r>
      <w:proofErr w:type="gramEnd"/>
      <w:r w:rsidRPr="005C5F76">
        <w:rPr>
          <w:rFonts w:eastAsia="Calibri" w:cs="Arial"/>
          <w:lang w:val="en-GB"/>
        </w:rPr>
        <w:t xml:space="preserve"> if the threshold is exceeded. The choice of threshold is subjective, and needs to balance the practicalities of having too many cases with extrapolation and the need to make well-founded decisions. It would be beneficial to agree a fixed threshold for use with COYU, and this requires discussion.</w:t>
      </w:r>
    </w:p>
    <w:p w:rsidR="00A16EC8" w:rsidRPr="005C5F76" w:rsidRDefault="00A16EC8" w:rsidP="00A16EC8">
      <w:pPr>
        <w:rPr>
          <w:rFonts w:eastAsia="Calibri" w:cs="Arial"/>
          <w:lang w:val="en-GB"/>
        </w:rPr>
      </w:pPr>
    </w:p>
    <w:p w:rsidR="00A16EC8" w:rsidRPr="005C5F76" w:rsidRDefault="00A16EC8" w:rsidP="00A16EC8">
      <w:pPr>
        <w:numPr>
          <w:ilvl w:val="0"/>
          <w:numId w:val="2"/>
        </w:numPr>
        <w:contextualSpacing/>
        <w:rPr>
          <w:rFonts w:eastAsia="Calibri" w:cs="Arial"/>
          <w:lang w:val="en-GB"/>
        </w:rPr>
      </w:pPr>
      <w:r w:rsidRPr="005C5F76">
        <w:rPr>
          <w:rFonts w:eastAsia="Calibri" w:cs="Arial"/>
          <w:lang w:val="en-GB"/>
        </w:rPr>
        <w:t>As part of a recent United Kingdom study comparing the old and new methods of COYU, there was an analysis of how different extrapolation index thresholds would affect the number of cases identified. The study covered three years of results, in four subgroups of perennial ryegrass.</w:t>
      </w:r>
    </w:p>
    <w:p w:rsidR="00A16EC8" w:rsidRPr="005C5F76" w:rsidRDefault="00A16EC8" w:rsidP="00A16EC8">
      <w:pPr>
        <w:ind w:left="720"/>
        <w:contextualSpacing/>
        <w:rPr>
          <w:rFonts w:eastAsia="Calibri" w:cs="Arial"/>
          <w:lang w:val="en-GB"/>
        </w:rPr>
      </w:pPr>
    </w:p>
    <w:p w:rsidR="00A16EC8" w:rsidRPr="005C5F76" w:rsidRDefault="00A16EC8" w:rsidP="00A16EC8">
      <w:pPr>
        <w:numPr>
          <w:ilvl w:val="0"/>
          <w:numId w:val="2"/>
        </w:numPr>
        <w:spacing w:after="160" w:line="259" w:lineRule="auto"/>
        <w:contextualSpacing/>
        <w:rPr>
          <w:rFonts w:eastAsia="Calibri" w:cs="Arial"/>
          <w:i/>
          <w:lang w:val="en-GB"/>
        </w:rPr>
      </w:pPr>
      <w:r w:rsidRPr="005C5F76">
        <w:rPr>
          <w:rFonts w:eastAsia="Calibri" w:cs="Arial"/>
          <w:lang w:val="en-GB"/>
        </w:rPr>
        <w:t>In the ryegrass study, there were 4640 cases in total (number of candidate variety by characteristic combinations) and 105 candidate varieties. Table 1 shows how the number of cases depends on the threshold adopted. Note that even 1% of cases would mean a considerable number of cases that need to be examine more carefully (46 in this example).</w:t>
      </w:r>
    </w:p>
    <w:p w:rsidR="00A16EC8" w:rsidRPr="005C5F76" w:rsidRDefault="00A16EC8" w:rsidP="00A16EC8">
      <w:pPr>
        <w:rPr>
          <w:rFonts w:eastAsia="Calibri"/>
          <w:lang w:val="en-GB"/>
        </w:rPr>
      </w:pPr>
    </w:p>
    <w:p w:rsidR="00A16EC8" w:rsidRPr="005C5F76" w:rsidRDefault="00A16EC8" w:rsidP="00A16EC8">
      <w:pPr>
        <w:spacing w:after="160" w:line="259" w:lineRule="auto"/>
        <w:contextualSpacing/>
        <w:rPr>
          <w:rFonts w:eastAsia="Calibri" w:cs="Arial"/>
          <w:i/>
          <w:lang w:val="en-GB"/>
        </w:rPr>
      </w:pPr>
      <w:r w:rsidRPr="005C5F76">
        <w:rPr>
          <w:rFonts w:eastAsia="Calibri" w:cs="Arial"/>
          <w:b/>
          <w:i/>
          <w:lang w:val="en-GB"/>
        </w:rPr>
        <w:t>Table 1:</w:t>
      </w:r>
      <w:r w:rsidRPr="005C5F76">
        <w:rPr>
          <w:rFonts w:eastAsia="Calibri" w:cs="Arial"/>
          <w:i/>
          <w:lang w:val="en-GB"/>
        </w:rPr>
        <w:t xml:space="preserve"> Number of cases and candidates affected by extrapolation under varying thresholds</w:t>
      </w:r>
    </w:p>
    <w:p w:rsidR="00A16EC8" w:rsidRPr="005C5F76" w:rsidRDefault="00A16EC8" w:rsidP="00A16EC8">
      <w:pPr>
        <w:rPr>
          <w:rFonts w:eastAsia="Calibri"/>
          <w:lang w:val="en-GB"/>
        </w:rPr>
      </w:pPr>
    </w:p>
    <w:tbl>
      <w:tblPr>
        <w:tblStyle w:val="PlainTable51"/>
        <w:tblW w:w="0" w:type="auto"/>
        <w:tblLook w:val="04A0" w:firstRow="1" w:lastRow="0" w:firstColumn="1" w:lastColumn="0" w:noHBand="0" w:noVBand="1"/>
      </w:tblPr>
      <w:tblGrid>
        <w:gridCol w:w="3005"/>
        <w:gridCol w:w="3005"/>
        <w:gridCol w:w="3006"/>
      </w:tblGrid>
      <w:tr w:rsidR="00A16EC8" w:rsidRPr="005C5F76" w:rsidTr="00B81F0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05" w:type="dxa"/>
          </w:tcPr>
          <w:p w:rsidR="00A16EC8" w:rsidRPr="005C5F76" w:rsidRDefault="00A16EC8" w:rsidP="00B81F0A">
            <w:pPr>
              <w:rPr>
                <w:rFonts w:ascii="Calibri Light" w:hAnsi="Calibri Light"/>
                <w:sz w:val="22"/>
              </w:rPr>
            </w:pPr>
            <w:r w:rsidRPr="005C5F76">
              <w:rPr>
                <w:rFonts w:ascii="Calibri Light" w:hAnsi="Calibri Light"/>
                <w:sz w:val="22"/>
              </w:rPr>
              <w:t>Extrapolation index threshold</w:t>
            </w:r>
          </w:p>
        </w:tc>
        <w:tc>
          <w:tcPr>
            <w:tcW w:w="3005" w:type="dxa"/>
          </w:tcPr>
          <w:p w:rsidR="00A16EC8" w:rsidRPr="005C5F76" w:rsidRDefault="00A16EC8" w:rsidP="00B81F0A">
            <w:pPr>
              <w:cnfStyle w:val="100000000000" w:firstRow="1" w:lastRow="0" w:firstColumn="0" w:lastColumn="0" w:oddVBand="0" w:evenVBand="0" w:oddHBand="0" w:evenHBand="0" w:firstRowFirstColumn="0" w:firstRowLastColumn="0" w:lastRowFirstColumn="0" w:lastRowLastColumn="0"/>
              <w:rPr>
                <w:rFonts w:ascii="Calibri Light" w:hAnsi="Calibri Light"/>
                <w:sz w:val="22"/>
              </w:rPr>
            </w:pPr>
            <w:r w:rsidRPr="005C5F76">
              <w:rPr>
                <w:rFonts w:ascii="Calibri Light" w:hAnsi="Calibri Light"/>
                <w:sz w:val="22"/>
              </w:rPr>
              <w:t>Cases with extrapolation</w:t>
            </w:r>
          </w:p>
        </w:tc>
        <w:tc>
          <w:tcPr>
            <w:tcW w:w="3006" w:type="dxa"/>
          </w:tcPr>
          <w:p w:rsidR="00A16EC8" w:rsidRPr="005C5F76" w:rsidRDefault="00A16EC8" w:rsidP="00B81F0A">
            <w:pPr>
              <w:cnfStyle w:val="100000000000" w:firstRow="1" w:lastRow="0" w:firstColumn="0" w:lastColumn="0" w:oddVBand="0" w:evenVBand="0" w:oddHBand="0" w:evenHBand="0" w:firstRowFirstColumn="0" w:firstRowLastColumn="0" w:lastRowFirstColumn="0" w:lastRowLastColumn="0"/>
              <w:rPr>
                <w:rFonts w:ascii="Calibri Light" w:hAnsi="Calibri Light"/>
                <w:sz w:val="22"/>
              </w:rPr>
            </w:pPr>
            <w:r w:rsidRPr="005C5F76">
              <w:rPr>
                <w:rFonts w:ascii="Calibri Light" w:hAnsi="Calibri Light"/>
                <w:sz w:val="22"/>
              </w:rPr>
              <w:t>Candidates with extrapolation in any characteristic</w:t>
            </w:r>
          </w:p>
        </w:tc>
      </w:tr>
      <w:tr w:rsidR="00A16EC8" w:rsidRPr="005C5F76" w:rsidTr="00B81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A16EC8" w:rsidRPr="005C5F76" w:rsidRDefault="00A16EC8" w:rsidP="00B81F0A">
            <w:pPr>
              <w:rPr>
                <w:rFonts w:ascii="Calibri Light" w:hAnsi="Calibri Light"/>
                <w:sz w:val="22"/>
              </w:rPr>
            </w:pPr>
            <w:r w:rsidRPr="005C5F76">
              <w:rPr>
                <w:rFonts w:ascii="Calibri Light" w:hAnsi="Calibri Light"/>
                <w:sz w:val="22"/>
              </w:rPr>
              <w:t>1 (= strict extrapolation)</w:t>
            </w:r>
          </w:p>
        </w:tc>
        <w:tc>
          <w:tcPr>
            <w:tcW w:w="3005" w:type="dxa"/>
          </w:tcPr>
          <w:p w:rsidR="00A16EC8" w:rsidRPr="005C5F76" w:rsidRDefault="00A16EC8" w:rsidP="00B81F0A">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5C5F76">
              <w:rPr>
                <w:rFonts w:ascii="Calibri" w:hAnsi="Calibri"/>
              </w:rPr>
              <w:t>8.4%</w:t>
            </w:r>
          </w:p>
        </w:tc>
        <w:tc>
          <w:tcPr>
            <w:tcW w:w="3006" w:type="dxa"/>
          </w:tcPr>
          <w:p w:rsidR="00A16EC8" w:rsidRPr="005C5F76" w:rsidRDefault="00A16EC8" w:rsidP="00B81F0A">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5C5F76">
              <w:rPr>
                <w:rFonts w:ascii="Calibri" w:hAnsi="Calibri"/>
              </w:rPr>
              <w:t>67%</w:t>
            </w:r>
          </w:p>
        </w:tc>
      </w:tr>
      <w:tr w:rsidR="00A16EC8" w:rsidRPr="005C5F76" w:rsidTr="00B81F0A">
        <w:tc>
          <w:tcPr>
            <w:cnfStyle w:val="001000000000" w:firstRow="0" w:lastRow="0" w:firstColumn="1" w:lastColumn="0" w:oddVBand="0" w:evenVBand="0" w:oddHBand="0" w:evenHBand="0" w:firstRowFirstColumn="0" w:firstRowLastColumn="0" w:lastRowFirstColumn="0" w:lastRowLastColumn="0"/>
            <w:tcW w:w="3005" w:type="dxa"/>
          </w:tcPr>
          <w:p w:rsidR="00A16EC8" w:rsidRPr="005C5F76" w:rsidRDefault="00A16EC8" w:rsidP="00B81F0A">
            <w:pPr>
              <w:rPr>
                <w:rFonts w:ascii="Calibri Light" w:hAnsi="Calibri Light"/>
                <w:sz w:val="22"/>
              </w:rPr>
            </w:pPr>
            <w:r w:rsidRPr="005C5F76">
              <w:rPr>
                <w:rFonts w:ascii="Calibri Light" w:hAnsi="Calibri Light"/>
                <w:sz w:val="22"/>
              </w:rPr>
              <w:t>1.1</w:t>
            </w:r>
          </w:p>
        </w:tc>
        <w:tc>
          <w:tcPr>
            <w:tcW w:w="3005" w:type="dxa"/>
          </w:tcPr>
          <w:p w:rsidR="00A16EC8" w:rsidRPr="005C5F76" w:rsidRDefault="00A16EC8" w:rsidP="00B81F0A">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5C5F76">
              <w:rPr>
                <w:rFonts w:ascii="Calibri" w:hAnsi="Calibri"/>
              </w:rPr>
              <w:t>3.8%</w:t>
            </w:r>
          </w:p>
        </w:tc>
        <w:tc>
          <w:tcPr>
            <w:tcW w:w="3006" w:type="dxa"/>
          </w:tcPr>
          <w:p w:rsidR="00A16EC8" w:rsidRPr="005C5F76" w:rsidRDefault="00A16EC8" w:rsidP="00B81F0A">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5C5F76">
              <w:rPr>
                <w:rFonts w:ascii="Calibri" w:hAnsi="Calibri"/>
              </w:rPr>
              <w:t>38%</w:t>
            </w:r>
          </w:p>
        </w:tc>
      </w:tr>
      <w:tr w:rsidR="00A16EC8" w:rsidRPr="005C5F76" w:rsidTr="00B81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A16EC8" w:rsidRPr="005C5F76" w:rsidRDefault="00A16EC8" w:rsidP="00B81F0A">
            <w:pPr>
              <w:rPr>
                <w:rFonts w:ascii="Calibri Light" w:hAnsi="Calibri Light"/>
                <w:sz w:val="22"/>
              </w:rPr>
            </w:pPr>
            <w:r w:rsidRPr="005C5F76">
              <w:rPr>
                <w:rFonts w:ascii="Calibri Light" w:hAnsi="Calibri Light"/>
                <w:sz w:val="22"/>
              </w:rPr>
              <w:t>1.2</w:t>
            </w:r>
          </w:p>
        </w:tc>
        <w:tc>
          <w:tcPr>
            <w:tcW w:w="3005" w:type="dxa"/>
          </w:tcPr>
          <w:p w:rsidR="00A16EC8" w:rsidRPr="005C5F76" w:rsidRDefault="00A16EC8" w:rsidP="00B81F0A">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5C5F76">
              <w:rPr>
                <w:rFonts w:ascii="Calibri" w:hAnsi="Calibri"/>
              </w:rPr>
              <w:t>2.3%</w:t>
            </w:r>
          </w:p>
        </w:tc>
        <w:tc>
          <w:tcPr>
            <w:tcW w:w="3006" w:type="dxa"/>
          </w:tcPr>
          <w:p w:rsidR="00A16EC8" w:rsidRPr="005C5F76" w:rsidRDefault="00A16EC8" w:rsidP="00B81F0A">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5C5F76">
              <w:rPr>
                <w:rFonts w:ascii="Calibri" w:hAnsi="Calibri"/>
              </w:rPr>
              <w:t>30%</w:t>
            </w:r>
          </w:p>
        </w:tc>
      </w:tr>
      <w:tr w:rsidR="00A16EC8" w:rsidRPr="005C5F76" w:rsidTr="00B81F0A">
        <w:tc>
          <w:tcPr>
            <w:cnfStyle w:val="001000000000" w:firstRow="0" w:lastRow="0" w:firstColumn="1" w:lastColumn="0" w:oddVBand="0" w:evenVBand="0" w:oddHBand="0" w:evenHBand="0" w:firstRowFirstColumn="0" w:firstRowLastColumn="0" w:lastRowFirstColumn="0" w:lastRowLastColumn="0"/>
            <w:tcW w:w="3005" w:type="dxa"/>
          </w:tcPr>
          <w:p w:rsidR="00A16EC8" w:rsidRPr="005C5F76" w:rsidRDefault="00A16EC8" w:rsidP="00B81F0A">
            <w:pPr>
              <w:rPr>
                <w:rFonts w:ascii="Calibri Light" w:hAnsi="Calibri Light"/>
                <w:sz w:val="22"/>
              </w:rPr>
            </w:pPr>
            <w:r w:rsidRPr="005C5F76">
              <w:rPr>
                <w:rFonts w:ascii="Calibri Light" w:hAnsi="Calibri Light"/>
                <w:sz w:val="22"/>
              </w:rPr>
              <w:t>1.3</w:t>
            </w:r>
          </w:p>
        </w:tc>
        <w:tc>
          <w:tcPr>
            <w:tcW w:w="3005" w:type="dxa"/>
          </w:tcPr>
          <w:p w:rsidR="00A16EC8" w:rsidRPr="005C5F76" w:rsidRDefault="00A16EC8" w:rsidP="00B81F0A">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5C5F76">
              <w:rPr>
                <w:rFonts w:ascii="Calibri" w:hAnsi="Calibri"/>
              </w:rPr>
              <w:t>1.5%</w:t>
            </w:r>
          </w:p>
        </w:tc>
        <w:tc>
          <w:tcPr>
            <w:tcW w:w="3006" w:type="dxa"/>
          </w:tcPr>
          <w:p w:rsidR="00A16EC8" w:rsidRPr="005C5F76" w:rsidRDefault="00A16EC8" w:rsidP="00B81F0A">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5C5F76">
              <w:rPr>
                <w:rFonts w:ascii="Calibri" w:hAnsi="Calibri"/>
              </w:rPr>
              <w:t>27%</w:t>
            </w:r>
          </w:p>
        </w:tc>
      </w:tr>
      <w:tr w:rsidR="00A16EC8" w:rsidRPr="005C5F76" w:rsidTr="00B81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A16EC8" w:rsidRPr="005C5F76" w:rsidRDefault="00A16EC8" w:rsidP="00B81F0A">
            <w:pPr>
              <w:rPr>
                <w:rFonts w:ascii="Calibri Light" w:hAnsi="Calibri Light"/>
              </w:rPr>
            </w:pPr>
            <w:r w:rsidRPr="005C5F76">
              <w:rPr>
                <w:rFonts w:ascii="Calibri Light" w:hAnsi="Calibri Light"/>
                <w:sz w:val="22"/>
              </w:rPr>
              <w:t>1.4</w:t>
            </w:r>
          </w:p>
        </w:tc>
        <w:tc>
          <w:tcPr>
            <w:tcW w:w="3005" w:type="dxa"/>
          </w:tcPr>
          <w:p w:rsidR="00A16EC8" w:rsidRPr="005C5F76" w:rsidRDefault="00A16EC8" w:rsidP="00B81F0A">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5C5F76">
              <w:rPr>
                <w:rFonts w:ascii="Calibri" w:hAnsi="Calibri"/>
              </w:rPr>
              <w:t>1.0%</w:t>
            </w:r>
          </w:p>
        </w:tc>
        <w:tc>
          <w:tcPr>
            <w:tcW w:w="3006" w:type="dxa"/>
          </w:tcPr>
          <w:p w:rsidR="00A16EC8" w:rsidRPr="005C5F76" w:rsidRDefault="00A16EC8" w:rsidP="00B81F0A">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5C5F76">
              <w:rPr>
                <w:rFonts w:ascii="Calibri" w:hAnsi="Calibri"/>
              </w:rPr>
              <w:t>17%</w:t>
            </w:r>
          </w:p>
        </w:tc>
      </w:tr>
      <w:tr w:rsidR="00A16EC8" w:rsidRPr="005C5F76" w:rsidTr="00B81F0A">
        <w:tc>
          <w:tcPr>
            <w:cnfStyle w:val="001000000000" w:firstRow="0" w:lastRow="0" w:firstColumn="1" w:lastColumn="0" w:oddVBand="0" w:evenVBand="0" w:oddHBand="0" w:evenHBand="0" w:firstRowFirstColumn="0" w:firstRowLastColumn="0" w:lastRowFirstColumn="0" w:lastRowLastColumn="0"/>
            <w:tcW w:w="3005" w:type="dxa"/>
          </w:tcPr>
          <w:p w:rsidR="00A16EC8" w:rsidRPr="005C5F76" w:rsidRDefault="00A16EC8" w:rsidP="00B81F0A">
            <w:pPr>
              <w:rPr>
                <w:rFonts w:ascii="Calibri Light" w:hAnsi="Calibri Light"/>
                <w:sz w:val="22"/>
              </w:rPr>
            </w:pPr>
            <w:r w:rsidRPr="005C5F76">
              <w:rPr>
                <w:rFonts w:ascii="Calibri Light" w:hAnsi="Calibri Light"/>
                <w:sz w:val="22"/>
              </w:rPr>
              <w:t>1.5</w:t>
            </w:r>
          </w:p>
        </w:tc>
        <w:tc>
          <w:tcPr>
            <w:tcW w:w="3005" w:type="dxa"/>
          </w:tcPr>
          <w:p w:rsidR="00A16EC8" w:rsidRPr="005C5F76" w:rsidRDefault="00A16EC8" w:rsidP="00B81F0A">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5C5F76">
              <w:rPr>
                <w:rFonts w:ascii="Calibri" w:hAnsi="Calibri"/>
              </w:rPr>
              <w:t>0.9%</w:t>
            </w:r>
          </w:p>
        </w:tc>
        <w:tc>
          <w:tcPr>
            <w:tcW w:w="3006" w:type="dxa"/>
          </w:tcPr>
          <w:p w:rsidR="00A16EC8" w:rsidRPr="005C5F76" w:rsidRDefault="00A16EC8" w:rsidP="00B81F0A">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5C5F76">
              <w:rPr>
                <w:rFonts w:ascii="Calibri" w:hAnsi="Calibri"/>
              </w:rPr>
              <w:t>14%</w:t>
            </w:r>
          </w:p>
        </w:tc>
      </w:tr>
    </w:tbl>
    <w:p w:rsidR="00A16EC8" w:rsidRPr="005C5F76" w:rsidRDefault="00A16EC8" w:rsidP="00A16EC8">
      <w:pPr>
        <w:rPr>
          <w:rFonts w:eastAsia="Calibri"/>
          <w:lang w:val="en-GB"/>
        </w:rPr>
      </w:pPr>
    </w:p>
    <w:p w:rsidR="00A16EC8" w:rsidRPr="005C5F76" w:rsidRDefault="00A16EC8" w:rsidP="00A16EC8">
      <w:pPr>
        <w:rPr>
          <w:rFonts w:eastAsia="Calibri"/>
          <w:lang w:val="en-GB"/>
        </w:rPr>
      </w:pPr>
    </w:p>
    <w:p w:rsidR="00A16EC8" w:rsidRPr="005C5F76" w:rsidRDefault="00A16EC8" w:rsidP="00A16EC8">
      <w:pPr>
        <w:numPr>
          <w:ilvl w:val="0"/>
          <w:numId w:val="2"/>
        </w:numPr>
        <w:contextualSpacing/>
        <w:jc w:val="left"/>
        <w:rPr>
          <w:rFonts w:eastAsia="Calibri" w:cs="Arial"/>
          <w:lang w:val="en-GB"/>
        </w:rPr>
      </w:pPr>
      <w:r w:rsidRPr="005C5F76">
        <w:rPr>
          <w:rFonts w:eastAsia="Calibri" w:cs="Arial"/>
          <w:lang w:val="en-GB"/>
        </w:rPr>
        <w:t>Based on Figure 4, the reduction in the number of cases seen in the example, and the implications on decisions, we suggest a threshold of 1.2 as starting point for discussions in the TWM.</w:t>
      </w:r>
    </w:p>
    <w:p w:rsidR="00A16EC8" w:rsidRDefault="00A16EC8" w:rsidP="00A16EC8">
      <w:pPr>
        <w:rPr>
          <w:rFonts w:eastAsia="Calibri"/>
          <w:lang w:val="en-GB"/>
        </w:rPr>
      </w:pPr>
    </w:p>
    <w:p w:rsidR="00A16EC8" w:rsidRPr="005C5F76" w:rsidRDefault="00A16EC8" w:rsidP="00A16EC8">
      <w:pPr>
        <w:rPr>
          <w:rFonts w:eastAsia="Calibri"/>
          <w:lang w:val="en-GB"/>
        </w:rPr>
      </w:pPr>
    </w:p>
    <w:p w:rsidR="00A16EC8" w:rsidRPr="005C5F76" w:rsidRDefault="00A16EC8" w:rsidP="00A16EC8">
      <w:pPr>
        <w:pStyle w:val="Heading1"/>
        <w:rPr>
          <w:lang w:val="en-GB"/>
        </w:rPr>
      </w:pPr>
      <w:r w:rsidRPr="005C5F76">
        <w:rPr>
          <w:lang w:val="en-GB"/>
        </w:rPr>
        <w:t>What to do in case of extrapolation?</w:t>
      </w:r>
    </w:p>
    <w:p w:rsidR="00A16EC8" w:rsidRPr="005C5F76" w:rsidRDefault="00A16EC8" w:rsidP="00A16EC8">
      <w:pPr>
        <w:keepNext/>
        <w:rPr>
          <w:rFonts w:eastAsia="Calibri"/>
          <w:lang w:val="en-GB"/>
        </w:rPr>
      </w:pPr>
    </w:p>
    <w:p w:rsidR="00A16EC8" w:rsidRPr="005C5F76" w:rsidRDefault="00A16EC8" w:rsidP="00A16EC8">
      <w:pPr>
        <w:keepNext/>
        <w:numPr>
          <w:ilvl w:val="0"/>
          <w:numId w:val="2"/>
        </w:numPr>
        <w:contextualSpacing/>
        <w:rPr>
          <w:rFonts w:eastAsia="Calibri" w:cs="Arial"/>
          <w:lang w:val="en-GB"/>
        </w:rPr>
      </w:pPr>
      <w:r w:rsidRPr="005C5F76">
        <w:rPr>
          <w:rFonts w:eastAsia="Calibri" w:cs="Arial"/>
          <w:lang w:val="en-GB"/>
        </w:rPr>
        <w:t>With no extrapolation, the COYU criterion with splines gives a clear basis for uniformity. With extrapolation, the crop experts must apply judgement. The output from the software, including graphs, can help here. Here, we discuss the factors that may influence the decision, with examples.</w:t>
      </w:r>
    </w:p>
    <w:p w:rsidR="00A16EC8" w:rsidRPr="005C5F76" w:rsidRDefault="00A16EC8" w:rsidP="00A16EC8">
      <w:pPr>
        <w:ind w:left="360"/>
        <w:contextualSpacing/>
        <w:rPr>
          <w:rFonts w:eastAsia="Calibri" w:cs="Arial"/>
          <w:lang w:val="en-GB"/>
        </w:rPr>
      </w:pPr>
    </w:p>
    <w:p w:rsidR="00A16EC8" w:rsidRPr="005C5F76" w:rsidRDefault="00A16EC8" w:rsidP="00A16EC8">
      <w:pPr>
        <w:numPr>
          <w:ilvl w:val="0"/>
          <w:numId w:val="2"/>
        </w:numPr>
        <w:contextualSpacing/>
        <w:rPr>
          <w:rFonts w:eastAsia="Calibri" w:cs="Arial"/>
          <w:lang w:val="en-GB"/>
        </w:rPr>
      </w:pPr>
      <w:r w:rsidRPr="005C5F76">
        <w:rPr>
          <w:rFonts w:eastAsia="Calibri" w:cs="Arial"/>
          <w:lang w:val="en-GB"/>
        </w:rPr>
        <w:t xml:space="preserve"> The following should be considered:</w:t>
      </w:r>
    </w:p>
    <w:p w:rsidR="00A16EC8" w:rsidRPr="005C5F76" w:rsidRDefault="00A16EC8" w:rsidP="00A16EC8">
      <w:pPr>
        <w:ind w:left="720"/>
        <w:contextualSpacing/>
        <w:rPr>
          <w:rFonts w:eastAsia="Calibri" w:cs="Arial"/>
          <w:lang w:val="en-GB"/>
        </w:rPr>
      </w:pPr>
    </w:p>
    <w:p w:rsidR="00A16EC8" w:rsidRPr="005C5F76" w:rsidRDefault="00A16EC8" w:rsidP="00A16EC8">
      <w:pPr>
        <w:numPr>
          <w:ilvl w:val="0"/>
          <w:numId w:val="4"/>
        </w:numPr>
        <w:contextualSpacing/>
        <w:rPr>
          <w:rFonts w:eastAsia="Calibri" w:cs="Arial"/>
          <w:lang w:val="en-GB"/>
        </w:rPr>
      </w:pPr>
      <w:r w:rsidRPr="005C5F76">
        <w:rPr>
          <w:rFonts w:eastAsia="Calibri" w:cs="Arial"/>
          <w:lang w:val="en-GB"/>
        </w:rPr>
        <w:t>The degree of extrapolation;</w:t>
      </w:r>
    </w:p>
    <w:p w:rsidR="00A16EC8" w:rsidRPr="005C5F76" w:rsidRDefault="00A16EC8" w:rsidP="00A16EC8">
      <w:pPr>
        <w:numPr>
          <w:ilvl w:val="0"/>
          <w:numId w:val="4"/>
        </w:numPr>
        <w:contextualSpacing/>
        <w:rPr>
          <w:rFonts w:eastAsia="Calibri" w:cs="Arial"/>
          <w:lang w:val="en-GB"/>
        </w:rPr>
      </w:pPr>
      <w:r w:rsidRPr="005C5F76">
        <w:rPr>
          <w:rFonts w:eastAsia="Calibri" w:cs="Arial"/>
          <w:lang w:val="en-GB"/>
        </w:rPr>
        <w:t>Is it likely that the trend seen in the reference varieties would extend to the candidate?</w:t>
      </w:r>
    </w:p>
    <w:p w:rsidR="00A16EC8" w:rsidRPr="005C5F76" w:rsidRDefault="00A16EC8" w:rsidP="00A16EC8">
      <w:pPr>
        <w:numPr>
          <w:ilvl w:val="0"/>
          <w:numId w:val="4"/>
        </w:numPr>
        <w:contextualSpacing/>
        <w:rPr>
          <w:rFonts w:eastAsia="Calibri" w:cs="Arial"/>
          <w:lang w:val="en-GB"/>
        </w:rPr>
      </w:pPr>
      <w:r w:rsidRPr="005C5F76">
        <w:rPr>
          <w:rFonts w:eastAsia="Calibri" w:cs="Arial"/>
          <w:lang w:val="en-GB"/>
        </w:rPr>
        <w:t xml:space="preserve">What is the situation in other </w:t>
      </w:r>
      <w:proofErr w:type="gramStart"/>
      <w:r w:rsidRPr="005C5F76">
        <w:rPr>
          <w:rFonts w:eastAsia="Calibri" w:cs="Arial"/>
          <w:lang w:val="en-GB"/>
        </w:rPr>
        <w:t>cycles,</w:t>
      </w:r>
      <w:proofErr w:type="gramEnd"/>
      <w:r w:rsidRPr="005C5F76">
        <w:rPr>
          <w:rFonts w:eastAsia="Calibri" w:cs="Arial"/>
          <w:lang w:val="en-GB"/>
        </w:rPr>
        <w:t xml:space="preserve"> is there also extrapolation?</w:t>
      </w:r>
    </w:p>
    <w:p w:rsidR="00A16EC8" w:rsidRPr="005C5F76" w:rsidRDefault="00A16EC8" w:rsidP="00A16EC8">
      <w:pPr>
        <w:rPr>
          <w:rFonts w:eastAsia="Calibri" w:cs="Arial"/>
          <w:lang w:val="en-GB"/>
        </w:rPr>
      </w:pPr>
    </w:p>
    <w:p w:rsidR="00A16EC8" w:rsidRPr="005C5F76" w:rsidRDefault="00A16EC8" w:rsidP="00A16EC8">
      <w:pPr>
        <w:numPr>
          <w:ilvl w:val="0"/>
          <w:numId w:val="2"/>
        </w:numPr>
        <w:contextualSpacing/>
        <w:rPr>
          <w:rFonts w:eastAsia="Calibri" w:cs="Arial"/>
          <w:lang w:val="en-GB"/>
        </w:rPr>
      </w:pPr>
      <w:r w:rsidRPr="005C5F76">
        <w:rPr>
          <w:rFonts w:eastAsia="Calibri" w:cs="Arial"/>
          <w:lang w:val="en-GB"/>
        </w:rPr>
        <w:t xml:space="preserve">The degree of extrapolation is key. If not great, perhaps it is possible to make judgements based on trends seen in the reference varieties. If very large, then the candidate </w:t>
      </w:r>
      <w:proofErr w:type="gramStart"/>
      <w:r w:rsidRPr="005C5F76">
        <w:rPr>
          <w:rFonts w:eastAsia="Calibri" w:cs="Arial"/>
          <w:lang w:val="en-GB"/>
        </w:rPr>
        <w:t>could be seen</w:t>
      </w:r>
      <w:proofErr w:type="gramEnd"/>
      <w:r w:rsidRPr="005C5F76">
        <w:rPr>
          <w:rFonts w:eastAsia="Calibri" w:cs="Arial"/>
          <w:lang w:val="en-GB"/>
        </w:rPr>
        <w:t xml:space="preserve"> as having no comparable varieties. In this case, perhaps the benefit of doubt </w:t>
      </w:r>
      <w:proofErr w:type="gramStart"/>
      <w:r w:rsidRPr="005C5F76">
        <w:rPr>
          <w:rFonts w:eastAsia="Calibri" w:cs="Arial"/>
          <w:lang w:val="en-GB"/>
        </w:rPr>
        <w:t>should be given</w:t>
      </w:r>
      <w:proofErr w:type="gramEnd"/>
      <w:r w:rsidRPr="005C5F76">
        <w:rPr>
          <w:rFonts w:eastAsia="Calibri" w:cs="Arial"/>
          <w:lang w:val="en-GB"/>
        </w:rPr>
        <w:t xml:space="preserve"> to the candidate.</w:t>
      </w:r>
    </w:p>
    <w:p w:rsidR="00A16EC8" w:rsidRPr="005C5F76" w:rsidRDefault="00A16EC8" w:rsidP="00A16EC8">
      <w:pPr>
        <w:rPr>
          <w:rFonts w:eastAsia="Calibri" w:cs="Arial"/>
          <w:lang w:val="en-GB"/>
        </w:rPr>
      </w:pPr>
    </w:p>
    <w:p w:rsidR="00A16EC8" w:rsidRPr="005C5F76" w:rsidRDefault="00A16EC8" w:rsidP="00A16EC8">
      <w:pPr>
        <w:numPr>
          <w:ilvl w:val="0"/>
          <w:numId w:val="2"/>
        </w:numPr>
        <w:contextualSpacing/>
        <w:rPr>
          <w:rFonts w:eastAsia="Calibri" w:cs="Arial"/>
          <w:lang w:val="en-GB"/>
        </w:rPr>
      </w:pPr>
      <w:r w:rsidRPr="005C5F76">
        <w:rPr>
          <w:rFonts w:eastAsia="Calibri" w:cs="Arial"/>
          <w:lang w:val="en-GB"/>
        </w:rPr>
        <w:t xml:space="preserve">The trend seen in the reference varieties </w:t>
      </w:r>
      <w:proofErr w:type="gramStart"/>
      <w:r w:rsidRPr="005C5F76">
        <w:rPr>
          <w:rFonts w:eastAsia="Calibri" w:cs="Arial"/>
          <w:lang w:val="en-GB"/>
        </w:rPr>
        <w:t>may be expected</w:t>
      </w:r>
      <w:proofErr w:type="gramEnd"/>
      <w:r w:rsidRPr="005C5F76">
        <w:rPr>
          <w:rFonts w:eastAsia="Calibri" w:cs="Arial"/>
          <w:lang w:val="en-GB"/>
        </w:rPr>
        <w:t xml:space="preserve"> for some characteristics. In these cases, there may be more confidence in extrapolation.</w:t>
      </w:r>
    </w:p>
    <w:p w:rsidR="00A16EC8" w:rsidRPr="005C5F76" w:rsidRDefault="00A16EC8" w:rsidP="00A16EC8">
      <w:pPr>
        <w:ind w:left="720"/>
        <w:contextualSpacing/>
        <w:rPr>
          <w:rFonts w:eastAsia="Calibri" w:cs="Arial"/>
          <w:lang w:val="en-GB"/>
        </w:rPr>
      </w:pPr>
    </w:p>
    <w:p w:rsidR="00A16EC8" w:rsidRPr="005C5F76" w:rsidRDefault="00A16EC8" w:rsidP="00A16EC8">
      <w:pPr>
        <w:numPr>
          <w:ilvl w:val="0"/>
          <w:numId w:val="2"/>
        </w:numPr>
        <w:contextualSpacing/>
        <w:rPr>
          <w:rFonts w:eastAsia="Calibri" w:cs="Arial"/>
          <w:lang w:val="en-GB"/>
        </w:rPr>
      </w:pPr>
      <w:r w:rsidRPr="005C5F76">
        <w:rPr>
          <w:rFonts w:eastAsia="Calibri" w:cs="Arial"/>
          <w:lang w:val="en-GB"/>
        </w:rPr>
        <w:t xml:space="preserve">It is important to examine the other cycles/years. The COYU decision </w:t>
      </w:r>
      <w:proofErr w:type="gramStart"/>
      <w:r w:rsidRPr="005C5F76">
        <w:rPr>
          <w:rFonts w:eastAsia="Calibri" w:cs="Arial"/>
          <w:lang w:val="en-GB"/>
        </w:rPr>
        <w:t>is made</w:t>
      </w:r>
      <w:proofErr w:type="gramEnd"/>
      <w:r w:rsidRPr="005C5F76">
        <w:rPr>
          <w:rFonts w:eastAsia="Calibri" w:cs="Arial"/>
          <w:lang w:val="en-GB"/>
        </w:rPr>
        <w:t xml:space="preserve"> over cycles/years, and it can be tricky to combine results subjectively if there is inconsistency.</w:t>
      </w:r>
    </w:p>
    <w:p w:rsidR="00A16EC8" w:rsidRPr="005C5F76" w:rsidRDefault="00A16EC8" w:rsidP="00A16EC8">
      <w:pPr>
        <w:ind w:left="720"/>
        <w:contextualSpacing/>
        <w:rPr>
          <w:rFonts w:eastAsia="Calibri" w:cs="Arial"/>
          <w:lang w:val="en-GB"/>
        </w:rPr>
      </w:pPr>
    </w:p>
    <w:p w:rsidR="00A16EC8" w:rsidRPr="005C5F76" w:rsidRDefault="00A16EC8" w:rsidP="00A16EC8">
      <w:pPr>
        <w:numPr>
          <w:ilvl w:val="0"/>
          <w:numId w:val="2"/>
        </w:numPr>
        <w:contextualSpacing/>
        <w:rPr>
          <w:rFonts w:eastAsia="Calibri" w:cs="Arial"/>
          <w:lang w:val="en-GB"/>
        </w:rPr>
      </w:pPr>
      <w:r w:rsidRPr="005C5F76">
        <w:rPr>
          <w:rFonts w:eastAsia="Calibri" w:cs="Arial"/>
          <w:lang w:val="en-GB"/>
        </w:rPr>
        <w:t>We now give some examples for consideration. In Figure 5, we have a case where there is little trend in the reference varieties. Candidate 1 is clearly low in variability compared to the reference varieties, and so might indicate satisfactory uniformity if the other cycles/years are similar. On the other hand, candidate 2 shows high levels of variability compared to the reference varieties, and there may be strong concerns about lack of uniformity.</w:t>
      </w:r>
    </w:p>
    <w:p w:rsidR="00A16EC8" w:rsidRPr="005C5F76" w:rsidRDefault="00A16EC8" w:rsidP="00A16EC8">
      <w:pPr>
        <w:rPr>
          <w:rFonts w:ascii="Calibri" w:eastAsia="Calibri" w:hAnsi="Calibri"/>
          <w:sz w:val="22"/>
          <w:szCs w:val="22"/>
          <w:lang w:val="en-GB"/>
        </w:rPr>
      </w:pPr>
      <w:r w:rsidRPr="005C5F76">
        <w:rPr>
          <w:rFonts w:ascii="Calibri" w:eastAsia="Calibri" w:hAnsi="Calibri"/>
          <w:sz w:val="22"/>
          <w:szCs w:val="22"/>
          <w:lang w:val="en-GB"/>
        </w:rPr>
        <w:t xml:space="preserve"> </w:t>
      </w:r>
      <w:r w:rsidRPr="005C5F76">
        <w:rPr>
          <w:rFonts w:ascii="Calibri" w:eastAsia="Calibri" w:hAnsi="Calibri"/>
          <w:noProof/>
          <w:sz w:val="22"/>
          <w:szCs w:val="22"/>
        </w:rPr>
        <w:drawing>
          <wp:inline distT="0" distB="0" distL="0" distR="0" wp14:anchorId="0E015C50" wp14:editId="653F2B99">
            <wp:extent cx="3375160" cy="3064476"/>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fig4.wmf"/>
                    <pic:cNvPicPr/>
                  </pic:nvPicPr>
                  <pic:blipFill rotWithShape="1">
                    <a:blip r:embed="rId18">
                      <a:extLst>
                        <a:ext uri="{28A0092B-C50C-407E-A947-70E740481C1C}">
                          <a14:useLocalDpi xmlns:a14="http://schemas.microsoft.com/office/drawing/2010/main" val="0"/>
                        </a:ext>
                      </a:extLst>
                    </a:blip>
                    <a:srcRect r="27428" b="34107"/>
                    <a:stretch/>
                  </pic:blipFill>
                  <pic:spPr bwMode="auto">
                    <a:xfrm>
                      <a:off x="0" y="0"/>
                      <a:ext cx="3376275" cy="3065488"/>
                    </a:xfrm>
                    <a:prstGeom prst="rect">
                      <a:avLst/>
                    </a:prstGeom>
                    <a:ln>
                      <a:noFill/>
                    </a:ln>
                    <a:extLst>
                      <a:ext uri="{53640926-AAD7-44D8-BBD7-CCE9431645EC}">
                        <a14:shadowObscured xmlns:a14="http://schemas.microsoft.com/office/drawing/2010/main"/>
                      </a:ext>
                    </a:extLst>
                  </pic:spPr>
                </pic:pic>
              </a:graphicData>
            </a:graphic>
          </wp:inline>
        </w:drawing>
      </w:r>
    </w:p>
    <w:p w:rsidR="00A16EC8" w:rsidRPr="005C5F76" w:rsidRDefault="00A16EC8" w:rsidP="00A16EC8">
      <w:pPr>
        <w:rPr>
          <w:rFonts w:eastAsia="Calibri" w:cs="Arial"/>
          <w:i/>
          <w:sz w:val="18"/>
          <w:szCs w:val="18"/>
          <w:lang w:val="en-GB"/>
        </w:rPr>
      </w:pPr>
      <w:r w:rsidRPr="005C5F76">
        <w:rPr>
          <w:rFonts w:eastAsia="Calibri" w:cs="Arial"/>
          <w:b/>
          <w:sz w:val="18"/>
          <w:szCs w:val="18"/>
          <w:lang w:val="en-GB"/>
        </w:rPr>
        <w:t>Figure 5:</w:t>
      </w:r>
      <w:r w:rsidRPr="005C5F76">
        <w:rPr>
          <w:rFonts w:eastAsia="Calibri" w:cs="Arial"/>
          <w:sz w:val="18"/>
          <w:szCs w:val="18"/>
          <w:lang w:val="en-GB"/>
        </w:rPr>
        <w:t xml:space="preserve"> </w:t>
      </w:r>
      <w:r>
        <w:rPr>
          <w:rFonts w:eastAsia="Calibri" w:cs="Arial"/>
          <w:i/>
          <w:sz w:val="18"/>
          <w:szCs w:val="18"/>
          <w:lang w:val="en-GB"/>
        </w:rPr>
        <w:t>E</w:t>
      </w:r>
      <w:r w:rsidRPr="005C5F76">
        <w:rPr>
          <w:rFonts w:eastAsia="Calibri" w:cs="Arial"/>
          <w:i/>
          <w:sz w:val="18"/>
          <w:szCs w:val="18"/>
          <w:lang w:val="en-GB"/>
        </w:rPr>
        <w:t>xample with little trend evident. The reference varieties are represented by ‘x’ and the candidates by ‘1’ and ‘2’. The blue line is for the spline.</w:t>
      </w:r>
    </w:p>
    <w:p w:rsidR="00A16EC8" w:rsidRPr="005C5F76" w:rsidRDefault="00A16EC8" w:rsidP="00A16EC8">
      <w:pPr>
        <w:rPr>
          <w:rFonts w:eastAsia="Calibri"/>
          <w:lang w:val="en-GB"/>
        </w:rPr>
      </w:pPr>
    </w:p>
    <w:p w:rsidR="00A16EC8" w:rsidRPr="005C5F76" w:rsidRDefault="00A16EC8" w:rsidP="00A16EC8">
      <w:pPr>
        <w:rPr>
          <w:rFonts w:eastAsia="Calibri"/>
          <w:lang w:val="en-GB"/>
        </w:rPr>
      </w:pPr>
    </w:p>
    <w:p w:rsidR="00A16EC8" w:rsidRPr="005C5F76" w:rsidRDefault="00A16EC8" w:rsidP="00A16EC8">
      <w:pPr>
        <w:keepNext/>
        <w:numPr>
          <w:ilvl w:val="0"/>
          <w:numId w:val="2"/>
        </w:numPr>
        <w:contextualSpacing/>
        <w:rPr>
          <w:rFonts w:eastAsia="Calibri" w:cs="Arial"/>
          <w:lang w:val="en-GB"/>
        </w:rPr>
      </w:pPr>
      <w:r w:rsidRPr="005C5F76">
        <w:rPr>
          <w:rFonts w:eastAsia="Calibri" w:cs="Arial"/>
          <w:lang w:val="en-GB"/>
        </w:rPr>
        <w:t xml:space="preserve">In the next example, we return to the same data as in Figure 1. Figure </w:t>
      </w:r>
      <w:proofErr w:type="gramStart"/>
      <w:r w:rsidRPr="005C5F76">
        <w:rPr>
          <w:rFonts w:eastAsia="Calibri" w:cs="Arial"/>
          <w:lang w:val="en-GB"/>
        </w:rPr>
        <w:t>6</w:t>
      </w:r>
      <w:proofErr w:type="gramEnd"/>
      <w:r w:rsidRPr="005C5F76">
        <w:rPr>
          <w:rFonts w:eastAsia="Calibri" w:cs="Arial"/>
          <w:lang w:val="en-GB"/>
        </w:rPr>
        <w:t xml:space="preserve"> shows the same reference variety data, but with two new candidates. Here candidate 1 is broadly in line with the trend, and </w:t>
      </w:r>
      <w:proofErr w:type="gramStart"/>
      <w:r w:rsidRPr="005C5F76">
        <w:rPr>
          <w:rFonts w:eastAsia="Calibri" w:cs="Arial"/>
          <w:lang w:val="en-GB"/>
        </w:rPr>
        <w:t>arguably</w:t>
      </w:r>
      <w:proofErr w:type="gramEnd"/>
      <w:r w:rsidRPr="005C5F76">
        <w:rPr>
          <w:rFonts w:eastAsia="Calibri" w:cs="Arial"/>
          <w:lang w:val="en-GB"/>
        </w:rPr>
        <w:t xml:space="preserve"> there would be no concerns about uniformity here. However, candidate 2 is significantly above the trend line.</w:t>
      </w:r>
    </w:p>
    <w:p w:rsidR="00A16EC8" w:rsidRPr="005C5F76" w:rsidRDefault="00A16EC8" w:rsidP="00A16EC8">
      <w:pPr>
        <w:keepNext/>
        <w:rPr>
          <w:rFonts w:ascii="Calibri" w:eastAsia="Calibri" w:hAnsi="Calibri"/>
          <w:sz w:val="22"/>
          <w:szCs w:val="22"/>
          <w:lang w:val="en-GB"/>
        </w:rPr>
      </w:pPr>
      <w:r w:rsidRPr="005C5F76">
        <w:rPr>
          <w:rFonts w:ascii="Calibri" w:eastAsia="Calibri" w:hAnsi="Calibri"/>
          <w:noProof/>
          <w:sz w:val="22"/>
          <w:szCs w:val="22"/>
        </w:rPr>
        <w:drawing>
          <wp:inline distT="0" distB="0" distL="0" distR="0" wp14:anchorId="437871CF" wp14:editId="7EB2FB3F">
            <wp:extent cx="3230175" cy="3152738"/>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fig6.wmf"/>
                    <pic:cNvPicPr/>
                  </pic:nvPicPr>
                  <pic:blipFill rotWithShape="1">
                    <a:blip r:embed="rId19">
                      <a:extLst>
                        <a:ext uri="{28A0092B-C50C-407E-A947-70E740481C1C}">
                          <a14:useLocalDpi xmlns:a14="http://schemas.microsoft.com/office/drawing/2010/main" val="0"/>
                        </a:ext>
                      </a:extLst>
                    </a:blip>
                    <a:srcRect r="31150" b="32801"/>
                    <a:stretch/>
                  </pic:blipFill>
                  <pic:spPr bwMode="auto">
                    <a:xfrm>
                      <a:off x="0" y="0"/>
                      <a:ext cx="3234502" cy="3156961"/>
                    </a:xfrm>
                    <a:prstGeom prst="rect">
                      <a:avLst/>
                    </a:prstGeom>
                    <a:ln>
                      <a:noFill/>
                    </a:ln>
                    <a:extLst>
                      <a:ext uri="{53640926-AAD7-44D8-BBD7-CCE9431645EC}">
                        <a14:shadowObscured xmlns:a14="http://schemas.microsoft.com/office/drawing/2010/main"/>
                      </a:ext>
                    </a:extLst>
                  </pic:spPr>
                </pic:pic>
              </a:graphicData>
            </a:graphic>
          </wp:inline>
        </w:drawing>
      </w:r>
    </w:p>
    <w:p w:rsidR="00A16EC8" w:rsidRPr="005C5F76" w:rsidRDefault="00A16EC8" w:rsidP="00A16EC8">
      <w:pPr>
        <w:rPr>
          <w:rFonts w:eastAsia="Calibri" w:cs="Arial"/>
          <w:i/>
          <w:sz w:val="18"/>
          <w:szCs w:val="18"/>
          <w:lang w:val="en-GB"/>
        </w:rPr>
      </w:pPr>
      <w:r w:rsidRPr="005C5F76">
        <w:rPr>
          <w:rFonts w:eastAsia="Calibri" w:cs="Arial"/>
          <w:b/>
          <w:sz w:val="18"/>
          <w:szCs w:val="18"/>
          <w:lang w:val="en-GB"/>
        </w:rPr>
        <w:t>Figure 6:</w:t>
      </w:r>
      <w:r w:rsidRPr="005C5F76">
        <w:rPr>
          <w:rFonts w:eastAsia="Calibri" w:cs="Arial"/>
          <w:sz w:val="18"/>
          <w:szCs w:val="18"/>
          <w:lang w:val="en-GB"/>
        </w:rPr>
        <w:t xml:space="preserve"> </w:t>
      </w:r>
      <w:r>
        <w:rPr>
          <w:rFonts w:eastAsia="Calibri" w:cs="Arial"/>
          <w:i/>
          <w:sz w:val="18"/>
          <w:szCs w:val="18"/>
          <w:lang w:val="en-GB"/>
        </w:rPr>
        <w:t>E</w:t>
      </w:r>
      <w:r w:rsidRPr="005C5F76">
        <w:rPr>
          <w:rFonts w:eastAsia="Calibri" w:cs="Arial"/>
          <w:i/>
          <w:sz w:val="18"/>
          <w:szCs w:val="18"/>
          <w:lang w:val="en-GB"/>
        </w:rPr>
        <w:t>xample with a strong trend. The reference varieties are represented by ‘x’ and the candidates by ‘1’ and ‘2’. The blue line is for the spline.</w:t>
      </w:r>
    </w:p>
    <w:p w:rsidR="00A16EC8" w:rsidRPr="005C5F76" w:rsidRDefault="00A16EC8" w:rsidP="00A16EC8">
      <w:pPr>
        <w:rPr>
          <w:rFonts w:eastAsia="Calibri"/>
          <w:lang w:val="en-GB"/>
        </w:rPr>
      </w:pPr>
    </w:p>
    <w:p w:rsidR="00A16EC8" w:rsidRPr="005C5F76" w:rsidRDefault="00A16EC8" w:rsidP="00A16EC8">
      <w:pPr>
        <w:rPr>
          <w:rFonts w:eastAsia="Calibri"/>
          <w:lang w:val="en-GB"/>
        </w:rPr>
      </w:pPr>
    </w:p>
    <w:p w:rsidR="00A16EC8" w:rsidRPr="005C5F76" w:rsidRDefault="00A16EC8" w:rsidP="00A16EC8">
      <w:pPr>
        <w:pStyle w:val="Heading1"/>
        <w:rPr>
          <w:lang w:val="en-GB"/>
        </w:rPr>
      </w:pPr>
      <w:r w:rsidRPr="005C5F76">
        <w:rPr>
          <w:lang w:val="en-GB"/>
        </w:rPr>
        <w:t>Discussions needed</w:t>
      </w:r>
    </w:p>
    <w:p w:rsidR="00A16EC8" w:rsidRPr="005C5F76" w:rsidRDefault="00A16EC8" w:rsidP="00A16EC8">
      <w:pPr>
        <w:rPr>
          <w:rFonts w:eastAsia="Calibri"/>
          <w:lang w:val="en-GB"/>
        </w:rPr>
      </w:pPr>
    </w:p>
    <w:p w:rsidR="00A16EC8" w:rsidRPr="005C5F76" w:rsidRDefault="00A16EC8" w:rsidP="00A16EC8">
      <w:pPr>
        <w:numPr>
          <w:ilvl w:val="0"/>
          <w:numId w:val="2"/>
        </w:numPr>
        <w:contextualSpacing/>
        <w:rPr>
          <w:rFonts w:eastAsia="Calibri" w:cs="Arial"/>
          <w:lang w:val="en-GB"/>
        </w:rPr>
      </w:pPr>
      <w:r w:rsidRPr="005C5F76">
        <w:rPr>
          <w:rFonts w:eastAsia="Calibri" w:cs="Arial"/>
          <w:lang w:val="en-GB"/>
        </w:rPr>
        <w:t xml:space="preserve">Extrapolation is a newly identified issue for COYU, and there is little practical experience of managing it. Although the issue </w:t>
      </w:r>
      <w:proofErr w:type="gramStart"/>
      <w:r w:rsidRPr="005C5F76">
        <w:rPr>
          <w:rFonts w:eastAsia="Calibri" w:cs="Arial"/>
          <w:lang w:val="en-GB"/>
        </w:rPr>
        <w:t>was highlighted</w:t>
      </w:r>
      <w:proofErr w:type="gramEnd"/>
      <w:r w:rsidRPr="005C5F76">
        <w:rPr>
          <w:rFonts w:eastAsia="Calibri" w:cs="Arial"/>
          <w:lang w:val="en-GB"/>
        </w:rPr>
        <w:t xml:space="preserve"> in the development of COYU with splines, it is just as relevant to the old method. Therefore, some discussion is required on how to define it in practical terms, and on what to do when extrapolation </w:t>
      </w:r>
      <w:proofErr w:type="gramStart"/>
      <w:r w:rsidRPr="005C5F76">
        <w:rPr>
          <w:rFonts w:eastAsia="Calibri" w:cs="Arial"/>
          <w:lang w:val="en-GB"/>
        </w:rPr>
        <w:t>is indicated</w:t>
      </w:r>
      <w:proofErr w:type="gramEnd"/>
      <w:r w:rsidRPr="005C5F76">
        <w:rPr>
          <w:rFonts w:eastAsia="Calibri" w:cs="Arial"/>
          <w:lang w:val="en-GB"/>
        </w:rPr>
        <w:t>.</w:t>
      </w:r>
    </w:p>
    <w:p w:rsidR="00A16EC8" w:rsidRPr="005C5F76" w:rsidRDefault="00A16EC8" w:rsidP="00A16EC8">
      <w:pPr>
        <w:ind w:left="360"/>
        <w:contextualSpacing/>
        <w:rPr>
          <w:rFonts w:eastAsia="Calibri" w:cs="Arial"/>
          <w:lang w:val="en-GB"/>
        </w:rPr>
      </w:pPr>
    </w:p>
    <w:p w:rsidR="00A16EC8" w:rsidRPr="005C5F76" w:rsidRDefault="00A16EC8" w:rsidP="00A16EC8">
      <w:pPr>
        <w:numPr>
          <w:ilvl w:val="0"/>
          <w:numId w:val="2"/>
        </w:numPr>
        <w:contextualSpacing/>
        <w:rPr>
          <w:rFonts w:eastAsia="Calibri" w:cs="Arial"/>
          <w:lang w:val="en-GB"/>
        </w:rPr>
      </w:pPr>
      <w:r w:rsidRPr="005C5F76">
        <w:rPr>
          <w:rFonts w:eastAsia="Calibri" w:cs="Arial"/>
          <w:lang w:val="en-GB"/>
        </w:rPr>
        <w:t xml:space="preserve">Experts from the United Kingdom have made proposals here to start discussions within the forum of the TWM.  </w:t>
      </w:r>
    </w:p>
    <w:p w:rsidR="00A16EC8" w:rsidRPr="005C5F76" w:rsidRDefault="00A16EC8" w:rsidP="00A16EC8">
      <w:pPr>
        <w:rPr>
          <w:rFonts w:eastAsia="Calibri" w:cs="Arial"/>
          <w:lang w:val="en-GB"/>
        </w:rPr>
      </w:pPr>
    </w:p>
    <w:p w:rsidR="00A16EC8" w:rsidRPr="005C5F76" w:rsidRDefault="00A16EC8" w:rsidP="00A16EC8">
      <w:pPr>
        <w:numPr>
          <w:ilvl w:val="0"/>
          <w:numId w:val="2"/>
        </w:numPr>
        <w:contextualSpacing/>
        <w:rPr>
          <w:rFonts w:eastAsia="Calibri" w:cs="Arial"/>
          <w:lang w:val="en-GB"/>
        </w:rPr>
      </w:pPr>
      <w:r w:rsidRPr="005C5F76">
        <w:rPr>
          <w:rFonts w:eastAsia="Calibri" w:cs="Arial"/>
          <w:lang w:val="en-GB"/>
        </w:rPr>
        <w:t xml:space="preserve">Once guidance is developed, it </w:t>
      </w:r>
      <w:proofErr w:type="gramStart"/>
      <w:r w:rsidRPr="005C5F76">
        <w:rPr>
          <w:rFonts w:eastAsia="Calibri" w:cs="Arial"/>
          <w:lang w:val="en-GB"/>
        </w:rPr>
        <w:t>can be incorporated into document TGP/8, and reflected in the software</w:t>
      </w:r>
      <w:proofErr w:type="gramEnd"/>
      <w:r w:rsidRPr="005C5F76">
        <w:rPr>
          <w:rFonts w:eastAsia="Calibri" w:cs="Arial"/>
          <w:lang w:val="en-GB"/>
        </w:rPr>
        <w:t>.</w:t>
      </w:r>
    </w:p>
    <w:p w:rsidR="00450501" w:rsidRPr="00772327" w:rsidRDefault="00450501" w:rsidP="00B06F4E">
      <w:pPr>
        <w:rPr>
          <w:rFonts w:eastAsia="Calibri" w:cs="Arial"/>
          <w:lang w:val="en-GB"/>
        </w:rPr>
      </w:pPr>
    </w:p>
    <w:p w:rsidR="00B06F4E" w:rsidRDefault="00B06F4E" w:rsidP="00B06F4E"/>
    <w:p w:rsidR="006A03C0" w:rsidRPr="00C651CE" w:rsidRDefault="006A03C0" w:rsidP="00B06F4E"/>
    <w:p w:rsidR="00B06F4E" w:rsidRPr="00C5280D" w:rsidRDefault="00B06F4E" w:rsidP="00450501">
      <w:pPr>
        <w:jc w:val="right"/>
      </w:pPr>
      <w:r w:rsidRPr="00C5280D">
        <w:t xml:space="preserve">[End of </w:t>
      </w:r>
      <w:r>
        <w:t xml:space="preserve">Annex II and of </w:t>
      </w:r>
      <w:r w:rsidRPr="00C5280D">
        <w:t>document]</w:t>
      </w:r>
    </w:p>
    <w:p w:rsidR="00445B73" w:rsidRPr="00B06F4E" w:rsidRDefault="00445B73" w:rsidP="00445B73">
      <w:pPr>
        <w:jc w:val="right"/>
        <w:rPr>
          <w:rFonts w:cs="Arial"/>
        </w:rPr>
      </w:pPr>
    </w:p>
    <w:p w:rsidR="00445B73" w:rsidRPr="00C5280D" w:rsidRDefault="00445B73" w:rsidP="00445B73">
      <w:pPr>
        <w:jc w:val="left"/>
      </w:pPr>
    </w:p>
    <w:p w:rsidR="00050E16" w:rsidRPr="00C5280D" w:rsidRDefault="00050E16" w:rsidP="009B440E">
      <w:pPr>
        <w:jc w:val="left"/>
      </w:pPr>
    </w:p>
    <w:sectPr w:rsidR="00050E16" w:rsidRPr="00C5280D" w:rsidSect="0004198B">
      <w:headerReference w:type="default" r:id="rId20"/>
      <w:headerReference w:type="first" r:id="rId2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482" w:rsidRDefault="00DD1482" w:rsidP="006655D3">
      <w:r>
        <w:separator/>
      </w:r>
    </w:p>
    <w:p w:rsidR="00DD1482" w:rsidRDefault="00DD1482" w:rsidP="006655D3"/>
    <w:p w:rsidR="00DD1482" w:rsidRDefault="00DD1482" w:rsidP="006655D3"/>
  </w:endnote>
  <w:endnote w:type="continuationSeparator" w:id="0">
    <w:p w:rsidR="00DD1482" w:rsidRDefault="00DD1482" w:rsidP="006655D3">
      <w:r>
        <w:separator/>
      </w:r>
    </w:p>
    <w:p w:rsidR="00DD1482" w:rsidRPr="00294751" w:rsidRDefault="00DD1482">
      <w:pPr>
        <w:pStyle w:val="Footer"/>
        <w:spacing w:after="60"/>
        <w:rPr>
          <w:sz w:val="18"/>
          <w:lang w:val="fr-FR"/>
        </w:rPr>
      </w:pPr>
      <w:r w:rsidRPr="00294751">
        <w:rPr>
          <w:sz w:val="18"/>
          <w:lang w:val="fr-FR"/>
        </w:rPr>
        <w:t>[Suite de la note de la page précédente]</w:t>
      </w:r>
    </w:p>
    <w:p w:rsidR="00DD1482" w:rsidRPr="00294751" w:rsidRDefault="00DD1482" w:rsidP="006655D3">
      <w:pPr>
        <w:rPr>
          <w:lang w:val="fr-FR"/>
        </w:rPr>
      </w:pPr>
    </w:p>
    <w:p w:rsidR="00DD1482" w:rsidRPr="00294751" w:rsidRDefault="00DD1482" w:rsidP="006655D3">
      <w:pPr>
        <w:rPr>
          <w:lang w:val="fr-FR"/>
        </w:rPr>
      </w:pPr>
    </w:p>
  </w:endnote>
  <w:endnote w:type="continuationNotice" w:id="1">
    <w:p w:rsidR="00DD1482" w:rsidRPr="00294751" w:rsidRDefault="00DD1482" w:rsidP="006655D3">
      <w:pPr>
        <w:rPr>
          <w:lang w:val="fr-FR"/>
        </w:rPr>
      </w:pPr>
      <w:r w:rsidRPr="00294751">
        <w:rPr>
          <w:lang w:val="fr-FR"/>
        </w:rPr>
        <w:t>[Suite de la note page suivante]</w:t>
      </w:r>
    </w:p>
    <w:p w:rsidR="00DD1482" w:rsidRPr="00294751" w:rsidRDefault="00DD1482" w:rsidP="006655D3">
      <w:pPr>
        <w:rPr>
          <w:lang w:val="fr-FR"/>
        </w:rPr>
      </w:pPr>
    </w:p>
    <w:p w:rsidR="00DD1482" w:rsidRPr="00294751" w:rsidRDefault="00DD148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482" w:rsidRDefault="00DD1482" w:rsidP="006655D3">
      <w:r>
        <w:separator/>
      </w:r>
    </w:p>
  </w:footnote>
  <w:footnote w:type="continuationSeparator" w:id="0">
    <w:p w:rsidR="00DD1482" w:rsidRDefault="00DD1482" w:rsidP="006655D3">
      <w:r>
        <w:separator/>
      </w:r>
    </w:p>
  </w:footnote>
  <w:footnote w:type="continuationNotice" w:id="1">
    <w:p w:rsidR="00DD1482" w:rsidRPr="00AB530F" w:rsidRDefault="00DD1482" w:rsidP="00AB530F">
      <w:pPr>
        <w:pStyle w:val="Footer"/>
      </w:pPr>
    </w:p>
  </w:footnote>
  <w:footnote w:id="2">
    <w:p w:rsidR="008422AD" w:rsidRDefault="008422AD" w:rsidP="008422AD">
      <w:pPr>
        <w:pStyle w:val="FootnoteText"/>
      </w:pPr>
      <w:r>
        <w:rPr>
          <w:rStyle w:val="FootnoteReference"/>
        </w:rPr>
        <w:footnoteRef/>
      </w:r>
      <w:r>
        <w:t xml:space="preserve"> held in Geneva on October 29 and 30, 2018</w:t>
      </w:r>
    </w:p>
  </w:footnote>
  <w:footnote w:id="3">
    <w:p w:rsidR="005A618A" w:rsidRDefault="005A618A" w:rsidP="005A618A">
      <w:pPr>
        <w:pStyle w:val="FootnoteText"/>
      </w:pPr>
      <w:r>
        <w:rPr>
          <w:rStyle w:val="FootnoteReference"/>
        </w:rPr>
        <w:footnoteRef/>
      </w:r>
      <w:r>
        <w:t xml:space="preserve"> at its fifty-</w:t>
      </w:r>
      <w:r w:rsidR="00E91B19">
        <w:t>seven</w:t>
      </w:r>
      <w:r>
        <w:t>th session, held via electronic means, on October 2</w:t>
      </w:r>
      <w:r w:rsidR="00E91B19">
        <w:t>5</w:t>
      </w:r>
      <w:r>
        <w:t xml:space="preserve"> and 2</w:t>
      </w:r>
      <w:r w:rsidR="00E91B19">
        <w:t>6</w:t>
      </w:r>
      <w:r>
        <w:t>, 202</w:t>
      </w:r>
      <w:r w:rsidR="00E91B19">
        <w:t>1</w:t>
      </w:r>
    </w:p>
  </w:footnote>
  <w:footnote w:id="4">
    <w:p w:rsidR="008422AD" w:rsidRPr="0067537F" w:rsidRDefault="008422AD" w:rsidP="008422AD">
      <w:pPr>
        <w:pStyle w:val="FootnoteText"/>
      </w:pPr>
      <w:r w:rsidRPr="0067537F">
        <w:rPr>
          <w:rStyle w:val="FootnoteReference"/>
        </w:rPr>
        <w:footnoteRef/>
      </w:r>
      <w:r w:rsidRPr="0067537F">
        <w:t xml:space="preserve"> at its fifty-</w:t>
      </w:r>
      <w:r w:rsidR="0067537F" w:rsidRPr="0067537F">
        <w:t>sixth</w:t>
      </w:r>
      <w:r w:rsidRPr="0067537F">
        <w:t xml:space="preserve"> session, </w:t>
      </w:r>
      <w:r w:rsidR="0067537F" w:rsidRPr="0067537F">
        <w:t>held via electronic means, from April 18 to 22, 2022</w:t>
      </w:r>
    </w:p>
  </w:footnote>
  <w:footnote w:id="5">
    <w:p w:rsidR="0070630F" w:rsidRPr="0067537F" w:rsidRDefault="0070630F" w:rsidP="0070630F">
      <w:pPr>
        <w:pStyle w:val="FootnoteText"/>
        <w:rPr>
          <w:highlight w:val="cyan"/>
        </w:rPr>
      </w:pPr>
      <w:r w:rsidRPr="0067537F">
        <w:rPr>
          <w:rStyle w:val="FootnoteReference"/>
        </w:rPr>
        <w:footnoteRef/>
      </w:r>
      <w:r w:rsidRPr="0067537F">
        <w:t xml:space="preserve"> at its fift</w:t>
      </w:r>
      <w:r w:rsidR="0067537F" w:rsidRPr="0067537F">
        <w:t xml:space="preserve">y-first </w:t>
      </w:r>
      <w:r w:rsidRPr="0067537F">
        <w:t xml:space="preserve">session, </w:t>
      </w:r>
      <w:r w:rsidR="0067537F" w:rsidRPr="0067537F">
        <w:t>hosted by the United Kingdom and held via electronic means, from May 23 to 27, 2022</w:t>
      </w:r>
    </w:p>
  </w:footnote>
  <w:footnote w:id="6">
    <w:p w:rsidR="008422AD" w:rsidRPr="0067537F" w:rsidRDefault="008422AD" w:rsidP="008422AD">
      <w:pPr>
        <w:pStyle w:val="FootnoteText"/>
        <w:rPr>
          <w:highlight w:val="cyan"/>
        </w:rPr>
      </w:pPr>
      <w:r w:rsidRPr="00D27BB4">
        <w:rPr>
          <w:rStyle w:val="FootnoteReference"/>
        </w:rPr>
        <w:footnoteRef/>
      </w:r>
      <w:r w:rsidRPr="00D27BB4">
        <w:t xml:space="preserve"> at its fifty-</w:t>
      </w:r>
      <w:r w:rsidR="0067537F" w:rsidRPr="00D27BB4">
        <w:t>fourth</w:t>
      </w:r>
      <w:r w:rsidRPr="00D27BB4">
        <w:t xml:space="preserve"> session</w:t>
      </w:r>
      <w:r w:rsidR="00D27BB4" w:rsidRPr="00D27BB4">
        <w:t>, , hosted by Germany</w:t>
      </w:r>
      <w:r w:rsidR="0070630F" w:rsidRPr="00D27BB4">
        <w:t xml:space="preserve"> held via electronic means, from </w:t>
      </w:r>
      <w:r w:rsidR="00D27BB4" w:rsidRPr="00D27BB4">
        <w:t>June</w:t>
      </w:r>
      <w:r w:rsidR="0070630F" w:rsidRPr="00D27BB4">
        <w:t xml:space="preserve"> </w:t>
      </w:r>
      <w:r w:rsidR="00D27BB4" w:rsidRPr="00D27BB4">
        <w:t>13</w:t>
      </w:r>
      <w:r w:rsidR="0070630F" w:rsidRPr="00D27BB4">
        <w:t xml:space="preserve"> to </w:t>
      </w:r>
      <w:r w:rsidR="00D27BB4" w:rsidRPr="00D27BB4">
        <w:t>1</w:t>
      </w:r>
      <w:r w:rsidR="0070630F" w:rsidRPr="00D27BB4">
        <w:t>7, 2022</w:t>
      </w:r>
    </w:p>
  </w:footnote>
  <w:footnote w:id="7">
    <w:p w:rsidR="008422AD" w:rsidRDefault="008422AD" w:rsidP="008422AD">
      <w:pPr>
        <w:pStyle w:val="FootnoteText"/>
      </w:pPr>
      <w:r w:rsidRPr="00D27BB4">
        <w:rPr>
          <w:rStyle w:val="FootnoteReference"/>
        </w:rPr>
        <w:footnoteRef/>
      </w:r>
      <w:r w:rsidRPr="00D27BB4">
        <w:t xml:space="preserve"> at its fifty-</w:t>
      </w:r>
      <w:r w:rsidR="00D27BB4" w:rsidRPr="00D27BB4">
        <w:t>third</w:t>
      </w:r>
      <w:r w:rsidRPr="00D27BB4">
        <w:t xml:space="preserve"> session, held via electronic means, from July </w:t>
      </w:r>
      <w:r w:rsidR="00D27BB4" w:rsidRPr="00D27BB4">
        <w:t>11</w:t>
      </w:r>
      <w:r w:rsidRPr="00D27BB4">
        <w:t xml:space="preserve"> to </w:t>
      </w:r>
      <w:r w:rsidR="00D27BB4" w:rsidRPr="00D27BB4">
        <w:t>15</w:t>
      </w:r>
      <w:r w:rsidRPr="00D27BB4">
        <w:t>, 202</w:t>
      </w:r>
      <w:r w:rsidR="00D27BB4" w:rsidRPr="00D27BB4">
        <w:t>2</w:t>
      </w:r>
    </w:p>
  </w:footnote>
  <w:footnote w:id="8">
    <w:p w:rsidR="007915C4" w:rsidRPr="005F1F78" w:rsidRDefault="007915C4" w:rsidP="007915C4">
      <w:pPr>
        <w:pStyle w:val="FootnoteText"/>
      </w:pPr>
      <w:r w:rsidRPr="005F1F78">
        <w:rPr>
          <w:rStyle w:val="FootnoteReference"/>
        </w:rPr>
        <w:footnoteRef/>
      </w:r>
      <w:r w:rsidRPr="005F1F78">
        <w:t xml:space="preserve"> </w:t>
      </w:r>
      <w:r w:rsidR="00025ADC" w:rsidRPr="00D27BB4">
        <w:t>at its fi</w:t>
      </w:r>
      <w:r w:rsidR="00025ADC">
        <w:t>rst</w:t>
      </w:r>
      <w:r w:rsidR="00025ADC" w:rsidRPr="00D27BB4">
        <w:t xml:space="preserve"> session, held via electronic means, from </w:t>
      </w:r>
      <w:r w:rsidR="00025ADC">
        <w:t>September</w:t>
      </w:r>
      <w:r w:rsidR="00025ADC" w:rsidRPr="00D27BB4">
        <w:t xml:space="preserve"> 1</w:t>
      </w:r>
      <w:r w:rsidR="00025ADC">
        <w:t>9</w:t>
      </w:r>
      <w:r w:rsidR="00025ADC" w:rsidRPr="00D27BB4">
        <w:t xml:space="preserve"> to </w:t>
      </w:r>
      <w:r w:rsidR="00025ADC">
        <w:t>23</w:t>
      </w:r>
      <w:r w:rsidR="00025ADC" w:rsidRPr="00D27BB4">
        <w:t>, 2022</w:t>
      </w:r>
    </w:p>
  </w:footnote>
  <w:footnote w:id="9">
    <w:p w:rsidR="00A16EC8" w:rsidRDefault="00A16EC8" w:rsidP="00A16EC8">
      <w:pPr>
        <w:pStyle w:val="FootnoteText"/>
      </w:pPr>
      <w:r>
        <w:rPr>
          <w:rStyle w:val="FootnoteReference"/>
        </w:rPr>
        <w:footnoteRef/>
      </w:r>
      <w:r>
        <w:t xml:space="preserve"> Comparable varieties </w:t>
      </w:r>
      <w:proofErr w:type="gramStart"/>
      <w:r>
        <w:t>are known</w:t>
      </w:r>
      <w:proofErr w:type="gramEnd"/>
      <w:r>
        <w:t xml:space="preserve"> varieties believed to be of a similar type or nature to the new variety in question. This terminology is used in TG/1/3 and TGP/8/3 in preference to the term reference varieties in this context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3D0839" w:rsidP="00EB048E">
    <w:pPr>
      <w:pStyle w:val="Header"/>
      <w:rPr>
        <w:rStyle w:val="PageNumber"/>
        <w:lang w:val="en-US"/>
      </w:rPr>
    </w:pPr>
    <w:r>
      <w:rPr>
        <w:rStyle w:val="PageNumber"/>
        <w:lang w:val="en-US"/>
      </w:rPr>
      <w:t>TC/58</w:t>
    </w:r>
    <w:r w:rsidR="0004198B">
      <w:rPr>
        <w:rStyle w:val="PageNumber"/>
        <w:lang w:val="en-US"/>
      </w:rPr>
      <w:t>/</w:t>
    </w:r>
    <w:r w:rsidR="003D5F5B">
      <w:rPr>
        <w:rStyle w:val="PageNumber"/>
        <w:lang w:val="en-US"/>
      </w:rPr>
      <w:t>6</w:t>
    </w:r>
  </w:p>
  <w:p w:rsidR="00B06F4E" w:rsidRPr="00455A1B" w:rsidRDefault="00B06F4E" w:rsidP="00B06F4E">
    <w:pPr>
      <w:jc w:val="center"/>
    </w:pPr>
    <w:proofErr w:type="gramStart"/>
    <w:r w:rsidRPr="00455A1B">
      <w:t>page</w:t>
    </w:r>
    <w:proofErr w:type="gramEnd"/>
    <w:r w:rsidRPr="00455A1B">
      <w:t xml:space="preserve"> </w:t>
    </w:r>
    <w:r w:rsidRPr="00455A1B">
      <w:fldChar w:fldCharType="begin"/>
    </w:r>
    <w:r w:rsidRPr="00455A1B">
      <w:instrText xml:space="preserve"> PAGE </w:instrText>
    </w:r>
    <w:r w:rsidRPr="00455A1B">
      <w:fldChar w:fldCharType="separate"/>
    </w:r>
    <w:r w:rsidR="0053540D">
      <w:rPr>
        <w:noProof/>
      </w:rPr>
      <w:t>4</w:t>
    </w:r>
    <w:r w:rsidRPr="00455A1B">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764" w:rsidRPr="00C5280D" w:rsidRDefault="00302764" w:rsidP="00EB048E">
    <w:pPr>
      <w:pStyle w:val="Header"/>
      <w:rPr>
        <w:rStyle w:val="PageNumber"/>
        <w:lang w:val="en-US"/>
      </w:rPr>
    </w:pPr>
    <w:r>
      <w:rPr>
        <w:rStyle w:val="PageNumber"/>
        <w:lang w:val="en-US"/>
      </w:rPr>
      <w:t>TC/58/6</w:t>
    </w:r>
  </w:p>
  <w:p w:rsidR="00302764" w:rsidRPr="00455A1B" w:rsidRDefault="00302764" w:rsidP="00B06F4E">
    <w:pPr>
      <w:jc w:val="center"/>
    </w:pPr>
    <w:r w:rsidRPr="0031757A">
      <w:t>A</w:t>
    </w:r>
    <w:r w:rsidR="00990D12">
      <w:t>nnex</w:t>
    </w:r>
    <w:r w:rsidRPr="0031757A">
      <w:t xml:space="preserve"> I</w:t>
    </w:r>
    <w:r>
      <w:t xml:space="preserve">, </w:t>
    </w:r>
    <w:r w:rsidRPr="00455A1B">
      <w:t xml:space="preserve">page </w:t>
    </w:r>
    <w:r w:rsidRPr="00455A1B">
      <w:fldChar w:fldCharType="begin"/>
    </w:r>
    <w:r w:rsidRPr="00455A1B">
      <w:instrText xml:space="preserve"> PAGE </w:instrText>
    </w:r>
    <w:r w:rsidRPr="00455A1B">
      <w:fldChar w:fldCharType="separate"/>
    </w:r>
    <w:r w:rsidR="00990D12">
      <w:rPr>
        <w:noProof/>
      </w:rPr>
      <w:t>2</w:t>
    </w:r>
    <w:r w:rsidRPr="00455A1B">
      <w:fldChar w:fldCharType="end"/>
    </w:r>
  </w:p>
  <w:p w:rsidR="00302764" w:rsidRPr="00C5280D" w:rsidRDefault="00302764"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764" w:rsidRDefault="00302764" w:rsidP="00A16EC8">
    <w:pPr>
      <w:jc w:val="center"/>
      <w:rPr>
        <w:rStyle w:val="PageNumber"/>
      </w:rPr>
    </w:pPr>
    <w:r w:rsidRPr="0035578C">
      <w:rPr>
        <w:rStyle w:val="PageNumber"/>
      </w:rPr>
      <w:t>TC/58/</w:t>
    </w:r>
    <w:r>
      <w:rPr>
        <w:rStyle w:val="PageNumber"/>
      </w:rPr>
      <w:t>6</w:t>
    </w:r>
  </w:p>
  <w:p w:rsidR="00302764" w:rsidRDefault="00302764" w:rsidP="00A16EC8">
    <w:pPr>
      <w:jc w:val="center"/>
      <w:rPr>
        <w:rStyle w:val="PageNumber"/>
      </w:rPr>
    </w:pPr>
  </w:p>
  <w:p w:rsidR="00302764" w:rsidRDefault="00302764" w:rsidP="00A16EC8">
    <w:pPr>
      <w:jc w:val="center"/>
    </w:pPr>
    <w:r w:rsidRPr="0031757A">
      <w:t>ANNEX I</w:t>
    </w:r>
  </w:p>
  <w:p w:rsidR="00990D12" w:rsidRPr="0004198B" w:rsidRDefault="00990D12" w:rsidP="00A16EC8">
    <w:pP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764" w:rsidRPr="00C5280D" w:rsidRDefault="00302764" w:rsidP="00EB048E">
    <w:pPr>
      <w:pStyle w:val="Header"/>
      <w:rPr>
        <w:rStyle w:val="PageNumber"/>
        <w:lang w:val="en-US"/>
      </w:rPr>
    </w:pPr>
    <w:r>
      <w:rPr>
        <w:rStyle w:val="PageNumber"/>
        <w:lang w:val="en-US"/>
      </w:rPr>
      <w:t>TC/58/6</w:t>
    </w:r>
  </w:p>
  <w:p w:rsidR="00302764" w:rsidRPr="00455A1B" w:rsidRDefault="00302764" w:rsidP="00B06F4E">
    <w:pPr>
      <w:jc w:val="center"/>
    </w:pPr>
    <w:r w:rsidRPr="0031757A">
      <w:t>A</w:t>
    </w:r>
    <w:r w:rsidR="00990D12">
      <w:t>nnex</w:t>
    </w:r>
    <w:r w:rsidRPr="0031757A">
      <w:t xml:space="preserve"> </w:t>
    </w:r>
    <w:r>
      <w:t>I</w:t>
    </w:r>
    <w:r w:rsidRPr="0031757A">
      <w:t>I</w:t>
    </w:r>
    <w:r>
      <w:t xml:space="preserve">, </w:t>
    </w:r>
    <w:r w:rsidRPr="00455A1B">
      <w:t xml:space="preserve">page </w:t>
    </w:r>
    <w:r w:rsidRPr="00455A1B">
      <w:fldChar w:fldCharType="begin"/>
    </w:r>
    <w:r w:rsidRPr="00455A1B">
      <w:instrText xml:space="preserve"> PAGE </w:instrText>
    </w:r>
    <w:r w:rsidRPr="00455A1B">
      <w:fldChar w:fldCharType="separate"/>
    </w:r>
    <w:r w:rsidR="0053540D">
      <w:rPr>
        <w:noProof/>
      </w:rPr>
      <w:t>6</w:t>
    </w:r>
    <w:r w:rsidRPr="00455A1B">
      <w:fldChar w:fldCharType="end"/>
    </w:r>
  </w:p>
  <w:p w:rsidR="00302764" w:rsidRPr="00C5280D" w:rsidRDefault="00302764"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D12" w:rsidRDefault="00990D12" w:rsidP="00A16EC8">
    <w:pPr>
      <w:jc w:val="center"/>
      <w:rPr>
        <w:rStyle w:val="PageNumber"/>
      </w:rPr>
    </w:pPr>
    <w:r w:rsidRPr="0035578C">
      <w:rPr>
        <w:rStyle w:val="PageNumber"/>
      </w:rPr>
      <w:t>TC/58/</w:t>
    </w:r>
    <w:r>
      <w:rPr>
        <w:rStyle w:val="PageNumber"/>
      </w:rPr>
      <w:t>6</w:t>
    </w:r>
  </w:p>
  <w:p w:rsidR="00990D12" w:rsidRDefault="00990D12" w:rsidP="00A16EC8">
    <w:pPr>
      <w:jc w:val="center"/>
      <w:rPr>
        <w:rStyle w:val="PageNumber"/>
      </w:rPr>
    </w:pPr>
  </w:p>
  <w:p w:rsidR="00990D12" w:rsidRDefault="00990D12" w:rsidP="00A16EC8">
    <w:pPr>
      <w:jc w:val="center"/>
    </w:pPr>
    <w:r w:rsidRPr="0031757A">
      <w:t>ANNEX I</w:t>
    </w:r>
    <w:r>
      <w:t>I</w:t>
    </w:r>
  </w:p>
  <w:p w:rsidR="00990D12" w:rsidRPr="0004198B" w:rsidRDefault="00990D12" w:rsidP="00A16EC8">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7EF2"/>
    <w:multiLevelType w:val="hybridMultilevel"/>
    <w:tmpl w:val="C352DB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D6439B4"/>
    <w:multiLevelType w:val="hybridMultilevel"/>
    <w:tmpl w:val="E97A8FDE"/>
    <w:lvl w:ilvl="0" w:tplc="4216DB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EB783F"/>
    <w:multiLevelType w:val="hybridMultilevel"/>
    <w:tmpl w:val="354C1F2A"/>
    <w:lvl w:ilvl="0" w:tplc="EE26DAB2">
      <w:start w:val="1"/>
      <w:numFmt w:val="decimal"/>
      <w:lvlText w:val="%1."/>
      <w:lvlJc w:val="left"/>
      <w:pPr>
        <w:ind w:left="360" w:hanging="360"/>
      </w:pPr>
      <w:rPr>
        <w:rFonts w:ascii="Arial" w:hAnsi="Arial" w:cs="Arial" w:hint="default"/>
        <w:i w:val="0"/>
        <w:sz w:val="20"/>
        <w:szCs w:val="2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DD04FC4"/>
    <w:multiLevelType w:val="hybridMultilevel"/>
    <w:tmpl w:val="97807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533CFD"/>
    <w:multiLevelType w:val="hybridMultilevel"/>
    <w:tmpl w:val="F894C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6" w15:restartNumberingAfterBreak="0">
    <w:nsid w:val="6B6B30A8"/>
    <w:multiLevelType w:val="hybridMultilevel"/>
    <w:tmpl w:val="2BB41828"/>
    <w:lvl w:ilvl="0" w:tplc="81D65F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A5320D"/>
    <w:multiLevelType w:val="hybridMultilevel"/>
    <w:tmpl w:val="FEBAD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7"/>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82"/>
    <w:rsid w:val="00010CF3"/>
    <w:rsid w:val="00011E27"/>
    <w:rsid w:val="000148BC"/>
    <w:rsid w:val="00024AB8"/>
    <w:rsid w:val="00025ADC"/>
    <w:rsid w:val="00030854"/>
    <w:rsid w:val="00036028"/>
    <w:rsid w:val="0004198B"/>
    <w:rsid w:val="00044642"/>
    <w:rsid w:val="000446B9"/>
    <w:rsid w:val="00047E21"/>
    <w:rsid w:val="00050E16"/>
    <w:rsid w:val="00051FED"/>
    <w:rsid w:val="000571F7"/>
    <w:rsid w:val="000835C9"/>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44612"/>
    <w:rsid w:val="0015619C"/>
    <w:rsid w:val="00172084"/>
    <w:rsid w:val="0017474A"/>
    <w:rsid w:val="001758C6"/>
    <w:rsid w:val="00182B99"/>
    <w:rsid w:val="001C1525"/>
    <w:rsid w:val="001C6546"/>
    <w:rsid w:val="0021332C"/>
    <w:rsid w:val="00213982"/>
    <w:rsid w:val="0024416D"/>
    <w:rsid w:val="00270348"/>
    <w:rsid w:val="00271911"/>
    <w:rsid w:val="00273187"/>
    <w:rsid w:val="002800A0"/>
    <w:rsid w:val="002801B3"/>
    <w:rsid w:val="00281060"/>
    <w:rsid w:val="00284050"/>
    <w:rsid w:val="00284ACE"/>
    <w:rsid w:val="00285BD0"/>
    <w:rsid w:val="002940E8"/>
    <w:rsid w:val="00294751"/>
    <w:rsid w:val="002A6E50"/>
    <w:rsid w:val="002B4298"/>
    <w:rsid w:val="002B587E"/>
    <w:rsid w:val="002B7A36"/>
    <w:rsid w:val="002C256A"/>
    <w:rsid w:val="002D5226"/>
    <w:rsid w:val="002D7623"/>
    <w:rsid w:val="00302764"/>
    <w:rsid w:val="00305A7F"/>
    <w:rsid w:val="003065A8"/>
    <w:rsid w:val="003152FE"/>
    <w:rsid w:val="00327436"/>
    <w:rsid w:val="0034068E"/>
    <w:rsid w:val="00344BD6"/>
    <w:rsid w:val="0035528D"/>
    <w:rsid w:val="00361821"/>
    <w:rsid w:val="00361E9E"/>
    <w:rsid w:val="00367A58"/>
    <w:rsid w:val="003753EE"/>
    <w:rsid w:val="003A0835"/>
    <w:rsid w:val="003A5AAF"/>
    <w:rsid w:val="003B5240"/>
    <w:rsid w:val="003B700A"/>
    <w:rsid w:val="003C7FBE"/>
    <w:rsid w:val="003D0839"/>
    <w:rsid w:val="003D227C"/>
    <w:rsid w:val="003D2B4D"/>
    <w:rsid w:val="003D5F5B"/>
    <w:rsid w:val="003F37F5"/>
    <w:rsid w:val="004133B2"/>
    <w:rsid w:val="00444A88"/>
    <w:rsid w:val="00445B73"/>
    <w:rsid w:val="00447E75"/>
    <w:rsid w:val="00450501"/>
    <w:rsid w:val="00474DA4"/>
    <w:rsid w:val="00476B4D"/>
    <w:rsid w:val="004805FA"/>
    <w:rsid w:val="004935D2"/>
    <w:rsid w:val="004B1215"/>
    <w:rsid w:val="004D047D"/>
    <w:rsid w:val="004D34C0"/>
    <w:rsid w:val="004F1E9E"/>
    <w:rsid w:val="004F305A"/>
    <w:rsid w:val="005007AA"/>
    <w:rsid w:val="00512164"/>
    <w:rsid w:val="00520297"/>
    <w:rsid w:val="005338F9"/>
    <w:rsid w:val="0053540D"/>
    <w:rsid w:val="0054281C"/>
    <w:rsid w:val="00542955"/>
    <w:rsid w:val="00544581"/>
    <w:rsid w:val="0055268D"/>
    <w:rsid w:val="00575DE2"/>
    <w:rsid w:val="00576BE4"/>
    <w:rsid w:val="005779DB"/>
    <w:rsid w:val="005A2A67"/>
    <w:rsid w:val="005A400A"/>
    <w:rsid w:val="005A618A"/>
    <w:rsid w:val="005B269D"/>
    <w:rsid w:val="005F7B92"/>
    <w:rsid w:val="00612379"/>
    <w:rsid w:val="006153B6"/>
    <w:rsid w:val="0061555F"/>
    <w:rsid w:val="006245ED"/>
    <w:rsid w:val="00636CA6"/>
    <w:rsid w:val="00641200"/>
    <w:rsid w:val="00645CA8"/>
    <w:rsid w:val="006655D3"/>
    <w:rsid w:val="00667404"/>
    <w:rsid w:val="0067537F"/>
    <w:rsid w:val="00687EB4"/>
    <w:rsid w:val="00695C56"/>
    <w:rsid w:val="006A03C0"/>
    <w:rsid w:val="006A5CDE"/>
    <w:rsid w:val="006A644A"/>
    <w:rsid w:val="006B17D2"/>
    <w:rsid w:val="006C224E"/>
    <w:rsid w:val="006D780A"/>
    <w:rsid w:val="00700DD6"/>
    <w:rsid w:val="0070630F"/>
    <w:rsid w:val="0071271E"/>
    <w:rsid w:val="0072507E"/>
    <w:rsid w:val="00732DEC"/>
    <w:rsid w:val="00735BD5"/>
    <w:rsid w:val="007451EC"/>
    <w:rsid w:val="00751613"/>
    <w:rsid w:val="00753EE9"/>
    <w:rsid w:val="007556F6"/>
    <w:rsid w:val="00760EEF"/>
    <w:rsid w:val="00777EE5"/>
    <w:rsid w:val="00784836"/>
    <w:rsid w:val="0079023E"/>
    <w:rsid w:val="007915C4"/>
    <w:rsid w:val="007A2854"/>
    <w:rsid w:val="007B1BA8"/>
    <w:rsid w:val="007C1D92"/>
    <w:rsid w:val="007C4CB9"/>
    <w:rsid w:val="007D0B9D"/>
    <w:rsid w:val="007D19B0"/>
    <w:rsid w:val="007F498F"/>
    <w:rsid w:val="00800C5A"/>
    <w:rsid w:val="0080679D"/>
    <w:rsid w:val="008108B0"/>
    <w:rsid w:val="00811B20"/>
    <w:rsid w:val="00812609"/>
    <w:rsid w:val="008211B5"/>
    <w:rsid w:val="0082296E"/>
    <w:rsid w:val="00824099"/>
    <w:rsid w:val="00827704"/>
    <w:rsid w:val="00836B13"/>
    <w:rsid w:val="008422AD"/>
    <w:rsid w:val="00846D7C"/>
    <w:rsid w:val="0086245B"/>
    <w:rsid w:val="00867AC1"/>
    <w:rsid w:val="008751DE"/>
    <w:rsid w:val="00890DF8"/>
    <w:rsid w:val="008A0ADE"/>
    <w:rsid w:val="008A743F"/>
    <w:rsid w:val="008C0970"/>
    <w:rsid w:val="008D0BC5"/>
    <w:rsid w:val="008D2CF7"/>
    <w:rsid w:val="00900C26"/>
    <w:rsid w:val="0090197F"/>
    <w:rsid w:val="00903264"/>
    <w:rsid w:val="00906DDC"/>
    <w:rsid w:val="00934E09"/>
    <w:rsid w:val="00936253"/>
    <w:rsid w:val="00940D46"/>
    <w:rsid w:val="009413F1"/>
    <w:rsid w:val="00952DD4"/>
    <w:rsid w:val="009561F4"/>
    <w:rsid w:val="00965AE7"/>
    <w:rsid w:val="00970FED"/>
    <w:rsid w:val="00985E41"/>
    <w:rsid w:val="00990D12"/>
    <w:rsid w:val="00992D82"/>
    <w:rsid w:val="00997029"/>
    <w:rsid w:val="009A7339"/>
    <w:rsid w:val="009B440E"/>
    <w:rsid w:val="009D3227"/>
    <w:rsid w:val="009D690D"/>
    <w:rsid w:val="009E2692"/>
    <w:rsid w:val="009E65B6"/>
    <w:rsid w:val="009F0A51"/>
    <w:rsid w:val="009F0B7F"/>
    <w:rsid w:val="009F77CF"/>
    <w:rsid w:val="00A12795"/>
    <w:rsid w:val="00A16EC8"/>
    <w:rsid w:val="00A2054A"/>
    <w:rsid w:val="00A24C10"/>
    <w:rsid w:val="00A36C59"/>
    <w:rsid w:val="00A42AC3"/>
    <w:rsid w:val="00A430CF"/>
    <w:rsid w:val="00A54309"/>
    <w:rsid w:val="00A5499F"/>
    <w:rsid w:val="00A55168"/>
    <w:rsid w:val="00A610A9"/>
    <w:rsid w:val="00A80F2A"/>
    <w:rsid w:val="00A96C33"/>
    <w:rsid w:val="00AB2B93"/>
    <w:rsid w:val="00AB530F"/>
    <w:rsid w:val="00AB7E5B"/>
    <w:rsid w:val="00AC2883"/>
    <w:rsid w:val="00AE0EF1"/>
    <w:rsid w:val="00AE2937"/>
    <w:rsid w:val="00AE3F08"/>
    <w:rsid w:val="00B06F4E"/>
    <w:rsid w:val="00B07301"/>
    <w:rsid w:val="00B11F3E"/>
    <w:rsid w:val="00B224DE"/>
    <w:rsid w:val="00B324D4"/>
    <w:rsid w:val="00B46575"/>
    <w:rsid w:val="00B50005"/>
    <w:rsid w:val="00B61777"/>
    <w:rsid w:val="00B622E6"/>
    <w:rsid w:val="00B83E82"/>
    <w:rsid w:val="00B84BBD"/>
    <w:rsid w:val="00B91195"/>
    <w:rsid w:val="00BA43FB"/>
    <w:rsid w:val="00BC127D"/>
    <w:rsid w:val="00BC1FE6"/>
    <w:rsid w:val="00BD42F5"/>
    <w:rsid w:val="00C061B6"/>
    <w:rsid w:val="00C2446C"/>
    <w:rsid w:val="00C36AE5"/>
    <w:rsid w:val="00C41F17"/>
    <w:rsid w:val="00C45098"/>
    <w:rsid w:val="00C527FA"/>
    <w:rsid w:val="00C5280D"/>
    <w:rsid w:val="00C53EB3"/>
    <w:rsid w:val="00C5791C"/>
    <w:rsid w:val="00C66290"/>
    <w:rsid w:val="00C72B7A"/>
    <w:rsid w:val="00C87187"/>
    <w:rsid w:val="00C973F2"/>
    <w:rsid w:val="00CA304C"/>
    <w:rsid w:val="00CA774A"/>
    <w:rsid w:val="00CB4921"/>
    <w:rsid w:val="00CC11B0"/>
    <w:rsid w:val="00CC2841"/>
    <w:rsid w:val="00CC6619"/>
    <w:rsid w:val="00CF1330"/>
    <w:rsid w:val="00CF4074"/>
    <w:rsid w:val="00CF7E36"/>
    <w:rsid w:val="00D27BB4"/>
    <w:rsid w:val="00D3708D"/>
    <w:rsid w:val="00D40426"/>
    <w:rsid w:val="00D57C96"/>
    <w:rsid w:val="00D57D18"/>
    <w:rsid w:val="00D644CD"/>
    <w:rsid w:val="00D70E65"/>
    <w:rsid w:val="00D91203"/>
    <w:rsid w:val="00D95174"/>
    <w:rsid w:val="00DA4973"/>
    <w:rsid w:val="00DA6F36"/>
    <w:rsid w:val="00DB596E"/>
    <w:rsid w:val="00DB7773"/>
    <w:rsid w:val="00DC00EA"/>
    <w:rsid w:val="00DC3802"/>
    <w:rsid w:val="00DD136E"/>
    <w:rsid w:val="00DD1482"/>
    <w:rsid w:val="00DD6208"/>
    <w:rsid w:val="00DF7E99"/>
    <w:rsid w:val="00E07D87"/>
    <w:rsid w:val="00E249C8"/>
    <w:rsid w:val="00E32F7E"/>
    <w:rsid w:val="00E5267B"/>
    <w:rsid w:val="00E559F0"/>
    <w:rsid w:val="00E63C0E"/>
    <w:rsid w:val="00E6487C"/>
    <w:rsid w:val="00E7232A"/>
    <w:rsid w:val="00E72D49"/>
    <w:rsid w:val="00E7593C"/>
    <w:rsid w:val="00E7678A"/>
    <w:rsid w:val="00E91B19"/>
    <w:rsid w:val="00E935F1"/>
    <w:rsid w:val="00E94A81"/>
    <w:rsid w:val="00EA1FFB"/>
    <w:rsid w:val="00EB048E"/>
    <w:rsid w:val="00EB4E9C"/>
    <w:rsid w:val="00EC634B"/>
    <w:rsid w:val="00EE34DF"/>
    <w:rsid w:val="00EF2F89"/>
    <w:rsid w:val="00F019CB"/>
    <w:rsid w:val="00F03E98"/>
    <w:rsid w:val="00F1237A"/>
    <w:rsid w:val="00F22CBD"/>
    <w:rsid w:val="00F23F1E"/>
    <w:rsid w:val="00F272F1"/>
    <w:rsid w:val="00F31412"/>
    <w:rsid w:val="00F45372"/>
    <w:rsid w:val="00F560F7"/>
    <w:rsid w:val="00F6334D"/>
    <w:rsid w:val="00F63599"/>
    <w:rsid w:val="00F6677A"/>
    <w:rsid w:val="00F71781"/>
    <w:rsid w:val="00F72BBA"/>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2D3B5EF"/>
  <w15:docId w15:val="{88B37E05-DFA3-407E-A572-C35C46D2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qFormat/>
    <w:rsid w:val="00DD136E"/>
    <w:pPr>
      <w:tabs>
        <w:tab w:val="right" w:leader="dot" w:pos="9639"/>
      </w:tabs>
      <w:spacing w:before="60"/>
      <w:ind w:right="1418"/>
      <w:jc w:val="center"/>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4Char">
    <w:name w:val="Heading 4 Char"/>
    <w:basedOn w:val="DefaultParagraphFont"/>
    <w:link w:val="Heading4"/>
    <w:rsid w:val="004133B2"/>
    <w:rPr>
      <w:rFonts w:ascii="Arial" w:hAnsi="Arial"/>
      <w:u w:val="single"/>
      <w:lang w:val="fr-FR"/>
    </w:rPr>
  </w:style>
  <w:style w:type="character" w:customStyle="1" w:styleId="Heading5Char">
    <w:name w:val="Heading 5 Char"/>
    <w:link w:val="Heading5"/>
    <w:locked/>
    <w:rsid w:val="004133B2"/>
    <w:rPr>
      <w:rFonts w:ascii="Arial" w:hAnsi="Arial"/>
      <w:i/>
    </w:rPr>
  </w:style>
  <w:style w:type="character" w:customStyle="1" w:styleId="FootnoteTextChar">
    <w:name w:val="Footnote Text Char"/>
    <w:basedOn w:val="DefaultParagraphFont"/>
    <w:link w:val="FootnoteText"/>
    <w:rsid w:val="008422AD"/>
    <w:rPr>
      <w:rFonts w:ascii="Arial" w:hAnsi="Arial"/>
      <w:sz w:val="16"/>
    </w:rPr>
  </w:style>
  <w:style w:type="paragraph" w:styleId="ListParagraph">
    <w:name w:val="List Paragraph"/>
    <w:basedOn w:val="Normal"/>
    <w:uiPriority w:val="34"/>
    <w:qFormat/>
    <w:rsid w:val="008422AD"/>
    <w:pPr>
      <w:ind w:left="720"/>
      <w:contextualSpacing/>
    </w:pPr>
  </w:style>
  <w:style w:type="character" w:customStyle="1" w:styleId="TitleofdocChar">
    <w:name w:val="Title_of_doc Char"/>
    <w:link w:val="Titleofdoc0"/>
    <w:rsid w:val="00B06F4E"/>
    <w:rPr>
      <w:rFonts w:ascii="Arial" w:hAnsi="Arial"/>
      <w:b/>
      <w:caps/>
    </w:rPr>
  </w:style>
  <w:style w:type="table" w:styleId="TableGrid">
    <w:name w:val="Table Grid"/>
    <w:basedOn w:val="TableNormal"/>
    <w:uiPriority w:val="39"/>
    <w:rsid w:val="00B06F4E"/>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next w:val="PlainTable5"/>
    <w:uiPriority w:val="45"/>
    <w:rsid w:val="00B06F4E"/>
    <w:rPr>
      <w:rFonts w:ascii="Calibri" w:eastAsia="Calibri" w:hAnsi="Calibri"/>
      <w:sz w:val="22"/>
      <w:szCs w:val="22"/>
      <w:lang w:val="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B06F4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821947">
      <w:bodyDiv w:val="1"/>
      <w:marLeft w:val="0"/>
      <w:marRight w:val="0"/>
      <w:marTop w:val="0"/>
      <w:marBottom w:val="0"/>
      <w:divBdr>
        <w:top w:val="none" w:sz="0" w:space="0" w:color="auto"/>
        <w:left w:val="none" w:sz="0" w:space="0" w:color="auto"/>
        <w:bottom w:val="none" w:sz="0" w:space="0" w:color="auto"/>
        <w:right w:val="none" w:sz="0" w:space="0" w:color="auto"/>
      </w:divBdr>
    </w:div>
    <w:div w:id="1636377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upov.int/edocs/mdocs/upov/en/twc_35/twc_35_6.pdf"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8%20(2022)\templates\routing_slip_with_doc_tc_5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32944-203E-4D00-8F11-077C3C6F7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routing_slip_with_doc_tc_58</Template>
  <TotalTime>0</TotalTime>
  <Pages>12</Pages>
  <Words>3950</Words>
  <Characters>21374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TC/57</vt:lpstr>
    </vt:vector>
  </TitlesOfParts>
  <Company>UPOV</Company>
  <LinksUpToDate>false</LinksUpToDate>
  <CharactersWithSpaces>25274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creator>MAY Jessica</dc:creator>
  <cp:lastModifiedBy>MAY Jessica</cp:lastModifiedBy>
  <cp:revision>7</cp:revision>
  <cp:lastPrinted>2016-11-22T15:41:00Z</cp:lastPrinted>
  <dcterms:created xsi:type="dcterms:W3CDTF">2022-10-04T16:38:00Z</dcterms:created>
  <dcterms:modified xsi:type="dcterms:W3CDTF">2022-10-05T07:21:00Z</dcterms:modified>
</cp:coreProperties>
</file>