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A180A6A" w14:textId="77777777" w:rsidTr="00EB4E9C">
        <w:tc>
          <w:tcPr>
            <w:tcW w:w="6522" w:type="dxa"/>
          </w:tcPr>
          <w:p w14:paraId="235CA8CE" w14:textId="60C8DFBB" w:rsidR="00DC3802" w:rsidRPr="00AC2883" w:rsidRDefault="00DC3802" w:rsidP="00AC2883">
            <w:bookmarkStart w:id="0" w:name="_GoBack"/>
            <w:bookmarkEnd w:id="0"/>
            <w:r w:rsidRPr="00D250C5">
              <w:rPr>
                <w:noProof/>
              </w:rPr>
              <w:drawing>
                <wp:inline distT="0" distB="0" distL="0" distR="0" wp14:anchorId="5B151DB6" wp14:editId="5421A95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4C4B9C8" w14:textId="77777777" w:rsidR="00DC3802" w:rsidRPr="007C1D92" w:rsidRDefault="00DC3802" w:rsidP="00AC2883">
            <w:pPr>
              <w:pStyle w:val="Lettrine"/>
            </w:pPr>
            <w:r w:rsidRPr="00172084">
              <w:t>E</w:t>
            </w:r>
          </w:p>
        </w:tc>
      </w:tr>
      <w:tr w:rsidR="00DC3802" w:rsidRPr="00DA4973" w14:paraId="20D0B0DD" w14:textId="77777777" w:rsidTr="00645CA8">
        <w:trPr>
          <w:trHeight w:val="219"/>
        </w:trPr>
        <w:tc>
          <w:tcPr>
            <w:tcW w:w="6522" w:type="dxa"/>
          </w:tcPr>
          <w:p w14:paraId="07547FC5" w14:textId="77777777" w:rsidR="00DC3802" w:rsidRPr="00AC2883" w:rsidRDefault="00DC3802" w:rsidP="00AC2883">
            <w:pPr>
              <w:pStyle w:val="upove"/>
            </w:pPr>
            <w:r w:rsidRPr="00AC2883">
              <w:t>International Union for the Protection of New Varieties of Plants</w:t>
            </w:r>
          </w:p>
        </w:tc>
        <w:tc>
          <w:tcPr>
            <w:tcW w:w="3117" w:type="dxa"/>
          </w:tcPr>
          <w:p w14:paraId="4FB65466" w14:textId="77777777" w:rsidR="00DC3802" w:rsidRPr="00DA4973" w:rsidRDefault="00DC3802" w:rsidP="00DA4973"/>
        </w:tc>
      </w:tr>
    </w:tbl>
    <w:p w14:paraId="011DBFAB" w14:textId="77777777" w:rsidR="00DC3802" w:rsidRDefault="00DC3802" w:rsidP="00DC3802"/>
    <w:p w14:paraId="6D4EAB21"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0DA40BF5" w14:textId="77777777" w:rsidTr="007A4FDD">
        <w:tc>
          <w:tcPr>
            <w:tcW w:w="6512" w:type="dxa"/>
          </w:tcPr>
          <w:p w14:paraId="7E08110A" w14:textId="77777777" w:rsidR="003D0839" w:rsidRPr="00AC2883" w:rsidRDefault="003D0839" w:rsidP="007A4FDD">
            <w:pPr>
              <w:pStyle w:val="Sessiontc"/>
              <w:spacing w:line="240" w:lineRule="auto"/>
            </w:pPr>
            <w:r w:rsidRPr="00DA4973">
              <w:t>Technical Committee</w:t>
            </w:r>
          </w:p>
          <w:p w14:paraId="1682A259" w14:textId="77777777"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14:paraId="2C9AF199" w14:textId="77777777" w:rsidR="003D0839" w:rsidRPr="003C7FBE" w:rsidRDefault="000872E5" w:rsidP="007A4FDD">
            <w:pPr>
              <w:pStyle w:val="Doccode"/>
            </w:pPr>
            <w:r>
              <w:t>TC/58/4</w:t>
            </w:r>
          </w:p>
          <w:p w14:paraId="4F333613" w14:textId="77777777" w:rsidR="003D0839" w:rsidRPr="003C7FBE" w:rsidRDefault="003D0839" w:rsidP="007A4FDD">
            <w:pPr>
              <w:pStyle w:val="Docoriginal"/>
            </w:pPr>
            <w:r w:rsidRPr="00AC2883">
              <w:t>Original:</w:t>
            </w:r>
            <w:r w:rsidRPr="000E636A">
              <w:rPr>
                <w:b w:val="0"/>
                <w:spacing w:val="0"/>
              </w:rPr>
              <w:t xml:space="preserve">  English</w:t>
            </w:r>
          </w:p>
          <w:p w14:paraId="7AAE5948" w14:textId="33B7A0EB" w:rsidR="003D0839" w:rsidRPr="007C1D92" w:rsidRDefault="003D0839" w:rsidP="00990B59">
            <w:pPr>
              <w:pStyle w:val="Docoriginal"/>
            </w:pPr>
            <w:r w:rsidRPr="00AC2883">
              <w:t>Date:</w:t>
            </w:r>
            <w:r>
              <w:rPr>
                <w:b w:val="0"/>
                <w:spacing w:val="0"/>
              </w:rPr>
              <w:t xml:space="preserve">  </w:t>
            </w:r>
            <w:r w:rsidR="000872E5" w:rsidRPr="00800A82">
              <w:rPr>
                <w:b w:val="0"/>
                <w:spacing w:val="0"/>
              </w:rPr>
              <w:t xml:space="preserve">July </w:t>
            </w:r>
            <w:r w:rsidR="00990B59" w:rsidRPr="00800A82">
              <w:rPr>
                <w:b w:val="0"/>
                <w:spacing w:val="0"/>
              </w:rPr>
              <w:t>19</w:t>
            </w:r>
            <w:r w:rsidRPr="00800A82">
              <w:rPr>
                <w:b w:val="0"/>
                <w:spacing w:val="0"/>
              </w:rPr>
              <w:t>, 2022</w:t>
            </w:r>
          </w:p>
        </w:tc>
      </w:tr>
    </w:tbl>
    <w:p w14:paraId="696B5F96" w14:textId="77777777" w:rsidR="003D0839" w:rsidRPr="006A644A" w:rsidRDefault="000872E5" w:rsidP="0053382C">
      <w:pPr>
        <w:pStyle w:val="Titleofdoc0"/>
        <w:jc w:val="both"/>
      </w:pPr>
      <w:r w:rsidRPr="000872E5">
        <w:t>Development of guidance and information materials - Matters for adoption by the Council in 2022</w:t>
      </w:r>
    </w:p>
    <w:p w14:paraId="573EF66D" w14:textId="77777777" w:rsidR="003D0839" w:rsidRPr="006A644A" w:rsidRDefault="003D0839" w:rsidP="003D0839">
      <w:pPr>
        <w:pStyle w:val="preparedby1"/>
        <w:jc w:val="left"/>
      </w:pPr>
      <w:r w:rsidRPr="000C4E25">
        <w:t>Document prepared by the Office of the Union</w:t>
      </w:r>
    </w:p>
    <w:p w14:paraId="258093E2" w14:textId="77777777" w:rsidR="003D0839" w:rsidRPr="006A644A" w:rsidRDefault="003D0839" w:rsidP="003D0839">
      <w:pPr>
        <w:pStyle w:val="Disclaimer"/>
      </w:pPr>
      <w:r w:rsidRPr="006A644A">
        <w:t>Disclaimer:  this document does not represent UPOV policies or guidance</w:t>
      </w:r>
    </w:p>
    <w:p w14:paraId="50B6083D" w14:textId="77777777" w:rsidR="0052560D" w:rsidRDefault="0052560D" w:rsidP="0052560D">
      <w:pPr>
        <w:pStyle w:val="Heading1"/>
        <w:rPr>
          <w:snapToGrid w:val="0"/>
        </w:rPr>
      </w:pPr>
      <w:bookmarkStart w:id="1" w:name="_Toc78210947"/>
      <w:bookmarkStart w:id="2" w:name="_Toc73471181"/>
      <w:bookmarkStart w:id="3" w:name="_Toc481744310"/>
      <w:bookmarkStart w:id="4" w:name="_Toc108115258"/>
      <w:r>
        <w:rPr>
          <w:snapToGrid w:val="0"/>
        </w:rPr>
        <w:t>EXECUTIVE SUMMARY</w:t>
      </w:r>
      <w:bookmarkEnd w:id="1"/>
      <w:bookmarkEnd w:id="2"/>
      <w:bookmarkEnd w:id="3"/>
      <w:bookmarkEnd w:id="4"/>
    </w:p>
    <w:p w14:paraId="7266DC68" w14:textId="77777777" w:rsidR="0052560D" w:rsidRDefault="0052560D" w:rsidP="0052560D">
      <w:pPr>
        <w:rPr>
          <w:snapToGrid w:val="0"/>
          <w:sz w:val="18"/>
        </w:rPr>
      </w:pPr>
    </w:p>
    <w:p w14:paraId="6F227039" w14:textId="77777777" w:rsidR="0052560D" w:rsidRDefault="0052560D" w:rsidP="0052560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report on developments concerning the adoption of guidance and information materials and to invite the TC to consider relevant documents to </w:t>
      </w:r>
      <w:proofErr w:type="gramStart"/>
      <w:r>
        <w:rPr>
          <w:snapToGrid w:val="0"/>
        </w:rPr>
        <w:t>be put</w:t>
      </w:r>
      <w:proofErr w:type="gramEnd"/>
      <w:r>
        <w:rPr>
          <w:snapToGrid w:val="0"/>
        </w:rPr>
        <w:t xml:space="preserve"> forward for adoption by the Council, in </w:t>
      </w:r>
      <w:r>
        <w:t>202</w:t>
      </w:r>
      <w:r w:rsidR="0053382C">
        <w:t>2</w:t>
      </w:r>
      <w:r w:rsidR="00F413CF">
        <w:t>;</w:t>
      </w:r>
      <w:r>
        <w:t xml:space="preserve"> subject to approval by the CAJ</w:t>
      </w:r>
      <w:r w:rsidR="009F3A38">
        <w:t>.</w:t>
      </w:r>
    </w:p>
    <w:p w14:paraId="17383106" w14:textId="77777777" w:rsidR="005566D0" w:rsidRDefault="005566D0" w:rsidP="005566D0"/>
    <w:p w14:paraId="61BD5F76" w14:textId="77777777" w:rsidR="0052560D" w:rsidRDefault="0052560D" w:rsidP="005566D0">
      <w:r>
        <w:fldChar w:fldCharType="begin"/>
      </w:r>
      <w:r>
        <w:instrText xml:space="preserve"> AUTONUM  </w:instrText>
      </w:r>
      <w:r>
        <w:fldChar w:fldCharType="end"/>
      </w:r>
      <w:r>
        <w:tab/>
        <w:t xml:space="preserve">The TC </w:t>
      </w:r>
      <w:proofErr w:type="gramStart"/>
      <w:r>
        <w:t>is invited</w:t>
      </w:r>
      <w:proofErr w:type="gramEnd"/>
      <w:r>
        <w:t xml:space="preserve"> to:</w:t>
      </w:r>
    </w:p>
    <w:p w14:paraId="3904191E" w14:textId="77777777" w:rsidR="0052560D" w:rsidRDefault="0052560D" w:rsidP="005566D0"/>
    <w:p w14:paraId="6D447946" w14:textId="77777777" w:rsidR="00B07F9D" w:rsidRPr="00D81FE8" w:rsidRDefault="00B07F9D" w:rsidP="00D81FE8">
      <w:pPr>
        <w:pStyle w:val="DecisionParagraphs"/>
        <w:keepNext/>
        <w:keepLines/>
        <w:numPr>
          <w:ilvl w:val="0"/>
          <w:numId w:val="7"/>
        </w:numPr>
        <w:tabs>
          <w:tab w:val="left" w:pos="567"/>
          <w:tab w:val="left" w:pos="1134"/>
        </w:tabs>
        <w:ind w:left="0" w:firstLine="567"/>
        <w:rPr>
          <w:i w:val="0"/>
        </w:rPr>
      </w:pPr>
      <w:r w:rsidRPr="00D81FE8">
        <w:rPr>
          <w:i w:val="0"/>
        </w:rPr>
        <w:t xml:space="preserve">consider the proposed revision of document UPOV/INF/16 “Exchangeable Software” on the basis of document UPOV/INF/16/11 Draft 1 and the recommendations from the TWM, at its first session; </w:t>
      </w:r>
    </w:p>
    <w:p w14:paraId="76ED696A" w14:textId="77777777" w:rsidR="00B07F9D" w:rsidRPr="00D81FE8" w:rsidRDefault="00B07F9D" w:rsidP="00D81FE8">
      <w:pPr>
        <w:pStyle w:val="DecisionParagraphs"/>
        <w:tabs>
          <w:tab w:val="left" w:pos="567"/>
          <w:tab w:val="left" w:pos="1134"/>
        </w:tabs>
        <w:ind w:left="0" w:firstLine="567"/>
        <w:rPr>
          <w:i w:val="0"/>
        </w:rPr>
      </w:pPr>
    </w:p>
    <w:p w14:paraId="0CF1F26F" w14:textId="77777777" w:rsidR="00B07F9D" w:rsidRPr="00D81FE8" w:rsidRDefault="00B07F9D" w:rsidP="00D81FE8">
      <w:pPr>
        <w:pStyle w:val="ListParagraph"/>
        <w:numPr>
          <w:ilvl w:val="0"/>
          <w:numId w:val="7"/>
        </w:numPr>
        <w:tabs>
          <w:tab w:val="left" w:pos="567"/>
          <w:tab w:val="left" w:pos="1134"/>
        </w:tabs>
        <w:ind w:left="0" w:firstLine="567"/>
      </w:pPr>
      <w:r w:rsidRPr="00D81FE8">
        <w:t>note that, subject to agreement by the CAJ, an agreed draft of document UPOV/INF/16 will be presented for adoption by the Council in 2022</w:t>
      </w:r>
      <w:r w:rsidR="00D81FE8">
        <w:t>;</w:t>
      </w:r>
    </w:p>
    <w:p w14:paraId="38EE4798" w14:textId="77777777" w:rsidR="00B07F9D" w:rsidRPr="00D81FE8" w:rsidRDefault="00B07F9D" w:rsidP="00D81FE8">
      <w:pPr>
        <w:tabs>
          <w:tab w:val="left" w:pos="567"/>
          <w:tab w:val="left" w:pos="1134"/>
        </w:tabs>
        <w:ind w:firstLine="567"/>
      </w:pPr>
    </w:p>
    <w:p w14:paraId="283D5FB2" w14:textId="77777777" w:rsidR="00B07F9D" w:rsidRPr="00D81FE8" w:rsidRDefault="00B07F9D" w:rsidP="00D81FE8">
      <w:pPr>
        <w:pStyle w:val="DecisionParagraphs"/>
        <w:numPr>
          <w:ilvl w:val="0"/>
          <w:numId w:val="7"/>
        </w:numPr>
        <w:tabs>
          <w:tab w:val="left" w:pos="567"/>
          <w:tab w:val="left" w:pos="1134"/>
        </w:tabs>
        <w:ind w:left="0" w:firstLine="567"/>
        <w:rPr>
          <w:i w:val="0"/>
        </w:rPr>
      </w:pPr>
      <w:r w:rsidRPr="00D81FE8">
        <w:rPr>
          <w:i w:val="0"/>
        </w:rPr>
        <w:t xml:space="preserve">consider the proposed revision of document UPOV/INF/22 “Software and Equipment Used by Members of the Union” on the basis of document UPOV/INF/22/9 Draft 1; </w:t>
      </w:r>
    </w:p>
    <w:p w14:paraId="558D0275" w14:textId="77777777" w:rsidR="00B07F9D" w:rsidRPr="00D81FE8" w:rsidRDefault="00B07F9D" w:rsidP="00D81FE8">
      <w:pPr>
        <w:pStyle w:val="DecisionParagraphs"/>
        <w:tabs>
          <w:tab w:val="left" w:pos="567"/>
          <w:tab w:val="left" w:pos="1134"/>
        </w:tabs>
        <w:ind w:left="0" w:firstLine="567"/>
        <w:rPr>
          <w:i w:val="0"/>
        </w:rPr>
      </w:pPr>
    </w:p>
    <w:p w14:paraId="1DA437B2" w14:textId="77777777" w:rsidR="00B07F9D" w:rsidRPr="00D81FE8" w:rsidRDefault="00B07F9D" w:rsidP="00D81FE8">
      <w:pPr>
        <w:pStyle w:val="DecisionParagraphs"/>
        <w:numPr>
          <w:ilvl w:val="0"/>
          <w:numId w:val="7"/>
        </w:numPr>
        <w:tabs>
          <w:tab w:val="left" w:pos="567"/>
          <w:tab w:val="left" w:pos="1134"/>
        </w:tabs>
        <w:ind w:left="0" w:firstLine="567"/>
        <w:rPr>
          <w:i w:val="0"/>
        </w:rPr>
      </w:pPr>
      <w:r w:rsidRPr="00D81FE8">
        <w:rPr>
          <w:i w:val="0"/>
        </w:rPr>
        <w:t>note that, subject to agreement by the CAJ, an agreed draft of</w:t>
      </w:r>
      <w:r w:rsidR="002C5857">
        <w:rPr>
          <w:i w:val="0"/>
        </w:rPr>
        <w:t xml:space="preserve"> </w:t>
      </w:r>
      <w:r w:rsidRPr="00D81FE8">
        <w:rPr>
          <w:i w:val="0"/>
        </w:rPr>
        <w:t>document</w:t>
      </w:r>
      <w:r w:rsidR="002C5857">
        <w:rPr>
          <w:i w:val="0"/>
        </w:rPr>
        <w:t> </w:t>
      </w:r>
      <w:r w:rsidRPr="00D81FE8">
        <w:rPr>
          <w:i w:val="0"/>
        </w:rPr>
        <w:t xml:space="preserve">UPOV/INF/22 will be presented for </w:t>
      </w:r>
      <w:r w:rsidR="00D81FE8">
        <w:rPr>
          <w:i w:val="0"/>
        </w:rPr>
        <w:t>adoption by the Council in 2022;</w:t>
      </w:r>
    </w:p>
    <w:p w14:paraId="3FF95E70" w14:textId="77777777" w:rsidR="00B07F9D" w:rsidRPr="00D81FE8" w:rsidRDefault="00B07F9D" w:rsidP="00D81FE8">
      <w:pPr>
        <w:tabs>
          <w:tab w:val="left" w:pos="567"/>
          <w:tab w:val="left" w:pos="1134"/>
        </w:tabs>
        <w:ind w:firstLine="567"/>
      </w:pPr>
    </w:p>
    <w:p w14:paraId="5CA8C00F" w14:textId="77777777" w:rsidR="00B07F9D" w:rsidRPr="00D81FE8" w:rsidRDefault="00B07F9D" w:rsidP="00D81FE8">
      <w:pPr>
        <w:pStyle w:val="ListParagraph"/>
        <w:numPr>
          <w:ilvl w:val="0"/>
          <w:numId w:val="7"/>
        </w:numPr>
        <w:tabs>
          <w:tab w:val="left" w:pos="567"/>
          <w:tab w:val="left" w:pos="1134"/>
        </w:tabs>
        <w:ind w:left="0" w:firstLine="567"/>
      </w:pPr>
      <w:r w:rsidRPr="00D81FE8">
        <w:t>note that, subject to agreement by the CAJ, the proposed revision of document</w:t>
      </w:r>
      <w:r w:rsidR="002C5857">
        <w:t> </w:t>
      </w:r>
      <w:r w:rsidRPr="00D81FE8">
        <w:t xml:space="preserve">UPOV/EXN/DEN/1 will be presented for </w:t>
      </w:r>
      <w:r w:rsidR="00D81FE8">
        <w:t>adoption by the Council in 2022;</w:t>
      </w:r>
    </w:p>
    <w:p w14:paraId="50DCE354" w14:textId="77777777" w:rsidR="00B07F9D" w:rsidRPr="00D81FE8" w:rsidRDefault="00B07F9D" w:rsidP="00D81FE8">
      <w:pPr>
        <w:tabs>
          <w:tab w:val="left" w:pos="567"/>
          <w:tab w:val="left" w:pos="1134"/>
        </w:tabs>
        <w:ind w:firstLine="567"/>
      </w:pPr>
    </w:p>
    <w:p w14:paraId="4509EC3A" w14:textId="77777777" w:rsidR="00B07F9D" w:rsidRPr="00D81FE8" w:rsidRDefault="00B07F9D" w:rsidP="00D81FE8">
      <w:pPr>
        <w:pStyle w:val="DecisionParagraphs"/>
        <w:numPr>
          <w:ilvl w:val="0"/>
          <w:numId w:val="7"/>
        </w:numPr>
        <w:tabs>
          <w:tab w:val="left" w:pos="567"/>
          <w:tab w:val="left" w:pos="1134"/>
        </w:tabs>
        <w:ind w:left="0" w:firstLine="567"/>
        <w:rPr>
          <w:i w:val="0"/>
        </w:rPr>
      </w:pPr>
      <w:r w:rsidRPr="00D81FE8">
        <w:rPr>
          <w:i w:val="0"/>
        </w:rPr>
        <w:t xml:space="preserve">note that, subject to agreement by the CAJ, an agreed draft of document TGP/5: Section 6 will be presented for </w:t>
      </w:r>
      <w:r w:rsidR="00D81FE8">
        <w:rPr>
          <w:i w:val="0"/>
        </w:rPr>
        <w:t>adoption by the Council in 2022;</w:t>
      </w:r>
    </w:p>
    <w:p w14:paraId="28B83753" w14:textId="77777777" w:rsidR="00B07F9D" w:rsidRPr="00D81FE8" w:rsidRDefault="00B07F9D" w:rsidP="00D81FE8">
      <w:pPr>
        <w:pStyle w:val="DecisionParagraphs"/>
        <w:tabs>
          <w:tab w:val="left" w:pos="567"/>
          <w:tab w:val="left" w:pos="1134"/>
        </w:tabs>
        <w:ind w:left="0" w:firstLine="567"/>
        <w:rPr>
          <w:i w:val="0"/>
        </w:rPr>
      </w:pPr>
    </w:p>
    <w:p w14:paraId="3E2F4537" w14:textId="77777777" w:rsidR="00B07F9D" w:rsidRPr="00D81FE8" w:rsidRDefault="00B07F9D" w:rsidP="00D81FE8">
      <w:pPr>
        <w:pStyle w:val="DecisionParagraphs"/>
        <w:numPr>
          <w:ilvl w:val="0"/>
          <w:numId w:val="7"/>
        </w:numPr>
        <w:tabs>
          <w:tab w:val="left" w:pos="567"/>
          <w:tab w:val="left" w:pos="1134"/>
        </w:tabs>
        <w:ind w:left="0" w:firstLine="567"/>
        <w:rPr>
          <w:i w:val="0"/>
        </w:rPr>
      </w:pPr>
      <w:r w:rsidRPr="00D81FE8">
        <w:rPr>
          <w:i w:val="0"/>
        </w:rPr>
        <w:t xml:space="preserve">note that, subject to agreement by the CAJ, the proposed revision of document TGP/8/4 will be presented for </w:t>
      </w:r>
      <w:r w:rsidR="00D81FE8">
        <w:rPr>
          <w:i w:val="0"/>
        </w:rPr>
        <w:t>adoption by the Council in 2022;</w:t>
      </w:r>
      <w:r w:rsidR="00D81FE8" w:rsidRPr="00D81FE8">
        <w:rPr>
          <w:i w:val="0"/>
        </w:rPr>
        <w:t xml:space="preserve"> and</w:t>
      </w:r>
    </w:p>
    <w:p w14:paraId="367F358F" w14:textId="77777777" w:rsidR="00B07F9D" w:rsidRPr="00D81FE8" w:rsidRDefault="00B07F9D" w:rsidP="00D81FE8">
      <w:pPr>
        <w:tabs>
          <w:tab w:val="left" w:pos="567"/>
          <w:tab w:val="left" w:pos="1134"/>
        </w:tabs>
        <w:ind w:firstLine="567"/>
      </w:pPr>
    </w:p>
    <w:p w14:paraId="49367BFA" w14:textId="77777777" w:rsidR="00B07F9D" w:rsidRPr="00D81FE8" w:rsidRDefault="00B07F9D" w:rsidP="00D81FE8">
      <w:pPr>
        <w:pStyle w:val="DecisionParagraphs"/>
        <w:keepNext/>
        <w:keepLines/>
        <w:numPr>
          <w:ilvl w:val="0"/>
          <w:numId w:val="7"/>
        </w:numPr>
        <w:tabs>
          <w:tab w:val="left" w:pos="567"/>
          <w:tab w:val="left" w:pos="1134"/>
        </w:tabs>
        <w:ind w:left="0" w:firstLine="567"/>
        <w:rPr>
          <w:i w:val="0"/>
        </w:rPr>
      </w:pPr>
      <w:proofErr w:type="gramStart"/>
      <w:r w:rsidRPr="00D81FE8">
        <w:rPr>
          <w:i w:val="0"/>
        </w:rPr>
        <w:t>note</w:t>
      </w:r>
      <w:proofErr w:type="gramEnd"/>
      <w:r w:rsidRPr="00D81FE8">
        <w:rPr>
          <w:i w:val="0"/>
        </w:rPr>
        <w:t xml:space="preserve"> that, subject to agreement by the CAJ, the proposed revision of  document TGP/12/2 will be presented for adoption by the Council in 2022.</w:t>
      </w:r>
    </w:p>
    <w:p w14:paraId="4A3EF52B" w14:textId="77777777" w:rsidR="00B07F9D" w:rsidRDefault="00B07F9D" w:rsidP="005566D0"/>
    <w:p w14:paraId="6C505A2B" w14:textId="77777777" w:rsidR="001F03E7" w:rsidRDefault="001F03E7" w:rsidP="005566D0"/>
    <w:p w14:paraId="61A024DF" w14:textId="77777777" w:rsidR="005566D0" w:rsidRDefault="0052560D" w:rsidP="005566D0">
      <w:r>
        <w:fldChar w:fldCharType="begin"/>
      </w:r>
      <w:r>
        <w:instrText xml:space="preserve"> AUTONUM  </w:instrText>
      </w:r>
      <w:r>
        <w:fldChar w:fldCharType="end"/>
      </w:r>
      <w:r>
        <w:tab/>
        <w:t>The structure of this document is as follows:</w:t>
      </w:r>
    </w:p>
    <w:sdt>
      <w:sdtPr>
        <w:id w:val="-257760947"/>
        <w:docPartObj>
          <w:docPartGallery w:val="Table of Contents"/>
          <w:docPartUnique/>
        </w:docPartObj>
      </w:sdtPr>
      <w:sdtEndPr>
        <w:rPr>
          <w:b/>
          <w:bCs/>
          <w:noProof/>
        </w:rPr>
      </w:sdtEndPr>
      <w:sdtContent>
        <w:p w14:paraId="57B36596" w14:textId="77777777" w:rsidR="001F03E7" w:rsidRPr="001F03E7" w:rsidRDefault="001F03E7" w:rsidP="001F03E7"/>
        <w:p w14:paraId="184D1EE2" w14:textId="77777777" w:rsidR="002C5857" w:rsidRDefault="001F03E7" w:rsidP="001C00F4">
          <w:pPr>
            <w:pStyle w:val="TOC1"/>
            <w:rPr>
              <w:rFonts w:asciiTheme="minorHAnsi" w:eastAsiaTheme="minorEastAsia" w:hAnsiTheme="minorHAnsi" w:cstheme="minorBidi"/>
              <w:noProof/>
              <w:sz w:val="22"/>
              <w:szCs w:val="22"/>
            </w:rPr>
          </w:pPr>
          <w:r w:rsidRPr="001F03E7">
            <w:rPr>
              <w:rStyle w:val="Hyperlink"/>
              <w:caps w:val="0"/>
            </w:rPr>
            <w:fldChar w:fldCharType="begin"/>
          </w:r>
          <w:r w:rsidRPr="001F03E7">
            <w:rPr>
              <w:rStyle w:val="Hyperlink"/>
              <w:caps w:val="0"/>
            </w:rPr>
            <w:instrText xml:space="preserve"> TOC \o "1-3" \h \z \u </w:instrText>
          </w:r>
          <w:r w:rsidRPr="001F03E7">
            <w:rPr>
              <w:rStyle w:val="Hyperlink"/>
              <w:caps w:val="0"/>
            </w:rPr>
            <w:fldChar w:fldCharType="separate"/>
          </w:r>
          <w:hyperlink w:anchor="_Toc108115258" w:history="1">
            <w:r w:rsidR="002C5857" w:rsidRPr="00B964FB">
              <w:rPr>
                <w:rStyle w:val="Hyperlink"/>
                <w:noProof/>
                <w:snapToGrid w:val="0"/>
              </w:rPr>
              <w:t>EXECUTIVE SUMMARY</w:t>
            </w:r>
            <w:r w:rsidR="002C5857">
              <w:rPr>
                <w:noProof/>
                <w:webHidden/>
              </w:rPr>
              <w:tab/>
            </w:r>
            <w:r w:rsidR="002C5857">
              <w:rPr>
                <w:noProof/>
                <w:webHidden/>
              </w:rPr>
              <w:fldChar w:fldCharType="begin"/>
            </w:r>
            <w:r w:rsidR="002C5857">
              <w:rPr>
                <w:noProof/>
                <w:webHidden/>
              </w:rPr>
              <w:instrText xml:space="preserve"> PAGEREF _Toc108115258 \h </w:instrText>
            </w:r>
            <w:r w:rsidR="002C5857">
              <w:rPr>
                <w:noProof/>
                <w:webHidden/>
              </w:rPr>
            </w:r>
            <w:r w:rsidR="002C5857">
              <w:rPr>
                <w:noProof/>
                <w:webHidden/>
              </w:rPr>
              <w:fldChar w:fldCharType="separate"/>
            </w:r>
            <w:r w:rsidR="002C5857">
              <w:rPr>
                <w:noProof/>
                <w:webHidden/>
              </w:rPr>
              <w:t>1</w:t>
            </w:r>
            <w:r w:rsidR="002C5857">
              <w:rPr>
                <w:noProof/>
                <w:webHidden/>
              </w:rPr>
              <w:fldChar w:fldCharType="end"/>
            </w:r>
          </w:hyperlink>
        </w:p>
        <w:p w14:paraId="61A69373" w14:textId="77777777" w:rsidR="002C5857" w:rsidRDefault="00360AD3" w:rsidP="001C00F4">
          <w:pPr>
            <w:pStyle w:val="TOC1"/>
            <w:rPr>
              <w:rFonts w:asciiTheme="minorHAnsi" w:eastAsiaTheme="minorEastAsia" w:hAnsiTheme="minorHAnsi" w:cstheme="minorBidi"/>
              <w:noProof/>
              <w:sz w:val="22"/>
              <w:szCs w:val="22"/>
            </w:rPr>
          </w:pPr>
          <w:hyperlink w:anchor="_Toc108115259" w:history="1">
            <w:r w:rsidR="002C5857" w:rsidRPr="00B964FB">
              <w:rPr>
                <w:rStyle w:val="Hyperlink"/>
                <w:noProof/>
              </w:rPr>
              <w:t>BACKGROUND</w:t>
            </w:r>
            <w:r w:rsidR="002C5857">
              <w:rPr>
                <w:noProof/>
                <w:webHidden/>
              </w:rPr>
              <w:tab/>
            </w:r>
            <w:r w:rsidR="002C5857">
              <w:rPr>
                <w:noProof/>
                <w:webHidden/>
              </w:rPr>
              <w:fldChar w:fldCharType="begin"/>
            </w:r>
            <w:r w:rsidR="002C5857">
              <w:rPr>
                <w:noProof/>
                <w:webHidden/>
              </w:rPr>
              <w:instrText xml:space="preserve"> PAGEREF _Toc108115259 \h </w:instrText>
            </w:r>
            <w:r w:rsidR="002C5857">
              <w:rPr>
                <w:noProof/>
                <w:webHidden/>
              </w:rPr>
            </w:r>
            <w:r w:rsidR="002C5857">
              <w:rPr>
                <w:noProof/>
                <w:webHidden/>
              </w:rPr>
              <w:fldChar w:fldCharType="separate"/>
            </w:r>
            <w:r w:rsidR="002C5857">
              <w:rPr>
                <w:noProof/>
                <w:webHidden/>
              </w:rPr>
              <w:t>2</w:t>
            </w:r>
            <w:r w:rsidR="002C5857">
              <w:rPr>
                <w:noProof/>
                <w:webHidden/>
              </w:rPr>
              <w:fldChar w:fldCharType="end"/>
            </w:r>
          </w:hyperlink>
        </w:p>
        <w:p w14:paraId="4E738A54" w14:textId="77777777" w:rsidR="002C5857" w:rsidRDefault="00360AD3" w:rsidP="001C00F4">
          <w:pPr>
            <w:pStyle w:val="TOC1"/>
            <w:rPr>
              <w:rFonts w:asciiTheme="minorHAnsi" w:eastAsiaTheme="minorEastAsia" w:hAnsiTheme="minorHAnsi" w:cstheme="minorBidi"/>
              <w:noProof/>
              <w:sz w:val="22"/>
              <w:szCs w:val="22"/>
            </w:rPr>
          </w:pPr>
          <w:hyperlink w:anchor="_Toc108115260" w:history="1">
            <w:r w:rsidR="002C5857" w:rsidRPr="00B964FB">
              <w:rPr>
                <w:rStyle w:val="Hyperlink"/>
                <w:noProof/>
              </w:rPr>
              <w:t>Matters proposed for adoption by the Council in 2022</w:t>
            </w:r>
            <w:r w:rsidR="002C5857">
              <w:rPr>
                <w:noProof/>
                <w:webHidden/>
              </w:rPr>
              <w:tab/>
            </w:r>
            <w:r w:rsidR="002C5857">
              <w:rPr>
                <w:noProof/>
                <w:webHidden/>
              </w:rPr>
              <w:fldChar w:fldCharType="begin"/>
            </w:r>
            <w:r w:rsidR="002C5857">
              <w:rPr>
                <w:noProof/>
                <w:webHidden/>
              </w:rPr>
              <w:instrText xml:space="preserve"> PAGEREF _Toc108115260 \h </w:instrText>
            </w:r>
            <w:r w:rsidR="002C5857">
              <w:rPr>
                <w:noProof/>
                <w:webHidden/>
              </w:rPr>
            </w:r>
            <w:r w:rsidR="002C5857">
              <w:rPr>
                <w:noProof/>
                <w:webHidden/>
              </w:rPr>
              <w:fldChar w:fldCharType="separate"/>
            </w:r>
            <w:r w:rsidR="002C5857">
              <w:rPr>
                <w:noProof/>
                <w:webHidden/>
              </w:rPr>
              <w:t>2</w:t>
            </w:r>
            <w:r w:rsidR="002C5857">
              <w:rPr>
                <w:noProof/>
                <w:webHidden/>
              </w:rPr>
              <w:fldChar w:fldCharType="end"/>
            </w:r>
          </w:hyperlink>
        </w:p>
        <w:p w14:paraId="418E9367" w14:textId="77777777" w:rsidR="002C5857" w:rsidRDefault="00360AD3">
          <w:pPr>
            <w:pStyle w:val="TOC2"/>
            <w:rPr>
              <w:rFonts w:asciiTheme="minorHAnsi" w:eastAsiaTheme="minorEastAsia" w:hAnsiTheme="minorHAnsi" w:cstheme="minorBidi"/>
              <w:smallCaps/>
              <w:noProof/>
              <w:sz w:val="22"/>
              <w:szCs w:val="22"/>
            </w:rPr>
          </w:pPr>
          <w:hyperlink w:anchor="_Toc108115261" w:history="1">
            <w:r w:rsidR="002C5857" w:rsidRPr="00B964FB">
              <w:rPr>
                <w:rStyle w:val="Hyperlink"/>
                <w:noProof/>
              </w:rPr>
              <w:t>Information Materials</w:t>
            </w:r>
            <w:r w:rsidR="002C5857">
              <w:rPr>
                <w:noProof/>
                <w:webHidden/>
              </w:rPr>
              <w:tab/>
            </w:r>
            <w:r w:rsidR="002C5857">
              <w:rPr>
                <w:noProof/>
                <w:webHidden/>
              </w:rPr>
              <w:fldChar w:fldCharType="begin"/>
            </w:r>
            <w:r w:rsidR="002C5857">
              <w:rPr>
                <w:noProof/>
                <w:webHidden/>
              </w:rPr>
              <w:instrText xml:space="preserve"> PAGEREF _Toc108115261 \h </w:instrText>
            </w:r>
            <w:r w:rsidR="002C5857">
              <w:rPr>
                <w:noProof/>
                <w:webHidden/>
              </w:rPr>
            </w:r>
            <w:r w:rsidR="002C5857">
              <w:rPr>
                <w:noProof/>
                <w:webHidden/>
              </w:rPr>
              <w:fldChar w:fldCharType="separate"/>
            </w:r>
            <w:r w:rsidR="002C5857">
              <w:rPr>
                <w:noProof/>
                <w:webHidden/>
              </w:rPr>
              <w:t>2</w:t>
            </w:r>
            <w:r w:rsidR="002C5857">
              <w:rPr>
                <w:noProof/>
                <w:webHidden/>
              </w:rPr>
              <w:fldChar w:fldCharType="end"/>
            </w:r>
          </w:hyperlink>
        </w:p>
        <w:p w14:paraId="15B9BCEC" w14:textId="77777777" w:rsidR="002C5857" w:rsidRDefault="00360AD3">
          <w:pPr>
            <w:pStyle w:val="TOC3"/>
            <w:rPr>
              <w:rFonts w:asciiTheme="minorHAnsi" w:eastAsiaTheme="minorEastAsia" w:hAnsiTheme="minorHAnsi" w:cstheme="minorBidi"/>
              <w:noProof/>
              <w:sz w:val="22"/>
              <w:szCs w:val="22"/>
              <w:lang w:val="en-US"/>
            </w:rPr>
          </w:pPr>
          <w:hyperlink w:anchor="_Toc108115262" w:history="1">
            <w:r w:rsidR="002C5857" w:rsidRPr="00B964FB">
              <w:rPr>
                <w:rStyle w:val="Hyperlink"/>
                <w:noProof/>
              </w:rPr>
              <w:t>Revision of document UPOV/INF/16 “Exchangeable Software” (document UPOV/INF/16/11 Draft 1)</w:t>
            </w:r>
            <w:r w:rsidR="002C5857">
              <w:rPr>
                <w:noProof/>
                <w:webHidden/>
              </w:rPr>
              <w:tab/>
            </w:r>
            <w:r w:rsidR="002C5857">
              <w:rPr>
                <w:noProof/>
                <w:webHidden/>
              </w:rPr>
              <w:fldChar w:fldCharType="begin"/>
            </w:r>
            <w:r w:rsidR="002C5857">
              <w:rPr>
                <w:noProof/>
                <w:webHidden/>
              </w:rPr>
              <w:instrText xml:space="preserve"> PAGEREF _Toc108115262 \h </w:instrText>
            </w:r>
            <w:r w:rsidR="002C5857">
              <w:rPr>
                <w:noProof/>
                <w:webHidden/>
              </w:rPr>
            </w:r>
            <w:r w:rsidR="002C5857">
              <w:rPr>
                <w:noProof/>
                <w:webHidden/>
              </w:rPr>
              <w:fldChar w:fldCharType="separate"/>
            </w:r>
            <w:r w:rsidR="002C5857">
              <w:rPr>
                <w:noProof/>
                <w:webHidden/>
              </w:rPr>
              <w:t>2</w:t>
            </w:r>
            <w:r w:rsidR="002C5857">
              <w:rPr>
                <w:noProof/>
                <w:webHidden/>
              </w:rPr>
              <w:fldChar w:fldCharType="end"/>
            </w:r>
          </w:hyperlink>
        </w:p>
        <w:p w14:paraId="11916FCC" w14:textId="77777777" w:rsidR="002C5857" w:rsidRDefault="00360AD3">
          <w:pPr>
            <w:pStyle w:val="TOC2"/>
            <w:rPr>
              <w:rFonts w:asciiTheme="minorHAnsi" w:eastAsiaTheme="minorEastAsia" w:hAnsiTheme="minorHAnsi" w:cstheme="minorBidi"/>
              <w:smallCaps/>
              <w:noProof/>
              <w:sz w:val="22"/>
              <w:szCs w:val="22"/>
            </w:rPr>
          </w:pPr>
          <w:hyperlink w:anchor="_Toc108115263" w:history="1">
            <w:r w:rsidR="002C5857" w:rsidRPr="00B964FB">
              <w:rPr>
                <w:rStyle w:val="Hyperlink"/>
                <w:noProof/>
              </w:rPr>
              <w:t>Revision of document UPOV/INF/22 “Software and Equipment Used by Members of the Union”  (document UPOV/INF/22/9 Draft 1)</w:t>
            </w:r>
            <w:r w:rsidR="002C5857">
              <w:rPr>
                <w:noProof/>
                <w:webHidden/>
              </w:rPr>
              <w:tab/>
            </w:r>
            <w:r w:rsidR="002C5857">
              <w:rPr>
                <w:noProof/>
                <w:webHidden/>
              </w:rPr>
              <w:fldChar w:fldCharType="begin"/>
            </w:r>
            <w:r w:rsidR="002C5857">
              <w:rPr>
                <w:noProof/>
                <w:webHidden/>
              </w:rPr>
              <w:instrText xml:space="preserve"> PAGEREF _Toc108115263 \h </w:instrText>
            </w:r>
            <w:r w:rsidR="002C5857">
              <w:rPr>
                <w:noProof/>
                <w:webHidden/>
              </w:rPr>
            </w:r>
            <w:r w:rsidR="002C5857">
              <w:rPr>
                <w:noProof/>
                <w:webHidden/>
              </w:rPr>
              <w:fldChar w:fldCharType="separate"/>
            </w:r>
            <w:r w:rsidR="002C5857">
              <w:rPr>
                <w:noProof/>
                <w:webHidden/>
              </w:rPr>
              <w:t>3</w:t>
            </w:r>
            <w:r w:rsidR="002C5857">
              <w:rPr>
                <w:noProof/>
                <w:webHidden/>
              </w:rPr>
              <w:fldChar w:fldCharType="end"/>
            </w:r>
          </w:hyperlink>
        </w:p>
        <w:p w14:paraId="137A9238" w14:textId="77777777" w:rsidR="002C5857" w:rsidRDefault="00360AD3">
          <w:pPr>
            <w:pStyle w:val="TOC2"/>
            <w:rPr>
              <w:rFonts w:asciiTheme="minorHAnsi" w:eastAsiaTheme="minorEastAsia" w:hAnsiTheme="minorHAnsi" w:cstheme="minorBidi"/>
              <w:smallCaps/>
              <w:noProof/>
              <w:sz w:val="22"/>
              <w:szCs w:val="22"/>
            </w:rPr>
          </w:pPr>
          <w:hyperlink w:anchor="_Toc108115264" w:history="1">
            <w:r w:rsidR="002C5857" w:rsidRPr="00B964FB">
              <w:rPr>
                <w:rStyle w:val="Hyperlink"/>
                <w:noProof/>
              </w:rPr>
              <w:t>Explanatory Notes</w:t>
            </w:r>
            <w:r w:rsidR="002C5857">
              <w:rPr>
                <w:noProof/>
                <w:webHidden/>
              </w:rPr>
              <w:tab/>
            </w:r>
            <w:r w:rsidR="002C5857">
              <w:rPr>
                <w:noProof/>
                <w:webHidden/>
              </w:rPr>
              <w:fldChar w:fldCharType="begin"/>
            </w:r>
            <w:r w:rsidR="002C5857">
              <w:rPr>
                <w:noProof/>
                <w:webHidden/>
              </w:rPr>
              <w:instrText xml:space="preserve"> PAGEREF _Toc108115264 \h </w:instrText>
            </w:r>
            <w:r w:rsidR="002C5857">
              <w:rPr>
                <w:noProof/>
                <w:webHidden/>
              </w:rPr>
            </w:r>
            <w:r w:rsidR="002C5857">
              <w:rPr>
                <w:noProof/>
                <w:webHidden/>
              </w:rPr>
              <w:fldChar w:fldCharType="separate"/>
            </w:r>
            <w:r w:rsidR="002C5857">
              <w:rPr>
                <w:noProof/>
                <w:webHidden/>
              </w:rPr>
              <w:t>4</w:t>
            </w:r>
            <w:r w:rsidR="002C5857">
              <w:rPr>
                <w:noProof/>
                <w:webHidden/>
              </w:rPr>
              <w:fldChar w:fldCharType="end"/>
            </w:r>
          </w:hyperlink>
        </w:p>
        <w:p w14:paraId="60482F28" w14:textId="77777777" w:rsidR="002C5857" w:rsidRDefault="00360AD3">
          <w:pPr>
            <w:pStyle w:val="TOC3"/>
            <w:rPr>
              <w:rFonts w:asciiTheme="minorHAnsi" w:eastAsiaTheme="minorEastAsia" w:hAnsiTheme="minorHAnsi" w:cstheme="minorBidi"/>
              <w:noProof/>
              <w:sz w:val="22"/>
              <w:szCs w:val="22"/>
              <w:lang w:val="en-US"/>
            </w:rPr>
          </w:pPr>
          <w:hyperlink w:anchor="_Toc108115265" w:history="1">
            <w:r w:rsidR="002C5857" w:rsidRPr="00B964FB">
              <w:rPr>
                <w:rStyle w:val="Hyperlink"/>
                <w:noProof/>
              </w:rPr>
              <w:t>Explanatory Notes on Variety Denominations under the UPOV Convention (document UPOV/EXN/DEN)</w:t>
            </w:r>
            <w:r w:rsidR="002C5857">
              <w:rPr>
                <w:noProof/>
                <w:webHidden/>
              </w:rPr>
              <w:tab/>
            </w:r>
            <w:r w:rsidR="002C5857">
              <w:rPr>
                <w:noProof/>
                <w:webHidden/>
              </w:rPr>
              <w:fldChar w:fldCharType="begin"/>
            </w:r>
            <w:r w:rsidR="002C5857">
              <w:rPr>
                <w:noProof/>
                <w:webHidden/>
              </w:rPr>
              <w:instrText xml:space="preserve"> PAGEREF _Toc108115265 \h </w:instrText>
            </w:r>
            <w:r w:rsidR="002C5857">
              <w:rPr>
                <w:noProof/>
                <w:webHidden/>
              </w:rPr>
            </w:r>
            <w:r w:rsidR="002C5857">
              <w:rPr>
                <w:noProof/>
                <w:webHidden/>
              </w:rPr>
              <w:fldChar w:fldCharType="separate"/>
            </w:r>
            <w:r w:rsidR="002C5857">
              <w:rPr>
                <w:noProof/>
                <w:webHidden/>
              </w:rPr>
              <w:t>4</w:t>
            </w:r>
            <w:r w:rsidR="002C5857">
              <w:rPr>
                <w:noProof/>
                <w:webHidden/>
              </w:rPr>
              <w:fldChar w:fldCharType="end"/>
            </w:r>
          </w:hyperlink>
        </w:p>
        <w:p w14:paraId="4C45EFF1" w14:textId="77777777" w:rsidR="002C5857" w:rsidRDefault="00360AD3">
          <w:pPr>
            <w:pStyle w:val="TOC2"/>
            <w:rPr>
              <w:rFonts w:asciiTheme="minorHAnsi" w:eastAsiaTheme="minorEastAsia" w:hAnsiTheme="minorHAnsi" w:cstheme="minorBidi"/>
              <w:smallCaps/>
              <w:noProof/>
              <w:sz w:val="22"/>
              <w:szCs w:val="22"/>
            </w:rPr>
          </w:pPr>
          <w:hyperlink w:anchor="_Toc108115266" w:history="1">
            <w:r w:rsidR="002C5857" w:rsidRPr="00B964FB">
              <w:rPr>
                <w:rStyle w:val="Hyperlink"/>
                <w:noProof/>
              </w:rPr>
              <w:t>TGP Documents</w:t>
            </w:r>
            <w:r w:rsidR="002C5857">
              <w:rPr>
                <w:noProof/>
                <w:webHidden/>
              </w:rPr>
              <w:tab/>
            </w:r>
            <w:r w:rsidR="002C5857">
              <w:rPr>
                <w:noProof/>
                <w:webHidden/>
              </w:rPr>
              <w:fldChar w:fldCharType="begin"/>
            </w:r>
            <w:r w:rsidR="002C5857">
              <w:rPr>
                <w:noProof/>
                <w:webHidden/>
              </w:rPr>
              <w:instrText xml:space="preserve"> PAGEREF _Toc108115266 \h </w:instrText>
            </w:r>
            <w:r w:rsidR="002C5857">
              <w:rPr>
                <w:noProof/>
                <w:webHidden/>
              </w:rPr>
            </w:r>
            <w:r w:rsidR="002C5857">
              <w:rPr>
                <w:noProof/>
                <w:webHidden/>
              </w:rPr>
              <w:fldChar w:fldCharType="separate"/>
            </w:r>
            <w:r w:rsidR="002C5857">
              <w:rPr>
                <w:noProof/>
                <w:webHidden/>
              </w:rPr>
              <w:t>4</w:t>
            </w:r>
            <w:r w:rsidR="002C5857">
              <w:rPr>
                <w:noProof/>
                <w:webHidden/>
              </w:rPr>
              <w:fldChar w:fldCharType="end"/>
            </w:r>
          </w:hyperlink>
        </w:p>
        <w:p w14:paraId="3212C54C" w14:textId="77777777" w:rsidR="002C5857" w:rsidRDefault="00360AD3">
          <w:pPr>
            <w:pStyle w:val="TOC3"/>
            <w:rPr>
              <w:rFonts w:asciiTheme="minorHAnsi" w:eastAsiaTheme="minorEastAsia" w:hAnsiTheme="minorHAnsi" w:cstheme="minorBidi"/>
              <w:noProof/>
              <w:sz w:val="22"/>
              <w:szCs w:val="22"/>
              <w:lang w:val="en-US"/>
            </w:rPr>
          </w:pPr>
          <w:hyperlink w:anchor="_Toc108115267" w:history="1">
            <w:r w:rsidR="002C5857" w:rsidRPr="00B964FB">
              <w:rPr>
                <w:rStyle w:val="Hyperlink"/>
                <w:noProof/>
                <w:snapToGrid w:val="0"/>
              </w:rPr>
              <w:t>TGP/5:  </w:t>
            </w:r>
            <w:r w:rsidR="002C5857" w:rsidRPr="00B964FB">
              <w:rPr>
                <w:rStyle w:val="Hyperlink"/>
                <w:noProof/>
              </w:rPr>
              <w:t>Experience</w:t>
            </w:r>
            <w:r w:rsidR="002C5857" w:rsidRPr="00B964FB">
              <w:rPr>
                <w:rStyle w:val="Hyperlink"/>
                <w:noProof/>
                <w:snapToGrid w:val="0"/>
              </w:rPr>
              <w:t xml:space="preserve"> and Cooperation in DUS Testing, Section 6: UPOV Report on Technical Examination and UPOV Variety Description (Revision) (document TGP/5: Section 6/4 Draft 1)</w:t>
            </w:r>
            <w:r w:rsidR="002C5857">
              <w:rPr>
                <w:noProof/>
                <w:webHidden/>
              </w:rPr>
              <w:tab/>
            </w:r>
            <w:r w:rsidR="002C5857">
              <w:rPr>
                <w:noProof/>
                <w:webHidden/>
              </w:rPr>
              <w:fldChar w:fldCharType="begin"/>
            </w:r>
            <w:r w:rsidR="002C5857">
              <w:rPr>
                <w:noProof/>
                <w:webHidden/>
              </w:rPr>
              <w:instrText xml:space="preserve"> PAGEREF _Toc108115267 \h </w:instrText>
            </w:r>
            <w:r w:rsidR="002C5857">
              <w:rPr>
                <w:noProof/>
                <w:webHidden/>
              </w:rPr>
            </w:r>
            <w:r w:rsidR="002C5857">
              <w:rPr>
                <w:noProof/>
                <w:webHidden/>
              </w:rPr>
              <w:fldChar w:fldCharType="separate"/>
            </w:r>
            <w:r w:rsidR="002C5857">
              <w:rPr>
                <w:noProof/>
                <w:webHidden/>
              </w:rPr>
              <w:t>4</w:t>
            </w:r>
            <w:r w:rsidR="002C5857">
              <w:rPr>
                <w:noProof/>
                <w:webHidden/>
              </w:rPr>
              <w:fldChar w:fldCharType="end"/>
            </w:r>
          </w:hyperlink>
        </w:p>
        <w:p w14:paraId="1527B8CC" w14:textId="77777777" w:rsidR="002C5857" w:rsidRDefault="00360AD3">
          <w:pPr>
            <w:pStyle w:val="TOC2"/>
            <w:rPr>
              <w:rFonts w:asciiTheme="minorHAnsi" w:eastAsiaTheme="minorEastAsia" w:hAnsiTheme="minorHAnsi" w:cstheme="minorBidi"/>
              <w:smallCaps/>
              <w:noProof/>
              <w:sz w:val="22"/>
              <w:szCs w:val="22"/>
            </w:rPr>
          </w:pPr>
          <w:hyperlink w:anchor="_Toc108115268" w:history="1">
            <w:r w:rsidR="002C5857" w:rsidRPr="00B964FB">
              <w:rPr>
                <w:rStyle w:val="Hyperlink"/>
                <w:noProof/>
              </w:rPr>
              <w:t>TGP/8:  Trial Design and Techniques Used in the Examination of Distinctness, Uniformity and Stability (Revision) (Annex II)</w:t>
            </w:r>
            <w:r w:rsidR="002C5857">
              <w:rPr>
                <w:noProof/>
                <w:webHidden/>
              </w:rPr>
              <w:tab/>
            </w:r>
            <w:r w:rsidR="002C5857">
              <w:rPr>
                <w:noProof/>
                <w:webHidden/>
              </w:rPr>
              <w:fldChar w:fldCharType="begin"/>
            </w:r>
            <w:r w:rsidR="002C5857">
              <w:rPr>
                <w:noProof/>
                <w:webHidden/>
              </w:rPr>
              <w:instrText xml:space="preserve"> PAGEREF _Toc108115268 \h </w:instrText>
            </w:r>
            <w:r w:rsidR="002C5857">
              <w:rPr>
                <w:noProof/>
                <w:webHidden/>
              </w:rPr>
            </w:r>
            <w:r w:rsidR="002C5857">
              <w:rPr>
                <w:noProof/>
                <w:webHidden/>
              </w:rPr>
              <w:fldChar w:fldCharType="separate"/>
            </w:r>
            <w:r w:rsidR="002C5857">
              <w:rPr>
                <w:noProof/>
                <w:webHidden/>
              </w:rPr>
              <w:t>4</w:t>
            </w:r>
            <w:r w:rsidR="002C5857">
              <w:rPr>
                <w:noProof/>
                <w:webHidden/>
              </w:rPr>
              <w:fldChar w:fldCharType="end"/>
            </w:r>
          </w:hyperlink>
        </w:p>
        <w:p w14:paraId="2FE928D3" w14:textId="77777777" w:rsidR="002C5857" w:rsidRDefault="00360AD3">
          <w:pPr>
            <w:pStyle w:val="TOC2"/>
            <w:rPr>
              <w:rFonts w:asciiTheme="minorHAnsi" w:eastAsiaTheme="minorEastAsia" w:hAnsiTheme="minorHAnsi" w:cstheme="minorBidi"/>
              <w:smallCaps/>
              <w:noProof/>
              <w:sz w:val="22"/>
              <w:szCs w:val="22"/>
            </w:rPr>
          </w:pPr>
          <w:hyperlink w:anchor="_Toc108115269" w:history="1">
            <w:r w:rsidR="002C5857" w:rsidRPr="00B964FB">
              <w:rPr>
                <w:rStyle w:val="Hyperlink"/>
                <w:noProof/>
              </w:rPr>
              <w:t>TGP/12:  Guidance on Certain Physiological Characteristics (Revision) (Annex III)</w:t>
            </w:r>
            <w:r w:rsidR="002C5857">
              <w:rPr>
                <w:noProof/>
                <w:webHidden/>
              </w:rPr>
              <w:tab/>
            </w:r>
            <w:r w:rsidR="002C5857">
              <w:rPr>
                <w:noProof/>
                <w:webHidden/>
              </w:rPr>
              <w:fldChar w:fldCharType="begin"/>
            </w:r>
            <w:r w:rsidR="002C5857">
              <w:rPr>
                <w:noProof/>
                <w:webHidden/>
              </w:rPr>
              <w:instrText xml:space="preserve"> PAGEREF _Toc108115269 \h </w:instrText>
            </w:r>
            <w:r w:rsidR="002C5857">
              <w:rPr>
                <w:noProof/>
                <w:webHidden/>
              </w:rPr>
            </w:r>
            <w:r w:rsidR="002C5857">
              <w:rPr>
                <w:noProof/>
                <w:webHidden/>
              </w:rPr>
              <w:fldChar w:fldCharType="separate"/>
            </w:r>
            <w:r w:rsidR="002C5857">
              <w:rPr>
                <w:noProof/>
                <w:webHidden/>
              </w:rPr>
              <w:t>4</w:t>
            </w:r>
            <w:r w:rsidR="002C5857">
              <w:rPr>
                <w:noProof/>
                <w:webHidden/>
              </w:rPr>
              <w:fldChar w:fldCharType="end"/>
            </w:r>
          </w:hyperlink>
        </w:p>
        <w:p w14:paraId="1ED001C4" w14:textId="3F90E42B" w:rsidR="001F03E7" w:rsidRDefault="001F03E7" w:rsidP="001F03E7">
          <w:pPr>
            <w:spacing w:before="240"/>
            <w:jc w:val="left"/>
          </w:pPr>
          <w:r w:rsidRPr="001F03E7">
            <w:rPr>
              <w:rStyle w:val="Hyperlink"/>
            </w:rPr>
            <w:fldChar w:fldCharType="end"/>
          </w:r>
          <w:r w:rsidRPr="003A0E68">
            <w:t>ANNEX</w:t>
          </w:r>
          <w:r>
            <w:t xml:space="preserve"> I </w:t>
          </w:r>
          <w:r w:rsidRPr="00171305">
            <w:t>Document UPOV/EXN/DEN: Explanatory Notes on Variety Denominations under the UPOV Convention (Revision</w:t>
          </w:r>
          <w:proofErr w:type="gramStart"/>
          <w:r w:rsidRPr="00171305">
            <w:t>)</w:t>
          </w:r>
          <w:proofErr w:type="gramEnd"/>
          <w:r>
            <w:br/>
          </w:r>
          <w:r>
            <w:br/>
            <w:t xml:space="preserve">ANNEX II </w:t>
          </w:r>
          <w:r w:rsidRPr="00171305">
            <w:t>Document TGP/8:  Trial Design and Techniques Used in the Examination of Distinctness, Uniformity and Stability (Revision)</w:t>
          </w:r>
          <w:r>
            <w:br/>
          </w:r>
        </w:p>
        <w:p w14:paraId="2CE09140" w14:textId="77777777" w:rsidR="001F03E7" w:rsidRDefault="001F03E7" w:rsidP="001F03E7">
          <w:r>
            <w:t xml:space="preserve">ANNEX III </w:t>
          </w:r>
          <w:r w:rsidRPr="00171305">
            <w:t>Document TGP/12:  Guidance on certain physiological characteristics (Revision)</w:t>
          </w:r>
        </w:p>
      </w:sdtContent>
    </w:sdt>
    <w:p w14:paraId="3E30FDF2" w14:textId="77777777" w:rsidR="0052560D" w:rsidRDefault="0052560D" w:rsidP="005566D0"/>
    <w:p w14:paraId="788B0181" w14:textId="77777777" w:rsidR="0052560D" w:rsidRDefault="0052560D" w:rsidP="005566D0">
      <w:r>
        <w:fldChar w:fldCharType="begin"/>
      </w:r>
      <w:r>
        <w:instrText xml:space="preserve"> AUTONUM  </w:instrText>
      </w:r>
      <w:r>
        <w:fldChar w:fldCharType="end"/>
      </w:r>
      <w:r>
        <w:tab/>
        <w:t xml:space="preserve">The following abbreviations </w:t>
      </w:r>
      <w:proofErr w:type="gramStart"/>
      <w:r>
        <w:t>are used</w:t>
      </w:r>
      <w:proofErr w:type="gramEnd"/>
      <w:r>
        <w:t xml:space="preserve"> in this document:</w:t>
      </w:r>
    </w:p>
    <w:p w14:paraId="07C5B4D7" w14:textId="77777777" w:rsidR="00B07F9D" w:rsidRDefault="00B07F9D" w:rsidP="005566D0"/>
    <w:p w14:paraId="46B76310" w14:textId="77777777" w:rsidR="0052560D" w:rsidRDefault="0052560D" w:rsidP="0052560D">
      <w:pPr>
        <w:keepNext/>
        <w:ind w:left="1701" w:hanging="1134"/>
        <w:rPr>
          <w:rFonts w:cs="Arial"/>
        </w:rPr>
      </w:pPr>
      <w:r>
        <w:rPr>
          <w:rFonts w:cs="Arial"/>
        </w:rPr>
        <w:t>CAJ:</w:t>
      </w:r>
      <w:r>
        <w:rPr>
          <w:rFonts w:cs="Arial"/>
        </w:rPr>
        <w:tab/>
        <w:t>Administrative and Legal Committee</w:t>
      </w:r>
    </w:p>
    <w:p w14:paraId="0460372E" w14:textId="77777777" w:rsidR="0052560D" w:rsidRDefault="0052560D" w:rsidP="0052560D">
      <w:pPr>
        <w:keepNext/>
        <w:ind w:left="1701" w:hanging="1134"/>
        <w:rPr>
          <w:rFonts w:cs="Arial"/>
        </w:rPr>
      </w:pPr>
      <w:r>
        <w:rPr>
          <w:rFonts w:cs="Arial"/>
        </w:rPr>
        <w:t xml:space="preserve">TC:  </w:t>
      </w:r>
      <w:r>
        <w:rPr>
          <w:rFonts w:cs="Arial"/>
        </w:rPr>
        <w:tab/>
        <w:t>Technical Committee</w:t>
      </w:r>
    </w:p>
    <w:p w14:paraId="7A31956E" w14:textId="77777777" w:rsidR="0052560D" w:rsidRDefault="00B07F9D" w:rsidP="0052560D">
      <w:pPr>
        <w:keepNext/>
        <w:ind w:left="1701" w:hanging="1134"/>
        <w:rPr>
          <w:rFonts w:cs="Arial"/>
        </w:rPr>
      </w:pPr>
      <w:r>
        <w:rPr>
          <w:rFonts w:cs="Arial"/>
        </w:rPr>
        <w:t>TWM</w:t>
      </w:r>
      <w:r w:rsidR="0052560D">
        <w:rPr>
          <w:rFonts w:cs="Arial"/>
        </w:rPr>
        <w:t>:</w:t>
      </w:r>
      <w:r w:rsidR="0052560D">
        <w:rPr>
          <w:rFonts w:cs="Arial"/>
        </w:rPr>
        <w:tab/>
        <w:t xml:space="preserve">Technical Working Party on </w:t>
      </w:r>
      <w:r>
        <w:rPr>
          <w:rFonts w:cs="Arial"/>
        </w:rPr>
        <w:t>Testing Methods and Techniques</w:t>
      </w:r>
    </w:p>
    <w:p w14:paraId="5B3EA63A" w14:textId="77777777" w:rsidR="0052560D" w:rsidRDefault="0052560D" w:rsidP="0052560D">
      <w:pPr>
        <w:ind w:left="1701" w:hanging="1134"/>
        <w:rPr>
          <w:rFonts w:cs="Arial"/>
          <w:color w:val="000000"/>
        </w:rPr>
      </w:pPr>
      <w:r>
        <w:rPr>
          <w:rFonts w:cs="Arial"/>
          <w:color w:val="000000"/>
        </w:rPr>
        <w:t>TWPs:</w:t>
      </w:r>
      <w:r>
        <w:rPr>
          <w:rFonts w:cs="Arial"/>
          <w:color w:val="000000"/>
        </w:rPr>
        <w:tab/>
        <w:t xml:space="preserve">Technical Working Parties </w:t>
      </w:r>
    </w:p>
    <w:p w14:paraId="0D7BF649" w14:textId="77777777" w:rsidR="0052560D" w:rsidRDefault="0052560D" w:rsidP="005566D0"/>
    <w:p w14:paraId="67A4019E" w14:textId="77777777" w:rsidR="0052560D" w:rsidRDefault="0052560D" w:rsidP="005566D0"/>
    <w:p w14:paraId="19DF05F5" w14:textId="77777777" w:rsidR="0052560D" w:rsidRDefault="0052560D" w:rsidP="0052560D">
      <w:pPr>
        <w:pStyle w:val="Heading1"/>
      </w:pPr>
      <w:bookmarkStart w:id="5" w:name="_Toc108115259"/>
      <w:r>
        <w:t>BACKGROUND</w:t>
      </w:r>
      <w:bookmarkEnd w:id="5"/>
    </w:p>
    <w:p w14:paraId="1BF44FA3" w14:textId="77777777" w:rsidR="0052560D" w:rsidRDefault="0052560D" w:rsidP="005566D0"/>
    <w:p w14:paraId="069FEC92" w14:textId="77777777" w:rsidR="0052560D" w:rsidRDefault="0052560D" w:rsidP="005566D0">
      <w:pPr>
        <w:rPr>
          <w:rFonts w:cs="Arial"/>
        </w:rPr>
      </w:pPr>
      <w:r>
        <w:fldChar w:fldCharType="begin"/>
      </w:r>
      <w:r>
        <w:instrText xml:space="preserve"> AUTONUM  </w:instrText>
      </w:r>
      <w:r>
        <w:fldChar w:fldCharType="end"/>
      </w:r>
      <w:r>
        <w:tab/>
      </w:r>
      <w:r w:rsidRPr="00D015E1">
        <w:rPr>
          <w:rFonts w:cs="Arial"/>
          <w:spacing w:val="-2"/>
        </w:rPr>
        <w:t xml:space="preserve">The approved guidance and information materials </w:t>
      </w:r>
      <w:proofErr w:type="gramStart"/>
      <w:r w:rsidRPr="00D015E1">
        <w:rPr>
          <w:rFonts w:cs="Arial"/>
          <w:spacing w:val="-2"/>
        </w:rPr>
        <w:t>are published</w:t>
      </w:r>
      <w:proofErr w:type="gramEnd"/>
      <w:r w:rsidRPr="00D015E1">
        <w:rPr>
          <w:rFonts w:cs="Arial"/>
          <w:spacing w:val="-2"/>
        </w:rPr>
        <w:t xml:space="preserve"> on the UPOV website at</w:t>
      </w:r>
      <w:r w:rsidRPr="00D015E1">
        <w:rPr>
          <w:rFonts w:cs="Arial"/>
        </w:rPr>
        <w:t xml:space="preserve"> </w:t>
      </w:r>
      <w:hyperlink r:id="rId9" w:history="1">
        <w:r w:rsidRPr="00D015E1">
          <w:rPr>
            <w:rFonts w:cs="Arial"/>
            <w:color w:val="0000FF"/>
            <w:u w:val="single"/>
          </w:rPr>
          <w:t>http://www.upov.int/upov_collection/en/</w:t>
        </w:r>
      </w:hyperlink>
      <w:r w:rsidRPr="00D015E1">
        <w:rPr>
          <w:rFonts w:cs="Arial"/>
        </w:rPr>
        <w:t>.</w:t>
      </w:r>
    </w:p>
    <w:p w14:paraId="40435409" w14:textId="77777777" w:rsidR="0052560D" w:rsidRDefault="0052560D" w:rsidP="005566D0">
      <w:pPr>
        <w:rPr>
          <w:rFonts w:cs="Arial"/>
        </w:rPr>
      </w:pPr>
    </w:p>
    <w:p w14:paraId="71FBC38B" w14:textId="77777777" w:rsidR="0052560D" w:rsidRDefault="0052560D" w:rsidP="005566D0">
      <w:pPr>
        <w:rPr>
          <w:rFonts w:cs="Arial"/>
        </w:rPr>
      </w:pPr>
    </w:p>
    <w:p w14:paraId="6289A960" w14:textId="77777777" w:rsidR="0052560D" w:rsidRPr="00D015E1" w:rsidRDefault="0052560D" w:rsidP="007A69D6">
      <w:pPr>
        <w:pStyle w:val="Heading1"/>
        <w:keepLines/>
      </w:pPr>
      <w:bookmarkStart w:id="6" w:name="_Toc107949610"/>
      <w:bookmarkStart w:id="7" w:name="_Toc108115260"/>
      <w:r w:rsidRPr="00D015E1">
        <w:t>Matters proposed for adoption by the Council in 202</w:t>
      </w:r>
      <w:r>
        <w:t>2</w:t>
      </w:r>
      <w:bookmarkEnd w:id="6"/>
      <w:bookmarkEnd w:id="7"/>
    </w:p>
    <w:p w14:paraId="5633A7B5" w14:textId="77777777" w:rsidR="0052560D" w:rsidRDefault="0052560D" w:rsidP="007A69D6">
      <w:pPr>
        <w:keepNext/>
        <w:keepLines/>
        <w:jc w:val="left"/>
      </w:pPr>
    </w:p>
    <w:p w14:paraId="16B5B0CF" w14:textId="77777777" w:rsidR="005566D0" w:rsidRDefault="00192040" w:rsidP="007A69D6">
      <w:pPr>
        <w:pStyle w:val="Heading2"/>
        <w:keepLines/>
      </w:pPr>
      <w:bookmarkStart w:id="8" w:name="_Toc108115261"/>
      <w:r>
        <w:t>Information Materials</w:t>
      </w:r>
      <w:bookmarkEnd w:id="8"/>
    </w:p>
    <w:p w14:paraId="534CB7CF" w14:textId="77777777" w:rsidR="005566D0" w:rsidRDefault="005566D0" w:rsidP="007A69D6">
      <w:pPr>
        <w:keepNext/>
        <w:keepLines/>
      </w:pPr>
    </w:p>
    <w:p w14:paraId="41346C65" w14:textId="77777777" w:rsidR="0052560D" w:rsidRDefault="0052560D" w:rsidP="007A69D6">
      <w:pPr>
        <w:pStyle w:val="Heading3"/>
        <w:keepLines/>
      </w:pPr>
      <w:bookmarkStart w:id="9" w:name="_Toc107846183"/>
      <w:bookmarkStart w:id="10" w:name="_Toc107949442"/>
      <w:bookmarkStart w:id="11" w:name="_Toc107949612"/>
      <w:bookmarkStart w:id="12" w:name="_Toc108115262"/>
      <w:r>
        <w:t>Revision of document UPOV/INF/16 “</w:t>
      </w:r>
      <w:r w:rsidRPr="000A132D">
        <w:t>Exchangeable Software</w:t>
      </w:r>
      <w:r>
        <w:t xml:space="preserve">” </w:t>
      </w:r>
      <w:r w:rsidRPr="000A132D">
        <w:t>(document UPOV/INF/16/11</w:t>
      </w:r>
      <w:r w:rsidR="00192040">
        <w:t xml:space="preserve"> </w:t>
      </w:r>
      <w:r w:rsidRPr="000A132D">
        <w:t>Draft 1)</w:t>
      </w:r>
      <w:bookmarkEnd w:id="9"/>
      <w:bookmarkEnd w:id="10"/>
      <w:bookmarkEnd w:id="11"/>
      <w:bookmarkEnd w:id="12"/>
    </w:p>
    <w:p w14:paraId="132F439F" w14:textId="77777777" w:rsidR="0052560D" w:rsidRDefault="0052560D" w:rsidP="007A69D6">
      <w:pPr>
        <w:pStyle w:val="Heading3"/>
        <w:keepLines/>
      </w:pPr>
    </w:p>
    <w:p w14:paraId="1741F7F1" w14:textId="77777777" w:rsidR="007A69D6" w:rsidRPr="009F3A38" w:rsidRDefault="007A69D6" w:rsidP="007A69D6">
      <w:pPr>
        <w:pStyle w:val="Heading4"/>
        <w:keepLines/>
        <w:rPr>
          <w:lang w:val="en-US"/>
        </w:rPr>
      </w:pPr>
      <w:r w:rsidRPr="009F3A38">
        <w:rPr>
          <w:lang w:val="en-US"/>
        </w:rPr>
        <w:t>Information on use by members of the Union</w:t>
      </w:r>
    </w:p>
    <w:p w14:paraId="58D18F79" w14:textId="77777777" w:rsidR="0052560D" w:rsidRDefault="0052560D" w:rsidP="0052560D">
      <w:pPr>
        <w:keepNext/>
        <w:rPr>
          <w:spacing w:val="-2"/>
        </w:rPr>
      </w:pPr>
    </w:p>
    <w:p w14:paraId="7A79F443" w14:textId="77777777" w:rsidR="0052560D" w:rsidRPr="00B7460E" w:rsidRDefault="0052560D" w:rsidP="0052560D">
      <w:pPr>
        <w:keepNext/>
      </w:pPr>
      <w:r>
        <w:rPr>
          <w:snapToGrid w:val="0"/>
        </w:rPr>
        <w:fldChar w:fldCharType="begin"/>
      </w:r>
      <w:r>
        <w:rPr>
          <w:snapToGrid w:val="0"/>
        </w:rPr>
        <w:instrText xml:space="preserve"> AUTONUM  </w:instrText>
      </w:r>
      <w:r>
        <w:rPr>
          <w:snapToGrid w:val="0"/>
        </w:rPr>
        <w:fldChar w:fldCharType="end"/>
      </w:r>
      <w:r>
        <w:rPr>
          <w:snapToGrid w:val="0"/>
        </w:rPr>
        <w:tab/>
      </w:r>
      <w:r w:rsidRPr="00B7460E">
        <w:rPr>
          <w:snapToGrid w:val="0"/>
        </w:rPr>
        <w:t xml:space="preserve">Section </w:t>
      </w:r>
      <w:proofErr w:type="gramStart"/>
      <w:r w:rsidRPr="00B7460E">
        <w:rPr>
          <w:snapToGrid w:val="0"/>
        </w:rPr>
        <w:t>4</w:t>
      </w:r>
      <w:proofErr w:type="gramEnd"/>
      <w:r w:rsidRPr="00B7460E">
        <w:rPr>
          <w:snapToGrid w:val="0"/>
        </w:rPr>
        <w:t xml:space="preserve"> of d</w:t>
      </w:r>
      <w:r w:rsidRPr="00B7460E">
        <w:t>ocument UPOV/INF/16 “Exchangeable Software” provides the following:</w:t>
      </w:r>
    </w:p>
    <w:p w14:paraId="339CB057" w14:textId="77777777" w:rsidR="0052560D" w:rsidRPr="00B7460E" w:rsidRDefault="0052560D" w:rsidP="0052560D">
      <w:pPr>
        <w:keepNext/>
      </w:pPr>
    </w:p>
    <w:p w14:paraId="1D25D924" w14:textId="77777777" w:rsidR="0052560D" w:rsidRPr="009B7FC6" w:rsidRDefault="0052560D" w:rsidP="0052560D">
      <w:pPr>
        <w:keepNext/>
        <w:ind w:left="567" w:right="566"/>
        <w:rPr>
          <w:snapToGrid w:val="0"/>
          <w:sz w:val="18"/>
          <w:szCs w:val="18"/>
          <w:u w:val="single"/>
        </w:rPr>
      </w:pPr>
      <w:r w:rsidRPr="009B7FC6">
        <w:rPr>
          <w:snapToGrid w:val="0"/>
          <w:sz w:val="18"/>
          <w:szCs w:val="18"/>
        </w:rPr>
        <w:t>“4.</w:t>
      </w:r>
      <w:r w:rsidRPr="009B7FC6">
        <w:rPr>
          <w:snapToGrid w:val="0"/>
          <w:sz w:val="18"/>
          <w:szCs w:val="18"/>
        </w:rPr>
        <w:tab/>
      </w:r>
      <w:r w:rsidRPr="009B7FC6">
        <w:rPr>
          <w:snapToGrid w:val="0"/>
          <w:sz w:val="18"/>
          <w:szCs w:val="18"/>
          <w:u w:val="single"/>
        </w:rPr>
        <w:t>Information on use by members of the Union</w:t>
      </w:r>
    </w:p>
    <w:p w14:paraId="50080442" w14:textId="77777777" w:rsidR="0052560D" w:rsidRPr="009B7FC6" w:rsidRDefault="0052560D" w:rsidP="0052560D">
      <w:pPr>
        <w:keepNext/>
        <w:ind w:left="567" w:right="566"/>
        <w:rPr>
          <w:snapToGrid w:val="0"/>
          <w:sz w:val="16"/>
          <w:szCs w:val="18"/>
        </w:rPr>
      </w:pPr>
    </w:p>
    <w:p w14:paraId="5E982B12" w14:textId="77777777" w:rsidR="0052560D" w:rsidRPr="009B7FC6" w:rsidRDefault="0052560D" w:rsidP="0052560D">
      <w:pPr>
        <w:ind w:left="567" w:right="566"/>
        <w:rPr>
          <w:snapToGrid w:val="0"/>
          <w:sz w:val="18"/>
          <w:szCs w:val="18"/>
        </w:rPr>
      </w:pPr>
      <w:r w:rsidRPr="009B7FC6">
        <w:rPr>
          <w:snapToGrid w:val="0"/>
          <w:sz w:val="18"/>
          <w:szCs w:val="18"/>
        </w:rPr>
        <w:t>“4.1</w:t>
      </w:r>
      <w:r w:rsidRPr="009B7FC6">
        <w:rPr>
          <w:snapToGrid w:val="0"/>
          <w:sz w:val="18"/>
          <w:szCs w:val="18"/>
        </w:rPr>
        <w:tab/>
        <w:t>A circular is issued to members of the Union on an annual basis, inviting them to provide information on their use of the software included in document UPOV/INF/16.</w:t>
      </w:r>
    </w:p>
    <w:p w14:paraId="0EB93C3E" w14:textId="77777777" w:rsidR="0052560D" w:rsidRPr="008F010B" w:rsidRDefault="0052560D" w:rsidP="0052560D">
      <w:pPr>
        <w:ind w:left="567" w:right="566"/>
        <w:rPr>
          <w:snapToGrid w:val="0"/>
          <w:sz w:val="14"/>
          <w:szCs w:val="18"/>
          <w:lang w:eastAsia="ja-JP"/>
        </w:rPr>
      </w:pPr>
    </w:p>
    <w:p w14:paraId="7348BCCF" w14:textId="77777777" w:rsidR="0052560D" w:rsidRDefault="0052560D" w:rsidP="0052560D">
      <w:pPr>
        <w:ind w:left="567" w:right="566"/>
        <w:rPr>
          <w:snapToGrid w:val="0"/>
          <w:spacing w:val="-2"/>
          <w:sz w:val="18"/>
          <w:szCs w:val="18"/>
        </w:rPr>
      </w:pPr>
      <w:r w:rsidRPr="009B7FC6">
        <w:rPr>
          <w:snapToGrid w:val="0"/>
          <w:spacing w:val="-2"/>
          <w:sz w:val="18"/>
          <w:szCs w:val="18"/>
        </w:rPr>
        <w:t>“4.2</w:t>
      </w:r>
      <w:r w:rsidRPr="009B7FC6">
        <w:rPr>
          <w:snapToGrid w:val="0"/>
          <w:spacing w:val="-2"/>
          <w:sz w:val="18"/>
          <w:szCs w:val="18"/>
        </w:rPr>
        <w:tab/>
        <w:t>The information on software use by members of the Union is indicated in the columns ‘Member(s) of the Union using the software’ and ‘Application by user(s)’.  With regard to the</w:t>
      </w:r>
      <w:r w:rsidRPr="00262242">
        <w:rPr>
          <w:snapToGrid w:val="0"/>
          <w:spacing w:val="-2"/>
          <w:sz w:val="18"/>
          <w:szCs w:val="18"/>
        </w:rPr>
        <w:t xml:space="preserve"> indication of ‘Application by user(s)’, members of the Union can indicate, for example, crops or types of crop for which the software is used.”  </w:t>
      </w:r>
    </w:p>
    <w:p w14:paraId="48804A6F" w14:textId="77777777" w:rsidR="008E73EF" w:rsidRPr="006B4836" w:rsidRDefault="008E73EF" w:rsidP="008E73EF">
      <w:pPr>
        <w:rPr>
          <w:snapToGrid w:val="0"/>
          <w:lang w:eastAsia="ja-JP"/>
        </w:rPr>
      </w:pPr>
    </w:p>
    <w:p w14:paraId="7CB45A43" w14:textId="77777777" w:rsidR="008E73EF" w:rsidRPr="006B4836" w:rsidRDefault="008E73EF" w:rsidP="008E73EF">
      <w:r>
        <w:fldChar w:fldCharType="begin"/>
      </w:r>
      <w:r>
        <w:instrText xml:space="preserve"> AUTONUM  </w:instrText>
      </w:r>
      <w:r>
        <w:fldChar w:fldCharType="end"/>
      </w:r>
      <w:r>
        <w:tab/>
      </w:r>
      <w:r w:rsidRPr="00B23536">
        <w:t>The Office of the Union issued on January 18, 2022, Circular E-22/002 to the designated persons of the members of the Union in the TC, inviting them to provide or update information regarding the use of the software included in document UPOV/INF/16/11 Draft 1 “Exchangeable software”</w:t>
      </w:r>
      <w:r w:rsidR="007A69D6">
        <w:t xml:space="preserve">.  </w:t>
      </w:r>
      <w:r w:rsidRPr="00CA36AB">
        <w:t>In</w:t>
      </w:r>
      <w:r>
        <w:t xml:space="preserve"> response to Circular</w:t>
      </w:r>
      <w:r w:rsidR="007A69D6">
        <w:t> </w:t>
      </w:r>
      <w:r>
        <w:t>E</w:t>
      </w:r>
      <w:r w:rsidR="007A69D6">
        <w:noBreakHyphen/>
      </w:r>
      <w:r>
        <w:t xml:space="preserve">22/002, China, </w:t>
      </w:r>
      <w:r w:rsidRPr="00CA36AB">
        <w:t xml:space="preserve">Czech Republic, </w:t>
      </w:r>
      <w:r>
        <w:t xml:space="preserve">France, </w:t>
      </w:r>
      <w:r w:rsidRPr="00CA36AB">
        <w:t>Poland and Uzbekistan provided information on use</w:t>
      </w:r>
      <w:r>
        <w:t xml:space="preserve"> of software included in document UPOV/INF/16.  </w:t>
      </w:r>
    </w:p>
    <w:p w14:paraId="2DF7C9A8" w14:textId="77777777" w:rsidR="0066081F" w:rsidRPr="009F3A38" w:rsidRDefault="0066081F" w:rsidP="0066081F">
      <w:pPr>
        <w:keepNext/>
        <w:keepLines/>
      </w:pPr>
    </w:p>
    <w:p w14:paraId="15FFFBB0" w14:textId="24C7F187" w:rsidR="0066081F" w:rsidRDefault="0066081F" w:rsidP="0066081F">
      <w:pPr>
        <w:keepNext/>
        <w:keepLines/>
        <w:rPr>
          <w:spacing w:val="-2"/>
        </w:rPr>
      </w:pPr>
      <w:r>
        <w:fldChar w:fldCharType="begin"/>
      </w:r>
      <w:r>
        <w:instrText xml:space="preserve"> AUTONUM  </w:instrText>
      </w:r>
      <w:r>
        <w:fldChar w:fldCharType="end"/>
      </w:r>
      <w:r>
        <w:tab/>
      </w:r>
      <w:r w:rsidRPr="002C4A30">
        <w:t xml:space="preserve">The TC and the CAJ </w:t>
      </w:r>
      <w:proofErr w:type="gramStart"/>
      <w:r w:rsidRPr="002C4A30">
        <w:t>will be invited</w:t>
      </w:r>
      <w:proofErr w:type="gramEnd"/>
      <w:r w:rsidRPr="002C4A30">
        <w:t xml:space="preserve"> to </w:t>
      </w:r>
      <w:r w:rsidRPr="006F20EF">
        <w:t xml:space="preserve">agree </w:t>
      </w:r>
      <w:r w:rsidR="0041790F" w:rsidRPr="006F20EF">
        <w:t xml:space="preserve">on </w:t>
      </w:r>
      <w:r w:rsidRPr="006F20EF">
        <w:t>the</w:t>
      </w:r>
      <w:r w:rsidRPr="002C4A30">
        <w:t xml:space="preserve"> proposals to </w:t>
      </w:r>
      <w:r>
        <w:rPr>
          <w:spacing w:val="-2"/>
        </w:rPr>
        <w:t>revise document UPOV/INF/16/10</w:t>
      </w:r>
      <w:r w:rsidRPr="002C4A30">
        <w:rPr>
          <w:spacing w:val="-2"/>
        </w:rPr>
        <w:t xml:space="preserve"> “Exchangeable Software”, as presented in document UPOV/</w:t>
      </w:r>
      <w:r>
        <w:rPr>
          <w:spacing w:val="-2"/>
        </w:rPr>
        <w:t>INF/16/11</w:t>
      </w:r>
      <w:r w:rsidRPr="002C4A30">
        <w:rPr>
          <w:spacing w:val="-2"/>
        </w:rPr>
        <w:t xml:space="preserve"> Draft 1.</w:t>
      </w:r>
    </w:p>
    <w:p w14:paraId="1867579F" w14:textId="77777777" w:rsidR="008E73EF" w:rsidRDefault="008E73EF" w:rsidP="008E73EF"/>
    <w:p w14:paraId="4F992994" w14:textId="77777777" w:rsidR="008E73EF" w:rsidRPr="009F3A38" w:rsidRDefault="008E73EF" w:rsidP="0066081F">
      <w:pPr>
        <w:pStyle w:val="Heading4"/>
        <w:rPr>
          <w:lang w:val="en-US" w:eastAsia="ja-JP"/>
        </w:rPr>
      </w:pPr>
      <w:bookmarkStart w:id="13" w:name="_Toc27723607"/>
      <w:bookmarkStart w:id="14" w:name="_Toc99994215"/>
      <w:r w:rsidRPr="009F3A38">
        <w:rPr>
          <w:lang w:val="en-US"/>
        </w:rPr>
        <w:t>Inclusion of software</w:t>
      </w:r>
      <w:bookmarkEnd w:id="13"/>
      <w:r w:rsidRPr="009F3A38">
        <w:rPr>
          <w:lang w:val="en-US"/>
        </w:rPr>
        <w:t xml:space="preserve"> in document UPOV/INF/16</w:t>
      </w:r>
      <w:bookmarkEnd w:id="14"/>
    </w:p>
    <w:p w14:paraId="41DD0329" w14:textId="77777777" w:rsidR="0066081F" w:rsidRDefault="0066081F" w:rsidP="0066081F">
      <w:pPr>
        <w:pStyle w:val="Heading4"/>
        <w:rPr>
          <w:snapToGrid w:val="0"/>
          <w:lang w:val="en-US" w:eastAsia="ja-JP"/>
        </w:rPr>
      </w:pPr>
    </w:p>
    <w:p w14:paraId="56CF010D" w14:textId="77777777" w:rsidR="0066081F" w:rsidRPr="00B7460E" w:rsidRDefault="0066081F" w:rsidP="0066081F">
      <w:pPr>
        <w:keepNext/>
      </w:pPr>
      <w:r>
        <w:rPr>
          <w:lang w:eastAsia="ja-JP"/>
        </w:rPr>
        <w:fldChar w:fldCharType="begin"/>
      </w:r>
      <w:r>
        <w:rPr>
          <w:lang w:eastAsia="ja-JP"/>
        </w:rPr>
        <w:instrText xml:space="preserve"> AUTONUM  </w:instrText>
      </w:r>
      <w:r>
        <w:rPr>
          <w:lang w:eastAsia="ja-JP"/>
        </w:rPr>
        <w:fldChar w:fldCharType="end"/>
      </w:r>
      <w:r>
        <w:rPr>
          <w:lang w:eastAsia="ja-JP"/>
        </w:rPr>
        <w:tab/>
      </w:r>
      <w:r w:rsidRPr="00B7460E">
        <w:rPr>
          <w:snapToGrid w:val="0"/>
        </w:rPr>
        <w:t xml:space="preserve">Section </w:t>
      </w:r>
      <w:proofErr w:type="gramStart"/>
      <w:r>
        <w:rPr>
          <w:snapToGrid w:val="0"/>
        </w:rPr>
        <w:t>2</w:t>
      </w:r>
      <w:proofErr w:type="gramEnd"/>
      <w:r w:rsidRPr="00B7460E">
        <w:rPr>
          <w:snapToGrid w:val="0"/>
        </w:rPr>
        <w:t xml:space="preserve"> of d</w:t>
      </w:r>
      <w:r w:rsidRPr="00B7460E">
        <w:t>ocument UPOV/INF/16 “Exchangeable Software” provides the following:</w:t>
      </w:r>
    </w:p>
    <w:p w14:paraId="5E6842A9" w14:textId="77777777" w:rsidR="0066081F" w:rsidRPr="006B4836" w:rsidRDefault="0066081F" w:rsidP="0066081F">
      <w:pPr>
        <w:keepNext/>
      </w:pPr>
    </w:p>
    <w:p w14:paraId="60D23FA9" w14:textId="77777777" w:rsidR="0066081F" w:rsidRPr="006B4836" w:rsidRDefault="0066081F" w:rsidP="0066081F">
      <w:pPr>
        <w:keepNext/>
        <w:ind w:left="567" w:right="566"/>
        <w:rPr>
          <w:snapToGrid w:val="0"/>
          <w:sz w:val="18"/>
          <w:szCs w:val="18"/>
        </w:rPr>
      </w:pPr>
      <w:r w:rsidRPr="006B4836">
        <w:rPr>
          <w:snapToGrid w:val="0"/>
          <w:sz w:val="18"/>
          <w:szCs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(TC) on whether to include that software in document UPOV/INF/16 […].”</w:t>
      </w:r>
    </w:p>
    <w:p w14:paraId="7CE1104E" w14:textId="77777777" w:rsidR="008E73EF" w:rsidRPr="006B4836" w:rsidRDefault="008E73EF" w:rsidP="008E73EF">
      <w:pPr>
        <w:rPr>
          <w:snapToGrid w:val="0"/>
          <w:lang w:eastAsia="ja-JP"/>
        </w:rPr>
      </w:pPr>
    </w:p>
    <w:p w14:paraId="613B7F56" w14:textId="7309B179" w:rsidR="008E73EF" w:rsidRPr="006B4836" w:rsidRDefault="008E73EF" w:rsidP="008E73EF">
      <w:r>
        <w:fldChar w:fldCharType="begin"/>
      </w:r>
      <w:r>
        <w:instrText xml:space="preserve"> AUTONUM  </w:instrText>
      </w:r>
      <w:r>
        <w:fldChar w:fldCharType="end"/>
      </w:r>
      <w:r>
        <w:tab/>
      </w:r>
      <w:r w:rsidRPr="00833BEC">
        <w:t xml:space="preserve">The Office of the Union issued on January 18, 2022, Circular E-22/002 to the designated persons of the members of the Union in the TC, inviting them </w:t>
      </w:r>
      <w:r w:rsidRPr="000F6D12">
        <w:t xml:space="preserve">to </w:t>
      </w:r>
      <w:r w:rsidR="00E77894" w:rsidRPr="000F6D12">
        <w:t xml:space="preserve">submit proposals for new or updated information </w:t>
      </w:r>
      <w:r w:rsidRPr="000F6D12">
        <w:t xml:space="preserve">of software </w:t>
      </w:r>
      <w:r w:rsidR="00E77894" w:rsidRPr="000F6D12">
        <w:t xml:space="preserve">for inclusion </w:t>
      </w:r>
      <w:r w:rsidRPr="000F6D12">
        <w:t>in document UPOV/INF/16/11 Draft 1 “Exchangeable software”</w:t>
      </w:r>
      <w:r w:rsidR="00CA1FCA" w:rsidRPr="000F6D12">
        <w:t>.</w:t>
      </w:r>
      <w:r w:rsidR="00CA1FCA">
        <w:t xml:space="preserve">  </w:t>
      </w:r>
    </w:p>
    <w:p w14:paraId="429101F3" w14:textId="77777777" w:rsidR="008E73EF" w:rsidRDefault="008E73EF" w:rsidP="008E73EF"/>
    <w:p w14:paraId="50049CD8" w14:textId="77777777" w:rsidR="008E73EF" w:rsidRPr="006B4836" w:rsidRDefault="008E73EF" w:rsidP="008E73EF">
      <w:r w:rsidRPr="006B4836">
        <w:fldChar w:fldCharType="begin"/>
      </w:r>
      <w:r w:rsidRPr="006B4836">
        <w:instrText xml:space="preserve"> AUTONUM  </w:instrText>
      </w:r>
      <w:r w:rsidRPr="006B4836">
        <w:fldChar w:fldCharType="end"/>
      </w:r>
      <w:r w:rsidRPr="006B4836">
        <w:tab/>
      </w:r>
      <w:proofErr w:type="gramStart"/>
      <w:r w:rsidRPr="006B4836">
        <w:t>The TC, at its fifty-seventh session, agreed to invite members of the Union to propose the inclusion of software incorporating their methods for converting observations into notes in document UPOV/INF/16 or document UPOV/INF/22, as appropriate, with a reference to the availability of such methods in document TGP/8 Part I, new Section 2.5 (see document TC/57/25 “Report”, paragraph 28).</w:t>
      </w:r>
      <w:proofErr w:type="gramEnd"/>
      <w:r>
        <w:t xml:space="preserve">  This invitation was included in </w:t>
      </w:r>
      <w:r w:rsidRPr="006B4836">
        <w:t>Circular E-22/002</w:t>
      </w:r>
      <w:r>
        <w:t xml:space="preserve">, of January 18, 2022. </w:t>
      </w:r>
    </w:p>
    <w:p w14:paraId="5C01F4F1" w14:textId="77777777" w:rsidR="008E73EF" w:rsidRPr="006B4836" w:rsidRDefault="008E73EF" w:rsidP="008E73EF">
      <w:pPr>
        <w:rPr>
          <w:snapToGrid w:val="0"/>
        </w:rPr>
      </w:pPr>
    </w:p>
    <w:p w14:paraId="521E9FA9" w14:textId="77777777" w:rsidR="008E73EF" w:rsidRPr="00FC36EE" w:rsidRDefault="008E73EF" w:rsidP="006F3FBA">
      <w:pPr>
        <w:pStyle w:val="Heading5"/>
        <w:rPr>
          <w:snapToGrid w:val="0"/>
        </w:rPr>
      </w:pPr>
      <w:r w:rsidRPr="00FC36EE">
        <w:rPr>
          <w:snapToGrid w:val="0"/>
        </w:rPr>
        <w:t>Proposals for inclusion of software in document UPOV/INF/16</w:t>
      </w:r>
    </w:p>
    <w:p w14:paraId="7BDFF5A0" w14:textId="77777777" w:rsidR="008E73EF" w:rsidRPr="001E50FB" w:rsidRDefault="008E73EF" w:rsidP="008E73EF"/>
    <w:p w14:paraId="59DEF628" w14:textId="77777777" w:rsidR="008E73EF" w:rsidRDefault="008E73EF" w:rsidP="008E73EF">
      <w:pPr>
        <w:rPr>
          <w:highlight w:val="yellow"/>
        </w:rPr>
      </w:pPr>
      <w:r w:rsidRPr="00CA36AB">
        <w:fldChar w:fldCharType="begin"/>
      </w:r>
      <w:r w:rsidRPr="00CA36AB">
        <w:instrText xml:space="preserve"> AUTONUM  </w:instrText>
      </w:r>
      <w:r w:rsidRPr="00CA36AB">
        <w:fldChar w:fldCharType="end"/>
      </w:r>
      <w:r w:rsidRPr="00CA36AB">
        <w:tab/>
        <w:t xml:space="preserve">In response to Circular E-22/002, </w:t>
      </w:r>
      <w:r>
        <w:t xml:space="preserve">the Office of the Union received proposals for the inclusion of software in document UPOV/INF/16 from China (DUSCEL), France (PATHOSTAT) and Uzbekistan (SATOZ). </w:t>
      </w:r>
    </w:p>
    <w:p w14:paraId="59964042" w14:textId="77777777" w:rsidR="008E73EF" w:rsidRPr="006B4836" w:rsidRDefault="008E73EF" w:rsidP="008E73EF">
      <w:pPr>
        <w:rPr>
          <w:snapToGrid w:val="0"/>
          <w:lang w:eastAsia="ja-JP"/>
        </w:rPr>
      </w:pPr>
    </w:p>
    <w:p w14:paraId="742C1B1C" w14:textId="77777777" w:rsidR="008E73EF" w:rsidRDefault="008E73EF" w:rsidP="008E73EF">
      <w:r w:rsidRPr="006B4836">
        <w:rPr>
          <w:snapToGrid w:val="0"/>
        </w:rPr>
        <w:fldChar w:fldCharType="begin"/>
      </w:r>
      <w:r w:rsidRPr="006B4836">
        <w:rPr>
          <w:snapToGrid w:val="0"/>
        </w:rPr>
        <w:instrText xml:space="preserve"> AUTONUM  </w:instrText>
      </w:r>
      <w:r w:rsidRPr="006B4836">
        <w:rPr>
          <w:snapToGrid w:val="0"/>
        </w:rPr>
        <w:fldChar w:fldCharType="end"/>
      </w:r>
      <w:r w:rsidRPr="006B4836">
        <w:rPr>
          <w:snapToGrid w:val="0"/>
        </w:rPr>
        <w:tab/>
        <w:t xml:space="preserve">Software proposed for inclusion in document UPOV/INF/16 </w:t>
      </w:r>
      <w:proofErr w:type="gramStart"/>
      <w:r w:rsidRPr="006B4836">
        <w:t>will be presented</w:t>
      </w:r>
      <w:proofErr w:type="gramEnd"/>
      <w:r w:rsidRPr="006B4836">
        <w:t xml:space="preserve"> for review by</w:t>
      </w:r>
      <w:r w:rsidRPr="006B4836">
        <w:rPr>
          <w:snapToGrid w:val="0"/>
        </w:rPr>
        <w:t xml:space="preserve"> the TWM, at its first session, to be held from September 19 to 23, 2022.  The TWM </w:t>
      </w:r>
      <w:proofErr w:type="gramStart"/>
      <w:r w:rsidRPr="006B4836">
        <w:rPr>
          <w:snapToGrid w:val="0"/>
        </w:rPr>
        <w:t>will be invited</w:t>
      </w:r>
      <w:proofErr w:type="gramEnd"/>
      <w:r w:rsidRPr="006B4836">
        <w:rPr>
          <w:snapToGrid w:val="0"/>
        </w:rPr>
        <w:t xml:space="preserve"> to make a recommendation for consideration by the TC, at its fifty</w:t>
      </w:r>
      <w:r w:rsidRPr="006B4836">
        <w:rPr>
          <w:snapToGrid w:val="0"/>
        </w:rPr>
        <w:noBreakHyphen/>
        <w:t>eighth session, on whether to include the proposed software in document UPOV/INF/16</w:t>
      </w:r>
      <w:r w:rsidRPr="006B4836">
        <w:t>.</w:t>
      </w:r>
    </w:p>
    <w:p w14:paraId="5B18FA08" w14:textId="77777777" w:rsidR="008E73EF" w:rsidRPr="002C4A30" w:rsidRDefault="008E73EF" w:rsidP="0052560D"/>
    <w:p w14:paraId="683CDE4B" w14:textId="77777777" w:rsidR="0052560D" w:rsidRDefault="0052560D" w:rsidP="009E1772">
      <w:pPr>
        <w:pStyle w:val="DecisionParagraphs"/>
        <w:keepNext/>
        <w:keepLines/>
      </w:pPr>
      <w:r>
        <w:fldChar w:fldCharType="begin"/>
      </w:r>
      <w:r>
        <w:instrText xml:space="preserve"> AUTONUM  </w:instrText>
      </w:r>
      <w:r>
        <w:fldChar w:fldCharType="end"/>
      </w:r>
      <w:r>
        <w:tab/>
      </w:r>
      <w:r w:rsidRPr="00B7460E">
        <w:t xml:space="preserve">The </w:t>
      </w:r>
      <w:r>
        <w:t xml:space="preserve">TC </w:t>
      </w:r>
      <w:proofErr w:type="gramStart"/>
      <w:r w:rsidRPr="00B7460E">
        <w:t>is invited</w:t>
      </w:r>
      <w:proofErr w:type="gramEnd"/>
      <w:r w:rsidRPr="00B7460E">
        <w:t xml:space="preserve"> to:</w:t>
      </w:r>
    </w:p>
    <w:p w14:paraId="0228D7D7" w14:textId="77777777" w:rsidR="0052560D" w:rsidRPr="00B7460E" w:rsidRDefault="0052560D" w:rsidP="009E1772">
      <w:pPr>
        <w:pStyle w:val="DecisionParagraphs"/>
        <w:keepNext/>
        <w:keepLines/>
      </w:pPr>
    </w:p>
    <w:p w14:paraId="73ECF87E" w14:textId="77777777" w:rsidR="0052560D" w:rsidRPr="003E1732" w:rsidRDefault="0052560D" w:rsidP="009E1772">
      <w:pPr>
        <w:pStyle w:val="DecisionParagraphs"/>
        <w:keepNext/>
        <w:keepLines/>
      </w:pPr>
      <w:r>
        <w:tab/>
      </w:r>
      <w:r w:rsidRPr="003E1732">
        <w:t>(a)</w:t>
      </w:r>
      <w:r w:rsidRPr="003E1732">
        <w:tab/>
      </w:r>
      <w:r w:rsidR="00DA0237">
        <w:t>consider</w:t>
      </w:r>
      <w:r w:rsidRPr="003E1732">
        <w:t xml:space="preserve"> the proposed revision of document UPOV/INF/16 “Exchangeable Software” on the basis of document UPOV/INF/16/11 Draft 1</w:t>
      </w:r>
      <w:r w:rsidR="0066081F">
        <w:t xml:space="preserve"> and the recommendations from the TWM, at its first session</w:t>
      </w:r>
      <w:r w:rsidRPr="003E1732">
        <w:t>;</w:t>
      </w:r>
      <w:r>
        <w:t xml:space="preserve"> and</w:t>
      </w:r>
    </w:p>
    <w:p w14:paraId="6505EC1D" w14:textId="77777777" w:rsidR="0052560D" w:rsidRPr="003E1732" w:rsidRDefault="0052560D" w:rsidP="0052560D">
      <w:pPr>
        <w:pStyle w:val="DecisionParagraphs"/>
      </w:pPr>
    </w:p>
    <w:p w14:paraId="2F400C7F" w14:textId="77777777" w:rsidR="0052560D" w:rsidRDefault="0052560D" w:rsidP="0052560D">
      <w:pPr>
        <w:pStyle w:val="DecisionParagraphs"/>
      </w:pPr>
      <w:r w:rsidRPr="003E1732">
        <w:tab/>
        <w:t>(b)</w:t>
      </w:r>
      <w:r w:rsidRPr="003E1732">
        <w:tab/>
      </w:r>
      <w:proofErr w:type="gramStart"/>
      <w:r w:rsidRPr="003E1732">
        <w:t>note</w:t>
      </w:r>
      <w:proofErr w:type="gramEnd"/>
      <w:r w:rsidRPr="003E1732">
        <w:t xml:space="preserve"> that, subject to agreement by the </w:t>
      </w:r>
      <w:r w:rsidR="00B82398">
        <w:t>CAJ</w:t>
      </w:r>
      <w:r w:rsidRPr="003E1732">
        <w:t>, an agreed draft of document UPOV/INF/16 will be presented for adoption by the Council in 2022</w:t>
      </w:r>
      <w:r>
        <w:t>.</w:t>
      </w:r>
    </w:p>
    <w:p w14:paraId="472C368F" w14:textId="77777777" w:rsidR="0052560D" w:rsidRDefault="0052560D" w:rsidP="005566D0"/>
    <w:p w14:paraId="0635DE4D" w14:textId="77777777" w:rsidR="0052560D" w:rsidRDefault="0052560D" w:rsidP="005566D0"/>
    <w:p w14:paraId="5B9DD4FC" w14:textId="77777777" w:rsidR="0052560D" w:rsidRPr="0052560D" w:rsidRDefault="0052560D" w:rsidP="000116D8">
      <w:pPr>
        <w:pStyle w:val="Heading3"/>
      </w:pPr>
      <w:bookmarkStart w:id="15" w:name="_Toc107846184"/>
      <w:bookmarkStart w:id="16" w:name="_Toc107949443"/>
      <w:bookmarkStart w:id="17" w:name="_Toc107949613"/>
      <w:bookmarkStart w:id="18" w:name="_Toc108115263"/>
      <w:r w:rsidRPr="0052560D">
        <w:t xml:space="preserve">Revision of document UPOV/INF/22 “Software and Equipment Used by Members of the Union” </w:t>
      </w:r>
      <w:r w:rsidRPr="0052560D">
        <w:br/>
        <w:t>(document UPOV/INF/22/9 Draft 1)</w:t>
      </w:r>
      <w:bookmarkEnd w:id="15"/>
      <w:bookmarkEnd w:id="16"/>
      <w:bookmarkEnd w:id="17"/>
      <w:bookmarkEnd w:id="18"/>
    </w:p>
    <w:p w14:paraId="5100BD69" w14:textId="77777777" w:rsidR="0052560D" w:rsidRDefault="0052560D" w:rsidP="000116D8">
      <w:pPr>
        <w:pStyle w:val="Heading3"/>
      </w:pPr>
    </w:p>
    <w:p w14:paraId="246F3445" w14:textId="74745685" w:rsidR="0052560D" w:rsidRPr="002C4A30" w:rsidRDefault="0052560D" w:rsidP="0052560D">
      <w:r>
        <w:fldChar w:fldCharType="begin"/>
      </w:r>
      <w:r>
        <w:instrText xml:space="preserve"> AUTONUM  </w:instrText>
      </w:r>
      <w:r>
        <w:fldChar w:fldCharType="end"/>
      </w:r>
      <w:r>
        <w:tab/>
      </w:r>
      <w:r w:rsidRPr="002C4A30">
        <w:t xml:space="preserve">The TC and the CAJ </w:t>
      </w:r>
      <w:proofErr w:type="gramStart"/>
      <w:r w:rsidRPr="002C4A30">
        <w:t>will be invited</w:t>
      </w:r>
      <w:proofErr w:type="gramEnd"/>
      <w:r w:rsidRPr="002C4A30">
        <w:t xml:space="preserve"> to agree </w:t>
      </w:r>
      <w:r w:rsidR="0003117F" w:rsidRPr="006F20EF">
        <w:t xml:space="preserve">on </w:t>
      </w:r>
      <w:r w:rsidRPr="002C4A30">
        <w:t xml:space="preserve">the proposals to </w:t>
      </w:r>
      <w:r w:rsidRPr="002C4A30">
        <w:rPr>
          <w:spacing w:val="-2"/>
        </w:rPr>
        <w:t>revise document UPOV/</w:t>
      </w:r>
      <w:r w:rsidRPr="002C4A30">
        <w:t>INF/22/</w:t>
      </w:r>
      <w:r>
        <w:t>8</w:t>
      </w:r>
      <w:r w:rsidRPr="002C4A30">
        <w:t xml:space="preserve"> “Software and equipment used by members of the Union”</w:t>
      </w:r>
      <w:r>
        <w:t>,</w:t>
      </w:r>
      <w:r w:rsidRPr="002C4A30">
        <w:t xml:space="preserve"> as presented in document UPOV/</w:t>
      </w:r>
      <w:r>
        <w:t>INF/22/9</w:t>
      </w:r>
      <w:r w:rsidRPr="002C4A30">
        <w:t xml:space="preserve"> Draft 1.</w:t>
      </w:r>
    </w:p>
    <w:p w14:paraId="59350DB6" w14:textId="77777777" w:rsidR="0052560D" w:rsidRPr="002C4A30" w:rsidRDefault="0052560D" w:rsidP="0052560D">
      <w:pPr>
        <w:keepNext/>
      </w:pPr>
    </w:p>
    <w:p w14:paraId="635BE65E" w14:textId="77777777" w:rsidR="0052560D" w:rsidRDefault="00B82398" w:rsidP="00B82398">
      <w:pPr>
        <w:pStyle w:val="DecisionParagraphs"/>
      </w:pPr>
      <w:r>
        <w:fldChar w:fldCharType="begin"/>
      </w:r>
      <w:r>
        <w:instrText xml:space="preserve"> AUTONUM  </w:instrText>
      </w:r>
      <w:r>
        <w:fldChar w:fldCharType="end"/>
      </w:r>
      <w:r>
        <w:tab/>
      </w:r>
      <w:r w:rsidR="0052560D" w:rsidRPr="003E1732">
        <w:t xml:space="preserve">The </w:t>
      </w:r>
      <w:r>
        <w:t>TC</w:t>
      </w:r>
      <w:r w:rsidR="0052560D" w:rsidRPr="003E1732">
        <w:t xml:space="preserve"> </w:t>
      </w:r>
      <w:proofErr w:type="gramStart"/>
      <w:r w:rsidR="0052560D" w:rsidRPr="003E1732">
        <w:t>is invited</w:t>
      </w:r>
      <w:proofErr w:type="gramEnd"/>
      <w:r w:rsidR="0052560D" w:rsidRPr="003E1732">
        <w:t xml:space="preserve"> to:</w:t>
      </w:r>
    </w:p>
    <w:p w14:paraId="57A18986" w14:textId="77777777" w:rsidR="0052560D" w:rsidRPr="003E1732" w:rsidRDefault="0052560D" w:rsidP="0052560D">
      <w:pPr>
        <w:pStyle w:val="DecisionParagraphs"/>
      </w:pPr>
    </w:p>
    <w:p w14:paraId="6B25D0AA" w14:textId="77777777" w:rsidR="0052560D" w:rsidRPr="0052560D" w:rsidRDefault="00B82398" w:rsidP="0052560D">
      <w:pPr>
        <w:pStyle w:val="DecisionParagraphs"/>
      </w:pPr>
      <w:r>
        <w:tab/>
      </w:r>
      <w:r w:rsidR="0052560D" w:rsidRPr="0052560D">
        <w:t>(a)</w:t>
      </w:r>
      <w:r w:rsidR="0052560D" w:rsidRPr="0052560D">
        <w:tab/>
      </w:r>
      <w:proofErr w:type="gramStart"/>
      <w:r w:rsidR="00DA0237">
        <w:t>consider</w:t>
      </w:r>
      <w:proofErr w:type="gramEnd"/>
      <w:r w:rsidR="0052560D" w:rsidRPr="0052560D">
        <w:t xml:space="preserve"> the proposed revision of document UPOV/INF/22 “Software and Equipment Used by Members of the Union” on the basis of document UPOV/INF/22/9 Draft 1; and</w:t>
      </w:r>
    </w:p>
    <w:p w14:paraId="24C2F4AF" w14:textId="77777777" w:rsidR="0052560D" w:rsidRPr="0052560D" w:rsidRDefault="0052560D" w:rsidP="0052560D">
      <w:pPr>
        <w:pStyle w:val="DecisionParagraphs"/>
      </w:pPr>
    </w:p>
    <w:p w14:paraId="663198D7" w14:textId="77777777" w:rsidR="005566D0" w:rsidRPr="0052560D" w:rsidRDefault="0052560D" w:rsidP="002C1942">
      <w:pPr>
        <w:pStyle w:val="DecisionParagraphs"/>
        <w:keepLines/>
      </w:pPr>
      <w:r w:rsidRPr="0052560D">
        <w:tab/>
        <w:t>(b)</w:t>
      </w:r>
      <w:r w:rsidRPr="0052560D">
        <w:tab/>
      </w:r>
      <w:proofErr w:type="gramStart"/>
      <w:r w:rsidRPr="0052560D">
        <w:t>note</w:t>
      </w:r>
      <w:proofErr w:type="gramEnd"/>
      <w:r w:rsidRPr="0052560D">
        <w:t xml:space="preserve"> that, subject to agreement by </w:t>
      </w:r>
      <w:r w:rsidR="00B82398">
        <w:t xml:space="preserve">the </w:t>
      </w:r>
      <w:r w:rsidRPr="0052560D">
        <w:t xml:space="preserve">CAJ, an agreed draft of </w:t>
      </w:r>
      <w:r w:rsidR="00B82398">
        <w:br/>
      </w:r>
      <w:r w:rsidRPr="0052560D">
        <w:t>document UPOV/INF/22 will be presented for adoption by the Council in 2022.</w:t>
      </w:r>
    </w:p>
    <w:p w14:paraId="17C163F3" w14:textId="77777777" w:rsidR="0052560D" w:rsidRDefault="0052560D" w:rsidP="002C1942">
      <w:pPr>
        <w:keepLines/>
      </w:pPr>
    </w:p>
    <w:p w14:paraId="71240DB5" w14:textId="77777777" w:rsidR="00B82398" w:rsidRDefault="00B82398" w:rsidP="005566D0"/>
    <w:p w14:paraId="0F2ECDF2" w14:textId="77777777" w:rsidR="0052560D" w:rsidRDefault="00A857ED" w:rsidP="00A857ED">
      <w:pPr>
        <w:pStyle w:val="Heading2"/>
      </w:pPr>
      <w:bookmarkStart w:id="19" w:name="_Toc108115264"/>
      <w:r>
        <w:t>Explanatory Notes</w:t>
      </w:r>
      <w:bookmarkEnd w:id="19"/>
    </w:p>
    <w:p w14:paraId="119F73B1" w14:textId="77777777" w:rsidR="005566D0" w:rsidRDefault="005566D0" w:rsidP="005566D0"/>
    <w:p w14:paraId="2D25F850" w14:textId="77777777" w:rsidR="00B82398" w:rsidRPr="000A132D" w:rsidRDefault="00B82398" w:rsidP="00A857ED">
      <w:pPr>
        <w:pStyle w:val="Heading3"/>
      </w:pPr>
      <w:bookmarkStart w:id="20" w:name="_Toc107846186"/>
      <w:bookmarkStart w:id="21" w:name="_Toc107949445"/>
      <w:bookmarkStart w:id="22" w:name="_Toc107949615"/>
      <w:bookmarkStart w:id="23" w:name="_Toc108115265"/>
      <w:r w:rsidRPr="00B82398">
        <w:t>Explanatory</w:t>
      </w:r>
      <w:r w:rsidRPr="000A132D">
        <w:t xml:space="preserve"> Notes on Variety Denomina</w:t>
      </w:r>
      <w:r>
        <w:t>tions under the UPOV Convention</w:t>
      </w:r>
      <w:r w:rsidRPr="00632A44">
        <w:t xml:space="preserve"> (</w:t>
      </w:r>
      <w:r w:rsidRPr="00FA04BF">
        <w:t xml:space="preserve">document </w:t>
      </w:r>
      <w:r w:rsidRPr="003859A6">
        <w:t>UPOV/EXN/DEN)</w:t>
      </w:r>
      <w:bookmarkEnd w:id="20"/>
      <w:bookmarkEnd w:id="21"/>
      <w:bookmarkEnd w:id="22"/>
      <w:bookmarkEnd w:id="23"/>
    </w:p>
    <w:p w14:paraId="24B3D295" w14:textId="77777777" w:rsidR="00B82398" w:rsidRDefault="00B82398" w:rsidP="005566D0"/>
    <w:p w14:paraId="21A2567A" w14:textId="77777777" w:rsidR="00B82398" w:rsidRPr="002C4A30" w:rsidRDefault="00B82398" w:rsidP="00B82398">
      <w:r>
        <w:fldChar w:fldCharType="begin"/>
      </w:r>
      <w:r>
        <w:instrText xml:space="preserve"> AUTONUM  </w:instrText>
      </w:r>
      <w:r>
        <w:fldChar w:fldCharType="end"/>
      </w:r>
      <w:r>
        <w:tab/>
      </w:r>
      <w:r w:rsidRPr="002C4A30">
        <w:t xml:space="preserve">The </w:t>
      </w:r>
      <w:r>
        <w:t>TC</w:t>
      </w:r>
      <w:r w:rsidR="002F114A">
        <w:t>, at its fifty-seventh session</w:t>
      </w:r>
      <w:r w:rsidR="002F114A">
        <w:rPr>
          <w:rStyle w:val="FootnoteReference"/>
        </w:rPr>
        <w:footnoteReference w:id="2"/>
      </w:r>
      <w:r w:rsidR="002F114A">
        <w:t>,</w:t>
      </w:r>
      <w:r w:rsidRPr="002C4A30">
        <w:t xml:space="preserve"> agree</w:t>
      </w:r>
      <w:r w:rsidR="00897341">
        <w:t>d to propose the revision of</w:t>
      </w:r>
      <w:r w:rsidRPr="002C4A30">
        <w:t xml:space="preserve"> document </w:t>
      </w:r>
      <w:r w:rsidRPr="00632A44">
        <w:t>UPOV/EXN/DEN/1 “Explanatory Notes on Variety Denominations under the UPOV Convention”</w:t>
      </w:r>
      <w:r>
        <w:t>,</w:t>
      </w:r>
      <w:r w:rsidRPr="002C4A30">
        <w:t xml:space="preserve"> as presented </w:t>
      </w:r>
      <w:r w:rsidRPr="00C22D85">
        <w:t xml:space="preserve">in </w:t>
      </w:r>
      <w:r>
        <w:t>Annex I to this document</w:t>
      </w:r>
      <w:r w:rsidR="00897341">
        <w:t xml:space="preserve"> </w:t>
      </w:r>
      <w:r w:rsidR="00846D16">
        <w:t>(see document TC/57/25 “Report”, paragraph 34).</w:t>
      </w:r>
    </w:p>
    <w:p w14:paraId="6BDC5092" w14:textId="77777777" w:rsidR="00B82398" w:rsidRDefault="00B82398" w:rsidP="002F114A"/>
    <w:p w14:paraId="7E0BF176" w14:textId="77777777" w:rsidR="002F114A" w:rsidRDefault="002F114A" w:rsidP="002F114A">
      <w:r>
        <w:fldChar w:fldCharType="begin"/>
      </w:r>
      <w:r>
        <w:instrText xml:space="preserve"> AUTONUM  </w:instrText>
      </w:r>
      <w:r>
        <w:fldChar w:fldCharType="end"/>
      </w:r>
      <w:r>
        <w:tab/>
        <w:t>S</w:t>
      </w:r>
      <w:r w:rsidRPr="00B82398">
        <w:t xml:space="preserve">ubject to agreement by </w:t>
      </w:r>
      <w:r>
        <w:t xml:space="preserve">the CAJ, the </w:t>
      </w:r>
      <w:proofErr w:type="gramStart"/>
      <w:r>
        <w:t>proposed revision of</w:t>
      </w:r>
      <w:r w:rsidRPr="00B82398">
        <w:t xml:space="preserve"> </w:t>
      </w:r>
      <w:r>
        <w:t>document UPOV/EXN/DEN/1</w:t>
      </w:r>
      <w:r w:rsidRPr="00B82398">
        <w:t xml:space="preserve"> will be presented for adoption by the Council</w:t>
      </w:r>
      <w:proofErr w:type="gramEnd"/>
      <w:r w:rsidRPr="00B82398">
        <w:t xml:space="preserve"> in 2022.</w:t>
      </w:r>
    </w:p>
    <w:p w14:paraId="2B3B48F5" w14:textId="77777777" w:rsidR="002F114A" w:rsidRPr="002C4A30" w:rsidRDefault="002F114A" w:rsidP="002F114A"/>
    <w:p w14:paraId="1C6ABA0B" w14:textId="77777777" w:rsidR="00B82398" w:rsidRPr="00B82398" w:rsidRDefault="00B82398" w:rsidP="004D5796">
      <w:pPr>
        <w:pStyle w:val="DecisionParagraphs"/>
      </w:pPr>
      <w:r>
        <w:fldChar w:fldCharType="begin"/>
      </w:r>
      <w:r>
        <w:instrText xml:space="preserve"> AUTONUM  </w:instrText>
      </w:r>
      <w:r>
        <w:fldChar w:fldCharType="end"/>
      </w:r>
      <w:r>
        <w:tab/>
      </w:r>
      <w:r w:rsidRPr="00B82398">
        <w:t xml:space="preserve">The </w:t>
      </w:r>
      <w:r>
        <w:t>TC</w:t>
      </w:r>
      <w:r w:rsidRPr="00B82398">
        <w:t xml:space="preserve"> </w:t>
      </w:r>
      <w:proofErr w:type="gramStart"/>
      <w:r w:rsidRPr="00B82398">
        <w:t>is invited</w:t>
      </w:r>
      <w:proofErr w:type="gramEnd"/>
      <w:r w:rsidRPr="00B82398">
        <w:t xml:space="preserve"> to</w:t>
      </w:r>
      <w:r w:rsidR="0031706A">
        <w:t xml:space="preserve"> </w:t>
      </w:r>
      <w:r w:rsidRPr="00B82398">
        <w:t xml:space="preserve">note that, subject to agreement by </w:t>
      </w:r>
      <w:r>
        <w:t>the CAJ, the proposed revision of</w:t>
      </w:r>
      <w:r w:rsidRPr="00B82398">
        <w:t xml:space="preserve"> document UPOV/EXN/DEN/1 will be presented for adoption by the Council in 2022.</w:t>
      </w:r>
    </w:p>
    <w:p w14:paraId="45700612" w14:textId="77777777" w:rsidR="0052560D" w:rsidRDefault="0052560D" w:rsidP="005566D0"/>
    <w:p w14:paraId="75A5C4B7" w14:textId="77777777" w:rsidR="00E310B1" w:rsidRPr="00B82398" w:rsidRDefault="00E310B1" w:rsidP="005566D0"/>
    <w:p w14:paraId="73789B0F" w14:textId="77777777" w:rsidR="0052560D" w:rsidRDefault="00AB4567" w:rsidP="00AB4567">
      <w:pPr>
        <w:pStyle w:val="Heading2"/>
      </w:pPr>
      <w:bookmarkStart w:id="24" w:name="_Toc108115266"/>
      <w:r>
        <w:t>TGP Documents</w:t>
      </w:r>
      <w:bookmarkEnd w:id="24"/>
    </w:p>
    <w:p w14:paraId="74E194F1" w14:textId="77777777" w:rsidR="0052560D" w:rsidRPr="00B82398" w:rsidRDefault="0052560D" w:rsidP="005566D0"/>
    <w:p w14:paraId="0D1BE38E" w14:textId="77777777" w:rsidR="00B82398" w:rsidRPr="006A1DA5" w:rsidRDefault="00B82398" w:rsidP="00AB4567">
      <w:pPr>
        <w:pStyle w:val="Heading3"/>
      </w:pPr>
      <w:bookmarkStart w:id="25" w:name="_Toc107949448"/>
      <w:bookmarkStart w:id="26" w:name="_Toc107949618"/>
      <w:bookmarkStart w:id="27" w:name="_Toc108115267"/>
      <w:r>
        <w:rPr>
          <w:snapToGrid w:val="0"/>
        </w:rPr>
        <w:t>TGP/5:  </w:t>
      </w:r>
      <w:r w:rsidRPr="00B82398">
        <w:t>Experience</w:t>
      </w:r>
      <w:r>
        <w:rPr>
          <w:snapToGrid w:val="0"/>
        </w:rPr>
        <w:t xml:space="preserve"> and Cooperation in DUS Testing, </w:t>
      </w:r>
      <w:r w:rsidRPr="008277D0">
        <w:rPr>
          <w:snapToGrid w:val="0"/>
        </w:rPr>
        <w:t>Section 6: UPOV Report on Technical Examination and UPOV Variety Description</w:t>
      </w:r>
      <w:r w:rsidRPr="006A1DA5">
        <w:rPr>
          <w:snapToGrid w:val="0"/>
        </w:rPr>
        <w:t xml:space="preserve"> (Revision)</w:t>
      </w:r>
      <w:r>
        <w:rPr>
          <w:snapToGrid w:val="0"/>
        </w:rPr>
        <w:t xml:space="preserve"> </w:t>
      </w:r>
      <w:r w:rsidRPr="006A1DA5">
        <w:rPr>
          <w:snapToGrid w:val="0"/>
        </w:rPr>
        <w:t xml:space="preserve">(document TGP/5: Section </w:t>
      </w:r>
      <w:r>
        <w:rPr>
          <w:snapToGrid w:val="0"/>
        </w:rPr>
        <w:t>6</w:t>
      </w:r>
      <w:r w:rsidRPr="006A1DA5">
        <w:rPr>
          <w:snapToGrid w:val="0"/>
        </w:rPr>
        <w:t>/4 Draft 1)</w:t>
      </w:r>
      <w:bookmarkEnd w:id="25"/>
      <w:bookmarkEnd w:id="26"/>
      <w:bookmarkEnd w:id="27"/>
      <w:r w:rsidRPr="006A1DA5">
        <w:t xml:space="preserve"> </w:t>
      </w:r>
    </w:p>
    <w:p w14:paraId="01F577C3" w14:textId="77777777" w:rsidR="00B82398" w:rsidRPr="00B82398" w:rsidRDefault="00B82398" w:rsidP="005566D0"/>
    <w:p w14:paraId="410017A8" w14:textId="77777777" w:rsidR="00B82398" w:rsidRPr="002C4A30" w:rsidRDefault="00B82398" w:rsidP="00B82398">
      <w:r w:rsidRPr="002C1942">
        <w:fldChar w:fldCharType="begin"/>
      </w:r>
      <w:r w:rsidRPr="002C1942">
        <w:instrText xml:space="preserve"> AUTONUM  </w:instrText>
      </w:r>
      <w:r w:rsidRPr="002C1942">
        <w:fldChar w:fldCharType="end"/>
      </w:r>
      <w:r w:rsidRPr="002C1942">
        <w:tab/>
      </w:r>
      <w:r w:rsidR="00AB4567" w:rsidRPr="002C1942">
        <w:t>The TC, at its fifty-seventh session</w:t>
      </w:r>
      <w:r w:rsidR="00AB4567" w:rsidRPr="002C1942">
        <w:rPr>
          <w:rStyle w:val="FootnoteReference"/>
        </w:rPr>
        <w:footnoteReference w:id="3"/>
      </w:r>
      <w:r w:rsidR="00AB4567" w:rsidRPr="002C1942">
        <w:t xml:space="preserve">, agreed to propose the revision of </w:t>
      </w:r>
      <w:r w:rsidRPr="002C1942">
        <w:t>document TGP/5 “Experience and Cooperation in DUS Testing”, Section 6 “UPOV Report on Technical Examination and UPOV Variety Description”, as presented in document TGP/5: Section 6/4 Draft 1</w:t>
      </w:r>
      <w:r w:rsidR="00AB4567" w:rsidRPr="002C1942">
        <w:t xml:space="preserve"> </w:t>
      </w:r>
      <w:r w:rsidR="00846D16" w:rsidRPr="002C1942">
        <w:t xml:space="preserve">(see document TC/57/25 “Report”, paragraph </w:t>
      </w:r>
      <w:r w:rsidR="002C1942" w:rsidRPr="002C1942">
        <w:t>22</w:t>
      </w:r>
      <w:r w:rsidR="00846D16">
        <w:t>).</w:t>
      </w:r>
    </w:p>
    <w:p w14:paraId="3B985B21" w14:textId="77777777" w:rsidR="00B82398" w:rsidRDefault="00B82398" w:rsidP="00B82398">
      <w:pPr>
        <w:keepNext/>
      </w:pPr>
    </w:p>
    <w:p w14:paraId="5EECDC53" w14:textId="77777777" w:rsidR="00AB4567" w:rsidRDefault="00AB4567" w:rsidP="00B82398">
      <w:pPr>
        <w:keepNext/>
      </w:pPr>
      <w:r>
        <w:fldChar w:fldCharType="begin"/>
      </w:r>
      <w:r>
        <w:instrText xml:space="preserve"> AUTONUM  </w:instrText>
      </w:r>
      <w:r>
        <w:fldChar w:fldCharType="end"/>
      </w:r>
      <w:r>
        <w:tab/>
      </w:r>
      <w:r w:rsidRPr="00AB4567">
        <w:t xml:space="preserve">Subject to agreement by the CAJ, an agreed draft of document TGP/5: </w:t>
      </w:r>
      <w:proofErr w:type="gramStart"/>
      <w:r w:rsidRPr="00AB4567">
        <w:t>Section 6 will be presented for adoption by the Council</w:t>
      </w:r>
      <w:proofErr w:type="gramEnd"/>
      <w:r w:rsidRPr="00AB4567">
        <w:t xml:space="preserve"> in 2022.</w:t>
      </w:r>
    </w:p>
    <w:p w14:paraId="3FCD461A" w14:textId="77777777" w:rsidR="00AB4567" w:rsidRPr="002C4A30" w:rsidRDefault="00AB4567" w:rsidP="00B82398">
      <w:pPr>
        <w:keepNext/>
      </w:pPr>
    </w:p>
    <w:p w14:paraId="41072724" w14:textId="77777777" w:rsidR="00B82398" w:rsidRPr="00B82398" w:rsidRDefault="00B82398" w:rsidP="00B82398">
      <w:pPr>
        <w:pStyle w:val="DecisionParagraphs"/>
      </w:pPr>
      <w:r>
        <w:fldChar w:fldCharType="begin"/>
      </w:r>
      <w:r>
        <w:instrText xml:space="preserve"> AUTONUM  </w:instrText>
      </w:r>
      <w:r>
        <w:fldChar w:fldCharType="end"/>
      </w:r>
      <w:r>
        <w:tab/>
        <w:t>The TC</w:t>
      </w:r>
      <w:r w:rsidRPr="00B82398">
        <w:t xml:space="preserve"> is invited to</w:t>
      </w:r>
      <w:r w:rsidR="003F1C72">
        <w:t xml:space="preserve"> </w:t>
      </w:r>
      <w:r w:rsidRPr="00B82398">
        <w:t xml:space="preserve">note that, subject to agreement by </w:t>
      </w:r>
      <w:r>
        <w:t>the</w:t>
      </w:r>
      <w:r w:rsidRPr="00B82398">
        <w:t xml:space="preserve"> CAJ, an agreed draft of document TGP/5: </w:t>
      </w:r>
      <w:proofErr w:type="gramStart"/>
      <w:r w:rsidRPr="00B82398">
        <w:t>Section 6 will be presented for adoption by the Council</w:t>
      </w:r>
      <w:proofErr w:type="gramEnd"/>
      <w:r w:rsidRPr="00B82398">
        <w:t xml:space="preserve"> in 2022.</w:t>
      </w:r>
    </w:p>
    <w:p w14:paraId="4A7565CC" w14:textId="77777777" w:rsidR="00B82398" w:rsidRDefault="00B82398" w:rsidP="00B82398"/>
    <w:p w14:paraId="14CF1529" w14:textId="77777777" w:rsidR="00E310B1" w:rsidRPr="00596DE2" w:rsidRDefault="00E310B1" w:rsidP="00B82398"/>
    <w:p w14:paraId="676B7566" w14:textId="77777777" w:rsidR="00B82398" w:rsidRPr="00B82398" w:rsidRDefault="00B82398" w:rsidP="000116D8">
      <w:pPr>
        <w:pStyle w:val="Heading3"/>
      </w:pPr>
      <w:bookmarkStart w:id="28" w:name="_Toc107949449"/>
      <w:bookmarkStart w:id="29" w:name="_Toc107949619"/>
      <w:bookmarkStart w:id="30" w:name="_Toc108115268"/>
      <w:r w:rsidRPr="00B82398">
        <w:t>TGP/8:  Trial Design and Techniques Used in the Examination of Distinctness, Uniformity and Stability (Revision) (Annex II)</w:t>
      </w:r>
      <w:bookmarkEnd w:id="28"/>
      <w:bookmarkEnd w:id="29"/>
      <w:bookmarkEnd w:id="30"/>
    </w:p>
    <w:p w14:paraId="2083AA0A" w14:textId="77777777" w:rsidR="00B82398" w:rsidRPr="00B82398" w:rsidRDefault="00B82398" w:rsidP="00B82398"/>
    <w:p w14:paraId="761F0F41" w14:textId="77777777" w:rsidR="00B82398" w:rsidRDefault="00B82398" w:rsidP="00B82398">
      <w:r>
        <w:fldChar w:fldCharType="begin"/>
      </w:r>
      <w:r>
        <w:instrText xml:space="preserve"> AUTONUM  </w:instrText>
      </w:r>
      <w:r>
        <w:fldChar w:fldCharType="end"/>
      </w:r>
      <w:r>
        <w:tab/>
      </w:r>
      <w:r w:rsidR="00E310B1" w:rsidRPr="002C4A30">
        <w:t xml:space="preserve">The </w:t>
      </w:r>
      <w:r w:rsidR="00E310B1">
        <w:t>TC, at its fifty-seventh session</w:t>
      </w:r>
      <w:r w:rsidR="00E310B1">
        <w:rPr>
          <w:rStyle w:val="FootnoteReference"/>
        </w:rPr>
        <w:footnoteReference w:id="4"/>
      </w:r>
      <w:r w:rsidR="00E310B1">
        <w:t>,</w:t>
      </w:r>
      <w:r w:rsidR="00E310B1" w:rsidRPr="002C4A30">
        <w:t xml:space="preserve"> agree</w:t>
      </w:r>
      <w:r w:rsidR="00E310B1">
        <w:t xml:space="preserve">d to propose the revision of </w:t>
      </w:r>
      <w:r w:rsidR="00E310B1" w:rsidRPr="002C4A30">
        <w:t xml:space="preserve">document </w:t>
      </w:r>
      <w:r w:rsidRPr="00B82398">
        <w:t>TGP/8/4“Trial Design and Techniques Used in the Examination of Distinctness, Uniformity and Stability”, as presented in Annex II to this document</w:t>
      </w:r>
      <w:r w:rsidR="00E310B1">
        <w:t xml:space="preserve"> </w:t>
      </w:r>
      <w:r w:rsidR="008C6D8B">
        <w:t>(see document TC/57/25 “Report”, paragraph 27).</w:t>
      </w:r>
    </w:p>
    <w:p w14:paraId="209937B6" w14:textId="77777777" w:rsidR="006C2E04" w:rsidRDefault="006C2E04" w:rsidP="00B82398"/>
    <w:p w14:paraId="30FB07C7" w14:textId="77777777" w:rsidR="006C2E04" w:rsidRPr="00B82398" w:rsidRDefault="006C2E04" w:rsidP="00B82398">
      <w:r>
        <w:fldChar w:fldCharType="begin"/>
      </w:r>
      <w:r>
        <w:instrText xml:space="preserve"> AUTONUM  </w:instrText>
      </w:r>
      <w:r>
        <w:fldChar w:fldCharType="end"/>
      </w:r>
      <w:r>
        <w:tab/>
      </w:r>
      <w:r w:rsidRPr="00B82398">
        <w:t xml:space="preserve">Subject to agreement by </w:t>
      </w:r>
      <w:r>
        <w:t>the CAJ,</w:t>
      </w:r>
      <w:r w:rsidRPr="00B82398">
        <w:t xml:space="preserve"> the </w:t>
      </w:r>
      <w:proofErr w:type="gramStart"/>
      <w:r w:rsidRPr="00B82398">
        <w:t>proposed revision of document TGP/8/4</w:t>
      </w:r>
      <w:r>
        <w:t xml:space="preserve"> </w:t>
      </w:r>
      <w:r w:rsidRPr="00B82398">
        <w:t>will be presented for adoption by the Council</w:t>
      </w:r>
      <w:proofErr w:type="gramEnd"/>
      <w:r w:rsidRPr="00B82398">
        <w:t xml:space="preserve"> in 2022.</w:t>
      </w:r>
    </w:p>
    <w:p w14:paraId="29661BC9" w14:textId="77777777" w:rsidR="00B82398" w:rsidRPr="00B82398" w:rsidRDefault="00B82398" w:rsidP="00B82398"/>
    <w:p w14:paraId="4D44B43A" w14:textId="77777777" w:rsidR="00B82398" w:rsidRDefault="00B82398" w:rsidP="005A438F">
      <w:pPr>
        <w:pStyle w:val="DecisionParagraphs"/>
      </w:pPr>
      <w:r>
        <w:fldChar w:fldCharType="begin"/>
      </w:r>
      <w:r>
        <w:instrText xml:space="preserve"> AUTONUM  </w:instrText>
      </w:r>
      <w:r>
        <w:fldChar w:fldCharType="end"/>
      </w:r>
      <w:r>
        <w:tab/>
      </w:r>
      <w:r w:rsidRPr="00B82398">
        <w:t xml:space="preserve">The </w:t>
      </w:r>
      <w:r>
        <w:t>TC</w:t>
      </w:r>
      <w:r w:rsidR="00C47FD7">
        <w:t xml:space="preserve"> </w:t>
      </w:r>
      <w:proofErr w:type="gramStart"/>
      <w:r w:rsidR="00C47FD7">
        <w:t>is invited</w:t>
      </w:r>
      <w:proofErr w:type="gramEnd"/>
      <w:r w:rsidR="00C47FD7">
        <w:t xml:space="preserve"> to </w:t>
      </w:r>
      <w:r w:rsidRPr="00B82398">
        <w:t xml:space="preserve">note that, subject to agreement by the </w:t>
      </w:r>
      <w:r w:rsidR="001727E3">
        <w:t>CAJ</w:t>
      </w:r>
      <w:r w:rsidRPr="00B82398">
        <w:t>, the proposed revision of</w:t>
      </w:r>
      <w:r w:rsidR="00C47FD7">
        <w:t xml:space="preserve"> </w:t>
      </w:r>
      <w:r w:rsidRPr="00B82398">
        <w:t>document TGP/8/4</w:t>
      </w:r>
      <w:r w:rsidR="00C47FD7">
        <w:t xml:space="preserve"> </w:t>
      </w:r>
      <w:r w:rsidRPr="00B82398">
        <w:t>will be presented for adoption by the Council in 2022.</w:t>
      </w:r>
    </w:p>
    <w:p w14:paraId="5FC2F67A" w14:textId="77777777" w:rsidR="005A438F" w:rsidRDefault="005A438F" w:rsidP="005A438F">
      <w:pPr>
        <w:pStyle w:val="DecisionParagraphs"/>
      </w:pPr>
    </w:p>
    <w:p w14:paraId="55768541" w14:textId="77777777" w:rsidR="005A438F" w:rsidRPr="001727E3" w:rsidRDefault="005A438F" w:rsidP="005A438F">
      <w:pPr>
        <w:pStyle w:val="DecisionParagraphs"/>
      </w:pPr>
    </w:p>
    <w:p w14:paraId="3EE2EDC6" w14:textId="77777777" w:rsidR="001727E3" w:rsidRPr="001727E3" w:rsidRDefault="001727E3" w:rsidP="000116D8">
      <w:pPr>
        <w:pStyle w:val="Heading3"/>
      </w:pPr>
      <w:bookmarkStart w:id="31" w:name="_Toc107949450"/>
      <w:bookmarkStart w:id="32" w:name="_Toc107949620"/>
      <w:bookmarkStart w:id="33" w:name="_Toc108115269"/>
      <w:r w:rsidRPr="001727E3">
        <w:t>TGP/12:  Guidance on Certain Physiological Characteristics (Revision) (Annex III)</w:t>
      </w:r>
      <w:bookmarkEnd w:id="31"/>
      <w:bookmarkEnd w:id="32"/>
      <w:bookmarkEnd w:id="33"/>
    </w:p>
    <w:p w14:paraId="22C892A2" w14:textId="77777777" w:rsidR="001727E3" w:rsidRPr="001727E3" w:rsidRDefault="001727E3" w:rsidP="001727E3"/>
    <w:p w14:paraId="03AE1231" w14:textId="77777777" w:rsidR="001727E3" w:rsidRPr="001727E3" w:rsidRDefault="001727E3" w:rsidP="001727E3">
      <w:r>
        <w:fldChar w:fldCharType="begin"/>
      </w:r>
      <w:r>
        <w:instrText xml:space="preserve"> AUTONUM  </w:instrText>
      </w:r>
      <w:r>
        <w:fldChar w:fldCharType="end"/>
      </w:r>
      <w:r>
        <w:tab/>
      </w:r>
      <w:r w:rsidR="008B6571" w:rsidRPr="002C4A30">
        <w:t xml:space="preserve">The </w:t>
      </w:r>
      <w:r w:rsidR="008B6571">
        <w:t>TC, at its fifty-seventh session</w:t>
      </w:r>
      <w:r w:rsidR="008B6571">
        <w:rPr>
          <w:rStyle w:val="FootnoteReference"/>
        </w:rPr>
        <w:footnoteReference w:id="5"/>
      </w:r>
      <w:r w:rsidR="008B6571">
        <w:t>,</w:t>
      </w:r>
      <w:r w:rsidR="008B6571" w:rsidRPr="002C4A30">
        <w:t xml:space="preserve"> agree</w:t>
      </w:r>
      <w:r w:rsidR="008B6571">
        <w:t xml:space="preserve">d to propose the revision of </w:t>
      </w:r>
      <w:r w:rsidR="008B6571" w:rsidRPr="002C4A30">
        <w:t xml:space="preserve">document </w:t>
      </w:r>
      <w:r w:rsidRPr="001727E3">
        <w:t>TGP/12/2 “Guidance on certain physiological characteristics”, as presented in Annex III to this document</w:t>
      </w:r>
      <w:r w:rsidR="00811669">
        <w:t xml:space="preserve"> </w:t>
      </w:r>
      <w:r w:rsidR="00811669">
        <w:rPr>
          <w:snapToGrid w:val="0"/>
        </w:rPr>
        <w:t>(see document TC/57/25 “Report”, paragraphs 44 and 45)</w:t>
      </w:r>
      <w:r w:rsidRPr="001727E3">
        <w:t xml:space="preserve">. </w:t>
      </w:r>
    </w:p>
    <w:p w14:paraId="47FCA443" w14:textId="77777777" w:rsidR="001727E3" w:rsidRDefault="001727E3" w:rsidP="001727E3"/>
    <w:p w14:paraId="42367C9A" w14:textId="77777777" w:rsidR="008B6571" w:rsidRDefault="008B6571" w:rsidP="001727E3">
      <w:r>
        <w:fldChar w:fldCharType="begin"/>
      </w:r>
      <w:r>
        <w:instrText xml:space="preserve"> AUTONUM  </w:instrText>
      </w:r>
      <w:r>
        <w:fldChar w:fldCharType="end"/>
      </w:r>
      <w:r>
        <w:tab/>
      </w:r>
      <w:r w:rsidRPr="001727E3">
        <w:t xml:space="preserve">Subject to agreement by the </w:t>
      </w:r>
      <w:r>
        <w:t>CAJ</w:t>
      </w:r>
      <w:r w:rsidRPr="001727E3">
        <w:t xml:space="preserve">, the </w:t>
      </w:r>
      <w:proofErr w:type="gramStart"/>
      <w:r w:rsidRPr="001727E3">
        <w:t>proposed revision of document TGP/12/2</w:t>
      </w:r>
      <w:r>
        <w:t xml:space="preserve"> </w:t>
      </w:r>
      <w:r w:rsidRPr="001727E3">
        <w:t>will be presented for adoption by the Council</w:t>
      </w:r>
      <w:proofErr w:type="gramEnd"/>
      <w:r w:rsidRPr="001727E3">
        <w:t xml:space="preserve"> in 2022.</w:t>
      </w:r>
    </w:p>
    <w:p w14:paraId="3F56E6C1" w14:textId="77777777" w:rsidR="00811669" w:rsidRPr="001727E3" w:rsidRDefault="00811669" w:rsidP="001727E3"/>
    <w:p w14:paraId="03DF468B" w14:textId="77777777" w:rsidR="001727E3" w:rsidRPr="001727E3" w:rsidRDefault="001727E3" w:rsidP="001727E3">
      <w:pPr>
        <w:pStyle w:val="DecisionParagraphs"/>
        <w:keepNext/>
        <w:keepLines/>
      </w:pPr>
      <w:r>
        <w:fldChar w:fldCharType="begin"/>
      </w:r>
      <w:r>
        <w:instrText xml:space="preserve"> AUTONUM  </w:instrText>
      </w:r>
      <w:r>
        <w:fldChar w:fldCharType="end"/>
      </w:r>
      <w:r>
        <w:tab/>
      </w:r>
      <w:r w:rsidRPr="001727E3">
        <w:t xml:space="preserve">The </w:t>
      </w:r>
      <w:r>
        <w:t>TC</w:t>
      </w:r>
      <w:r w:rsidRPr="001727E3">
        <w:t xml:space="preserve"> is invited to</w:t>
      </w:r>
      <w:r w:rsidR="0003481C">
        <w:t xml:space="preserve"> </w:t>
      </w:r>
      <w:r w:rsidRPr="001727E3">
        <w:t xml:space="preserve">note that, subject to agreement by the </w:t>
      </w:r>
      <w:r w:rsidR="00B261C8">
        <w:t>CAJ</w:t>
      </w:r>
      <w:r w:rsidRPr="001727E3">
        <w:t xml:space="preserve">, the proposed revision </w:t>
      </w:r>
      <w:proofErr w:type="gramStart"/>
      <w:r w:rsidRPr="001727E3">
        <w:t>of  document</w:t>
      </w:r>
      <w:proofErr w:type="gramEnd"/>
      <w:r w:rsidRPr="001727E3">
        <w:t xml:space="preserve"> TGP/12/2</w:t>
      </w:r>
      <w:r w:rsidR="0003481C">
        <w:t xml:space="preserve"> </w:t>
      </w:r>
      <w:r w:rsidRPr="001727E3">
        <w:t>will be presented for adoption by the Council in 2022.</w:t>
      </w:r>
    </w:p>
    <w:p w14:paraId="27A20077" w14:textId="77777777" w:rsidR="001727E3" w:rsidRDefault="001727E3" w:rsidP="001727E3"/>
    <w:p w14:paraId="0CF89107" w14:textId="77777777" w:rsidR="00FD6C0B" w:rsidRDefault="00FD6C0B" w:rsidP="001727E3"/>
    <w:p w14:paraId="36E06B12" w14:textId="77777777" w:rsidR="001727E3" w:rsidRDefault="001727E3" w:rsidP="001727E3">
      <w:pPr>
        <w:jc w:val="right"/>
      </w:pPr>
    </w:p>
    <w:p w14:paraId="5A786DD9" w14:textId="77777777" w:rsidR="001727E3" w:rsidRDefault="001727E3" w:rsidP="001727E3">
      <w:pPr>
        <w:jc w:val="right"/>
      </w:pPr>
      <w:r w:rsidRPr="00C5280D">
        <w:t>[</w:t>
      </w:r>
      <w:r>
        <w:t>Annexes follow</w:t>
      </w:r>
      <w:r w:rsidRPr="00C5280D">
        <w:t>]</w:t>
      </w:r>
    </w:p>
    <w:p w14:paraId="591B15A4" w14:textId="77777777" w:rsidR="001727E3" w:rsidRDefault="001727E3" w:rsidP="005566D0">
      <w:pPr>
        <w:sectPr w:rsidR="001727E3" w:rsidSect="0004198B">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14:paraId="7F1A1F6C" w14:textId="77777777" w:rsidR="00B82398" w:rsidRDefault="001727E3" w:rsidP="001727E3">
      <w:pPr>
        <w:jc w:val="center"/>
      </w:pPr>
      <w:r>
        <w:t>TC/58/4</w:t>
      </w:r>
    </w:p>
    <w:p w14:paraId="28347330" w14:textId="77777777" w:rsidR="001727E3" w:rsidRDefault="001727E3" w:rsidP="001727E3">
      <w:pPr>
        <w:jc w:val="center"/>
      </w:pPr>
    </w:p>
    <w:p w14:paraId="7F33C323" w14:textId="77777777" w:rsidR="001727E3" w:rsidRDefault="001727E3" w:rsidP="001727E3">
      <w:pPr>
        <w:jc w:val="center"/>
      </w:pPr>
      <w:r>
        <w:t>ANNEX I</w:t>
      </w:r>
    </w:p>
    <w:p w14:paraId="7FD21996" w14:textId="77777777" w:rsidR="00B82398" w:rsidRDefault="00B82398" w:rsidP="005566D0"/>
    <w:p w14:paraId="3A2C83B5" w14:textId="77777777" w:rsidR="00B82398" w:rsidRDefault="00B82398" w:rsidP="005566D0"/>
    <w:p w14:paraId="58C5861A" w14:textId="77777777" w:rsidR="001727E3" w:rsidRDefault="001727E3" w:rsidP="001727E3">
      <w:pPr>
        <w:rPr>
          <w:u w:val="single"/>
        </w:rPr>
      </w:pPr>
      <w:r>
        <w:rPr>
          <w:u w:val="single"/>
        </w:rPr>
        <w:t>Document UPOV/EXN/DEN: Explanatory Notes on Variety Denominations under the UPOV Convention (Revision)</w:t>
      </w:r>
    </w:p>
    <w:p w14:paraId="2CB67AFF" w14:textId="77777777" w:rsidR="001727E3" w:rsidRDefault="001727E3" w:rsidP="001727E3"/>
    <w:p w14:paraId="6F996386" w14:textId="77777777" w:rsidR="001727E3" w:rsidRDefault="001727E3" w:rsidP="001727E3">
      <w:pPr>
        <w:rPr>
          <w:i/>
        </w:rPr>
      </w:pPr>
      <w:r>
        <w:rPr>
          <w:i/>
        </w:rPr>
        <w:t xml:space="preserve">Revision of denomination Class 201 </w:t>
      </w:r>
    </w:p>
    <w:p w14:paraId="6A8BF22E" w14:textId="77777777" w:rsidR="001727E3" w:rsidRDefault="001727E3" w:rsidP="001727E3"/>
    <w:p w14:paraId="15D6BB23" w14:textId="77777777" w:rsidR="001727E3" w:rsidRDefault="001727E3" w:rsidP="001727E3">
      <w:proofErr w:type="gramStart"/>
      <w:r>
        <w:t>The TC, at its fifty-seventh session, held via electronic means on October 25 and 26, 2021</w:t>
      </w:r>
      <w:r w:rsidRPr="00105041">
        <w:t>, considered a proposal to revise document UPOV/EXN/DEN/1, Annex I, Part II “Classes encompassing m</w:t>
      </w:r>
      <w:r>
        <w:t>ore than one genus” and agreed to propose the inclusion of genus “×</w:t>
      </w:r>
      <w:proofErr w:type="spellStart"/>
      <w:r>
        <w:rPr>
          <w:i/>
        </w:rPr>
        <w:t>Trititrigia</w:t>
      </w:r>
      <w:proofErr w:type="spellEnd"/>
      <w:r>
        <w:t>” in the variety denomination Class 201, as follows (see document TC/57/25 “Report”, paragraph 34):</w:t>
      </w:r>
      <w:proofErr w:type="gramEnd"/>
    </w:p>
    <w:p w14:paraId="69D5DAD2" w14:textId="77777777" w:rsidR="001727E3" w:rsidRDefault="001727E3" w:rsidP="001727E3">
      <w:pPr>
        <w:rPr>
          <w:rFonts w:cs="Arial"/>
          <w:highlight w:val="cyan"/>
        </w:rPr>
      </w:pPr>
    </w:p>
    <w:p w14:paraId="4C389177" w14:textId="77777777" w:rsidR="001727E3" w:rsidRDefault="001727E3" w:rsidP="001727E3">
      <w:pPr>
        <w:jc w:val="center"/>
        <w:rPr>
          <w:u w:val="single"/>
        </w:rPr>
      </w:pPr>
      <w:r>
        <w:t>LIST OF CLASSES (Part II)</w:t>
      </w:r>
    </w:p>
    <w:p w14:paraId="313160A4" w14:textId="77777777" w:rsidR="001727E3" w:rsidRDefault="001727E3" w:rsidP="001727E3"/>
    <w:p w14:paraId="4E554852" w14:textId="77777777" w:rsidR="001727E3" w:rsidRDefault="001727E3" w:rsidP="001727E3">
      <w:pPr>
        <w:jc w:val="center"/>
        <w:rPr>
          <w:i/>
        </w:rPr>
      </w:pPr>
      <w:r>
        <w:rPr>
          <w:i/>
        </w:rPr>
        <w:t>Classes encompassing more than one genus</w:t>
      </w:r>
      <w:r>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1727E3" w14:paraId="0E455AF7" w14:textId="77777777" w:rsidTr="003B339A">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C45C56" w14:textId="77777777" w:rsidR="001727E3" w:rsidRDefault="001727E3" w:rsidP="003B339A">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73452" w14:textId="77777777" w:rsidR="001727E3" w:rsidRDefault="001727E3" w:rsidP="003B339A">
            <w:pPr>
              <w:spacing w:before="40" w:after="40"/>
              <w:jc w:val="center"/>
              <w:rPr>
                <w:sz w:val="18"/>
                <w:szCs w:val="18"/>
              </w:rPr>
            </w:pPr>
            <w:r>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F08E6" w14:textId="77777777" w:rsidR="001727E3" w:rsidRDefault="001727E3" w:rsidP="003B339A">
            <w:pPr>
              <w:spacing w:before="40" w:after="40"/>
              <w:jc w:val="center"/>
              <w:rPr>
                <w:sz w:val="18"/>
                <w:szCs w:val="18"/>
              </w:rPr>
            </w:pPr>
            <w:r>
              <w:rPr>
                <w:sz w:val="18"/>
                <w:szCs w:val="18"/>
              </w:rPr>
              <w:t>UPOV codes</w:t>
            </w:r>
          </w:p>
        </w:tc>
      </w:tr>
      <w:tr w:rsidR="001727E3" w14:paraId="14D502BF" w14:textId="77777777" w:rsidTr="003B339A">
        <w:trPr>
          <w:cantSplit/>
          <w:tblHeader/>
        </w:trPr>
        <w:tc>
          <w:tcPr>
            <w:tcW w:w="1277" w:type="dxa"/>
            <w:tcBorders>
              <w:top w:val="nil"/>
              <w:left w:val="nil"/>
              <w:bottom w:val="nil"/>
              <w:right w:val="nil"/>
            </w:tcBorders>
          </w:tcPr>
          <w:p w14:paraId="15BF6F81" w14:textId="77777777" w:rsidR="001727E3" w:rsidRDefault="001727E3" w:rsidP="003B339A">
            <w:pPr>
              <w:keepNext/>
              <w:spacing w:before="40" w:after="40"/>
              <w:jc w:val="left"/>
              <w:rPr>
                <w:sz w:val="10"/>
                <w:szCs w:val="18"/>
              </w:rPr>
            </w:pPr>
          </w:p>
        </w:tc>
        <w:tc>
          <w:tcPr>
            <w:tcW w:w="4473" w:type="dxa"/>
            <w:tcBorders>
              <w:top w:val="nil"/>
              <w:left w:val="nil"/>
              <w:bottom w:val="nil"/>
              <w:right w:val="nil"/>
            </w:tcBorders>
          </w:tcPr>
          <w:p w14:paraId="6C255D0F" w14:textId="77777777" w:rsidR="001727E3" w:rsidRDefault="001727E3" w:rsidP="003B339A">
            <w:pPr>
              <w:keepNext/>
              <w:spacing w:before="40" w:after="40"/>
              <w:jc w:val="left"/>
              <w:rPr>
                <w:sz w:val="10"/>
                <w:szCs w:val="18"/>
              </w:rPr>
            </w:pPr>
          </w:p>
        </w:tc>
        <w:tc>
          <w:tcPr>
            <w:tcW w:w="4034" w:type="dxa"/>
            <w:tcBorders>
              <w:top w:val="nil"/>
              <w:left w:val="nil"/>
              <w:bottom w:val="nil"/>
              <w:right w:val="nil"/>
            </w:tcBorders>
          </w:tcPr>
          <w:p w14:paraId="7070074D" w14:textId="77777777" w:rsidR="001727E3" w:rsidRDefault="001727E3" w:rsidP="003B339A">
            <w:pPr>
              <w:keepNext/>
              <w:spacing w:before="40" w:after="40"/>
              <w:jc w:val="left"/>
              <w:rPr>
                <w:sz w:val="10"/>
                <w:szCs w:val="18"/>
              </w:rPr>
            </w:pPr>
          </w:p>
        </w:tc>
      </w:tr>
      <w:tr w:rsidR="001727E3" w14:paraId="76AD0EDD" w14:textId="77777777" w:rsidTr="003B339A">
        <w:trPr>
          <w:cantSplit/>
        </w:trPr>
        <w:tc>
          <w:tcPr>
            <w:tcW w:w="1277" w:type="dxa"/>
            <w:tcBorders>
              <w:top w:val="single" w:sz="4" w:space="0" w:color="auto"/>
              <w:left w:val="single" w:sz="4" w:space="0" w:color="auto"/>
              <w:bottom w:val="single" w:sz="4" w:space="0" w:color="auto"/>
              <w:right w:val="single" w:sz="4" w:space="0" w:color="auto"/>
            </w:tcBorders>
            <w:hideMark/>
          </w:tcPr>
          <w:p w14:paraId="4AD710E9" w14:textId="77777777" w:rsidR="001727E3" w:rsidRDefault="001727E3" w:rsidP="003B339A">
            <w:pPr>
              <w:spacing w:before="40" w:after="40"/>
              <w:jc w:val="left"/>
              <w:rPr>
                <w:sz w:val="18"/>
                <w:szCs w:val="18"/>
              </w:rPr>
            </w:pPr>
            <w:r>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14:paraId="37B084F9" w14:textId="77777777" w:rsidR="001727E3" w:rsidRDefault="001727E3" w:rsidP="003B339A">
            <w:pPr>
              <w:keepNext/>
              <w:spacing w:before="40" w:after="40"/>
              <w:jc w:val="left"/>
              <w:rPr>
                <w:sz w:val="18"/>
                <w:szCs w:val="18"/>
              </w:rPr>
            </w:pPr>
            <w:proofErr w:type="spellStart"/>
            <w:r>
              <w:rPr>
                <w:i/>
                <w:sz w:val="18"/>
                <w:szCs w:val="18"/>
              </w:rPr>
              <w:t>Secale</w:t>
            </w:r>
            <w:proofErr w:type="spellEnd"/>
            <w:r>
              <w:rPr>
                <w:sz w:val="18"/>
                <w:szCs w:val="18"/>
              </w:rPr>
              <w:t xml:space="preserve">, </w:t>
            </w:r>
            <w:r>
              <w:rPr>
                <w:i/>
                <w:sz w:val="18"/>
                <w:szCs w:val="18"/>
              </w:rPr>
              <w:t>Triticale</w:t>
            </w:r>
            <w:r>
              <w:rPr>
                <w:iCs/>
                <w:sz w:val="18"/>
                <w:szCs w:val="18"/>
              </w:rPr>
              <w:t xml:space="preserve">, </w:t>
            </w:r>
            <w:proofErr w:type="spellStart"/>
            <w:r>
              <w:rPr>
                <w:i/>
                <w:sz w:val="18"/>
                <w:szCs w:val="18"/>
              </w:rPr>
              <w:t>Triticum</w:t>
            </w:r>
            <w:proofErr w:type="spellEnd"/>
            <w:r>
              <w:rPr>
                <w:i/>
                <w:sz w:val="18"/>
                <w:szCs w:val="18"/>
              </w:rPr>
              <w:t xml:space="preserve">, </w:t>
            </w:r>
            <w:r>
              <w:rPr>
                <w:rFonts w:cs="Arial"/>
                <w:sz w:val="18"/>
                <w:u w:val="single"/>
                <w:shd w:val="pct15" w:color="auto" w:fill="FFFFFF"/>
              </w:rPr>
              <w:t>×</w:t>
            </w:r>
            <w:proofErr w:type="spellStart"/>
            <w:r>
              <w:rPr>
                <w:rFonts w:cs="Arial"/>
                <w:i/>
                <w:sz w:val="18"/>
                <w:u w:val="single"/>
                <w:shd w:val="pct15" w:color="auto" w:fill="FFFFFF"/>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14:paraId="09EA257E" w14:textId="77777777" w:rsidR="001727E3" w:rsidRDefault="001727E3" w:rsidP="003B339A">
            <w:pPr>
              <w:keepNext/>
              <w:spacing w:before="40" w:after="40"/>
              <w:jc w:val="left"/>
              <w:rPr>
                <w:sz w:val="18"/>
                <w:szCs w:val="18"/>
              </w:rPr>
            </w:pPr>
            <w:r>
              <w:rPr>
                <w:sz w:val="18"/>
                <w:szCs w:val="18"/>
              </w:rPr>
              <w:t xml:space="preserve">SECAL;  TRITL;  TRITI;  </w:t>
            </w:r>
            <w:r>
              <w:rPr>
                <w:sz w:val="18"/>
                <w:szCs w:val="18"/>
                <w:u w:val="single"/>
                <w:shd w:val="pct15" w:color="auto" w:fill="FFFFFF"/>
              </w:rPr>
              <w:t>TRITT</w:t>
            </w:r>
          </w:p>
        </w:tc>
      </w:tr>
    </w:tbl>
    <w:p w14:paraId="6820280C" w14:textId="77777777" w:rsidR="001727E3" w:rsidRDefault="001727E3" w:rsidP="001727E3">
      <w:pPr>
        <w:ind w:left="1134" w:hanging="567"/>
      </w:pPr>
    </w:p>
    <w:p w14:paraId="34AD46A0" w14:textId="77777777" w:rsidR="001727E3" w:rsidRDefault="001727E3" w:rsidP="001727E3">
      <w:pPr>
        <w:ind w:left="-142" w:right="312"/>
        <w:jc w:val="right"/>
      </w:pPr>
    </w:p>
    <w:p w14:paraId="767B4209" w14:textId="77777777" w:rsidR="001727E3" w:rsidRDefault="001727E3" w:rsidP="001727E3">
      <w:pPr>
        <w:jc w:val="left"/>
      </w:pPr>
    </w:p>
    <w:p w14:paraId="71A15245" w14:textId="77777777" w:rsidR="001727E3" w:rsidRDefault="001727E3" w:rsidP="001727E3">
      <w:pPr>
        <w:jc w:val="left"/>
      </w:pPr>
    </w:p>
    <w:p w14:paraId="54DE1CC6" w14:textId="77777777" w:rsidR="001727E3" w:rsidRDefault="001727E3" w:rsidP="001727E3">
      <w:pPr>
        <w:jc w:val="left"/>
      </w:pPr>
    </w:p>
    <w:p w14:paraId="6802AD92" w14:textId="77777777" w:rsidR="001727E3" w:rsidRDefault="001727E3" w:rsidP="001727E3">
      <w:pPr>
        <w:jc w:val="left"/>
      </w:pPr>
    </w:p>
    <w:p w14:paraId="49C9AB7B" w14:textId="77777777" w:rsidR="001727E3" w:rsidRPr="00DF4D0B" w:rsidRDefault="001727E3" w:rsidP="001727E3">
      <w:pPr>
        <w:jc w:val="right"/>
      </w:pPr>
      <w:r w:rsidRPr="004F5CE1">
        <w:t>[Annex II follows]</w:t>
      </w:r>
    </w:p>
    <w:p w14:paraId="58C467AC" w14:textId="77777777" w:rsidR="001727E3" w:rsidRDefault="001727E3" w:rsidP="005566D0">
      <w:pPr>
        <w:sectPr w:rsidR="001727E3" w:rsidSect="0004198B">
          <w:pgSz w:w="11907" w:h="16840" w:code="9"/>
          <w:pgMar w:top="510" w:right="1134" w:bottom="1134" w:left="1134" w:header="510" w:footer="680" w:gutter="0"/>
          <w:pgNumType w:start="1"/>
          <w:cols w:space="720"/>
          <w:titlePg/>
        </w:sectPr>
      </w:pPr>
    </w:p>
    <w:p w14:paraId="01CA1119" w14:textId="77777777" w:rsidR="00B82398" w:rsidRDefault="001727E3" w:rsidP="001727E3">
      <w:pPr>
        <w:jc w:val="center"/>
      </w:pPr>
      <w:r>
        <w:t>TC/58/4</w:t>
      </w:r>
    </w:p>
    <w:p w14:paraId="3FFE96DE" w14:textId="77777777" w:rsidR="001727E3" w:rsidRDefault="001727E3" w:rsidP="001727E3">
      <w:pPr>
        <w:jc w:val="center"/>
      </w:pPr>
    </w:p>
    <w:p w14:paraId="24EE91A1" w14:textId="77777777" w:rsidR="001727E3" w:rsidRDefault="001727E3" w:rsidP="001727E3">
      <w:pPr>
        <w:jc w:val="center"/>
      </w:pPr>
      <w:r>
        <w:t>ANNEX II</w:t>
      </w:r>
    </w:p>
    <w:p w14:paraId="6F5582D6" w14:textId="77777777" w:rsidR="00B82398" w:rsidRDefault="00B82398" w:rsidP="005566D0"/>
    <w:p w14:paraId="3E89322B" w14:textId="77777777" w:rsidR="00B82398" w:rsidRDefault="00B82398" w:rsidP="005566D0"/>
    <w:p w14:paraId="30568126" w14:textId="77777777" w:rsidR="001727E3" w:rsidRDefault="001727E3" w:rsidP="001727E3">
      <w:pPr>
        <w:rPr>
          <w:u w:val="single"/>
        </w:rPr>
      </w:pPr>
      <w:r>
        <w:rPr>
          <w:u w:val="single"/>
        </w:rPr>
        <w:t>Document TGP/8:  Trial Design and Techniques Used in the Examination of Distinctness, Uniformity and Stability (Revision)</w:t>
      </w:r>
    </w:p>
    <w:p w14:paraId="01A56D5E" w14:textId="77777777" w:rsidR="001727E3" w:rsidRDefault="001727E3" w:rsidP="001727E3">
      <w:pPr>
        <w:keepNext/>
      </w:pPr>
    </w:p>
    <w:p w14:paraId="42616B77" w14:textId="77777777" w:rsidR="001727E3" w:rsidRDefault="001727E3" w:rsidP="001727E3">
      <w:pPr>
        <w:rPr>
          <w:rFonts w:eastAsia="MS Mincho"/>
          <w:i/>
        </w:rPr>
      </w:pPr>
      <w:bookmarkStart w:id="34" w:name="_Toc95126324"/>
      <w:r>
        <w:rPr>
          <w:rFonts w:eastAsia="MS Mincho"/>
          <w:i/>
        </w:rPr>
        <w:t>Data processing for the production of variety descriptions for measured quantitative characteristics</w:t>
      </w:r>
      <w:bookmarkEnd w:id="34"/>
      <w:r>
        <w:rPr>
          <w:rFonts w:eastAsia="MS Mincho"/>
          <w:i/>
        </w:rPr>
        <w:t xml:space="preserve"> </w:t>
      </w:r>
    </w:p>
    <w:p w14:paraId="2E64968A" w14:textId="77777777" w:rsidR="001727E3" w:rsidRDefault="001727E3" w:rsidP="001727E3"/>
    <w:p w14:paraId="63EFF70F" w14:textId="77777777" w:rsidR="001727E3" w:rsidRPr="004F5CE1" w:rsidRDefault="001727E3" w:rsidP="001727E3">
      <w:r>
        <w:t>The TC, at its fifty-seventh session, held via electronic means on October 25 and 26, 2021, agreed to include guidance on “Different forms that variety descriptions could take and the relevance of scale levels” in document</w:t>
      </w:r>
      <w:r w:rsidR="00846D16">
        <w:t> </w:t>
      </w:r>
      <w:r>
        <w:t xml:space="preserve">TGP/8 </w:t>
      </w:r>
      <w:r>
        <w:rPr>
          <w:rFonts w:cs="Arial"/>
        </w:rPr>
        <w:t xml:space="preserve">Part I Section 2 “Data to be recorded” as new Section 2.5, </w:t>
      </w:r>
      <w:r>
        <w:t>as follows (see document</w:t>
      </w:r>
      <w:r w:rsidR="00846D16">
        <w:t> </w:t>
      </w:r>
      <w:r>
        <w:t>TC/57/25 “Report”, paragraph 27):</w:t>
      </w:r>
    </w:p>
    <w:p w14:paraId="07E5ECDE" w14:textId="77777777" w:rsidR="001727E3" w:rsidRDefault="001727E3" w:rsidP="001727E3">
      <w:pPr>
        <w:keepNext/>
      </w:pPr>
    </w:p>
    <w:p w14:paraId="1ABCC223" w14:textId="77777777" w:rsidR="001727E3" w:rsidRDefault="001727E3" w:rsidP="001727E3">
      <w:pPr>
        <w:jc w:val="center"/>
      </w:pPr>
    </w:p>
    <w:p w14:paraId="5670891D" w14:textId="77777777" w:rsidR="001727E3" w:rsidRDefault="001727E3" w:rsidP="001727E3">
      <w:pPr>
        <w:jc w:val="center"/>
        <w:rPr>
          <w:sz w:val="18"/>
        </w:rPr>
      </w:pPr>
      <w:r>
        <w:rPr>
          <w:sz w:val="18"/>
        </w:rPr>
        <w:t xml:space="preserve">“DIFFERENT FORMS THAT VARIETY DESCRIPTIONS COULD TAKE </w:t>
      </w:r>
    </w:p>
    <w:p w14:paraId="3648F38E" w14:textId="77777777" w:rsidR="001727E3" w:rsidRDefault="001727E3" w:rsidP="001727E3">
      <w:pPr>
        <w:jc w:val="center"/>
        <w:rPr>
          <w:sz w:val="18"/>
        </w:rPr>
      </w:pPr>
      <w:r>
        <w:rPr>
          <w:sz w:val="18"/>
        </w:rPr>
        <w:t>AND THE RELEVANCE OF SCALE LEVELS</w:t>
      </w:r>
    </w:p>
    <w:p w14:paraId="27B45625" w14:textId="77777777" w:rsidR="001727E3" w:rsidRDefault="001727E3" w:rsidP="001727E3">
      <w:pPr>
        <w:rPr>
          <w:sz w:val="18"/>
        </w:rPr>
      </w:pPr>
    </w:p>
    <w:p w14:paraId="4C598ED3" w14:textId="77777777" w:rsidR="001727E3" w:rsidRDefault="001727E3" w:rsidP="001727E3">
      <w:pPr>
        <w:ind w:left="709" w:right="567"/>
        <w:rPr>
          <w:rFonts w:cs="Arial"/>
          <w:sz w:val="18"/>
        </w:rPr>
      </w:pPr>
      <w:r>
        <w:rPr>
          <w:rFonts w:cs="Arial"/>
          <w:sz w:val="18"/>
        </w:rPr>
        <w:t xml:space="preserve">“Variety descriptions can be based on different data depending on the purpose of the description.  Different variety descriptions may be used for the assessment of distinctness or in the official </w:t>
      </w:r>
      <w:proofErr w:type="gramStart"/>
      <w:r>
        <w:rPr>
          <w:rFonts w:cs="Arial"/>
          <w:sz w:val="18"/>
        </w:rPr>
        <w:t>document which</w:t>
      </w:r>
      <w:proofErr w:type="gramEnd"/>
      <w:r>
        <w:rPr>
          <w:rFonts w:cs="Arial"/>
          <w:sz w:val="18"/>
        </w:rPr>
        <w:t xml:space="preserve"> forms the basis for granting protection.  When variety descriptions </w:t>
      </w:r>
      <w:proofErr w:type="gramStart"/>
      <w:r>
        <w:rPr>
          <w:rFonts w:cs="Arial"/>
          <w:sz w:val="18"/>
        </w:rPr>
        <w:t>are used</w:t>
      </w:r>
      <w:proofErr w:type="gramEnd"/>
      <w:r>
        <w:rPr>
          <w:rFonts w:cs="Arial"/>
          <w:sz w:val="18"/>
        </w:rPr>
        <w:t xml:space="preserve"> for the assessment of distinctness it is important to take into account on which data the descriptions for different varieties are based.  Special attention has to </w:t>
      </w:r>
      <w:proofErr w:type="gramStart"/>
      <w:r>
        <w:rPr>
          <w:rFonts w:cs="Arial"/>
          <w:sz w:val="18"/>
        </w:rPr>
        <w:t>be given</w:t>
      </w:r>
      <w:proofErr w:type="gramEnd"/>
      <w:r>
        <w:rPr>
          <w:rFonts w:cs="Arial"/>
          <w:sz w:val="18"/>
        </w:rPr>
        <w:t xml:space="preserve"> to the potential influence of years and locations.</w:t>
      </w:r>
    </w:p>
    <w:p w14:paraId="22C91623" w14:textId="77777777" w:rsidR="001727E3" w:rsidRDefault="001727E3" w:rsidP="001727E3">
      <w:pPr>
        <w:ind w:left="709" w:right="567"/>
        <w:rPr>
          <w:rFonts w:cs="Arial"/>
          <w:sz w:val="18"/>
        </w:rPr>
      </w:pPr>
    </w:p>
    <w:p w14:paraId="1762FC42" w14:textId="77777777" w:rsidR="001727E3" w:rsidRDefault="001727E3" w:rsidP="001727E3">
      <w:pPr>
        <w:ind w:left="709" w:right="567"/>
        <w:rPr>
          <w:rFonts w:cs="Arial"/>
          <w:sz w:val="18"/>
        </w:rPr>
      </w:pPr>
      <w:r>
        <w:rPr>
          <w:rFonts w:cs="Arial"/>
          <w:sz w:val="18"/>
        </w:rPr>
        <w:t>“The different forms of variety descriptions and their relevance for the assessment of distinctness can be classified according to the different process levels to look at a characteristic.  The process levels are defined in document TGP/8</w:t>
      </w:r>
      <w:r>
        <w:rPr>
          <w:rFonts w:cs="Arial"/>
          <w:caps/>
          <w:sz w:val="18"/>
        </w:rPr>
        <w:t xml:space="preserve">: </w:t>
      </w:r>
      <w:bookmarkStart w:id="35" w:name="_Toc381277710"/>
      <w:bookmarkStart w:id="36" w:name="_Toc378253039"/>
      <w:bookmarkStart w:id="37" w:name="_Toc378252009"/>
      <w:bookmarkStart w:id="38" w:name="_Toc378251549"/>
      <w:bookmarkStart w:id="39" w:name="_Toc378079654"/>
      <w:bookmarkStart w:id="40" w:name="_Toc378079306"/>
      <w:bookmarkStart w:id="41" w:name="_Toc377741130"/>
      <w:bookmarkStart w:id="42" w:name="_Toc377740963"/>
      <w:bookmarkStart w:id="43" w:name="_Toc374635755"/>
      <w:bookmarkStart w:id="44" w:name="_Toc374632557"/>
      <w:bookmarkStart w:id="45" w:name="_Toc374631085"/>
      <w:bookmarkStart w:id="46" w:name="_Toc374557600"/>
      <w:r>
        <w:rPr>
          <w:rFonts w:cs="Arial"/>
          <w:sz w:val="18"/>
        </w:rPr>
        <w:t>Part I “DUS trial design and data analysis</w:t>
      </w:r>
      <w:bookmarkEnd w:id="35"/>
      <w:bookmarkEnd w:id="36"/>
      <w:bookmarkEnd w:id="37"/>
      <w:bookmarkEnd w:id="38"/>
      <w:bookmarkEnd w:id="39"/>
      <w:bookmarkEnd w:id="40"/>
      <w:bookmarkEnd w:id="41"/>
      <w:bookmarkEnd w:id="42"/>
      <w:bookmarkEnd w:id="43"/>
      <w:bookmarkEnd w:id="44"/>
      <w:bookmarkEnd w:id="45"/>
      <w:bookmarkEnd w:id="46"/>
      <w:r>
        <w:rPr>
          <w:rFonts w:cs="Arial"/>
          <w:sz w:val="18"/>
        </w:rPr>
        <w:t>”</w:t>
      </w:r>
      <w:bookmarkStart w:id="47" w:name="_Toc381277711"/>
      <w:bookmarkStart w:id="48" w:name="_Toc378686700"/>
      <w:bookmarkStart w:id="49" w:name="_Toc378253040"/>
      <w:bookmarkStart w:id="50" w:name="_Toc378252010"/>
      <w:bookmarkStart w:id="51" w:name="_Toc378251550"/>
      <w:bookmarkStart w:id="52" w:name="_Toc378079655"/>
      <w:bookmarkStart w:id="53" w:name="_Toc378079307"/>
      <w:bookmarkStart w:id="54" w:name="_Toc377741131"/>
      <w:bookmarkStart w:id="55" w:name="_Toc377740964"/>
      <w:bookmarkStart w:id="56" w:name="_Toc374635756"/>
      <w:bookmarkStart w:id="57" w:name="_Toc374632558"/>
      <w:bookmarkStart w:id="58" w:name="_Toc374631086"/>
      <w:bookmarkStart w:id="59" w:name="_Toc374557601"/>
      <w:r>
        <w:rPr>
          <w:rFonts w:cs="Arial"/>
          <w:sz w:val="18"/>
        </w:rPr>
        <w:t xml:space="preserve"> Section </w:t>
      </w:r>
      <w:proofErr w:type="gramStart"/>
      <w:r>
        <w:rPr>
          <w:rFonts w:cs="Arial"/>
          <w:sz w:val="18"/>
        </w:rPr>
        <w:t>2</w:t>
      </w:r>
      <w:proofErr w:type="gramEnd"/>
      <w:r>
        <w:rPr>
          <w:rFonts w:cs="Arial"/>
          <w:sz w:val="18"/>
        </w:rPr>
        <w:t xml:space="preserve"> “Data to be recorded</w:t>
      </w:r>
      <w:bookmarkEnd w:id="47"/>
      <w:bookmarkEnd w:id="48"/>
      <w:bookmarkEnd w:id="49"/>
      <w:bookmarkEnd w:id="50"/>
      <w:bookmarkEnd w:id="51"/>
      <w:bookmarkEnd w:id="52"/>
      <w:bookmarkEnd w:id="53"/>
      <w:bookmarkEnd w:id="54"/>
      <w:bookmarkEnd w:id="55"/>
      <w:bookmarkEnd w:id="56"/>
      <w:bookmarkEnd w:id="57"/>
      <w:bookmarkEnd w:id="58"/>
      <w:bookmarkEnd w:id="59"/>
      <w:r>
        <w:rPr>
          <w:rFonts w:cs="Arial"/>
          <w:sz w:val="18"/>
        </w:rPr>
        <w:t>” as follows:</w:t>
      </w:r>
    </w:p>
    <w:p w14:paraId="4B7424A7" w14:textId="77777777" w:rsidR="001727E3" w:rsidRDefault="001727E3" w:rsidP="001727E3">
      <w:pPr>
        <w:rPr>
          <w:rFonts w:cs="Arial"/>
        </w:rPr>
      </w:pPr>
    </w:p>
    <w:p w14:paraId="41AEE8BE" w14:textId="77777777" w:rsidR="001727E3" w:rsidRDefault="001727E3" w:rsidP="001727E3">
      <w:pPr>
        <w:tabs>
          <w:tab w:val="left" w:pos="9072"/>
        </w:tabs>
        <w:autoSpaceDE w:val="0"/>
        <w:autoSpaceDN w:val="0"/>
        <w:adjustRightInd w:val="0"/>
        <w:spacing w:line="271" w:lineRule="exact"/>
        <w:ind w:left="567"/>
        <w:rPr>
          <w:rFonts w:cs="Arial"/>
          <w:sz w:val="18"/>
        </w:rPr>
      </w:pPr>
      <w:r>
        <w:rPr>
          <w:rFonts w:cs="Arial"/>
          <w:i/>
          <w:iCs/>
          <w:position w:val="-1"/>
          <w:sz w:val="18"/>
        </w:rPr>
        <w:t>Table 5:  Definition of different proc</w:t>
      </w:r>
      <w:r>
        <w:rPr>
          <w:rFonts w:cs="Arial"/>
          <w:i/>
          <w:iCs/>
          <w:spacing w:val="-1"/>
          <w:position w:val="-1"/>
          <w:sz w:val="18"/>
        </w:rPr>
        <w:t>e</w:t>
      </w:r>
      <w:r>
        <w:rPr>
          <w:rFonts w:cs="Arial"/>
          <w:i/>
          <w:iCs/>
          <w:position w:val="-1"/>
          <w:sz w:val="18"/>
        </w:rPr>
        <w:t>ss le</w:t>
      </w:r>
      <w:r>
        <w:rPr>
          <w:rFonts w:cs="Arial"/>
          <w:i/>
          <w:iCs/>
          <w:spacing w:val="-1"/>
          <w:position w:val="-1"/>
          <w:sz w:val="18"/>
        </w:rPr>
        <w:t>v</w:t>
      </w:r>
      <w:r>
        <w:rPr>
          <w:rFonts w:cs="Arial"/>
          <w:i/>
          <w:iCs/>
          <w:position w:val="-1"/>
          <w:sz w:val="18"/>
        </w:rPr>
        <w:t>els to consider c</w:t>
      </w:r>
      <w:r>
        <w:rPr>
          <w:rFonts w:cs="Arial"/>
          <w:i/>
          <w:iCs/>
          <w:spacing w:val="-1"/>
          <w:position w:val="-1"/>
          <w:sz w:val="18"/>
        </w:rPr>
        <w:t>h</w:t>
      </w:r>
      <w:r>
        <w:rPr>
          <w:rFonts w:cs="Arial"/>
          <w:i/>
          <w:iCs/>
          <w:position w:val="-1"/>
          <w:sz w:val="18"/>
        </w:rPr>
        <w:t>aracte</w:t>
      </w:r>
      <w:r>
        <w:rPr>
          <w:rFonts w:cs="Arial"/>
          <w:i/>
          <w:iCs/>
          <w:spacing w:val="-1"/>
          <w:position w:val="-1"/>
          <w:sz w:val="18"/>
        </w:rPr>
        <w:t>r</w:t>
      </w:r>
      <w:r>
        <w:rPr>
          <w:rFonts w:cs="Arial"/>
          <w:i/>
          <w:iCs/>
          <w:position w:val="-1"/>
          <w:sz w:val="18"/>
        </w:rPr>
        <w:t>istics</w:t>
      </w:r>
    </w:p>
    <w:p w14:paraId="6E23A533" w14:textId="77777777" w:rsidR="001727E3" w:rsidRDefault="001727E3" w:rsidP="001727E3">
      <w:pPr>
        <w:autoSpaceDE w:val="0"/>
        <w:autoSpaceDN w:val="0"/>
        <w:adjustRightInd w:val="0"/>
        <w:spacing w:before="2" w:line="280" w:lineRule="exact"/>
        <w:rPr>
          <w:rFonts w:cs="Arial"/>
          <w:sz w:val="18"/>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1727E3" w14:paraId="152625E7" w14:textId="77777777" w:rsidTr="003B339A">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14:paraId="6885901C" w14:textId="77777777" w:rsidR="001727E3" w:rsidRDefault="001727E3" w:rsidP="003B339A">
            <w:pPr>
              <w:autoSpaceDE w:val="0"/>
              <w:autoSpaceDN w:val="0"/>
              <w:adjustRightInd w:val="0"/>
              <w:spacing w:before="37"/>
              <w:ind w:left="35"/>
              <w:jc w:val="center"/>
              <w:rPr>
                <w:rFonts w:cs="Arial"/>
                <w:sz w:val="18"/>
              </w:rPr>
            </w:pPr>
            <w:r>
              <w:rPr>
                <w:rFonts w:cs="Arial"/>
                <w:sz w:val="18"/>
              </w:rPr>
              <w:t>Process</w:t>
            </w:r>
            <w:r>
              <w:rPr>
                <w:rFonts w:cs="Arial"/>
                <w:spacing w:val="-7"/>
                <w:sz w:val="18"/>
              </w:rPr>
              <w:t xml:space="preserve"> </w:t>
            </w:r>
            <w:r>
              <w:rPr>
                <w:rFonts w:cs="Arial"/>
                <w:sz w:val="18"/>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14:paraId="66F6624E" w14:textId="77777777" w:rsidR="001727E3" w:rsidRDefault="001727E3" w:rsidP="003B339A">
            <w:pPr>
              <w:autoSpaceDE w:val="0"/>
              <w:autoSpaceDN w:val="0"/>
              <w:adjustRightInd w:val="0"/>
              <w:spacing w:before="37"/>
              <w:ind w:left="231"/>
              <w:rPr>
                <w:rFonts w:cs="Arial"/>
                <w:sz w:val="18"/>
              </w:rPr>
            </w:pPr>
            <w:r>
              <w:rPr>
                <w:rFonts w:cs="Arial"/>
                <w:sz w:val="18"/>
              </w:rPr>
              <w:t>Des</w:t>
            </w:r>
            <w:r>
              <w:rPr>
                <w:rFonts w:cs="Arial"/>
                <w:spacing w:val="1"/>
                <w:sz w:val="18"/>
              </w:rPr>
              <w:t>c</w:t>
            </w:r>
            <w:r>
              <w:rPr>
                <w:rFonts w:cs="Arial"/>
                <w:sz w:val="18"/>
              </w:rPr>
              <w:t>ription</w:t>
            </w:r>
            <w:r>
              <w:rPr>
                <w:rFonts w:cs="Arial"/>
                <w:spacing w:val="-10"/>
                <w:sz w:val="18"/>
              </w:rPr>
              <w:t xml:space="preserve"> </w:t>
            </w:r>
            <w:r>
              <w:rPr>
                <w:rFonts w:cs="Arial"/>
                <w:sz w:val="18"/>
              </w:rPr>
              <w:t>of</w:t>
            </w:r>
            <w:r>
              <w:rPr>
                <w:rFonts w:cs="Arial"/>
                <w:spacing w:val="-2"/>
                <w:sz w:val="18"/>
              </w:rPr>
              <w:t xml:space="preserve"> </w:t>
            </w:r>
            <w:r>
              <w:rPr>
                <w:rFonts w:cs="Arial"/>
                <w:sz w:val="18"/>
              </w:rPr>
              <w:t>the</w:t>
            </w:r>
            <w:r>
              <w:rPr>
                <w:rFonts w:cs="Arial"/>
                <w:spacing w:val="-3"/>
                <w:sz w:val="18"/>
              </w:rPr>
              <w:t xml:space="preserve"> </w:t>
            </w:r>
            <w:r>
              <w:rPr>
                <w:rFonts w:cs="Arial"/>
                <w:sz w:val="18"/>
              </w:rPr>
              <w:t>process</w:t>
            </w:r>
            <w:r>
              <w:rPr>
                <w:rFonts w:cs="Arial"/>
                <w:spacing w:val="-7"/>
                <w:sz w:val="18"/>
              </w:rPr>
              <w:t xml:space="preserve"> </w:t>
            </w:r>
            <w:r>
              <w:rPr>
                <w:rFonts w:cs="Arial"/>
                <w:sz w:val="18"/>
              </w:rPr>
              <w:t>level</w:t>
            </w:r>
          </w:p>
        </w:tc>
      </w:tr>
      <w:tr w:rsidR="001727E3" w14:paraId="45214D25" w14:textId="77777777" w:rsidTr="003B339A">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14:paraId="7388C10B" w14:textId="77777777" w:rsidR="001727E3" w:rsidRDefault="001727E3" w:rsidP="003B339A">
            <w:pPr>
              <w:autoSpaceDE w:val="0"/>
              <w:autoSpaceDN w:val="0"/>
              <w:adjustRightInd w:val="0"/>
              <w:spacing w:before="37"/>
              <w:ind w:left="60"/>
              <w:jc w:val="center"/>
              <w:rPr>
                <w:rFonts w:cs="Arial"/>
                <w:sz w:val="18"/>
              </w:rPr>
            </w:pPr>
            <w:r>
              <w:rPr>
                <w:rFonts w:cs="Arial"/>
                <w:sz w:val="18"/>
              </w:rPr>
              <w:t>1</w:t>
            </w:r>
          </w:p>
        </w:tc>
        <w:tc>
          <w:tcPr>
            <w:tcW w:w="5245" w:type="dxa"/>
            <w:tcBorders>
              <w:top w:val="single" w:sz="4" w:space="0" w:color="auto"/>
              <w:left w:val="single" w:sz="4" w:space="0" w:color="auto"/>
              <w:bottom w:val="single" w:sz="4" w:space="0" w:color="auto"/>
              <w:right w:val="single" w:sz="4" w:space="0" w:color="auto"/>
            </w:tcBorders>
            <w:hideMark/>
          </w:tcPr>
          <w:p w14:paraId="6062B0B1" w14:textId="77777777" w:rsidR="001727E3" w:rsidRDefault="001727E3" w:rsidP="003B339A">
            <w:pPr>
              <w:autoSpaceDE w:val="0"/>
              <w:autoSpaceDN w:val="0"/>
              <w:adjustRightInd w:val="0"/>
              <w:spacing w:before="37"/>
              <w:ind w:left="231"/>
              <w:rPr>
                <w:rFonts w:cs="Arial"/>
                <w:sz w:val="18"/>
              </w:rPr>
            </w:pPr>
            <w:r>
              <w:rPr>
                <w:rFonts w:cs="Arial"/>
                <w:sz w:val="18"/>
              </w:rPr>
              <w:t>charact</w:t>
            </w:r>
            <w:r>
              <w:rPr>
                <w:rFonts w:cs="Arial"/>
                <w:spacing w:val="1"/>
                <w:sz w:val="18"/>
              </w:rPr>
              <w:t>e</w:t>
            </w:r>
            <w:r>
              <w:rPr>
                <w:rFonts w:cs="Arial"/>
                <w:sz w:val="18"/>
              </w:rPr>
              <w:t>risti</w:t>
            </w:r>
            <w:r>
              <w:rPr>
                <w:rFonts w:cs="Arial"/>
                <w:spacing w:val="1"/>
                <w:sz w:val="18"/>
              </w:rPr>
              <w:t>c</w:t>
            </w:r>
            <w:r>
              <w:rPr>
                <w:rFonts w:cs="Arial"/>
                <w:sz w:val="18"/>
              </w:rPr>
              <w:t>s</w:t>
            </w:r>
            <w:r>
              <w:rPr>
                <w:rFonts w:cs="Arial"/>
                <w:spacing w:val="-13"/>
                <w:sz w:val="18"/>
              </w:rPr>
              <w:t xml:space="preserve"> </w:t>
            </w:r>
            <w:r>
              <w:rPr>
                <w:rFonts w:cs="Arial"/>
                <w:sz w:val="18"/>
              </w:rPr>
              <w:t>as</w:t>
            </w:r>
            <w:r>
              <w:rPr>
                <w:rFonts w:cs="Arial"/>
                <w:spacing w:val="-2"/>
                <w:sz w:val="18"/>
              </w:rPr>
              <w:t xml:space="preserve"> </w:t>
            </w:r>
            <w:r>
              <w:rPr>
                <w:rFonts w:cs="Arial"/>
                <w:sz w:val="18"/>
              </w:rPr>
              <w:t>expre</w:t>
            </w:r>
            <w:r>
              <w:rPr>
                <w:rFonts w:cs="Arial"/>
                <w:spacing w:val="1"/>
                <w:sz w:val="18"/>
              </w:rPr>
              <w:t>s</w:t>
            </w:r>
            <w:r>
              <w:rPr>
                <w:rFonts w:cs="Arial"/>
                <w:sz w:val="18"/>
              </w:rPr>
              <w:t>s</w:t>
            </w:r>
            <w:r>
              <w:rPr>
                <w:rFonts w:cs="Arial"/>
                <w:spacing w:val="1"/>
                <w:sz w:val="18"/>
              </w:rPr>
              <w:t>e</w:t>
            </w:r>
            <w:r>
              <w:rPr>
                <w:rFonts w:cs="Arial"/>
                <w:sz w:val="18"/>
              </w:rPr>
              <w:t>d</w:t>
            </w:r>
            <w:r>
              <w:rPr>
                <w:rFonts w:cs="Arial"/>
                <w:spacing w:val="-9"/>
                <w:sz w:val="18"/>
              </w:rPr>
              <w:t xml:space="preserve"> </w:t>
            </w:r>
            <w:r>
              <w:rPr>
                <w:rFonts w:cs="Arial"/>
                <w:sz w:val="18"/>
              </w:rPr>
              <w:t>in</w:t>
            </w:r>
            <w:r>
              <w:rPr>
                <w:rFonts w:cs="Arial"/>
                <w:spacing w:val="-2"/>
                <w:sz w:val="18"/>
              </w:rPr>
              <w:t xml:space="preserve"> </w:t>
            </w:r>
            <w:r>
              <w:rPr>
                <w:rFonts w:cs="Arial"/>
                <w:sz w:val="18"/>
              </w:rPr>
              <w:t>trial</w:t>
            </w:r>
          </w:p>
        </w:tc>
      </w:tr>
      <w:tr w:rsidR="001727E3" w14:paraId="702F6431" w14:textId="77777777" w:rsidTr="003B339A">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29994BED" w14:textId="77777777" w:rsidR="001727E3" w:rsidRDefault="001727E3" w:rsidP="003B339A">
            <w:pPr>
              <w:autoSpaceDE w:val="0"/>
              <w:autoSpaceDN w:val="0"/>
              <w:adjustRightInd w:val="0"/>
              <w:spacing w:before="37"/>
              <w:ind w:left="60"/>
              <w:jc w:val="center"/>
              <w:rPr>
                <w:rFonts w:cs="Arial"/>
                <w:sz w:val="18"/>
              </w:rPr>
            </w:pPr>
            <w:r>
              <w:rPr>
                <w:rFonts w:cs="Arial"/>
                <w:sz w:val="18"/>
              </w:rPr>
              <w:t>2</w:t>
            </w:r>
          </w:p>
        </w:tc>
        <w:tc>
          <w:tcPr>
            <w:tcW w:w="5245" w:type="dxa"/>
            <w:tcBorders>
              <w:top w:val="single" w:sz="4" w:space="0" w:color="auto"/>
              <w:left w:val="single" w:sz="4" w:space="0" w:color="auto"/>
              <w:bottom w:val="single" w:sz="4" w:space="0" w:color="auto"/>
              <w:right w:val="single" w:sz="4" w:space="0" w:color="auto"/>
            </w:tcBorders>
            <w:hideMark/>
          </w:tcPr>
          <w:p w14:paraId="79028183" w14:textId="77777777" w:rsidR="001727E3" w:rsidRDefault="001727E3" w:rsidP="003B339A">
            <w:pPr>
              <w:autoSpaceDE w:val="0"/>
              <w:autoSpaceDN w:val="0"/>
              <w:adjustRightInd w:val="0"/>
              <w:spacing w:before="37"/>
              <w:ind w:left="231"/>
              <w:rPr>
                <w:rFonts w:cs="Arial"/>
                <w:sz w:val="18"/>
              </w:rPr>
            </w:pPr>
            <w:r>
              <w:rPr>
                <w:rFonts w:cs="Arial"/>
                <w:sz w:val="18"/>
              </w:rPr>
              <w:t>data</w:t>
            </w:r>
            <w:r>
              <w:rPr>
                <w:rFonts w:cs="Arial"/>
                <w:spacing w:val="-4"/>
                <w:sz w:val="18"/>
              </w:rPr>
              <w:t xml:space="preserve"> </w:t>
            </w:r>
            <w:r>
              <w:rPr>
                <w:rFonts w:cs="Arial"/>
                <w:sz w:val="18"/>
              </w:rPr>
              <w:t>for</w:t>
            </w:r>
            <w:r>
              <w:rPr>
                <w:rFonts w:cs="Arial"/>
                <w:spacing w:val="-3"/>
                <w:sz w:val="18"/>
              </w:rPr>
              <w:t xml:space="preserve"> </w:t>
            </w:r>
            <w:r>
              <w:rPr>
                <w:rFonts w:cs="Arial"/>
                <w:sz w:val="18"/>
              </w:rPr>
              <w:t>evaluation</w:t>
            </w:r>
            <w:r>
              <w:rPr>
                <w:rFonts w:cs="Arial"/>
                <w:spacing w:val="-8"/>
                <w:sz w:val="18"/>
              </w:rPr>
              <w:t xml:space="preserve"> </w:t>
            </w:r>
            <w:r>
              <w:rPr>
                <w:rFonts w:cs="Arial"/>
                <w:sz w:val="18"/>
              </w:rPr>
              <w:t>of</w:t>
            </w:r>
            <w:r>
              <w:rPr>
                <w:rFonts w:cs="Arial"/>
                <w:spacing w:val="-2"/>
                <w:sz w:val="18"/>
              </w:rPr>
              <w:t xml:space="preserve"> </w:t>
            </w:r>
            <w:r>
              <w:rPr>
                <w:rFonts w:cs="Arial"/>
                <w:sz w:val="18"/>
              </w:rPr>
              <w:t>characteristi</w:t>
            </w:r>
            <w:r>
              <w:rPr>
                <w:rFonts w:cs="Arial"/>
                <w:spacing w:val="1"/>
                <w:sz w:val="18"/>
              </w:rPr>
              <w:t>c</w:t>
            </w:r>
            <w:r>
              <w:rPr>
                <w:rFonts w:cs="Arial"/>
                <w:sz w:val="18"/>
              </w:rPr>
              <w:t>s</w:t>
            </w:r>
          </w:p>
        </w:tc>
      </w:tr>
      <w:tr w:rsidR="001727E3" w14:paraId="14A9F575" w14:textId="77777777" w:rsidTr="003B339A">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14:paraId="65239154" w14:textId="77777777" w:rsidR="001727E3" w:rsidRDefault="001727E3" w:rsidP="003B339A">
            <w:pPr>
              <w:autoSpaceDE w:val="0"/>
              <w:autoSpaceDN w:val="0"/>
              <w:adjustRightInd w:val="0"/>
              <w:spacing w:before="37"/>
              <w:ind w:left="60"/>
              <w:jc w:val="center"/>
              <w:rPr>
                <w:rFonts w:cs="Arial"/>
                <w:sz w:val="18"/>
              </w:rPr>
            </w:pPr>
            <w:r>
              <w:rPr>
                <w:rFonts w:cs="Arial"/>
                <w:sz w:val="18"/>
              </w:rPr>
              <w:t>3</w:t>
            </w:r>
          </w:p>
        </w:tc>
        <w:tc>
          <w:tcPr>
            <w:tcW w:w="5245" w:type="dxa"/>
            <w:tcBorders>
              <w:top w:val="single" w:sz="4" w:space="0" w:color="auto"/>
              <w:left w:val="single" w:sz="4" w:space="0" w:color="auto"/>
              <w:bottom w:val="single" w:sz="4" w:space="0" w:color="auto"/>
              <w:right w:val="single" w:sz="4" w:space="0" w:color="auto"/>
            </w:tcBorders>
            <w:hideMark/>
          </w:tcPr>
          <w:p w14:paraId="208B2227" w14:textId="77777777" w:rsidR="001727E3" w:rsidRDefault="001727E3" w:rsidP="003B339A">
            <w:pPr>
              <w:autoSpaceDE w:val="0"/>
              <w:autoSpaceDN w:val="0"/>
              <w:adjustRightInd w:val="0"/>
              <w:spacing w:before="37"/>
              <w:ind w:left="231"/>
              <w:rPr>
                <w:rFonts w:cs="Arial"/>
                <w:sz w:val="18"/>
              </w:rPr>
            </w:pPr>
            <w:r>
              <w:rPr>
                <w:rFonts w:cs="Arial"/>
                <w:sz w:val="18"/>
              </w:rPr>
              <w:t>variety</w:t>
            </w:r>
            <w:r>
              <w:rPr>
                <w:rFonts w:cs="Arial"/>
                <w:spacing w:val="-5"/>
                <w:sz w:val="18"/>
              </w:rPr>
              <w:t xml:space="preserve"> </w:t>
            </w:r>
            <w:r>
              <w:rPr>
                <w:rFonts w:cs="Arial"/>
                <w:sz w:val="18"/>
              </w:rPr>
              <w:t>description</w:t>
            </w:r>
          </w:p>
        </w:tc>
      </w:tr>
    </w:tbl>
    <w:p w14:paraId="573A4153" w14:textId="77777777" w:rsidR="001727E3" w:rsidRDefault="001727E3" w:rsidP="001727E3">
      <w:pPr>
        <w:autoSpaceDE w:val="0"/>
        <w:autoSpaceDN w:val="0"/>
        <w:adjustRightInd w:val="0"/>
        <w:spacing w:before="18" w:line="220" w:lineRule="exact"/>
        <w:ind w:left="7797"/>
        <w:rPr>
          <w:rFonts w:cs="Arial"/>
          <w:sz w:val="18"/>
        </w:rPr>
      </w:pPr>
    </w:p>
    <w:p w14:paraId="70E8F35A" w14:textId="77777777" w:rsidR="001727E3" w:rsidRDefault="001727E3" w:rsidP="001727E3">
      <w:pPr>
        <w:autoSpaceDE w:val="0"/>
        <w:autoSpaceDN w:val="0"/>
        <w:adjustRightInd w:val="0"/>
        <w:spacing w:before="18" w:line="220" w:lineRule="exact"/>
        <w:rPr>
          <w:rFonts w:cs="Arial"/>
        </w:rPr>
      </w:pPr>
    </w:p>
    <w:p w14:paraId="33CCBA9C" w14:textId="77777777" w:rsidR="001727E3" w:rsidRDefault="001727E3" w:rsidP="001727E3">
      <w:pPr>
        <w:ind w:left="567" w:right="567"/>
        <w:rPr>
          <w:rFonts w:cs="Arial"/>
          <w:sz w:val="18"/>
        </w:rPr>
      </w:pPr>
      <w:r>
        <w:rPr>
          <w:rFonts w:cs="Arial"/>
          <w:sz w:val="18"/>
        </w:rPr>
        <w:t xml:space="preserve">“The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w:t>
      </w:r>
      <w:proofErr w:type="gramStart"/>
      <w:r>
        <w:rPr>
          <w:rFonts w:cs="Arial"/>
          <w:sz w:val="18"/>
        </w:rPr>
        <w:t>on the basis of</w:t>
      </w:r>
      <w:proofErr w:type="gramEnd"/>
      <w:r>
        <w:rPr>
          <w:rFonts w:cs="Arial"/>
          <w:sz w:val="18"/>
        </w:rPr>
        <w:t xml:space="preserve">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14:paraId="501FB056" w14:textId="77777777" w:rsidR="001727E3" w:rsidRDefault="001727E3" w:rsidP="001727E3">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1727E3" w14:paraId="3A226611" w14:textId="77777777" w:rsidTr="003B339A">
        <w:tc>
          <w:tcPr>
            <w:tcW w:w="1101" w:type="dxa"/>
            <w:tcBorders>
              <w:top w:val="single" w:sz="4" w:space="0" w:color="auto"/>
              <w:left w:val="single" w:sz="4" w:space="0" w:color="auto"/>
              <w:bottom w:val="single" w:sz="4" w:space="0" w:color="auto"/>
              <w:right w:val="single" w:sz="4" w:space="0" w:color="auto"/>
            </w:tcBorders>
            <w:hideMark/>
          </w:tcPr>
          <w:p w14:paraId="6ABCBFE3" w14:textId="77777777" w:rsidR="001727E3" w:rsidRDefault="001727E3" w:rsidP="003B339A">
            <w:pPr>
              <w:jc w:val="center"/>
              <w:rPr>
                <w:rFonts w:cs="Arial"/>
                <w:sz w:val="18"/>
              </w:rPr>
            </w:pPr>
            <w:r>
              <w:rPr>
                <w:rFonts w:cs="Arial"/>
                <w:sz w:val="18"/>
              </w:rPr>
              <w:t>Process</w:t>
            </w:r>
            <w:r>
              <w:rPr>
                <w:rFonts w:cs="Arial"/>
                <w:spacing w:val="-7"/>
                <w:sz w:val="18"/>
              </w:rPr>
              <w:t xml:space="preserve"> </w:t>
            </w:r>
            <w:r>
              <w:rPr>
                <w:rFonts w:cs="Arial"/>
                <w:sz w:val="18"/>
              </w:rPr>
              <w:t>level</w:t>
            </w:r>
          </w:p>
        </w:tc>
        <w:tc>
          <w:tcPr>
            <w:tcW w:w="2268" w:type="dxa"/>
            <w:tcBorders>
              <w:top w:val="single" w:sz="4" w:space="0" w:color="auto"/>
              <w:left w:val="single" w:sz="4" w:space="0" w:color="auto"/>
              <w:bottom w:val="single" w:sz="4" w:space="0" w:color="auto"/>
              <w:right w:val="single" w:sz="4" w:space="0" w:color="auto"/>
            </w:tcBorders>
            <w:hideMark/>
          </w:tcPr>
          <w:p w14:paraId="661A4FD7" w14:textId="77777777" w:rsidR="001727E3" w:rsidRDefault="001727E3" w:rsidP="003B339A">
            <w:pPr>
              <w:jc w:val="center"/>
              <w:rPr>
                <w:rFonts w:cs="Arial"/>
                <w:sz w:val="18"/>
              </w:rPr>
            </w:pPr>
            <w:r>
              <w:rPr>
                <w:rFonts w:cs="Arial"/>
                <w:sz w:val="18"/>
              </w:rPr>
              <w:t>Measurements</w:t>
            </w:r>
          </w:p>
          <w:p w14:paraId="1A75C5EC" w14:textId="77777777" w:rsidR="001727E3" w:rsidRDefault="001727E3" w:rsidP="003B339A">
            <w:pPr>
              <w:jc w:val="center"/>
              <w:rPr>
                <w:rFonts w:cs="Arial"/>
                <w:sz w:val="18"/>
              </w:rPr>
            </w:pPr>
            <w:r>
              <w:rPr>
                <w:rFonts w:cs="Arial"/>
                <w:sz w:val="18"/>
              </w:rPr>
              <w:t>(QN)</w:t>
            </w:r>
          </w:p>
        </w:tc>
        <w:tc>
          <w:tcPr>
            <w:tcW w:w="2976" w:type="dxa"/>
            <w:tcBorders>
              <w:top w:val="single" w:sz="4" w:space="0" w:color="auto"/>
              <w:left w:val="single" w:sz="4" w:space="0" w:color="auto"/>
              <w:bottom w:val="single" w:sz="4" w:space="0" w:color="auto"/>
              <w:right w:val="single" w:sz="4" w:space="0" w:color="auto"/>
            </w:tcBorders>
            <w:hideMark/>
          </w:tcPr>
          <w:p w14:paraId="3336A7E8" w14:textId="77777777" w:rsidR="001727E3" w:rsidRDefault="001727E3" w:rsidP="003B339A">
            <w:pPr>
              <w:jc w:val="center"/>
              <w:rPr>
                <w:rFonts w:cs="Arial"/>
                <w:sz w:val="18"/>
                <w:lang w:val="pt-BR"/>
              </w:rPr>
            </w:pPr>
            <w:r>
              <w:rPr>
                <w:rFonts w:cs="Arial"/>
                <w:sz w:val="18"/>
                <w:lang w:val="pt-BR"/>
              </w:rPr>
              <w:t>Visual assessment</w:t>
            </w:r>
          </w:p>
          <w:p w14:paraId="52D43976" w14:textId="77777777" w:rsidR="001727E3" w:rsidRDefault="001727E3" w:rsidP="003B339A">
            <w:pPr>
              <w:jc w:val="center"/>
              <w:rPr>
                <w:rFonts w:cs="Arial"/>
                <w:sz w:val="18"/>
                <w:lang w:val="pt-BR"/>
              </w:rPr>
            </w:pPr>
            <w:r>
              <w:rPr>
                <w:rFonts w:cs="Arial"/>
                <w:sz w:val="18"/>
                <w:lang w:val="pt-BR"/>
              </w:rPr>
              <w:t>(QN/QL/PQ)</w:t>
            </w:r>
          </w:p>
        </w:tc>
        <w:tc>
          <w:tcPr>
            <w:tcW w:w="2867" w:type="dxa"/>
            <w:tcBorders>
              <w:top w:val="single" w:sz="4" w:space="0" w:color="auto"/>
              <w:left w:val="single" w:sz="4" w:space="0" w:color="auto"/>
              <w:bottom w:val="single" w:sz="4" w:space="0" w:color="auto"/>
              <w:right w:val="single" w:sz="4" w:space="0" w:color="auto"/>
            </w:tcBorders>
            <w:hideMark/>
          </w:tcPr>
          <w:p w14:paraId="32AD36F7" w14:textId="77777777" w:rsidR="001727E3" w:rsidRDefault="001727E3" w:rsidP="003B339A">
            <w:pPr>
              <w:rPr>
                <w:rFonts w:cs="Arial"/>
                <w:sz w:val="18"/>
              </w:rPr>
            </w:pPr>
            <w:r>
              <w:rPr>
                <w:rFonts w:cs="Arial"/>
                <w:sz w:val="18"/>
              </w:rPr>
              <w:t>Remark</w:t>
            </w:r>
          </w:p>
        </w:tc>
      </w:tr>
      <w:tr w:rsidR="001727E3" w14:paraId="6C2E4D3F" w14:textId="77777777" w:rsidTr="003B339A">
        <w:tc>
          <w:tcPr>
            <w:tcW w:w="1101" w:type="dxa"/>
            <w:tcBorders>
              <w:top w:val="single" w:sz="4" w:space="0" w:color="auto"/>
              <w:left w:val="single" w:sz="4" w:space="0" w:color="auto"/>
              <w:bottom w:val="single" w:sz="4" w:space="0" w:color="auto"/>
              <w:right w:val="single" w:sz="4" w:space="0" w:color="auto"/>
            </w:tcBorders>
            <w:hideMark/>
          </w:tcPr>
          <w:p w14:paraId="54B266D4" w14:textId="77777777" w:rsidR="001727E3" w:rsidRDefault="001727E3" w:rsidP="003B339A">
            <w:pPr>
              <w:spacing w:before="240"/>
              <w:jc w:val="center"/>
              <w:rPr>
                <w:rFonts w:cs="Arial"/>
                <w:sz w:val="18"/>
              </w:rPr>
            </w:pPr>
            <w:r>
              <w:rPr>
                <w:rFonts w:cs="Arial"/>
                <w:sz w:val="18"/>
              </w:rPr>
              <w:t>2</w:t>
            </w:r>
          </w:p>
        </w:tc>
        <w:tc>
          <w:tcPr>
            <w:tcW w:w="2268" w:type="dxa"/>
            <w:tcBorders>
              <w:top w:val="single" w:sz="4" w:space="0" w:color="auto"/>
              <w:left w:val="single" w:sz="4" w:space="0" w:color="auto"/>
              <w:bottom w:val="single" w:sz="4" w:space="0" w:color="auto"/>
              <w:right w:val="single" w:sz="4" w:space="0" w:color="auto"/>
            </w:tcBorders>
            <w:hideMark/>
          </w:tcPr>
          <w:p w14:paraId="5B1FA5E3" w14:textId="77777777" w:rsidR="001727E3" w:rsidRDefault="001727E3" w:rsidP="003B339A">
            <w:pPr>
              <w:rPr>
                <w:rFonts w:cs="Arial"/>
                <w:sz w:val="18"/>
              </w:rPr>
            </w:pPr>
            <w:r>
              <w:rPr>
                <w:noProof/>
              </w:rPr>
              <mc:AlternateContent>
                <mc:Choice Requires="wps">
                  <w:drawing>
                    <wp:anchor distT="0" distB="0" distL="114300" distR="114300" simplePos="0" relativeHeight="251659264" behindDoc="0" locked="0" layoutInCell="1" allowOverlap="1" wp14:anchorId="2A69F008" wp14:editId="3D2A27B1">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9E2BA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Yz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8edctBy&#10;j1bYObEkwk7wJTPU+TBjx3t/R4MWWEzlHgy1wtjGf2OATACXJA6Z38cnfvUhCsWXZXl6NuEuKDad&#10;lufleJrQix4mwXkK8avGViRhLitOJOeRkWF/HWLvf/RLbwLaplo31maFtpsrS2IP3O/J+qz8shpC&#10;vHKzTnRzOZ5ORikb4LkzFiKLrWcmgttKAXbLA60i5divXod3guTgNVS6Dz0d8XeM3LvnQl/hpCpW&#10;EOr+STYNT6xLeDrP71B06kHPepI2WD1y3wj7gQ5erRtGu4YQ74B4grku3sp4y4exyMXiIElRI/1+&#10;7z7582CxVYqON4KJ+LUD0lLY745H7rycpObFrEymn8es0EvL5qXF7dor5CaUvP9eZTH5R3sUDWH7&#10;k5d3maKyCZzi2D3lg3IV+03l9Vd6ucxuvDYe4rW79+o4conHh8NPID/MTeSBu8Hj9sDszeT0volh&#10;h8tdRNPksXrmlVuVFF653LTh95B2+qWevZ5/Yos/AAAA//8DAFBLAwQUAAYACAAAACEARRb+At4A&#10;AAAIAQAADwAAAGRycy9kb3ducmV2LnhtbEyPzU7DMBCE70i8g7VI3KjTv9CEOBVC4sCptPTA0YmX&#10;JCVeR7HTpH16lhMcZ2c0+022nWwrztj7xpGC+SwCgVQ601Cl4Pjx+rAB4YMmo1tHqOCCHrb57U2m&#10;U+NG2uP5ECrBJeRTraAOoUul9GWNVvuZ65DY+3K91YFlX0nT65HLbSsXURRLqxviD7Xu8KXG8vsw&#10;WAWr+fv6OJw+/fi22y190ZySy/Wq1P3d9PwEIuAU/sLwi8/okDNT4QYyXrSsNzEnFcSLFQj2l488&#10;reD7OklA5pn8PyD/AQAA//8DAFBLAQItABQABgAIAAAAIQC2gziS/gAAAOEBAAATAAAAAAAAAAAA&#10;AAAAAAAAAABbQ29udGVudF9UeXBlc10ueG1sUEsBAi0AFAAGAAgAAAAhADj9If/WAAAAlAEAAAsA&#10;AAAAAAAAAAAAAAAALwEAAF9yZWxzLy5yZWxzUEsBAi0AFAAGAAgAAAAhAFiI1jN4AgAADAUAAA4A&#10;AAAAAAAAAAAAAAAALgIAAGRycy9lMm9Eb2MueG1sUEsBAi0AFAAGAAgAAAAhAEUW/gLeAAAACAEA&#10;AA8AAAAAAAAAAAAAAAAA0gQAAGRycy9kb3ducmV2LnhtbFBLBQYAAAAABAAEAPMAAADdBQAAAAA=&#10;" adj="19562" fillcolor="#4f81bd" strokecolor="#385d8a" strokeweight="2pt"/>
                  </w:pict>
                </mc:Fallback>
              </mc:AlternateContent>
            </w:r>
            <w:r>
              <w:rPr>
                <w:rFonts w:cs="Arial"/>
                <w:sz w:val="18"/>
              </w:rPr>
              <w:t>Values</w:t>
            </w:r>
          </w:p>
        </w:tc>
        <w:tc>
          <w:tcPr>
            <w:tcW w:w="2976" w:type="dxa"/>
            <w:tcBorders>
              <w:top w:val="single" w:sz="4" w:space="0" w:color="auto"/>
              <w:left w:val="single" w:sz="4" w:space="0" w:color="auto"/>
              <w:bottom w:val="single" w:sz="4" w:space="0" w:color="auto"/>
              <w:right w:val="single" w:sz="4" w:space="0" w:color="auto"/>
            </w:tcBorders>
            <w:hideMark/>
          </w:tcPr>
          <w:p w14:paraId="682BCB41" w14:textId="77777777" w:rsidR="001727E3" w:rsidRDefault="001727E3" w:rsidP="003B339A">
            <w:pPr>
              <w:rPr>
                <w:rFonts w:cs="Arial"/>
                <w:sz w:val="18"/>
              </w:rPr>
            </w:pPr>
            <w:r>
              <w:rPr>
                <w:noProof/>
              </w:rPr>
              <mc:AlternateContent>
                <mc:Choice Requires="wps">
                  <w:drawing>
                    <wp:anchor distT="0" distB="0" distL="114300" distR="114300" simplePos="0" relativeHeight="251660288" behindDoc="0" locked="0" layoutInCell="1" allowOverlap="1" wp14:anchorId="15418167" wp14:editId="0D0E0691">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0CE250" id="Down Arrow 19"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w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3cuhYOW&#10;e7TCzoklEXaCL5mhzocZO977Oxq0wGIq92CoFcY2/hsDZAK4JHHI/D4+8asPUSi+LMvTswl3QbHp&#10;tDwvx9OEXvQwCc5TiF81tiIJc1lxIjmPjAz76xB7/6NfehPQNtW6sTYrtN1cWRJ74H5P1mfll9UQ&#10;4pWbdaKby/F0MkrZAM+dsRBZbD0zEdxWCrBbHmgVKcd+9Tq8EyQHr6HSfejpiL9j5N49F/oKJ1Wx&#10;glD3T7JpeGJdwtN5foeiUw961pO0weqR+0bYD3Twat0w2jWEeAfEE8x18VbGWz6MRS4WB0mKGun3&#10;e/fJnweLrVJ0vBFMxK8dkJbCfnc8cuflJDUvZmUy/TxmhV5aNi8tbtdeITeh5P33KovJP9qjaAjb&#10;n7y8yxSVTeAUx+4pH5Sr2G8qr7/Sy2V247XxEK/dvVfHkUs8Phx+AvlhbiIP3A0etwdmbyan900M&#10;O1zuIpomj9Uzr9yqpPDK5aYNv4e00y/17PX8E1v8AQAA//8DAFBLAwQUAAYACAAAACEAsBTpJ98A&#10;AAAIAQAADwAAAGRycy9kb3ducmV2LnhtbEyPzU7DMBCE70i8g7VI3KjTpj8kxKkQEgdOpaUHjk68&#10;JCnxOoqdJu3Ts5zgODuj2W+y7WRbccbeN44UzGcRCKTSmYYqBceP14dHED5oMrp1hAou6GGb395k&#10;OjVupD2eD6ESXEI+1QrqELpUSl/WaLWfuQ6JvS/XWx1Y9pU0vR653LZyEUVraXVD/KHWHb7UWH4f&#10;BqtgOX9fHYfTpx/fdrvYF80puVyvSt3fTc9PIAJO4S8Mv/iMDjkzFW4g40XLOok5qWC9WIJgP95s&#10;QBR8XyUJyDyT/wfkPwAAAP//AwBQSwECLQAUAAYACAAAACEAtoM4kv4AAADhAQAAEwAAAAAAAAAA&#10;AAAAAAAAAAAAW0NvbnRlbnRfVHlwZXNdLnhtbFBLAQItABQABgAIAAAAIQA4/SH/1gAAAJQBAAAL&#10;AAAAAAAAAAAAAAAAAC8BAABfcmVscy8ucmVsc1BLAQItABQABgAIAAAAIQDtwCeweAIAAAwFAAAO&#10;AAAAAAAAAAAAAAAAAC4CAABkcnMvZTJvRG9jLnhtbFBLAQItABQABgAIAAAAIQCwFOkn3wAAAAgB&#10;AAAPAAAAAAAAAAAAAAAAANIEAABkcnMvZG93bnJldi54bWxQSwUGAAAAAAQABADzAAAA3gUAAAAA&#10;" adj="19562" fillcolor="#4f81bd" strokecolor="#385d8a" strokeweight="2pt"/>
                  </w:pict>
                </mc:Fallback>
              </mc:AlternateContent>
            </w:r>
            <w:r>
              <w:rPr>
                <w:rFonts w:cs="Arial"/>
                <w:sz w:val="18"/>
              </w:rPr>
              <w:t>Notes</w:t>
            </w:r>
          </w:p>
        </w:tc>
        <w:tc>
          <w:tcPr>
            <w:tcW w:w="2867" w:type="dxa"/>
            <w:tcBorders>
              <w:top w:val="single" w:sz="4" w:space="0" w:color="auto"/>
              <w:left w:val="single" w:sz="4" w:space="0" w:color="auto"/>
              <w:bottom w:val="single" w:sz="4" w:space="0" w:color="auto"/>
              <w:right w:val="single" w:sz="4" w:space="0" w:color="auto"/>
            </w:tcBorders>
          </w:tcPr>
          <w:p w14:paraId="73217BFD" w14:textId="77777777" w:rsidR="001727E3" w:rsidRDefault="001727E3" w:rsidP="003B339A">
            <w:pPr>
              <w:spacing w:before="240"/>
              <w:rPr>
                <w:rFonts w:cs="Arial"/>
                <w:sz w:val="18"/>
              </w:rPr>
            </w:pPr>
            <w:r>
              <w:rPr>
                <w:rFonts w:cs="Arial"/>
                <w:sz w:val="18"/>
              </w:rPr>
              <w:t>Basis for comparison within the same trial</w:t>
            </w:r>
          </w:p>
          <w:p w14:paraId="669E9105" w14:textId="77777777" w:rsidR="001727E3" w:rsidRDefault="001727E3" w:rsidP="003B339A">
            <w:pPr>
              <w:rPr>
                <w:rFonts w:cs="Arial"/>
                <w:sz w:val="18"/>
              </w:rPr>
            </w:pPr>
          </w:p>
        </w:tc>
      </w:tr>
      <w:tr w:rsidR="001727E3" w14:paraId="41437299" w14:textId="77777777" w:rsidTr="003B339A">
        <w:tc>
          <w:tcPr>
            <w:tcW w:w="1101" w:type="dxa"/>
            <w:tcBorders>
              <w:top w:val="single" w:sz="4" w:space="0" w:color="auto"/>
              <w:left w:val="single" w:sz="4" w:space="0" w:color="auto"/>
              <w:bottom w:val="nil"/>
              <w:right w:val="single" w:sz="4" w:space="0" w:color="auto"/>
            </w:tcBorders>
            <w:hideMark/>
          </w:tcPr>
          <w:p w14:paraId="47566153" w14:textId="77777777" w:rsidR="001727E3" w:rsidRDefault="001727E3" w:rsidP="003B339A">
            <w:pPr>
              <w:spacing w:before="240"/>
              <w:jc w:val="center"/>
              <w:rPr>
                <w:rFonts w:cs="Arial"/>
                <w:sz w:val="18"/>
              </w:rPr>
            </w:pPr>
            <w:r>
              <w:rPr>
                <w:rFonts w:cs="Arial"/>
                <w:sz w:val="18"/>
              </w:rPr>
              <w:t>3</w:t>
            </w:r>
          </w:p>
        </w:tc>
        <w:tc>
          <w:tcPr>
            <w:tcW w:w="2268" w:type="dxa"/>
            <w:tcBorders>
              <w:top w:val="single" w:sz="4" w:space="0" w:color="auto"/>
              <w:left w:val="single" w:sz="4" w:space="0" w:color="auto"/>
              <w:bottom w:val="nil"/>
              <w:right w:val="single" w:sz="4" w:space="0" w:color="auto"/>
            </w:tcBorders>
            <w:hideMark/>
          </w:tcPr>
          <w:p w14:paraId="57E0754F" w14:textId="77777777" w:rsidR="001727E3" w:rsidRDefault="001727E3" w:rsidP="003B339A">
            <w:pPr>
              <w:spacing w:before="120"/>
              <w:ind w:left="600"/>
              <w:rPr>
                <w:rFonts w:cs="Arial"/>
                <w:sz w:val="18"/>
              </w:rPr>
            </w:pPr>
            <w:r>
              <w:rPr>
                <w:rFonts w:cs="Arial"/>
                <w:sz w:val="18"/>
              </w:rPr>
              <w:t xml:space="preserve">Transformation into notes </w:t>
            </w:r>
          </w:p>
          <w:p w14:paraId="59012E77" w14:textId="77777777" w:rsidR="001727E3" w:rsidRDefault="001727E3" w:rsidP="003B339A">
            <w:pPr>
              <w:spacing w:before="120"/>
              <w:rPr>
                <w:rFonts w:cs="Arial"/>
                <w:sz w:val="18"/>
              </w:rPr>
            </w:pPr>
            <w:r>
              <w:rPr>
                <w:rFonts w:cs="Arial"/>
                <w:sz w:val="18"/>
              </w:rPr>
              <w:t>Notes</w:t>
            </w:r>
          </w:p>
        </w:tc>
        <w:tc>
          <w:tcPr>
            <w:tcW w:w="2976" w:type="dxa"/>
            <w:tcBorders>
              <w:top w:val="single" w:sz="4" w:space="0" w:color="auto"/>
              <w:left w:val="single" w:sz="4" w:space="0" w:color="auto"/>
              <w:bottom w:val="nil"/>
              <w:right w:val="single" w:sz="4" w:space="0" w:color="auto"/>
            </w:tcBorders>
          </w:tcPr>
          <w:p w14:paraId="1D60721C" w14:textId="77777777" w:rsidR="001727E3" w:rsidRDefault="001727E3" w:rsidP="003B339A">
            <w:pPr>
              <w:spacing w:before="120"/>
              <w:ind w:left="459"/>
              <w:rPr>
                <w:rFonts w:cs="Arial"/>
                <w:sz w:val="18"/>
              </w:rPr>
            </w:pPr>
            <w:r>
              <w:rPr>
                <w:rFonts w:cs="Arial"/>
                <w:sz w:val="18"/>
              </w:rPr>
              <w:t>Same Notes as in Process level 1</w:t>
            </w:r>
          </w:p>
          <w:p w14:paraId="18065EB6" w14:textId="77777777" w:rsidR="001727E3" w:rsidRDefault="001727E3" w:rsidP="003B339A">
            <w:pPr>
              <w:spacing w:before="120"/>
              <w:ind w:left="34"/>
              <w:rPr>
                <w:rFonts w:cs="Arial"/>
                <w:sz w:val="18"/>
              </w:rPr>
            </w:pPr>
          </w:p>
          <w:p w14:paraId="476C2AFB" w14:textId="77777777" w:rsidR="001727E3" w:rsidRDefault="001727E3" w:rsidP="003B339A">
            <w:pPr>
              <w:ind w:left="34"/>
              <w:rPr>
                <w:rFonts w:cs="Arial"/>
                <w:sz w:val="18"/>
              </w:rPr>
            </w:pPr>
            <w:r>
              <w:rPr>
                <w:rFonts w:cs="Arial"/>
                <w:sz w:val="18"/>
              </w:rPr>
              <w:t>Notes</w:t>
            </w:r>
          </w:p>
        </w:tc>
        <w:tc>
          <w:tcPr>
            <w:tcW w:w="2867" w:type="dxa"/>
            <w:tcBorders>
              <w:top w:val="single" w:sz="4" w:space="0" w:color="auto"/>
              <w:left w:val="single" w:sz="4" w:space="0" w:color="auto"/>
              <w:bottom w:val="nil"/>
              <w:right w:val="single" w:sz="4" w:space="0" w:color="auto"/>
            </w:tcBorders>
            <w:hideMark/>
          </w:tcPr>
          <w:p w14:paraId="1BB9C83C" w14:textId="77777777" w:rsidR="001727E3" w:rsidRDefault="001727E3" w:rsidP="003B339A">
            <w:pPr>
              <w:spacing w:before="240"/>
              <w:rPr>
                <w:rFonts w:cs="Arial"/>
                <w:sz w:val="18"/>
              </w:rPr>
            </w:pPr>
            <w:r>
              <w:rPr>
                <w:rFonts w:cs="Arial"/>
                <w:sz w:val="18"/>
              </w:rPr>
              <w:t>Notes resulting from one year and location</w:t>
            </w:r>
          </w:p>
        </w:tc>
      </w:tr>
      <w:tr w:rsidR="001727E3" w14:paraId="5EFBD40C" w14:textId="77777777" w:rsidTr="003B339A">
        <w:tc>
          <w:tcPr>
            <w:tcW w:w="1101" w:type="dxa"/>
            <w:tcBorders>
              <w:top w:val="nil"/>
              <w:left w:val="single" w:sz="4" w:space="0" w:color="auto"/>
              <w:bottom w:val="single" w:sz="4" w:space="0" w:color="auto"/>
              <w:right w:val="single" w:sz="4" w:space="0" w:color="auto"/>
            </w:tcBorders>
          </w:tcPr>
          <w:p w14:paraId="53903863" w14:textId="77777777" w:rsidR="001727E3" w:rsidRDefault="001727E3" w:rsidP="003B339A">
            <w:pPr>
              <w:jc w:val="center"/>
              <w:rPr>
                <w:rFonts w:cs="Arial"/>
                <w:sz w:val="18"/>
              </w:rPr>
            </w:pPr>
          </w:p>
        </w:tc>
        <w:tc>
          <w:tcPr>
            <w:tcW w:w="5244" w:type="dxa"/>
            <w:gridSpan w:val="2"/>
            <w:tcBorders>
              <w:top w:val="nil"/>
              <w:left w:val="single" w:sz="4" w:space="0" w:color="auto"/>
              <w:bottom w:val="single" w:sz="4" w:space="0" w:color="auto"/>
              <w:right w:val="single" w:sz="4" w:space="0" w:color="auto"/>
            </w:tcBorders>
            <w:hideMark/>
          </w:tcPr>
          <w:p w14:paraId="5ED021E1" w14:textId="77777777" w:rsidR="001727E3" w:rsidRDefault="001727E3" w:rsidP="003B339A">
            <w:pPr>
              <w:jc w:val="center"/>
              <w:rPr>
                <w:rFonts w:cs="Arial"/>
                <w:sz w:val="18"/>
              </w:rPr>
            </w:pPr>
            <w:r>
              <w:rPr>
                <w:noProof/>
              </w:rPr>
              <mc:AlternateContent>
                <mc:Choice Requires="wps">
                  <w:drawing>
                    <wp:anchor distT="0" distB="0" distL="114300" distR="114300" simplePos="0" relativeHeight="251661312" behindDoc="0" locked="0" layoutInCell="1" allowOverlap="1" wp14:anchorId="6E1E9A5A" wp14:editId="271458F2">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2F8132" id="Down Arrow 20" o:spid="_x0000_s1026" type="#_x0000_t67" style="position:absolute;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7leAIAAAwFAAAOAAAAZHJzL2Uyb0RvYy54bWysVE1v2zAMvQ/YfxB0Xx2nSZcFdYqsQbYB&#10;RVugHXpWZCkWIIsapcTpfv0o2enXehrmg0CK1CP5SPr84tBatlcYDLiKlycjzpSTUBu3rfjP+/Wn&#10;GWchClcLC05V/FEFfrH4+OG883M1hgZsrZARiAvzzle8idHPiyLIRrUinIBXjowasBWRVNwWNYqO&#10;0FtbjEejs6IDrD2CVCHQ7ao38kXG11rJeKN1UJHZilNuMZ+Yz006i8W5mG9R+MbIIQ3xD1m0wjgK&#10;+gS1ElGwHZq/oFojEQLoeCKhLUBrI1WugaopR2+quWuEV7kWIif4J5rC/4OV1/tbZKau+JjocaKl&#10;Hq2gc2yJCB2jS2Ko82FOjnf+FgctkJjKPWhsmbbGf6fmZwKoJHbI/D4+8asOkUm6LMuz2YTCSDKd&#10;lpPT8TShFz1MgvMY4jcFLUtCxWtKJOeRkcX+KsTe/+iX3gSwpl4ba7OC282lRbYX1O/JelZ+XQ0h&#10;XrlZxzqqeDoZpWwEzZ22IpLYemIiuC1nwm5poGXEHPvV6/BOkBy8EbXqQ09H9B0j9+650Fc4qYqV&#10;CE3/JJuGJ9YlPJXndyg69aBnPUkbqB+pbwj9QAcv14bQrkSItwJpgqku2sp4Q4e2QMXCIHHWAP5+&#10;7z7502CRlbOONoKI+LUTqDizPxyN3JdykpoXszKZfk4Dgy8tm5cWt2svgZpQ0v57mcXkH+1R1Ajt&#10;Ay3vMkUlk3CSYveUD8pl7DeV1l+q5TK70dp4Ea/cnZfHkUs83h8eBPphbiIN3DUct0fM30xO75sY&#10;drDcRdAmj9Uzr9SqpNDK5aYNv4e00y/17PX8E1v8AQAA//8DAFBLAwQUAAYACAAAACEAeuNYwt8A&#10;AAAJAQAADwAAAGRycy9kb3ducmV2LnhtbEyPwU7DMAyG70i8Q2QkLmhLidYKlaYTIBCCG9su3LLG&#10;aysap0rSrezpMSc4WZY//f7+aj27QRwxxN6ThttlBgKp8banVsNu+7K4AxGTIWsGT6jhGyOs68uL&#10;ypTWn+gDj5vUCg6hWBoNXUpjKWVsOnQmLv2IxLeDD84kXkMrbTAnDneDVFlWSGd64g+dGfGpw+Zr&#10;MzkNn+oND6/bqX0/P+/ym8c2RHsOWl9fzQ/3IBLO6Q+GX31Wh5qd9n4iG8WgQWVFwaiGxSoHwYBS&#10;OZfba1jxlHUl/zeofwAAAP//AwBQSwECLQAUAAYACAAAACEAtoM4kv4AAADhAQAAEwAAAAAAAAAA&#10;AAAAAAAAAAAAW0NvbnRlbnRfVHlwZXNdLnhtbFBLAQItABQABgAIAAAAIQA4/SH/1gAAAJQBAAAL&#10;AAAAAAAAAAAAAAAAAC8BAABfcmVscy8ucmVsc1BLAQItABQABgAIAAAAIQCsDp7leAIAAAwFAAAO&#10;AAAAAAAAAAAAAAAAAC4CAABkcnMvZTJvRG9jLnhtbFBLAQItABQABgAIAAAAIQB641jC3wAAAAkB&#10;AAAPAAAAAAAAAAAAAAAAANIEAABkcnMvZG93bnJldi54bWxQSwUGAAAAAAQABADzAAAA3gUAAAAA&#10;" adj="17585" fillcolor="#4f81bd" strokecolor="#385d8a" strokeweight="2pt"/>
                  </w:pict>
                </mc:Fallback>
              </mc:AlternateContent>
            </w:r>
          </w:p>
          <w:p w14:paraId="71B08E80" w14:textId="77777777" w:rsidR="001727E3" w:rsidRDefault="001727E3" w:rsidP="003B339A">
            <w:pPr>
              <w:spacing w:before="240"/>
              <w:jc w:val="center"/>
              <w:rPr>
                <w:rFonts w:cs="Arial"/>
                <w:sz w:val="18"/>
              </w:rPr>
            </w:pPr>
            <w:r>
              <w:rPr>
                <w:rFonts w:cs="Arial"/>
                <w:sz w:val="18"/>
              </w:rPr>
              <w:t>"</w:t>
            </w:r>
            <w:r>
              <w:rPr>
                <w:rFonts w:cs="Arial"/>
                <w:b/>
                <w:sz w:val="18"/>
              </w:rPr>
              <w:t>Mean variety description</w:t>
            </w:r>
            <w:r>
              <w:rPr>
                <w:rFonts w:cs="Arial"/>
                <w:sz w:val="18"/>
              </w:rPr>
              <w:t xml:space="preserve">" </w:t>
            </w:r>
          </w:p>
          <w:p w14:paraId="1D57B592" w14:textId="77777777" w:rsidR="001727E3" w:rsidRDefault="001727E3" w:rsidP="003B339A">
            <w:pPr>
              <w:spacing w:before="120"/>
              <w:jc w:val="center"/>
              <w:rPr>
                <w:rFonts w:cs="Arial"/>
                <w:sz w:val="18"/>
              </w:rPr>
            </w:pPr>
            <w:r>
              <w:rPr>
                <w:rFonts w:cs="Arial"/>
                <w:sz w:val="18"/>
              </w:rPr>
              <w:t xml:space="preserve">If varieties are assessed in several </w:t>
            </w:r>
            <w:proofErr w:type="gramStart"/>
            <w:r>
              <w:rPr>
                <w:rFonts w:cs="Arial"/>
                <w:sz w:val="18"/>
              </w:rPr>
              <w:t>trials/years/locations</w:t>
            </w:r>
            <w:proofErr w:type="gramEnd"/>
            <w:r>
              <w:rPr>
                <w:rFonts w:cs="Arial"/>
                <w:sz w:val="18"/>
              </w:rPr>
              <w:t xml:space="preserve"> mean descriptions can be established.</w:t>
            </w:r>
          </w:p>
        </w:tc>
        <w:tc>
          <w:tcPr>
            <w:tcW w:w="2867" w:type="dxa"/>
            <w:tcBorders>
              <w:top w:val="nil"/>
              <w:left w:val="single" w:sz="4" w:space="0" w:color="auto"/>
              <w:bottom w:val="single" w:sz="4" w:space="0" w:color="auto"/>
              <w:right w:val="single" w:sz="4" w:space="0" w:color="auto"/>
            </w:tcBorders>
          </w:tcPr>
          <w:p w14:paraId="48DD5943" w14:textId="77777777" w:rsidR="001727E3" w:rsidRDefault="001727E3" w:rsidP="003B339A">
            <w:pPr>
              <w:spacing w:before="240"/>
              <w:rPr>
                <w:rFonts w:cs="Arial"/>
                <w:sz w:val="18"/>
              </w:rPr>
            </w:pPr>
          </w:p>
          <w:p w14:paraId="6EB63428" w14:textId="77777777" w:rsidR="001727E3" w:rsidRDefault="001727E3" w:rsidP="003B339A">
            <w:pPr>
              <w:spacing w:before="240"/>
              <w:rPr>
                <w:rFonts w:cs="Arial"/>
                <w:sz w:val="18"/>
              </w:rPr>
            </w:pPr>
            <w:r>
              <w:rPr>
                <w:rFonts w:cs="Arial"/>
                <w:sz w:val="18"/>
              </w:rPr>
              <w:t>Basis for management of variety collection</w:t>
            </w:r>
          </w:p>
        </w:tc>
      </w:tr>
    </w:tbl>
    <w:p w14:paraId="7E02B163" w14:textId="77777777" w:rsidR="001727E3" w:rsidRDefault="001727E3" w:rsidP="001727E3">
      <w:pPr>
        <w:rPr>
          <w:rFonts w:cs="Arial"/>
          <w:sz w:val="18"/>
        </w:rPr>
      </w:pPr>
    </w:p>
    <w:p w14:paraId="485C2BC9" w14:textId="77777777" w:rsidR="001727E3" w:rsidRDefault="001727E3" w:rsidP="001727E3">
      <w:pPr>
        <w:ind w:left="567" w:right="567"/>
        <w:rPr>
          <w:rFonts w:cs="Arial"/>
          <w:sz w:val="18"/>
        </w:rPr>
      </w:pPr>
      <w:r>
        <w:rPr>
          <w:rFonts w:cs="Arial"/>
          <w:sz w:val="18"/>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w:t>
      </w:r>
      <w:proofErr w:type="gramStart"/>
      <w:r>
        <w:rPr>
          <w:rFonts w:cs="Arial"/>
          <w:sz w:val="18"/>
        </w:rPr>
        <w:t>can be improved</w:t>
      </w:r>
      <w:proofErr w:type="gramEnd"/>
      <w:r>
        <w:rPr>
          <w:rFonts w:cs="Arial"/>
          <w:sz w:val="18"/>
        </w:rPr>
        <w:t xml:space="preserve"> by calculating a mean description over several growing cycles.  In particular, the mean description over several growing cycles at the same location can provide a representative description related to the location.  The calculation of a mean description over different locations </w:t>
      </w:r>
      <w:proofErr w:type="gramStart"/>
      <w:r>
        <w:rPr>
          <w:rFonts w:cs="Arial"/>
          <w:sz w:val="18"/>
        </w:rPr>
        <w:t>should only be considered</w:t>
      </w:r>
      <w:proofErr w:type="gramEnd"/>
      <w:r>
        <w:rPr>
          <w:rFonts w:cs="Arial"/>
          <w:sz w:val="18"/>
        </w:rPr>
        <w:t xml:space="preserve"> if the effects of the locations are very well known and variety x location interactions can be excluded for all characteristics.  The calculation of mean descriptions over locations should be restricted to the cases where these conditions </w:t>
      </w:r>
      <w:proofErr w:type="gramStart"/>
      <w:r>
        <w:rPr>
          <w:rFonts w:cs="Arial"/>
          <w:sz w:val="18"/>
        </w:rPr>
        <w:t>are fulfilled</w:t>
      </w:r>
      <w:proofErr w:type="gramEnd"/>
      <w:r>
        <w:rPr>
          <w:rFonts w:cs="Arial"/>
          <w:sz w:val="18"/>
        </w:rPr>
        <w:t>.</w:t>
      </w:r>
    </w:p>
    <w:p w14:paraId="13088B93" w14:textId="77777777" w:rsidR="001727E3" w:rsidRDefault="001727E3" w:rsidP="001727E3">
      <w:pPr>
        <w:ind w:left="567" w:right="567"/>
        <w:rPr>
          <w:rFonts w:cs="Arial"/>
          <w:sz w:val="18"/>
        </w:rPr>
      </w:pPr>
    </w:p>
    <w:p w14:paraId="49DF39CE" w14:textId="77777777" w:rsidR="001727E3" w:rsidRDefault="001727E3" w:rsidP="001727E3">
      <w:pPr>
        <w:keepLines/>
        <w:ind w:left="567" w:right="567"/>
        <w:rPr>
          <w:rFonts w:cs="Arial"/>
          <w:sz w:val="18"/>
        </w:rPr>
      </w:pPr>
      <w:r>
        <w:rPr>
          <w:rFonts w:cs="Arial"/>
          <w:sz w:val="18"/>
        </w:rPr>
        <w:t xml:space="preserve">“If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w:t>
      </w:r>
      <w:proofErr w:type="gramStart"/>
      <w:r>
        <w:rPr>
          <w:rFonts w:cs="Arial"/>
          <w:sz w:val="18"/>
        </w:rPr>
        <w:t>is influenced</w:t>
      </w:r>
      <w:proofErr w:type="gramEnd"/>
      <w:r>
        <w:rPr>
          <w:rFonts w:cs="Arial"/>
          <w:sz w:val="18"/>
        </w:rPr>
        <w:t xml:space="preserve"> by many factors, for example:</w:t>
      </w:r>
    </w:p>
    <w:p w14:paraId="13B95E8B" w14:textId="77777777" w:rsidR="001727E3" w:rsidRDefault="001727E3" w:rsidP="001727E3">
      <w:pPr>
        <w:ind w:left="567" w:right="567"/>
        <w:rPr>
          <w:rFonts w:cs="Arial"/>
          <w:sz w:val="18"/>
        </w:rPr>
      </w:pPr>
    </w:p>
    <w:p w14:paraId="496CB1A5" w14:textId="77777777" w:rsidR="001727E3" w:rsidRDefault="001727E3" w:rsidP="001727E3">
      <w:pPr>
        <w:numPr>
          <w:ilvl w:val="0"/>
          <w:numId w:val="6"/>
        </w:numPr>
        <w:ind w:left="567" w:right="567"/>
        <w:rPr>
          <w:rFonts w:cs="Arial"/>
          <w:sz w:val="18"/>
        </w:rPr>
      </w:pPr>
      <w:r>
        <w:rPr>
          <w:rFonts w:cs="Arial"/>
          <w:sz w:val="18"/>
        </w:rPr>
        <w:t>Description based on a single year or a mean over several years?</w:t>
      </w:r>
    </w:p>
    <w:p w14:paraId="69E7D4CA" w14:textId="77777777" w:rsidR="001727E3" w:rsidRDefault="001727E3" w:rsidP="001727E3">
      <w:pPr>
        <w:numPr>
          <w:ilvl w:val="0"/>
          <w:numId w:val="6"/>
        </w:numPr>
        <w:ind w:left="567" w:right="567"/>
        <w:rPr>
          <w:rFonts w:cs="Arial"/>
          <w:sz w:val="18"/>
        </w:rPr>
      </w:pPr>
      <w:r>
        <w:rPr>
          <w:rFonts w:cs="Arial"/>
          <w:sz w:val="18"/>
        </w:rPr>
        <w:t>Description based on the same location or different locations?</w:t>
      </w:r>
    </w:p>
    <w:p w14:paraId="7DDB3F04" w14:textId="77777777" w:rsidR="001727E3" w:rsidRDefault="001727E3" w:rsidP="001727E3">
      <w:pPr>
        <w:numPr>
          <w:ilvl w:val="0"/>
          <w:numId w:val="6"/>
        </w:numPr>
        <w:ind w:left="567" w:right="567"/>
        <w:rPr>
          <w:rFonts w:cs="Arial"/>
          <w:sz w:val="18"/>
        </w:rPr>
      </w:pPr>
      <w:proofErr w:type="gramStart"/>
      <w:r>
        <w:rPr>
          <w:rFonts w:cs="Arial"/>
          <w:sz w:val="18"/>
        </w:rPr>
        <w:t>Are the effects of the different location known</w:t>
      </w:r>
      <w:proofErr w:type="gramEnd"/>
      <w:r>
        <w:rPr>
          <w:rFonts w:cs="Arial"/>
          <w:sz w:val="18"/>
        </w:rPr>
        <w:t>?</w:t>
      </w:r>
    </w:p>
    <w:p w14:paraId="5F0D8366" w14:textId="77777777" w:rsidR="001727E3" w:rsidRDefault="001727E3" w:rsidP="001727E3">
      <w:pPr>
        <w:numPr>
          <w:ilvl w:val="0"/>
          <w:numId w:val="6"/>
        </w:numPr>
        <w:ind w:left="567" w:right="567"/>
        <w:rPr>
          <w:rFonts w:cs="Arial"/>
          <w:sz w:val="18"/>
        </w:rPr>
      </w:pPr>
      <w:r>
        <w:rPr>
          <w:rFonts w:cs="Arial"/>
          <w:sz w:val="18"/>
        </w:rPr>
        <w:t xml:space="preserve">Varieties described in relation to the same variety collection or a variety </w:t>
      </w:r>
      <w:proofErr w:type="gramStart"/>
      <w:r>
        <w:rPr>
          <w:rFonts w:cs="Arial"/>
          <w:sz w:val="18"/>
        </w:rPr>
        <w:t>collection which</w:t>
      </w:r>
      <w:proofErr w:type="gramEnd"/>
      <w:r>
        <w:rPr>
          <w:rFonts w:cs="Arial"/>
          <w:sz w:val="18"/>
        </w:rPr>
        <w:t xml:space="preserve"> might cover a different range of variation?</w:t>
      </w:r>
    </w:p>
    <w:p w14:paraId="2476BF24" w14:textId="77777777" w:rsidR="001727E3" w:rsidRDefault="001727E3" w:rsidP="001727E3">
      <w:pPr>
        <w:ind w:left="567" w:right="567"/>
        <w:rPr>
          <w:rFonts w:cs="Arial"/>
          <w:sz w:val="18"/>
        </w:rPr>
      </w:pPr>
    </w:p>
    <w:p w14:paraId="7A8F8ECF" w14:textId="77777777" w:rsidR="001727E3" w:rsidRDefault="001727E3" w:rsidP="001727E3">
      <w:pPr>
        <w:ind w:left="567" w:right="567"/>
        <w:rPr>
          <w:rFonts w:cs="Arial"/>
          <w:sz w:val="18"/>
        </w:rPr>
      </w:pPr>
      <w:r>
        <w:rPr>
          <w:rFonts w:cs="Arial"/>
          <w:sz w:val="18"/>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14:paraId="70668705" w14:textId="77777777" w:rsidR="001727E3" w:rsidRDefault="001727E3" w:rsidP="001727E3">
      <w:pPr>
        <w:ind w:left="567" w:right="567"/>
        <w:rPr>
          <w:rFonts w:cs="Arial"/>
          <w:sz w:val="18"/>
        </w:rPr>
      </w:pPr>
    </w:p>
    <w:p w14:paraId="2856B358" w14:textId="77777777" w:rsidR="001727E3" w:rsidRDefault="001727E3" w:rsidP="001727E3">
      <w:pPr>
        <w:ind w:left="567" w:right="567"/>
        <w:rPr>
          <w:rFonts w:cs="Arial"/>
          <w:sz w:val="18"/>
        </w:rPr>
      </w:pPr>
    </w:p>
    <w:p w14:paraId="212AF96F" w14:textId="77777777" w:rsidR="001727E3" w:rsidRDefault="001727E3" w:rsidP="001727E3">
      <w:pPr>
        <w:ind w:left="567" w:right="567"/>
        <w:rPr>
          <w:rFonts w:cs="Arial"/>
          <w:sz w:val="18"/>
        </w:rPr>
      </w:pPr>
    </w:p>
    <w:p w14:paraId="08AFCF39" w14:textId="77777777" w:rsidR="001727E3" w:rsidRDefault="001727E3" w:rsidP="001727E3">
      <w:pPr>
        <w:jc w:val="right"/>
      </w:pPr>
      <w:r w:rsidRPr="004F5CE1">
        <w:t>[Annex II</w:t>
      </w:r>
      <w:r>
        <w:t>I</w:t>
      </w:r>
      <w:r w:rsidRPr="004F5CE1">
        <w:t xml:space="preserve"> follows]</w:t>
      </w:r>
    </w:p>
    <w:p w14:paraId="5BAD8483" w14:textId="77777777" w:rsidR="001727E3" w:rsidRDefault="001727E3" w:rsidP="001727E3">
      <w:pPr>
        <w:jc w:val="right"/>
        <w:sectPr w:rsidR="001727E3" w:rsidSect="0004198B">
          <w:headerReference w:type="default" r:id="rId16"/>
          <w:headerReference w:type="first" r:id="rId17"/>
          <w:pgSz w:w="11907" w:h="16840" w:code="9"/>
          <w:pgMar w:top="510" w:right="1134" w:bottom="1134" w:left="1134" w:header="510" w:footer="680" w:gutter="0"/>
          <w:pgNumType w:start="1"/>
          <w:cols w:space="720"/>
          <w:titlePg/>
        </w:sectPr>
      </w:pPr>
    </w:p>
    <w:p w14:paraId="2AC18862" w14:textId="77777777" w:rsidR="001727E3" w:rsidRDefault="001727E3" w:rsidP="001727E3">
      <w:pPr>
        <w:jc w:val="right"/>
      </w:pPr>
    </w:p>
    <w:p w14:paraId="5D99D591" w14:textId="77777777" w:rsidR="00B82398" w:rsidRDefault="001727E3" w:rsidP="001727E3">
      <w:pPr>
        <w:jc w:val="center"/>
      </w:pPr>
      <w:r>
        <w:t>TC/58/4</w:t>
      </w:r>
    </w:p>
    <w:p w14:paraId="71A2FDD4" w14:textId="77777777" w:rsidR="001727E3" w:rsidRDefault="001727E3" w:rsidP="001727E3">
      <w:pPr>
        <w:jc w:val="center"/>
      </w:pPr>
    </w:p>
    <w:p w14:paraId="14F0AC46" w14:textId="77777777" w:rsidR="001727E3" w:rsidRDefault="001727E3" w:rsidP="001727E3">
      <w:pPr>
        <w:jc w:val="center"/>
      </w:pPr>
      <w:r>
        <w:t>ANNEX III</w:t>
      </w:r>
    </w:p>
    <w:p w14:paraId="700DAF73" w14:textId="77777777" w:rsidR="00B82398" w:rsidRDefault="00B82398" w:rsidP="005566D0"/>
    <w:p w14:paraId="5810CD8E" w14:textId="77777777" w:rsidR="00B82398" w:rsidRDefault="00B82398" w:rsidP="005566D0"/>
    <w:p w14:paraId="17AAA751" w14:textId="77777777" w:rsidR="001727E3" w:rsidRDefault="001727E3" w:rsidP="001727E3">
      <w:pPr>
        <w:rPr>
          <w:u w:val="single"/>
        </w:rPr>
      </w:pPr>
      <w:r>
        <w:rPr>
          <w:u w:val="single"/>
        </w:rPr>
        <w:t xml:space="preserve">Document TGP/12:  Guidance on certain physiological characteristics (Revision) </w:t>
      </w:r>
    </w:p>
    <w:p w14:paraId="08E18307" w14:textId="77777777" w:rsidR="001727E3" w:rsidRDefault="001727E3" w:rsidP="001727E3">
      <w:pPr>
        <w:rPr>
          <w:u w:val="single"/>
        </w:rPr>
      </w:pPr>
    </w:p>
    <w:p w14:paraId="4E6C6AA6" w14:textId="77777777" w:rsidR="001727E3" w:rsidRDefault="001727E3" w:rsidP="001727E3"/>
    <w:p w14:paraId="30444A9B" w14:textId="77777777" w:rsidR="001727E3" w:rsidRDefault="001727E3" w:rsidP="001727E3">
      <w:pPr>
        <w:rPr>
          <w:snapToGrid w:val="0"/>
        </w:rPr>
      </w:pPr>
      <w:r>
        <w:t xml:space="preserve">The TC, at its fifty-seventh session, </w:t>
      </w:r>
      <w:r w:rsidRPr="00C61CCC">
        <w:t>held via electronic means on October 25 and 26, 2021</w:t>
      </w:r>
      <w:r>
        <w:t xml:space="preserve">, agreed to amend document TGP/12/2, Section 2.3.2, </w:t>
      </w:r>
      <w:r>
        <w:rPr>
          <w:snapToGrid w:val="0"/>
        </w:rPr>
        <w:t>to replace state of expression “moderately resistant” by “intermediate”’ in the example of disease resistance characteristic with ‘1-3’ scale, to read as follows (see document TC/57/25 “Report”, paragraphs 44 and 45):</w:t>
      </w:r>
    </w:p>
    <w:p w14:paraId="46EEF027" w14:textId="77777777" w:rsidR="001727E3" w:rsidRDefault="001727E3" w:rsidP="001727E3">
      <w:pPr>
        <w:rPr>
          <w:snapToGrid w:val="0"/>
        </w:rPr>
      </w:pPr>
    </w:p>
    <w:p w14:paraId="577FEBD2" w14:textId="77777777" w:rsidR="001727E3" w:rsidRDefault="001727E3" w:rsidP="001727E3">
      <w:pPr>
        <w:keepNext/>
        <w:keepLines/>
        <w:ind w:left="567"/>
        <w:jc w:val="left"/>
      </w:pPr>
      <w:r>
        <w:rPr>
          <w:u w:val="single"/>
        </w:rPr>
        <w:t>Example with “1–3” scale</w:t>
      </w:r>
      <w:r>
        <w:t>:</w:t>
      </w:r>
      <w:r>
        <w:tab/>
        <w:t xml:space="preserve">Resistance to </w:t>
      </w:r>
      <w:proofErr w:type="spellStart"/>
      <w:r>
        <w:rPr>
          <w:i/>
          <w:iCs/>
        </w:rPr>
        <w:t>Sphaerotheca</w:t>
      </w:r>
      <w:proofErr w:type="spellEnd"/>
      <w:r>
        <w:rPr>
          <w:i/>
          <w:iCs/>
        </w:rPr>
        <w:t xml:space="preserve"> </w:t>
      </w:r>
      <w:proofErr w:type="spellStart"/>
      <w:r>
        <w:rPr>
          <w:i/>
          <w:iCs/>
        </w:rPr>
        <w:t>fuliginea</w:t>
      </w:r>
      <w:proofErr w:type="spellEnd"/>
      <w:r>
        <w:t xml:space="preserve"> (</w:t>
      </w:r>
      <w:proofErr w:type="spellStart"/>
      <w:r>
        <w:rPr>
          <w:i/>
          <w:iCs/>
        </w:rPr>
        <w:t>Podosphaera</w:t>
      </w:r>
      <w:proofErr w:type="spellEnd"/>
      <w:r>
        <w:rPr>
          <w:i/>
          <w:iCs/>
        </w:rPr>
        <w:t xml:space="preserve"> </w:t>
      </w:r>
      <w:proofErr w:type="spellStart"/>
      <w:r>
        <w:rPr>
          <w:i/>
          <w:iCs/>
        </w:rPr>
        <w:t>xanthii</w:t>
      </w:r>
      <w:proofErr w:type="spellEnd"/>
      <w:r>
        <w:t>) (Powdery mildew) in Melon (UPOV Test Guidelines:  TG/104/5)</w:t>
      </w:r>
    </w:p>
    <w:p w14:paraId="6186C774" w14:textId="77777777" w:rsidR="001727E3" w:rsidRDefault="001727E3" w:rsidP="001727E3">
      <w:pPr>
        <w:keepNext/>
        <w:keepLines/>
        <w:rPr>
          <w:sz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1727E3" w14:paraId="58D081EE" w14:textId="77777777" w:rsidTr="003B339A">
        <w:trPr>
          <w:cantSplit/>
          <w:tblHeader/>
          <w:jc w:val="center"/>
        </w:trPr>
        <w:tc>
          <w:tcPr>
            <w:tcW w:w="578" w:type="dxa"/>
            <w:tcBorders>
              <w:top w:val="single" w:sz="6" w:space="0" w:color="auto"/>
              <w:left w:val="nil"/>
              <w:bottom w:val="single" w:sz="4" w:space="0" w:color="auto"/>
              <w:right w:val="nil"/>
            </w:tcBorders>
            <w:vAlign w:val="center"/>
          </w:tcPr>
          <w:p w14:paraId="0A9EAA20" w14:textId="77777777" w:rsidR="001727E3" w:rsidRDefault="001727E3" w:rsidP="003B339A">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14:paraId="03F14035" w14:textId="77777777" w:rsidR="001727E3" w:rsidRDefault="001727E3" w:rsidP="003B339A">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hideMark/>
          </w:tcPr>
          <w:p w14:paraId="5938D5AB" w14:textId="77777777" w:rsidR="001727E3" w:rsidRDefault="001727E3" w:rsidP="003B339A">
            <w:pPr>
              <w:keepNext/>
              <w:keepLines/>
              <w:spacing w:before="120" w:after="120"/>
              <w:jc w:val="left"/>
              <w:rPr>
                <w:sz w:val="16"/>
              </w:rPr>
            </w:pPr>
            <w:r>
              <w:rPr>
                <w:sz w:val="16"/>
              </w:rPr>
              <w:t>English</w:t>
            </w:r>
          </w:p>
        </w:tc>
        <w:tc>
          <w:tcPr>
            <w:tcW w:w="1734" w:type="dxa"/>
            <w:tcBorders>
              <w:top w:val="single" w:sz="6" w:space="0" w:color="auto"/>
              <w:left w:val="nil"/>
              <w:bottom w:val="single" w:sz="4" w:space="0" w:color="auto"/>
              <w:right w:val="nil"/>
            </w:tcBorders>
            <w:vAlign w:val="center"/>
          </w:tcPr>
          <w:p w14:paraId="7469E599" w14:textId="77777777" w:rsidR="001727E3" w:rsidRDefault="001727E3" w:rsidP="003B339A">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14:paraId="1D9A0EAD" w14:textId="77777777" w:rsidR="001727E3" w:rsidRDefault="001727E3" w:rsidP="003B339A">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hideMark/>
          </w:tcPr>
          <w:p w14:paraId="3A31D27F" w14:textId="77777777" w:rsidR="001727E3" w:rsidRDefault="001727E3" w:rsidP="003B339A">
            <w:pPr>
              <w:keepNext/>
              <w:keepLines/>
              <w:spacing w:before="120" w:after="120"/>
              <w:jc w:val="left"/>
              <w:rPr>
                <w:sz w:val="16"/>
              </w:rPr>
            </w:pPr>
            <w:r>
              <w:rPr>
                <w:sz w:val="16"/>
              </w:rPr>
              <w:t>Example Varieties</w:t>
            </w:r>
          </w:p>
        </w:tc>
        <w:tc>
          <w:tcPr>
            <w:tcW w:w="567" w:type="dxa"/>
            <w:tcBorders>
              <w:top w:val="single" w:sz="6" w:space="0" w:color="auto"/>
              <w:left w:val="nil"/>
              <w:bottom w:val="single" w:sz="4" w:space="0" w:color="auto"/>
              <w:right w:val="nil"/>
            </w:tcBorders>
            <w:vAlign w:val="center"/>
            <w:hideMark/>
          </w:tcPr>
          <w:p w14:paraId="24652F33" w14:textId="77777777" w:rsidR="001727E3" w:rsidRDefault="001727E3" w:rsidP="003B339A">
            <w:pPr>
              <w:keepNext/>
              <w:keepLines/>
              <w:spacing w:before="120" w:after="120"/>
              <w:jc w:val="left"/>
              <w:rPr>
                <w:sz w:val="16"/>
              </w:rPr>
            </w:pPr>
            <w:r>
              <w:rPr>
                <w:sz w:val="16"/>
              </w:rPr>
              <w:t>Note</w:t>
            </w:r>
          </w:p>
        </w:tc>
      </w:tr>
      <w:tr w:rsidR="001727E3" w14:paraId="14CA9631" w14:textId="77777777" w:rsidTr="003B339A">
        <w:trPr>
          <w:cantSplit/>
          <w:jc w:val="center"/>
        </w:trPr>
        <w:tc>
          <w:tcPr>
            <w:tcW w:w="578" w:type="dxa"/>
            <w:tcBorders>
              <w:top w:val="single" w:sz="4" w:space="0" w:color="auto"/>
              <w:left w:val="nil"/>
              <w:bottom w:val="nil"/>
              <w:right w:val="nil"/>
            </w:tcBorders>
            <w:hideMark/>
          </w:tcPr>
          <w:p w14:paraId="52156F76" w14:textId="77777777" w:rsidR="001727E3" w:rsidRDefault="001727E3" w:rsidP="003B339A">
            <w:pPr>
              <w:keepNext/>
              <w:keepLines/>
              <w:spacing w:before="120" w:after="120"/>
              <w:jc w:val="left"/>
              <w:rPr>
                <w:b/>
                <w:bCs/>
                <w:sz w:val="16"/>
              </w:rPr>
            </w:pPr>
            <w:r>
              <w:rPr>
                <w:b/>
                <w:bCs/>
                <w:sz w:val="16"/>
              </w:rPr>
              <w:t>70.</w:t>
            </w:r>
            <w:r>
              <w:rPr>
                <w:b/>
                <w:bCs/>
                <w:sz w:val="16"/>
              </w:rPr>
              <w:br/>
            </w:r>
            <w:r>
              <w:rPr>
                <w:b/>
                <w:bCs/>
                <w:sz w:val="16"/>
              </w:rPr>
              <w:br/>
              <w:t>(+)</w:t>
            </w:r>
          </w:p>
        </w:tc>
        <w:tc>
          <w:tcPr>
            <w:tcW w:w="425" w:type="dxa"/>
            <w:tcBorders>
              <w:top w:val="single" w:sz="4" w:space="0" w:color="auto"/>
              <w:left w:val="nil"/>
              <w:bottom w:val="nil"/>
              <w:right w:val="nil"/>
            </w:tcBorders>
            <w:hideMark/>
          </w:tcPr>
          <w:p w14:paraId="1B61E034" w14:textId="77777777" w:rsidR="001727E3" w:rsidRDefault="001727E3" w:rsidP="003B339A">
            <w:pPr>
              <w:keepNext/>
              <w:keepLines/>
              <w:spacing w:before="120" w:after="12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left w:val="nil"/>
              <w:bottom w:val="nil"/>
              <w:right w:val="nil"/>
            </w:tcBorders>
            <w:hideMark/>
          </w:tcPr>
          <w:p w14:paraId="14E2F8AB" w14:textId="77777777" w:rsidR="001727E3" w:rsidRDefault="001727E3" w:rsidP="003B339A">
            <w:pPr>
              <w:keepNext/>
              <w:keepLines/>
              <w:spacing w:before="120" w:after="120"/>
              <w:jc w:val="left"/>
              <w:rPr>
                <w:b/>
                <w:bCs/>
                <w:sz w:val="16"/>
              </w:rPr>
            </w:pPr>
            <w:r>
              <w:rPr>
                <w:b/>
                <w:bCs/>
                <w:sz w:val="16"/>
              </w:rPr>
              <w:t xml:space="preserve">Resistance to </w:t>
            </w:r>
            <w:proofErr w:type="spellStart"/>
            <w:r>
              <w:rPr>
                <w:b/>
                <w:bCs/>
                <w:sz w:val="16"/>
              </w:rPr>
              <w:t>Sphaerotheca</w:t>
            </w:r>
            <w:proofErr w:type="spellEnd"/>
            <w:r>
              <w:rPr>
                <w:b/>
                <w:bCs/>
                <w:sz w:val="16"/>
              </w:rPr>
              <w:t xml:space="preserve"> </w:t>
            </w:r>
            <w:proofErr w:type="spellStart"/>
            <w:r>
              <w:rPr>
                <w:b/>
                <w:bCs/>
                <w:sz w:val="16"/>
              </w:rPr>
              <w:t>fuliginea</w:t>
            </w:r>
            <w:proofErr w:type="spellEnd"/>
            <w:r>
              <w:rPr>
                <w:b/>
                <w:bCs/>
                <w:sz w:val="16"/>
              </w:rPr>
              <w:t xml:space="preserve"> (</w:t>
            </w:r>
            <w:proofErr w:type="spellStart"/>
            <w:r>
              <w:rPr>
                <w:b/>
                <w:bCs/>
                <w:snapToGrid w:val="0"/>
                <w:sz w:val="16"/>
              </w:rPr>
              <w:t>Podosphaera</w:t>
            </w:r>
            <w:proofErr w:type="spellEnd"/>
            <w:r>
              <w:rPr>
                <w:b/>
                <w:bCs/>
                <w:snapToGrid w:val="0"/>
                <w:sz w:val="16"/>
              </w:rPr>
              <w:t xml:space="preserve"> </w:t>
            </w:r>
            <w:proofErr w:type="spellStart"/>
            <w:r>
              <w:rPr>
                <w:b/>
                <w:bCs/>
                <w:snapToGrid w:val="0"/>
                <w:sz w:val="16"/>
              </w:rPr>
              <w:t>xanthii</w:t>
            </w:r>
            <w:proofErr w:type="spellEnd"/>
            <w:r>
              <w:rPr>
                <w:b/>
                <w:bCs/>
                <w:snapToGrid w:val="0"/>
                <w:sz w:val="16"/>
              </w:rPr>
              <w:t>)</w:t>
            </w:r>
            <w:r>
              <w:rPr>
                <w:b/>
                <w:bCs/>
                <w:sz w:val="16"/>
              </w:rPr>
              <w:t xml:space="preserve"> </w:t>
            </w:r>
            <w:r>
              <w:rPr>
                <w:b/>
                <w:bCs/>
                <w:sz w:val="16"/>
              </w:rPr>
              <w:br/>
              <w:t>(Powdery mildew)</w:t>
            </w:r>
          </w:p>
        </w:tc>
        <w:tc>
          <w:tcPr>
            <w:tcW w:w="1734" w:type="dxa"/>
            <w:tcBorders>
              <w:top w:val="single" w:sz="4" w:space="0" w:color="auto"/>
              <w:left w:val="nil"/>
              <w:bottom w:val="nil"/>
              <w:right w:val="nil"/>
            </w:tcBorders>
          </w:tcPr>
          <w:p w14:paraId="626A806D" w14:textId="77777777" w:rsidR="001727E3" w:rsidRDefault="001727E3" w:rsidP="003B339A">
            <w:pPr>
              <w:keepNext/>
              <w:keepLines/>
              <w:spacing w:before="120" w:after="120"/>
              <w:jc w:val="left"/>
              <w:rPr>
                <w:b/>
                <w:bCs/>
                <w:sz w:val="16"/>
              </w:rPr>
            </w:pPr>
          </w:p>
        </w:tc>
        <w:tc>
          <w:tcPr>
            <w:tcW w:w="1734" w:type="dxa"/>
            <w:tcBorders>
              <w:top w:val="single" w:sz="4" w:space="0" w:color="auto"/>
              <w:left w:val="nil"/>
              <w:bottom w:val="nil"/>
              <w:right w:val="nil"/>
            </w:tcBorders>
          </w:tcPr>
          <w:p w14:paraId="2ACDBA4E" w14:textId="77777777" w:rsidR="001727E3" w:rsidRDefault="001727E3" w:rsidP="003B339A">
            <w:pPr>
              <w:keepNext/>
              <w:keepLines/>
              <w:spacing w:before="120" w:after="120"/>
              <w:jc w:val="left"/>
              <w:rPr>
                <w:b/>
                <w:bCs/>
                <w:sz w:val="16"/>
              </w:rPr>
            </w:pPr>
          </w:p>
        </w:tc>
        <w:tc>
          <w:tcPr>
            <w:tcW w:w="851" w:type="dxa"/>
            <w:tcBorders>
              <w:top w:val="single" w:sz="4" w:space="0" w:color="auto"/>
              <w:left w:val="nil"/>
              <w:bottom w:val="nil"/>
              <w:right w:val="nil"/>
            </w:tcBorders>
          </w:tcPr>
          <w:p w14:paraId="3170FA9C" w14:textId="77777777" w:rsidR="001727E3" w:rsidRDefault="001727E3" w:rsidP="003B339A">
            <w:pPr>
              <w:keepNext/>
              <w:keepLines/>
              <w:spacing w:before="120" w:after="120"/>
              <w:jc w:val="left"/>
              <w:rPr>
                <w:b/>
                <w:bCs/>
                <w:sz w:val="16"/>
              </w:rPr>
            </w:pPr>
          </w:p>
        </w:tc>
        <w:tc>
          <w:tcPr>
            <w:tcW w:w="567" w:type="dxa"/>
            <w:tcBorders>
              <w:top w:val="single" w:sz="4" w:space="0" w:color="auto"/>
              <w:left w:val="nil"/>
              <w:bottom w:val="nil"/>
              <w:right w:val="nil"/>
            </w:tcBorders>
          </w:tcPr>
          <w:p w14:paraId="564AF5F5" w14:textId="77777777" w:rsidR="001727E3" w:rsidRDefault="001727E3" w:rsidP="003B339A">
            <w:pPr>
              <w:keepNext/>
              <w:keepLines/>
              <w:spacing w:before="120" w:after="120"/>
              <w:jc w:val="left"/>
              <w:rPr>
                <w:b/>
                <w:bCs/>
                <w:sz w:val="16"/>
              </w:rPr>
            </w:pPr>
          </w:p>
        </w:tc>
      </w:tr>
      <w:tr w:rsidR="001727E3" w14:paraId="511545D7" w14:textId="77777777" w:rsidTr="003B339A">
        <w:trPr>
          <w:cantSplit/>
          <w:jc w:val="center"/>
        </w:trPr>
        <w:tc>
          <w:tcPr>
            <w:tcW w:w="578" w:type="dxa"/>
            <w:tcBorders>
              <w:top w:val="nil"/>
              <w:left w:val="nil"/>
              <w:bottom w:val="nil"/>
              <w:right w:val="nil"/>
            </w:tcBorders>
            <w:hideMark/>
          </w:tcPr>
          <w:p w14:paraId="3AF095A4" w14:textId="77777777" w:rsidR="001727E3" w:rsidRDefault="001727E3" w:rsidP="003B339A">
            <w:pPr>
              <w:keepNext/>
              <w:keepLines/>
              <w:spacing w:before="120" w:after="120"/>
              <w:jc w:val="left"/>
              <w:rPr>
                <w:b/>
                <w:sz w:val="16"/>
              </w:rPr>
            </w:pPr>
            <w:r>
              <w:rPr>
                <w:b/>
                <w:sz w:val="16"/>
              </w:rPr>
              <w:t>70.1</w:t>
            </w:r>
          </w:p>
        </w:tc>
        <w:tc>
          <w:tcPr>
            <w:tcW w:w="425" w:type="dxa"/>
            <w:tcBorders>
              <w:top w:val="nil"/>
              <w:left w:val="nil"/>
              <w:bottom w:val="nil"/>
              <w:right w:val="nil"/>
            </w:tcBorders>
          </w:tcPr>
          <w:p w14:paraId="3AA98520" w14:textId="77777777" w:rsidR="001727E3" w:rsidRDefault="001727E3" w:rsidP="003B339A">
            <w:pPr>
              <w:keepNext/>
              <w:keepLines/>
              <w:spacing w:before="120" w:after="120"/>
              <w:jc w:val="left"/>
              <w:rPr>
                <w:b/>
                <w:sz w:val="16"/>
              </w:rPr>
            </w:pPr>
          </w:p>
        </w:tc>
        <w:tc>
          <w:tcPr>
            <w:tcW w:w="1733" w:type="dxa"/>
            <w:tcBorders>
              <w:top w:val="nil"/>
              <w:left w:val="nil"/>
              <w:bottom w:val="nil"/>
              <w:right w:val="nil"/>
            </w:tcBorders>
            <w:hideMark/>
          </w:tcPr>
          <w:p w14:paraId="14650095" w14:textId="77777777" w:rsidR="001727E3" w:rsidRDefault="001727E3" w:rsidP="003B339A">
            <w:pPr>
              <w:keepNext/>
              <w:keepLines/>
              <w:spacing w:before="120" w:after="120"/>
              <w:jc w:val="left"/>
              <w:rPr>
                <w:b/>
                <w:sz w:val="16"/>
              </w:rPr>
            </w:pPr>
            <w:r>
              <w:rPr>
                <w:b/>
                <w:sz w:val="16"/>
              </w:rPr>
              <w:t>Race 1</w:t>
            </w:r>
          </w:p>
        </w:tc>
        <w:tc>
          <w:tcPr>
            <w:tcW w:w="1734" w:type="dxa"/>
            <w:tcBorders>
              <w:top w:val="nil"/>
              <w:left w:val="nil"/>
              <w:bottom w:val="nil"/>
              <w:right w:val="nil"/>
            </w:tcBorders>
          </w:tcPr>
          <w:p w14:paraId="01D41373" w14:textId="77777777" w:rsidR="001727E3" w:rsidRDefault="001727E3" w:rsidP="003B339A">
            <w:pPr>
              <w:keepNext/>
              <w:keepLines/>
              <w:spacing w:before="120" w:after="120"/>
              <w:jc w:val="left"/>
              <w:rPr>
                <w:b/>
                <w:sz w:val="16"/>
              </w:rPr>
            </w:pPr>
          </w:p>
        </w:tc>
        <w:tc>
          <w:tcPr>
            <w:tcW w:w="1734" w:type="dxa"/>
            <w:tcBorders>
              <w:top w:val="nil"/>
              <w:left w:val="nil"/>
              <w:bottom w:val="nil"/>
              <w:right w:val="nil"/>
            </w:tcBorders>
          </w:tcPr>
          <w:p w14:paraId="3FFAC28C" w14:textId="77777777" w:rsidR="001727E3" w:rsidRDefault="001727E3" w:rsidP="003B339A">
            <w:pPr>
              <w:keepNext/>
              <w:keepLines/>
              <w:spacing w:before="120" w:after="120"/>
              <w:jc w:val="left"/>
              <w:rPr>
                <w:b/>
                <w:sz w:val="16"/>
              </w:rPr>
            </w:pPr>
          </w:p>
        </w:tc>
        <w:tc>
          <w:tcPr>
            <w:tcW w:w="851" w:type="dxa"/>
            <w:tcBorders>
              <w:top w:val="nil"/>
              <w:left w:val="nil"/>
              <w:bottom w:val="nil"/>
              <w:right w:val="nil"/>
            </w:tcBorders>
          </w:tcPr>
          <w:p w14:paraId="12064F4E" w14:textId="77777777" w:rsidR="001727E3" w:rsidRDefault="001727E3" w:rsidP="003B339A">
            <w:pPr>
              <w:keepNext/>
              <w:keepLines/>
              <w:spacing w:before="120" w:after="120"/>
              <w:jc w:val="left"/>
              <w:rPr>
                <w:sz w:val="16"/>
              </w:rPr>
            </w:pPr>
          </w:p>
        </w:tc>
        <w:tc>
          <w:tcPr>
            <w:tcW w:w="567" w:type="dxa"/>
            <w:tcBorders>
              <w:top w:val="nil"/>
              <w:left w:val="nil"/>
              <w:bottom w:val="nil"/>
              <w:right w:val="nil"/>
            </w:tcBorders>
          </w:tcPr>
          <w:p w14:paraId="171D10AC" w14:textId="77777777" w:rsidR="001727E3" w:rsidRDefault="001727E3" w:rsidP="003B339A">
            <w:pPr>
              <w:keepNext/>
              <w:keepLines/>
              <w:spacing w:before="120" w:after="120"/>
              <w:jc w:val="left"/>
              <w:rPr>
                <w:sz w:val="16"/>
              </w:rPr>
            </w:pPr>
          </w:p>
        </w:tc>
      </w:tr>
      <w:tr w:rsidR="001727E3" w14:paraId="1BEAA782" w14:textId="77777777" w:rsidTr="003B339A">
        <w:trPr>
          <w:cantSplit/>
          <w:jc w:val="center"/>
        </w:trPr>
        <w:tc>
          <w:tcPr>
            <w:tcW w:w="578" w:type="dxa"/>
            <w:tcBorders>
              <w:top w:val="nil"/>
              <w:left w:val="nil"/>
              <w:bottom w:val="nil"/>
              <w:right w:val="nil"/>
            </w:tcBorders>
            <w:hideMark/>
          </w:tcPr>
          <w:p w14:paraId="38251B27" w14:textId="77777777" w:rsidR="001727E3" w:rsidRDefault="001727E3" w:rsidP="003B339A">
            <w:pPr>
              <w:keepNext/>
              <w:keepLines/>
              <w:spacing w:before="120" w:after="120"/>
              <w:jc w:val="left"/>
              <w:rPr>
                <w:sz w:val="16"/>
              </w:rPr>
            </w:pPr>
            <w:r>
              <w:rPr>
                <w:sz w:val="16"/>
              </w:rPr>
              <w:t>QN</w:t>
            </w:r>
          </w:p>
        </w:tc>
        <w:tc>
          <w:tcPr>
            <w:tcW w:w="425" w:type="dxa"/>
            <w:tcBorders>
              <w:top w:val="nil"/>
              <w:left w:val="nil"/>
              <w:bottom w:val="nil"/>
              <w:right w:val="nil"/>
            </w:tcBorders>
          </w:tcPr>
          <w:p w14:paraId="028F7D0A" w14:textId="77777777" w:rsidR="001727E3" w:rsidRDefault="001727E3" w:rsidP="003B339A">
            <w:pPr>
              <w:keepNext/>
              <w:keepLines/>
              <w:spacing w:before="120" w:after="120"/>
              <w:jc w:val="left"/>
              <w:rPr>
                <w:sz w:val="16"/>
              </w:rPr>
            </w:pPr>
          </w:p>
        </w:tc>
        <w:tc>
          <w:tcPr>
            <w:tcW w:w="1733" w:type="dxa"/>
            <w:tcBorders>
              <w:top w:val="nil"/>
              <w:left w:val="nil"/>
              <w:bottom w:val="nil"/>
              <w:right w:val="nil"/>
            </w:tcBorders>
            <w:hideMark/>
          </w:tcPr>
          <w:p w14:paraId="55BCA240" w14:textId="77777777" w:rsidR="001727E3" w:rsidRDefault="001727E3" w:rsidP="003B339A">
            <w:pPr>
              <w:keepNext/>
              <w:keepLines/>
              <w:spacing w:before="120" w:after="120"/>
              <w:jc w:val="left"/>
              <w:rPr>
                <w:sz w:val="16"/>
              </w:rPr>
            </w:pPr>
            <w:r>
              <w:rPr>
                <w:sz w:val="16"/>
              </w:rPr>
              <w:t>susceptible</w:t>
            </w:r>
          </w:p>
        </w:tc>
        <w:tc>
          <w:tcPr>
            <w:tcW w:w="1734" w:type="dxa"/>
            <w:tcBorders>
              <w:top w:val="nil"/>
              <w:left w:val="nil"/>
              <w:bottom w:val="nil"/>
              <w:right w:val="nil"/>
            </w:tcBorders>
          </w:tcPr>
          <w:p w14:paraId="40A9653E" w14:textId="77777777" w:rsidR="001727E3" w:rsidRDefault="001727E3" w:rsidP="003B339A">
            <w:pPr>
              <w:keepNext/>
              <w:keepLines/>
              <w:spacing w:before="120" w:after="120"/>
              <w:jc w:val="left"/>
              <w:rPr>
                <w:sz w:val="16"/>
              </w:rPr>
            </w:pPr>
          </w:p>
        </w:tc>
        <w:tc>
          <w:tcPr>
            <w:tcW w:w="1734" w:type="dxa"/>
            <w:tcBorders>
              <w:top w:val="nil"/>
              <w:left w:val="nil"/>
              <w:bottom w:val="nil"/>
              <w:right w:val="nil"/>
            </w:tcBorders>
          </w:tcPr>
          <w:p w14:paraId="3D9DCCE5" w14:textId="77777777" w:rsidR="001727E3" w:rsidRDefault="001727E3" w:rsidP="003B339A">
            <w:pPr>
              <w:keepNext/>
              <w:keepLines/>
              <w:spacing w:before="120" w:after="120"/>
              <w:jc w:val="left"/>
              <w:rPr>
                <w:sz w:val="16"/>
              </w:rPr>
            </w:pPr>
          </w:p>
        </w:tc>
        <w:tc>
          <w:tcPr>
            <w:tcW w:w="851" w:type="dxa"/>
            <w:tcBorders>
              <w:top w:val="nil"/>
              <w:left w:val="nil"/>
              <w:bottom w:val="nil"/>
              <w:right w:val="nil"/>
            </w:tcBorders>
            <w:hideMark/>
          </w:tcPr>
          <w:p w14:paraId="69CA5112" w14:textId="77777777" w:rsidR="001727E3" w:rsidRDefault="001727E3" w:rsidP="003B339A">
            <w:pPr>
              <w:keepNext/>
              <w:keepLines/>
              <w:spacing w:before="120" w:after="120"/>
              <w:jc w:val="left"/>
              <w:rPr>
                <w:sz w:val="16"/>
              </w:rPr>
            </w:pPr>
            <w:r>
              <w:rPr>
                <w:sz w:val="16"/>
              </w:rPr>
              <w:t>[…]</w:t>
            </w:r>
          </w:p>
        </w:tc>
        <w:tc>
          <w:tcPr>
            <w:tcW w:w="567" w:type="dxa"/>
            <w:tcBorders>
              <w:top w:val="nil"/>
              <w:left w:val="nil"/>
              <w:bottom w:val="nil"/>
              <w:right w:val="nil"/>
            </w:tcBorders>
            <w:hideMark/>
          </w:tcPr>
          <w:p w14:paraId="1194FE40" w14:textId="77777777" w:rsidR="001727E3" w:rsidRDefault="001727E3" w:rsidP="003B339A">
            <w:pPr>
              <w:keepNext/>
              <w:keepLines/>
              <w:spacing w:before="120" w:after="120"/>
              <w:jc w:val="left"/>
              <w:rPr>
                <w:sz w:val="16"/>
              </w:rPr>
            </w:pPr>
            <w:r>
              <w:rPr>
                <w:sz w:val="16"/>
              </w:rPr>
              <w:t>1</w:t>
            </w:r>
          </w:p>
        </w:tc>
      </w:tr>
      <w:tr w:rsidR="001727E3" w14:paraId="5074CB49" w14:textId="77777777" w:rsidTr="003B339A">
        <w:trPr>
          <w:cantSplit/>
          <w:jc w:val="center"/>
        </w:trPr>
        <w:tc>
          <w:tcPr>
            <w:tcW w:w="578" w:type="dxa"/>
            <w:tcBorders>
              <w:top w:val="nil"/>
              <w:left w:val="nil"/>
              <w:bottom w:val="nil"/>
              <w:right w:val="nil"/>
            </w:tcBorders>
          </w:tcPr>
          <w:p w14:paraId="1428D9EE" w14:textId="77777777" w:rsidR="001727E3" w:rsidRDefault="001727E3" w:rsidP="003B339A">
            <w:pPr>
              <w:keepNext/>
              <w:keepLines/>
              <w:spacing w:before="120" w:after="120"/>
              <w:jc w:val="left"/>
              <w:rPr>
                <w:sz w:val="16"/>
              </w:rPr>
            </w:pPr>
          </w:p>
        </w:tc>
        <w:tc>
          <w:tcPr>
            <w:tcW w:w="425" w:type="dxa"/>
            <w:tcBorders>
              <w:top w:val="nil"/>
              <w:left w:val="nil"/>
              <w:bottom w:val="nil"/>
              <w:right w:val="nil"/>
            </w:tcBorders>
          </w:tcPr>
          <w:p w14:paraId="7E3D3FAC" w14:textId="77777777" w:rsidR="001727E3" w:rsidRDefault="001727E3" w:rsidP="003B339A">
            <w:pPr>
              <w:keepNext/>
              <w:keepLines/>
              <w:spacing w:before="120" w:after="120"/>
              <w:jc w:val="left"/>
              <w:rPr>
                <w:sz w:val="16"/>
              </w:rPr>
            </w:pPr>
          </w:p>
        </w:tc>
        <w:tc>
          <w:tcPr>
            <w:tcW w:w="3467" w:type="dxa"/>
            <w:gridSpan w:val="2"/>
            <w:tcBorders>
              <w:top w:val="nil"/>
              <w:left w:val="nil"/>
              <w:bottom w:val="nil"/>
              <w:right w:val="nil"/>
            </w:tcBorders>
            <w:hideMark/>
          </w:tcPr>
          <w:p w14:paraId="0EC09CE1" w14:textId="77777777" w:rsidR="001727E3" w:rsidRDefault="001727E3" w:rsidP="003B339A">
            <w:pPr>
              <w:keepNext/>
              <w:keepLines/>
              <w:spacing w:before="120" w:after="120"/>
              <w:jc w:val="left"/>
              <w:rPr>
                <w:sz w:val="16"/>
              </w:rPr>
            </w:pPr>
            <w:r>
              <w:rPr>
                <w:strike/>
                <w:sz w:val="16"/>
                <w:highlight w:val="lightGray"/>
              </w:rPr>
              <w:t xml:space="preserve">moderately </w:t>
            </w:r>
            <w:r>
              <w:rPr>
                <w:sz w:val="16"/>
                <w:highlight w:val="lightGray"/>
                <w:u w:val="single"/>
              </w:rPr>
              <w:t>intermediate</w:t>
            </w:r>
            <w:r>
              <w:rPr>
                <w:strike/>
                <w:sz w:val="16"/>
                <w:highlight w:val="lightGray"/>
              </w:rPr>
              <w:t xml:space="preserve"> </w:t>
            </w:r>
            <w:r w:rsidRPr="00243FD3">
              <w:rPr>
                <w:sz w:val="16"/>
              </w:rPr>
              <w:t>resistant</w:t>
            </w:r>
            <w:r>
              <w:rPr>
                <w:rStyle w:val="FootnoteReference"/>
                <w:sz w:val="16"/>
              </w:rPr>
              <w:footnoteReference w:id="6"/>
            </w:r>
            <w:r>
              <w:rPr>
                <w:sz w:val="16"/>
              </w:rPr>
              <w:t xml:space="preserve"> </w:t>
            </w:r>
          </w:p>
        </w:tc>
        <w:tc>
          <w:tcPr>
            <w:tcW w:w="1734" w:type="dxa"/>
            <w:tcBorders>
              <w:top w:val="nil"/>
              <w:left w:val="nil"/>
              <w:bottom w:val="nil"/>
              <w:right w:val="nil"/>
            </w:tcBorders>
          </w:tcPr>
          <w:p w14:paraId="0E4F0CBA" w14:textId="77777777" w:rsidR="001727E3" w:rsidRDefault="001727E3" w:rsidP="003B339A">
            <w:pPr>
              <w:keepNext/>
              <w:keepLines/>
              <w:spacing w:before="120" w:after="120"/>
              <w:jc w:val="left"/>
              <w:rPr>
                <w:sz w:val="16"/>
              </w:rPr>
            </w:pPr>
          </w:p>
        </w:tc>
        <w:tc>
          <w:tcPr>
            <w:tcW w:w="851" w:type="dxa"/>
            <w:tcBorders>
              <w:top w:val="nil"/>
              <w:left w:val="nil"/>
              <w:bottom w:val="nil"/>
              <w:right w:val="nil"/>
            </w:tcBorders>
            <w:hideMark/>
          </w:tcPr>
          <w:p w14:paraId="09A7FCC3" w14:textId="77777777" w:rsidR="001727E3" w:rsidRDefault="001727E3" w:rsidP="003B339A">
            <w:pPr>
              <w:keepNext/>
              <w:keepLines/>
              <w:spacing w:before="120" w:after="120"/>
              <w:jc w:val="left"/>
              <w:rPr>
                <w:sz w:val="16"/>
              </w:rPr>
            </w:pPr>
            <w:r>
              <w:rPr>
                <w:sz w:val="16"/>
              </w:rPr>
              <w:t>[…]</w:t>
            </w:r>
          </w:p>
        </w:tc>
        <w:tc>
          <w:tcPr>
            <w:tcW w:w="567" w:type="dxa"/>
            <w:tcBorders>
              <w:top w:val="nil"/>
              <w:left w:val="nil"/>
              <w:bottom w:val="nil"/>
              <w:right w:val="nil"/>
            </w:tcBorders>
            <w:hideMark/>
          </w:tcPr>
          <w:p w14:paraId="0C98795E" w14:textId="77777777" w:rsidR="001727E3" w:rsidRDefault="001727E3" w:rsidP="003B339A">
            <w:pPr>
              <w:keepNext/>
              <w:keepLines/>
              <w:spacing w:before="120" w:after="120"/>
              <w:jc w:val="left"/>
              <w:rPr>
                <w:sz w:val="16"/>
              </w:rPr>
            </w:pPr>
            <w:r>
              <w:rPr>
                <w:sz w:val="16"/>
              </w:rPr>
              <w:t>2</w:t>
            </w:r>
          </w:p>
        </w:tc>
      </w:tr>
      <w:tr w:rsidR="001727E3" w14:paraId="43415AE2" w14:textId="77777777" w:rsidTr="003B339A">
        <w:trPr>
          <w:cantSplit/>
          <w:jc w:val="center"/>
        </w:trPr>
        <w:tc>
          <w:tcPr>
            <w:tcW w:w="578" w:type="dxa"/>
            <w:tcBorders>
              <w:top w:val="nil"/>
              <w:left w:val="nil"/>
              <w:bottom w:val="single" w:sz="4" w:space="0" w:color="auto"/>
              <w:right w:val="nil"/>
            </w:tcBorders>
          </w:tcPr>
          <w:p w14:paraId="2BA79BF1" w14:textId="77777777" w:rsidR="001727E3" w:rsidRDefault="001727E3" w:rsidP="003B339A">
            <w:pPr>
              <w:keepNext/>
              <w:keepLines/>
              <w:spacing w:before="120" w:after="120"/>
              <w:jc w:val="left"/>
              <w:rPr>
                <w:sz w:val="16"/>
              </w:rPr>
            </w:pPr>
          </w:p>
        </w:tc>
        <w:tc>
          <w:tcPr>
            <w:tcW w:w="425" w:type="dxa"/>
            <w:tcBorders>
              <w:top w:val="nil"/>
              <w:left w:val="nil"/>
              <w:bottom w:val="single" w:sz="4" w:space="0" w:color="auto"/>
              <w:right w:val="nil"/>
            </w:tcBorders>
          </w:tcPr>
          <w:p w14:paraId="58164005" w14:textId="77777777" w:rsidR="001727E3" w:rsidRDefault="001727E3" w:rsidP="003B339A">
            <w:pPr>
              <w:keepNext/>
              <w:keepLines/>
              <w:spacing w:before="120" w:after="120"/>
              <w:jc w:val="left"/>
              <w:rPr>
                <w:sz w:val="16"/>
              </w:rPr>
            </w:pPr>
          </w:p>
        </w:tc>
        <w:tc>
          <w:tcPr>
            <w:tcW w:w="1733" w:type="dxa"/>
            <w:tcBorders>
              <w:top w:val="nil"/>
              <w:left w:val="nil"/>
              <w:bottom w:val="single" w:sz="4" w:space="0" w:color="auto"/>
              <w:right w:val="nil"/>
            </w:tcBorders>
            <w:hideMark/>
          </w:tcPr>
          <w:p w14:paraId="68A2E6FE" w14:textId="77777777" w:rsidR="001727E3" w:rsidRDefault="001727E3" w:rsidP="003B339A">
            <w:pPr>
              <w:keepNext/>
              <w:keepLines/>
              <w:spacing w:before="120" w:after="120"/>
              <w:jc w:val="left"/>
              <w:rPr>
                <w:sz w:val="16"/>
              </w:rPr>
            </w:pPr>
            <w:r>
              <w:rPr>
                <w:sz w:val="16"/>
              </w:rPr>
              <w:t>highly resistant</w:t>
            </w:r>
          </w:p>
        </w:tc>
        <w:tc>
          <w:tcPr>
            <w:tcW w:w="1734" w:type="dxa"/>
            <w:tcBorders>
              <w:top w:val="nil"/>
              <w:left w:val="nil"/>
              <w:bottom w:val="single" w:sz="4" w:space="0" w:color="auto"/>
              <w:right w:val="nil"/>
            </w:tcBorders>
          </w:tcPr>
          <w:p w14:paraId="4C847CAF" w14:textId="77777777" w:rsidR="001727E3" w:rsidRDefault="001727E3" w:rsidP="003B339A">
            <w:pPr>
              <w:keepNext/>
              <w:keepLines/>
              <w:spacing w:before="120" w:after="120"/>
              <w:jc w:val="left"/>
              <w:rPr>
                <w:sz w:val="16"/>
              </w:rPr>
            </w:pPr>
          </w:p>
        </w:tc>
        <w:tc>
          <w:tcPr>
            <w:tcW w:w="1734" w:type="dxa"/>
            <w:tcBorders>
              <w:top w:val="nil"/>
              <w:left w:val="nil"/>
              <w:bottom w:val="single" w:sz="4" w:space="0" w:color="auto"/>
              <w:right w:val="nil"/>
            </w:tcBorders>
          </w:tcPr>
          <w:p w14:paraId="11B01A52" w14:textId="77777777" w:rsidR="001727E3" w:rsidRDefault="001727E3" w:rsidP="003B339A">
            <w:pPr>
              <w:keepNext/>
              <w:keepLines/>
              <w:spacing w:before="120" w:after="120"/>
              <w:jc w:val="left"/>
              <w:rPr>
                <w:sz w:val="16"/>
              </w:rPr>
            </w:pPr>
          </w:p>
        </w:tc>
        <w:tc>
          <w:tcPr>
            <w:tcW w:w="851" w:type="dxa"/>
            <w:tcBorders>
              <w:top w:val="nil"/>
              <w:left w:val="nil"/>
              <w:bottom w:val="single" w:sz="4" w:space="0" w:color="auto"/>
              <w:right w:val="nil"/>
            </w:tcBorders>
            <w:hideMark/>
          </w:tcPr>
          <w:p w14:paraId="2BEE7FFA" w14:textId="77777777" w:rsidR="001727E3" w:rsidRDefault="001727E3" w:rsidP="003B339A">
            <w:pPr>
              <w:keepNext/>
              <w:keepLines/>
              <w:spacing w:before="120" w:after="120"/>
              <w:jc w:val="left"/>
              <w:rPr>
                <w:sz w:val="16"/>
              </w:rPr>
            </w:pPr>
            <w:r>
              <w:rPr>
                <w:sz w:val="16"/>
              </w:rPr>
              <w:t>[…]</w:t>
            </w:r>
          </w:p>
        </w:tc>
        <w:tc>
          <w:tcPr>
            <w:tcW w:w="567" w:type="dxa"/>
            <w:tcBorders>
              <w:top w:val="nil"/>
              <w:left w:val="nil"/>
              <w:bottom w:val="single" w:sz="4" w:space="0" w:color="auto"/>
              <w:right w:val="nil"/>
            </w:tcBorders>
            <w:hideMark/>
          </w:tcPr>
          <w:p w14:paraId="77B05888" w14:textId="77777777" w:rsidR="001727E3" w:rsidRDefault="001727E3" w:rsidP="003B339A">
            <w:pPr>
              <w:keepNext/>
              <w:keepLines/>
              <w:spacing w:before="120" w:after="120"/>
              <w:jc w:val="left"/>
              <w:rPr>
                <w:sz w:val="16"/>
              </w:rPr>
            </w:pPr>
            <w:r>
              <w:rPr>
                <w:sz w:val="16"/>
              </w:rPr>
              <w:t>3</w:t>
            </w:r>
          </w:p>
        </w:tc>
      </w:tr>
    </w:tbl>
    <w:p w14:paraId="3D486525" w14:textId="77777777" w:rsidR="001727E3" w:rsidRDefault="001727E3" w:rsidP="001727E3">
      <w:pPr>
        <w:ind w:left="1134" w:hanging="567"/>
      </w:pPr>
    </w:p>
    <w:p w14:paraId="1D5D1C80" w14:textId="77777777" w:rsidR="003D0839" w:rsidRPr="004B1215" w:rsidRDefault="003D0839" w:rsidP="005566D0"/>
    <w:p w14:paraId="181B2F19" w14:textId="77777777" w:rsidR="00445B73" w:rsidRDefault="00445B73" w:rsidP="005566D0"/>
    <w:p w14:paraId="65EA8854" w14:textId="77777777" w:rsidR="00445B73" w:rsidRDefault="00445B73" w:rsidP="005566D0"/>
    <w:p w14:paraId="717CEBD5" w14:textId="77777777" w:rsidR="00445B73" w:rsidRPr="00C651CE" w:rsidRDefault="00445B73" w:rsidP="005566D0"/>
    <w:p w14:paraId="60704B1B" w14:textId="77777777" w:rsidR="00445B73" w:rsidRDefault="00445B73" w:rsidP="00445B73">
      <w:pPr>
        <w:jc w:val="right"/>
      </w:pPr>
      <w:r w:rsidRPr="00C5280D">
        <w:t xml:space="preserve"> [End of</w:t>
      </w:r>
      <w:r w:rsidR="001727E3">
        <w:t xml:space="preserve"> </w:t>
      </w:r>
      <w:r w:rsidR="00DA0237">
        <w:t>Annex III</w:t>
      </w:r>
      <w:r w:rsidR="001727E3">
        <w:t xml:space="preserve"> and of</w:t>
      </w:r>
      <w:r w:rsidRPr="00C5280D">
        <w:t xml:space="preserve"> document]</w:t>
      </w:r>
    </w:p>
    <w:p w14:paraId="4EFE270B" w14:textId="77777777" w:rsidR="00445B73" w:rsidRPr="00C5280D" w:rsidRDefault="00445B73" w:rsidP="00445B73">
      <w:pPr>
        <w:jc w:val="left"/>
      </w:pPr>
    </w:p>
    <w:p w14:paraId="072CC1D8" w14:textId="77777777" w:rsidR="00050E16" w:rsidRPr="00C5280D" w:rsidRDefault="00050E16" w:rsidP="009B440E">
      <w:pPr>
        <w:jc w:val="left"/>
      </w:pPr>
    </w:p>
    <w:sectPr w:rsidR="00050E16" w:rsidRPr="00C5280D"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ED61E" w14:textId="77777777" w:rsidR="007723CF" w:rsidRDefault="007723CF" w:rsidP="006655D3">
      <w:r>
        <w:separator/>
      </w:r>
    </w:p>
    <w:p w14:paraId="5B390128" w14:textId="77777777" w:rsidR="007723CF" w:rsidRDefault="007723CF" w:rsidP="006655D3"/>
    <w:p w14:paraId="34EE4794" w14:textId="77777777" w:rsidR="007723CF" w:rsidRDefault="007723CF" w:rsidP="006655D3"/>
  </w:endnote>
  <w:endnote w:type="continuationSeparator" w:id="0">
    <w:p w14:paraId="1BFB1AE6" w14:textId="77777777" w:rsidR="007723CF" w:rsidRDefault="007723CF" w:rsidP="006655D3">
      <w:r>
        <w:separator/>
      </w:r>
    </w:p>
    <w:p w14:paraId="0B439FBB" w14:textId="77777777" w:rsidR="007723CF" w:rsidRPr="00294751" w:rsidRDefault="007723CF">
      <w:pPr>
        <w:pStyle w:val="Footer"/>
        <w:spacing w:after="60"/>
        <w:rPr>
          <w:sz w:val="18"/>
          <w:lang w:val="fr-FR"/>
        </w:rPr>
      </w:pPr>
      <w:r w:rsidRPr="00294751">
        <w:rPr>
          <w:sz w:val="18"/>
          <w:lang w:val="fr-FR"/>
        </w:rPr>
        <w:t>[Suite de la note de la page précédente]</w:t>
      </w:r>
    </w:p>
    <w:p w14:paraId="3C5388EC" w14:textId="77777777" w:rsidR="007723CF" w:rsidRPr="00294751" w:rsidRDefault="007723CF" w:rsidP="006655D3">
      <w:pPr>
        <w:rPr>
          <w:lang w:val="fr-FR"/>
        </w:rPr>
      </w:pPr>
    </w:p>
    <w:p w14:paraId="6BB8A437" w14:textId="77777777" w:rsidR="007723CF" w:rsidRPr="00294751" w:rsidRDefault="007723CF" w:rsidP="006655D3">
      <w:pPr>
        <w:rPr>
          <w:lang w:val="fr-FR"/>
        </w:rPr>
      </w:pPr>
    </w:p>
  </w:endnote>
  <w:endnote w:type="continuationNotice" w:id="1">
    <w:p w14:paraId="5A540383" w14:textId="77777777" w:rsidR="007723CF" w:rsidRPr="00294751" w:rsidRDefault="007723CF" w:rsidP="006655D3">
      <w:pPr>
        <w:rPr>
          <w:lang w:val="fr-FR"/>
        </w:rPr>
      </w:pPr>
      <w:r w:rsidRPr="00294751">
        <w:rPr>
          <w:lang w:val="fr-FR"/>
        </w:rPr>
        <w:t>[Suite de la note page suivante]</w:t>
      </w:r>
    </w:p>
    <w:p w14:paraId="64179E0A" w14:textId="77777777" w:rsidR="007723CF" w:rsidRPr="00294751" w:rsidRDefault="007723CF" w:rsidP="006655D3">
      <w:pPr>
        <w:rPr>
          <w:lang w:val="fr-FR"/>
        </w:rPr>
      </w:pPr>
    </w:p>
    <w:p w14:paraId="7916E396" w14:textId="77777777" w:rsidR="007723CF" w:rsidRPr="00294751" w:rsidRDefault="007723C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8658" w14:textId="77777777" w:rsidR="00E402B0" w:rsidRDefault="00E40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4151" w14:textId="77777777" w:rsidR="00E402B0" w:rsidRDefault="00E402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A499" w14:textId="77777777" w:rsidR="00E402B0" w:rsidRDefault="00E40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50545" w14:textId="77777777" w:rsidR="007723CF" w:rsidRDefault="007723CF" w:rsidP="006655D3">
      <w:r>
        <w:separator/>
      </w:r>
    </w:p>
  </w:footnote>
  <w:footnote w:type="continuationSeparator" w:id="0">
    <w:p w14:paraId="55FE1E76" w14:textId="77777777" w:rsidR="007723CF" w:rsidRDefault="007723CF" w:rsidP="006655D3">
      <w:r>
        <w:separator/>
      </w:r>
    </w:p>
  </w:footnote>
  <w:footnote w:type="continuationNotice" w:id="1">
    <w:p w14:paraId="0342A317" w14:textId="77777777" w:rsidR="007723CF" w:rsidRPr="00AB530F" w:rsidRDefault="007723CF" w:rsidP="00AB530F">
      <w:pPr>
        <w:pStyle w:val="Footer"/>
      </w:pPr>
    </w:p>
  </w:footnote>
  <w:footnote w:id="2">
    <w:p w14:paraId="379166B5" w14:textId="77777777" w:rsidR="002F114A" w:rsidRDefault="002F114A">
      <w:pPr>
        <w:pStyle w:val="FootnoteText"/>
      </w:pPr>
      <w:r>
        <w:rPr>
          <w:rStyle w:val="FootnoteReference"/>
        </w:rPr>
        <w:footnoteRef/>
      </w:r>
      <w:r>
        <w:t xml:space="preserve"> Held via electronic means on October 25 and 26, 2021</w:t>
      </w:r>
    </w:p>
  </w:footnote>
  <w:footnote w:id="3">
    <w:p w14:paraId="601E0784" w14:textId="77777777" w:rsidR="00AB4567" w:rsidRDefault="00AB4567" w:rsidP="00AB4567">
      <w:pPr>
        <w:pStyle w:val="FootnoteText"/>
      </w:pPr>
      <w:r>
        <w:rPr>
          <w:rStyle w:val="FootnoteReference"/>
        </w:rPr>
        <w:footnoteRef/>
      </w:r>
      <w:r>
        <w:t xml:space="preserve"> Held via electronic means on October 25 and 26, 2021</w:t>
      </w:r>
    </w:p>
  </w:footnote>
  <w:footnote w:id="4">
    <w:p w14:paraId="7B134404" w14:textId="77777777" w:rsidR="00E310B1" w:rsidRDefault="00E310B1" w:rsidP="00E310B1">
      <w:pPr>
        <w:pStyle w:val="FootnoteText"/>
      </w:pPr>
      <w:r>
        <w:rPr>
          <w:rStyle w:val="FootnoteReference"/>
        </w:rPr>
        <w:footnoteRef/>
      </w:r>
      <w:r>
        <w:t xml:space="preserve"> Held via electronic means on October 25 and 26, 2021</w:t>
      </w:r>
    </w:p>
  </w:footnote>
  <w:footnote w:id="5">
    <w:p w14:paraId="2D255154" w14:textId="77777777" w:rsidR="008B6571" w:rsidRDefault="008B6571" w:rsidP="008B6571">
      <w:pPr>
        <w:pStyle w:val="FootnoteText"/>
      </w:pPr>
      <w:r>
        <w:rPr>
          <w:rStyle w:val="FootnoteReference"/>
        </w:rPr>
        <w:footnoteRef/>
      </w:r>
      <w:r>
        <w:t xml:space="preserve"> Held via electronic means on October 25 and 26, 2021</w:t>
      </w:r>
    </w:p>
  </w:footnote>
  <w:footnote w:id="6">
    <w:p w14:paraId="0BADD15F" w14:textId="77777777" w:rsidR="001727E3" w:rsidRPr="0008271E" w:rsidRDefault="001727E3" w:rsidP="001727E3">
      <w:pPr>
        <w:pStyle w:val="FootnoteText"/>
      </w:pPr>
      <w:r>
        <w:rPr>
          <w:rStyle w:val="FootnoteReference"/>
        </w:rPr>
        <w:footnoteRef/>
      </w:r>
      <w:r>
        <w:t xml:space="preserve"> </w:t>
      </w:r>
      <w:r>
        <w:tab/>
        <w:t>The TWV, at its fifty-sixth session, held via electronic means from April 18 to 22, 2022, agreed that state “intermediate” in the example provided in document TWP/6/1, paragraph 28, should read “intermediate resistant” (see document TWV/56/22 “Report”, paragraph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EB6D" w14:textId="77777777" w:rsidR="00E402B0" w:rsidRDefault="00E40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7972E" w14:textId="77777777" w:rsidR="0004198B" w:rsidRPr="00C5280D" w:rsidRDefault="000872E5" w:rsidP="00EB048E">
    <w:pPr>
      <w:pStyle w:val="Header"/>
      <w:rPr>
        <w:rStyle w:val="PageNumber"/>
        <w:lang w:val="en-US"/>
      </w:rPr>
    </w:pPr>
    <w:r>
      <w:rPr>
        <w:rStyle w:val="PageNumber"/>
        <w:lang w:val="en-US"/>
      </w:rPr>
      <w:t>TC/58/4</w:t>
    </w:r>
  </w:p>
  <w:p w14:paraId="2B9F82C6" w14:textId="77E8D93D"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0AD3">
      <w:rPr>
        <w:rStyle w:val="PageNumber"/>
        <w:noProof/>
        <w:lang w:val="en-US"/>
      </w:rPr>
      <w:t>5</w:t>
    </w:r>
    <w:r w:rsidRPr="00C5280D">
      <w:rPr>
        <w:rStyle w:val="PageNumber"/>
        <w:lang w:val="en-US"/>
      </w:rPr>
      <w:fldChar w:fldCharType="end"/>
    </w:r>
  </w:p>
  <w:p w14:paraId="2168AF36"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25B7" w14:textId="77777777" w:rsidR="0004198B" w:rsidRPr="0004198B" w:rsidRDefault="0004198B"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34FC" w14:textId="77777777" w:rsidR="001727E3" w:rsidRPr="00C5280D" w:rsidRDefault="001727E3" w:rsidP="00EB048E">
    <w:pPr>
      <w:pStyle w:val="Header"/>
      <w:rPr>
        <w:rStyle w:val="PageNumber"/>
        <w:lang w:val="en-US"/>
      </w:rPr>
    </w:pPr>
    <w:r>
      <w:rPr>
        <w:rStyle w:val="PageNumber"/>
        <w:lang w:val="en-US"/>
      </w:rPr>
      <w:t>TC/58/4</w:t>
    </w:r>
  </w:p>
  <w:p w14:paraId="14C86810" w14:textId="699365E9" w:rsidR="001727E3" w:rsidRPr="00C5280D" w:rsidRDefault="001727E3" w:rsidP="00EB048E">
    <w:pPr>
      <w:pStyle w:val="Header"/>
      <w:rPr>
        <w:lang w:val="en-US"/>
      </w:rPr>
    </w:pPr>
    <w:proofErr w:type="gramStart"/>
    <w:r>
      <w:rPr>
        <w:lang w:val="en-US"/>
      </w:rPr>
      <w:t>annex</w:t>
    </w:r>
    <w:proofErr w:type="gram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0AD3">
      <w:rPr>
        <w:rStyle w:val="PageNumber"/>
        <w:noProof/>
        <w:lang w:val="en-US"/>
      </w:rPr>
      <w:t>2</w:t>
    </w:r>
    <w:r w:rsidRPr="00C5280D">
      <w:rPr>
        <w:rStyle w:val="PageNumber"/>
        <w:lang w:val="en-US"/>
      </w:rPr>
      <w:fldChar w:fldCharType="end"/>
    </w:r>
  </w:p>
  <w:p w14:paraId="674CF059" w14:textId="77777777" w:rsidR="001727E3" w:rsidRPr="00C5280D" w:rsidRDefault="001727E3"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35FF" w14:textId="77777777" w:rsidR="001727E3" w:rsidRPr="0004198B" w:rsidRDefault="001727E3"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6D3"/>
    <w:multiLevelType w:val="hybridMultilevel"/>
    <w:tmpl w:val="330EF34C"/>
    <w:lvl w:ilvl="0" w:tplc="11CC43CA">
      <w:start w:val="1"/>
      <w:numFmt w:val="lowerLetter"/>
      <w:lvlText w:val="(%1)"/>
      <w:lvlJc w:val="left"/>
      <w:pPr>
        <w:ind w:left="1130" w:hanging="5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495469A"/>
    <w:multiLevelType w:val="hybridMultilevel"/>
    <w:tmpl w:val="88EE74DC"/>
    <w:lvl w:ilvl="0" w:tplc="E0A485F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8402159"/>
    <w:multiLevelType w:val="hybridMultilevel"/>
    <w:tmpl w:val="FB548F84"/>
    <w:lvl w:ilvl="0" w:tplc="72547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5"/>
  </w:num>
  <w:num w:numId="2">
    <w:abstractNumId w:val="7"/>
  </w:num>
  <w:num w:numId="3">
    <w:abstractNumId w:val="4"/>
  </w:num>
  <w:num w:numId="4">
    <w:abstractNumId w:val="6"/>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5"/>
    <w:rsid w:val="00010CF3"/>
    <w:rsid w:val="000116D8"/>
    <w:rsid w:val="00011E27"/>
    <w:rsid w:val="000148BC"/>
    <w:rsid w:val="00024AB8"/>
    <w:rsid w:val="00030854"/>
    <w:rsid w:val="0003117F"/>
    <w:rsid w:val="0003481C"/>
    <w:rsid w:val="00036028"/>
    <w:rsid w:val="0004198B"/>
    <w:rsid w:val="00044642"/>
    <w:rsid w:val="000446B9"/>
    <w:rsid w:val="00047E21"/>
    <w:rsid w:val="00050E16"/>
    <w:rsid w:val="00085505"/>
    <w:rsid w:val="000872E5"/>
    <w:rsid w:val="000C4E25"/>
    <w:rsid w:val="000C7021"/>
    <w:rsid w:val="000D6BBC"/>
    <w:rsid w:val="000D7780"/>
    <w:rsid w:val="000E636A"/>
    <w:rsid w:val="000F2F11"/>
    <w:rsid w:val="000F6D12"/>
    <w:rsid w:val="00100A5F"/>
    <w:rsid w:val="00105929"/>
    <w:rsid w:val="00110BED"/>
    <w:rsid w:val="00110C36"/>
    <w:rsid w:val="001131D5"/>
    <w:rsid w:val="00114547"/>
    <w:rsid w:val="00141DB8"/>
    <w:rsid w:val="00172084"/>
    <w:rsid w:val="001727E3"/>
    <w:rsid w:val="0017474A"/>
    <w:rsid w:val="001758C6"/>
    <w:rsid w:val="00182B99"/>
    <w:rsid w:val="00192040"/>
    <w:rsid w:val="001C00F4"/>
    <w:rsid w:val="001C1525"/>
    <w:rsid w:val="001F03E7"/>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1942"/>
    <w:rsid w:val="002C256A"/>
    <w:rsid w:val="002C5857"/>
    <w:rsid w:val="002D5226"/>
    <w:rsid w:val="002F114A"/>
    <w:rsid w:val="00305A7F"/>
    <w:rsid w:val="003067AA"/>
    <w:rsid w:val="003152FE"/>
    <w:rsid w:val="0031706A"/>
    <w:rsid w:val="00327436"/>
    <w:rsid w:val="00344BD6"/>
    <w:rsid w:val="0035528D"/>
    <w:rsid w:val="00360AD3"/>
    <w:rsid w:val="00361821"/>
    <w:rsid w:val="00361E9E"/>
    <w:rsid w:val="003753EE"/>
    <w:rsid w:val="003A0835"/>
    <w:rsid w:val="003A5AAF"/>
    <w:rsid w:val="003B700A"/>
    <w:rsid w:val="003C7FBE"/>
    <w:rsid w:val="003D0839"/>
    <w:rsid w:val="003D227C"/>
    <w:rsid w:val="003D2B4D"/>
    <w:rsid w:val="003F1C72"/>
    <w:rsid w:val="003F37F5"/>
    <w:rsid w:val="0041790F"/>
    <w:rsid w:val="00427E2C"/>
    <w:rsid w:val="00444A88"/>
    <w:rsid w:val="00445B73"/>
    <w:rsid w:val="00474DA4"/>
    <w:rsid w:val="00476B4D"/>
    <w:rsid w:val="004805FA"/>
    <w:rsid w:val="004935D2"/>
    <w:rsid w:val="004B1215"/>
    <w:rsid w:val="004D047D"/>
    <w:rsid w:val="004D5796"/>
    <w:rsid w:val="004F1E9E"/>
    <w:rsid w:val="004F305A"/>
    <w:rsid w:val="00512164"/>
    <w:rsid w:val="00520297"/>
    <w:rsid w:val="0052560D"/>
    <w:rsid w:val="0053382C"/>
    <w:rsid w:val="005338F9"/>
    <w:rsid w:val="0054281C"/>
    <w:rsid w:val="00544581"/>
    <w:rsid w:val="00551B19"/>
    <w:rsid w:val="0055268D"/>
    <w:rsid w:val="005566D0"/>
    <w:rsid w:val="00575DE2"/>
    <w:rsid w:val="00576BE4"/>
    <w:rsid w:val="005779DB"/>
    <w:rsid w:val="005A2A67"/>
    <w:rsid w:val="005A400A"/>
    <w:rsid w:val="005A438F"/>
    <w:rsid w:val="005B269D"/>
    <w:rsid w:val="005C611F"/>
    <w:rsid w:val="005F7B92"/>
    <w:rsid w:val="00612379"/>
    <w:rsid w:val="006153B6"/>
    <w:rsid w:val="0061555F"/>
    <w:rsid w:val="006245ED"/>
    <w:rsid w:val="00636CA6"/>
    <w:rsid w:val="00641200"/>
    <w:rsid w:val="00645CA8"/>
    <w:rsid w:val="0066081F"/>
    <w:rsid w:val="006655D3"/>
    <w:rsid w:val="00667404"/>
    <w:rsid w:val="00687EB4"/>
    <w:rsid w:val="00695C56"/>
    <w:rsid w:val="006A5CDE"/>
    <w:rsid w:val="006A644A"/>
    <w:rsid w:val="006B0735"/>
    <w:rsid w:val="006B17D2"/>
    <w:rsid w:val="006B3484"/>
    <w:rsid w:val="006C224E"/>
    <w:rsid w:val="006C2E04"/>
    <w:rsid w:val="006D780A"/>
    <w:rsid w:val="006F20EF"/>
    <w:rsid w:val="006F3FBA"/>
    <w:rsid w:val="0071271E"/>
    <w:rsid w:val="00732DEC"/>
    <w:rsid w:val="00735BD5"/>
    <w:rsid w:val="007451EC"/>
    <w:rsid w:val="00751613"/>
    <w:rsid w:val="00753EE9"/>
    <w:rsid w:val="007556F6"/>
    <w:rsid w:val="00760EEF"/>
    <w:rsid w:val="007723CF"/>
    <w:rsid w:val="00773DF9"/>
    <w:rsid w:val="00777EE5"/>
    <w:rsid w:val="00784836"/>
    <w:rsid w:val="0079023E"/>
    <w:rsid w:val="007A2854"/>
    <w:rsid w:val="007A4817"/>
    <w:rsid w:val="007A69D6"/>
    <w:rsid w:val="007C1D92"/>
    <w:rsid w:val="007C4CB9"/>
    <w:rsid w:val="007D0B9D"/>
    <w:rsid w:val="007D19B0"/>
    <w:rsid w:val="007D45FC"/>
    <w:rsid w:val="007F498F"/>
    <w:rsid w:val="007F4E4D"/>
    <w:rsid w:val="00800A82"/>
    <w:rsid w:val="00805B75"/>
    <w:rsid w:val="0080679D"/>
    <w:rsid w:val="008108B0"/>
    <w:rsid w:val="00811669"/>
    <w:rsid w:val="00811B20"/>
    <w:rsid w:val="00812609"/>
    <w:rsid w:val="008211B5"/>
    <w:rsid w:val="0082296E"/>
    <w:rsid w:val="00824099"/>
    <w:rsid w:val="00846D16"/>
    <w:rsid w:val="00846D7C"/>
    <w:rsid w:val="00867AC1"/>
    <w:rsid w:val="008751DE"/>
    <w:rsid w:val="00890DF8"/>
    <w:rsid w:val="00897341"/>
    <w:rsid w:val="008A0ADE"/>
    <w:rsid w:val="008A743F"/>
    <w:rsid w:val="008B6571"/>
    <w:rsid w:val="008C0970"/>
    <w:rsid w:val="008C6D8B"/>
    <w:rsid w:val="008D0BC5"/>
    <w:rsid w:val="008D2CF7"/>
    <w:rsid w:val="008E3720"/>
    <w:rsid w:val="008E73EF"/>
    <w:rsid w:val="00900C26"/>
    <w:rsid w:val="0090197F"/>
    <w:rsid w:val="00902874"/>
    <w:rsid w:val="00903264"/>
    <w:rsid w:val="00906DDC"/>
    <w:rsid w:val="00934E09"/>
    <w:rsid w:val="00936253"/>
    <w:rsid w:val="00940D46"/>
    <w:rsid w:val="009413F1"/>
    <w:rsid w:val="00952DD4"/>
    <w:rsid w:val="009561F4"/>
    <w:rsid w:val="00965AE7"/>
    <w:rsid w:val="00970FED"/>
    <w:rsid w:val="00973315"/>
    <w:rsid w:val="00985E41"/>
    <w:rsid w:val="00990B59"/>
    <w:rsid w:val="00992D82"/>
    <w:rsid w:val="00997029"/>
    <w:rsid w:val="009A7339"/>
    <w:rsid w:val="009B440E"/>
    <w:rsid w:val="009D690D"/>
    <w:rsid w:val="009E1772"/>
    <w:rsid w:val="009E65B6"/>
    <w:rsid w:val="009F0A51"/>
    <w:rsid w:val="009F0B7F"/>
    <w:rsid w:val="009F3A38"/>
    <w:rsid w:val="009F77CF"/>
    <w:rsid w:val="00A12795"/>
    <w:rsid w:val="00A24C10"/>
    <w:rsid w:val="00A30504"/>
    <w:rsid w:val="00A42AC3"/>
    <w:rsid w:val="00A430CF"/>
    <w:rsid w:val="00A54309"/>
    <w:rsid w:val="00A55168"/>
    <w:rsid w:val="00A610A9"/>
    <w:rsid w:val="00A656EC"/>
    <w:rsid w:val="00A80F2A"/>
    <w:rsid w:val="00A8199A"/>
    <w:rsid w:val="00A857ED"/>
    <w:rsid w:val="00A96C33"/>
    <w:rsid w:val="00AB2B93"/>
    <w:rsid w:val="00AB4567"/>
    <w:rsid w:val="00AB530F"/>
    <w:rsid w:val="00AB7E5B"/>
    <w:rsid w:val="00AC2883"/>
    <w:rsid w:val="00AE0EF1"/>
    <w:rsid w:val="00AE2937"/>
    <w:rsid w:val="00B07301"/>
    <w:rsid w:val="00B07F9D"/>
    <w:rsid w:val="00B11F3E"/>
    <w:rsid w:val="00B224DE"/>
    <w:rsid w:val="00B261C8"/>
    <w:rsid w:val="00B324D4"/>
    <w:rsid w:val="00B46575"/>
    <w:rsid w:val="00B61777"/>
    <w:rsid w:val="00B622E6"/>
    <w:rsid w:val="00B82398"/>
    <w:rsid w:val="00B83E82"/>
    <w:rsid w:val="00B84BBD"/>
    <w:rsid w:val="00BA43FB"/>
    <w:rsid w:val="00BC127D"/>
    <w:rsid w:val="00BC1FE6"/>
    <w:rsid w:val="00C061B6"/>
    <w:rsid w:val="00C2446C"/>
    <w:rsid w:val="00C36AE5"/>
    <w:rsid w:val="00C41F17"/>
    <w:rsid w:val="00C47FD7"/>
    <w:rsid w:val="00C527FA"/>
    <w:rsid w:val="00C5280D"/>
    <w:rsid w:val="00C53EB3"/>
    <w:rsid w:val="00C5791C"/>
    <w:rsid w:val="00C66290"/>
    <w:rsid w:val="00C72B7A"/>
    <w:rsid w:val="00C973F2"/>
    <w:rsid w:val="00CA1FCA"/>
    <w:rsid w:val="00CA304C"/>
    <w:rsid w:val="00CA774A"/>
    <w:rsid w:val="00CB4921"/>
    <w:rsid w:val="00CC11B0"/>
    <w:rsid w:val="00CC2841"/>
    <w:rsid w:val="00CF1330"/>
    <w:rsid w:val="00CF7E36"/>
    <w:rsid w:val="00D3708D"/>
    <w:rsid w:val="00D40426"/>
    <w:rsid w:val="00D57C96"/>
    <w:rsid w:val="00D57D18"/>
    <w:rsid w:val="00D70E65"/>
    <w:rsid w:val="00D81FE8"/>
    <w:rsid w:val="00D91203"/>
    <w:rsid w:val="00D95174"/>
    <w:rsid w:val="00DA0237"/>
    <w:rsid w:val="00DA1196"/>
    <w:rsid w:val="00DA4973"/>
    <w:rsid w:val="00DA6F36"/>
    <w:rsid w:val="00DB596E"/>
    <w:rsid w:val="00DB7773"/>
    <w:rsid w:val="00DC00EA"/>
    <w:rsid w:val="00DC3802"/>
    <w:rsid w:val="00DD6208"/>
    <w:rsid w:val="00DF7E99"/>
    <w:rsid w:val="00E07D87"/>
    <w:rsid w:val="00E249C8"/>
    <w:rsid w:val="00E310B1"/>
    <w:rsid w:val="00E32F7E"/>
    <w:rsid w:val="00E402B0"/>
    <w:rsid w:val="00E5267B"/>
    <w:rsid w:val="00E559F0"/>
    <w:rsid w:val="00E63C0E"/>
    <w:rsid w:val="00E72D49"/>
    <w:rsid w:val="00E7593C"/>
    <w:rsid w:val="00E7678A"/>
    <w:rsid w:val="00E77894"/>
    <w:rsid w:val="00E935F1"/>
    <w:rsid w:val="00E94A81"/>
    <w:rsid w:val="00EA1FFB"/>
    <w:rsid w:val="00EB048E"/>
    <w:rsid w:val="00EB4E9C"/>
    <w:rsid w:val="00EC634B"/>
    <w:rsid w:val="00EE34DF"/>
    <w:rsid w:val="00EF2F89"/>
    <w:rsid w:val="00F03E98"/>
    <w:rsid w:val="00F1237A"/>
    <w:rsid w:val="00F22CBD"/>
    <w:rsid w:val="00F272F1"/>
    <w:rsid w:val="00F31412"/>
    <w:rsid w:val="00F413CF"/>
    <w:rsid w:val="00F45372"/>
    <w:rsid w:val="00F560F7"/>
    <w:rsid w:val="00F6334D"/>
    <w:rsid w:val="00F63599"/>
    <w:rsid w:val="00F71781"/>
    <w:rsid w:val="00FA49AB"/>
    <w:rsid w:val="00FC5FD0"/>
    <w:rsid w:val="00FD6C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D085F0"/>
  <w15:docId w15:val="{5DDC1BAB-37C0-47CB-A6DE-B01F747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52560D"/>
    <w:pPr>
      <w:keepNext/>
      <w:jc w:val="both"/>
      <w:outlineLvl w:val="0"/>
    </w:pPr>
    <w:rPr>
      <w:rFonts w:ascii="Arial" w:hAnsi="Arial"/>
      <w:caps/>
    </w:rPr>
  </w:style>
  <w:style w:type="paragraph" w:styleId="Heading2">
    <w:name w:val="heading 2"/>
    <w:next w:val="Normal"/>
    <w:autoRedefine/>
    <w:qFormat/>
    <w:rsid w:val="0052560D"/>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1C00F4"/>
    <w:pPr>
      <w:tabs>
        <w:tab w:val="right" w:leader="dot" w:pos="9639"/>
      </w:tabs>
      <w:ind w:left="568" w:right="851" w:hanging="284"/>
      <w:contextualSpacing/>
    </w:pPr>
    <w:rPr>
      <w:sz w:val="18"/>
    </w:rPr>
  </w:style>
  <w:style w:type="paragraph" w:styleId="TOC3">
    <w:name w:val="toc 3"/>
    <w:next w:val="Normal"/>
    <w:autoRedefine/>
    <w:uiPriority w:val="39"/>
    <w:rsid w:val="00360AD3"/>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1C00F4"/>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52560D"/>
    <w:rPr>
      <w:rFonts w:ascii="Arial" w:hAnsi="Arial"/>
      <w:sz w:val="16"/>
    </w:rPr>
  </w:style>
  <w:style w:type="character" w:customStyle="1" w:styleId="Heading1Char">
    <w:name w:val="Heading 1 Char"/>
    <w:aliases w:val="COMMON NAME Char,common Char"/>
    <w:basedOn w:val="DefaultParagraphFont"/>
    <w:link w:val="Heading1"/>
    <w:rsid w:val="0052560D"/>
    <w:rPr>
      <w:rFonts w:ascii="Arial" w:hAnsi="Arial"/>
      <w:caps/>
    </w:rPr>
  </w:style>
  <w:style w:type="character" w:customStyle="1" w:styleId="DecisionParagraphsChar">
    <w:name w:val="DecisionParagraphs Char"/>
    <w:basedOn w:val="DefaultParagraphFont"/>
    <w:link w:val="DecisionParagraphs"/>
    <w:rsid w:val="0052560D"/>
    <w:rPr>
      <w:rFonts w:ascii="Arial" w:hAnsi="Arial"/>
      <w:i/>
    </w:rPr>
  </w:style>
  <w:style w:type="table" w:styleId="TableGrid">
    <w:name w:val="Table Grid"/>
    <w:basedOn w:val="TableNormal"/>
    <w:uiPriority w:val="59"/>
    <w:rsid w:val="001727E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03E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ing4Char">
    <w:name w:val="Heading 4 Char"/>
    <w:link w:val="Heading4"/>
    <w:rsid w:val="008E73EF"/>
    <w:rPr>
      <w:rFonts w:ascii="Arial" w:hAnsi="Arial"/>
      <w:u w:val="single"/>
      <w:lang w:val="fr-FR"/>
    </w:rPr>
  </w:style>
  <w:style w:type="paragraph" w:styleId="ListParagraph">
    <w:name w:val="List Paragraph"/>
    <w:basedOn w:val="Normal"/>
    <w:uiPriority w:val="34"/>
    <w:qFormat/>
    <w:rsid w:val="00D8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4902">
      <w:bodyDiv w:val="1"/>
      <w:marLeft w:val="0"/>
      <w:marRight w:val="0"/>
      <w:marTop w:val="0"/>
      <w:marBottom w:val="0"/>
      <w:divBdr>
        <w:top w:val="none" w:sz="0" w:space="0" w:color="auto"/>
        <w:left w:val="none" w:sz="0" w:space="0" w:color="auto"/>
        <w:bottom w:val="none" w:sz="0" w:space="0" w:color="auto"/>
        <w:right w:val="none" w:sz="0" w:space="0" w:color="auto"/>
      </w:divBdr>
    </w:div>
    <w:div w:id="1605770479">
      <w:bodyDiv w:val="1"/>
      <w:marLeft w:val="0"/>
      <w:marRight w:val="0"/>
      <w:marTop w:val="0"/>
      <w:marBottom w:val="0"/>
      <w:divBdr>
        <w:top w:val="none" w:sz="0" w:space="0" w:color="auto"/>
        <w:left w:val="none" w:sz="0" w:space="0" w:color="auto"/>
        <w:bottom w:val="none" w:sz="0" w:space="0" w:color="auto"/>
        <w:right w:val="none" w:sz="0" w:space="0" w:color="auto"/>
      </w:divBdr>
    </w:div>
    <w:div w:id="178691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CC68B-6D27-4D50-A3E2-2F447C71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2637</Words>
  <Characters>15792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NICOLO Laurianne</dc:creator>
  <cp:lastModifiedBy>MAY Jessica</cp:lastModifiedBy>
  <cp:revision>10</cp:revision>
  <cp:lastPrinted>2016-11-22T15:41:00Z</cp:lastPrinted>
  <dcterms:created xsi:type="dcterms:W3CDTF">2022-07-19T00:12:00Z</dcterms:created>
  <dcterms:modified xsi:type="dcterms:W3CDTF">2022-08-15T11:51:00Z</dcterms:modified>
</cp:coreProperties>
</file>