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3D0839" w:rsidRPr="00365DC1" w:rsidRDefault="003D0839" w:rsidP="003D083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C5280D" w:rsidTr="007A4FDD">
        <w:tc>
          <w:tcPr>
            <w:tcW w:w="6512" w:type="dxa"/>
          </w:tcPr>
          <w:p w:rsidR="003D0839" w:rsidRPr="00AC2883" w:rsidRDefault="003D0839" w:rsidP="007A4FDD">
            <w:pPr>
              <w:pStyle w:val="Sessiontc"/>
              <w:spacing w:line="240" w:lineRule="auto"/>
            </w:pPr>
            <w:r w:rsidRPr="00DA4973">
              <w:t>Technical Committee</w:t>
            </w:r>
          </w:p>
          <w:p w:rsidR="003D0839" w:rsidRPr="00DC3802" w:rsidRDefault="003D0839" w:rsidP="007A4FDD">
            <w:pPr>
              <w:pStyle w:val="Sessiontcplacedate"/>
              <w:rPr>
                <w:sz w:val="22"/>
              </w:rPr>
            </w:pPr>
            <w:r w:rsidRPr="00DA4973">
              <w:t>Fifty-</w:t>
            </w:r>
            <w:r>
              <w:t>Eighth</w:t>
            </w:r>
            <w:r w:rsidRPr="00DA4973">
              <w:t xml:space="preserve"> Session</w:t>
            </w:r>
            <w:r w:rsidRPr="00DA4973">
              <w:br/>
              <w:t xml:space="preserve">Geneva, </w:t>
            </w:r>
            <w:r>
              <w:t>October 24 and 25, 2022</w:t>
            </w:r>
          </w:p>
        </w:tc>
        <w:tc>
          <w:tcPr>
            <w:tcW w:w="3127" w:type="dxa"/>
          </w:tcPr>
          <w:p w:rsidR="003D0839" w:rsidRPr="003C7FBE" w:rsidRDefault="003D0839" w:rsidP="007A4FDD">
            <w:pPr>
              <w:pStyle w:val="Doccode"/>
            </w:pPr>
            <w:r>
              <w:t>TC/58</w:t>
            </w:r>
            <w:r w:rsidRPr="00AC2883">
              <w:t>/</w:t>
            </w:r>
            <w:r w:rsidR="00B91195">
              <w:t>3</w:t>
            </w:r>
          </w:p>
          <w:p w:rsidR="003D0839" w:rsidRPr="003C7FBE" w:rsidRDefault="003D0839" w:rsidP="007A4FDD">
            <w:pPr>
              <w:pStyle w:val="Docoriginal"/>
            </w:pPr>
            <w:r w:rsidRPr="00AC2883">
              <w:t>Original:</w:t>
            </w:r>
            <w:r w:rsidRPr="000E636A">
              <w:rPr>
                <w:b w:val="0"/>
                <w:spacing w:val="0"/>
              </w:rPr>
              <w:t xml:space="preserve">  English</w:t>
            </w:r>
          </w:p>
          <w:p w:rsidR="003D0839" w:rsidRPr="007C1D92" w:rsidRDefault="003D0839" w:rsidP="00E75E12">
            <w:pPr>
              <w:pStyle w:val="Docoriginal"/>
            </w:pPr>
            <w:r w:rsidRPr="00AC2883">
              <w:t>Date:</w:t>
            </w:r>
            <w:r>
              <w:rPr>
                <w:b w:val="0"/>
                <w:spacing w:val="0"/>
              </w:rPr>
              <w:t xml:space="preserve">  </w:t>
            </w:r>
            <w:r w:rsidR="005557C7" w:rsidRPr="00E75E12">
              <w:rPr>
                <w:b w:val="0"/>
                <w:spacing w:val="0"/>
              </w:rPr>
              <w:t xml:space="preserve">October </w:t>
            </w:r>
            <w:r w:rsidR="00E75E12" w:rsidRPr="00E75E12">
              <w:rPr>
                <w:b w:val="0"/>
                <w:spacing w:val="0"/>
              </w:rPr>
              <w:t>5</w:t>
            </w:r>
            <w:r w:rsidRPr="00E75E12">
              <w:rPr>
                <w:b w:val="0"/>
                <w:spacing w:val="0"/>
              </w:rPr>
              <w:t>, 2022</w:t>
            </w:r>
          </w:p>
        </w:tc>
      </w:tr>
    </w:tbl>
    <w:p w:rsidR="003D0839" w:rsidRPr="006A644A" w:rsidRDefault="00B91195" w:rsidP="003D0839">
      <w:pPr>
        <w:pStyle w:val="Titleofdoc0"/>
      </w:pPr>
      <w:r w:rsidRPr="00B91195">
        <w:t>Matters arising from the Technical Working Parties</w:t>
      </w:r>
    </w:p>
    <w:p w:rsidR="003D0839" w:rsidRPr="006A644A" w:rsidRDefault="003D0839" w:rsidP="003D0839">
      <w:pPr>
        <w:pStyle w:val="preparedby1"/>
        <w:jc w:val="left"/>
      </w:pPr>
      <w:r w:rsidRPr="000C4E25">
        <w:t>Document prepared by the Office of the Union</w:t>
      </w:r>
    </w:p>
    <w:p w:rsidR="003D0839" w:rsidRPr="006A644A" w:rsidRDefault="003D0839" w:rsidP="003D0839">
      <w:pPr>
        <w:pStyle w:val="Disclaimer"/>
      </w:pPr>
      <w:r w:rsidRPr="006A644A">
        <w:t>Disclaimer:  this document does not represent UPOV policies or guidance</w:t>
      </w:r>
    </w:p>
    <w:p w:rsidR="008301C2" w:rsidRDefault="008301C2" w:rsidP="008301C2">
      <w:pPr>
        <w:pStyle w:val="Heading1"/>
      </w:pPr>
      <w:bookmarkStart w:id="1" w:name="_Toc20505077"/>
      <w:bookmarkStart w:id="2" w:name="_Toc115729463"/>
      <w:r>
        <w:t>EXECUTIVE SUMMARY</w:t>
      </w:r>
      <w:bookmarkEnd w:id="1"/>
      <w:bookmarkEnd w:id="2"/>
    </w:p>
    <w:p w:rsidR="008301C2" w:rsidRDefault="008301C2" w:rsidP="008301C2">
      <w:pPr>
        <w:rPr>
          <w:color w:val="000000"/>
        </w:rPr>
      </w:pPr>
    </w:p>
    <w:p w:rsidR="008301C2" w:rsidRPr="002A330A" w:rsidRDefault="008301C2" w:rsidP="008301C2">
      <w:pPr>
        <w:rPr>
          <w:color w:val="000000"/>
        </w:rPr>
      </w:pPr>
      <w:r w:rsidRPr="002A330A">
        <w:rPr>
          <w:color w:val="000000"/>
        </w:rPr>
        <w:fldChar w:fldCharType="begin"/>
      </w:r>
      <w:r w:rsidRPr="002A330A">
        <w:rPr>
          <w:color w:val="000000"/>
        </w:rPr>
        <w:instrText xml:space="preserve"> AUTONUM  </w:instrText>
      </w:r>
      <w:r w:rsidRPr="002A330A">
        <w:rPr>
          <w:color w:val="000000"/>
        </w:rPr>
        <w:fldChar w:fldCharType="end"/>
      </w:r>
      <w:r w:rsidRPr="002A330A">
        <w:rPr>
          <w:color w:val="000000"/>
        </w:rPr>
        <w:tab/>
        <w:t xml:space="preserve">This document </w:t>
      </w:r>
      <w:r w:rsidR="00D14633">
        <w:rPr>
          <w:color w:val="000000"/>
        </w:rPr>
        <w:t>compiles</w:t>
      </w:r>
      <w:r w:rsidRPr="002A330A">
        <w:rPr>
          <w:color w:val="000000"/>
        </w:rPr>
        <w:t xml:space="preserve"> </w:t>
      </w:r>
      <w:r w:rsidR="00D14633" w:rsidRPr="002A330A">
        <w:rPr>
          <w:color w:val="000000"/>
        </w:rPr>
        <w:t xml:space="preserve">matters that </w:t>
      </w:r>
      <w:proofErr w:type="gramStart"/>
      <w:r w:rsidR="00D14633" w:rsidRPr="002A330A">
        <w:rPr>
          <w:color w:val="000000"/>
        </w:rPr>
        <w:t>are not expressly covered</w:t>
      </w:r>
      <w:proofErr w:type="gramEnd"/>
      <w:r w:rsidR="00D14633" w:rsidRPr="002A330A">
        <w:rPr>
          <w:color w:val="000000"/>
        </w:rPr>
        <w:t xml:space="preserve"> by specific agenda items </w:t>
      </w:r>
      <w:r w:rsidRPr="002A330A">
        <w:rPr>
          <w:color w:val="000000"/>
        </w:rPr>
        <w:t>arising from the 202</w:t>
      </w:r>
      <w:r w:rsidR="00BD022B">
        <w:rPr>
          <w:color w:val="000000"/>
        </w:rPr>
        <w:t>2</w:t>
      </w:r>
      <w:r w:rsidRPr="002A330A">
        <w:rPr>
          <w:color w:val="000000"/>
        </w:rPr>
        <w:t xml:space="preserve"> sessions of the </w:t>
      </w:r>
      <w:r w:rsidRPr="002A330A">
        <w:rPr>
          <w:rFonts w:eastAsia="PMingLiU"/>
          <w:szCs w:val="24"/>
        </w:rPr>
        <w:t>Technical Working Party for Vegetables (TWV)</w:t>
      </w:r>
      <w:r w:rsidRPr="002A330A">
        <w:rPr>
          <w:rFonts w:eastAsia="PMingLiU"/>
          <w:szCs w:val="24"/>
          <w:vertAlign w:val="superscript"/>
        </w:rPr>
        <w:footnoteReference w:id="2"/>
      </w:r>
      <w:r w:rsidRPr="002A330A">
        <w:rPr>
          <w:rFonts w:eastAsia="PMingLiU"/>
          <w:szCs w:val="24"/>
        </w:rPr>
        <w:t>, Technical Working Party for Agricultural Crops (TWA)</w:t>
      </w:r>
      <w:r w:rsidRPr="002A330A">
        <w:rPr>
          <w:rFonts w:eastAsia="PMingLiU"/>
          <w:szCs w:val="24"/>
          <w:vertAlign w:val="superscript"/>
        </w:rPr>
        <w:footnoteReference w:id="3"/>
      </w:r>
      <w:r w:rsidRPr="002A330A">
        <w:rPr>
          <w:rFonts w:eastAsia="PMingLiU"/>
          <w:szCs w:val="24"/>
        </w:rPr>
        <w:t>,</w:t>
      </w:r>
      <w:r w:rsidRPr="002A330A">
        <w:rPr>
          <w:color w:val="000000"/>
        </w:rPr>
        <w:t xml:space="preserve"> </w:t>
      </w:r>
      <w:r w:rsidR="00D14633" w:rsidRPr="002A330A">
        <w:rPr>
          <w:rFonts w:eastAsia="PMingLiU"/>
          <w:szCs w:val="24"/>
        </w:rPr>
        <w:t>Technical Working Party for Ornamental Plants and Forest Trees (TWO)</w:t>
      </w:r>
      <w:r w:rsidR="00D14633" w:rsidRPr="002A330A">
        <w:rPr>
          <w:rFonts w:eastAsia="PMingLiU"/>
          <w:szCs w:val="24"/>
          <w:vertAlign w:val="superscript"/>
        </w:rPr>
        <w:footnoteReference w:id="4"/>
      </w:r>
      <w:r w:rsidR="00D14633" w:rsidRPr="002A330A">
        <w:rPr>
          <w:rFonts w:eastAsia="PMingLiU"/>
          <w:szCs w:val="24"/>
        </w:rPr>
        <w:t xml:space="preserve">, </w:t>
      </w:r>
      <w:r w:rsidRPr="002A330A">
        <w:rPr>
          <w:rFonts w:eastAsia="PMingLiU"/>
          <w:szCs w:val="24"/>
        </w:rPr>
        <w:t>Technical Working Party for Fruit Crops</w:t>
      </w:r>
      <w:r w:rsidRPr="002A330A">
        <w:rPr>
          <w:color w:val="000000"/>
        </w:rPr>
        <w:t xml:space="preserve"> (TWF)</w:t>
      </w:r>
      <w:r w:rsidRPr="002A330A">
        <w:rPr>
          <w:color w:val="000000"/>
          <w:vertAlign w:val="superscript"/>
        </w:rPr>
        <w:footnoteReference w:id="5"/>
      </w:r>
      <w:r w:rsidR="00D14633">
        <w:rPr>
          <w:color w:val="000000"/>
        </w:rPr>
        <w:t xml:space="preserve"> and Technical Working Party on Testing Methods and Techniques (TWM)</w:t>
      </w:r>
      <w:r w:rsidRPr="002A330A">
        <w:rPr>
          <w:color w:val="000000"/>
        </w:rPr>
        <w:t xml:space="preserve">.  </w:t>
      </w:r>
    </w:p>
    <w:p w:rsidR="00BD022B" w:rsidRDefault="00BD022B" w:rsidP="008301C2">
      <w:pPr>
        <w:rPr>
          <w:color w:val="000000"/>
        </w:rPr>
      </w:pPr>
    </w:p>
    <w:p w:rsidR="008301C2" w:rsidRPr="002A330A" w:rsidRDefault="008301C2" w:rsidP="008301C2">
      <w:r w:rsidRPr="002A330A">
        <w:rPr>
          <w:color w:val="000000"/>
        </w:rPr>
        <w:fldChar w:fldCharType="begin"/>
      </w:r>
      <w:r w:rsidRPr="002A330A">
        <w:rPr>
          <w:color w:val="000000"/>
        </w:rPr>
        <w:instrText xml:space="preserve"> AUTONUM  </w:instrText>
      </w:r>
      <w:r w:rsidRPr="002A330A">
        <w:rPr>
          <w:color w:val="000000"/>
        </w:rPr>
        <w:fldChar w:fldCharType="end"/>
      </w:r>
      <w:r w:rsidRPr="002A330A">
        <w:rPr>
          <w:color w:val="000000"/>
        </w:rPr>
        <w:tab/>
        <w:t>M</w:t>
      </w:r>
      <w:r w:rsidRPr="002A330A">
        <w:t xml:space="preserve">atters arising </w:t>
      </w:r>
      <w:r w:rsidR="009470BB">
        <w:t xml:space="preserve">from the Technical Working Parties (TWPs) </w:t>
      </w:r>
      <w:proofErr w:type="gramStart"/>
      <w:r w:rsidRPr="002A330A">
        <w:t>are presented</w:t>
      </w:r>
      <w:proofErr w:type="gramEnd"/>
      <w:r w:rsidRPr="002A330A">
        <w:t xml:space="preserve"> in two sections.  The first section, “Matters for information and for a possible decision to be taken by the Technical Committee (TC)</w:t>
      </w:r>
      <w:r w:rsidRPr="002A330A">
        <w:rPr>
          <w:caps/>
        </w:rPr>
        <w:t>”,</w:t>
      </w:r>
      <w:r w:rsidRPr="002A330A">
        <w:t xml:space="preserve"> identifies matters </w:t>
      </w:r>
      <w:proofErr w:type="gramStart"/>
      <w:r w:rsidRPr="002A330A">
        <w:t>raised which</w:t>
      </w:r>
      <w:proofErr w:type="gramEnd"/>
      <w:r w:rsidRPr="002A330A">
        <w:t xml:space="preserve"> may require a decision to be taken by the TC.  The Office of the Union (Office) has highlighted aspects where the TC may wish to take a decision by introducing a proposed decision paragraph.  The second section, “Matters for information”, </w:t>
      </w:r>
      <w:proofErr w:type="gramStart"/>
      <w:r w:rsidRPr="002A330A">
        <w:t>is provided</w:t>
      </w:r>
      <w:proofErr w:type="gramEnd"/>
      <w:r w:rsidRPr="002A330A">
        <w:t xml:space="preserve"> for the information of the </w:t>
      </w:r>
      <w:r w:rsidRPr="002A330A">
        <w:rPr>
          <w:color w:val="000000"/>
        </w:rPr>
        <w:t>TC</w:t>
      </w:r>
      <w:r w:rsidRPr="002A330A">
        <w:t xml:space="preserve"> but does not require decisions at this stage.</w:t>
      </w:r>
    </w:p>
    <w:p w:rsidR="008301C2" w:rsidRPr="002A330A" w:rsidRDefault="008301C2" w:rsidP="008301C2">
      <w:pPr>
        <w:tabs>
          <w:tab w:val="left" w:pos="567"/>
          <w:tab w:val="left" w:pos="1701"/>
        </w:tabs>
        <w:ind w:left="1695" w:hanging="1695"/>
        <w:rPr>
          <w:rFonts w:eastAsia="PMingLiU"/>
          <w:szCs w:val="24"/>
        </w:rPr>
      </w:pPr>
    </w:p>
    <w:p w:rsidR="008301C2" w:rsidRPr="002A330A" w:rsidRDefault="008301C2" w:rsidP="008301C2">
      <w:pPr>
        <w:tabs>
          <w:tab w:val="left" w:pos="567"/>
        </w:tabs>
      </w:pPr>
      <w:r w:rsidRPr="000F5CE3">
        <w:fldChar w:fldCharType="begin"/>
      </w:r>
      <w:r w:rsidRPr="000F5CE3">
        <w:instrText xml:space="preserve"> AUTONUM  </w:instrText>
      </w:r>
      <w:r w:rsidRPr="000F5CE3">
        <w:fldChar w:fldCharType="end"/>
      </w:r>
      <w:r w:rsidRPr="000F5CE3">
        <w:tab/>
        <w:t xml:space="preserve">The TC </w:t>
      </w:r>
      <w:proofErr w:type="gramStart"/>
      <w:r w:rsidRPr="000F5CE3">
        <w:t>is invited</w:t>
      </w:r>
      <w:proofErr w:type="gramEnd"/>
      <w:r w:rsidRPr="000F5CE3">
        <w:t xml:space="preserve"> to note developments in the TWPs concerning:</w:t>
      </w:r>
    </w:p>
    <w:p w:rsidR="008301C2" w:rsidRPr="002A330A" w:rsidRDefault="008301C2" w:rsidP="008301C2">
      <w:pPr>
        <w:tabs>
          <w:tab w:val="left" w:pos="567"/>
        </w:tabs>
      </w:pPr>
    </w:p>
    <w:p w:rsidR="008301C2" w:rsidRPr="00DB49C6" w:rsidRDefault="008301C2" w:rsidP="008301C2">
      <w:pPr>
        <w:tabs>
          <w:tab w:val="left" w:pos="1701"/>
        </w:tabs>
        <w:ind w:left="1134" w:hanging="567"/>
      </w:pPr>
      <w:r w:rsidRPr="00DB49C6">
        <w:t>(i)</w:t>
      </w:r>
      <w:r w:rsidRPr="00DB49C6">
        <w:tab/>
      </w:r>
      <w:r w:rsidR="00DB49C6" w:rsidRPr="00DB49C6">
        <w:t xml:space="preserve">Information required </w:t>
      </w:r>
      <w:proofErr w:type="gramStart"/>
      <w:r w:rsidR="00DB49C6" w:rsidRPr="00DB49C6">
        <w:t>to enhance</w:t>
      </w:r>
      <w:proofErr w:type="gramEnd"/>
      <w:r w:rsidR="00DB49C6" w:rsidRPr="00DB49C6">
        <w:t xml:space="preserve"> the use of existing DUS test reports</w:t>
      </w:r>
      <w:r w:rsidRPr="00DB49C6">
        <w:t>;</w:t>
      </w:r>
    </w:p>
    <w:p w:rsidR="008301C2" w:rsidRPr="00DB49C6" w:rsidRDefault="008301C2" w:rsidP="008301C2">
      <w:pPr>
        <w:tabs>
          <w:tab w:val="left" w:pos="1701"/>
        </w:tabs>
        <w:ind w:left="1134" w:hanging="567"/>
      </w:pPr>
      <w:r w:rsidRPr="00DB49C6">
        <w:t>(ii)</w:t>
      </w:r>
      <w:r w:rsidRPr="00DB49C6">
        <w:tab/>
      </w:r>
      <w:r w:rsidR="00DB49C6" w:rsidRPr="00DB49C6">
        <w:t>DUS examination of mutant varieties of apple</w:t>
      </w:r>
      <w:r w:rsidRPr="00DB49C6">
        <w:t>;</w:t>
      </w:r>
    </w:p>
    <w:p w:rsidR="008301C2" w:rsidRPr="00DB49C6" w:rsidRDefault="008301C2" w:rsidP="008301C2">
      <w:pPr>
        <w:tabs>
          <w:tab w:val="left" w:pos="1701"/>
        </w:tabs>
        <w:ind w:left="1134" w:hanging="567"/>
      </w:pPr>
      <w:r w:rsidRPr="00DB49C6">
        <w:t>(iii)</w:t>
      </w:r>
      <w:r w:rsidRPr="00DB49C6">
        <w:tab/>
      </w:r>
      <w:r w:rsidR="00DB49C6">
        <w:t>Access to plant material for the purpose of management of variety collections and DUS examination</w:t>
      </w:r>
      <w:proofErr w:type="gramStart"/>
      <w:r w:rsidRPr="00DB49C6">
        <w:t>;</w:t>
      </w:r>
      <w:proofErr w:type="gramEnd"/>
    </w:p>
    <w:p w:rsidR="008301C2" w:rsidRPr="00DB49C6" w:rsidRDefault="008301C2" w:rsidP="008301C2">
      <w:pPr>
        <w:tabs>
          <w:tab w:val="left" w:pos="1701"/>
        </w:tabs>
        <w:ind w:left="1134" w:hanging="567"/>
      </w:pPr>
      <w:proofErr w:type="gramStart"/>
      <w:r w:rsidRPr="00DB49C6">
        <w:t>(iv)</w:t>
      </w:r>
      <w:r w:rsidRPr="00DB49C6">
        <w:tab/>
      </w:r>
      <w:r w:rsidR="00DB49C6" w:rsidRPr="00DB49C6">
        <w:t>Use</w:t>
      </w:r>
      <w:proofErr w:type="gramEnd"/>
      <w:r w:rsidR="00DB49C6" w:rsidRPr="00DB49C6">
        <w:t xml:space="preserve"> of disease resistance characteristics</w:t>
      </w:r>
      <w:r w:rsidRPr="00DB49C6">
        <w:t>;</w:t>
      </w:r>
    </w:p>
    <w:p w:rsidR="008301C2" w:rsidRPr="00DB49C6" w:rsidRDefault="008301C2" w:rsidP="008301C2">
      <w:pPr>
        <w:tabs>
          <w:tab w:val="left" w:pos="1701"/>
        </w:tabs>
        <w:ind w:left="1134" w:hanging="567"/>
      </w:pPr>
      <w:r w:rsidRPr="00DB49C6">
        <w:t>(v)</w:t>
      </w:r>
      <w:r w:rsidRPr="00DB49C6">
        <w:tab/>
      </w:r>
      <w:r w:rsidR="00DB49C6">
        <w:t>Disease resistance in ornamental crops</w:t>
      </w:r>
      <w:r w:rsidRPr="00DB49C6">
        <w:t>;</w:t>
      </w:r>
    </w:p>
    <w:p w:rsidR="008301C2" w:rsidRPr="00DB49C6" w:rsidRDefault="008301C2" w:rsidP="008301C2">
      <w:pPr>
        <w:tabs>
          <w:tab w:val="left" w:pos="1701"/>
        </w:tabs>
        <w:ind w:left="1134" w:hanging="567"/>
      </w:pPr>
      <w:proofErr w:type="gramStart"/>
      <w:r w:rsidRPr="00DB49C6">
        <w:t>(vi)</w:t>
      </w:r>
      <w:r w:rsidRPr="00DB49C6">
        <w:tab/>
      </w:r>
      <w:r w:rsidR="00DB49C6" w:rsidRPr="00153BC6">
        <w:rPr>
          <w:snapToGrid w:val="0"/>
        </w:rPr>
        <w:t>New</w:t>
      </w:r>
      <w:proofErr w:type="gramEnd"/>
      <w:r w:rsidR="00DB49C6" w:rsidRPr="00153BC6">
        <w:rPr>
          <w:snapToGrid w:val="0"/>
        </w:rPr>
        <w:t xml:space="preserve"> issues arising for DUS examination</w:t>
      </w:r>
      <w:r w:rsidRPr="00DB49C6">
        <w:t>;</w:t>
      </w:r>
    </w:p>
    <w:p w:rsidR="008301C2" w:rsidRPr="00A637D6" w:rsidRDefault="008301C2" w:rsidP="008301C2">
      <w:pPr>
        <w:tabs>
          <w:tab w:val="left" w:pos="1701"/>
        </w:tabs>
        <w:ind w:left="1134" w:hanging="567"/>
      </w:pPr>
      <w:r w:rsidRPr="00A637D6">
        <w:t>(vii)</w:t>
      </w:r>
      <w:r w:rsidRPr="00A637D6">
        <w:tab/>
      </w:r>
      <w:r w:rsidR="00DB49C6">
        <w:t>Experiences with new types and species</w:t>
      </w:r>
      <w:proofErr w:type="gramStart"/>
      <w:r w:rsidRPr="00A637D6">
        <w:t>;</w:t>
      </w:r>
      <w:proofErr w:type="gramEnd"/>
    </w:p>
    <w:p w:rsidR="008301C2" w:rsidRPr="00A637D6" w:rsidRDefault="008301C2" w:rsidP="008301C2">
      <w:pPr>
        <w:tabs>
          <w:tab w:val="left" w:pos="1701"/>
        </w:tabs>
        <w:ind w:left="1134" w:hanging="567"/>
      </w:pPr>
      <w:r w:rsidRPr="00A637D6">
        <w:t>(viii)</w:t>
      </w:r>
      <w:r w:rsidRPr="00A637D6">
        <w:tab/>
      </w:r>
      <w:r w:rsidR="00DB49C6">
        <w:t>Examining hybrid varieties</w:t>
      </w:r>
      <w:proofErr w:type="gramStart"/>
      <w:r w:rsidRPr="00A637D6">
        <w:t>;</w:t>
      </w:r>
      <w:proofErr w:type="gramEnd"/>
      <w:r>
        <w:t xml:space="preserve"> </w:t>
      </w:r>
    </w:p>
    <w:p w:rsidR="00DB49C6" w:rsidRDefault="008301C2" w:rsidP="008301C2">
      <w:pPr>
        <w:tabs>
          <w:tab w:val="left" w:pos="1701"/>
        </w:tabs>
        <w:ind w:left="1134" w:hanging="567"/>
      </w:pPr>
      <w:r w:rsidRPr="00A637D6">
        <w:t>(ix)</w:t>
      </w:r>
      <w:r w:rsidRPr="00A637D6">
        <w:tab/>
      </w:r>
      <w:r w:rsidR="00DB49C6">
        <w:t>New technologies in DUS examination;</w:t>
      </w:r>
    </w:p>
    <w:p w:rsidR="00DB49C6" w:rsidRDefault="00DB49C6" w:rsidP="008301C2">
      <w:pPr>
        <w:tabs>
          <w:tab w:val="left" w:pos="1701"/>
        </w:tabs>
        <w:ind w:left="1134" w:hanging="567"/>
      </w:pPr>
      <w:r>
        <w:t>(x)</w:t>
      </w:r>
      <w:r>
        <w:tab/>
        <w:t>Big data platform for DUS examination;</w:t>
      </w:r>
    </w:p>
    <w:p w:rsidR="008301C2" w:rsidRDefault="00DB49C6" w:rsidP="008301C2">
      <w:pPr>
        <w:tabs>
          <w:tab w:val="left" w:pos="1701"/>
        </w:tabs>
        <w:ind w:left="1134" w:hanging="567"/>
      </w:pPr>
      <w:r>
        <w:t>(xi)</w:t>
      </w:r>
      <w:r>
        <w:tab/>
      </w:r>
      <w:r w:rsidRPr="00DB49C6">
        <w:t>The assessment of color in fruit crops</w:t>
      </w:r>
      <w:r>
        <w:t>; and</w:t>
      </w:r>
    </w:p>
    <w:p w:rsidR="00DB49C6" w:rsidRPr="00A637D6" w:rsidRDefault="00DB49C6" w:rsidP="008301C2">
      <w:pPr>
        <w:tabs>
          <w:tab w:val="left" w:pos="1701"/>
        </w:tabs>
        <w:ind w:left="1134" w:hanging="567"/>
      </w:pPr>
      <w:r>
        <w:t>(xii)</w:t>
      </w:r>
      <w:r>
        <w:tab/>
      </w:r>
      <w:r w:rsidRPr="00F360DA">
        <w:t>Phenotyping and image analysis</w:t>
      </w:r>
    </w:p>
    <w:p w:rsidR="008301C2" w:rsidRPr="002A330A" w:rsidRDefault="008301C2" w:rsidP="008301C2">
      <w:pPr>
        <w:tabs>
          <w:tab w:val="left" w:pos="1701"/>
        </w:tabs>
        <w:rPr>
          <w:rFonts w:cs="Arial"/>
        </w:rPr>
      </w:pPr>
    </w:p>
    <w:p w:rsidR="008301C2" w:rsidRPr="002A330A" w:rsidRDefault="008301C2" w:rsidP="008301C2">
      <w:pPr>
        <w:keepNext/>
        <w:rPr>
          <w:color w:val="000000"/>
        </w:rPr>
      </w:pPr>
      <w:r w:rsidRPr="002A330A">
        <w:rPr>
          <w:color w:val="000000"/>
        </w:rPr>
        <w:fldChar w:fldCharType="begin"/>
      </w:r>
      <w:r w:rsidRPr="002A330A">
        <w:rPr>
          <w:color w:val="000000"/>
        </w:rPr>
        <w:instrText xml:space="preserve"> AUTONUM  </w:instrText>
      </w:r>
      <w:r w:rsidRPr="002A330A">
        <w:rPr>
          <w:color w:val="000000"/>
        </w:rPr>
        <w:fldChar w:fldCharType="end"/>
      </w:r>
      <w:r w:rsidRPr="002A330A">
        <w:rPr>
          <w:color w:val="000000"/>
        </w:rPr>
        <w:tab/>
        <w:t xml:space="preserve">The following abbreviations </w:t>
      </w:r>
      <w:proofErr w:type="gramStart"/>
      <w:r w:rsidRPr="002A330A">
        <w:rPr>
          <w:color w:val="000000"/>
        </w:rPr>
        <w:t>are used</w:t>
      </w:r>
      <w:proofErr w:type="gramEnd"/>
      <w:r w:rsidRPr="002A330A">
        <w:rPr>
          <w:color w:val="000000"/>
        </w:rPr>
        <w:t xml:space="preserve"> in this document:</w:t>
      </w:r>
    </w:p>
    <w:p w:rsidR="008301C2" w:rsidRPr="002A330A" w:rsidRDefault="008301C2" w:rsidP="008301C2">
      <w:pPr>
        <w:keepNext/>
        <w:ind w:left="1692" w:hanging="1125"/>
        <w:jc w:val="left"/>
        <w:rPr>
          <w:color w:val="000000"/>
        </w:rPr>
      </w:pPr>
    </w:p>
    <w:p w:rsidR="008301C2" w:rsidRPr="002A330A" w:rsidRDefault="008301C2" w:rsidP="008301C2">
      <w:pPr>
        <w:keepNext/>
        <w:tabs>
          <w:tab w:val="left" w:pos="567"/>
          <w:tab w:val="left" w:pos="1701"/>
        </w:tabs>
      </w:pPr>
      <w:r w:rsidRPr="002A330A">
        <w:tab/>
        <w:t>CAJ:</w:t>
      </w:r>
      <w:r w:rsidRPr="002A330A">
        <w:tab/>
        <w:t xml:space="preserve">Administrative and Legal Committee </w:t>
      </w:r>
    </w:p>
    <w:p w:rsidR="008301C2" w:rsidRPr="002A330A" w:rsidRDefault="008301C2" w:rsidP="008301C2">
      <w:pPr>
        <w:keepNext/>
        <w:tabs>
          <w:tab w:val="left" w:pos="567"/>
          <w:tab w:val="left" w:pos="1701"/>
        </w:tabs>
      </w:pPr>
      <w:r w:rsidRPr="002A330A">
        <w:tab/>
        <w:t>TC:</w:t>
      </w:r>
      <w:r w:rsidRPr="002A330A">
        <w:tab/>
        <w:t>Technical Committee</w:t>
      </w:r>
    </w:p>
    <w:p w:rsidR="008301C2" w:rsidRPr="002A330A" w:rsidRDefault="008301C2" w:rsidP="008301C2">
      <w:pPr>
        <w:keepNext/>
        <w:tabs>
          <w:tab w:val="left" w:pos="567"/>
          <w:tab w:val="left" w:pos="1701"/>
        </w:tabs>
        <w:rPr>
          <w:rFonts w:eastAsia="PMingLiU"/>
          <w:szCs w:val="24"/>
        </w:rPr>
      </w:pPr>
      <w:r w:rsidRPr="002A330A">
        <w:rPr>
          <w:rFonts w:eastAsia="PMingLiU"/>
          <w:szCs w:val="24"/>
        </w:rPr>
        <w:tab/>
        <w:t>TC-EDC:</w:t>
      </w:r>
      <w:r w:rsidRPr="002A330A">
        <w:rPr>
          <w:rFonts w:eastAsia="PMingLiU"/>
          <w:szCs w:val="24"/>
        </w:rPr>
        <w:tab/>
        <w:t>Enlarged Editorial Committee</w:t>
      </w:r>
    </w:p>
    <w:p w:rsidR="008301C2" w:rsidRPr="002A330A" w:rsidRDefault="008301C2" w:rsidP="008301C2">
      <w:pPr>
        <w:keepNext/>
        <w:tabs>
          <w:tab w:val="left" w:pos="567"/>
          <w:tab w:val="left" w:pos="1701"/>
        </w:tabs>
        <w:rPr>
          <w:rFonts w:eastAsia="PMingLiU"/>
          <w:szCs w:val="24"/>
        </w:rPr>
      </w:pPr>
      <w:r w:rsidRPr="002A330A">
        <w:rPr>
          <w:rFonts w:eastAsia="PMingLiU"/>
          <w:szCs w:val="24"/>
        </w:rPr>
        <w:tab/>
        <w:t>TWA:</w:t>
      </w:r>
      <w:r w:rsidRPr="002A330A">
        <w:rPr>
          <w:rFonts w:eastAsia="PMingLiU"/>
          <w:szCs w:val="24"/>
        </w:rPr>
        <w:tab/>
        <w:t>Technical Working Party for Agricultural Crops</w:t>
      </w:r>
    </w:p>
    <w:p w:rsidR="008301C2" w:rsidRPr="002A330A" w:rsidRDefault="008301C2" w:rsidP="00646AF0">
      <w:pPr>
        <w:tabs>
          <w:tab w:val="left" w:pos="567"/>
          <w:tab w:val="left" w:pos="1701"/>
        </w:tabs>
        <w:rPr>
          <w:rFonts w:eastAsia="PMingLiU"/>
          <w:szCs w:val="24"/>
        </w:rPr>
      </w:pPr>
      <w:r w:rsidRPr="002A330A">
        <w:rPr>
          <w:rFonts w:eastAsia="PMingLiU"/>
          <w:szCs w:val="24"/>
        </w:rPr>
        <w:tab/>
        <w:t>TWC:</w:t>
      </w:r>
      <w:r w:rsidRPr="002A330A">
        <w:rPr>
          <w:rFonts w:eastAsia="PMingLiU"/>
          <w:szCs w:val="24"/>
        </w:rPr>
        <w:tab/>
        <w:t>Technical Working Party on Automation and Computer Programs</w:t>
      </w:r>
    </w:p>
    <w:p w:rsidR="008301C2" w:rsidRDefault="008301C2" w:rsidP="00646AF0">
      <w:pPr>
        <w:tabs>
          <w:tab w:val="left" w:pos="567"/>
          <w:tab w:val="left" w:pos="1701"/>
        </w:tabs>
        <w:rPr>
          <w:rFonts w:eastAsia="PMingLiU"/>
          <w:szCs w:val="24"/>
        </w:rPr>
      </w:pPr>
      <w:r w:rsidRPr="002A330A">
        <w:rPr>
          <w:rFonts w:eastAsia="PMingLiU"/>
          <w:szCs w:val="24"/>
        </w:rPr>
        <w:tab/>
        <w:t xml:space="preserve">TWF: </w:t>
      </w:r>
      <w:r w:rsidRPr="002A330A">
        <w:rPr>
          <w:rFonts w:eastAsia="PMingLiU"/>
          <w:szCs w:val="24"/>
        </w:rPr>
        <w:tab/>
        <w:t>Technical Working Party for Fruit Crops</w:t>
      </w:r>
    </w:p>
    <w:p w:rsidR="009470BB" w:rsidRPr="002A330A" w:rsidRDefault="009470BB" w:rsidP="00646AF0">
      <w:pPr>
        <w:tabs>
          <w:tab w:val="left" w:pos="567"/>
          <w:tab w:val="left" w:pos="1701"/>
        </w:tabs>
        <w:rPr>
          <w:rFonts w:eastAsia="PMingLiU"/>
          <w:szCs w:val="24"/>
        </w:rPr>
      </w:pPr>
      <w:r>
        <w:rPr>
          <w:rFonts w:eastAsia="PMingLiU"/>
          <w:szCs w:val="24"/>
        </w:rPr>
        <w:lastRenderedPageBreak/>
        <w:tab/>
        <w:t>TWM:</w:t>
      </w:r>
      <w:r>
        <w:rPr>
          <w:rFonts w:eastAsia="PMingLiU"/>
          <w:szCs w:val="24"/>
        </w:rPr>
        <w:tab/>
        <w:t xml:space="preserve">Technical Working Party on Testing Methods and Techniques </w:t>
      </w:r>
    </w:p>
    <w:p w:rsidR="008301C2" w:rsidRPr="002A330A" w:rsidRDefault="008301C2" w:rsidP="00646AF0">
      <w:pPr>
        <w:tabs>
          <w:tab w:val="left" w:pos="567"/>
          <w:tab w:val="left" w:pos="1701"/>
        </w:tabs>
        <w:rPr>
          <w:rFonts w:eastAsia="PMingLiU"/>
          <w:szCs w:val="24"/>
        </w:rPr>
      </w:pPr>
      <w:r w:rsidRPr="002A330A">
        <w:rPr>
          <w:rFonts w:eastAsia="PMingLiU"/>
          <w:szCs w:val="24"/>
        </w:rPr>
        <w:tab/>
        <w:t>TWO:</w:t>
      </w:r>
      <w:r w:rsidRPr="002A330A">
        <w:rPr>
          <w:rFonts w:eastAsia="PMingLiU"/>
          <w:szCs w:val="24"/>
        </w:rPr>
        <w:tab/>
        <w:t>Technical Working Party for Ornamental Plants and Forest Trees</w:t>
      </w:r>
    </w:p>
    <w:p w:rsidR="008301C2" w:rsidRPr="002A330A" w:rsidRDefault="008301C2" w:rsidP="00646AF0">
      <w:pPr>
        <w:tabs>
          <w:tab w:val="left" w:pos="567"/>
          <w:tab w:val="left" w:pos="1701"/>
        </w:tabs>
        <w:rPr>
          <w:rFonts w:eastAsia="PMingLiU"/>
          <w:szCs w:val="24"/>
        </w:rPr>
      </w:pPr>
      <w:r w:rsidRPr="002A330A">
        <w:rPr>
          <w:rFonts w:eastAsia="PMingLiU"/>
          <w:szCs w:val="24"/>
        </w:rPr>
        <w:tab/>
        <w:t>TWPs:</w:t>
      </w:r>
      <w:r w:rsidRPr="002A330A">
        <w:rPr>
          <w:rFonts w:eastAsia="PMingLiU"/>
          <w:szCs w:val="24"/>
        </w:rPr>
        <w:tab/>
        <w:t>Technical Working Parties</w:t>
      </w:r>
    </w:p>
    <w:p w:rsidR="008301C2" w:rsidRPr="002A330A" w:rsidRDefault="008301C2" w:rsidP="00646AF0">
      <w:pPr>
        <w:tabs>
          <w:tab w:val="left" w:pos="567"/>
          <w:tab w:val="left" w:pos="1701"/>
        </w:tabs>
        <w:rPr>
          <w:rFonts w:eastAsia="PMingLiU"/>
          <w:szCs w:val="24"/>
        </w:rPr>
      </w:pPr>
      <w:r w:rsidRPr="002A330A">
        <w:rPr>
          <w:rFonts w:eastAsia="PMingLiU"/>
          <w:szCs w:val="24"/>
        </w:rPr>
        <w:tab/>
        <w:t>TWV:</w:t>
      </w:r>
      <w:r w:rsidRPr="002A330A">
        <w:rPr>
          <w:rFonts w:eastAsia="PMingLiU"/>
          <w:szCs w:val="24"/>
        </w:rPr>
        <w:tab/>
        <w:t>Technical Working Party for Vegetables</w:t>
      </w:r>
    </w:p>
    <w:p w:rsidR="008301C2" w:rsidRPr="002A330A" w:rsidRDefault="008301C2" w:rsidP="008301C2">
      <w:pPr>
        <w:rPr>
          <w:highlight w:val="cyan"/>
        </w:rPr>
      </w:pPr>
    </w:p>
    <w:p w:rsidR="008301C2" w:rsidRPr="002A330A" w:rsidRDefault="008301C2" w:rsidP="008301C2">
      <w:r w:rsidRPr="002A330A">
        <w:rPr>
          <w:color w:val="000000"/>
        </w:rPr>
        <w:fldChar w:fldCharType="begin"/>
      </w:r>
      <w:r w:rsidRPr="002A330A">
        <w:rPr>
          <w:color w:val="000000"/>
        </w:rPr>
        <w:instrText xml:space="preserve"> AUTONUM  </w:instrText>
      </w:r>
      <w:r w:rsidRPr="002A330A">
        <w:rPr>
          <w:color w:val="000000"/>
        </w:rPr>
        <w:fldChar w:fldCharType="end"/>
      </w:r>
      <w:r w:rsidRPr="002A330A">
        <w:rPr>
          <w:color w:val="000000"/>
        </w:rPr>
        <w:tab/>
      </w:r>
      <w:r w:rsidRPr="002A330A">
        <w:t>The structure of this document is as follows:</w:t>
      </w:r>
    </w:p>
    <w:p w:rsidR="008301C2" w:rsidRPr="002A330A" w:rsidRDefault="008301C2" w:rsidP="008301C2"/>
    <w:p w:rsidR="00646AF0" w:rsidRDefault="008301C2">
      <w:pPr>
        <w:pStyle w:val="TOC1"/>
        <w:rPr>
          <w:rFonts w:asciiTheme="minorHAnsi" w:eastAsiaTheme="minorEastAsia" w:hAnsiTheme="minorHAnsi" w:cstheme="minorBidi"/>
          <w:caps w:val="0"/>
          <w:noProof/>
          <w:sz w:val="22"/>
          <w:szCs w:val="22"/>
        </w:rPr>
      </w:pPr>
      <w:r w:rsidRPr="002A330A">
        <w:rPr>
          <w:rFonts w:eastAsia="MS Mincho" w:cs="Arial"/>
          <w:noProof/>
          <w:lang w:eastAsia="ja-JP"/>
        </w:rPr>
        <w:fldChar w:fldCharType="begin"/>
      </w:r>
      <w:r w:rsidRPr="002A330A">
        <w:rPr>
          <w:rFonts w:eastAsia="MS Mincho" w:cs="Arial"/>
          <w:noProof/>
          <w:lang w:eastAsia="ja-JP"/>
        </w:rPr>
        <w:instrText xml:space="preserve"> TOC \o "1-2" \u </w:instrText>
      </w:r>
      <w:r w:rsidRPr="002A330A">
        <w:rPr>
          <w:rFonts w:eastAsia="MS Mincho" w:cs="Arial"/>
          <w:noProof/>
          <w:lang w:eastAsia="ja-JP"/>
        </w:rPr>
        <w:fldChar w:fldCharType="separate"/>
      </w:r>
      <w:r w:rsidR="00646AF0">
        <w:rPr>
          <w:noProof/>
        </w:rPr>
        <w:t>EXECUTIVE SUMMARY</w:t>
      </w:r>
      <w:r w:rsidR="00646AF0">
        <w:rPr>
          <w:noProof/>
        </w:rPr>
        <w:tab/>
      </w:r>
      <w:r w:rsidR="00646AF0">
        <w:rPr>
          <w:noProof/>
        </w:rPr>
        <w:fldChar w:fldCharType="begin"/>
      </w:r>
      <w:r w:rsidR="00646AF0">
        <w:rPr>
          <w:noProof/>
        </w:rPr>
        <w:instrText xml:space="preserve"> PAGEREF _Toc115729463 \h </w:instrText>
      </w:r>
      <w:r w:rsidR="00646AF0">
        <w:rPr>
          <w:noProof/>
        </w:rPr>
      </w:r>
      <w:r w:rsidR="00646AF0">
        <w:rPr>
          <w:noProof/>
        </w:rPr>
        <w:fldChar w:fldCharType="separate"/>
      </w:r>
      <w:r w:rsidR="00646AF0">
        <w:rPr>
          <w:noProof/>
        </w:rPr>
        <w:t>1</w:t>
      </w:r>
      <w:r w:rsidR="00646AF0">
        <w:rPr>
          <w:noProof/>
        </w:rPr>
        <w:fldChar w:fldCharType="end"/>
      </w:r>
    </w:p>
    <w:p w:rsidR="00646AF0" w:rsidRDefault="00646AF0">
      <w:pPr>
        <w:pStyle w:val="TOC1"/>
        <w:rPr>
          <w:rFonts w:asciiTheme="minorHAnsi" w:eastAsiaTheme="minorEastAsia" w:hAnsiTheme="minorHAnsi" w:cstheme="minorBidi"/>
          <w:caps w:val="0"/>
          <w:noProof/>
          <w:sz w:val="22"/>
          <w:szCs w:val="22"/>
        </w:rPr>
      </w:pPr>
      <w:r w:rsidRPr="0025458C">
        <w:rPr>
          <w:noProof/>
        </w:rPr>
        <w:t>Matters for information and for a possible decision to be taken by the Technical Committee (TC)</w:t>
      </w:r>
      <w:r>
        <w:rPr>
          <w:noProof/>
        </w:rPr>
        <w:tab/>
      </w:r>
      <w:r>
        <w:rPr>
          <w:noProof/>
        </w:rPr>
        <w:fldChar w:fldCharType="begin"/>
      </w:r>
      <w:r>
        <w:rPr>
          <w:noProof/>
        </w:rPr>
        <w:instrText xml:space="preserve"> PAGEREF _Toc115729464 \h </w:instrText>
      </w:r>
      <w:r>
        <w:rPr>
          <w:noProof/>
        </w:rPr>
      </w:r>
      <w:r>
        <w:rPr>
          <w:noProof/>
        </w:rPr>
        <w:fldChar w:fldCharType="separate"/>
      </w:r>
      <w:r>
        <w:rPr>
          <w:noProof/>
        </w:rPr>
        <w:t>2</w:t>
      </w:r>
      <w:r>
        <w:rPr>
          <w:noProof/>
        </w:rPr>
        <w:fldChar w:fldCharType="end"/>
      </w:r>
    </w:p>
    <w:p w:rsidR="00646AF0" w:rsidRDefault="00646AF0">
      <w:pPr>
        <w:pStyle w:val="TOC1"/>
        <w:rPr>
          <w:rFonts w:asciiTheme="minorHAnsi" w:eastAsiaTheme="minorEastAsia" w:hAnsiTheme="minorHAnsi" w:cstheme="minorBidi"/>
          <w:caps w:val="0"/>
          <w:noProof/>
          <w:sz w:val="22"/>
          <w:szCs w:val="22"/>
        </w:rPr>
      </w:pPr>
      <w:r w:rsidRPr="0025458C">
        <w:rPr>
          <w:noProof/>
        </w:rPr>
        <w:t>Matters for information</w:t>
      </w:r>
      <w:r>
        <w:rPr>
          <w:noProof/>
        </w:rPr>
        <w:tab/>
      </w:r>
      <w:r>
        <w:rPr>
          <w:noProof/>
        </w:rPr>
        <w:fldChar w:fldCharType="begin"/>
      </w:r>
      <w:r>
        <w:rPr>
          <w:noProof/>
        </w:rPr>
        <w:instrText xml:space="preserve"> PAGEREF _Toc115729465 \h </w:instrText>
      </w:r>
      <w:r>
        <w:rPr>
          <w:noProof/>
        </w:rPr>
      </w:r>
      <w:r>
        <w:rPr>
          <w:noProof/>
        </w:rPr>
        <w:fldChar w:fldCharType="separate"/>
      </w:r>
      <w:r>
        <w:rPr>
          <w:noProof/>
        </w:rPr>
        <w:t>2</w:t>
      </w:r>
      <w:r>
        <w:rPr>
          <w:noProof/>
        </w:rPr>
        <w:fldChar w:fldCharType="end"/>
      </w:r>
    </w:p>
    <w:p w:rsidR="00646AF0" w:rsidRDefault="00646AF0" w:rsidP="00037992">
      <w:pPr>
        <w:pStyle w:val="TOC2"/>
        <w:rPr>
          <w:rFonts w:asciiTheme="minorHAnsi" w:eastAsiaTheme="minorEastAsia" w:hAnsiTheme="minorHAnsi" w:cstheme="minorBidi"/>
          <w:smallCaps/>
          <w:noProof/>
          <w:sz w:val="22"/>
          <w:szCs w:val="22"/>
        </w:rPr>
      </w:pPr>
      <w:r>
        <w:rPr>
          <w:noProof/>
        </w:rPr>
        <w:t>Information required to enhance the use of existing DUS test reports</w:t>
      </w:r>
      <w:r>
        <w:rPr>
          <w:noProof/>
        </w:rPr>
        <w:tab/>
      </w:r>
      <w:r>
        <w:rPr>
          <w:noProof/>
        </w:rPr>
        <w:fldChar w:fldCharType="begin"/>
      </w:r>
      <w:r>
        <w:rPr>
          <w:noProof/>
        </w:rPr>
        <w:instrText xml:space="preserve"> PAGEREF _Toc115729466 \h </w:instrText>
      </w:r>
      <w:r>
        <w:rPr>
          <w:noProof/>
        </w:rPr>
      </w:r>
      <w:r>
        <w:rPr>
          <w:noProof/>
        </w:rPr>
        <w:fldChar w:fldCharType="separate"/>
      </w:r>
      <w:r>
        <w:rPr>
          <w:noProof/>
        </w:rPr>
        <w:t>2</w:t>
      </w:r>
      <w:r>
        <w:rPr>
          <w:noProof/>
        </w:rPr>
        <w:fldChar w:fldCharType="end"/>
      </w:r>
    </w:p>
    <w:p w:rsidR="00646AF0" w:rsidRDefault="00646AF0" w:rsidP="00037992">
      <w:pPr>
        <w:pStyle w:val="TOC2"/>
        <w:rPr>
          <w:rFonts w:asciiTheme="minorHAnsi" w:eastAsiaTheme="minorEastAsia" w:hAnsiTheme="minorHAnsi" w:cstheme="minorBidi"/>
          <w:smallCaps/>
          <w:noProof/>
          <w:sz w:val="22"/>
          <w:szCs w:val="22"/>
        </w:rPr>
      </w:pPr>
      <w:r>
        <w:rPr>
          <w:noProof/>
        </w:rPr>
        <w:t>DUS examination of mutant varieties of apple</w:t>
      </w:r>
      <w:r>
        <w:rPr>
          <w:noProof/>
        </w:rPr>
        <w:tab/>
      </w:r>
      <w:r>
        <w:rPr>
          <w:noProof/>
        </w:rPr>
        <w:fldChar w:fldCharType="begin"/>
      </w:r>
      <w:r>
        <w:rPr>
          <w:noProof/>
        </w:rPr>
        <w:instrText xml:space="preserve"> PAGEREF _Toc115729467 \h </w:instrText>
      </w:r>
      <w:r>
        <w:rPr>
          <w:noProof/>
        </w:rPr>
      </w:r>
      <w:r>
        <w:rPr>
          <w:noProof/>
        </w:rPr>
        <w:fldChar w:fldCharType="separate"/>
      </w:r>
      <w:r>
        <w:rPr>
          <w:noProof/>
        </w:rPr>
        <w:t>2</w:t>
      </w:r>
      <w:r>
        <w:rPr>
          <w:noProof/>
        </w:rPr>
        <w:fldChar w:fldCharType="end"/>
      </w:r>
    </w:p>
    <w:p w:rsidR="00646AF0" w:rsidRDefault="00646AF0" w:rsidP="00037992">
      <w:pPr>
        <w:pStyle w:val="TOC2"/>
        <w:rPr>
          <w:rFonts w:asciiTheme="minorHAnsi" w:eastAsiaTheme="minorEastAsia" w:hAnsiTheme="minorHAnsi" w:cstheme="minorBidi"/>
          <w:smallCaps/>
          <w:noProof/>
          <w:sz w:val="22"/>
          <w:szCs w:val="22"/>
        </w:rPr>
      </w:pPr>
      <w:r>
        <w:rPr>
          <w:noProof/>
        </w:rPr>
        <w:t>Access to plant material for the purpose of management of variety collections and DUS examination</w:t>
      </w:r>
      <w:r>
        <w:rPr>
          <w:noProof/>
        </w:rPr>
        <w:tab/>
      </w:r>
      <w:r>
        <w:rPr>
          <w:noProof/>
        </w:rPr>
        <w:fldChar w:fldCharType="begin"/>
      </w:r>
      <w:r>
        <w:rPr>
          <w:noProof/>
        </w:rPr>
        <w:instrText xml:space="preserve"> PAGEREF _Toc115729468 \h </w:instrText>
      </w:r>
      <w:r>
        <w:rPr>
          <w:noProof/>
        </w:rPr>
      </w:r>
      <w:r>
        <w:rPr>
          <w:noProof/>
        </w:rPr>
        <w:fldChar w:fldCharType="separate"/>
      </w:r>
      <w:r>
        <w:rPr>
          <w:noProof/>
        </w:rPr>
        <w:t>3</w:t>
      </w:r>
      <w:r>
        <w:rPr>
          <w:noProof/>
        </w:rPr>
        <w:fldChar w:fldCharType="end"/>
      </w:r>
    </w:p>
    <w:p w:rsidR="00646AF0" w:rsidRDefault="00646AF0" w:rsidP="00037992">
      <w:pPr>
        <w:pStyle w:val="TOC2"/>
        <w:rPr>
          <w:rFonts w:asciiTheme="minorHAnsi" w:eastAsiaTheme="minorEastAsia" w:hAnsiTheme="minorHAnsi" w:cstheme="minorBidi"/>
          <w:smallCaps/>
          <w:noProof/>
          <w:sz w:val="22"/>
          <w:szCs w:val="22"/>
        </w:rPr>
      </w:pPr>
      <w:r w:rsidRPr="0025458C">
        <w:rPr>
          <w:noProof/>
          <w:snapToGrid w:val="0"/>
        </w:rPr>
        <w:t>Use of disease resistance characteristics</w:t>
      </w:r>
      <w:r>
        <w:rPr>
          <w:noProof/>
        </w:rPr>
        <w:tab/>
      </w:r>
      <w:r>
        <w:rPr>
          <w:noProof/>
        </w:rPr>
        <w:fldChar w:fldCharType="begin"/>
      </w:r>
      <w:r>
        <w:rPr>
          <w:noProof/>
        </w:rPr>
        <w:instrText xml:space="preserve"> PAGEREF _Toc115729469 \h </w:instrText>
      </w:r>
      <w:r>
        <w:rPr>
          <w:noProof/>
        </w:rPr>
      </w:r>
      <w:r>
        <w:rPr>
          <w:noProof/>
        </w:rPr>
        <w:fldChar w:fldCharType="separate"/>
      </w:r>
      <w:r>
        <w:rPr>
          <w:noProof/>
        </w:rPr>
        <w:t>3</w:t>
      </w:r>
      <w:r>
        <w:rPr>
          <w:noProof/>
        </w:rPr>
        <w:fldChar w:fldCharType="end"/>
      </w:r>
    </w:p>
    <w:p w:rsidR="00646AF0" w:rsidRDefault="00646AF0" w:rsidP="00037992">
      <w:pPr>
        <w:pStyle w:val="TOC2"/>
        <w:rPr>
          <w:rFonts w:asciiTheme="minorHAnsi" w:eastAsiaTheme="minorEastAsia" w:hAnsiTheme="minorHAnsi" w:cstheme="minorBidi"/>
          <w:smallCaps/>
          <w:noProof/>
          <w:sz w:val="22"/>
          <w:szCs w:val="22"/>
        </w:rPr>
      </w:pPr>
      <w:r>
        <w:rPr>
          <w:noProof/>
        </w:rPr>
        <w:t>Disease resistance in ornamental crops</w:t>
      </w:r>
      <w:r>
        <w:rPr>
          <w:noProof/>
        </w:rPr>
        <w:tab/>
      </w:r>
      <w:r>
        <w:rPr>
          <w:noProof/>
        </w:rPr>
        <w:fldChar w:fldCharType="begin"/>
      </w:r>
      <w:r>
        <w:rPr>
          <w:noProof/>
        </w:rPr>
        <w:instrText xml:space="preserve"> PAGEREF _Toc115729470 \h </w:instrText>
      </w:r>
      <w:r>
        <w:rPr>
          <w:noProof/>
        </w:rPr>
      </w:r>
      <w:r>
        <w:rPr>
          <w:noProof/>
        </w:rPr>
        <w:fldChar w:fldCharType="separate"/>
      </w:r>
      <w:r>
        <w:rPr>
          <w:noProof/>
        </w:rPr>
        <w:t>3</w:t>
      </w:r>
      <w:r>
        <w:rPr>
          <w:noProof/>
        </w:rPr>
        <w:fldChar w:fldCharType="end"/>
      </w:r>
    </w:p>
    <w:p w:rsidR="00646AF0" w:rsidRDefault="00646AF0" w:rsidP="00037992">
      <w:pPr>
        <w:pStyle w:val="TOC2"/>
        <w:rPr>
          <w:rFonts w:asciiTheme="minorHAnsi" w:eastAsiaTheme="minorEastAsia" w:hAnsiTheme="minorHAnsi" w:cstheme="minorBidi"/>
          <w:smallCaps/>
          <w:noProof/>
          <w:sz w:val="22"/>
          <w:szCs w:val="22"/>
        </w:rPr>
      </w:pPr>
      <w:r w:rsidRPr="0025458C">
        <w:rPr>
          <w:noProof/>
          <w:snapToGrid w:val="0"/>
        </w:rPr>
        <w:t>New issues arising for DUS examination</w:t>
      </w:r>
      <w:r>
        <w:rPr>
          <w:noProof/>
        </w:rPr>
        <w:tab/>
      </w:r>
      <w:r>
        <w:rPr>
          <w:noProof/>
        </w:rPr>
        <w:fldChar w:fldCharType="begin"/>
      </w:r>
      <w:r>
        <w:rPr>
          <w:noProof/>
        </w:rPr>
        <w:instrText xml:space="preserve"> PAGEREF _Toc115729471 \h </w:instrText>
      </w:r>
      <w:r>
        <w:rPr>
          <w:noProof/>
        </w:rPr>
      </w:r>
      <w:r>
        <w:rPr>
          <w:noProof/>
        </w:rPr>
        <w:fldChar w:fldCharType="separate"/>
      </w:r>
      <w:r>
        <w:rPr>
          <w:noProof/>
        </w:rPr>
        <w:t>3</w:t>
      </w:r>
      <w:r>
        <w:rPr>
          <w:noProof/>
        </w:rPr>
        <w:fldChar w:fldCharType="end"/>
      </w:r>
    </w:p>
    <w:p w:rsidR="00646AF0" w:rsidRDefault="00646AF0" w:rsidP="00037992">
      <w:pPr>
        <w:pStyle w:val="TOC2"/>
        <w:rPr>
          <w:rFonts w:asciiTheme="minorHAnsi" w:eastAsiaTheme="minorEastAsia" w:hAnsiTheme="minorHAnsi" w:cstheme="minorBidi"/>
          <w:smallCaps/>
          <w:noProof/>
          <w:sz w:val="22"/>
          <w:szCs w:val="22"/>
        </w:rPr>
      </w:pPr>
      <w:r>
        <w:rPr>
          <w:noProof/>
        </w:rPr>
        <w:t>Experiences with new types and species</w:t>
      </w:r>
      <w:r>
        <w:rPr>
          <w:noProof/>
        </w:rPr>
        <w:tab/>
      </w:r>
      <w:r>
        <w:rPr>
          <w:noProof/>
        </w:rPr>
        <w:fldChar w:fldCharType="begin"/>
      </w:r>
      <w:r>
        <w:rPr>
          <w:noProof/>
        </w:rPr>
        <w:instrText xml:space="preserve"> PAGEREF _Toc115729472 \h </w:instrText>
      </w:r>
      <w:r>
        <w:rPr>
          <w:noProof/>
        </w:rPr>
      </w:r>
      <w:r>
        <w:rPr>
          <w:noProof/>
        </w:rPr>
        <w:fldChar w:fldCharType="separate"/>
      </w:r>
      <w:r>
        <w:rPr>
          <w:noProof/>
        </w:rPr>
        <w:t>3</w:t>
      </w:r>
      <w:r>
        <w:rPr>
          <w:noProof/>
        </w:rPr>
        <w:fldChar w:fldCharType="end"/>
      </w:r>
    </w:p>
    <w:p w:rsidR="00646AF0" w:rsidRDefault="00646AF0" w:rsidP="00037992">
      <w:pPr>
        <w:pStyle w:val="TOC2"/>
        <w:rPr>
          <w:rFonts w:asciiTheme="minorHAnsi" w:eastAsiaTheme="minorEastAsia" w:hAnsiTheme="minorHAnsi" w:cstheme="minorBidi"/>
          <w:smallCaps/>
          <w:noProof/>
          <w:sz w:val="22"/>
          <w:szCs w:val="22"/>
        </w:rPr>
      </w:pPr>
      <w:r>
        <w:rPr>
          <w:noProof/>
        </w:rPr>
        <w:t>Examining hybrid varieties</w:t>
      </w:r>
      <w:r>
        <w:rPr>
          <w:noProof/>
        </w:rPr>
        <w:tab/>
      </w:r>
      <w:r>
        <w:rPr>
          <w:noProof/>
        </w:rPr>
        <w:fldChar w:fldCharType="begin"/>
      </w:r>
      <w:r>
        <w:rPr>
          <w:noProof/>
        </w:rPr>
        <w:instrText xml:space="preserve"> PAGEREF _Toc115729473 \h </w:instrText>
      </w:r>
      <w:r>
        <w:rPr>
          <w:noProof/>
        </w:rPr>
      </w:r>
      <w:r>
        <w:rPr>
          <w:noProof/>
        </w:rPr>
        <w:fldChar w:fldCharType="separate"/>
      </w:r>
      <w:r>
        <w:rPr>
          <w:noProof/>
        </w:rPr>
        <w:t>4</w:t>
      </w:r>
      <w:r>
        <w:rPr>
          <w:noProof/>
        </w:rPr>
        <w:fldChar w:fldCharType="end"/>
      </w:r>
    </w:p>
    <w:p w:rsidR="00646AF0" w:rsidRDefault="00646AF0" w:rsidP="00037992">
      <w:pPr>
        <w:pStyle w:val="TOC2"/>
        <w:rPr>
          <w:rFonts w:asciiTheme="minorHAnsi" w:eastAsiaTheme="minorEastAsia" w:hAnsiTheme="minorHAnsi" w:cstheme="minorBidi"/>
          <w:smallCaps/>
          <w:noProof/>
          <w:sz w:val="22"/>
          <w:szCs w:val="22"/>
        </w:rPr>
      </w:pPr>
      <w:r>
        <w:rPr>
          <w:noProof/>
        </w:rPr>
        <w:t>New technologies in DUS examination</w:t>
      </w:r>
      <w:r>
        <w:rPr>
          <w:noProof/>
        </w:rPr>
        <w:tab/>
      </w:r>
      <w:r>
        <w:rPr>
          <w:noProof/>
        </w:rPr>
        <w:fldChar w:fldCharType="begin"/>
      </w:r>
      <w:r>
        <w:rPr>
          <w:noProof/>
        </w:rPr>
        <w:instrText xml:space="preserve"> PAGEREF _Toc115729474 \h </w:instrText>
      </w:r>
      <w:r>
        <w:rPr>
          <w:noProof/>
        </w:rPr>
      </w:r>
      <w:r>
        <w:rPr>
          <w:noProof/>
        </w:rPr>
        <w:fldChar w:fldCharType="separate"/>
      </w:r>
      <w:r>
        <w:rPr>
          <w:noProof/>
        </w:rPr>
        <w:t>4</w:t>
      </w:r>
      <w:r>
        <w:rPr>
          <w:noProof/>
        </w:rPr>
        <w:fldChar w:fldCharType="end"/>
      </w:r>
    </w:p>
    <w:p w:rsidR="00646AF0" w:rsidRDefault="00646AF0" w:rsidP="00037992">
      <w:pPr>
        <w:pStyle w:val="TOC2"/>
        <w:rPr>
          <w:rFonts w:asciiTheme="minorHAnsi" w:eastAsiaTheme="minorEastAsia" w:hAnsiTheme="minorHAnsi" w:cstheme="minorBidi"/>
          <w:smallCaps/>
          <w:noProof/>
          <w:sz w:val="22"/>
          <w:szCs w:val="22"/>
        </w:rPr>
      </w:pPr>
      <w:r>
        <w:rPr>
          <w:noProof/>
        </w:rPr>
        <w:t>Big data platform for DUS examination</w:t>
      </w:r>
      <w:r>
        <w:rPr>
          <w:noProof/>
        </w:rPr>
        <w:tab/>
      </w:r>
      <w:r>
        <w:rPr>
          <w:noProof/>
        </w:rPr>
        <w:fldChar w:fldCharType="begin"/>
      </w:r>
      <w:r>
        <w:rPr>
          <w:noProof/>
        </w:rPr>
        <w:instrText xml:space="preserve"> PAGEREF _Toc115729475 \h </w:instrText>
      </w:r>
      <w:r>
        <w:rPr>
          <w:noProof/>
        </w:rPr>
      </w:r>
      <w:r>
        <w:rPr>
          <w:noProof/>
        </w:rPr>
        <w:fldChar w:fldCharType="separate"/>
      </w:r>
      <w:r>
        <w:rPr>
          <w:noProof/>
        </w:rPr>
        <w:t>4</w:t>
      </w:r>
      <w:r>
        <w:rPr>
          <w:noProof/>
        </w:rPr>
        <w:fldChar w:fldCharType="end"/>
      </w:r>
    </w:p>
    <w:p w:rsidR="00646AF0" w:rsidRDefault="00646AF0" w:rsidP="00037992">
      <w:pPr>
        <w:pStyle w:val="TOC2"/>
        <w:rPr>
          <w:rFonts w:asciiTheme="minorHAnsi" w:eastAsiaTheme="minorEastAsia" w:hAnsiTheme="minorHAnsi" w:cstheme="minorBidi"/>
          <w:smallCaps/>
          <w:noProof/>
          <w:sz w:val="22"/>
          <w:szCs w:val="22"/>
        </w:rPr>
      </w:pPr>
      <w:r>
        <w:rPr>
          <w:noProof/>
        </w:rPr>
        <w:t>The assessment of color in fruit crops</w:t>
      </w:r>
      <w:r>
        <w:rPr>
          <w:noProof/>
        </w:rPr>
        <w:tab/>
      </w:r>
      <w:r>
        <w:rPr>
          <w:noProof/>
        </w:rPr>
        <w:fldChar w:fldCharType="begin"/>
      </w:r>
      <w:r>
        <w:rPr>
          <w:noProof/>
        </w:rPr>
        <w:instrText xml:space="preserve"> PAGEREF _Toc115729476 \h </w:instrText>
      </w:r>
      <w:r>
        <w:rPr>
          <w:noProof/>
        </w:rPr>
      </w:r>
      <w:r>
        <w:rPr>
          <w:noProof/>
        </w:rPr>
        <w:fldChar w:fldCharType="separate"/>
      </w:r>
      <w:r>
        <w:rPr>
          <w:noProof/>
        </w:rPr>
        <w:t>4</w:t>
      </w:r>
      <w:r>
        <w:rPr>
          <w:noProof/>
        </w:rPr>
        <w:fldChar w:fldCharType="end"/>
      </w:r>
    </w:p>
    <w:p w:rsidR="00646AF0" w:rsidRDefault="00646AF0" w:rsidP="00037992">
      <w:pPr>
        <w:pStyle w:val="TOC2"/>
        <w:rPr>
          <w:rFonts w:asciiTheme="minorHAnsi" w:eastAsiaTheme="minorEastAsia" w:hAnsiTheme="minorHAnsi" w:cstheme="minorBidi"/>
          <w:smallCaps/>
          <w:noProof/>
          <w:sz w:val="22"/>
          <w:szCs w:val="22"/>
        </w:rPr>
      </w:pPr>
      <w:r>
        <w:rPr>
          <w:noProof/>
        </w:rPr>
        <w:t>Phenotyping and image analysis</w:t>
      </w:r>
      <w:r>
        <w:rPr>
          <w:noProof/>
        </w:rPr>
        <w:tab/>
      </w:r>
      <w:r>
        <w:rPr>
          <w:noProof/>
        </w:rPr>
        <w:fldChar w:fldCharType="begin"/>
      </w:r>
      <w:r>
        <w:rPr>
          <w:noProof/>
        </w:rPr>
        <w:instrText xml:space="preserve"> PAGEREF _Toc115729477 \h </w:instrText>
      </w:r>
      <w:r>
        <w:rPr>
          <w:noProof/>
        </w:rPr>
      </w:r>
      <w:r>
        <w:rPr>
          <w:noProof/>
        </w:rPr>
        <w:fldChar w:fldCharType="separate"/>
      </w:r>
      <w:r>
        <w:rPr>
          <w:noProof/>
        </w:rPr>
        <w:t>4</w:t>
      </w:r>
      <w:r>
        <w:rPr>
          <w:noProof/>
        </w:rPr>
        <w:fldChar w:fldCharType="end"/>
      </w:r>
    </w:p>
    <w:p w:rsidR="008301C2" w:rsidRPr="002A330A" w:rsidRDefault="008301C2" w:rsidP="00037992">
      <w:pPr>
        <w:rPr>
          <w:rFonts w:ascii="Calibri" w:hAnsi="Calibri"/>
          <w:noProof/>
          <w:sz w:val="22"/>
          <w:szCs w:val="22"/>
        </w:rPr>
      </w:pPr>
      <w:r w:rsidRPr="002A330A">
        <w:rPr>
          <w:rFonts w:eastAsia="MS Mincho" w:cs="Arial"/>
          <w:bCs/>
          <w:i/>
          <w:noProof/>
          <w:lang w:eastAsia="ja-JP"/>
        </w:rPr>
        <w:fldChar w:fldCharType="end"/>
      </w:r>
      <w:r w:rsidRPr="002A330A">
        <w:rPr>
          <w:caps/>
          <w:sz w:val="18"/>
        </w:rPr>
        <w:fldChar w:fldCharType="begin"/>
      </w:r>
      <w:r w:rsidRPr="002A330A">
        <w:instrText xml:space="preserve"> TOC \o "1-3" \h \z \u </w:instrText>
      </w:r>
      <w:r w:rsidRPr="002A330A">
        <w:rPr>
          <w:caps/>
          <w:sz w:val="18"/>
        </w:rPr>
        <w:fldChar w:fldCharType="separate"/>
      </w:r>
    </w:p>
    <w:p w:rsidR="008301C2" w:rsidRPr="002A330A" w:rsidRDefault="008301C2" w:rsidP="008301C2">
      <w:pPr>
        <w:tabs>
          <w:tab w:val="left" w:pos="567"/>
        </w:tabs>
        <w:rPr>
          <w:rFonts w:cs="Arial"/>
        </w:rPr>
      </w:pPr>
      <w:r w:rsidRPr="002A330A">
        <w:fldChar w:fldCharType="end"/>
      </w:r>
    </w:p>
    <w:p w:rsidR="008301C2" w:rsidRPr="002A330A" w:rsidRDefault="008301C2" w:rsidP="008301C2">
      <w:pPr>
        <w:keepNext/>
        <w:outlineLvl w:val="0"/>
        <w:rPr>
          <w:rFonts w:eastAsia="PMingLiU"/>
          <w:caps/>
          <w:szCs w:val="24"/>
        </w:rPr>
      </w:pPr>
      <w:bookmarkStart w:id="3" w:name="_Toc20505078"/>
      <w:bookmarkStart w:id="4" w:name="_Toc527377892"/>
      <w:bookmarkStart w:id="5" w:name="_Toc441497828"/>
      <w:bookmarkStart w:id="6" w:name="_Toc115729464"/>
      <w:r w:rsidRPr="002A330A">
        <w:rPr>
          <w:caps/>
        </w:rPr>
        <w:t>Matters for information and for a possible decision to be taken by the Technical Committee (TC)</w:t>
      </w:r>
      <w:bookmarkEnd w:id="3"/>
      <w:bookmarkEnd w:id="4"/>
      <w:bookmarkEnd w:id="5"/>
      <w:bookmarkEnd w:id="6"/>
    </w:p>
    <w:p w:rsidR="008301C2" w:rsidRPr="002A330A" w:rsidRDefault="008301C2" w:rsidP="008301C2"/>
    <w:p w:rsidR="008301C2" w:rsidRPr="002A330A" w:rsidRDefault="008301C2" w:rsidP="008301C2">
      <w:r w:rsidRPr="002A330A">
        <w:fldChar w:fldCharType="begin"/>
      </w:r>
      <w:r w:rsidRPr="002A330A">
        <w:instrText xml:space="preserve"> AUTONUM  </w:instrText>
      </w:r>
      <w:r w:rsidRPr="002A330A">
        <w:fldChar w:fldCharType="end"/>
      </w:r>
      <w:r w:rsidRPr="002A330A">
        <w:tab/>
        <w:t>There are no matters for a decision by the Technical Committee at its fifty-</w:t>
      </w:r>
      <w:r w:rsidR="00646AF0">
        <w:t>eight</w:t>
      </w:r>
      <w:r w:rsidRPr="002A330A">
        <w:t xml:space="preserve"> session.</w:t>
      </w:r>
    </w:p>
    <w:p w:rsidR="008301C2" w:rsidRPr="002A330A" w:rsidRDefault="008301C2" w:rsidP="008301C2"/>
    <w:p w:rsidR="008301C2" w:rsidRPr="002A330A" w:rsidRDefault="008301C2" w:rsidP="008301C2"/>
    <w:p w:rsidR="008301C2" w:rsidRPr="002A330A" w:rsidRDefault="008301C2" w:rsidP="008301C2">
      <w:pPr>
        <w:keepNext/>
        <w:outlineLvl w:val="0"/>
        <w:rPr>
          <w:caps/>
        </w:rPr>
      </w:pPr>
      <w:bookmarkStart w:id="7" w:name="_Toc20505079"/>
      <w:bookmarkStart w:id="8" w:name="_Toc527377899"/>
      <w:bookmarkStart w:id="9" w:name="_Toc441497830"/>
      <w:bookmarkStart w:id="10" w:name="_Toc115729465"/>
      <w:r w:rsidRPr="002A330A">
        <w:rPr>
          <w:caps/>
        </w:rPr>
        <w:t>Matters for information</w:t>
      </w:r>
      <w:bookmarkEnd w:id="7"/>
      <w:bookmarkEnd w:id="8"/>
      <w:bookmarkEnd w:id="9"/>
      <w:bookmarkEnd w:id="10"/>
    </w:p>
    <w:p w:rsidR="00831EE0" w:rsidRDefault="00831EE0" w:rsidP="00831EE0"/>
    <w:p w:rsidR="00831EE0" w:rsidRDefault="00831EE0" w:rsidP="00831EE0">
      <w:pPr>
        <w:pStyle w:val="Heading2"/>
      </w:pPr>
      <w:bookmarkStart w:id="11" w:name="_Toc115729466"/>
      <w:r>
        <w:t>Information required to enhance the use of existing DUS test reports</w:t>
      </w:r>
      <w:bookmarkEnd w:id="11"/>
    </w:p>
    <w:p w:rsidR="00831EE0" w:rsidRDefault="00831EE0" w:rsidP="00831EE0"/>
    <w:p w:rsidR="00831EE0" w:rsidRPr="009879FF" w:rsidRDefault="00831EE0" w:rsidP="00831EE0">
      <w:r>
        <w:fldChar w:fldCharType="begin"/>
      </w:r>
      <w:r>
        <w:instrText xml:space="preserve"> AUTONUM  </w:instrText>
      </w:r>
      <w:r>
        <w:fldChar w:fldCharType="end"/>
      </w:r>
      <w:r>
        <w:tab/>
        <w:t>The TWF considered document TWF/53/6 presented by an expert from New Zealand (see document TWF/53/14 “Report”, paragraphs 61 to 64).</w:t>
      </w:r>
    </w:p>
    <w:p w:rsidR="00831EE0" w:rsidRDefault="00831EE0" w:rsidP="00831EE0"/>
    <w:p w:rsidR="00831EE0" w:rsidRDefault="00831EE0" w:rsidP="00831EE0">
      <w:r>
        <w:fldChar w:fldCharType="begin"/>
      </w:r>
      <w:r>
        <w:instrText xml:space="preserve"> AUTONUM  </w:instrText>
      </w:r>
      <w:r>
        <w:fldChar w:fldCharType="end"/>
      </w:r>
      <w:r>
        <w:tab/>
        <w:t xml:space="preserve">The TWF considered the information to </w:t>
      </w:r>
      <w:proofErr w:type="gramStart"/>
      <w:r>
        <w:t>be provided</w:t>
      </w:r>
      <w:proofErr w:type="gramEnd"/>
      <w:r>
        <w:t xml:space="preserve"> in a UPOV variety description to further promote the exchange and takeover of DUS test reports.  The TWF agreed that information should always be provided in Section 16 “Similar Varieties and Differences from These Varieties” to clarify the existence or not of similar varieties.  </w:t>
      </w:r>
    </w:p>
    <w:p w:rsidR="00831EE0" w:rsidRDefault="00831EE0" w:rsidP="00831EE0"/>
    <w:p w:rsidR="00831EE0" w:rsidRDefault="00831EE0" w:rsidP="00831EE0">
      <w:r>
        <w:fldChar w:fldCharType="begin"/>
      </w:r>
      <w:r>
        <w:instrText xml:space="preserve"> AUTONUM  </w:instrText>
      </w:r>
      <w:r>
        <w:fldChar w:fldCharType="end"/>
      </w:r>
      <w:r>
        <w:tab/>
        <w:t xml:space="preserve">The TWF noted the different possibilities to provide information in Section 16, including </w:t>
      </w:r>
      <w:proofErr w:type="gramStart"/>
      <w:r>
        <w:t>to list</w:t>
      </w:r>
      <w:proofErr w:type="gramEnd"/>
      <w:r>
        <w:t xml:space="preserve"> one or several </w:t>
      </w:r>
      <w:r>
        <w:rPr>
          <w:rFonts w:eastAsia="Calibri"/>
        </w:rPr>
        <w:t>varieties considered as most similar; and listing only one or multiple characteristics per variety providing distinctness.  The TWF agreed that it should always be indicated when no similar varieties had been identified.</w:t>
      </w:r>
    </w:p>
    <w:p w:rsidR="00831EE0" w:rsidRDefault="00831EE0" w:rsidP="00831EE0"/>
    <w:p w:rsidR="00831EE0" w:rsidRDefault="00831EE0" w:rsidP="00831EE0">
      <w:r>
        <w:fldChar w:fldCharType="begin"/>
      </w:r>
      <w:r>
        <w:instrText xml:space="preserve"> AUTONUM  </w:instrText>
      </w:r>
      <w:r>
        <w:fldChar w:fldCharType="end"/>
      </w:r>
      <w:r>
        <w:tab/>
        <w:t xml:space="preserve">The TWF agreed that discussions </w:t>
      </w:r>
      <w:proofErr w:type="gramStart"/>
      <w:r>
        <w:t>should be continued</w:t>
      </w:r>
      <w:proofErr w:type="gramEnd"/>
      <w:r>
        <w:t xml:space="preserve"> and invited the expert from New Zealand with support of the experts from Australia, Canada, European Union, France, Germany and Italy to develop a proposal for guidance on how to complete Section 16 of the UPOV variety description.  </w:t>
      </w:r>
    </w:p>
    <w:p w:rsidR="00831EE0" w:rsidRDefault="00831EE0" w:rsidP="00831EE0"/>
    <w:p w:rsidR="005104A9" w:rsidRDefault="005104A9" w:rsidP="005104A9"/>
    <w:p w:rsidR="005104A9" w:rsidRDefault="005104A9" w:rsidP="005104A9">
      <w:pPr>
        <w:pStyle w:val="Heading2"/>
      </w:pPr>
      <w:bookmarkStart w:id="12" w:name="_Toc115729467"/>
      <w:r>
        <w:t>DUS examination of mutant varieties of apple</w:t>
      </w:r>
      <w:bookmarkEnd w:id="12"/>
    </w:p>
    <w:p w:rsidR="005104A9" w:rsidRDefault="005104A9" w:rsidP="005104A9"/>
    <w:p w:rsidR="005104A9" w:rsidRDefault="005104A9" w:rsidP="005104A9">
      <w:r>
        <w:fldChar w:fldCharType="begin"/>
      </w:r>
      <w:r>
        <w:instrText xml:space="preserve"> AUTONUM  </w:instrText>
      </w:r>
      <w:r>
        <w:fldChar w:fldCharType="end"/>
      </w:r>
      <w:r>
        <w:tab/>
        <w:t xml:space="preserve">The TWF received a presentation on “Apple mutants and disclosure of Parentage” from an expert from Canada.  A copy of the presentation </w:t>
      </w:r>
      <w:proofErr w:type="gramStart"/>
      <w:r>
        <w:t>is provided</w:t>
      </w:r>
      <w:proofErr w:type="gramEnd"/>
      <w:r>
        <w:t xml:space="preserve"> in document TWF/53/10 (see document TWF/53/14 “Report”, paragraphs 53 to 55).</w:t>
      </w:r>
    </w:p>
    <w:p w:rsidR="005104A9" w:rsidRDefault="005104A9" w:rsidP="005104A9"/>
    <w:p w:rsidR="005104A9" w:rsidRDefault="005104A9" w:rsidP="005104A9">
      <w:r>
        <w:fldChar w:fldCharType="begin"/>
      </w:r>
      <w:r>
        <w:instrText xml:space="preserve"> AUTONUM  </w:instrText>
      </w:r>
      <w:r>
        <w:fldChar w:fldCharType="end"/>
      </w:r>
      <w:r>
        <w:tab/>
        <w:t xml:space="preserve">The TWF considered whether to create a common database for mutant varieties of apple to </w:t>
      </w:r>
      <w:proofErr w:type="gramStart"/>
      <w:r>
        <w:t>be made</w:t>
      </w:r>
      <w:proofErr w:type="gramEnd"/>
      <w:r>
        <w:t xml:space="preserve"> available on the UPOV website.  The TWF noted the reports from Australia, Brazil and Canada that there could be limitations to disclosing the parentage of candidate varieties in their countries.  The TWF agreed that variety information would have value for DUS examination in case the parentage </w:t>
      </w:r>
      <w:proofErr w:type="gramStart"/>
      <w:r>
        <w:t>was also provided</w:t>
      </w:r>
      <w:proofErr w:type="gramEnd"/>
      <w:r>
        <w:t>.</w:t>
      </w:r>
    </w:p>
    <w:p w:rsidR="005104A9" w:rsidRDefault="005104A9" w:rsidP="005104A9"/>
    <w:p w:rsidR="005104A9" w:rsidRDefault="005104A9" w:rsidP="005104A9">
      <w:r>
        <w:fldChar w:fldCharType="begin"/>
      </w:r>
      <w:r>
        <w:instrText xml:space="preserve"> AUTONUM  </w:instrText>
      </w:r>
      <w:r>
        <w:fldChar w:fldCharType="end"/>
      </w:r>
      <w:r>
        <w:tab/>
        <w:t xml:space="preserve">The TWF agreed to invite the European Union to review the previous practice of collecting information on applications filed for the protection of mutant varieties of apple and report the outcome at the next session.  The TWF agreed that the information collected </w:t>
      </w:r>
      <w:proofErr w:type="gramStart"/>
      <w:r>
        <w:t>should only be shared</w:t>
      </w:r>
      <w:proofErr w:type="gramEnd"/>
      <w:r>
        <w:t xml:space="preserve"> among authorities and not to be made publicly available.</w:t>
      </w:r>
    </w:p>
    <w:p w:rsidR="005104A9" w:rsidRDefault="005104A9" w:rsidP="005104A9"/>
    <w:p w:rsidR="005104A9" w:rsidRDefault="005104A9" w:rsidP="005104A9"/>
    <w:p w:rsidR="005104A9" w:rsidRDefault="005104A9" w:rsidP="005104A9">
      <w:pPr>
        <w:pStyle w:val="Heading2"/>
      </w:pPr>
      <w:bookmarkStart w:id="13" w:name="_Toc115729468"/>
      <w:r>
        <w:t>Access to plant material for the purpose of management of variety collections and DUS examination</w:t>
      </w:r>
      <w:bookmarkEnd w:id="13"/>
    </w:p>
    <w:p w:rsidR="005104A9" w:rsidRDefault="005104A9" w:rsidP="005104A9">
      <w:pPr>
        <w:keepNext/>
      </w:pPr>
    </w:p>
    <w:p w:rsidR="005104A9" w:rsidRDefault="005104A9" w:rsidP="005104A9">
      <w:pPr>
        <w:keepNext/>
      </w:pPr>
      <w:r>
        <w:fldChar w:fldCharType="begin"/>
      </w:r>
      <w:r>
        <w:instrText xml:space="preserve"> AUTONUM  </w:instrText>
      </w:r>
      <w:r>
        <w:fldChar w:fldCharType="end"/>
      </w:r>
      <w:r>
        <w:tab/>
        <w:t xml:space="preserve">The TWF received a presentation on “Access to plant material for the purpose of management of variety collections and DUS examination” by an expert from the European Union.  A copy of the presentation and a model letter for requesting plant material </w:t>
      </w:r>
      <w:proofErr w:type="gramStart"/>
      <w:r>
        <w:t>are provided</w:t>
      </w:r>
      <w:proofErr w:type="gramEnd"/>
      <w:r>
        <w:t xml:space="preserve"> in document TWF/53/11 (see document TWF/53/14 “Report”, paragraphs 56 to 57).</w:t>
      </w:r>
    </w:p>
    <w:p w:rsidR="005104A9" w:rsidRDefault="005104A9" w:rsidP="005104A9"/>
    <w:p w:rsidR="005104A9" w:rsidRDefault="005104A9" w:rsidP="005104A9">
      <w:r>
        <w:fldChar w:fldCharType="begin"/>
      </w:r>
      <w:r>
        <w:instrText xml:space="preserve"> AUTONUM  </w:instrText>
      </w:r>
      <w:r>
        <w:fldChar w:fldCharType="end"/>
      </w:r>
      <w:r>
        <w:tab/>
        <w:t xml:space="preserve">The TWF agreed to invite the European Union with the support of Canada, France, Germany, Italy and New Zealand to draft a list of elements to be included in requests for submission of plant material of the candidate variety and for varieties of common knowledge for DUS examination. The TWF agreed that the draft elements </w:t>
      </w:r>
      <w:proofErr w:type="gramStart"/>
      <w:r>
        <w:t>may</w:t>
      </w:r>
      <w:proofErr w:type="gramEnd"/>
      <w:r>
        <w:t xml:space="preserve"> be developed for a future Technical Guidance document.  The TWF agreed to invite the European Union to report developments at its fifty-fourth session. </w:t>
      </w:r>
    </w:p>
    <w:p w:rsidR="001C1341" w:rsidRDefault="001C1341" w:rsidP="00445B73">
      <w:pPr>
        <w:jc w:val="left"/>
        <w:rPr>
          <w:snapToGrid w:val="0"/>
        </w:rPr>
      </w:pPr>
    </w:p>
    <w:p w:rsidR="001C1341" w:rsidRPr="002D1B80" w:rsidRDefault="001C1341" w:rsidP="001C1341">
      <w:pPr>
        <w:jc w:val="left"/>
      </w:pPr>
    </w:p>
    <w:p w:rsidR="001C1341" w:rsidRPr="002D1B80" w:rsidRDefault="001C1341" w:rsidP="001C1341">
      <w:pPr>
        <w:pStyle w:val="Heading2"/>
      </w:pPr>
      <w:bookmarkStart w:id="14" w:name="_Toc115729469"/>
      <w:r w:rsidRPr="002D1B80">
        <w:rPr>
          <w:snapToGrid w:val="0"/>
        </w:rPr>
        <w:t>Use of disease resistance characteristics</w:t>
      </w:r>
      <w:bookmarkEnd w:id="14"/>
    </w:p>
    <w:p w:rsidR="001C1341" w:rsidRPr="002D1B80" w:rsidRDefault="001C1341" w:rsidP="001C1341"/>
    <w:p w:rsidR="001C1341" w:rsidRPr="00153BC6" w:rsidRDefault="001C1341" w:rsidP="001C1341">
      <w:r w:rsidRPr="00153BC6">
        <w:fldChar w:fldCharType="begin"/>
      </w:r>
      <w:r w:rsidRPr="00153BC6">
        <w:instrText xml:space="preserve"> AUTONUM  </w:instrText>
      </w:r>
      <w:r w:rsidRPr="00153BC6">
        <w:fldChar w:fldCharType="end"/>
      </w:r>
      <w:r w:rsidRPr="00153BC6">
        <w:tab/>
        <w:t>The TWV received a presentation on “</w:t>
      </w:r>
      <w:proofErr w:type="spellStart"/>
      <w:r w:rsidRPr="00153BC6">
        <w:t>Harmorescoll</w:t>
      </w:r>
      <w:proofErr w:type="spellEnd"/>
      <w:r w:rsidRPr="00153BC6">
        <w:t xml:space="preserve"> - Towards a harmonized collection of reference material for DUS resistance tests” by an expert from France.  A copy of the presentation </w:t>
      </w:r>
      <w:proofErr w:type="gramStart"/>
      <w:r w:rsidRPr="00153BC6">
        <w:t>is provided</w:t>
      </w:r>
      <w:proofErr w:type="gramEnd"/>
      <w:r w:rsidRPr="00153BC6">
        <w:t xml:space="preserve"> in document TWV/56/6 Corr.</w:t>
      </w:r>
      <w:r w:rsidR="00BE7F98">
        <w:t xml:space="preserve"> (see document TWV/56/22 “Report”, </w:t>
      </w:r>
      <w:r>
        <w:t>paragraph 74)</w:t>
      </w:r>
      <w:r w:rsidR="00BE7F98">
        <w:t>.</w:t>
      </w:r>
    </w:p>
    <w:p w:rsidR="001C1341" w:rsidRDefault="001C1341" w:rsidP="001C1341"/>
    <w:p w:rsidR="005104A9" w:rsidRDefault="005104A9" w:rsidP="001C1341"/>
    <w:p w:rsidR="00006EED" w:rsidRDefault="00006EED" w:rsidP="00006EED">
      <w:pPr>
        <w:pStyle w:val="Heading2"/>
      </w:pPr>
      <w:bookmarkStart w:id="15" w:name="_Toc115729470"/>
      <w:r>
        <w:t>Disease resistance in ornamental crops</w:t>
      </w:r>
      <w:bookmarkEnd w:id="15"/>
    </w:p>
    <w:p w:rsidR="00006EED" w:rsidRDefault="00006EED" w:rsidP="00006EED">
      <w:pPr>
        <w:keepNext/>
      </w:pPr>
    </w:p>
    <w:p w:rsidR="00006EED" w:rsidRDefault="00006EED" w:rsidP="00006EED">
      <w:r>
        <w:fldChar w:fldCharType="begin"/>
      </w:r>
      <w:r>
        <w:instrText xml:space="preserve"> AUTONUM  </w:instrText>
      </w:r>
      <w:r>
        <w:fldChar w:fldCharType="end"/>
      </w:r>
      <w:r>
        <w:tab/>
        <w:t xml:space="preserve">The TWO received a presentation on “Resistance to </w:t>
      </w:r>
      <w:proofErr w:type="spellStart"/>
      <w:r>
        <w:rPr>
          <w:i/>
        </w:rPr>
        <w:t>Puccinia</w:t>
      </w:r>
      <w:proofErr w:type="spellEnd"/>
      <w:r>
        <w:rPr>
          <w:i/>
        </w:rPr>
        <w:t xml:space="preserve"> </w:t>
      </w:r>
      <w:proofErr w:type="spellStart"/>
      <w:r>
        <w:rPr>
          <w:i/>
        </w:rPr>
        <w:t>horiana</w:t>
      </w:r>
      <w:proofErr w:type="spellEnd"/>
      <w:r>
        <w:t xml:space="preserve"> in Chrysanthemum - Progress report concerning a potential new DUS characteristic” by an expert from the Netherlands.  A copy of the presentation </w:t>
      </w:r>
      <w:proofErr w:type="gramStart"/>
      <w:r>
        <w:t>is provided</w:t>
      </w:r>
      <w:proofErr w:type="gramEnd"/>
      <w:r>
        <w:t xml:space="preserve"> in document TWO/54/4.  The TWO noted work reported and agreed to invite the expert from the Netherlands to report developments at its fifty-fifth session</w:t>
      </w:r>
      <w:r w:rsidR="00BE7F98">
        <w:t xml:space="preserve"> (see document TWO/54/6 “Report”, </w:t>
      </w:r>
      <w:r>
        <w:t>paragraphs 37 to 39)</w:t>
      </w:r>
      <w:r w:rsidR="00BE7F98">
        <w:t>.</w:t>
      </w:r>
    </w:p>
    <w:p w:rsidR="00006EED" w:rsidRDefault="00006EED" w:rsidP="00006EED"/>
    <w:p w:rsidR="00006EED" w:rsidRDefault="00006EED" w:rsidP="00006EED">
      <w:r>
        <w:fldChar w:fldCharType="begin"/>
      </w:r>
      <w:r>
        <w:instrText xml:space="preserve"> AUTONUM  </w:instrText>
      </w:r>
      <w:r>
        <w:fldChar w:fldCharType="end"/>
      </w:r>
      <w:r>
        <w:tab/>
        <w:t xml:space="preserve">The TWO noted that resistance to </w:t>
      </w:r>
      <w:r>
        <w:rPr>
          <w:i/>
        </w:rPr>
        <w:t xml:space="preserve">P. </w:t>
      </w:r>
      <w:proofErr w:type="spellStart"/>
      <w:r>
        <w:rPr>
          <w:i/>
        </w:rPr>
        <w:t>horiana</w:t>
      </w:r>
      <w:proofErr w:type="spellEnd"/>
      <w:r>
        <w:t xml:space="preserve"> is a current breeding objective and that it </w:t>
      </w:r>
      <w:proofErr w:type="gramStart"/>
      <w:r>
        <w:t>was not yet used</w:t>
      </w:r>
      <w:proofErr w:type="gramEnd"/>
      <w:r>
        <w:t xml:space="preserve"> in DUS examination. The TWO noted the invitation for further participation in the development of the methodology to assess the characteristic. </w:t>
      </w:r>
    </w:p>
    <w:p w:rsidR="00006EED" w:rsidRDefault="00006EED" w:rsidP="00006EED"/>
    <w:p w:rsidR="00006EED" w:rsidRDefault="00006EED" w:rsidP="00006EED">
      <w:r>
        <w:fldChar w:fldCharType="begin"/>
      </w:r>
      <w:r>
        <w:instrText xml:space="preserve"> AUTONUM  </w:instrText>
      </w:r>
      <w:r>
        <w:fldChar w:fldCharType="end"/>
      </w:r>
      <w:r>
        <w:tab/>
        <w:t xml:space="preserve">The TWO noted the particular requirements for maintenance of the isolates of </w:t>
      </w:r>
      <w:r>
        <w:rPr>
          <w:i/>
        </w:rPr>
        <w:t xml:space="preserve">P. </w:t>
      </w:r>
      <w:proofErr w:type="spellStart"/>
      <w:r>
        <w:rPr>
          <w:i/>
        </w:rPr>
        <w:t>horiana</w:t>
      </w:r>
      <w:proofErr w:type="spellEnd"/>
      <w:r>
        <w:t xml:space="preserve"> and agreed that further consideration would be required before introducing such characteristic in the Test Guidelines for Chrysanthemum.</w:t>
      </w:r>
    </w:p>
    <w:p w:rsidR="00006EED" w:rsidRDefault="00006EED" w:rsidP="001C1341"/>
    <w:p w:rsidR="005104A9" w:rsidRPr="00153BC6" w:rsidRDefault="005104A9" w:rsidP="001C1341"/>
    <w:p w:rsidR="001C1341" w:rsidRPr="00153BC6" w:rsidRDefault="001C1341" w:rsidP="001C1341">
      <w:pPr>
        <w:pStyle w:val="Heading2"/>
      </w:pPr>
      <w:bookmarkStart w:id="16" w:name="_Toc115729471"/>
      <w:r w:rsidRPr="00153BC6">
        <w:rPr>
          <w:snapToGrid w:val="0"/>
        </w:rPr>
        <w:t>New issues arising for DUS examination</w:t>
      </w:r>
      <w:bookmarkEnd w:id="16"/>
    </w:p>
    <w:p w:rsidR="001C1341" w:rsidRPr="00153BC6" w:rsidRDefault="001C1341" w:rsidP="001C1341"/>
    <w:p w:rsidR="001C1341" w:rsidRPr="002D1B80" w:rsidRDefault="001C1341" w:rsidP="001C1341">
      <w:r w:rsidRPr="00153BC6">
        <w:fldChar w:fldCharType="begin"/>
      </w:r>
      <w:r w:rsidRPr="00153BC6">
        <w:instrText xml:space="preserve"> AUTONUM  </w:instrText>
      </w:r>
      <w:r w:rsidRPr="00153BC6">
        <w:fldChar w:fldCharType="end"/>
      </w:r>
      <w:r w:rsidRPr="00153BC6">
        <w:tab/>
        <w:t xml:space="preserve">The TWV received the following presentations made by experts from the European Union, copies of which </w:t>
      </w:r>
      <w:proofErr w:type="gramStart"/>
      <w:r w:rsidRPr="00153BC6">
        <w:t>are provided</w:t>
      </w:r>
      <w:proofErr w:type="gramEnd"/>
      <w:r w:rsidRPr="00153BC6">
        <w:t xml:space="preserve"> in document TWV/56/14</w:t>
      </w:r>
      <w:r>
        <w:t xml:space="preserve"> (paragraph 75)</w:t>
      </w:r>
      <w:r w:rsidRPr="00153BC6">
        <w:t>:</w:t>
      </w:r>
    </w:p>
    <w:p w:rsidR="001C1341" w:rsidRPr="002D1B80" w:rsidRDefault="001C1341" w:rsidP="001C1341"/>
    <w:p w:rsidR="001C1341" w:rsidRPr="002D1B80" w:rsidRDefault="001C1341" w:rsidP="001C1341">
      <w:pPr>
        <w:pStyle w:val="ListParagraph"/>
        <w:numPr>
          <w:ilvl w:val="2"/>
          <w:numId w:val="2"/>
        </w:numPr>
        <w:ind w:left="1134" w:hanging="567"/>
      </w:pPr>
      <w:r w:rsidRPr="002D1B80">
        <w:t>“Characteristics with one single observation in multi-annual testing”;</w:t>
      </w:r>
    </w:p>
    <w:p w:rsidR="001C1341" w:rsidRPr="002D1B80" w:rsidRDefault="001C1341" w:rsidP="001C1341">
      <w:pPr>
        <w:pStyle w:val="ListParagraph"/>
        <w:numPr>
          <w:ilvl w:val="2"/>
          <w:numId w:val="2"/>
        </w:numPr>
        <w:ind w:left="1134" w:hanging="567"/>
      </w:pPr>
      <w:r w:rsidRPr="002D1B80">
        <w:t>“Acceptance of final reports based on variety descriptions with the same notes”;</w:t>
      </w:r>
    </w:p>
    <w:p w:rsidR="001C1341" w:rsidRPr="002D1B80" w:rsidRDefault="001C1341" w:rsidP="001C1341">
      <w:pPr>
        <w:pStyle w:val="ListParagraph"/>
        <w:numPr>
          <w:ilvl w:val="2"/>
          <w:numId w:val="2"/>
        </w:numPr>
        <w:ind w:left="1134" w:hanging="567"/>
      </w:pPr>
      <w:r w:rsidRPr="002D1B80">
        <w:t>“Issue of reporting of the absence of similar varieties mentioned under chapter 16 of variety descriptions”.</w:t>
      </w:r>
    </w:p>
    <w:p w:rsidR="00AC3A8C" w:rsidRDefault="00AC3A8C" w:rsidP="00AC3A8C"/>
    <w:p w:rsidR="005104A9" w:rsidRDefault="005104A9" w:rsidP="00AC3A8C"/>
    <w:p w:rsidR="00AC3A8C" w:rsidRDefault="00AC3A8C" w:rsidP="00646AF0">
      <w:pPr>
        <w:pStyle w:val="Heading2"/>
      </w:pPr>
      <w:bookmarkStart w:id="17" w:name="_Toc115729472"/>
      <w:r>
        <w:t>Experiences with new types and species</w:t>
      </w:r>
      <w:bookmarkEnd w:id="17"/>
    </w:p>
    <w:p w:rsidR="00AC3A8C" w:rsidRDefault="00AC3A8C" w:rsidP="00646AF0">
      <w:pPr>
        <w:keepNext/>
      </w:pPr>
    </w:p>
    <w:p w:rsidR="00AC3A8C" w:rsidRDefault="00AC3A8C" w:rsidP="00646AF0">
      <w:pPr>
        <w:keepNext/>
      </w:pPr>
      <w:r>
        <w:fldChar w:fldCharType="begin"/>
      </w:r>
      <w:r>
        <w:instrText xml:space="preserve"> AUTONUM  </w:instrText>
      </w:r>
      <w:r>
        <w:fldChar w:fldCharType="end"/>
      </w:r>
      <w:r>
        <w:tab/>
        <w:t xml:space="preserve">The TWO received a report from an expert from the European Union on applications received for ornamental varieties of </w:t>
      </w:r>
      <w:proofErr w:type="spellStart"/>
      <w:r>
        <w:rPr>
          <w:i/>
        </w:rPr>
        <w:t>Colocasia</w:t>
      </w:r>
      <w:proofErr w:type="spellEnd"/>
      <w:r>
        <w:rPr>
          <w:i/>
        </w:rPr>
        <w:t xml:space="preserve"> </w:t>
      </w:r>
      <w:proofErr w:type="spellStart"/>
      <w:r>
        <w:rPr>
          <w:i/>
        </w:rPr>
        <w:t>esculenta</w:t>
      </w:r>
      <w:proofErr w:type="spellEnd"/>
      <w:r>
        <w:t xml:space="preserve"> (L.) Schott.  The TWO noted that the Test Guidelines for </w:t>
      </w:r>
      <w:proofErr w:type="spellStart"/>
      <w:r>
        <w:t>Colocasia</w:t>
      </w:r>
      <w:proofErr w:type="spellEnd"/>
      <w:r>
        <w:t xml:space="preserve"> (document TG/255/1) </w:t>
      </w:r>
      <w:proofErr w:type="gramStart"/>
      <w:r>
        <w:t>was not developed for ornamental varieties and noted there was no experience among participants in DUS examination of the crop</w:t>
      </w:r>
      <w:proofErr w:type="gramEnd"/>
      <w:r>
        <w:t>.  (</w:t>
      </w:r>
      <w:proofErr w:type="gramStart"/>
      <w:r>
        <w:t>paragraph</w:t>
      </w:r>
      <w:proofErr w:type="gramEnd"/>
      <w:r>
        <w:t xml:space="preserve"> 63)</w:t>
      </w:r>
    </w:p>
    <w:p w:rsidR="00370794" w:rsidRDefault="00370794" w:rsidP="0045207C"/>
    <w:p w:rsidR="00370794" w:rsidRDefault="00370794" w:rsidP="00370794"/>
    <w:p w:rsidR="00370794" w:rsidRDefault="00370794" w:rsidP="00370794">
      <w:pPr>
        <w:pStyle w:val="Heading2"/>
      </w:pPr>
      <w:bookmarkStart w:id="18" w:name="_Toc115729473"/>
      <w:r>
        <w:t>Examining hybrid varieties</w:t>
      </w:r>
      <w:bookmarkEnd w:id="18"/>
    </w:p>
    <w:p w:rsidR="00370794" w:rsidRDefault="00370794" w:rsidP="00370794"/>
    <w:p w:rsidR="00370794" w:rsidRDefault="00370794" w:rsidP="00370794">
      <w:r>
        <w:fldChar w:fldCharType="begin"/>
      </w:r>
      <w:r>
        <w:instrText xml:space="preserve"> AUTONUM  </w:instrText>
      </w:r>
      <w:r>
        <w:fldChar w:fldCharType="end"/>
      </w:r>
      <w:r>
        <w:tab/>
        <w:t xml:space="preserve">The TWA received a presentation on “Examining Wheat Hybrids” by an expert from the United Kingdom.  A copy of the presentation </w:t>
      </w:r>
      <w:proofErr w:type="gramStart"/>
      <w:r>
        <w:t>is provided</w:t>
      </w:r>
      <w:proofErr w:type="gramEnd"/>
      <w:r>
        <w:t xml:space="preserve"> in document TWA/51/10.  The TWA agreed </w:t>
      </w:r>
      <w:proofErr w:type="gramStart"/>
      <w:r>
        <w:t>that there was not enough experience with DUS examination of wheat hybrids produced through different methods of propagation to consider amending uniformity standards in the Test Guidelines (see document TWA/51/11 “Report”, paragraph 40)</w:t>
      </w:r>
      <w:proofErr w:type="gramEnd"/>
      <w:r>
        <w:t>.</w:t>
      </w:r>
    </w:p>
    <w:p w:rsidR="00370794" w:rsidRDefault="00370794" w:rsidP="00370794"/>
    <w:p w:rsidR="005104A9" w:rsidRDefault="005104A9" w:rsidP="005104A9">
      <w:pPr>
        <w:jc w:val="left"/>
      </w:pPr>
    </w:p>
    <w:p w:rsidR="005104A9" w:rsidRDefault="005104A9" w:rsidP="005104A9">
      <w:pPr>
        <w:pStyle w:val="Heading2"/>
      </w:pPr>
      <w:bookmarkStart w:id="19" w:name="_Toc115729474"/>
      <w:r>
        <w:t>New technologies in DUS examination</w:t>
      </w:r>
      <w:bookmarkEnd w:id="19"/>
    </w:p>
    <w:p w:rsidR="005104A9" w:rsidRDefault="005104A9" w:rsidP="005104A9"/>
    <w:p w:rsidR="005104A9" w:rsidRDefault="005104A9" w:rsidP="005104A9">
      <w:r>
        <w:fldChar w:fldCharType="begin"/>
      </w:r>
      <w:r>
        <w:instrText xml:space="preserve"> AUTONUM  </w:instrText>
      </w:r>
      <w:r>
        <w:fldChar w:fldCharType="end"/>
      </w:r>
      <w:r>
        <w:tab/>
        <w:t xml:space="preserve">The TWA received a presentation on “Estimation of plant length in winter wheat by drone imaging” by an expert from Denmark.  A copy of the presentation </w:t>
      </w:r>
      <w:proofErr w:type="gramStart"/>
      <w:r>
        <w:t>is provided</w:t>
      </w:r>
      <w:proofErr w:type="gramEnd"/>
      <w:r>
        <w:t xml:space="preserve"> in document TWA/51/6.  The TWA noted the work reported and agreed to invite the expert from Denmark to report developments at its fifty-second session (see document TWA/51/11 “Report”, paragraph 38).</w:t>
      </w:r>
    </w:p>
    <w:p w:rsidR="005104A9" w:rsidRDefault="005104A9" w:rsidP="005104A9">
      <w:pPr>
        <w:jc w:val="left"/>
      </w:pPr>
    </w:p>
    <w:p w:rsidR="0045207C" w:rsidRDefault="0045207C" w:rsidP="0045207C"/>
    <w:p w:rsidR="00831EE0" w:rsidRDefault="00831EE0" w:rsidP="00831EE0">
      <w:pPr>
        <w:pStyle w:val="Heading2"/>
      </w:pPr>
      <w:bookmarkStart w:id="20" w:name="_Toc115729475"/>
      <w:r>
        <w:t>Big data platform for DUS examination</w:t>
      </w:r>
      <w:bookmarkEnd w:id="20"/>
    </w:p>
    <w:p w:rsidR="00831EE0" w:rsidRDefault="00831EE0" w:rsidP="00831EE0"/>
    <w:p w:rsidR="00831EE0" w:rsidRDefault="00831EE0" w:rsidP="00831EE0">
      <w:r>
        <w:fldChar w:fldCharType="begin"/>
      </w:r>
      <w:r>
        <w:instrText xml:space="preserve"> AUTONUM  </w:instrText>
      </w:r>
      <w:r>
        <w:fldChar w:fldCharType="end"/>
      </w:r>
      <w:r>
        <w:tab/>
        <w:t xml:space="preserve">The TWA received a presentation on “Big Data Platform for DUS Examination” by an expert from China.  A copy of the presentation </w:t>
      </w:r>
      <w:proofErr w:type="gramStart"/>
      <w:r>
        <w:t>is provided</w:t>
      </w:r>
      <w:proofErr w:type="gramEnd"/>
      <w:r>
        <w:t xml:space="preserve"> in document TWA/51/7.  The TWA noted the work reported agreed to invite the expert from China to report developments at its fifty-second session (see document TWA/51/11 “Report”, paragraph 39).</w:t>
      </w:r>
    </w:p>
    <w:p w:rsidR="00370794" w:rsidRDefault="00370794" w:rsidP="00370794">
      <w:pPr>
        <w:jc w:val="left"/>
      </w:pPr>
    </w:p>
    <w:p w:rsidR="005104A9" w:rsidRDefault="005104A9" w:rsidP="005104A9"/>
    <w:p w:rsidR="005104A9" w:rsidRDefault="005104A9" w:rsidP="005104A9">
      <w:pPr>
        <w:keepNext/>
        <w:keepLines/>
      </w:pPr>
      <w:bookmarkStart w:id="21" w:name="_Toc115729476"/>
      <w:r>
        <w:rPr>
          <w:rStyle w:val="Heading2Char"/>
        </w:rPr>
        <w:t>The assessment of color in fruit crops</w:t>
      </w:r>
      <w:bookmarkEnd w:id="21"/>
    </w:p>
    <w:p w:rsidR="005104A9" w:rsidRDefault="005104A9" w:rsidP="005104A9">
      <w:pPr>
        <w:keepNext/>
        <w:keepLines/>
      </w:pPr>
    </w:p>
    <w:p w:rsidR="005104A9" w:rsidRDefault="005104A9" w:rsidP="005104A9">
      <w:pPr>
        <w:keepNext/>
        <w:keepLines/>
        <w:autoSpaceDE w:val="0"/>
        <w:autoSpaceDN w:val="0"/>
        <w:adjustRightInd w:val="0"/>
      </w:pPr>
      <w:r>
        <w:fldChar w:fldCharType="begin"/>
      </w:r>
      <w:r>
        <w:instrText xml:space="preserve"> AUTONUM  </w:instrText>
      </w:r>
      <w:r>
        <w:fldChar w:fldCharType="end"/>
      </w:r>
      <w:r>
        <w:tab/>
        <w:t xml:space="preserve">The TWF received a presentation on “The Assessment of Color in Fruit Crops: A Different Approach?” from an expert from New Zealand.  A copy of the presentation </w:t>
      </w:r>
      <w:proofErr w:type="gramStart"/>
      <w:r>
        <w:t>is provided</w:t>
      </w:r>
      <w:proofErr w:type="gramEnd"/>
      <w:r>
        <w:t xml:space="preserve"> in document TWF/53/5 (see document TWF/53/14 “Report”, paragraphs 58 to 60).</w:t>
      </w:r>
    </w:p>
    <w:p w:rsidR="005104A9" w:rsidRDefault="005104A9" w:rsidP="005104A9">
      <w:pPr>
        <w:keepNext/>
        <w:keepLines/>
      </w:pPr>
    </w:p>
    <w:p w:rsidR="005104A9" w:rsidRDefault="005104A9" w:rsidP="005104A9">
      <w:r>
        <w:fldChar w:fldCharType="begin"/>
      </w:r>
      <w:r>
        <w:instrText xml:space="preserve"> AUTONUM  </w:instrText>
      </w:r>
      <w:r>
        <w:fldChar w:fldCharType="end"/>
      </w:r>
      <w:r>
        <w:tab/>
        <w:t xml:space="preserve">The TWF noted that RHS </w:t>
      </w:r>
      <w:proofErr w:type="spellStart"/>
      <w:r>
        <w:t>Colour</w:t>
      </w:r>
      <w:proofErr w:type="spellEnd"/>
      <w:r>
        <w:t xml:space="preserve"> Charts </w:t>
      </w:r>
      <w:proofErr w:type="gramStart"/>
      <w:r>
        <w:t>were being considered</w:t>
      </w:r>
      <w:proofErr w:type="gramEnd"/>
      <w:r>
        <w:t xml:space="preserve"> in New Zealand for the assessment of color in fruit crops.  The TWF noted a range of challenges to assessing color in fruit crops and agreed that the use of color charts </w:t>
      </w:r>
      <w:proofErr w:type="gramStart"/>
      <w:r>
        <w:t>could be considered</w:t>
      </w:r>
      <w:proofErr w:type="gramEnd"/>
      <w:r>
        <w:t xml:space="preserve"> for variety descriptions and in support of observations. </w:t>
      </w:r>
    </w:p>
    <w:p w:rsidR="005104A9" w:rsidRDefault="005104A9" w:rsidP="005104A9"/>
    <w:p w:rsidR="005104A9" w:rsidRDefault="005104A9" w:rsidP="005104A9">
      <w:r>
        <w:fldChar w:fldCharType="begin"/>
      </w:r>
      <w:r>
        <w:instrText xml:space="preserve"> AUTONUM  </w:instrText>
      </w:r>
      <w:r>
        <w:fldChar w:fldCharType="end"/>
      </w:r>
      <w:r>
        <w:tab/>
        <w:t xml:space="preserve">The TWF agreed to include an agenda item and invite presentations on alternative methods for the assessment of color in fruit crops at its Fifty-Fourth session.  </w:t>
      </w:r>
    </w:p>
    <w:p w:rsidR="00370794" w:rsidRDefault="00370794" w:rsidP="00F671F0">
      <w:pPr>
        <w:jc w:val="left"/>
      </w:pPr>
    </w:p>
    <w:p w:rsidR="005104A9" w:rsidRDefault="005104A9" w:rsidP="00F671F0">
      <w:pPr>
        <w:jc w:val="left"/>
      </w:pPr>
    </w:p>
    <w:p w:rsidR="00F671F0" w:rsidRPr="00F360DA" w:rsidRDefault="00F671F0" w:rsidP="00F671F0">
      <w:pPr>
        <w:pStyle w:val="Heading2"/>
      </w:pPr>
      <w:bookmarkStart w:id="22" w:name="_Toc115729477"/>
      <w:r w:rsidRPr="00F360DA">
        <w:t>Phenotyping and image analysis</w:t>
      </w:r>
      <w:bookmarkEnd w:id="22"/>
    </w:p>
    <w:p w:rsidR="00F671F0" w:rsidRPr="00F360DA" w:rsidRDefault="00F671F0" w:rsidP="00F671F0">
      <w:pPr>
        <w:jc w:val="left"/>
      </w:pPr>
    </w:p>
    <w:p w:rsidR="00F671F0" w:rsidRDefault="00F671F0" w:rsidP="00F671F0">
      <w:r w:rsidRPr="00D028A6">
        <w:fldChar w:fldCharType="begin"/>
      </w:r>
      <w:r w:rsidRPr="00D028A6">
        <w:instrText xml:space="preserve"> AUTONUM  </w:instrText>
      </w:r>
      <w:r w:rsidRPr="00D028A6">
        <w:fldChar w:fldCharType="end"/>
      </w:r>
      <w:r w:rsidRPr="00D028A6">
        <w:tab/>
        <w:t xml:space="preserve">The TWM received a presentation from Mr. Woo Gun Shin (Republic of Korea) on “Image Analysis in Plant Variety Testing”, </w:t>
      </w:r>
      <w:r w:rsidRPr="00D028A6">
        <w:rPr>
          <w:rFonts w:cs="Arial"/>
          <w:iCs/>
        </w:rPr>
        <w:t>a copy of which is reproduced in document </w:t>
      </w:r>
      <w:r w:rsidRPr="00D028A6">
        <w:t>TWM/1/4</w:t>
      </w:r>
      <w:r>
        <w:t xml:space="preserve"> (see document TWM/1/26 “Report”, paragraphs 61 to 68)</w:t>
      </w:r>
      <w:r w:rsidRPr="00D028A6">
        <w:t xml:space="preserve">. </w:t>
      </w:r>
    </w:p>
    <w:p w:rsidR="00F671F0" w:rsidRPr="00D028A6" w:rsidRDefault="00F671F0" w:rsidP="00F671F0"/>
    <w:p w:rsidR="00F671F0" w:rsidRPr="00BE27FC" w:rsidRDefault="00F671F0" w:rsidP="00F671F0">
      <w:pPr>
        <w:rPr>
          <w:highlight w:val="yellow"/>
        </w:rPr>
      </w:pPr>
      <w:r>
        <w:fldChar w:fldCharType="begin"/>
      </w:r>
      <w:r>
        <w:instrText xml:space="preserve"> AUTONUM  </w:instrText>
      </w:r>
      <w:r>
        <w:fldChar w:fldCharType="end"/>
      </w:r>
      <w:r>
        <w:tab/>
        <w:t xml:space="preserve">Clarifications </w:t>
      </w:r>
      <w:proofErr w:type="gramStart"/>
      <w:r>
        <w:t>were provided</w:t>
      </w:r>
      <w:proofErr w:type="gramEnd"/>
      <w:r>
        <w:t xml:space="preserve"> on the c</w:t>
      </w:r>
      <w:r w:rsidRPr="00FF1AA2">
        <w:t>onditions for image correction indoor and outdoor and the use of software in flower color analysis</w:t>
      </w:r>
      <w:r>
        <w:t xml:space="preserve">.  </w:t>
      </w:r>
    </w:p>
    <w:p w:rsidR="00F671F0" w:rsidRPr="00CF09E8" w:rsidRDefault="00F671F0" w:rsidP="00F671F0">
      <w:pPr>
        <w:jc w:val="left"/>
      </w:pPr>
    </w:p>
    <w:p w:rsidR="00F671F0" w:rsidRPr="00D028A6" w:rsidRDefault="00F671F0" w:rsidP="00F671F0">
      <w:r w:rsidRPr="00D028A6">
        <w:fldChar w:fldCharType="begin"/>
      </w:r>
      <w:r w:rsidRPr="00D028A6">
        <w:instrText xml:space="preserve"> AUTONUM  </w:instrText>
      </w:r>
      <w:r w:rsidRPr="00D028A6">
        <w:fldChar w:fldCharType="end"/>
      </w:r>
      <w:r w:rsidRPr="00D028A6">
        <w:tab/>
        <w:t xml:space="preserve">The TWM received a presentation from Ms. </w:t>
      </w:r>
      <w:proofErr w:type="spellStart"/>
      <w:r w:rsidRPr="00D028A6">
        <w:t>Yanfang</w:t>
      </w:r>
      <w:proofErr w:type="spellEnd"/>
      <w:r w:rsidRPr="00D028A6">
        <w:t xml:space="preserve"> Liu (China) on “Color Imaging Analysis System”, </w:t>
      </w:r>
      <w:r w:rsidRPr="00D028A6">
        <w:rPr>
          <w:rFonts w:cs="Arial"/>
          <w:iCs/>
        </w:rPr>
        <w:t>a copy of which is reproduced in document </w:t>
      </w:r>
      <w:r w:rsidRPr="00D028A6">
        <w:t xml:space="preserve">TWM/1/5.  </w:t>
      </w:r>
    </w:p>
    <w:p w:rsidR="00F671F0" w:rsidRPr="00D028A6" w:rsidRDefault="00F671F0" w:rsidP="00F671F0">
      <w:pPr>
        <w:keepNext/>
        <w:jc w:val="left"/>
      </w:pPr>
    </w:p>
    <w:p w:rsidR="00F671F0" w:rsidRPr="00D028A6" w:rsidRDefault="00F671F0" w:rsidP="00F671F0">
      <w:pPr>
        <w:keepNext/>
      </w:pPr>
      <w:r w:rsidRPr="00D028A6">
        <w:fldChar w:fldCharType="begin"/>
      </w:r>
      <w:r w:rsidRPr="00D028A6">
        <w:instrText xml:space="preserve"> AUTONUM  </w:instrText>
      </w:r>
      <w:r w:rsidRPr="00D028A6">
        <w:fldChar w:fldCharType="end"/>
      </w:r>
      <w:r w:rsidRPr="00D028A6">
        <w:tab/>
        <w:t xml:space="preserve">The TWM received a presentation from Mr. </w:t>
      </w:r>
      <w:proofErr w:type="spellStart"/>
      <w:r w:rsidRPr="00D028A6">
        <w:t>Yongxiang</w:t>
      </w:r>
      <w:proofErr w:type="spellEnd"/>
      <w:r w:rsidRPr="00D028A6">
        <w:t xml:space="preserve"> Tong (China) on “DUS characteristics image processor”, </w:t>
      </w:r>
      <w:r w:rsidRPr="00D028A6">
        <w:rPr>
          <w:rFonts w:cs="Arial"/>
          <w:iCs/>
        </w:rPr>
        <w:t>a copy of which is reproduced in document </w:t>
      </w:r>
      <w:r w:rsidRPr="00D028A6">
        <w:t>TWM/1/6.</w:t>
      </w:r>
    </w:p>
    <w:p w:rsidR="00F671F0" w:rsidRPr="00D028A6" w:rsidRDefault="00F671F0" w:rsidP="00F671F0">
      <w:pPr>
        <w:jc w:val="left"/>
      </w:pPr>
    </w:p>
    <w:p w:rsidR="00F671F0" w:rsidRPr="00D028A6" w:rsidRDefault="00F671F0" w:rsidP="00F671F0">
      <w:pPr>
        <w:keepNext/>
      </w:pPr>
      <w:r w:rsidRPr="00D028A6">
        <w:fldChar w:fldCharType="begin"/>
      </w:r>
      <w:r w:rsidRPr="00D028A6">
        <w:instrText xml:space="preserve"> AUTONUM  </w:instrText>
      </w:r>
      <w:r w:rsidRPr="00D028A6">
        <w:fldChar w:fldCharType="end"/>
      </w:r>
      <w:r w:rsidRPr="00D028A6">
        <w:tab/>
        <w:t xml:space="preserve">The TWM received a presentation from Ms. Margaret Wallace (United Kingdom) on “UAV potential in DUS testing”, </w:t>
      </w:r>
      <w:r w:rsidRPr="00D028A6">
        <w:rPr>
          <w:rFonts w:cs="Arial"/>
          <w:iCs/>
        </w:rPr>
        <w:t>a copy of which is reproduced in document </w:t>
      </w:r>
      <w:r w:rsidRPr="00D028A6">
        <w:t>TWM/1/20.</w:t>
      </w:r>
    </w:p>
    <w:p w:rsidR="00F671F0" w:rsidRPr="00D028A6" w:rsidRDefault="00F671F0" w:rsidP="00F671F0">
      <w:pPr>
        <w:jc w:val="left"/>
      </w:pPr>
    </w:p>
    <w:p w:rsidR="00F671F0" w:rsidRDefault="00F671F0" w:rsidP="00F671F0">
      <w:pPr>
        <w:keepNext/>
      </w:pPr>
      <w:r w:rsidRPr="00D028A6">
        <w:fldChar w:fldCharType="begin"/>
      </w:r>
      <w:r w:rsidRPr="00D028A6">
        <w:instrText xml:space="preserve"> AUTONUM  </w:instrText>
      </w:r>
      <w:r w:rsidRPr="00D028A6">
        <w:fldChar w:fldCharType="end"/>
      </w:r>
      <w:r w:rsidRPr="00D028A6">
        <w:tab/>
        <w:t xml:space="preserve">The TWM received a presentation from Mr. </w:t>
      </w:r>
      <w:proofErr w:type="spellStart"/>
      <w:r w:rsidRPr="00D028A6">
        <w:t>Danilo</w:t>
      </w:r>
      <w:proofErr w:type="spellEnd"/>
      <w:r w:rsidRPr="00D028A6">
        <w:t xml:space="preserve"> </w:t>
      </w:r>
      <w:proofErr w:type="spellStart"/>
      <w:r w:rsidRPr="00D028A6">
        <w:t>Sarti</w:t>
      </w:r>
      <w:proofErr w:type="spellEnd"/>
      <w:r w:rsidRPr="00D028A6">
        <w:t xml:space="preserve"> (</w:t>
      </w:r>
      <w:proofErr w:type="spellStart"/>
      <w:r w:rsidRPr="00D028A6">
        <w:t>Maynooth</w:t>
      </w:r>
      <w:proofErr w:type="spellEnd"/>
      <w:r w:rsidRPr="00D028A6">
        <w:t xml:space="preserve"> University) on “Machine Learning </w:t>
      </w:r>
      <w:proofErr w:type="spellStart"/>
      <w:r w:rsidRPr="00D028A6">
        <w:t>InnoVar</w:t>
      </w:r>
      <w:proofErr w:type="spellEnd"/>
      <w:r w:rsidRPr="00D028A6">
        <w:t xml:space="preserve"> project”, </w:t>
      </w:r>
      <w:r w:rsidRPr="00D028A6">
        <w:rPr>
          <w:rFonts w:cs="Arial"/>
          <w:iCs/>
        </w:rPr>
        <w:t>a copy of which is reproduced in document </w:t>
      </w:r>
      <w:r w:rsidRPr="00D028A6">
        <w:t>TWM/1/25.</w:t>
      </w:r>
    </w:p>
    <w:p w:rsidR="00F671F0" w:rsidRDefault="00F671F0" w:rsidP="00F671F0">
      <w:pPr>
        <w:keepNext/>
      </w:pPr>
    </w:p>
    <w:p w:rsidR="00F671F0" w:rsidRDefault="00F671F0" w:rsidP="00F671F0">
      <w:r>
        <w:fldChar w:fldCharType="begin"/>
      </w:r>
      <w:r>
        <w:instrText xml:space="preserve"> AUTONUM  </w:instrText>
      </w:r>
      <w:r>
        <w:fldChar w:fldCharType="end"/>
      </w:r>
      <w:r>
        <w:tab/>
        <w:t xml:space="preserve">Clarifications were </w:t>
      </w:r>
      <w:proofErr w:type="gramStart"/>
      <w:r>
        <w:t>provided that</w:t>
      </w:r>
      <w:proofErr w:type="gramEnd"/>
      <w:r>
        <w:t xml:space="preserve"> </w:t>
      </w:r>
      <w:r w:rsidRPr="00CF09E8">
        <w:t xml:space="preserve">the AMBARTI </w:t>
      </w:r>
      <w:r>
        <w:t>model</w:t>
      </w:r>
      <w:r w:rsidRPr="00CF09E8">
        <w:t xml:space="preserve"> </w:t>
      </w:r>
      <w:r>
        <w:t xml:space="preserve">could be used to comprehend and predict the behavior of DUS and VCU attributes considering interactions </w:t>
      </w:r>
      <w:r w:rsidRPr="00CF09E8">
        <w:t xml:space="preserve">genotypes and environments </w:t>
      </w:r>
      <w:r>
        <w:t xml:space="preserve">for the </w:t>
      </w:r>
      <w:r w:rsidRPr="00CF09E8">
        <w:t>characteristic</w:t>
      </w:r>
      <w:r>
        <w:t>s including crop yield</w:t>
      </w:r>
      <w:r w:rsidRPr="00CF09E8">
        <w:t>.</w:t>
      </w:r>
    </w:p>
    <w:p w:rsidR="00F671F0" w:rsidRPr="00F360DA" w:rsidRDefault="00F671F0" w:rsidP="00F671F0">
      <w:pPr>
        <w:jc w:val="left"/>
      </w:pPr>
      <w:r w:rsidRPr="00CF09E8">
        <w:t xml:space="preserve"> </w:t>
      </w:r>
    </w:p>
    <w:p w:rsidR="00F671F0" w:rsidRPr="00F360DA" w:rsidRDefault="00F671F0" w:rsidP="00F671F0">
      <w:r w:rsidRPr="00F66ADD">
        <w:fldChar w:fldCharType="begin"/>
      </w:r>
      <w:r w:rsidRPr="00F66ADD">
        <w:instrText xml:space="preserve"> AUTONUM  </w:instrText>
      </w:r>
      <w:r w:rsidRPr="00F66ADD">
        <w:fldChar w:fldCharType="end"/>
      </w:r>
      <w:r w:rsidRPr="00F66ADD">
        <w:tab/>
        <w:t>The TWM agreed to invite</w:t>
      </w:r>
      <w:r w:rsidRPr="00F360DA">
        <w:t xml:space="preserve"> further developments on the assessment of color through phenotyping and image analysis to </w:t>
      </w:r>
      <w:proofErr w:type="gramStart"/>
      <w:r w:rsidRPr="00F360DA">
        <w:t>be presented</w:t>
      </w:r>
      <w:proofErr w:type="gramEnd"/>
      <w:r w:rsidRPr="00F360DA">
        <w:t xml:space="preserve"> at its second session.  </w:t>
      </w:r>
    </w:p>
    <w:p w:rsidR="00F671F0" w:rsidRPr="00F360DA" w:rsidRDefault="00F671F0" w:rsidP="00F671F0">
      <w:pPr>
        <w:keepNext/>
      </w:pPr>
    </w:p>
    <w:p w:rsidR="0045207C" w:rsidRPr="00043C66" w:rsidRDefault="0045207C" w:rsidP="00445B73">
      <w:pPr>
        <w:rPr>
          <w:i/>
        </w:rPr>
      </w:pPr>
    </w:p>
    <w:p w:rsidR="00646AF0" w:rsidRPr="00043C66" w:rsidRDefault="00646AF0" w:rsidP="00646AF0">
      <w:pPr>
        <w:tabs>
          <w:tab w:val="left" w:pos="567"/>
          <w:tab w:val="left" w:pos="5387"/>
          <w:tab w:val="left" w:pos="5954"/>
        </w:tabs>
        <w:ind w:left="4820"/>
        <w:rPr>
          <w:i/>
        </w:rPr>
      </w:pPr>
      <w:r w:rsidRPr="00043C66">
        <w:rPr>
          <w:i/>
        </w:rPr>
        <w:fldChar w:fldCharType="begin"/>
      </w:r>
      <w:r w:rsidRPr="00043C66">
        <w:rPr>
          <w:i/>
        </w:rPr>
        <w:instrText xml:space="preserve"> AUTONUM  </w:instrText>
      </w:r>
      <w:r w:rsidRPr="00043C66">
        <w:rPr>
          <w:i/>
        </w:rPr>
        <w:fldChar w:fldCharType="end"/>
      </w:r>
      <w:r w:rsidRPr="00043C66">
        <w:rPr>
          <w:i/>
        </w:rPr>
        <w:tab/>
        <w:t xml:space="preserve">The TC </w:t>
      </w:r>
      <w:proofErr w:type="gramStart"/>
      <w:r w:rsidRPr="00043C66">
        <w:rPr>
          <w:i/>
        </w:rPr>
        <w:t>is invited</w:t>
      </w:r>
      <w:proofErr w:type="gramEnd"/>
      <w:r w:rsidRPr="00043C66">
        <w:rPr>
          <w:i/>
        </w:rPr>
        <w:t xml:space="preserve"> to note developments in the TWPs concerning:</w:t>
      </w:r>
    </w:p>
    <w:p w:rsidR="00646AF0" w:rsidRPr="00043C66" w:rsidRDefault="00646AF0" w:rsidP="00646AF0">
      <w:pPr>
        <w:tabs>
          <w:tab w:val="left" w:pos="567"/>
          <w:tab w:val="left" w:pos="5387"/>
          <w:tab w:val="left" w:pos="5954"/>
        </w:tabs>
        <w:ind w:left="4820"/>
        <w:rPr>
          <w:i/>
        </w:rPr>
      </w:pPr>
    </w:p>
    <w:p w:rsidR="00646AF0" w:rsidRPr="00043C66" w:rsidRDefault="00646AF0" w:rsidP="00646AF0">
      <w:pPr>
        <w:tabs>
          <w:tab w:val="left" w:pos="1701"/>
          <w:tab w:val="left" w:pos="5387"/>
          <w:tab w:val="left" w:pos="5954"/>
        </w:tabs>
        <w:ind w:left="5387" w:hanging="567"/>
        <w:rPr>
          <w:i/>
        </w:rPr>
      </w:pPr>
      <w:r w:rsidRPr="00043C66">
        <w:rPr>
          <w:i/>
        </w:rPr>
        <w:t>(</w:t>
      </w:r>
      <w:proofErr w:type="spellStart"/>
      <w:r w:rsidRPr="00043C66">
        <w:rPr>
          <w:i/>
        </w:rPr>
        <w:t>i</w:t>
      </w:r>
      <w:proofErr w:type="spellEnd"/>
      <w:r w:rsidRPr="00043C66">
        <w:rPr>
          <w:i/>
        </w:rPr>
        <w:t>)</w:t>
      </w:r>
      <w:r w:rsidRPr="00043C66">
        <w:rPr>
          <w:i/>
        </w:rPr>
        <w:tab/>
        <w:t xml:space="preserve">Information required </w:t>
      </w:r>
      <w:proofErr w:type="gramStart"/>
      <w:r w:rsidRPr="00043C66">
        <w:rPr>
          <w:i/>
        </w:rPr>
        <w:t>to enhance</w:t>
      </w:r>
      <w:proofErr w:type="gramEnd"/>
      <w:r w:rsidRPr="00043C66">
        <w:rPr>
          <w:i/>
        </w:rPr>
        <w:t xml:space="preserve"> the use of existing DUS test reports;</w:t>
      </w:r>
    </w:p>
    <w:p w:rsidR="00646AF0" w:rsidRPr="00043C66" w:rsidRDefault="00646AF0" w:rsidP="00646AF0">
      <w:pPr>
        <w:tabs>
          <w:tab w:val="left" w:pos="1701"/>
          <w:tab w:val="left" w:pos="5387"/>
          <w:tab w:val="left" w:pos="5954"/>
        </w:tabs>
        <w:ind w:left="5387" w:hanging="567"/>
        <w:rPr>
          <w:i/>
        </w:rPr>
      </w:pPr>
      <w:r w:rsidRPr="00043C66">
        <w:rPr>
          <w:i/>
        </w:rPr>
        <w:t>(ii)</w:t>
      </w:r>
      <w:r w:rsidRPr="00043C66">
        <w:rPr>
          <w:i/>
        </w:rPr>
        <w:tab/>
        <w:t>DUS examination of mutant varieties of apple;</w:t>
      </w:r>
    </w:p>
    <w:p w:rsidR="00646AF0" w:rsidRPr="00043C66" w:rsidRDefault="00646AF0" w:rsidP="00646AF0">
      <w:pPr>
        <w:tabs>
          <w:tab w:val="left" w:pos="1701"/>
          <w:tab w:val="left" w:pos="5387"/>
          <w:tab w:val="left" w:pos="5954"/>
        </w:tabs>
        <w:ind w:left="5387" w:hanging="567"/>
        <w:rPr>
          <w:i/>
        </w:rPr>
      </w:pPr>
      <w:r w:rsidRPr="00043C66">
        <w:rPr>
          <w:i/>
        </w:rPr>
        <w:t>(iii)</w:t>
      </w:r>
      <w:r w:rsidRPr="00043C66">
        <w:rPr>
          <w:i/>
        </w:rPr>
        <w:tab/>
        <w:t>Access to plant material for the purpose of management of variety collections and DUS examination</w:t>
      </w:r>
      <w:proofErr w:type="gramStart"/>
      <w:r w:rsidRPr="00043C66">
        <w:rPr>
          <w:i/>
        </w:rPr>
        <w:t>;</w:t>
      </w:r>
      <w:proofErr w:type="gramEnd"/>
    </w:p>
    <w:p w:rsidR="00646AF0" w:rsidRPr="00043C66" w:rsidRDefault="00646AF0" w:rsidP="00646AF0">
      <w:pPr>
        <w:tabs>
          <w:tab w:val="left" w:pos="1701"/>
          <w:tab w:val="left" w:pos="5387"/>
          <w:tab w:val="left" w:pos="5954"/>
        </w:tabs>
        <w:ind w:left="5387" w:hanging="567"/>
        <w:rPr>
          <w:i/>
        </w:rPr>
      </w:pPr>
      <w:proofErr w:type="gramStart"/>
      <w:r w:rsidRPr="00043C66">
        <w:rPr>
          <w:i/>
        </w:rPr>
        <w:t>(iv)</w:t>
      </w:r>
      <w:r w:rsidRPr="00043C66">
        <w:rPr>
          <w:i/>
        </w:rPr>
        <w:tab/>
        <w:t>Use</w:t>
      </w:r>
      <w:proofErr w:type="gramEnd"/>
      <w:r w:rsidRPr="00043C66">
        <w:rPr>
          <w:i/>
        </w:rPr>
        <w:t xml:space="preserve"> of disease resistance characteristics;</w:t>
      </w:r>
    </w:p>
    <w:p w:rsidR="00646AF0" w:rsidRPr="00043C66" w:rsidRDefault="00646AF0" w:rsidP="00646AF0">
      <w:pPr>
        <w:tabs>
          <w:tab w:val="left" w:pos="1701"/>
          <w:tab w:val="left" w:pos="5387"/>
          <w:tab w:val="left" w:pos="5954"/>
        </w:tabs>
        <w:ind w:left="5387" w:hanging="567"/>
        <w:rPr>
          <w:i/>
        </w:rPr>
      </w:pPr>
      <w:r w:rsidRPr="00043C66">
        <w:rPr>
          <w:i/>
        </w:rPr>
        <w:t>(v)</w:t>
      </w:r>
      <w:r w:rsidRPr="00043C66">
        <w:rPr>
          <w:i/>
        </w:rPr>
        <w:tab/>
        <w:t>Disease resistance in ornamental crops;</w:t>
      </w:r>
    </w:p>
    <w:p w:rsidR="00646AF0" w:rsidRPr="00043C66" w:rsidRDefault="00646AF0" w:rsidP="00646AF0">
      <w:pPr>
        <w:tabs>
          <w:tab w:val="left" w:pos="1701"/>
          <w:tab w:val="left" w:pos="5387"/>
          <w:tab w:val="left" w:pos="5954"/>
        </w:tabs>
        <w:ind w:left="5387" w:hanging="567"/>
        <w:rPr>
          <w:i/>
        </w:rPr>
      </w:pPr>
      <w:proofErr w:type="gramStart"/>
      <w:r w:rsidRPr="00043C66">
        <w:rPr>
          <w:i/>
        </w:rPr>
        <w:t>(vi)</w:t>
      </w:r>
      <w:r w:rsidRPr="00043C66">
        <w:rPr>
          <w:i/>
        </w:rPr>
        <w:tab/>
      </w:r>
      <w:r w:rsidRPr="00043C66">
        <w:rPr>
          <w:i/>
          <w:snapToGrid w:val="0"/>
        </w:rPr>
        <w:t>New</w:t>
      </w:r>
      <w:proofErr w:type="gramEnd"/>
      <w:r w:rsidRPr="00043C66">
        <w:rPr>
          <w:i/>
          <w:snapToGrid w:val="0"/>
        </w:rPr>
        <w:t xml:space="preserve"> issues arising for DUS examination</w:t>
      </w:r>
      <w:r w:rsidRPr="00043C66">
        <w:rPr>
          <w:i/>
        </w:rPr>
        <w:t>;</w:t>
      </w:r>
    </w:p>
    <w:p w:rsidR="00646AF0" w:rsidRPr="00043C66" w:rsidRDefault="00646AF0" w:rsidP="00646AF0">
      <w:pPr>
        <w:tabs>
          <w:tab w:val="left" w:pos="1701"/>
          <w:tab w:val="left" w:pos="5387"/>
          <w:tab w:val="left" w:pos="5954"/>
        </w:tabs>
        <w:ind w:left="5387" w:hanging="567"/>
        <w:rPr>
          <w:i/>
        </w:rPr>
      </w:pPr>
      <w:r w:rsidRPr="00043C66">
        <w:rPr>
          <w:i/>
        </w:rPr>
        <w:t>(vii)</w:t>
      </w:r>
      <w:r w:rsidRPr="00043C66">
        <w:rPr>
          <w:i/>
        </w:rPr>
        <w:tab/>
        <w:t>Experiences with new types and species</w:t>
      </w:r>
      <w:proofErr w:type="gramStart"/>
      <w:r w:rsidRPr="00043C66">
        <w:rPr>
          <w:i/>
        </w:rPr>
        <w:t>;</w:t>
      </w:r>
      <w:proofErr w:type="gramEnd"/>
    </w:p>
    <w:p w:rsidR="00646AF0" w:rsidRPr="00043C66" w:rsidRDefault="00646AF0" w:rsidP="00646AF0">
      <w:pPr>
        <w:tabs>
          <w:tab w:val="left" w:pos="1701"/>
          <w:tab w:val="left" w:pos="5387"/>
          <w:tab w:val="left" w:pos="5954"/>
        </w:tabs>
        <w:ind w:left="5387" w:hanging="567"/>
        <w:rPr>
          <w:i/>
        </w:rPr>
      </w:pPr>
      <w:r w:rsidRPr="00043C66">
        <w:rPr>
          <w:i/>
        </w:rPr>
        <w:t>(viii)</w:t>
      </w:r>
      <w:r w:rsidRPr="00043C66">
        <w:rPr>
          <w:i/>
        </w:rPr>
        <w:tab/>
        <w:t>Examining hybrid varieties</w:t>
      </w:r>
      <w:proofErr w:type="gramStart"/>
      <w:r w:rsidRPr="00043C66">
        <w:rPr>
          <w:i/>
        </w:rPr>
        <w:t>;</w:t>
      </w:r>
      <w:proofErr w:type="gramEnd"/>
      <w:r w:rsidRPr="00043C66">
        <w:rPr>
          <w:i/>
        </w:rPr>
        <w:t xml:space="preserve"> </w:t>
      </w:r>
    </w:p>
    <w:p w:rsidR="00646AF0" w:rsidRPr="00043C66" w:rsidRDefault="00646AF0" w:rsidP="00646AF0">
      <w:pPr>
        <w:tabs>
          <w:tab w:val="left" w:pos="1701"/>
          <w:tab w:val="left" w:pos="5387"/>
          <w:tab w:val="left" w:pos="5954"/>
        </w:tabs>
        <w:ind w:left="5387" w:hanging="567"/>
        <w:rPr>
          <w:i/>
        </w:rPr>
      </w:pPr>
      <w:r w:rsidRPr="00043C66">
        <w:rPr>
          <w:i/>
        </w:rPr>
        <w:t>(ix)</w:t>
      </w:r>
      <w:r w:rsidRPr="00043C66">
        <w:rPr>
          <w:i/>
        </w:rPr>
        <w:tab/>
        <w:t>New technologies in DUS examination;</w:t>
      </w:r>
    </w:p>
    <w:p w:rsidR="00646AF0" w:rsidRPr="00043C66" w:rsidRDefault="00646AF0" w:rsidP="00646AF0">
      <w:pPr>
        <w:tabs>
          <w:tab w:val="left" w:pos="1701"/>
          <w:tab w:val="left" w:pos="5387"/>
          <w:tab w:val="left" w:pos="5954"/>
        </w:tabs>
        <w:ind w:left="5387" w:hanging="567"/>
        <w:rPr>
          <w:i/>
        </w:rPr>
      </w:pPr>
      <w:r w:rsidRPr="00043C66">
        <w:rPr>
          <w:i/>
        </w:rPr>
        <w:t>(x)</w:t>
      </w:r>
      <w:r w:rsidRPr="00043C66">
        <w:rPr>
          <w:i/>
        </w:rPr>
        <w:tab/>
        <w:t>Big data platform for DUS examination;</w:t>
      </w:r>
    </w:p>
    <w:p w:rsidR="00646AF0" w:rsidRPr="00043C66" w:rsidRDefault="00646AF0" w:rsidP="00646AF0">
      <w:pPr>
        <w:tabs>
          <w:tab w:val="left" w:pos="1701"/>
          <w:tab w:val="left" w:pos="5387"/>
          <w:tab w:val="left" w:pos="5954"/>
        </w:tabs>
        <w:ind w:left="5387" w:hanging="567"/>
        <w:rPr>
          <w:i/>
        </w:rPr>
      </w:pPr>
      <w:r w:rsidRPr="00043C66">
        <w:rPr>
          <w:i/>
        </w:rPr>
        <w:t>(xi)</w:t>
      </w:r>
      <w:r w:rsidRPr="00043C66">
        <w:rPr>
          <w:i/>
        </w:rPr>
        <w:tab/>
        <w:t>The assessment of color in fruit crops; and</w:t>
      </w:r>
    </w:p>
    <w:p w:rsidR="00646AF0" w:rsidRPr="00043C66" w:rsidRDefault="00646AF0" w:rsidP="00646AF0">
      <w:pPr>
        <w:tabs>
          <w:tab w:val="left" w:pos="1701"/>
          <w:tab w:val="left" w:pos="5387"/>
          <w:tab w:val="left" w:pos="5954"/>
        </w:tabs>
        <w:ind w:left="5387" w:hanging="567"/>
        <w:rPr>
          <w:i/>
        </w:rPr>
      </w:pPr>
      <w:r w:rsidRPr="00043C66">
        <w:rPr>
          <w:i/>
        </w:rPr>
        <w:t>(xii)</w:t>
      </w:r>
      <w:r w:rsidRPr="00043C66">
        <w:rPr>
          <w:i/>
        </w:rPr>
        <w:tab/>
        <w:t>Phenotyping and image analysis</w:t>
      </w:r>
    </w:p>
    <w:p w:rsidR="0045207C" w:rsidRDefault="0045207C" w:rsidP="00445B73"/>
    <w:p w:rsidR="00646AF0" w:rsidRDefault="00646AF0" w:rsidP="00445B73"/>
    <w:p w:rsidR="00646AF0" w:rsidRDefault="00646AF0" w:rsidP="00445B73"/>
    <w:p w:rsidR="0045207C" w:rsidRDefault="00C54C75" w:rsidP="00C54C75">
      <w:pPr>
        <w:jc w:val="right"/>
      </w:pPr>
      <w:r>
        <w:t>[End of document]</w:t>
      </w:r>
    </w:p>
    <w:p w:rsidR="0045207C" w:rsidRDefault="0045207C" w:rsidP="00445B73"/>
    <w:p w:rsidR="0045207C" w:rsidRDefault="0045207C" w:rsidP="00445B73"/>
    <w:p w:rsidR="00050E16" w:rsidRPr="00C5280D" w:rsidRDefault="00050E16" w:rsidP="009B440E">
      <w:pPr>
        <w:jc w:val="left"/>
      </w:pPr>
    </w:p>
    <w:sectPr w:rsidR="00050E16" w:rsidRPr="00C5280D" w:rsidSect="0004198B">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482" w:rsidRDefault="00DD1482" w:rsidP="006655D3">
      <w:r>
        <w:separator/>
      </w:r>
    </w:p>
    <w:p w:rsidR="00DD1482" w:rsidRDefault="00DD1482" w:rsidP="006655D3"/>
    <w:p w:rsidR="00DD1482" w:rsidRDefault="00DD1482" w:rsidP="006655D3"/>
  </w:endnote>
  <w:endnote w:type="continuationSeparator" w:id="0">
    <w:p w:rsidR="00DD1482" w:rsidRDefault="00DD1482" w:rsidP="006655D3">
      <w:r>
        <w:separator/>
      </w:r>
    </w:p>
    <w:p w:rsidR="00DD1482" w:rsidRPr="00294751" w:rsidRDefault="00DD1482">
      <w:pPr>
        <w:pStyle w:val="Footer"/>
        <w:spacing w:after="60"/>
        <w:rPr>
          <w:sz w:val="18"/>
          <w:lang w:val="fr-FR"/>
        </w:rPr>
      </w:pPr>
      <w:r w:rsidRPr="00294751">
        <w:rPr>
          <w:sz w:val="18"/>
          <w:lang w:val="fr-FR"/>
        </w:rPr>
        <w:t>[Suite de la note de la page précédente]</w:t>
      </w:r>
    </w:p>
    <w:p w:rsidR="00DD1482" w:rsidRPr="00294751" w:rsidRDefault="00DD1482" w:rsidP="006655D3">
      <w:pPr>
        <w:rPr>
          <w:lang w:val="fr-FR"/>
        </w:rPr>
      </w:pPr>
    </w:p>
    <w:p w:rsidR="00DD1482" w:rsidRPr="00294751" w:rsidRDefault="00DD1482" w:rsidP="006655D3">
      <w:pPr>
        <w:rPr>
          <w:lang w:val="fr-FR"/>
        </w:rPr>
      </w:pPr>
    </w:p>
  </w:endnote>
  <w:endnote w:type="continuationNotice" w:id="1">
    <w:p w:rsidR="00DD1482" w:rsidRPr="00294751" w:rsidRDefault="00DD1482" w:rsidP="006655D3">
      <w:pPr>
        <w:rPr>
          <w:lang w:val="fr-FR"/>
        </w:rPr>
      </w:pPr>
      <w:r w:rsidRPr="00294751">
        <w:rPr>
          <w:lang w:val="fr-FR"/>
        </w:rPr>
        <w:t>[Suite de la note page suivante]</w:t>
      </w:r>
    </w:p>
    <w:p w:rsidR="00DD1482" w:rsidRPr="00294751" w:rsidRDefault="00DD1482" w:rsidP="006655D3">
      <w:pPr>
        <w:rPr>
          <w:lang w:val="fr-FR"/>
        </w:rPr>
      </w:pPr>
    </w:p>
    <w:p w:rsidR="00DD1482" w:rsidRPr="00294751" w:rsidRDefault="00DD148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482" w:rsidRDefault="00DD1482" w:rsidP="006655D3">
      <w:r>
        <w:separator/>
      </w:r>
    </w:p>
  </w:footnote>
  <w:footnote w:type="continuationSeparator" w:id="0">
    <w:p w:rsidR="00DD1482" w:rsidRDefault="00DD1482" w:rsidP="006655D3">
      <w:r>
        <w:separator/>
      </w:r>
    </w:p>
  </w:footnote>
  <w:footnote w:type="continuationNotice" w:id="1">
    <w:p w:rsidR="00DD1482" w:rsidRPr="00AB530F" w:rsidRDefault="00DD1482" w:rsidP="00AB530F">
      <w:pPr>
        <w:pStyle w:val="Footer"/>
      </w:pPr>
    </w:p>
  </w:footnote>
  <w:footnote w:id="2">
    <w:p w:rsidR="008301C2" w:rsidRDefault="008301C2" w:rsidP="008301C2">
      <w:pPr>
        <w:pStyle w:val="FootnoteText"/>
      </w:pPr>
      <w:r>
        <w:rPr>
          <w:rStyle w:val="FootnoteReference"/>
        </w:rPr>
        <w:footnoteRef/>
      </w:r>
      <w:r>
        <w:t xml:space="preserve"> </w:t>
      </w:r>
      <w:proofErr w:type="gramStart"/>
      <w:r>
        <w:t>at</w:t>
      </w:r>
      <w:proofErr w:type="gramEnd"/>
      <w:r>
        <w:t xml:space="preserve"> its fifty-</w:t>
      </w:r>
      <w:r w:rsidR="00D14633">
        <w:t>sixth</w:t>
      </w:r>
      <w:r>
        <w:t xml:space="preserve"> session, held via electronic means, from </w:t>
      </w:r>
      <w:r w:rsidR="00D14633">
        <w:t>April 18 to 22</w:t>
      </w:r>
      <w:r>
        <w:t>, 202</w:t>
      </w:r>
      <w:r w:rsidR="00D14633">
        <w:t>2</w:t>
      </w:r>
      <w:r>
        <w:t>.</w:t>
      </w:r>
    </w:p>
  </w:footnote>
  <w:footnote w:id="3">
    <w:p w:rsidR="008301C2" w:rsidRDefault="008301C2" w:rsidP="008301C2">
      <w:pPr>
        <w:pStyle w:val="FootnoteText"/>
      </w:pPr>
      <w:r>
        <w:rPr>
          <w:rStyle w:val="FootnoteReference"/>
        </w:rPr>
        <w:footnoteRef/>
      </w:r>
      <w:r>
        <w:t xml:space="preserve"> </w:t>
      </w:r>
      <w:proofErr w:type="gramStart"/>
      <w:r>
        <w:t>at</w:t>
      </w:r>
      <w:proofErr w:type="gramEnd"/>
      <w:r>
        <w:t xml:space="preserve"> its </w:t>
      </w:r>
      <w:r w:rsidR="00D14633">
        <w:t>fifty-first</w:t>
      </w:r>
      <w:r>
        <w:t xml:space="preserve"> session, </w:t>
      </w:r>
      <w:r w:rsidR="00D14633">
        <w:t>held in Cambridge, United Kingdom</w:t>
      </w:r>
      <w:r>
        <w:t xml:space="preserve">, from </w:t>
      </w:r>
      <w:r w:rsidR="00D14633">
        <w:t>May 23 to 27</w:t>
      </w:r>
      <w:r>
        <w:t>, 202</w:t>
      </w:r>
      <w:r w:rsidR="00D14633">
        <w:t>2</w:t>
      </w:r>
      <w:r>
        <w:t>.</w:t>
      </w:r>
    </w:p>
  </w:footnote>
  <w:footnote w:id="4">
    <w:p w:rsidR="00D14633" w:rsidRDefault="00D14633" w:rsidP="00D14633">
      <w:pPr>
        <w:pStyle w:val="FootnoteText"/>
      </w:pPr>
      <w:r>
        <w:rPr>
          <w:rStyle w:val="FootnoteReference"/>
        </w:rPr>
        <w:footnoteRef/>
      </w:r>
      <w:r>
        <w:t xml:space="preserve"> </w:t>
      </w:r>
      <w:proofErr w:type="gramStart"/>
      <w:r>
        <w:t>at</w:t>
      </w:r>
      <w:proofErr w:type="gramEnd"/>
      <w:r>
        <w:t xml:space="preserve"> its fifty-fourth session, hosted by Germany and held via electronic means, from June 13 to 17, 2022.</w:t>
      </w:r>
    </w:p>
  </w:footnote>
  <w:footnote w:id="5">
    <w:p w:rsidR="008301C2" w:rsidRDefault="008301C2" w:rsidP="008301C2">
      <w:pPr>
        <w:pStyle w:val="FootnoteText"/>
      </w:pPr>
      <w:r>
        <w:rPr>
          <w:rStyle w:val="FootnoteReference"/>
        </w:rPr>
        <w:footnoteRef/>
      </w:r>
      <w:r>
        <w:t xml:space="preserve"> at its fifty-</w:t>
      </w:r>
      <w:r w:rsidR="00D14633">
        <w:t>third</w:t>
      </w:r>
      <w:r>
        <w:t xml:space="preserve"> session, held via electronic means, from July 1</w:t>
      </w:r>
      <w:r w:rsidR="00D14633">
        <w:t>1</w:t>
      </w:r>
      <w:r>
        <w:t xml:space="preserve"> to 1</w:t>
      </w:r>
      <w:r w:rsidR="00D14633">
        <w:t>5</w:t>
      </w:r>
      <w:r>
        <w:t>, 202</w:t>
      </w:r>
      <w:r w:rsidR="00D14633">
        <w:t>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3D0839" w:rsidP="00EB048E">
    <w:pPr>
      <w:pStyle w:val="Header"/>
      <w:rPr>
        <w:rStyle w:val="PageNumber"/>
        <w:lang w:val="en-US"/>
      </w:rPr>
    </w:pPr>
    <w:r>
      <w:rPr>
        <w:rStyle w:val="PageNumber"/>
        <w:lang w:val="en-US"/>
      </w:rPr>
      <w:t>TC/58</w:t>
    </w:r>
    <w:r w:rsidR="0004198B">
      <w:rPr>
        <w:rStyle w:val="PageNumber"/>
        <w:lang w:val="en-US"/>
      </w:rPr>
      <w:t>/</w:t>
    </w:r>
    <w:r w:rsidR="00E7232A">
      <w:rPr>
        <w:rStyle w:val="PageNumber"/>
        <w:lang w:val="en-US"/>
      </w:rPr>
      <w:t>3</w:t>
    </w:r>
  </w:p>
  <w:p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F3E8C">
      <w:rPr>
        <w:rStyle w:val="PageNumber"/>
        <w:noProof/>
        <w:lang w:val="en-US"/>
      </w:rPr>
      <w:t>2</w:t>
    </w:r>
    <w:r w:rsidRPr="00C5280D">
      <w:rPr>
        <w:rStyle w:val="PageNumber"/>
        <w:lang w:val="en-US"/>
      </w:rPr>
      <w:fldChar w:fldCharType="end"/>
    </w:r>
  </w:p>
  <w:p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 w15:restartNumberingAfterBreak="0">
    <w:nsid w:val="76A27C56"/>
    <w:multiLevelType w:val="hybridMultilevel"/>
    <w:tmpl w:val="9CF4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82"/>
    <w:rsid w:val="00006EED"/>
    <w:rsid w:val="00010CF3"/>
    <w:rsid w:val="00011E27"/>
    <w:rsid w:val="000148BC"/>
    <w:rsid w:val="00024AB8"/>
    <w:rsid w:val="00030854"/>
    <w:rsid w:val="00036028"/>
    <w:rsid w:val="00037992"/>
    <w:rsid w:val="0004198B"/>
    <w:rsid w:val="00043C66"/>
    <w:rsid w:val="00044642"/>
    <w:rsid w:val="000446B9"/>
    <w:rsid w:val="00046575"/>
    <w:rsid w:val="00047E21"/>
    <w:rsid w:val="00050E16"/>
    <w:rsid w:val="00085505"/>
    <w:rsid w:val="000C4E25"/>
    <w:rsid w:val="000C7021"/>
    <w:rsid w:val="000D5CCA"/>
    <w:rsid w:val="000D6BBC"/>
    <w:rsid w:val="000D7780"/>
    <w:rsid w:val="000E636A"/>
    <w:rsid w:val="000F2F11"/>
    <w:rsid w:val="00100A5F"/>
    <w:rsid w:val="00105929"/>
    <w:rsid w:val="00110BED"/>
    <w:rsid w:val="00110C36"/>
    <w:rsid w:val="001131D5"/>
    <w:rsid w:val="00114547"/>
    <w:rsid w:val="00125277"/>
    <w:rsid w:val="00141DB8"/>
    <w:rsid w:val="00144612"/>
    <w:rsid w:val="00172084"/>
    <w:rsid w:val="0017474A"/>
    <w:rsid w:val="001758C6"/>
    <w:rsid w:val="00182B99"/>
    <w:rsid w:val="00185A59"/>
    <w:rsid w:val="001C1341"/>
    <w:rsid w:val="001C1525"/>
    <w:rsid w:val="0021332C"/>
    <w:rsid w:val="00213982"/>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7436"/>
    <w:rsid w:val="00344BD6"/>
    <w:rsid w:val="0035528D"/>
    <w:rsid w:val="00361821"/>
    <w:rsid w:val="00361E9E"/>
    <w:rsid w:val="00370794"/>
    <w:rsid w:val="003753EE"/>
    <w:rsid w:val="00377456"/>
    <w:rsid w:val="003A0835"/>
    <w:rsid w:val="003A5AAF"/>
    <w:rsid w:val="003B700A"/>
    <w:rsid w:val="003C7FBE"/>
    <w:rsid w:val="003D0839"/>
    <w:rsid w:val="003D227C"/>
    <w:rsid w:val="003D2B4D"/>
    <w:rsid w:val="003F37F5"/>
    <w:rsid w:val="00444A88"/>
    <w:rsid w:val="00445B73"/>
    <w:rsid w:val="0045207C"/>
    <w:rsid w:val="00474DA4"/>
    <w:rsid w:val="00476B4D"/>
    <w:rsid w:val="004805FA"/>
    <w:rsid w:val="004935D2"/>
    <w:rsid w:val="004B1215"/>
    <w:rsid w:val="004C7F56"/>
    <w:rsid w:val="004D047D"/>
    <w:rsid w:val="004F1E9E"/>
    <w:rsid w:val="004F305A"/>
    <w:rsid w:val="005104A9"/>
    <w:rsid w:val="00512164"/>
    <w:rsid w:val="00520297"/>
    <w:rsid w:val="005338F9"/>
    <w:rsid w:val="0054281C"/>
    <w:rsid w:val="00544581"/>
    <w:rsid w:val="0055268D"/>
    <w:rsid w:val="005557C7"/>
    <w:rsid w:val="00575DE2"/>
    <w:rsid w:val="00576BE4"/>
    <w:rsid w:val="005779DB"/>
    <w:rsid w:val="005A2A67"/>
    <w:rsid w:val="005A400A"/>
    <w:rsid w:val="005B269D"/>
    <w:rsid w:val="005F7B92"/>
    <w:rsid w:val="00612379"/>
    <w:rsid w:val="006153B6"/>
    <w:rsid w:val="0061555F"/>
    <w:rsid w:val="006245ED"/>
    <w:rsid w:val="006248DE"/>
    <w:rsid w:val="00636CA6"/>
    <w:rsid w:val="00641200"/>
    <w:rsid w:val="00645CA8"/>
    <w:rsid w:val="00646AF0"/>
    <w:rsid w:val="006655D3"/>
    <w:rsid w:val="00667404"/>
    <w:rsid w:val="00687EB4"/>
    <w:rsid w:val="0069260D"/>
    <w:rsid w:val="00695C56"/>
    <w:rsid w:val="006A5CDE"/>
    <w:rsid w:val="006A644A"/>
    <w:rsid w:val="006B17D2"/>
    <w:rsid w:val="006B59A0"/>
    <w:rsid w:val="006C224E"/>
    <w:rsid w:val="006D780A"/>
    <w:rsid w:val="0071271E"/>
    <w:rsid w:val="00732DEC"/>
    <w:rsid w:val="00735BD5"/>
    <w:rsid w:val="00742C2C"/>
    <w:rsid w:val="007451EC"/>
    <w:rsid w:val="00751613"/>
    <w:rsid w:val="00753EE9"/>
    <w:rsid w:val="007556F6"/>
    <w:rsid w:val="00760EEF"/>
    <w:rsid w:val="00777EE5"/>
    <w:rsid w:val="00784836"/>
    <w:rsid w:val="0079023E"/>
    <w:rsid w:val="007973E8"/>
    <w:rsid w:val="007A2854"/>
    <w:rsid w:val="007C1D92"/>
    <w:rsid w:val="007C4CB9"/>
    <w:rsid w:val="007D0B9D"/>
    <w:rsid w:val="007D19B0"/>
    <w:rsid w:val="007F3E8C"/>
    <w:rsid w:val="007F498F"/>
    <w:rsid w:val="0080679D"/>
    <w:rsid w:val="008108B0"/>
    <w:rsid w:val="00811B20"/>
    <w:rsid w:val="00812609"/>
    <w:rsid w:val="008211B5"/>
    <w:rsid w:val="0082296E"/>
    <w:rsid w:val="00824099"/>
    <w:rsid w:val="008301C2"/>
    <w:rsid w:val="00831EE0"/>
    <w:rsid w:val="00846D7C"/>
    <w:rsid w:val="00867AC1"/>
    <w:rsid w:val="008751DE"/>
    <w:rsid w:val="00890DF8"/>
    <w:rsid w:val="008A0ADE"/>
    <w:rsid w:val="008A743F"/>
    <w:rsid w:val="008C0970"/>
    <w:rsid w:val="008D0BC5"/>
    <w:rsid w:val="008D2CF7"/>
    <w:rsid w:val="008D6DF1"/>
    <w:rsid w:val="00900C26"/>
    <w:rsid w:val="0090197F"/>
    <w:rsid w:val="00903264"/>
    <w:rsid w:val="00906DDC"/>
    <w:rsid w:val="00934E09"/>
    <w:rsid w:val="00936253"/>
    <w:rsid w:val="00940D46"/>
    <w:rsid w:val="009413F1"/>
    <w:rsid w:val="009470BB"/>
    <w:rsid w:val="00952DD4"/>
    <w:rsid w:val="009561F4"/>
    <w:rsid w:val="00965AE7"/>
    <w:rsid w:val="00970FED"/>
    <w:rsid w:val="00972E68"/>
    <w:rsid w:val="00985E41"/>
    <w:rsid w:val="009879FF"/>
    <w:rsid w:val="00992D82"/>
    <w:rsid w:val="00997029"/>
    <w:rsid w:val="009A7339"/>
    <w:rsid w:val="009B440E"/>
    <w:rsid w:val="009C0A66"/>
    <w:rsid w:val="009D690D"/>
    <w:rsid w:val="009E65B6"/>
    <w:rsid w:val="009F0A51"/>
    <w:rsid w:val="009F0B7F"/>
    <w:rsid w:val="009F77CF"/>
    <w:rsid w:val="00A12795"/>
    <w:rsid w:val="00A24C10"/>
    <w:rsid w:val="00A42AC3"/>
    <w:rsid w:val="00A430CF"/>
    <w:rsid w:val="00A54309"/>
    <w:rsid w:val="00A55168"/>
    <w:rsid w:val="00A610A9"/>
    <w:rsid w:val="00A618AF"/>
    <w:rsid w:val="00A80F2A"/>
    <w:rsid w:val="00A96C33"/>
    <w:rsid w:val="00AB2B93"/>
    <w:rsid w:val="00AB530F"/>
    <w:rsid w:val="00AB7E5B"/>
    <w:rsid w:val="00AC2883"/>
    <w:rsid w:val="00AC3A8C"/>
    <w:rsid w:val="00AE0EF1"/>
    <w:rsid w:val="00AE2937"/>
    <w:rsid w:val="00B07301"/>
    <w:rsid w:val="00B11F3E"/>
    <w:rsid w:val="00B224DE"/>
    <w:rsid w:val="00B324D4"/>
    <w:rsid w:val="00B46575"/>
    <w:rsid w:val="00B61777"/>
    <w:rsid w:val="00B622E6"/>
    <w:rsid w:val="00B83E82"/>
    <w:rsid w:val="00B84BBD"/>
    <w:rsid w:val="00B91195"/>
    <w:rsid w:val="00BA43FB"/>
    <w:rsid w:val="00BB09E5"/>
    <w:rsid w:val="00BC127D"/>
    <w:rsid w:val="00BC1FE6"/>
    <w:rsid w:val="00BD022B"/>
    <w:rsid w:val="00BE7F98"/>
    <w:rsid w:val="00C061B6"/>
    <w:rsid w:val="00C2446C"/>
    <w:rsid w:val="00C36AE5"/>
    <w:rsid w:val="00C41F17"/>
    <w:rsid w:val="00C44BCA"/>
    <w:rsid w:val="00C45098"/>
    <w:rsid w:val="00C527FA"/>
    <w:rsid w:val="00C5280D"/>
    <w:rsid w:val="00C53EB3"/>
    <w:rsid w:val="00C54C75"/>
    <w:rsid w:val="00C5791C"/>
    <w:rsid w:val="00C66290"/>
    <w:rsid w:val="00C72B7A"/>
    <w:rsid w:val="00C973F2"/>
    <w:rsid w:val="00CA304C"/>
    <w:rsid w:val="00CA774A"/>
    <w:rsid w:val="00CB4921"/>
    <w:rsid w:val="00CB603E"/>
    <w:rsid w:val="00CC11B0"/>
    <w:rsid w:val="00CC2841"/>
    <w:rsid w:val="00CC7B92"/>
    <w:rsid w:val="00CF1330"/>
    <w:rsid w:val="00CF7E36"/>
    <w:rsid w:val="00D14633"/>
    <w:rsid w:val="00D3708D"/>
    <w:rsid w:val="00D40426"/>
    <w:rsid w:val="00D57C96"/>
    <w:rsid w:val="00D57D18"/>
    <w:rsid w:val="00D70E65"/>
    <w:rsid w:val="00D91203"/>
    <w:rsid w:val="00D95174"/>
    <w:rsid w:val="00DA4973"/>
    <w:rsid w:val="00DA6F36"/>
    <w:rsid w:val="00DB49C6"/>
    <w:rsid w:val="00DB596E"/>
    <w:rsid w:val="00DB7773"/>
    <w:rsid w:val="00DC00EA"/>
    <w:rsid w:val="00DC3802"/>
    <w:rsid w:val="00DD1482"/>
    <w:rsid w:val="00DD6208"/>
    <w:rsid w:val="00DF7E99"/>
    <w:rsid w:val="00E07D87"/>
    <w:rsid w:val="00E249C8"/>
    <w:rsid w:val="00E32F7E"/>
    <w:rsid w:val="00E5267B"/>
    <w:rsid w:val="00E559F0"/>
    <w:rsid w:val="00E63C0E"/>
    <w:rsid w:val="00E7232A"/>
    <w:rsid w:val="00E72D49"/>
    <w:rsid w:val="00E7593C"/>
    <w:rsid w:val="00E75E12"/>
    <w:rsid w:val="00E7678A"/>
    <w:rsid w:val="00E935F1"/>
    <w:rsid w:val="00E94A81"/>
    <w:rsid w:val="00EA1FFB"/>
    <w:rsid w:val="00EB048E"/>
    <w:rsid w:val="00EB4E9C"/>
    <w:rsid w:val="00EC634B"/>
    <w:rsid w:val="00EE34DF"/>
    <w:rsid w:val="00EF2F89"/>
    <w:rsid w:val="00F03E98"/>
    <w:rsid w:val="00F1237A"/>
    <w:rsid w:val="00F22CBD"/>
    <w:rsid w:val="00F272F1"/>
    <w:rsid w:val="00F31412"/>
    <w:rsid w:val="00F45372"/>
    <w:rsid w:val="00F560F7"/>
    <w:rsid w:val="00F6334D"/>
    <w:rsid w:val="00F63599"/>
    <w:rsid w:val="00F671F0"/>
    <w:rsid w:val="00F71781"/>
    <w:rsid w:val="00F86FED"/>
    <w:rsid w:val="00FA49AB"/>
    <w:rsid w:val="00FC5FD0"/>
    <w:rsid w:val="00FE39C7"/>
    <w:rsid w:val="00FF4D07"/>
    <w:rsid w:val="00FF7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8B37E05-DFA3-407E-A572-C35C46D2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037992"/>
    <w:pPr>
      <w:tabs>
        <w:tab w:val="right" w:leader="dot" w:pos="9639"/>
      </w:tabs>
      <w:ind w:left="568" w:right="851" w:hanging="284"/>
      <w:contextualSpacing/>
      <w:jc w:val="left"/>
    </w:pPr>
    <w:rPr>
      <w:sz w:val="18"/>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037992"/>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link w:val="Heading2"/>
    <w:locked/>
    <w:rsid w:val="001C1341"/>
    <w:rPr>
      <w:rFonts w:ascii="Arial" w:hAnsi="Arial"/>
      <w:u w:val="single"/>
    </w:rPr>
  </w:style>
  <w:style w:type="paragraph" w:styleId="ListParagraph">
    <w:name w:val="List Paragraph"/>
    <w:aliases w:val="auto_list_(i),List Paragraph1"/>
    <w:basedOn w:val="Normal"/>
    <w:link w:val="ListParagraphChar"/>
    <w:uiPriority w:val="34"/>
    <w:qFormat/>
    <w:rsid w:val="001C1341"/>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1C1341"/>
    <w:rPr>
      <w:rFonts w:ascii="Arial" w:hAnsi="Arial"/>
    </w:rPr>
  </w:style>
  <w:style w:type="character" w:customStyle="1" w:styleId="FootnoteTextChar">
    <w:name w:val="Footnote Text Char"/>
    <w:basedOn w:val="DefaultParagraphFont"/>
    <w:link w:val="FootnoteText"/>
    <w:rsid w:val="008301C2"/>
    <w:rPr>
      <w:rFonts w:ascii="Arial" w:hAnsi="Arial"/>
      <w:sz w:val="16"/>
    </w:rPr>
  </w:style>
  <w:style w:type="character" w:customStyle="1" w:styleId="Heading1Char">
    <w:name w:val="Heading 1 Char"/>
    <w:basedOn w:val="DefaultParagraphFont"/>
    <w:link w:val="Heading1"/>
    <w:rsid w:val="008301C2"/>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01165">
      <w:bodyDiv w:val="1"/>
      <w:marLeft w:val="0"/>
      <w:marRight w:val="0"/>
      <w:marTop w:val="0"/>
      <w:marBottom w:val="0"/>
      <w:divBdr>
        <w:top w:val="none" w:sz="0" w:space="0" w:color="auto"/>
        <w:left w:val="none" w:sz="0" w:space="0" w:color="auto"/>
        <w:bottom w:val="none" w:sz="0" w:space="0" w:color="auto"/>
        <w:right w:val="none" w:sz="0" w:space="0" w:color="auto"/>
      </w:divBdr>
    </w:div>
    <w:div w:id="163326579">
      <w:bodyDiv w:val="1"/>
      <w:marLeft w:val="0"/>
      <w:marRight w:val="0"/>
      <w:marTop w:val="0"/>
      <w:marBottom w:val="0"/>
      <w:divBdr>
        <w:top w:val="none" w:sz="0" w:space="0" w:color="auto"/>
        <w:left w:val="none" w:sz="0" w:space="0" w:color="auto"/>
        <w:bottom w:val="none" w:sz="0" w:space="0" w:color="auto"/>
        <w:right w:val="none" w:sz="0" w:space="0" w:color="auto"/>
      </w:divBdr>
    </w:div>
    <w:div w:id="369034718">
      <w:bodyDiv w:val="1"/>
      <w:marLeft w:val="0"/>
      <w:marRight w:val="0"/>
      <w:marTop w:val="0"/>
      <w:marBottom w:val="0"/>
      <w:divBdr>
        <w:top w:val="none" w:sz="0" w:space="0" w:color="auto"/>
        <w:left w:val="none" w:sz="0" w:space="0" w:color="auto"/>
        <w:bottom w:val="none" w:sz="0" w:space="0" w:color="auto"/>
        <w:right w:val="none" w:sz="0" w:space="0" w:color="auto"/>
      </w:divBdr>
    </w:div>
    <w:div w:id="535047325">
      <w:bodyDiv w:val="1"/>
      <w:marLeft w:val="0"/>
      <w:marRight w:val="0"/>
      <w:marTop w:val="0"/>
      <w:marBottom w:val="0"/>
      <w:divBdr>
        <w:top w:val="none" w:sz="0" w:space="0" w:color="auto"/>
        <w:left w:val="none" w:sz="0" w:space="0" w:color="auto"/>
        <w:bottom w:val="none" w:sz="0" w:space="0" w:color="auto"/>
        <w:right w:val="none" w:sz="0" w:space="0" w:color="auto"/>
      </w:divBdr>
    </w:div>
    <w:div w:id="1532107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8%20(2022)\templates\routing_slip_with_doc_tc_5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FB96C-6FB9-4E02-83B6-BA5D08F06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routing_slip_with_doc_tc_58</Template>
  <TotalTime>0</TotalTime>
  <Pages>5</Pages>
  <Words>2024</Words>
  <Characters>11877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TC/57</vt:lpstr>
    </vt:vector>
  </TitlesOfParts>
  <Company>UPOV</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dc:title>
  <dc:creator>MAY Jessica</dc:creator>
  <cp:lastModifiedBy>MAY Jessica</cp:lastModifiedBy>
  <cp:revision>3</cp:revision>
  <cp:lastPrinted>2016-11-22T15:41:00Z</cp:lastPrinted>
  <dcterms:created xsi:type="dcterms:W3CDTF">2022-10-05T06:58:00Z</dcterms:created>
  <dcterms:modified xsi:type="dcterms:W3CDTF">2022-10-05T06:58:00Z</dcterms:modified>
</cp:coreProperties>
</file>