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8559E0">
              <w:t>1</w:t>
            </w:r>
            <w:r w:rsidR="00363EE5">
              <w:t>4</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9A294A">
            <w:pPr>
              <w:pStyle w:val="Docoriginal"/>
            </w:pPr>
            <w:r w:rsidRPr="00AC2883">
              <w:t>Date:</w:t>
            </w:r>
            <w:r>
              <w:rPr>
                <w:b w:val="0"/>
                <w:spacing w:val="0"/>
              </w:rPr>
              <w:t xml:space="preserve">  </w:t>
            </w:r>
            <w:r w:rsidR="00FA16C0" w:rsidRPr="00CF54CA">
              <w:rPr>
                <w:b w:val="0"/>
                <w:spacing w:val="0"/>
              </w:rPr>
              <w:t xml:space="preserve">October </w:t>
            </w:r>
            <w:r w:rsidR="009A294A" w:rsidRPr="00CF54CA">
              <w:rPr>
                <w:b w:val="0"/>
                <w:spacing w:val="0"/>
              </w:rPr>
              <w:t>6</w:t>
            </w:r>
            <w:r w:rsidRPr="00CF54CA">
              <w:rPr>
                <w:b w:val="0"/>
                <w:spacing w:val="0"/>
              </w:rPr>
              <w:t>, 2022</w:t>
            </w:r>
            <w:bookmarkStart w:id="0" w:name="_GoBack"/>
            <w:bookmarkEnd w:id="0"/>
          </w:p>
        </w:tc>
      </w:tr>
    </w:tbl>
    <w:p w:rsidR="003D0839" w:rsidRPr="006A644A" w:rsidRDefault="00363EE5" w:rsidP="003D0839">
      <w:pPr>
        <w:pStyle w:val="Titleofdoc0"/>
      </w:pPr>
      <w:r w:rsidRPr="00363EE5">
        <w:t>Preparatory workshops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FA16C0" w:rsidRPr="00FA16C0" w:rsidRDefault="00FA16C0" w:rsidP="00FA16C0">
      <w:pPr>
        <w:keepNext/>
        <w:outlineLvl w:val="0"/>
        <w:rPr>
          <w:caps/>
        </w:rPr>
      </w:pPr>
      <w:bookmarkStart w:id="1" w:name="_Toc475955714"/>
      <w:bookmarkStart w:id="2" w:name="_Toc115876308"/>
      <w:r w:rsidRPr="00FA16C0">
        <w:rPr>
          <w:caps/>
        </w:rPr>
        <w:t>EXECUTIVE SUMMARY</w:t>
      </w:r>
      <w:bookmarkEnd w:id="1"/>
      <w:bookmarkEnd w:id="2"/>
    </w:p>
    <w:p w:rsidR="00FA16C0" w:rsidRPr="00FA16C0" w:rsidRDefault="00FA16C0" w:rsidP="00FA16C0">
      <w:pPr>
        <w:autoSpaceDE w:val="0"/>
        <w:autoSpaceDN w:val="0"/>
        <w:adjustRightInd w:val="0"/>
        <w:rPr>
          <w:rFonts w:cs="Arial"/>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purpose of this document is to provide a report on preparatory workshops in 202</w:t>
      </w:r>
      <w:r w:rsidR="006B1F32">
        <w:rPr>
          <w:rFonts w:cs="Arial"/>
        </w:rPr>
        <w:t>2</w:t>
      </w:r>
      <w:r w:rsidRPr="00FA16C0">
        <w:rPr>
          <w:rFonts w:cs="Arial"/>
        </w:rPr>
        <w:t xml:space="preserve"> and present proposals for 202</w:t>
      </w:r>
      <w:r w:rsidR="006B1F32">
        <w:rPr>
          <w:rFonts w:cs="Arial"/>
        </w:rPr>
        <w:t>3</w:t>
      </w:r>
      <w:r w:rsidRPr="00FA16C0">
        <w:rPr>
          <w:rFonts w:cs="Arial"/>
        </w:rPr>
        <w:t>.</w:t>
      </w:r>
    </w:p>
    <w:p w:rsidR="00FA16C0" w:rsidRPr="00FA16C0" w:rsidRDefault="00FA16C0" w:rsidP="00FA16C0">
      <w:pPr>
        <w:tabs>
          <w:tab w:val="left" w:pos="567"/>
          <w:tab w:val="left" w:pos="1134"/>
        </w:tabs>
        <w:autoSpaceDE w:val="0"/>
        <w:autoSpaceDN w:val="0"/>
        <w:adjustRightInd w:val="0"/>
        <w:rPr>
          <w:rFonts w:cs="Arial"/>
        </w:rPr>
      </w:pPr>
    </w:p>
    <w:p w:rsidR="00FA16C0" w:rsidRPr="00FA16C0" w:rsidRDefault="00FA16C0" w:rsidP="00FA16C0">
      <w:pPr>
        <w:tabs>
          <w:tab w:val="left" w:pos="567"/>
          <w:tab w:val="left" w:pos="1134"/>
          <w:tab w:val="left" w:pos="5387"/>
          <w:tab w:val="left" w:pos="5954"/>
        </w:tabs>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TC is invited to </w:t>
      </w:r>
      <w:r w:rsidRPr="00FA16C0">
        <w:rPr>
          <w:snapToGrid w:val="0"/>
        </w:rPr>
        <w:t>consider whether to organize preparatory workshops as a series of webinars, to be organized at suitable dates according to the schedule of TWP sessions in 202</w:t>
      </w:r>
      <w:r w:rsidR="006B1F32">
        <w:rPr>
          <w:snapToGrid w:val="0"/>
        </w:rPr>
        <w:t>3</w:t>
      </w:r>
      <w:r w:rsidRPr="00FA16C0">
        <w:rPr>
          <w:snapToGrid w:val="0"/>
        </w:rPr>
        <w:t xml:space="preserve">, in conjunction with workshops with physical participation, where requested, as set out </w:t>
      </w:r>
      <w:r w:rsidRPr="00CE73C4">
        <w:rPr>
          <w:snapToGrid w:val="0"/>
        </w:rPr>
        <w:t xml:space="preserve">in paragraphs </w:t>
      </w:r>
      <w:r w:rsidR="00526C14" w:rsidRPr="00CE73C4">
        <w:rPr>
          <w:snapToGrid w:val="0"/>
        </w:rPr>
        <w:t>15</w:t>
      </w:r>
      <w:r w:rsidRPr="00CE73C4">
        <w:rPr>
          <w:snapToGrid w:val="0"/>
        </w:rPr>
        <w:t xml:space="preserve"> to </w:t>
      </w:r>
      <w:r w:rsidR="00526C14" w:rsidRPr="00CE73C4">
        <w:rPr>
          <w:snapToGrid w:val="0"/>
        </w:rPr>
        <w:t>18</w:t>
      </w:r>
      <w:r w:rsidRPr="00CE73C4">
        <w:rPr>
          <w:snapToGrid w:val="0"/>
        </w:rPr>
        <w:t xml:space="preserve"> of</w:t>
      </w:r>
      <w:r w:rsidRPr="00FA16C0">
        <w:rPr>
          <w:snapToGrid w:val="0"/>
        </w:rPr>
        <w:t xml:space="preserve"> this document.</w:t>
      </w:r>
    </w:p>
    <w:p w:rsidR="00FA16C0" w:rsidRPr="00FA16C0" w:rsidRDefault="00FA16C0" w:rsidP="00FA16C0">
      <w:pPr>
        <w:tabs>
          <w:tab w:val="left" w:pos="567"/>
          <w:tab w:val="left" w:pos="1134"/>
          <w:tab w:val="num" w:pos="5387"/>
          <w:tab w:val="left" w:pos="5954"/>
        </w:tabs>
        <w:ind w:left="567"/>
        <w:rPr>
          <w:rFonts w:cs="Arial"/>
        </w:rPr>
      </w:pPr>
    </w:p>
    <w:p w:rsidR="00FA16C0" w:rsidRPr="00FA16C0" w:rsidRDefault="00FA16C0" w:rsidP="00FA16C0">
      <w:pPr>
        <w:rPr>
          <w:rFonts w:cs="Arial"/>
          <w:color w:val="000000"/>
        </w:rPr>
      </w:pPr>
      <w:r w:rsidRPr="00FA16C0">
        <w:rPr>
          <w:rFonts w:cs="Arial"/>
          <w:color w:val="000000"/>
        </w:rPr>
        <w:fldChar w:fldCharType="begin"/>
      </w:r>
      <w:r w:rsidRPr="00FA16C0">
        <w:rPr>
          <w:rFonts w:cs="Arial"/>
          <w:color w:val="000000"/>
        </w:rPr>
        <w:instrText xml:space="preserve"> AUTONUM  </w:instrText>
      </w:r>
      <w:r w:rsidRPr="00FA16C0">
        <w:rPr>
          <w:rFonts w:cs="Arial"/>
          <w:color w:val="000000"/>
        </w:rPr>
        <w:fldChar w:fldCharType="end"/>
      </w:r>
      <w:r w:rsidRPr="00FA16C0">
        <w:rPr>
          <w:rFonts w:cs="Arial"/>
          <w:color w:val="000000"/>
        </w:rPr>
        <w:tab/>
        <w:t>The following abbreviations are used in this document:</w:t>
      </w:r>
    </w:p>
    <w:p w:rsidR="00FA16C0" w:rsidRPr="00FA16C0" w:rsidRDefault="00FA16C0" w:rsidP="00FA16C0">
      <w:pPr>
        <w:rPr>
          <w:rFonts w:cs="Arial"/>
          <w:color w:val="000000"/>
        </w:rPr>
      </w:pPr>
    </w:p>
    <w:p w:rsidR="00FA16C0" w:rsidRPr="00FA16C0" w:rsidRDefault="00FA16C0" w:rsidP="00FA16C0">
      <w:pPr>
        <w:tabs>
          <w:tab w:val="left" w:pos="567"/>
        </w:tabs>
        <w:ind w:left="1418" w:hanging="851"/>
        <w:rPr>
          <w:rFonts w:cs="Arial"/>
          <w:color w:val="000000"/>
        </w:rPr>
      </w:pPr>
      <w:r w:rsidRPr="00FA16C0">
        <w:rPr>
          <w:rFonts w:cs="Arial"/>
          <w:color w:val="000000"/>
        </w:rPr>
        <w:t>TC:</w:t>
      </w:r>
      <w:r w:rsidRPr="00FA16C0">
        <w:rPr>
          <w:rFonts w:cs="Arial"/>
          <w:color w:val="000000"/>
        </w:rPr>
        <w:tab/>
        <w:t>Technical Committee</w:t>
      </w:r>
    </w:p>
    <w:p w:rsidR="00FA16C0" w:rsidRPr="00FA16C0" w:rsidRDefault="00FA16C0" w:rsidP="00FA16C0">
      <w:pPr>
        <w:tabs>
          <w:tab w:val="left" w:pos="567"/>
        </w:tabs>
        <w:ind w:left="1418" w:hanging="851"/>
        <w:rPr>
          <w:rFonts w:cs="Arial"/>
          <w:color w:val="000000"/>
        </w:rPr>
      </w:pPr>
      <w:r w:rsidRPr="00FA16C0">
        <w:rPr>
          <w:rFonts w:cs="Arial"/>
          <w:color w:val="000000"/>
        </w:rPr>
        <w:t>TWA:</w:t>
      </w:r>
      <w:r w:rsidRPr="00FA16C0">
        <w:rPr>
          <w:rFonts w:cs="Arial"/>
          <w:color w:val="000000"/>
        </w:rPr>
        <w:tab/>
        <w:t>Technical Working Party for Agricultural Crops</w:t>
      </w:r>
    </w:p>
    <w:p w:rsidR="00FA16C0" w:rsidRPr="00FA16C0" w:rsidRDefault="00FA16C0" w:rsidP="00FA16C0">
      <w:pPr>
        <w:ind w:left="1418" w:hanging="851"/>
        <w:rPr>
          <w:rFonts w:cs="Arial"/>
          <w:color w:val="000000"/>
        </w:rPr>
      </w:pPr>
      <w:r w:rsidRPr="00FA16C0">
        <w:rPr>
          <w:rFonts w:cs="Arial"/>
          <w:color w:val="000000"/>
        </w:rPr>
        <w:t xml:space="preserve">TWF: </w:t>
      </w:r>
      <w:r w:rsidRPr="00FA16C0">
        <w:rPr>
          <w:rFonts w:cs="Arial"/>
          <w:color w:val="000000"/>
        </w:rPr>
        <w:tab/>
        <w:t>Technical Working Party for Fruit Crops</w:t>
      </w:r>
    </w:p>
    <w:p w:rsidR="00FA16C0" w:rsidRPr="00FA16C0" w:rsidRDefault="00FA16C0" w:rsidP="00FA16C0">
      <w:pPr>
        <w:ind w:left="1418" w:hanging="851"/>
        <w:rPr>
          <w:rFonts w:cs="Arial"/>
          <w:color w:val="000000"/>
        </w:rPr>
      </w:pPr>
      <w:r w:rsidRPr="00FA16C0">
        <w:rPr>
          <w:rFonts w:cs="Arial"/>
          <w:color w:val="000000"/>
        </w:rPr>
        <w:t>TWM:</w:t>
      </w:r>
      <w:r w:rsidRPr="00FA16C0">
        <w:rPr>
          <w:rFonts w:cs="Arial"/>
          <w:color w:val="000000"/>
        </w:rPr>
        <w:tab/>
      </w:r>
      <w:r w:rsidRPr="00FA16C0">
        <w:t>Technical Working Party on Testing Methods and Techniques</w:t>
      </w:r>
    </w:p>
    <w:p w:rsidR="00FA16C0" w:rsidRPr="00FA16C0" w:rsidRDefault="00FA16C0" w:rsidP="00FA16C0">
      <w:pPr>
        <w:ind w:left="1418" w:hanging="851"/>
        <w:rPr>
          <w:rFonts w:cs="Arial"/>
          <w:color w:val="000000"/>
        </w:rPr>
      </w:pPr>
      <w:r w:rsidRPr="00FA16C0">
        <w:rPr>
          <w:rFonts w:cs="Arial"/>
          <w:color w:val="000000"/>
        </w:rPr>
        <w:t>TWO:</w:t>
      </w:r>
      <w:r w:rsidRPr="00FA16C0">
        <w:rPr>
          <w:rFonts w:cs="Arial"/>
          <w:color w:val="000000"/>
        </w:rPr>
        <w:tab/>
        <w:t>Technical Working Party for Ornamental Plants and Forest Trees</w:t>
      </w:r>
    </w:p>
    <w:p w:rsidR="00FA16C0" w:rsidRPr="00FA16C0" w:rsidRDefault="00FA16C0" w:rsidP="00FA16C0">
      <w:pPr>
        <w:tabs>
          <w:tab w:val="left" w:pos="567"/>
        </w:tabs>
        <w:ind w:left="1418" w:hanging="851"/>
        <w:rPr>
          <w:rFonts w:cs="Arial"/>
          <w:color w:val="000000"/>
          <w:lang w:eastAsia="ja-JP" w:bidi="th-TH"/>
        </w:rPr>
      </w:pPr>
      <w:r w:rsidRPr="00FA16C0">
        <w:rPr>
          <w:rFonts w:cs="Arial"/>
          <w:color w:val="000000"/>
          <w:lang w:eastAsia="ja-JP" w:bidi="th-TH"/>
        </w:rPr>
        <w:t>TWPs:</w:t>
      </w:r>
      <w:r w:rsidRPr="00FA16C0">
        <w:rPr>
          <w:rFonts w:cs="Arial"/>
          <w:color w:val="000000"/>
          <w:lang w:eastAsia="ja-JP" w:bidi="th-TH"/>
        </w:rPr>
        <w:tab/>
        <w:t>Technical Working Parties</w:t>
      </w:r>
    </w:p>
    <w:p w:rsidR="00FA16C0" w:rsidRPr="00FA16C0" w:rsidRDefault="00FA16C0" w:rsidP="00FA16C0">
      <w:pPr>
        <w:ind w:left="1418" w:hanging="851"/>
        <w:rPr>
          <w:rFonts w:cs="Arial"/>
          <w:color w:val="000000"/>
        </w:rPr>
      </w:pPr>
      <w:r w:rsidRPr="00FA16C0">
        <w:rPr>
          <w:rFonts w:cs="Arial"/>
          <w:color w:val="000000"/>
        </w:rPr>
        <w:t>TWV:</w:t>
      </w:r>
      <w:r w:rsidRPr="00FA16C0">
        <w:rPr>
          <w:rFonts w:cs="Arial"/>
          <w:color w:val="000000"/>
        </w:rPr>
        <w:tab/>
        <w:t>Technical Working Party for Vegetables</w:t>
      </w:r>
    </w:p>
    <w:p w:rsidR="00FA16C0" w:rsidRPr="00FA16C0" w:rsidRDefault="00FA16C0" w:rsidP="00FA16C0">
      <w:pPr>
        <w:autoSpaceDE w:val="0"/>
        <w:autoSpaceDN w:val="0"/>
        <w:adjustRightInd w:val="0"/>
        <w:rPr>
          <w:rFonts w:cs="Arial"/>
          <w:snapToGrid w:val="0"/>
        </w:rPr>
      </w:pPr>
    </w:p>
    <w:p w:rsidR="00FA16C0" w:rsidRPr="00FA16C0" w:rsidRDefault="00FA16C0" w:rsidP="00FA16C0">
      <w:pPr>
        <w:autoSpaceDE w:val="0"/>
        <w:autoSpaceDN w:val="0"/>
        <w:adjustRightInd w:val="0"/>
        <w:rPr>
          <w:rFonts w:cs="Arial"/>
          <w:snapToGrid w:val="0"/>
          <w:lang w:eastAsia="ja-JP"/>
        </w:rPr>
      </w:pPr>
      <w:r w:rsidRPr="00FA16C0">
        <w:rPr>
          <w:rFonts w:cs="Arial"/>
          <w:snapToGrid w:val="0"/>
        </w:rPr>
        <w:fldChar w:fldCharType="begin"/>
      </w:r>
      <w:r w:rsidRPr="00FA16C0">
        <w:rPr>
          <w:rFonts w:cs="Arial"/>
          <w:snapToGrid w:val="0"/>
        </w:rPr>
        <w:instrText xml:space="preserve"> AUTONUM  </w:instrText>
      </w:r>
      <w:r w:rsidRPr="00FA16C0">
        <w:rPr>
          <w:rFonts w:cs="Arial"/>
          <w:snapToGrid w:val="0"/>
        </w:rPr>
        <w:fldChar w:fldCharType="end"/>
      </w:r>
      <w:r w:rsidRPr="00FA16C0">
        <w:rPr>
          <w:rFonts w:cs="Arial"/>
          <w:snapToGrid w:val="0"/>
        </w:rPr>
        <w:tab/>
      </w:r>
      <w:r w:rsidRPr="00FA16C0">
        <w:rPr>
          <w:rFonts w:cs="Arial"/>
          <w:snapToGrid w:val="0"/>
          <w:lang w:eastAsia="ja-JP"/>
        </w:rPr>
        <w:t>The structure of this document is as follows:</w:t>
      </w:r>
    </w:p>
    <w:p w:rsidR="00FA16C0" w:rsidRPr="00FA16C0" w:rsidRDefault="00FA16C0" w:rsidP="00FA16C0">
      <w:pPr>
        <w:autoSpaceDE w:val="0"/>
        <w:autoSpaceDN w:val="0"/>
        <w:adjustRightInd w:val="0"/>
        <w:rPr>
          <w:rFonts w:cs="Arial"/>
          <w:snapToGrid w:val="0"/>
          <w:lang w:eastAsia="ja-JP"/>
        </w:rPr>
      </w:pPr>
    </w:p>
    <w:p w:rsidR="00526C14" w:rsidRDefault="00FA16C0" w:rsidP="00CE73C4">
      <w:pPr>
        <w:pStyle w:val="TOC1"/>
        <w:rPr>
          <w:rFonts w:asciiTheme="minorHAnsi" w:eastAsiaTheme="minorEastAsia" w:hAnsiTheme="minorHAnsi" w:cstheme="minorBidi"/>
          <w:noProof/>
          <w:sz w:val="22"/>
          <w:szCs w:val="22"/>
        </w:rPr>
      </w:pPr>
      <w:r w:rsidRPr="00FA16C0">
        <w:rPr>
          <w:bCs/>
          <w:noProof/>
          <w:snapToGrid w:val="0"/>
          <w:lang w:eastAsia="ja-JP"/>
        </w:rPr>
        <w:fldChar w:fldCharType="begin"/>
      </w:r>
      <w:r w:rsidRPr="00FA16C0">
        <w:rPr>
          <w:snapToGrid w:val="0"/>
        </w:rPr>
        <w:instrText xml:space="preserve"> TOC \o "1-3" \h \z \u </w:instrText>
      </w:r>
      <w:r w:rsidRPr="00FA16C0">
        <w:rPr>
          <w:bCs/>
          <w:noProof/>
          <w:snapToGrid w:val="0"/>
          <w:lang w:eastAsia="ja-JP"/>
        </w:rPr>
        <w:fldChar w:fldCharType="separate"/>
      </w:r>
      <w:hyperlink w:anchor="_Toc115876308" w:history="1">
        <w:r w:rsidR="00526C14" w:rsidRPr="006023A7">
          <w:rPr>
            <w:rStyle w:val="Hyperlink"/>
            <w:noProof/>
          </w:rPr>
          <w:t>EXECUTIVE SUMMARY</w:t>
        </w:r>
        <w:r w:rsidR="00526C14">
          <w:rPr>
            <w:noProof/>
            <w:webHidden/>
          </w:rPr>
          <w:tab/>
        </w:r>
        <w:r w:rsidR="00526C14">
          <w:rPr>
            <w:noProof/>
            <w:webHidden/>
          </w:rPr>
          <w:fldChar w:fldCharType="begin"/>
        </w:r>
        <w:r w:rsidR="00526C14">
          <w:rPr>
            <w:noProof/>
            <w:webHidden/>
          </w:rPr>
          <w:instrText xml:space="preserve"> PAGEREF _Toc115876308 \h </w:instrText>
        </w:r>
        <w:r w:rsidR="00526C14">
          <w:rPr>
            <w:noProof/>
            <w:webHidden/>
          </w:rPr>
        </w:r>
        <w:r w:rsidR="00526C14">
          <w:rPr>
            <w:noProof/>
            <w:webHidden/>
          </w:rPr>
          <w:fldChar w:fldCharType="separate"/>
        </w:r>
        <w:r w:rsidR="00526C14">
          <w:rPr>
            <w:noProof/>
            <w:webHidden/>
          </w:rPr>
          <w:t>1</w:t>
        </w:r>
        <w:r w:rsidR="00526C14">
          <w:rPr>
            <w:noProof/>
            <w:webHidden/>
          </w:rPr>
          <w:fldChar w:fldCharType="end"/>
        </w:r>
      </w:hyperlink>
    </w:p>
    <w:p w:rsidR="00526C14" w:rsidRDefault="00CF54CA" w:rsidP="00CE73C4">
      <w:pPr>
        <w:pStyle w:val="TOC1"/>
        <w:rPr>
          <w:rFonts w:asciiTheme="minorHAnsi" w:eastAsiaTheme="minorEastAsia" w:hAnsiTheme="minorHAnsi" w:cstheme="minorBidi"/>
          <w:noProof/>
          <w:sz w:val="22"/>
          <w:szCs w:val="22"/>
        </w:rPr>
      </w:pPr>
      <w:hyperlink w:anchor="_Toc115876309" w:history="1">
        <w:r w:rsidR="00526C14" w:rsidRPr="006023A7">
          <w:rPr>
            <w:rStyle w:val="Hyperlink"/>
            <w:noProof/>
          </w:rPr>
          <w:t>BACKGROUND</w:t>
        </w:r>
        <w:r w:rsidR="00526C14">
          <w:rPr>
            <w:noProof/>
            <w:webHidden/>
          </w:rPr>
          <w:tab/>
        </w:r>
        <w:r w:rsidR="00526C14">
          <w:rPr>
            <w:noProof/>
            <w:webHidden/>
          </w:rPr>
          <w:fldChar w:fldCharType="begin"/>
        </w:r>
        <w:r w:rsidR="00526C14">
          <w:rPr>
            <w:noProof/>
            <w:webHidden/>
          </w:rPr>
          <w:instrText xml:space="preserve"> PAGEREF _Toc115876309 \h </w:instrText>
        </w:r>
        <w:r w:rsidR="00526C14">
          <w:rPr>
            <w:noProof/>
            <w:webHidden/>
          </w:rPr>
        </w:r>
        <w:r w:rsidR="00526C14">
          <w:rPr>
            <w:noProof/>
            <w:webHidden/>
          </w:rPr>
          <w:fldChar w:fldCharType="separate"/>
        </w:r>
        <w:r w:rsidR="00526C14">
          <w:rPr>
            <w:noProof/>
            <w:webHidden/>
          </w:rPr>
          <w:t>1</w:t>
        </w:r>
        <w:r w:rsidR="00526C14">
          <w:rPr>
            <w:noProof/>
            <w:webHidden/>
          </w:rPr>
          <w:fldChar w:fldCharType="end"/>
        </w:r>
      </w:hyperlink>
    </w:p>
    <w:p w:rsidR="00526C14" w:rsidRDefault="00CF54CA" w:rsidP="00CE73C4">
      <w:pPr>
        <w:pStyle w:val="TOC1"/>
        <w:rPr>
          <w:rFonts w:asciiTheme="minorHAnsi" w:eastAsiaTheme="minorEastAsia" w:hAnsiTheme="minorHAnsi" w:cstheme="minorBidi"/>
          <w:noProof/>
          <w:sz w:val="22"/>
          <w:szCs w:val="22"/>
        </w:rPr>
      </w:pPr>
      <w:hyperlink w:anchor="_Toc115876310" w:history="1">
        <w:r w:rsidR="00526C14" w:rsidRPr="006023A7">
          <w:rPr>
            <w:rStyle w:val="Hyperlink"/>
            <w:noProof/>
          </w:rPr>
          <w:t>Report on Preparatory Workshops in 2022</w:t>
        </w:r>
        <w:r w:rsidR="00526C14">
          <w:rPr>
            <w:noProof/>
            <w:webHidden/>
          </w:rPr>
          <w:tab/>
        </w:r>
        <w:r w:rsidR="00526C14">
          <w:rPr>
            <w:noProof/>
            <w:webHidden/>
          </w:rPr>
          <w:fldChar w:fldCharType="begin"/>
        </w:r>
        <w:r w:rsidR="00526C14">
          <w:rPr>
            <w:noProof/>
            <w:webHidden/>
          </w:rPr>
          <w:instrText xml:space="preserve"> PAGEREF _Toc115876310 \h </w:instrText>
        </w:r>
        <w:r w:rsidR="00526C14">
          <w:rPr>
            <w:noProof/>
            <w:webHidden/>
          </w:rPr>
        </w:r>
        <w:r w:rsidR="00526C14">
          <w:rPr>
            <w:noProof/>
            <w:webHidden/>
          </w:rPr>
          <w:fldChar w:fldCharType="separate"/>
        </w:r>
        <w:r w:rsidR="00526C14">
          <w:rPr>
            <w:noProof/>
            <w:webHidden/>
          </w:rPr>
          <w:t>2</w:t>
        </w:r>
        <w:r w:rsidR="00526C14">
          <w:rPr>
            <w:noProof/>
            <w:webHidden/>
          </w:rPr>
          <w:fldChar w:fldCharType="end"/>
        </w:r>
      </w:hyperlink>
    </w:p>
    <w:p w:rsidR="00526C14" w:rsidRDefault="00CF54CA" w:rsidP="00CE73C4">
      <w:pPr>
        <w:pStyle w:val="TOC1"/>
        <w:rPr>
          <w:rFonts w:asciiTheme="minorHAnsi" w:eastAsiaTheme="minorEastAsia" w:hAnsiTheme="minorHAnsi" w:cstheme="minorBidi"/>
          <w:noProof/>
          <w:sz w:val="22"/>
          <w:szCs w:val="22"/>
        </w:rPr>
      </w:pPr>
      <w:hyperlink w:anchor="_Toc115876311" w:history="1">
        <w:r w:rsidR="00526C14" w:rsidRPr="006023A7">
          <w:rPr>
            <w:rStyle w:val="Hyperlink"/>
            <w:noProof/>
          </w:rPr>
          <w:t>Program and format for Preparatory Work in 2023</w:t>
        </w:r>
        <w:r w:rsidR="00526C14">
          <w:rPr>
            <w:noProof/>
            <w:webHidden/>
          </w:rPr>
          <w:tab/>
        </w:r>
        <w:r w:rsidR="00526C14">
          <w:rPr>
            <w:noProof/>
            <w:webHidden/>
          </w:rPr>
          <w:fldChar w:fldCharType="begin"/>
        </w:r>
        <w:r w:rsidR="00526C14">
          <w:rPr>
            <w:noProof/>
            <w:webHidden/>
          </w:rPr>
          <w:instrText xml:space="preserve"> PAGEREF _Toc115876311 \h </w:instrText>
        </w:r>
        <w:r w:rsidR="00526C14">
          <w:rPr>
            <w:noProof/>
            <w:webHidden/>
          </w:rPr>
        </w:r>
        <w:r w:rsidR="00526C14">
          <w:rPr>
            <w:noProof/>
            <w:webHidden/>
          </w:rPr>
          <w:fldChar w:fldCharType="separate"/>
        </w:r>
        <w:r w:rsidR="00526C14">
          <w:rPr>
            <w:noProof/>
            <w:webHidden/>
          </w:rPr>
          <w:t>3</w:t>
        </w:r>
        <w:r w:rsidR="00526C14">
          <w:rPr>
            <w:noProof/>
            <w:webHidden/>
          </w:rPr>
          <w:fldChar w:fldCharType="end"/>
        </w:r>
      </w:hyperlink>
    </w:p>
    <w:p w:rsidR="00526C14" w:rsidRDefault="00CF54CA">
      <w:pPr>
        <w:pStyle w:val="TOC2"/>
        <w:rPr>
          <w:rFonts w:asciiTheme="minorHAnsi" w:eastAsiaTheme="minorEastAsia" w:hAnsiTheme="minorHAnsi" w:cstheme="minorBidi"/>
          <w:smallCaps/>
          <w:noProof/>
          <w:sz w:val="22"/>
          <w:szCs w:val="22"/>
        </w:rPr>
      </w:pPr>
      <w:hyperlink w:anchor="_Toc115876312" w:history="1">
        <w:r w:rsidR="00526C14" w:rsidRPr="006023A7">
          <w:rPr>
            <w:rStyle w:val="Hyperlink"/>
            <w:noProof/>
          </w:rPr>
          <w:t>Proposal:</w:t>
        </w:r>
        <w:r w:rsidR="00526C14">
          <w:rPr>
            <w:noProof/>
            <w:webHidden/>
          </w:rPr>
          <w:tab/>
        </w:r>
        <w:r w:rsidR="00526C14">
          <w:rPr>
            <w:noProof/>
            <w:webHidden/>
          </w:rPr>
          <w:fldChar w:fldCharType="begin"/>
        </w:r>
        <w:r w:rsidR="00526C14">
          <w:rPr>
            <w:noProof/>
            <w:webHidden/>
          </w:rPr>
          <w:instrText xml:space="preserve"> PAGEREF _Toc115876312 \h </w:instrText>
        </w:r>
        <w:r w:rsidR="00526C14">
          <w:rPr>
            <w:noProof/>
            <w:webHidden/>
          </w:rPr>
        </w:r>
        <w:r w:rsidR="00526C14">
          <w:rPr>
            <w:noProof/>
            <w:webHidden/>
          </w:rPr>
          <w:fldChar w:fldCharType="separate"/>
        </w:r>
        <w:r w:rsidR="00526C14">
          <w:rPr>
            <w:noProof/>
            <w:webHidden/>
          </w:rPr>
          <w:t>3</w:t>
        </w:r>
        <w:r w:rsidR="00526C14">
          <w:rPr>
            <w:noProof/>
            <w:webHidden/>
          </w:rPr>
          <w:fldChar w:fldCharType="end"/>
        </w:r>
      </w:hyperlink>
    </w:p>
    <w:p w:rsidR="00526C14" w:rsidRDefault="00CF54CA" w:rsidP="00CE73C4">
      <w:pPr>
        <w:pStyle w:val="TOC1"/>
        <w:rPr>
          <w:rFonts w:asciiTheme="minorHAnsi" w:eastAsiaTheme="minorEastAsia" w:hAnsiTheme="minorHAnsi" w:cstheme="minorBidi"/>
          <w:noProof/>
          <w:sz w:val="22"/>
          <w:szCs w:val="22"/>
        </w:rPr>
      </w:pPr>
      <w:hyperlink w:anchor="_Toc115876313" w:history="1">
        <w:r w:rsidR="00526C14" w:rsidRPr="006023A7">
          <w:rPr>
            <w:rStyle w:val="Hyperlink"/>
            <w:rFonts w:cs="Arial"/>
            <w:noProof/>
          </w:rPr>
          <w:t>pROGRAM OF THE PREPARATORY WEBINARS IN 2022</w:t>
        </w:r>
        <w:r w:rsidR="00526C14">
          <w:rPr>
            <w:noProof/>
            <w:webHidden/>
          </w:rPr>
          <w:tab/>
        </w:r>
        <w:r w:rsidR="00526C14">
          <w:rPr>
            <w:noProof/>
            <w:webHidden/>
          </w:rPr>
          <w:fldChar w:fldCharType="begin"/>
        </w:r>
        <w:r w:rsidR="00526C14">
          <w:rPr>
            <w:noProof/>
            <w:webHidden/>
          </w:rPr>
          <w:instrText xml:space="preserve"> PAGEREF _Toc115876313 \h </w:instrText>
        </w:r>
        <w:r w:rsidR="00526C14">
          <w:rPr>
            <w:noProof/>
            <w:webHidden/>
          </w:rPr>
        </w:r>
        <w:r w:rsidR="00526C14">
          <w:rPr>
            <w:noProof/>
            <w:webHidden/>
          </w:rPr>
          <w:fldChar w:fldCharType="separate"/>
        </w:r>
        <w:r w:rsidR="00526C14">
          <w:rPr>
            <w:noProof/>
            <w:webHidden/>
          </w:rPr>
          <w:t>1</w:t>
        </w:r>
        <w:r w:rsidR="00526C14">
          <w:rPr>
            <w:noProof/>
            <w:webHidden/>
          </w:rPr>
          <w:fldChar w:fldCharType="end"/>
        </w:r>
      </w:hyperlink>
    </w:p>
    <w:p w:rsidR="00526C14" w:rsidRDefault="00CF54CA">
      <w:pPr>
        <w:pStyle w:val="TOC2"/>
        <w:rPr>
          <w:rFonts w:asciiTheme="minorHAnsi" w:eastAsiaTheme="minorEastAsia" w:hAnsiTheme="minorHAnsi" w:cstheme="minorBidi"/>
          <w:smallCaps/>
          <w:noProof/>
          <w:sz w:val="22"/>
          <w:szCs w:val="22"/>
        </w:rPr>
      </w:pPr>
      <w:hyperlink w:anchor="_Toc115876314" w:history="1">
        <w:r w:rsidR="00526C14" w:rsidRPr="006023A7">
          <w:rPr>
            <w:rStyle w:val="Hyperlink"/>
            <w:noProof/>
          </w:rPr>
          <w:t>Introductory presentations</w:t>
        </w:r>
        <w:r w:rsidR="00526C14">
          <w:rPr>
            <w:noProof/>
            <w:webHidden/>
          </w:rPr>
          <w:tab/>
        </w:r>
        <w:r w:rsidR="00526C14">
          <w:rPr>
            <w:noProof/>
            <w:webHidden/>
          </w:rPr>
          <w:fldChar w:fldCharType="begin"/>
        </w:r>
        <w:r w:rsidR="00526C14">
          <w:rPr>
            <w:noProof/>
            <w:webHidden/>
          </w:rPr>
          <w:instrText xml:space="preserve"> PAGEREF _Toc115876314 \h </w:instrText>
        </w:r>
        <w:r w:rsidR="00526C14">
          <w:rPr>
            <w:noProof/>
            <w:webHidden/>
          </w:rPr>
        </w:r>
        <w:r w:rsidR="00526C14">
          <w:rPr>
            <w:noProof/>
            <w:webHidden/>
          </w:rPr>
          <w:fldChar w:fldCharType="separate"/>
        </w:r>
        <w:r w:rsidR="00526C14">
          <w:rPr>
            <w:noProof/>
            <w:webHidden/>
          </w:rPr>
          <w:t>1</w:t>
        </w:r>
        <w:r w:rsidR="00526C14">
          <w:rPr>
            <w:noProof/>
            <w:webHidden/>
          </w:rPr>
          <w:fldChar w:fldCharType="end"/>
        </w:r>
      </w:hyperlink>
    </w:p>
    <w:p w:rsidR="00FA16C0" w:rsidRPr="00FA16C0" w:rsidRDefault="00FA16C0" w:rsidP="00FA16C0">
      <w:pPr>
        <w:rPr>
          <w:rFonts w:cs="Arial"/>
          <w:snapToGrid w:val="0"/>
        </w:rPr>
      </w:pPr>
      <w:r w:rsidRPr="00FA16C0">
        <w:rPr>
          <w:rFonts w:cs="Arial"/>
          <w:snapToGrid w:val="0"/>
        </w:rPr>
        <w:fldChar w:fldCharType="end"/>
      </w:r>
      <w:r w:rsidRPr="00FA16C0">
        <w:rPr>
          <w:rFonts w:cs="Arial"/>
          <w:snapToGrid w:val="0"/>
        </w:rPr>
        <w:t>Annex:  Program of the preparatory webinars in 202</w:t>
      </w:r>
      <w:r w:rsidR="00195D9C">
        <w:rPr>
          <w:rFonts w:cs="Arial"/>
          <w:snapToGrid w:val="0"/>
        </w:rPr>
        <w:t>2</w:t>
      </w:r>
    </w:p>
    <w:p w:rsidR="00FA16C0" w:rsidRPr="00FA16C0" w:rsidRDefault="00FA16C0" w:rsidP="00FA16C0">
      <w:r w:rsidRPr="00FA16C0">
        <w:rPr>
          <w:noProof/>
        </w:rPr>
        <mc:AlternateContent>
          <mc:Choice Requires="wps">
            <w:drawing>
              <wp:anchor distT="0" distB="0" distL="114300" distR="114300" simplePos="0" relativeHeight="251659264" behindDoc="0" locked="0" layoutInCell="1" allowOverlap="1" wp14:anchorId="055860BF" wp14:editId="5EFF5DC0">
                <wp:simplePos x="0" y="0"/>
                <wp:positionH relativeFrom="column">
                  <wp:posOffset>-694690</wp:posOffset>
                </wp:positionH>
                <wp:positionV relativeFrom="paragraph">
                  <wp:posOffset>155575</wp:posOffset>
                </wp:positionV>
                <wp:extent cx="317500" cy="635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FA16C0" w:rsidRDefault="00FA16C0" w:rsidP="00FA16C0">
                            <w:pPr>
                              <w:jc w:val="right"/>
                              <w:rPr>
                                <w:rFonts w:cs="Arial"/>
                                <w:color w:val="000000"/>
                              </w:rPr>
                            </w:pPr>
                            <w:r>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5860BF"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PGXkmK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FA16C0" w:rsidRDefault="00FA16C0" w:rsidP="00FA16C0">
                      <w:pPr>
                        <w:jc w:val="right"/>
                        <w:rPr>
                          <w:rFonts w:cs="Arial"/>
                          <w:color w:val="000000"/>
                        </w:rPr>
                      </w:pPr>
                      <w:r>
                        <w:rPr>
                          <w:rFonts w:cs="Arial"/>
                          <w:color w:val="000000"/>
                        </w:rPr>
                        <w:t xml:space="preserve">./. </w:t>
                      </w:r>
                    </w:p>
                  </w:txbxContent>
                </v:textbox>
              </v:shape>
            </w:pict>
          </mc:Fallback>
        </mc:AlternateContent>
      </w:r>
    </w:p>
    <w:p w:rsidR="00FA16C0" w:rsidRPr="00FA16C0" w:rsidRDefault="00FA16C0" w:rsidP="00FA16C0">
      <w:pPr>
        <w:keepNext/>
        <w:keepLines/>
        <w:outlineLvl w:val="0"/>
        <w:rPr>
          <w:caps/>
        </w:rPr>
      </w:pPr>
      <w:bookmarkStart w:id="3" w:name="_Toc115876309"/>
      <w:r w:rsidRPr="00FA16C0">
        <w:rPr>
          <w:caps/>
        </w:rPr>
        <w:t>BACKGROUND</w:t>
      </w:r>
      <w:bookmarkEnd w:id="3"/>
    </w:p>
    <w:p w:rsidR="00FA16C0" w:rsidRPr="00FA16C0" w:rsidRDefault="00FA16C0" w:rsidP="00FA16C0">
      <w:pPr>
        <w:keepNext/>
        <w:keepLines/>
      </w:pPr>
    </w:p>
    <w:p w:rsidR="00FA16C0" w:rsidRPr="00FA16C0" w:rsidRDefault="00FA16C0" w:rsidP="00FA16C0">
      <w:pPr>
        <w:keepLines/>
        <w:autoSpaceDE w:val="0"/>
        <w:autoSpaceDN w:val="0"/>
        <w:adjustRightInd w:val="0"/>
        <w:rPr>
          <w:rFonts w:cs="Arial"/>
          <w:snapToGrid w:val="0"/>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TC, at its thirty-eighth session</w:t>
      </w:r>
      <w:r w:rsidRPr="00FA16C0">
        <w:rPr>
          <w:rFonts w:cs="Arial"/>
          <w:vertAlign w:val="superscript"/>
        </w:rPr>
        <w:footnoteReference w:id="2"/>
      </w:r>
      <w:r w:rsidRPr="00FA16C0">
        <w:rPr>
          <w:rFonts w:cs="Arial"/>
        </w:rPr>
        <w:t>, agreed, on the basis of document TC/38/12, to the holding of a preparatory workshop before each Technical Working Party (TWP) meeting, with the aim of helping some of the delegates to participate more actively at the meeting (see document TC/38/16 “Report”, paragraphs 215 to 218).</w:t>
      </w:r>
    </w:p>
    <w:p w:rsidR="00FA16C0" w:rsidRPr="00FA16C0" w:rsidRDefault="00FA16C0" w:rsidP="00FA16C0"/>
    <w:p w:rsidR="00FA16C0" w:rsidRPr="00FA16C0" w:rsidRDefault="00FA16C0" w:rsidP="00FA16C0">
      <w:r w:rsidRPr="00FA16C0">
        <w:fldChar w:fldCharType="begin"/>
      </w:r>
      <w:r w:rsidRPr="00FA16C0">
        <w:instrText xml:space="preserve"> AUTONUM  </w:instrText>
      </w:r>
      <w:r w:rsidRPr="00FA16C0">
        <w:fldChar w:fldCharType="end"/>
      </w:r>
      <w:r w:rsidRPr="00FA16C0">
        <w:tab/>
        <w:t>The TC, at its fifty-fifth session</w:t>
      </w:r>
      <w:r w:rsidRPr="00FA16C0">
        <w:rPr>
          <w:vertAlign w:val="superscript"/>
        </w:rPr>
        <w:footnoteReference w:id="3"/>
      </w:r>
      <w:r w:rsidRPr="00FA16C0">
        <w:t>, recalled that preparatory workshops were an opportunity for training local participants and agreed that TWP hosts should have the possibility to decide whether or not to organize a preparatory workshop prior to the TWP session (see document TC/55/25 “Report”, paragraphs 226 and 227).</w:t>
      </w:r>
    </w:p>
    <w:p w:rsidR="00FA16C0" w:rsidRPr="00FA16C0" w:rsidRDefault="00FA16C0" w:rsidP="00FA16C0"/>
    <w:p w:rsidR="00FA16C0" w:rsidRPr="00FA16C0" w:rsidRDefault="00FA16C0" w:rsidP="00FA16C0">
      <w:r w:rsidRPr="00FA16C0">
        <w:lastRenderedPageBreak/>
        <w:fldChar w:fldCharType="begin"/>
      </w:r>
      <w:r w:rsidRPr="00FA16C0">
        <w:instrText xml:space="preserve"> AUTONUM  </w:instrText>
      </w:r>
      <w:r w:rsidRPr="00FA16C0">
        <w:fldChar w:fldCharType="end"/>
      </w:r>
      <w:r w:rsidRPr="00FA16C0">
        <w:tab/>
        <w:t>The TC, at its fifty-fifth session, agreed that TWPs should be invited to discuss the possible organization of preparatory workshops when considering the date and place of their future sessions.</w:t>
      </w:r>
    </w:p>
    <w:p w:rsidR="00FA16C0" w:rsidRPr="00FA16C0" w:rsidRDefault="00FA16C0" w:rsidP="00FA16C0"/>
    <w:p w:rsidR="00FA16C0" w:rsidRPr="00FA16C0" w:rsidRDefault="00FA16C0" w:rsidP="00FA16C0">
      <w:pPr>
        <w:rPr>
          <w:snapToGrid w:val="0"/>
        </w:rPr>
      </w:pPr>
      <w:r w:rsidRPr="00FA16C0">
        <w:fldChar w:fldCharType="begin"/>
      </w:r>
      <w:r w:rsidRPr="00FA16C0">
        <w:instrText xml:space="preserve"> AUTONUM  </w:instrText>
      </w:r>
      <w:r w:rsidRPr="00FA16C0">
        <w:fldChar w:fldCharType="end"/>
      </w:r>
      <w:r w:rsidRPr="00FA16C0">
        <w:tab/>
        <w:t>The TC, at its fifty-sixth session</w:t>
      </w:r>
      <w:r w:rsidRPr="00FA16C0">
        <w:rPr>
          <w:vertAlign w:val="superscript"/>
        </w:rPr>
        <w:footnoteReference w:id="4"/>
      </w:r>
      <w:r w:rsidR="000F4B9B">
        <w:t>,</w:t>
      </w:r>
      <w:r w:rsidRPr="00FA16C0">
        <w:t xml:space="preserve"> </w:t>
      </w:r>
      <w:r w:rsidRPr="00FA16C0">
        <w:rPr>
          <w:snapToGrid w:val="0"/>
        </w:rPr>
        <w:t>noted that the webinar presentations would be recorded and made available online, but not the discussions.  The TC noted that the Office of the Union would provide content for the webinars and invite experts from members to act as panelists for discussions and to provide practical examples</w:t>
      </w:r>
      <w:r w:rsidR="00093729">
        <w:rPr>
          <w:snapToGrid w:val="0"/>
        </w:rPr>
        <w:t xml:space="preserve"> </w:t>
      </w:r>
      <w:r w:rsidR="00093729" w:rsidRPr="00FA16C0">
        <w:t>(see document TC/56/23 “Report”, paragraphs 71 and 75)</w:t>
      </w:r>
      <w:r w:rsidRPr="00FA16C0">
        <w:rPr>
          <w:snapToGrid w:val="0"/>
        </w:rPr>
        <w:t xml:space="preserve">.  </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TC</w:t>
      </w:r>
      <w:r w:rsidR="000F4B9B">
        <w:rPr>
          <w:snapToGrid w:val="0"/>
        </w:rPr>
        <w:t xml:space="preserve">, </w:t>
      </w:r>
      <w:r w:rsidR="000F4B9B" w:rsidRPr="00FA16C0">
        <w:t>at its fifty-sixth session</w:t>
      </w:r>
      <w:r w:rsidR="000F4B9B">
        <w:t>,</w:t>
      </w:r>
      <w:r w:rsidRPr="00FA16C0">
        <w:rPr>
          <w:snapToGrid w:val="0"/>
        </w:rPr>
        <w:t xml:space="preserve"> noted that detailed arrangements concerning the webinars would be finalized by the Office of the Union in coordination with the chairpersons of the TC and TWPs.</w:t>
      </w:r>
    </w:p>
    <w:p w:rsidR="00FA16C0" w:rsidRPr="00FA16C0" w:rsidRDefault="00FA16C0" w:rsidP="00FA16C0">
      <w:pPr>
        <w:rPr>
          <w:rFonts w:cs="Arial"/>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TC</w:t>
      </w:r>
      <w:r w:rsidR="000F4B9B">
        <w:rPr>
          <w:rFonts w:cs="Arial"/>
        </w:rPr>
        <w:t>,</w:t>
      </w:r>
      <w:r w:rsidR="000F4B9B" w:rsidRPr="000F4B9B">
        <w:t xml:space="preserve"> </w:t>
      </w:r>
      <w:r w:rsidR="000F4B9B" w:rsidRPr="00FA16C0">
        <w:t>at its fifty-sixth session</w:t>
      </w:r>
      <w:r w:rsidR="000F4B9B">
        <w:t>,</w:t>
      </w:r>
      <w:r w:rsidRPr="00FA16C0">
        <w:rPr>
          <w:rFonts w:cs="Arial"/>
        </w:rPr>
        <w:t xml:space="preserve"> noted that, subject to a request by the hosts of the TWPs, workshops with physical participation could be organized in conjunction with the TWP sessions.  In such cases, the content would be adapted to the particular context.</w:t>
      </w:r>
    </w:p>
    <w:p w:rsidR="00FA16C0" w:rsidRPr="00FA16C0" w:rsidRDefault="00FA16C0" w:rsidP="00FA16C0"/>
    <w:p w:rsidR="00FA16C0" w:rsidRPr="00FA16C0" w:rsidRDefault="00FA16C0" w:rsidP="00FA16C0"/>
    <w:p w:rsidR="00FA16C0" w:rsidRPr="00FA16C0" w:rsidRDefault="00FA16C0" w:rsidP="00FA16C0">
      <w:pPr>
        <w:keepNext/>
        <w:outlineLvl w:val="0"/>
        <w:rPr>
          <w:i/>
          <w:caps/>
        </w:rPr>
      </w:pPr>
      <w:bookmarkStart w:id="4" w:name="_Toc524688361"/>
      <w:bookmarkStart w:id="5" w:name="_Toc115876310"/>
      <w:r w:rsidRPr="00FA16C0">
        <w:rPr>
          <w:caps/>
        </w:rPr>
        <w:t xml:space="preserve">Report on Preparatory Workshops in </w:t>
      </w:r>
      <w:bookmarkEnd w:id="4"/>
      <w:r w:rsidRPr="00FA16C0">
        <w:rPr>
          <w:caps/>
        </w:rPr>
        <w:t>202</w:t>
      </w:r>
      <w:r w:rsidR="000F4B9B">
        <w:rPr>
          <w:caps/>
        </w:rPr>
        <w:t>2</w:t>
      </w:r>
      <w:bookmarkEnd w:id="5"/>
    </w:p>
    <w:p w:rsidR="00FA16C0" w:rsidRPr="00FA16C0" w:rsidRDefault="00FA16C0" w:rsidP="00FA16C0">
      <w:pPr>
        <w:jc w:val="left"/>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r>
      <w:proofErr w:type="gramStart"/>
      <w:r w:rsidR="003450FC">
        <w:rPr>
          <w:rFonts w:cs="Arial"/>
        </w:rPr>
        <w:t>A total of six</w:t>
      </w:r>
      <w:proofErr w:type="gramEnd"/>
      <w:r w:rsidR="003450FC">
        <w:rPr>
          <w:rFonts w:cs="Arial"/>
        </w:rPr>
        <w:t xml:space="preserve"> preparatory webinars were conducted, on the morning and afternoon of April 12, 13 and 14, 2022.</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content of the webinars was as follows:</w:t>
      </w:r>
    </w:p>
    <w:p w:rsidR="00FA16C0" w:rsidRPr="00FA16C0" w:rsidRDefault="00FA16C0" w:rsidP="00FA16C0">
      <w:pPr>
        <w:rPr>
          <w:snapToGrid w:val="0"/>
        </w:rPr>
      </w:pPr>
    </w:p>
    <w:p w:rsidR="00FA16C0" w:rsidRPr="00FA16C0" w:rsidRDefault="00FA16C0" w:rsidP="00FA16C0">
      <w:pPr>
        <w:numPr>
          <w:ilvl w:val="0"/>
          <w:numId w:val="8"/>
        </w:numPr>
        <w:rPr>
          <w:rFonts w:cs="Arial"/>
          <w:color w:val="000000" w:themeColor="text1"/>
          <w:szCs w:val="18"/>
        </w:rPr>
      </w:pPr>
      <w:r w:rsidRPr="00FA16C0">
        <w:rPr>
          <w:rFonts w:cs="Arial"/>
          <w:color w:val="000000" w:themeColor="text1"/>
          <w:szCs w:val="18"/>
        </w:rPr>
        <w:t xml:space="preserve">Webinar 1:  How to organize DUS examination </w:t>
      </w:r>
      <w:r w:rsidR="004E52DD">
        <w:rPr>
          <w:rFonts w:cs="Arial"/>
          <w:color w:val="000000" w:themeColor="text1"/>
          <w:szCs w:val="18"/>
        </w:rPr>
        <w:t>with information provided by the applicant</w:t>
      </w:r>
    </w:p>
    <w:p w:rsidR="00FA16C0" w:rsidRPr="00FA16C0" w:rsidRDefault="00FA16C0" w:rsidP="00FA16C0">
      <w:pPr>
        <w:numPr>
          <w:ilvl w:val="0"/>
          <w:numId w:val="8"/>
        </w:numPr>
        <w:rPr>
          <w:rFonts w:cs="Arial"/>
          <w:color w:val="000000" w:themeColor="text1"/>
          <w:szCs w:val="18"/>
        </w:rPr>
      </w:pPr>
      <w:r w:rsidRPr="00FA16C0">
        <w:rPr>
          <w:rFonts w:cs="Arial"/>
          <w:color w:val="000000" w:themeColor="text1"/>
          <w:szCs w:val="18"/>
        </w:rPr>
        <w:t xml:space="preserve">Webinar 2:  </w:t>
      </w:r>
      <w:r w:rsidR="004E52DD">
        <w:rPr>
          <w:rFonts w:cs="Arial"/>
          <w:color w:val="000000" w:themeColor="text1"/>
          <w:szCs w:val="18"/>
        </w:rPr>
        <w:t>Disease resistance and physiological characteristics in DUS examination</w:t>
      </w:r>
    </w:p>
    <w:p w:rsidR="00FA16C0" w:rsidRPr="00FA16C0" w:rsidRDefault="00FA16C0" w:rsidP="00FA16C0">
      <w:pPr>
        <w:numPr>
          <w:ilvl w:val="0"/>
          <w:numId w:val="8"/>
        </w:numPr>
        <w:rPr>
          <w:rFonts w:cs="Arial"/>
          <w:color w:val="000000" w:themeColor="text1"/>
          <w:szCs w:val="18"/>
        </w:rPr>
      </w:pPr>
      <w:r w:rsidRPr="00FA16C0">
        <w:rPr>
          <w:rFonts w:cs="Arial"/>
          <w:color w:val="000000" w:themeColor="text1"/>
          <w:szCs w:val="18"/>
        </w:rPr>
        <w:t xml:space="preserve">Webinar 3:  </w:t>
      </w:r>
      <w:r w:rsidR="004E52DD">
        <w:rPr>
          <w:rFonts w:cs="Arial"/>
          <w:color w:val="000000" w:themeColor="text1"/>
          <w:szCs w:val="18"/>
        </w:rPr>
        <w:t>Data processing techniques in DUS examination</w:t>
      </w:r>
    </w:p>
    <w:p w:rsidR="001F0A06" w:rsidRPr="00FA16C0" w:rsidRDefault="001F0A06" w:rsidP="001F0A06">
      <w:pPr>
        <w:rPr>
          <w:rFonts w:cs="Arial"/>
        </w:rPr>
      </w:pPr>
    </w:p>
    <w:p w:rsidR="001F0A06" w:rsidRPr="000F2A04" w:rsidRDefault="001F0A06" w:rsidP="001F0A06">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w:t>
      </w:r>
      <w:r>
        <w:rPr>
          <w:rFonts w:cs="Arial"/>
        </w:rPr>
        <w:t>participants attended the webinars:</w:t>
      </w:r>
    </w:p>
    <w:p w:rsidR="001F0A06" w:rsidRDefault="001F0A06" w:rsidP="00FA16C0">
      <w:pPr>
        <w:rPr>
          <w:snapToGrid w:val="0"/>
        </w:rPr>
      </w:pPr>
    </w:p>
    <w:tbl>
      <w:tblPr>
        <w:tblW w:w="9632"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1"/>
        <w:gridCol w:w="2694"/>
        <w:gridCol w:w="2551"/>
        <w:gridCol w:w="2126"/>
      </w:tblGrid>
      <w:tr w:rsidR="001F0A06" w:rsidRPr="00933C4A" w:rsidTr="00933C4A">
        <w:trPr>
          <w:trHeight w:val="315"/>
        </w:trPr>
        <w:tc>
          <w:tcPr>
            <w:tcW w:w="2261" w:type="dxa"/>
            <w:shd w:val="clear" w:color="auto" w:fill="auto"/>
            <w:noWrap/>
            <w:tcMar>
              <w:top w:w="0" w:type="dxa"/>
              <w:left w:w="108" w:type="dxa"/>
              <w:bottom w:w="0" w:type="dxa"/>
              <w:right w:w="108" w:type="dxa"/>
            </w:tcMar>
            <w:vAlign w:val="center"/>
          </w:tcPr>
          <w:p w:rsidR="001F0A06" w:rsidRPr="00933C4A" w:rsidRDefault="00933C4A" w:rsidP="00933C4A">
            <w:pPr>
              <w:jc w:val="left"/>
              <w:rPr>
                <w:color w:val="000000"/>
                <w:sz w:val="18"/>
              </w:rPr>
            </w:pPr>
            <w:r>
              <w:rPr>
                <w:color w:val="000000"/>
                <w:sz w:val="18"/>
              </w:rPr>
              <w:t>Combined numbers for both sessions (am/pm)</w:t>
            </w:r>
          </w:p>
        </w:tc>
        <w:tc>
          <w:tcPr>
            <w:tcW w:w="2694" w:type="dxa"/>
            <w:shd w:val="clear" w:color="auto" w:fill="auto"/>
            <w:noWrap/>
            <w:tcMar>
              <w:top w:w="0" w:type="dxa"/>
              <w:left w:w="108" w:type="dxa"/>
              <w:bottom w:w="0" w:type="dxa"/>
              <w:right w:w="108" w:type="dxa"/>
            </w:tcMar>
            <w:vAlign w:val="center"/>
          </w:tcPr>
          <w:p w:rsidR="001F0A06" w:rsidRPr="00933C4A" w:rsidRDefault="00933C4A" w:rsidP="00933C4A">
            <w:pPr>
              <w:jc w:val="center"/>
              <w:rPr>
                <w:color w:val="000000"/>
                <w:sz w:val="18"/>
              </w:rPr>
            </w:pPr>
            <w:r w:rsidRPr="00933C4A">
              <w:rPr>
                <w:rFonts w:cs="Arial"/>
                <w:color w:val="000000" w:themeColor="text1"/>
                <w:sz w:val="18"/>
                <w:szCs w:val="18"/>
              </w:rPr>
              <w:t>How to organize DUS examination with information provided by the applicant</w:t>
            </w:r>
          </w:p>
        </w:tc>
        <w:tc>
          <w:tcPr>
            <w:tcW w:w="2551" w:type="dxa"/>
            <w:vAlign w:val="center"/>
          </w:tcPr>
          <w:p w:rsidR="001F0A06" w:rsidRPr="00933C4A" w:rsidRDefault="00933C4A" w:rsidP="00933C4A">
            <w:pPr>
              <w:jc w:val="center"/>
              <w:rPr>
                <w:color w:val="000000"/>
                <w:sz w:val="18"/>
              </w:rPr>
            </w:pPr>
            <w:r w:rsidRPr="00933C4A">
              <w:rPr>
                <w:rFonts w:cs="Arial"/>
                <w:color w:val="000000" w:themeColor="text1"/>
                <w:sz w:val="18"/>
                <w:szCs w:val="18"/>
              </w:rPr>
              <w:t>Disease resistance and physiological characteristics in DUS examination</w:t>
            </w:r>
          </w:p>
        </w:tc>
        <w:tc>
          <w:tcPr>
            <w:tcW w:w="2126" w:type="dxa"/>
            <w:vAlign w:val="center"/>
          </w:tcPr>
          <w:p w:rsidR="001F0A06" w:rsidRPr="00933C4A" w:rsidRDefault="00933C4A" w:rsidP="00933C4A">
            <w:pPr>
              <w:jc w:val="center"/>
              <w:rPr>
                <w:color w:val="000000"/>
                <w:sz w:val="18"/>
              </w:rPr>
            </w:pPr>
            <w:r w:rsidRPr="00933C4A">
              <w:rPr>
                <w:rFonts w:cs="Arial"/>
                <w:color w:val="000000" w:themeColor="text1"/>
                <w:sz w:val="18"/>
                <w:szCs w:val="18"/>
              </w:rPr>
              <w:t>Data processing techniques in DUS examination</w:t>
            </w:r>
          </w:p>
        </w:tc>
      </w:tr>
      <w:tr w:rsidR="00933C4A" w:rsidRPr="001F0A06" w:rsidTr="00933C4A">
        <w:trPr>
          <w:trHeight w:val="263"/>
        </w:trPr>
        <w:tc>
          <w:tcPr>
            <w:tcW w:w="2261" w:type="dxa"/>
            <w:shd w:val="clear" w:color="auto" w:fill="auto"/>
            <w:noWrap/>
            <w:tcMar>
              <w:top w:w="0" w:type="dxa"/>
              <w:left w:w="108" w:type="dxa"/>
              <w:bottom w:w="0" w:type="dxa"/>
              <w:right w:w="108" w:type="dxa"/>
            </w:tcMar>
            <w:vAlign w:val="center"/>
            <w:hideMark/>
          </w:tcPr>
          <w:p w:rsidR="00933C4A" w:rsidRPr="001F0A06" w:rsidRDefault="00933C4A" w:rsidP="003450FC">
            <w:pPr>
              <w:jc w:val="left"/>
              <w:rPr>
                <w:rFonts w:ascii="Calibri" w:hAnsi="Calibri" w:cs="Calibri"/>
                <w:color w:val="000000"/>
                <w:sz w:val="22"/>
                <w:szCs w:val="22"/>
              </w:rPr>
            </w:pPr>
            <w:r>
              <w:rPr>
                <w:color w:val="000000"/>
              </w:rPr>
              <w:t xml:space="preserve">Total number </w:t>
            </w:r>
            <w:r w:rsidRPr="001F0A06">
              <w:rPr>
                <w:color w:val="000000"/>
              </w:rPr>
              <w:t>of participants</w:t>
            </w:r>
            <w:r>
              <w:rPr>
                <w:color w:val="000000"/>
              </w:rPr>
              <w:t xml:space="preserve"> </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sidRPr="001F0A06">
              <w:rPr>
                <w:color w:val="000000"/>
              </w:rPr>
              <w:t>233</w:t>
            </w:r>
          </w:p>
        </w:tc>
        <w:tc>
          <w:tcPr>
            <w:tcW w:w="2551" w:type="dxa"/>
            <w:vAlign w:val="center"/>
          </w:tcPr>
          <w:p w:rsidR="00933C4A" w:rsidRDefault="00933C4A" w:rsidP="00933C4A">
            <w:pPr>
              <w:jc w:val="center"/>
              <w:rPr>
                <w:color w:val="000000"/>
              </w:rPr>
            </w:pPr>
            <w:r>
              <w:rPr>
                <w:color w:val="000000"/>
              </w:rPr>
              <w:t>211</w:t>
            </w:r>
          </w:p>
        </w:tc>
        <w:tc>
          <w:tcPr>
            <w:tcW w:w="2126" w:type="dxa"/>
            <w:vAlign w:val="center"/>
          </w:tcPr>
          <w:p w:rsidR="00933C4A" w:rsidRDefault="00933C4A" w:rsidP="00933C4A">
            <w:pPr>
              <w:jc w:val="center"/>
              <w:rPr>
                <w:color w:val="000000"/>
              </w:rPr>
            </w:pPr>
            <w:r>
              <w:rPr>
                <w:color w:val="000000"/>
              </w:rPr>
              <w:t>210</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933C4A" w:rsidP="00933C4A">
            <w:pPr>
              <w:jc w:val="left"/>
              <w:rPr>
                <w:color w:val="000000"/>
              </w:rPr>
            </w:pPr>
            <w:r>
              <w:rPr>
                <w:color w:val="000000"/>
              </w:rPr>
              <w:t xml:space="preserve">Participants from </w:t>
            </w:r>
            <w:r w:rsidR="003450FC">
              <w:rPr>
                <w:color w:val="000000"/>
              </w:rPr>
              <w:t xml:space="preserve">UPOV </w:t>
            </w:r>
            <w:r w:rsidRPr="001F0A06">
              <w:rPr>
                <w:color w:val="000000"/>
              </w:rPr>
              <w:t>Members</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sidRPr="001F0A06">
              <w:rPr>
                <w:color w:val="000000"/>
              </w:rPr>
              <w:t xml:space="preserve">199 </w:t>
            </w:r>
          </w:p>
        </w:tc>
        <w:tc>
          <w:tcPr>
            <w:tcW w:w="2551" w:type="dxa"/>
            <w:vAlign w:val="center"/>
          </w:tcPr>
          <w:p w:rsidR="00933C4A" w:rsidRDefault="00933C4A" w:rsidP="00933C4A">
            <w:pPr>
              <w:jc w:val="center"/>
              <w:rPr>
                <w:color w:val="000000"/>
              </w:rPr>
            </w:pPr>
            <w:r>
              <w:rPr>
                <w:color w:val="000000"/>
              </w:rPr>
              <w:t xml:space="preserve">179 </w:t>
            </w:r>
          </w:p>
        </w:tc>
        <w:tc>
          <w:tcPr>
            <w:tcW w:w="2126" w:type="dxa"/>
            <w:vAlign w:val="center"/>
          </w:tcPr>
          <w:p w:rsidR="00933C4A" w:rsidRDefault="00933C4A" w:rsidP="00933C4A">
            <w:pPr>
              <w:jc w:val="center"/>
              <w:rPr>
                <w:color w:val="000000"/>
              </w:rPr>
            </w:pPr>
            <w:r>
              <w:rPr>
                <w:color w:val="000000"/>
              </w:rPr>
              <w:t xml:space="preserve">178 </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3450FC" w:rsidP="00933C4A">
            <w:pPr>
              <w:jc w:val="left"/>
              <w:rPr>
                <w:color w:val="000000"/>
              </w:rPr>
            </w:pPr>
            <w:r>
              <w:rPr>
                <w:color w:val="000000"/>
              </w:rPr>
              <w:t>Participants from</w:t>
            </w:r>
            <w:r w:rsidR="00933C4A">
              <w:rPr>
                <w:color w:val="000000"/>
              </w:rPr>
              <w:t xml:space="preserve"> o</w:t>
            </w:r>
            <w:r w:rsidR="00933C4A" w:rsidRPr="001F0A06">
              <w:rPr>
                <w:color w:val="000000"/>
              </w:rPr>
              <w:t>bserver States</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sidRPr="001F0A06">
              <w:rPr>
                <w:color w:val="000000"/>
              </w:rPr>
              <w:t xml:space="preserve">27 </w:t>
            </w:r>
          </w:p>
        </w:tc>
        <w:tc>
          <w:tcPr>
            <w:tcW w:w="2551" w:type="dxa"/>
            <w:vAlign w:val="center"/>
          </w:tcPr>
          <w:p w:rsidR="00933C4A" w:rsidRDefault="00933C4A" w:rsidP="00933C4A">
            <w:pPr>
              <w:jc w:val="center"/>
              <w:rPr>
                <w:color w:val="000000"/>
              </w:rPr>
            </w:pPr>
            <w:r>
              <w:rPr>
                <w:color w:val="000000"/>
              </w:rPr>
              <w:t>24</w:t>
            </w:r>
          </w:p>
        </w:tc>
        <w:tc>
          <w:tcPr>
            <w:tcW w:w="2126" w:type="dxa"/>
            <w:vAlign w:val="center"/>
          </w:tcPr>
          <w:p w:rsidR="00933C4A" w:rsidRDefault="00933C4A" w:rsidP="00933C4A">
            <w:pPr>
              <w:jc w:val="center"/>
              <w:rPr>
                <w:color w:val="000000"/>
              </w:rPr>
            </w:pPr>
            <w:r>
              <w:rPr>
                <w:color w:val="000000"/>
              </w:rPr>
              <w:t>27</w:t>
            </w:r>
          </w:p>
        </w:tc>
      </w:tr>
      <w:tr w:rsidR="00933C4A" w:rsidRPr="001F0A06"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3450FC" w:rsidP="003450FC">
            <w:pPr>
              <w:jc w:val="left"/>
              <w:rPr>
                <w:color w:val="000000"/>
              </w:rPr>
            </w:pPr>
            <w:r>
              <w:rPr>
                <w:color w:val="000000"/>
              </w:rPr>
              <w:t>Participants from o</w:t>
            </w:r>
            <w:r w:rsidR="00933C4A" w:rsidRPr="001F0A06">
              <w:rPr>
                <w:color w:val="000000"/>
              </w:rPr>
              <w:t>bserver organization</w:t>
            </w:r>
            <w:r>
              <w:rPr>
                <w:color w:val="000000"/>
              </w:rPr>
              <w:t>s</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sidRPr="001F0A06">
              <w:rPr>
                <w:color w:val="000000"/>
              </w:rPr>
              <w:t xml:space="preserve">7 </w:t>
            </w:r>
          </w:p>
        </w:tc>
        <w:tc>
          <w:tcPr>
            <w:tcW w:w="2551" w:type="dxa"/>
            <w:vAlign w:val="center"/>
          </w:tcPr>
          <w:p w:rsidR="00933C4A" w:rsidRDefault="00933C4A" w:rsidP="00933C4A">
            <w:pPr>
              <w:jc w:val="center"/>
              <w:rPr>
                <w:color w:val="000000"/>
              </w:rPr>
            </w:pPr>
            <w:r>
              <w:rPr>
                <w:color w:val="000000"/>
              </w:rPr>
              <w:t>0</w:t>
            </w:r>
          </w:p>
        </w:tc>
        <w:tc>
          <w:tcPr>
            <w:tcW w:w="2126" w:type="dxa"/>
            <w:vAlign w:val="center"/>
          </w:tcPr>
          <w:p w:rsidR="00933C4A" w:rsidRDefault="00933C4A" w:rsidP="00933C4A">
            <w:pPr>
              <w:jc w:val="center"/>
              <w:rPr>
                <w:color w:val="000000"/>
              </w:rPr>
            </w:pPr>
            <w:r>
              <w:rPr>
                <w:color w:val="000000"/>
              </w:rPr>
              <w:t>7</w:t>
            </w:r>
          </w:p>
        </w:tc>
      </w:tr>
      <w:tr w:rsidR="00933C4A" w:rsidTr="00933C4A">
        <w:trPr>
          <w:trHeight w:val="330"/>
        </w:trPr>
        <w:tc>
          <w:tcPr>
            <w:tcW w:w="2261" w:type="dxa"/>
            <w:shd w:val="clear" w:color="auto" w:fill="auto"/>
            <w:noWrap/>
            <w:tcMar>
              <w:top w:w="0" w:type="dxa"/>
              <w:left w:w="108" w:type="dxa"/>
              <w:bottom w:w="0" w:type="dxa"/>
              <w:right w:w="108" w:type="dxa"/>
            </w:tcMar>
            <w:vAlign w:val="center"/>
            <w:hideMark/>
          </w:tcPr>
          <w:p w:rsidR="00933C4A" w:rsidRPr="001F0A06" w:rsidRDefault="003450FC" w:rsidP="003450FC">
            <w:pPr>
              <w:jc w:val="left"/>
              <w:rPr>
                <w:color w:val="FF0000"/>
              </w:rPr>
            </w:pPr>
            <w:r>
              <w:rPr>
                <w:color w:val="000000" w:themeColor="text1"/>
              </w:rPr>
              <w:t xml:space="preserve">Participants that had not </w:t>
            </w:r>
            <w:r w:rsidR="00933C4A" w:rsidRPr="00933C4A">
              <w:rPr>
                <w:color w:val="000000" w:themeColor="text1"/>
              </w:rPr>
              <w:t xml:space="preserve">attended </w:t>
            </w:r>
            <w:r>
              <w:rPr>
                <w:color w:val="000000" w:themeColor="text1"/>
              </w:rPr>
              <w:t xml:space="preserve">a </w:t>
            </w:r>
            <w:r w:rsidR="00933C4A" w:rsidRPr="00933C4A">
              <w:rPr>
                <w:color w:val="000000" w:themeColor="text1"/>
              </w:rPr>
              <w:t>TWP</w:t>
            </w:r>
          </w:p>
        </w:tc>
        <w:tc>
          <w:tcPr>
            <w:tcW w:w="2694" w:type="dxa"/>
            <w:shd w:val="clear" w:color="auto" w:fill="auto"/>
            <w:noWrap/>
            <w:tcMar>
              <w:top w:w="0" w:type="dxa"/>
              <w:left w:w="108" w:type="dxa"/>
              <w:bottom w:w="0" w:type="dxa"/>
              <w:right w:w="108" w:type="dxa"/>
            </w:tcMar>
            <w:vAlign w:val="center"/>
            <w:hideMark/>
          </w:tcPr>
          <w:p w:rsidR="00933C4A" w:rsidRPr="001F0A06" w:rsidRDefault="00933C4A" w:rsidP="00933C4A">
            <w:pPr>
              <w:jc w:val="center"/>
              <w:rPr>
                <w:color w:val="000000"/>
              </w:rPr>
            </w:pPr>
            <w:r w:rsidRPr="001F0A06">
              <w:rPr>
                <w:color w:val="000000"/>
              </w:rPr>
              <w:t>90</w:t>
            </w:r>
          </w:p>
        </w:tc>
        <w:tc>
          <w:tcPr>
            <w:tcW w:w="2551" w:type="dxa"/>
            <w:vAlign w:val="center"/>
          </w:tcPr>
          <w:p w:rsidR="00933C4A" w:rsidRDefault="00933C4A" w:rsidP="00933C4A">
            <w:pPr>
              <w:jc w:val="center"/>
              <w:rPr>
                <w:color w:val="000000"/>
              </w:rPr>
            </w:pPr>
            <w:r>
              <w:rPr>
                <w:color w:val="000000"/>
              </w:rPr>
              <w:t>72</w:t>
            </w:r>
          </w:p>
        </w:tc>
        <w:tc>
          <w:tcPr>
            <w:tcW w:w="2126" w:type="dxa"/>
            <w:vAlign w:val="center"/>
          </w:tcPr>
          <w:p w:rsidR="00933C4A" w:rsidRDefault="00933C4A" w:rsidP="00933C4A">
            <w:pPr>
              <w:jc w:val="center"/>
              <w:rPr>
                <w:color w:val="000000"/>
              </w:rPr>
            </w:pPr>
            <w:r>
              <w:rPr>
                <w:color w:val="000000"/>
              </w:rPr>
              <w:t>73</w:t>
            </w:r>
          </w:p>
        </w:tc>
      </w:tr>
    </w:tbl>
    <w:p w:rsidR="001F0A06" w:rsidRPr="00FA16C0" w:rsidRDefault="001F0A06" w:rsidP="00FA16C0">
      <w:pPr>
        <w:rPr>
          <w:snapToGrid w:val="0"/>
        </w:rPr>
      </w:pPr>
    </w:p>
    <w:p w:rsidR="00FA16C0" w:rsidRPr="00FA16C0"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Video recordings of the webinars, excluding the discussion sessions, </w:t>
      </w:r>
      <w:r w:rsidR="001D1A73">
        <w:rPr>
          <w:rFonts w:cs="Arial"/>
        </w:rPr>
        <w:t>were</w:t>
      </w:r>
      <w:r w:rsidRPr="00FA16C0">
        <w:rPr>
          <w:rFonts w:cs="Arial"/>
        </w:rPr>
        <w:t xml:space="preserve"> made available on the UPOV webpage for </w:t>
      </w:r>
      <w:r w:rsidR="001D1A73">
        <w:rPr>
          <w:rFonts w:cs="Arial"/>
        </w:rPr>
        <w:t xml:space="preserve">the TC and </w:t>
      </w:r>
      <w:r w:rsidRPr="00FA16C0">
        <w:rPr>
          <w:rFonts w:cs="Arial"/>
        </w:rPr>
        <w:t>each TWP session in 202</w:t>
      </w:r>
      <w:r w:rsidR="001D1A73">
        <w:rPr>
          <w:rFonts w:cs="Arial"/>
        </w:rPr>
        <w:t>2</w:t>
      </w:r>
      <w:r w:rsidRPr="00FA16C0">
        <w:rPr>
          <w:rFonts w:cs="Arial"/>
        </w:rPr>
        <w:t xml:space="preserve"> </w:t>
      </w:r>
      <w:r w:rsidR="001D1A73" w:rsidRPr="00FA16C0">
        <w:rPr>
          <w:rFonts w:cs="Arial"/>
        </w:rPr>
        <w:t>(</w:t>
      </w:r>
      <w:hyperlink r:id="rId9" w:history="1">
        <w:r w:rsidR="001D1A73" w:rsidRPr="00FA16C0">
          <w:rPr>
            <w:rFonts w:cs="Arial"/>
            <w:color w:val="0000FF"/>
            <w:u w:val="single"/>
          </w:rPr>
          <w:t>https://www.upov.int/meetings/en/webinar_videos.html</w:t>
        </w:r>
      </w:hyperlink>
      <w:r w:rsidR="001D1A73" w:rsidRPr="00FA16C0">
        <w:rPr>
          <w:color w:val="0000FF"/>
          <w:u w:val="single"/>
        </w:rPr>
        <w:t>)</w:t>
      </w:r>
      <w:r w:rsidR="001D1A73" w:rsidRPr="00FA16C0">
        <w:rPr>
          <w:rFonts w:cs="Arial"/>
        </w:rPr>
        <w:t xml:space="preserve"> </w:t>
      </w:r>
      <w:r w:rsidRPr="00FA16C0">
        <w:rPr>
          <w:rFonts w:cs="Arial"/>
        </w:rPr>
        <w:t>and on the UPOV </w:t>
      </w:r>
      <w:proofErr w:type="spellStart"/>
      <w:r w:rsidRPr="00FA16C0">
        <w:rPr>
          <w:rFonts w:cs="Arial"/>
        </w:rPr>
        <w:t>Youtube</w:t>
      </w:r>
      <w:proofErr w:type="spellEnd"/>
      <w:r w:rsidRPr="00FA16C0">
        <w:rPr>
          <w:rFonts w:cs="Arial"/>
        </w:rPr>
        <w:t xml:space="preserve"> channel (</w:t>
      </w:r>
      <w:hyperlink r:id="rId10" w:history="1">
        <w:r w:rsidRPr="00FA16C0">
          <w:rPr>
            <w:rFonts w:cs="Arial"/>
            <w:color w:val="0000FF"/>
            <w:u w:val="single"/>
          </w:rPr>
          <w:t>https://www.youtube.com/user/upov</w:t>
        </w:r>
      </w:hyperlink>
      <w:r w:rsidRPr="00FA16C0">
        <w:rPr>
          <w:rFonts w:cs="Arial"/>
        </w:rPr>
        <w:t xml:space="preserve">).  The UPOV </w:t>
      </w:r>
      <w:proofErr w:type="spellStart"/>
      <w:r w:rsidRPr="00FA16C0">
        <w:rPr>
          <w:rFonts w:cs="Arial"/>
        </w:rPr>
        <w:t>Youtube</w:t>
      </w:r>
      <w:proofErr w:type="spellEnd"/>
      <w:r w:rsidRPr="00FA16C0">
        <w:rPr>
          <w:rFonts w:cs="Arial"/>
        </w:rPr>
        <w:t xml:space="preserve"> channel provides the possibility to watch the videos with “closed caption” transcription and can </w:t>
      </w:r>
      <w:r w:rsidR="00F73644" w:rsidRPr="00FA16C0">
        <w:rPr>
          <w:rFonts w:cs="Arial"/>
        </w:rPr>
        <w:t xml:space="preserve">generate </w:t>
      </w:r>
      <w:r w:rsidR="00110A56" w:rsidRPr="00FA16C0">
        <w:rPr>
          <w:rFonts w:cs="Arial"/>
        </w:rPr>
        <w:t xml:space="preserve">subtitles </w:t>
      </w:r>
      <w:r w:rsidRPr="00FA16C0">
        <w:rPr>
          <w:rFonts w:cs="Arial"/>
        </w:rPr>
        <w:t xml:space="preserve">automatically in different languages.  </w:t>
      </w:r>
    </w:p>
    <w:p w:rsidR="00FA16C0" w:rsidRPr="00FA16C0" w:rsidRDefault="00FA16C0" w:rsidP="00FA16C0">
      <w:pPr>
        <w:rPr>
          <w:rFonts w:cs="Arial"/>
        </w:rPr>
      </w:pPr>
    </w:p>
    <w:p w:rsidR="00FA16C0" w:rsidRPr="000F2A04" w:rsidRDefault="00FA16C0" w:rsidP="00FA16C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views </w:t>
      </w:r>
      <w:r w:rsidRPr="000F2A04">
        <w:rPr>
          <w:rFonts w:cs="Arial"/>
        </w:rPr>
        <w:t xml:space="preserve">were registered </w:t>
      </w:r>
      <w:r w:rsidR="000F2A04" w:rsidRPr="000F2A04">
        <w:rPr>
          <w:rFonts w:cs="Arial"/>
        </w:rPr>
        <w:t>October 5</w:t>
      </w:r>
      <w:r w:rsidRPr="000F2A04">
        <w:rPr>
          <w:rFonts w:cs="Arial"/>
        </w:rPr>
        <w:t>, 202</w:t>
      </w:r>
      <w:r w:rsidR="00AF1838" w:rsidRPr="000F2A04">
        <w:rPr>
          <w:rFonts w:cs="Arial"/>
        </w:rPr>
        <w:t>2</w:t>
      </w:r>
      <w:r w:rsidRPr="000F2A04">
        <w:rPr>
          <w:rFonts w:cs="Arial"/>
        </w:rPr>
        <w:t>:</w:t>
      </w:r>
    </w:p>
    <w:p w:rsidR="00FA16C0" w:rsidRPr="000F2A04" w:rsidRDefault="00FA16C0" w:rsidP="0095090F">
      <w:pPr>
        <w:keepNext/>
        <w:rPr>
          <w:rFonts w:cs="Arial"/>
        </w:rPr>
      </w:pPr>
    </w:p>
    <w:p w:rsidR="00FA16C0" w:rsidRPr="000F2A04" w:rsidRDefault="00FA16C0" w:rsidP="0095090F">
      <w:pPr>
        <w:keepNext/>
        <w:rPr>
          <w:rFonts w:cs="Arial"/>
        </w:rPr>
      </w:pPr>
      <w:r w:rsidRPr="000F2A04">
        <w:rPr>
          <w:rFonts w:cs="Arial"/>
        </w:rPr>
        <w:t>UPOV TWP webpages:</w:t>
      </w:r>
    </w:p>
    <w:p w:rsidR="00FA16C0" w:rsidRPr="000F2A04" w:rsidRDefault="00FA16C0" w:rsidP="0095090F">
      <w:pPr>
        <w:keepNext/>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FA16C0" w:rsidRPr="000F2A04" w:rsidTr="0095090F">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A16C0" w:rsidRPr="000F2A04" w:rsidRDefault="00FA16C0" w:rsidP="0095090F">
            <w:pPr>
              <w:keepNext/>
              <w:jc w:val="center"/>
            </w:pPr>
            <w:proofErr w:type="spellStart"/>
            <w:r w:rsidRPr="000F2A04">
              <w:t>Pageviews</w:t>
            </w:r>
            <w:proofErr w:type="spellEnd"/>
          </w:p>
          <w:p w:rsidR="00FA16C0" w:rsidRPr="000F2A04" w:rsidRDefault="00FA16C0" w:rsidP="0095090F">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0F2A04" w:rsidRDefault="00FA16C0" w:rsidP="0095090F">
            <w:pPr>
              <w:keepNext/>
              <w:jc w:val="center"/>
            </w:pPr>
            <w:r w:rsidRPr="000F2A04">
              <w:t xml:space="preserve">Unique </w:t>
            </w:r>
            <w:proofErr w:type="spellStart"/>
            <w:r w:rsidRPr="000F2A04">
              <w:t>pageviews</w:t>
            </w:r>
            <w:proofErr w:type="spellEnd"/>
          </w:p>
        </w:tc>
      </w:tr>
      <w:tr w:rsidR="00FA16C0" w:rsidRPr="00FA16C0" w:rsidTr="0095090F">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16C0" w:rsidRPr="000F2A04" w:rsidRDefault="000F2A04" w:rsidP="0095090F">
            <w:pPr>
              <w:keepNext/>
              <w:jc w:val="center"/>
            </w:pPr>
            <w:r w:rsidRPr="000F2A04">
              <w:t>274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FA16C0" w:rsidRPr="000F2A04" w:rsidRDefault="000F2A04" w:rsidP="0095090F">
            <w:pPr>
              <w:keepNext/>
              <w:jc w:val="center"/>
            </w:pPr>
            <w:r w:rsidRPr="000F2A04">
              <w:t>238</w:t>
            </w:r>
          </w:p>
        </w:tc>
      </w:tr>
    </w:tbl>
    <w:p w:rsidR="00FA16C0" w:rsidRPr="00FA16C0" w:rsidRDefault="00FA16C0" w:rsidP="00FA16C0">
      <w:pPr>
        <w:rPr>
          <w:rFonts w:cs="Arial"/>
        </w:rPr>
      </w:pPr>
    </w:p>
    <w:p w:rsidR="00FA16C0" w:rsidRPr="00FA16C0" w:rsidRDefault="00FA16C0" w:rsidP="00523C64">
      <w:pPr>
        <w:keepNext/>
        <w:keepLines/>
      </w:pPr>
      <w:r w:rsidRPr="00FA16C0">
        <w:lastRenderedPageBreak/>
        <w:t>UPOV YouTube channel:</w:t>
      </w:r>
    </w:p>
    <w:p w:rsidR="00FA16C0" w:rsidRPr="00FA16C0" w:rsidRDefault="00FA16C0" w:rsidP="00523C64">
      <w:pPr>
        <w:keepNext/>
        <w:keepLines/>
      </w:pPr>
    </w:p>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FA16C0" w:rsidRPr="00FA16C0" w:rsidTr="00FA16C0">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pPr>
            <w:r w:rsidRPr="00FA16C0">
              <w:t>Webinar</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jc w:val="center"/>
            </w:pPr>
            <w:r w:rsidRPr="00FA16C0">
              <w:t>Total views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16C0" w:rsidRPr="00FA16C0" w:rsidRDefault="00FA16C0" w:rsidP="00523C64">
            <w:pPr>
              <w:keepNext/>
              <w:keepLines/>
              <w:jc w:val="center"/>
            </w:pPr>
            <w:r w:rsidRPr="00FA16C0">
              <w:t>Closed Caption/ Subtitles</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rsidRPr="00FA16C0">
              <w:t>TWP Webinar 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rsidRPr="002E3326">
              <w:t>74</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rsidRPr="002E3326">
              <w:t>9 (EN)</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rsidRPr="00FA16C0">
              <w:t>TWP Webinar 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rsidRPr="002E3326">
              <w:t>76</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rsidRPr="002E3326">
              <w:t>14 (EN)</w:t>
            </w:r>
          </w:p>
        </w:tc>
      </w:tr>
      <w:tr w:rsidR="001F0A06" w:rsidRPr="00FA16C0" w:rsidTr="00FA16C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0A06" w:rsidRPr="00FA16C0" w:rsidRDefault="001F0A06" w:rsidP="001F0A06">
            <w:pPr>
              <w:keepNext/>
              <w:keepLines/>
            </w:pPr>
            <w:r w:rsidRPr="00FA16C0">
              <w:t>TWP Webinar 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Pr="002E3326" w:rsidRDefault="001F0A06" w:rsidP="001F0A06">
            <w:pPr>
              <w:jc w:val="center"/>
            </w:pPr>
            <w:r w:rsidRPr="002E3326">
              <w:t>103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1F0A06" w:rsidRDefault="001F0A06" w:rsidP="001F0A06">
            <w:pPr>
              <w:jc w:val="center"/>
            </w:pPr>
            <w:r w:rsidRPr="002E3326">
              <w:t>6 (EN)</w:t>
            </w:r>
          </w:p>
        </w:tc>
      </w:tr>
    </w:tbl>
    <w:p w:rsidR="00FA16C0" w:rsidRPr="00FA16C0" w:rsidRDefault="00FA16C0" w:rsidP="00FA16C0"/>
    <w:p w:rsidR="00FA16C0" w:rsidRPr="00FA16C0" w:rsidRDefault="00FA16C0" w:rsidP="00FA16C0"/>
    <w:p w:rsidR="00FA16C0" w:rsidRPr="00FA16C0" w:rsidRDefault="00FA16C0" w:rsidP="00FA16C0">
      <w:pPr>
        <w:keepNext/>
        <w:keepLines/>
        <w:outlineLvl w:val="0"/>
        <w:rPr>
          <w:i/>
          <w:caps/>
        </w:rPr>
      </w:pPr>
      <w:bookmarkStart w:id="6" w:name="_Toc524688363"/>
      <w:bookmarkStart w:id="7" w:name="_Toc115876311"/>
      <w:r w:rsidRPr="00FA16C0">
        <w:rPr>
          <w:caps/>
        </w:rPr>
        <w:t>Program and format for Preparatory Work in 20</w:t>
      </w:r>
      <w:bookmarkEnd w:id="6"/>
      <w:r w:rsidRPr="00FA16C0">
        <w:rPr>
          <w:caps/>
        </w:rPr>
        <w:t>2</w:t>
      </w:r>
      <w:r w:rsidR="00195D9C">
        <w:rPr>
          <w:caps/>
        </w:rPr>
        <w:t>3</w:t>
      </w:r>
      <w:bookmarkEnd w:id="7"/>
    </w:p>
    <w:p w:rsidR="00FA16C0" w:rsidRPr="00FA16C0" w:rsidRDefault="00FA16C0" w:rsidP="00FA16C0">
      <w:pPr>
        <w:keepNext/>
        <w:keepLines/>
        <w:rPr>
          <w:snapToGrid w:val="0"/>
        </w:rPr>
      </w:pPr>
    </w:p>
    <w:p w:rsidR="00FA16C0" w:rsidRPr="00FA16C0" w:rsidRDefault="00FA16C0" w:rsidP="00FA16C0">
      <w:pPr>
        <w:keepNext/>
        <w:snapToGrid w:val="0"/>
        <w:outlineLvl w:val="1"/>
        <w:rPr>
          <w:u w:val="single"/>
        </w:rPr>
      </w:pPr>
      <w:bookmarkStart w:id="8" w:name="_Toc115876312"/>
      <w:r w:rsidRPr="00FA16C0">
        <w:rPr>
          <w:u w:val="single"/>
        </w:rPr>
        <w:t>Proposal:</w:t>
      </w:r>
      <w:bookmarkEnd w:id="8"/>
    </w:p>
    <w:p w:rsidR="00FA16C0" w:rsidRPr="00FA16C0" w:rsidRDefault="00FA16C0" w:rsidP="00FA16C0">
      <w:pPr>
        <w:keepNext/>
        <w:keepLines/>
        <w:rPr>
          <w:snapToGrid w:val="0"/>
        </w:rPr>
      </w:pPr>
    </w:p>
    <w:p w:rsidR="00FA16C0" w:rsidRPr="00FA16C0" w:rsidRDefault="00FA16C0" w:rsidP="00FA16C0">
      <w:pPr>
        <w:keepNext/>
        <w:keepLines/>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It is proposed that the preparatory workshops in 202</w:t>
      </w:r>
      <w:r w:rsidR="00195D9C">
        <w:rPr>
          <w:snapToGrid w:val="0"/>
        </w:rPr>
        <w:t>3</w:t>
      </w:r>
      <w:r w:rsidRPr="00FA16C0">
        <w:rPr>
          <w:snapToGrid w:val="0"/>
        </w:rPr>
        <w:t xml:space="preserve"> are organized as webinars at suitable dates according to the schedule of TWP sessions.  The webinar presentations and panel discussions would be recorded and made available online.  The session on questions and answers would not be recorded and/or made available online. </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 xml:space="preserve">Experts from members would be invited to make presentations on selected contents and participate as panelists for discussions.  </w:t>
      </w:r>
    </w:p>
    <w:p w:rsidR="00FA16C0" w:rsidRPr="00FA16C0" w:rsidRDefault="00FA16C0" w:rsidP="00FA16C0">
      <w:pPr>
        <w:rPr>
          <w:snapToGrid w:val="0"/>
        </w:rPr>
      </w:pPr>
    </w:p>
    <w:p w:rsidR="00FA16C0" w:rsidRPr="00FA16C0" w:rsidRDefault="00FA16C0" w:rsidP="00FA16C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detailed arrangements concerning the webinars would be finalized by the Office of the Union in coordination with the chairpersons of the TC and TWPs.</w:t>
      </w:r>
    </w:p>
    <w:p w:rsidR="00FA16C0" w:rsidRPr="00FA16C0" w:rsidRDefault="00FA16C0" w:rsidP="00FA16C0">
      <w:pPr>
        <w:rPr>
          <w:rFonts w:cs="Arial"/>
        </w:rPr>
      </w:pPr>
    </w:p>
    <w:p w:rsidR="00FA16C0" w:rsidRPr="00FA16C0" w:rsidRDefault="00FA16C0" w:rsidP="00FA16C0">
      <w:pPr>
        <w:rPr>
          <w:rFonts w:cs="Arial"/>
        </w:rPr>
      </w:pPr>
      <w:r w:rsidRPr="00FA16C0">
        <w:fldChar w:fldCharType="begin"/>
      </w:r>
      <w:r w:rsidRPr="00FA16C0">
        <w:instrText xml:space="preserve"> AUTONUM  </w:instrText>
      </w:r>
      <w:r w:rsidRPr="00FA16C0">
        <w:fldChar w:fldCharType="end"/>
      </w:r>
      <w:r w:rsidRPr="00FA16C0">
        <w:tab/>
        <w:t xml:space="preserve">If </w:t>
      </w:r>
      <w:r w:rsidRPr="00FA16C0">
        <w:rPr>
          <w:rFonts w:cs="Arial"/>
        </w:rPr>
        <w:t>requested by the hosts of the TWPs, workshops with physical participation could be organized in conjunction with the TWP sessions.  In such cases, the content would be adapted to the particular context.</w:t>
      </w:r>
    </w:p>
    <w:p w:rsidR="00FA16C0" w:rsidRPr="00FA16C0" w:rsidRDefault="00FA16C0" w:rsidP="00FA16C0">
      <w:pPr>
        <w:rPr>
          <w:rFonts w:eastAsia="Calibri" w:cs="Arial"/>
        </w:rPr>
      </w:pPr>
    </w:p>
    <w:p w:rsidR="00FA16C0" w:rsidRPr="00FA16C0" w:rsidRDefault="00FA16C0" w:rsidP="00FA16C0">
      <w:pPr>
        <w:keepNext/>
        <w:keepLines/>
        <w:tabs>
          <w:tab w:val="left" w:pos="5387"/>
          <w:tab w:val="left" w:pos="5954"/>
        </w:tabs>
        <w:ind w:left="4820"/>
        <w:rPr>
          <w:rFonts w:cs="Arial"/>
          <w:i/>
        </w:rPr>
      </w:pPr>
      <w:r w:rsidRPr="00FA16C0">
        <w:rPr>
          <w:rFonts w:cs="Arial"/>
        </w:rPr>
        <w:fldChar w:fldCharType="begin"/>
      </w:r>
      <w:r w:rsidRPr="00FA16C0">
        <w:rPr>
          <w:rFonts w:cs="Arial"/>
          <w:i/>
        </w:rPr>
        <w:instrText xml:space="preserve"> AUTONUM  </w:instrText>
      </w:r>
      <w:r w:rsidRPr="00FA16C0">
        <w:rPr>
          <w:rFonts w:cs="Arial"/>
        </w:rPr>
        <w:fldChar w:fldCharType="end"/>
      </w:r>
      <w:r w:rsidRPr="00FA16C0">
        <w:rPr>
          <w:rFonts w:cs="Arial"/>
          <w:i/>
        </w:rPr>
        <w:tab/>
        <w:t xml:space="preserve">The TC is invited to </w:t>
      </w:r>
      <w:r w:rsidRPr="00FA16C0">
        <w:rPr>
          <w:i/>
          <w:snapToGrid w:val="0"/>
        </w:rPr>
        <w:t xml:space="preserve">consider whether to organize preparatory workshops as a series of webinars, to be organized at suitable dates according to the schedule of TWP sessions in 2022, in conjunction with </w:t>
      </w:r>
      <w:r w:rsidRPr="00FA16C0">
        <w:rPr>
          <w:rFonts w:cs="Arial"/>
          <w:i/>
        </w:rPr>
        <w:t>workshops with physical participation,</w:t>
      </w:r>
      <w:r w:rsidRPr="00FA16C0">
        <w:rPr>
          <w:i/>
          <w:snapToGrid w:val="0"/>
        </w:rPr>
        <w:t xml:space="preserve"> where requested, as set out </w:t>
      </w:r>
      <w:r w:rsidRPr="00CE73C4">
        <w:rPr>
          <w:i/>
          <w:snapToGrid w:val="0"/>
        </w:rPr>
        <w:t xml:space="preserve">in paragraphs </w:t>
      </w:r>
      <w:r w:rsidR="00BE1218" w:rsidRPr="00CE73C4">
        <w:rPr>
          <w:i/>
          <w:snapToGrid w:val="0"/>
        </w:rPr>
        <w:t>15</w:t>
      </w:r>
      <w:r w:rsidRPr="00CE73C4">
        <w:rPr>
          <w:i/>
          <w:snapToGrid w:val="0"/>
        </w:rPr>
        <w:t xml:space="preserve"> to </w:t>
      </w:r>
      <w:r w:rsidR="00BE1218" w:rsidRPr="00CE73C4">
        <w:rPr>
          <w:i/>
          <w:snapToGrid w:val="0"/>
        </w:rPr>
        <w:t>18</w:t>
      </w:r>
      <w:r w:rsidRPr="00CE73C4">
        <w:rPr>
          <w:i/>
          <w:snapToGrid w:val="0"/>
        </w:rPr>
        <w:t xml:space="preserve"> of</w:t>
      </w:r>
      <w:r w:rsidRPr="00FA16C0">
        <w:rPr>
          <w:i/>
          <w:snapToGrid w:val="0"/>
        </w:rPr>
        <w:t xml:space="preserve"> this document.</w:t>
      </w:r>
    </w:p>
    <w:p w:rsidR="00FA16C0" w:rsidRPr="00FA16C0" w:rsidRDefault="00FA16C0" w:rsidP="00FA16C0">
      <w:pPr>
        <w:jc w:val="left"/>
        <w:rPr>
          <w:snapToGrid w:val="0"/>
        </w:rPr>
      </w:pPr>
    </w:p>
    <w:p w:rsidR="00FA16C0" w:rsidRPr="00FA16C0" w:rsidRDefault="00FA16C0" w:rsidP="00FA16C0">
      <w:pPr>
        <w:jc w:val="left"/>
        <w:rPr>
          <w:snapToGrid w:val="0"/>
        </w:rPr>
      </w:pPr>
    </w:p>
    <w:p w:rsidR="00FA16C0" w:rsidRPr="00FA16C0" w:rsidRDefault="00FA16C0" w:rsidP="00FA16C0">
      <w:pPr>
        <w:jc w:val="left"/>
        <w:rPr>
          <w:snapToGrid w:val="0"/>
        </w:rPr>
      </w:pPr>
    </w:p>
    <w:p w:rsidR="00FA16C0" w:rsidRPr="00FA16C0" w:rsidRDefault="00FA16C0" w:rsidP="00FA16C0">
      <w:pPr>
        <w:jc w:val="right"/>
        <w:rPr>
          <w:snapToGrid w:val="0"/>
        </w:rPr>
      </w:pPr>
      <w:r w:rsidRPr="00FA16C0">
        <w:rPr>
          <w:snapToGrid w:val="0"/>
        </w:rPr>
        <w:t>[Annex follows]</w:t>
      </w:r>
    </w:p>
    <w:p w:rsidR="00FA16C0" w:rsidRPr="00FA16C0" w:rsidRDefault="00FA16C0" w:rsidP="00FA16C0">
      <w:pPr>
        <w:jc w:val="left"/>
        <w:rPr>
          <w:snapToGrid w:val="0"/>
        </w:rPr>
      </w:pPr>
    </w:p>
    <w:p w:rsidR="00FA16C0" w:rsidRPr="00FA16C0" w:rsidRDefault="00FA16C0" w:rsidP="00FA16C0">
      <w:pPr>
        <w:jc w:val="left"/>
        <w:rPr>
          <w:snapToGrid w:val="0"/>
        </w:rPr>
        <w:sectPr w:rsidR="00FA16C0" w:rsidRPr="00FA16C0" w:rsidSect="005E3333">
          <w:headerReference w:type="default" r:id="rId11"/>
          <w:pgSz w:w="11907" w:h="16840"/>
          <w:pgMar w:top="510" w:right="1134" w:bottom="1134" w:left="1134" w:header="510" w:footer="680" w:gutter="0"/>
          <w:pgNumType w:start="1"/>
          <w:cols w:space="720"/>
          <w:titlePg/>
          <w:docGrid w:linePitch="272"/>
        </w:sectPr>
      </w:pPr>
    </w:p>
    <w:p w:rsidR="00FA16C0" w:rsidRPr="00FA16C0" w:rsidRDefault="00FA16C0" w:rsidP="00FA16C0">
      <w:pPr>
        <w:jc w:val="center"/>
        <w:outlineLvl w:val="0"/>
        <w:rPr>
          <w:rFonts w:cs="Arial"/>
          <w:caps/>
        </w:rPr>
      </w:pPr>
      <w:bookmarkStart w:id="9" w:name="_Toc115876313"/>
      <w:r w:rsidRPr="00FA16C0">
        <w:rPr>
          <w:rFonts w:cs="Arial"/>
          <w:caps/>
        </w:rPr>
        <w:t>pROGRAM OF THE PREPARATORY WEBINARS IN 202</w:t>
      </w:r>
      <w:r w:rsidR="00930E56">
        <w:rPr>
          <w:rFonts w:cs="Arial"/>
          <w:caps/>
        </w:rPr>
        <w:t>2</w:t>
      </w:r>
      <w:bookmarkEnd w:id="9"/>
    </w:p>
    <w:p w:rsidR="00FA16C0" w:rsidRPr="00FA16C0" w:rsidRDefault="00FA16C0" w:rsidP="00FA16C0">
      <w:pPr>
        <w:spacing w:line="276" w:lineRule="auto"/>
        <w:rPr>
          <w:rFonts w:cs="Arial"/>
          <w:sz w:val="16"/>
        </w:rPr>
      </w:pPr>
    </w:p>
    <w:p w:rsidR="00A867E1" w:rsidRDefault="00A867E1" w:rsidP="00FA16C0">
      <w:pPr>
        <w:rPr>
          <w:noProof/>
        </w:rPr>
      </w:pPr>
      <w:r>
        <w:rPr>
          <w:noProof/>
        </w:rPr>
        <w:t>E</w:t>
      </w:r>
      <w:r w:rsidRPr="008735C6">
        <w:rPr>
          <w:noProof/>
        </w:rPr>
        <w:t xml:space="preserve">ach webinar </w:t>
      </w:r>
      <w:r>
        <w:rPr>
          <w:noProof/>
        </w:rPr>
        <w:t xml:space="preserve">was </w:t>
      </w:r>
      <w:r w:rsidRPr="008735C6">
        <w:rPr>
          <w:noProof/>
        </w:rPr>
        <w:t xml:space="preserve">delivered twice (8 a.m. and </w:t>
      </w:r>
      <w:r>
        <w:rPr>
          <w:noProof/>
        </w:rPr>
        <w:t xml:space="preserve">3 </w:t>
      </w:r>
      <w:r w:rsidRPr="008735C6">
        <w:rPr>
          <w:noProof/>
        </w:rPr>
        <w:t>p.m. Geneva time)</w:t>
      </w:r>
      <w:r>
        <w:rPr>
          <w:noProof/>
        </w:rPr>
        <w:t>.</w:t>
      </w:r>
    </w:p>
    <w:p w:rsidR="00FA16C0" w:rsidRPr="00FA16C0" w:rsidRDefault="00FA16C0" w:rsidP="00FA16C0">
      <w:pPr>
        <w:spacing w:line="276" w:lineRule="auto"/>
        <w:rPr>
          <w:rFonts w:cs="Arial"/>
          <w:sz w:val="16"/>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3B5386">
        <w:trPr>
          <w:trHeight w:val="604"/>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sidRPr="00A867E1">
              <w:rPr>
                <w:color w:val="000000" w:themeColor="text1"/>
                <w:sz w:val="18"/>
                <w:szCs w:val="18"/>
              </w:rPr>
              <w:t>TUESDAY, APRIL 12, 2022:  WEBINAR 1:  HOW TO ORGANIZE DUS EXAMINATION WITH INFORMATION PROVIDED BY THE APPLICANT</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sidRPr="00FA16C0">
              <w:rPr>
                <w:color w:val="000000" w:themeColor="text1"/>
                <w:sz w:val="18"/>
                <w:szCs w:val="18"/>
              </w:rPr>
              <w:t>Presenters / Panelists</w:t>
            </w:r>
          </w:p>
          <w:p w:rsidR="00A867E1" w:rsidRPr="00FA16C0" w:rsidRDefault="00A867E1" w:rsidP="00930E56">
            <w:pPr>
              <w:spacing w:line="276" w:lineRule="auto"/>
              <w:jc w:val="left"/>
              <w:rPr>
                <w:color w:val="000000" w:themeColor="text1"/>
                <w:sz w:val="18"/>
                <w:szCs w:val="18"/>
              </w:rPr>
            </w:pPr>
          </w:p>
        </w:tc>
      </w:tr>
      <w:tr w:rsidR="00A867E1" w:rsidRPr="00A867E1" w:rsidTr="003B5386">
        <w:trPr>
          <w:trHeight w:val="273"/>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EC7EAC" w:rsidP="00930E56">
            <w:pPr>
              <w:spacing w:line="276" w:lineRule="auto"/>
              <w:ind w:left="332" w:hanging="332"/>
              <w:jc w:val="left"/>
              <w:rPr>
                <w:i/>
                <w:sz w:val="18"/>
                <w:szCs w:val="18"/>
              </w:rPr>
            </w:pPr>
            <w:r>
              <w:rPr>
                <w:i/>
                <w:sz w:val="18"/>
                <w:szCs w:val="18"/>
              </w:rPr>
              <w:t>I</w:t>
            </w:r>
            <w:r w:rsidR="00A867E1" w:rsidRPr="009F5ED5">
              <w:rPr>
                <w:i/>
                <w:sz w:val="18"/>
                <w:szCs w:val="18"/>
              </w:rPr>
              <w:t>ntroductory presentations</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keepNext/>
              <w:spacing w:line="276" w:lineRule="auto"/>
              <w:jc w:val="left"/>
              <w:rPr>
                <w:sz w:val="18"/>
                <w:szCs w:val="18"/>
              </w:rPr>
            </w:pPr>
            <w:r w:rsidRPr="00A867E1">
              <w:rPr>
                <w:sz w:val="18"/>
                <w:szCs w:val="18"/>
              </w:rPr>
              <w:t xml:space="preserve">What are Technical Questionnaires in application forms:  </w:t>
            </w:r>
          </w:p>
          <w:p w:rsidR="00A867E1" w:rsidRPr="00A867E1" w:rsidRDefault="00A867E1" w:rsidP="00930E56">
            <w:pPr>
              <w:keepNext/>
              <w:spacing w:line="276" w:lineRule="auto"/>
              <w:ind w:firstLine="567"/>
              <w:jc w:val="left"/>
              <w:rPr>
                <w:sz w:val="18"/>
                <w:szCs w:val="18"/>
              </w:rPr>
            </w:pPr>
            <w:r w:rsidRPr="00A867E1">
              <w:rPr>
                <w:sz w:val="18"/>
                <w:szCs w:val="18"/>
              </w:rPr>
              <w:t xml:space="preserve">- characteristics used for grouping of varieties </w:t>
            </w:r>
          </w:p>
          <w:p w:rsidR="00A867E1" w:rsidRPr="00FA16C0" w:rsidRDefault="00A867E1" w:rsidP="00930E56">
            <w:pPr>
              <w:keepNext/>
              <w:spacing w:line="276" w:lineRule="auto"/>
              <w:ind w:firstLine="567"/>
              <w:jc w:val="left"/>
              <w:rPr>
                <w:sz w:val="18"/>
                <w:szCs w:val="18"/>
              </w:rPr>
            </w:pPr>
            <w:r w:rsidRPr="00A867E1">
              <w:rPr>
                <w:sz w:val="18"/>
                <w:szCs w:val="18"/>
              </w:rPr>
              <w:t>- breeding scheme and other useful information to distinguish varieties</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r w:rsidRPr="00A867E1">
              <w:rPr>
                <w:sz w:val="18"/>
                <w:szCs w:val="18"/>
              </w:rPr>
              <w:t>Leontino Taveira</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keepNext/>
              <w:spacing w:line="276" w:lineRule="auto"/>
              <w:jc w:val="left"/>
              <w:rPr>
                <w:sz w:val="18"/>
                <w:szCs w:val="18"/>
              </w:rPr>
            </w:pPr>
            <w:r w:rsidRPr="00A867E1">
              <w:rPr>
                <w:sz w:val="18"/>
                <w:szCs w:val="18"/>
              </w:rPr>
              <w:t>Selecting similar varieties to organize DUS examination:</w:t>
            </w:r>
          </w:p>
          <w:p w:rsidR="00A867E1" w:rsidRPr="00A867E1" w:rsidRDefault="00A867E1" w:rsidP="00930E56">
            <w:pPr>
              <w:keepNext/>
              <w:spacing w:line="276" w:lineRule="auto"/>
              <w:jc w:val="left"/>
              <w:rPr>
                <w:sz w:val="18"/>
                <w:szCs w:val="18"/>
              </w:rPr>
            </w:pPr>
            <w:r w:rsidRPr="00A867E1">
              <w:rPr>
                <w:sz w:val="18"/>
                <w:szCs w:val="18"/>
              </w:rPr>
              <w:tab/>
              <w:t xml:space="preserve">- constitution and maintenance of variety collections </w:t>
            </w:r>
          </w:p>
          <w:p w:rsidR="00A867E1" w:rsidRPr="00FA16C0" w:rsidRDefault="00A867E1" w:rsidP="00930E56">
            <w:pPr>
              <w:spacing w:line="276" w:lineRule="auto"/>
              <w:ind w:left="332" w:hanging="332"/>
              <w:jc w:val="left"/>
              <w:rPr>
                <w:spacing w:val="-2"/>
                <w:sz w:val="18"/>
                <w:szCs w:val="18"/>
              </w:rPr>
            </w:pPr>
            <w:r w:rsidRPr="00A867E1">
              <w:rPr>
                <w:sz w:val="18"/>
                <w:szCs w:val="18"/>
              </w:rPr>
              <w:tab/>
            </w:r>
            <w:r w:rsidR="00763629">
              <w:rPr>
                <w:sz w:val="18"/>
                <w:szCs w:val="18"/>
              </w:rPr>
              <w:t xml:space="preserve">     </w:t>
            </w:r>
            <w:r w:rsidRPr="00A867E1">
              <w:rPr>
                <w:sz w:val="18"/>
                <w:szCs w:val="18"/>
              </w:rPr>
              <w:t xml:space="preserve">- using molecular information to support organization of trials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r w:rsidRPr="00A867E1">
              <w:rPr>
                <w:sz w:val="18"/>
                <w:szCs w:val="18"/>
              </w:rPr>
              <w:t>Manabu Suzuki</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Panel discussion</w:t>
            </w:r>
          </w:p>
        </w:tc>
        <w:tc>
          <w:tcPr>
            <w:tcW w:w="3118" w:type="dxa"/>
            <w:tcBorders>
              <w:top w:val="single" w:sz="4" w:space="0" w:color="auto"/>
              <w:left w:val="single" w:sz="4" w:space="0" w:color="auto"/>
              <w:bottom w:val="single" w:sz="4" w:space="0" w:color="auto"/>
              <w:right w:val="single" w:sz="4" w:space="0" w:color="auto"/>
            </w:tcBorders>
            <w:hideMark/>
          </w:tcPr>
          <w:p w:rsidR="00763629" w:rsidRPr="003B5386" w:rsidRDefault="003B5386" w:rsidP="00BE1218">
            <w:pPr>
              <w:spacing w:line="276" w:lineRule="auto"/>
              <w:jc w:val="left"/>
              <w:rPr>
                <w:sz w:val="18"/>
                <w:szCs w:val="18"/>
              </w:rPr>
            </w:pPr>
            <w:r w:rsidRPr="003B5386">
              <w:rPr>
                <w:sz w:val="18"/>
                <w:szCs w:val="18"/>
              </w:rPr>
              <w:t>Anthony Parker (</w:t>
            </w:r>
            <w:r w:rsidR="00A867E1" w:rsidRPr="003B5386">
              <w:rPr>
                <w:sz w:val="18"/>
                <w:szCs w:val="18"/>
              </w:rPr>
              <w:t>Canada</w:t>
            </w:r>
            <w:r w:rsidRPr="003B5386">
              <w:rPr>
                <w:sz w:val="18"/>
                <w:szCs w:val="18"/>
              </w:rPr>
              <w:t>)</w:t>
            </w:r>
          </w:p>
          <w:p w:rsidR="003B5386" w:rsidRDefault="003B5386" w:rsidP="00BE1218">
            <w:pPr>
              <w:spacing w:line="276" w:lineRule="auto"/>
              <w:jc w:val="left"/>
              <w:rPr>
                <w:sz w:val="18"/>
                <w:szCs w:val="18"/>
              </w:rPr>
            </w:pPr>
            <w:r w:rsidRPr="003B5386">
              <w:rPr>
                <w:sz w:val="18"/>
                <w:szCs w:val="18"/>
              </w:rPr>
              <w:t>Cecile Marchenay (Netherlands)</w:t>
            </w:r>
          </w:p>
          <w:p w:rsidR="003B5386" w:rsidRPr="003B5386" w:rsidRDefault="003B5386" w:rsidP="00BE1218">
            <w:pPr>
              <w:spacing w:line="276" w:lineRule="auto"/>
              <w:jc w:val="left"/>
              <w:rPr>
                <w:strike/>
                <w:sz w:val="18"/>
                <w:szCs w:val="18"/>
              </w:rPr>
            </w:pPr>
            <w:r w:rsidRPr="003B5386">
              <w:rPr>
                <w:sz w:val="18"/>
                <w:szCs w:val="18"/>
              </w:rPr>
              <w:t>Chris Barnaby (New Zealand) Leobigildo Cordova (Mexico)</w:t>
            </w:r>
          </w:p>
          <w:p w:rsidR="003B5386" w:rsidRPr="003B5386" w:rsidRDefault="003B5386" w:rsidP="00BE1218">
            <w:pPr>
              <w:spacing w:line="276" w:lineRule="auto"/>
              <w:jc w:val="left"/>
              <w:rPr>
                <w:sz w:val="18"/>
                <w:szCs w:val="18"/>
              </w:rPr>
            </w:pPr>
            <w:r w:rsidRPr="003B5386">
              <w:rPr>
                <w:sz w:val="18"/>
                <w:szCs w:val="18"/>
              </w:rPr>
              <w:t xml:space="preserve">Liz Scott (United Kingdom),  </w:t>
            </w:r>
          </w:p>
          <w:p w:rsidR="00A867E1" w:rsidRPr="00FA16C0" w:rsidRDefault="003B5386" w:rsidP="00BE1218">
            <w:pPr>
              <w:spacing w:line="276" w:lineRule="auto"/>
              <w:jc w:val="left"/>
              <w:rPr>
                <w:sz w:val="18"/>
                <w:szCs w:val="18"/>
              </w:rPr>
            </w:pPr>
            <w:r w:rsidRPr="003B5386">
              <w:rPr>
                <w:sz w:val="18"/>
                <w:szCs w:val="18"/>
              </w:rPr>
              <w:t>Malerotho Lekoane and Hennie Venter (</w:t>
            </w:r>
            <w:r w:rsidR="00A867E1" w:rsidRPr="003B5386">
              <w:rPr>
                <w:sz w:val="18"/>
                <w:szCs w:val="18"/>
              </w:rPr>
              <w:t>South Africa</w:t>
            </w:r>
            <w:r w:rsidRPr="003B5386">
              <w:rPr>
                <w:sz w:val="18"/>
                <w:szCs w:val="18"/>
              </w:rPr>
              <w:t>)</w:t>
            </w:r>
            <w:r w:rsidR="00A867E1" w:rsidRPr="003B5386">
              <w:rPr>
                <w:sz w:val="18"/>
                <w:szCs w:val="18"/>
              </w:rPr>
              <w:t xml:space="preserve"> </w:t>
            </w:r>
          </w:p>
        </w:tc>
      </w:tr>
      <w:tr w:rsidR="00A867E1" w:rsidRPr="00A867E1" w:rsidTr="003B538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Question and answer session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spacing w:line="276" w:lineRule="auto"/>
        <w:rPr>
          <w:rFonts w:cs="Arial"/>
          <w:sz w:val="18"/>
          <w:szCs w:val="18"/>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930E56">
        <w:trPr>
          <w:trHeight w:val="620"/>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sidRPr="00A867E1">
              <w:rPr>
                <w:color w:val="000000" w:themeColor="text1"/>
                <w:sz w:val="18"/>
                <w:szCs w:val="18"/>
              </w:rPr>
              <w:t xml:space="preserve">WEDNESDAY, APRIL 13, 2022:  WEBINAR 2:  DISEASE RESISTANCE AND PHYSIOLOGICAL CHARACTERISTICS IN DUS EXAMINATION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sidRPr="00FA16C0">
              <w:rPr>
                <w:color w:val="000000" w:themeColor="text1"/>
                <w:sz w:val="18"/>
                <w:szCs w:val="18"/>
              </w:rPr>
              <w:t>Presenters / Panelists</w:t>
            </w:r>
          </w:p>
          <w:p w:rsidR="00A867E1" w:rsidRPr="00FA16C0" w:rsidRDefault="00A867E1" w:rsidP="00930E56">
            <w:pPr>
              <w:spacing w:line="276" w:lineRule="auto"/>
              <w:jc w:val="left"/>
              <w:rPr>
                <w:color w:val="000000" w:themeColor="text1"/>
                <w:sz w:val="18"/>
                <w:szCs w:val="18"/>
              </w:rPr>
            </w:pPr>
          </w:p>
        </w:tc>
      </w:tr>
      <w:tr w:rsidR="00A867E1" w:rsidRPr="00A867E1" w:rsidTr="00930E56">
        <w:trPr>
          <w:trHeight w:val="274"/>
        </w:trPr>
        <w:tc>
          <w:tcPr>
            <w:tcW w:w="6516" w:type="dxa"/>
            <w:tcBorders>
              <w:top w:val="single" w:sz="4" w:space="0" w:color="auto"/>
              <w:left w:val="single" w:sz="4" w:space="0" w:color="auto"/>
              <w:bottom w:val="single" w:sz="4" w:space="0" w:color="auto"/>
              <w:right w:val="single" w:sz="4" w:space="0" w:color="auto"/>
            </w:tcBorders>
            <w:vAlign w:val="center"/>
          </w:tcPr>
          <w:p w:rsidR="00A867E1" w:rsidRPr="00EC7EAC" w:rsidRDefault="00EC7EAC" w:rsidP="00930E56">
            <w:pPr>
              <w:pStyle w:val="Heading2"/>
              <w:jc w:val="left"/>
              <w:outlineLvl w:val="1"/>
              <w:rPr>
                <w:color w:val="000000" w:themeColor="text1"/>
              </w:rPr>
            </w:pPr>
            <w:bookmarkStart w:id="10" w:name="_Toc115876314"/>
            <w:r>
              <w:t>I</w:t>
            </w:r>
            <w:r w:rsidR="00A867E1" w:rsidRPr="00EC7EAC">
              <w:t>ntroductory presentations</w:t>
            </w:r>
            <w:bookmarkEnd w:id="10"/>
            <w:r w:rsidR="00A867E1" w:rsidRPr="00EC7EAC">
              <w:t xml:space="preserve"> </w:t>
            </w:r>
          </w:p>
        </w:tc>
        <w:tc>
          <w:tcPr>
            <w:tcW w:w="3118" w:type="dxa"/>
            <w:tcBorders>
              <w:top w:val="single" w:sz="4" w:space="0" w:color="auto"/>
              <w:left w:val="single" w:sz="4" w:space="0" w:color="auto"/>
              <w:bottom w:val="single" w:sz="4" w:space="0" w:color="auto"/>
              <w:right w:val="single" w:sz="4" w:space="0" w:color="auto"/>
            </w:tcBorders>
          </w:tcPr>
          <w:p w:rsidR="00A867E1" w:rsidRPr="00A867E1" w:rsidRDefault="00A867E1" w:rsidP="00930E56">
            <w:pPr>
              <w:spacing w:line="276" w:lineRule="auto"/>
              <w:jc w:val="left"/>
              <w:rPr>
                <w:color w:val="000000" w:themeColor="text1"/>
                <w:sz w:val="18"/>
                <w:szCs w:val="18"/>
              </w:rPr>
            </w:pP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930E56" w:rsidP="00930E56">
            <w:pPr>
              <w:spacing w:line="276" w:lineRule="auto"/>
              <w:ind w:left="332" w:hanging="332"/>
              <w:jc w:val="left"/>
              <w:rPr>
                <w:sz w:val="18"/>
                <w:szCs w:val="18"/>
              </w:rPr>
            </w:pPr>
            <w:r>
              <w:rPr>
                <w:sz w:val="18"/>
                <w:szCs w:val="18"/>
              </w:rPr>
              <w:t xml:space="preserve">a) </w:t>
            </w:r>
            <w:r w:rsidR="00A867E1" w:rsidRPr="00A867E1">
              <w:rPr>
                <w:sz w:val="18"/>
                <w:szCs w:val="18"/>
              </w:rPr>
              <w:t xml:space="preserve">Basic requirements for characteristics in DUS examination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EC7EAC" w:rsidP="00930E56">
            <w:pPr>
              <w:spacing w:line="276" w:lineRule="auto"/>
              <w:jc w:val="left"/>
              <w:rPr>
                <w:sz w:val="18"/>
                <w:szCs w:val="18"/>
              </w:rPr>
            </w:pPr>
            <w:r>
              <w:rPr>
                <w:sz w:val="18"/>
                <w:szCs w:val="18"/>
              </w:rPr>
              <w:t>Nik Hulse</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930E56" w:rsidP="00930E56">
            <w:pPr>
              <w:spacing w:line="276" w:lineRule="auto"/>
              <w:ind w:left="332" w:hanging="332"/>
              <w:jc w:val="left"/>
              <w:rPr>
                <w:sz w:val="18"/>
                <w:szCs w:val="18"/>
              </w:rPr>
            </w:pPr>
            <w:r>
              <w:rPr>
                <w:sz w:val="18"/>
                <w:szCs w:val="18"/>
              </w:rPr>
              <w:t xml:space="preserve">b) </w:t>
            </w:r>
            <w:r w:rsidR="00A867E1" w:rsidRPr="00A867E1">
              <w:rPr>
                <w:sz w:val="18"/>
                <w:szCs w:val="18"/>
              </w:rPr>
              <w:t xml:space="preserve">UPOV guidance on physiological characteristics in DUS examination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EC7EAC" w:rsidP="00930E56">
            <w:pPr>
              <w:spacing w:line="276" w:lineRule="auto"/>
              <w:jc w:val="left"/>
              <w:rPr>
                <w:sz w:val="18"/>
                <w:szCs w:val="18"/>
              </w:rPr>
            </w:pPr>
            <w:r>
              <w:rPr>
                <w:sz w:val="18"/>
                <w:szCs w:val="18"/>
              </w:rPr>
              <w:t>Leontino Taveira</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Panel discussion</w:t>
            </w:r>
          </w:p>
        </w:tc>
        <w:tc>
          <w:tcPr>
            <w:tcW w:w="3118" w:type="dxa"/>
            <w:tcBorders>
              <w:top w:val="single" w:sz="4" w:space="0" w:color="auto"/>
              <w:left w:val="single" w:sz="4" w:space="0" w:color="auto"/>
              <w:bottom w:val="single" w:sz="4" w:space="0" w:color="auto"/>
              <w:right w:val="single" w:sz="4" w:space="0" w:color="auto"/>
            </w:tcBorders>
            <w:hideMark/>
          </w:tcPr>
          <w:p w:rsidR="003B5386" w:rsidRDefault="003B5386"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sidRPr="00A867E1">
              <w:rPr>
                <w:sz w:val="18"/>
                <w:szCs w:val="18"/>
              </w:rPr>
              <w:t>Chystelle Jouy (France),</w:t>
            </w:r>
          </w:p>
          <w:p w:rsidR="00EC7EAC"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sidRPr="00A867E1">
              <w:rPr>
                <w:sz w:val="18"/>
                <w:szCs w:val="18"/>
              </w:rPr>
              <w:t xml:space="preserve">Gosia Blokker (Netherlands), Stefânia Palma (Brazil), </w:t>
            </w:r>
          </w:p>
          <w:p w:rsidR="00A867E1" w:rsidRPr="00FA16C0"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highlight w:val="cyan"/>
              </w:rPr>
            </w:pPr>
            <w:r w:rsidRPr="00A867E1">
              <w:rPr>
                <w:sz w:val="18"/>
                <w:szCs w:val="18"/>
                <w:lang w:eastAsia="ja-JP"/>
              </w:rPr>
              <w:t>Yoshiyuki Ohno (Japan)</w:t>
            </w:r>
            <w:r w:rsidRPr="00A867E1">
              <w:rPr>
                <w:sz w:val="18"/>
                <w:szCs w:val="18"/>
                <w:highlight w:val="cyan"/>
              </w:rPr>
              <w:t xml:space="preserve"> </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Question and answer session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rPr>
      </w:pPr>
    </w:p>
    <w:tbl>
      <w:tblPr>
        <w:tblStyle w:val="TableGrid"/>
        <w:tblW w:w="9634" w:type="dxa"/>
        <w:tblInd w:w="0" w:type="dxa"/>
        <w:tblLook w:val="04A0" w:firstRow="1" w:lastRow="0" w:firstColumn="1" w:lastColumn="0" w:noHBand="0" w:noVBand="1"/>
      </w:tblPr>
      <w:tblGrid>
        <w:gridCol w:w="6516"/>
        <w:gridCol w:w="3118"/>
      </w:tblGrid>
      <w:tr w:rsidR="00A867E1" w:rsidRPr="00A867E1" w:rsidTr="00930E56">
        <w:trPr>
          <w:trHeight w:val="551"/>
        </w:trPr>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jc w:val="left"/>
              <w:rPr>
                <w:color w:val="000000" w:themeColor="text1"/>
                <w:sz w:val="18"/>
                <w:szCs w:val="18"/>
              </w:rPr>
            </w:pPr>
            <w:r w:rsidRPr="00A867E1">
              <w:rPr>
                <w:color w:val="000000" w:themeColor="text1"/>
                <w:sz w:val="18"/>
                <w:szCs w:val="18"/>
              </w:rPr>
              <w:t xml:space="preserve">THURSDAY, APRIL 14, 2022:  WEBINAR 3:  DATA PROCESSING TECHNIQUES IN DUS EXAMINATION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color w:val="000000" w:themeColor="text1"/>
                <w:sz w:val="18"/>
                <w:szCs w:val="18"/>
              </w:rPr>
            </w:pPr>
            <w:r w:rsidRPr="00FA16C0">
              <w:rPr>
                <w:color w:val="000000" w:themeColor="text1"/>
                <w:sz w:val="18"/>
                <w:szCs w:val="18"/>
              </w:rPr>
              <w:t>Presenters / Panelists</w:t>
            </w:r>
          </w:p>
          <w:p w:rsidR="00A867E1" w:rsidRPr="00FA16C0" w:rsidRDefault="00A867E1" w:rsidP="00930E56">
            <w:pPr>
              <w:spacing w:line="276" w:lineRule="auto"/>
              <w:jc w:val="left"/>
              <w:rPr>
                <w:color w:val="000000" w:themeColor="text1"/>
                <w:sz w:val="18"/>
                <w:szCs w:val="18"/>
              </w:rPr>
            </w:pPr>
          </w:p>
        </w:tc>
      </w:tr>
      <w:tr w:rsidR="00A867E1" w:rsidRPr="00A867E1" w:rsidTr="00930E56">
        <w:trPr>
          <w:trHeight w:val="325"/>
        </w:trPr>
        <w:tc>
          <w:tcPr>
            <w:tcW w:w="6516" w:type="dxa"/>
            <w:tcBorders>
              <w:top w:val="single" w:sz="4" w:space="0" w:color="auto"/>
              <w:left w:val="single" w:sz="4" w:space="0" w:color="auto"/>
              <w:bottom w:val="single" w:sz="4" w:space="0" w:color="auto"/>
              <w:right w:val="single" w:sz="4" w:space="0" w:color="auto"/>
            </w:tcBorders>
            <w:vAlign w:val="center"/>
            <w:hideMark/>
          </w:tcPr>
          <w:p w:rsidR="00763629" w:rsidRPr="00FA16C0" w:rsidRDefault="008B59CB" w:rsidP="00930E56">
            <w:pPr>
              <w:spacing w:line="276" w:lineRule="auto"/>
              <w:ind w:left="332" w:hanging="332"/>
              <w:jc w:val="left"/>
              <w:rPr>
                <w:sz w:val="18"/>
                <w:szCs w:val="18"/>
              </w:rPr>
            </w:pPr>
            <w:r>
              <w:rPr>
                <w:i/>
                <w:sz w:val="18"/>
                <w:szCs w:val="18"/>
              </w:rPr>
              <w:t>I</w:t>
            </w:r>
            <w:r w:rsidR="00A867E1" w:rsidRPr="00A867E1">
              <w:rPr>
                <w:i/>
                <w:sz w:val="18"/>
                <w:szCs w:val="18"/>
              </w:rPr>
              <w:t>ntroductory presentations</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tabs>
                <w:tab w:val="left" w:pos="567"/>
                <w:tab w:val="left" w:pos="1134"/>
              </w:tabs>
              <w:spacing w:line="276" w:lineRule="auto"/>
              <w:ind w:left="332" w:hanging="332"/>
              <w:jc w:val="left"/>
              <w:rPr>
                <w:sz w:val="18"/>
                <w:szCs w:val="18"/>
              </w:rPr>
            </w:pPr>
            <w:r w:rsidRPr="00A867E1">
              <w:rPr>
                <w:sz w:val="18"/>
                <w:szCs w:val="18"/>
              </w:rPr>
              <w:t>a)</w:t>
            </w:r>
            <w:r w:rsidRPr="00A867E1">
              <w:rPr>
                <w:sz w:val="18"/>
                <w:szCs w:val="18"/>
              </w:rPr>
              <w:tab/>
              <w:t xml:space="preserve">Introduction to document TGP/8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sidRPr="00A867E1">
              <w:rPr>
                <w:sz w:val="18"/>
                <w:szCs w:val="18"/>
              </w:rPr>
              <w:t>Manabu Suzuki</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A867E1" w:rsidRDefault="00A867E1" w:rsidP="00930E56">
            <w:pPr>
              <w:tabs>
                <w:tab w:val="left" w:pos="567"/>
                <w:tab w:val="left" w:pos="1134"/>
              </w:tabs>
              <w:spacing w:line="276" w:lineRule="auto"/>
              <w:ind w:left="332" w:hanging="332"/>
              <w:jc w:val="left"/>
              <w:rPr>
                <w:sz w:val="18"/>
                <w:szCs w:val="18"/>
              </w:rPr>
            </w:pPr>
            <w:r w:rsidRPr="00A867E1">
              <w:rPr>
                <w:sz w:val="18"/>
                <w:szCs w:val="18"/>
              </w:rPr>
              <w:t>b)</w:t>
            </w:r>
            <w:r w:rsidRPr="00A867E1">
              <w:rPr>
                <w:sz w:val="18"/>
                <w:szCs w:val="18"/>
              </w:rPr>
              <w:tab/>
              <w:t xml:space="preserve">Combined-over-years criterion </w:t>
            </w:r>
          </w:p>
        </w:tc>
        <w:tc>
          <w:tcPr>
            <w:tcW w:w="3118" w:type="dxa"/>
            <w:tcBorders>
              <w:top w:val="single" w:sz="4" w:space="0" w:color="auto"/>
              <w:left w:val="single" w:sz="4" w:space="0" w:color="auto"/>
              <w:bottom w:val="single" w:sz="4" w:space="0" w:color="auto"/>
              <w:right w:val="single" w:sz="4" w:space="0" w:color="auto"/>
            </w:tcBorders>
          </w:tcPr>
          <w:p w:rsidR="00A867E1" w:rsidRPr="00A867E1" w:rsidRDefault="008B59CB" w:rsidP="00BE1218">
            <w:pPr>
              <w:spacing w:line="276" w:lineRule="auto"/>
              <w:jc w:val="left"/>
              <w:rPr>
                <w:sz w:val="18"/>
                <w:szCs w:val="18"/>
              </w:rPr>
            </w:pPr>
            <w:r w:rsidRPr="00A867E1">
              <w:rPr>
                <w:sz w:val="18"/>
                <w:szCs w:val="18"/>
              </w:rPr>
              <w:t>Sally Watson (GB)</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ind w:left="332" w:hanging="332"/>
              <w:jc w:val="left"/>
              <w:rPr>
                <w:spacing w:val="-2"/>
                <w:sz w:val="18"/>
                <w:szCs w:val="18"/>
              </w:rPr>
            </w:pPr>
            <w:r w:rsidRPr="00A867E1">
              <w:rPr>
                <w:sz w:val="18"/>
                <w:szCs w:val="18"/>
              </w:rPr>
              <w:t>c)</w:t>
            </w:r>
            <w:r w:rsidRPr="00A867E1">
              <w:rPr>
                <w:sz w:val="18"/>
                <w:szCs w:val="18"/>
              </w:rPr>
              <w:tab/>
              <w:t xml:space="preserve">GAIA methodology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sidRPr="00A867E1">
              <w:rPr>
                <w:sz w:val="18"/>
                <w:szCs w:val="18"/>
              </w:rPr>
              <w:t>Christelle Lavaud (FR)</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tcPr>
          <w:p w:rsidR="00A867E1" w:rsidRPr="00FA16C0" w:rsidRDefault="00A867E1" w:rsidP="00930E56">
            <w:pPr>
              <w:spacing w:line="276" w:lineRule="auto"/>
              <w:ind w:left="332" w:hanging="332"/>
              <w:jc w:val="left"/>
              <w:rPr>
                <w:sz w:val="18"/>
                <w:szCs w:val="18"/>
              </w:rPr>
            </w:pPr>
            <w:r w:rsidRPr="00A867E1">
              <w:rPr>
                <w:sz w:val="18"/>
                <w:szCs w:val="18"/>
              </w:rPr>
              <w:t>d)</w:t>
            </w:r>
            <w:r w:rsidRPr="00A867E1">
              <w:rPr>
                <w:sz w:val="18"/>
                <w:szCs w:val="18"/>
              </w:rPr>
              <w:tab/>
              <w:t xml:space="preserve">Integrating statistical methods and techniques into software </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8B59CB" w:rsidP="00BE1218">
            <w:pPr>
              <w:spacing w:line="276" w:lineRule="auto"/>
              <w:jc w:val="left"/>
              <w:rPr>
                <w:sz w:val="18"/>
                <w:szCs w:val="18"/>
              </w:rPr>
            </w:pPr>
            <w:r w:rsidRPr="00A867E1">
              <w:rPr>
                <w:sz w:val="18"/>
                <w:szCs w:val="18"/>
              </w:rPr>
              <w:t>Thomas Drobeck (DE)</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Panel discussion</w:t>
            </w:r>
          </w:p>
        </w:tc>
        <w:tc>
          <w:tcPr>
            <w:tcW w:w="3118" w:type="dxa"/>
            <w:tcBorders>
              <w:top w:val="single" w:sz="4" w:space="0" w:color="auto"/>
              <w:left w:val="single" w:sz="4" w:space="0" w:color="auto"/>
              <w:bottom w:val="single" w:sz="4" w:space="0" w:color="auto"/>
              <w:right w:val="single" w:sz="4" w:space="0" w:color="auto"/>
            </w:tcBorders>
            <w:hideMark/>
          </w:tcPr>
          <w:p w:rsidR="001B48C7" w:rsidRDefault="001B48C7"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szCs w:val="18"/>
              </w:rPr>
              <w:t>Samuel Ogola</w:t>
            </w:r>
            <w:r w:rsidR="00A867E1" w:rsidRPr="00A867E1">
              <w:rPr>
                <w:sz w:val="18"/>
                <w:szCs w:val="18"/>
              </w:rPr>
              <w:t xml:space="preserve"> (Kenya);</w:t>
            </w:r>
          </w:p>
          <w:p w:rsidR="00A867E1" w:rsidRPr="00FA16C0" w:rsidRDefault="00A867E1" w:rsidP="00BE1218">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sidRPr="00A867E1">
              <w:rPr>
                <w:sz w:val="18"/>
                <w:szCs w:val="18"/>
                <w:lang w:eastAsia="ja-JP"/>
              </w:rPr>
              <w:t>Yoshiyuki Ohno (Japan)</w:t>
            </w:r>
            <w:r w:rsidRPr="00A867E1">
              <w:rPr>
                <w:sz w:val="18"/>
                <w:szCs w:val="18"/>
              </w:rPr>
              <w:t xml:space="preserve"> </w:t>
            </w:r>
          </w:p>
        </w:tc>
      </w:tr>
      <w:tr w:rsidR="00A867E1" w:rsidRPr="00A867E1" w:rsidTr="00930E56">
        <w:tc>
          <w:tcPr>
            <w:tcW w:w="6516" w:type="dxa"/>
            <w:tcBorders>
              <w:top w:val="single" w:sz="4" w:space="0" w:color="auto"/>
              <w:left w:val="single" w:sz="4" w:space="0" w:color="auto"/>
              <w:bottom w:val="single" w:sz="4" w:space="0" w:color="auto"/>
              <w:right w:val="single" w:sz="4" w:space="0" w:color="auto"/>
            </w:tcBorders>
            <w:vAlign w:val="center"/>
            <w:hideMark/>
          </w:tcPr>
          <w:p w:rsidR="00A867E1" w:rsidRPr="00FA16C0" w:rsidRDefault="00A867E1" w:rsidP="00930E56">
            <w:pPr>
              <w:spacing w:line="276" w:lineRule="auto"/>
              <w:jc w:val="left"/>
              <w:rPr>
                <w:i/>
                <w:sz w:val="18"/>
                <w:szCs w:val="18"/>
              </w:rPr>
            </w:pPr>
            <w:r w:rsidRPr="00FA16C0">
              <w:rPr>
                <w:i/>
                <w:sz w:val="18"/>
                <w:szCs w:val="18"/>
              </w:rPr>
              <w:t>Question and answer session</w:t>
            </w:r>
          </w:p>
        </w:tc>
        <w:tc>
          <w:tcPr>
            <w:tcW w:w="3118" w:type="dxa"/>
            <w:tcBorders>
              <w:top w:val="single" w:sz="4" w:space="0" w:color="auto"/>
              <w:left w:val="single" w:sz="4" w:space="0" w:color="auto"/>
              <w:bottom w:val="single" w:sz="4" w:space="0" w:color="auto"/>
              <w:right w:val="single" w:sz="4" w:space="0" w:color="auto"/>
            </w:tcBorders>
          </w:tcPr>
          <w:p w:rsidR="00A867E1" w:rsidRPr="00FA16C0" w:rsidRDefault="00A867E1" w:rsidP="00930E56">
            <w:pPr>
              <w:spacing w:line="276" w:lineRule="auto"/>
              <w:jc w:val="left"/>
              <w:rPr>
                <w:sz w:val="18"/>
                <w:szCs w:val="18"/>
              </w:rPr>
            </w:pPr>
          </w:p>
        </w:tc>
      </w:tr>
    </w:tbl>
    <w:p w:rsidR="00FA16C0" w:rsidRPr="00FA16C0" w:rsidRDefault="00FA16C0" w:rsidP="00FA16C0">
      <w:pPr>
        <w:rPr>
          <w:rFonts w:cs="Arial"/>
        </w:rPr>
      </w:pPr>
    </w:p>
    <w:p w:rsidR="00FA16C0" w:rsidRPr="00FA16C0" w:rsidRDefault="00FA16C0" w:rsidP="00FA16C0">
      <w:pPr>
        <w:jc w:val="left"/>
        <w:rPr>
          <w:snapToGrid w:val="0"/>
        </w:rPr>
      </w:pPr>
    </w:p>
    <w:p w:rsidR="00FA16C0" w:rsidRPr="00FA16C0" w:rsidRDefault="00FA16C0" w:rsidP="00FA16C0">
      <w:pPr>
        <w:jc w:val="left"/>
        <w:rPr>
          <w:snapToGrid w:val="0"/>
        </w:rPr>
      </w:pPr>
    </w:p>
    <w:p w:rsidR="00050E16" w:rsidRPr="00C5280D" w:rsidRDefault="00FA16C0" w:rsidP="00763629">
      <w:pPr>
        <w:jc w:val="right"/>
      </w:pPr>
      <w:r w:rsidRPr="00FA16C0">
        <w:rPr>
          <w:snapToGrid w:val="0"/>
        </w:rPr>
        <w:t>[End of Annex and of document]</w:t>
      </w:r>
    </w:p>
    <w:sectPr w:rsidR="00050E16" w:rsidRPr="00C5280D"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FA16C0" w:rsidRDefault="00FA16C0" w:rsidP="00FA16C0">
      <w:pPr>
        <w:pStyle w:val="FootnoteText"/>
      </w:pPr>
      <w:r>
        <w:rPr>
          <w:rStyle w:val="FootnoteReference"/>
        </w:rPr>
        <w:footnoteRef/>
      </w:r>
      <w:r>
        <w:t xml:space="preserve"> </w:t>
      </w:r>
      <w:r>
        <w:rPr>
          <w:rFonts w:cs="Arial"/>
        </w:rPr>
        <w:t>held in Geneva from April 15 to 17, 2002</w:t>
      </w:r>
    </w:p>
  </w:footnote>
  <w:footnote w:id="3">
    <w:p w:rsidR="00FA16C0" w:rsidRDefault="00FA16C0" w:rsidP="00FA16C0">
      <w:pPr>
        <w:pStyle w:val="FootnoteText"/>
      </w:pPr>
      <w:r>
        <w:rPr>
          <w:rStyle w:val="FootnoteReference"/>
        </w:rPr>
        <w:footnoteRef/>
      </w:r>
      <w:r>
        <w:t xml:space="preserve"> </w:t>
      </w:r>
      <w:r>
        <w:rPr>
          <w:snapToGrid w:val="0"/>
        </w:rPr>
        <w:t>held in Geneva on October 28 and 29, 2019</w:t>
      </w:r>
    </w:p>
  </w:footnote>
  <w:footnote w:id="4">
    <w:p w:rsidR="00FA16C0" w:rsidRDefault="00FA16C0" w:rsidP="00FA16C0">
      <w:pPr>
        <w:pStyle w:val="FootnoteText"/>
      </w:pPr>
      <w:r>
        <w:rPr>
          <w:rStyle w:val="FootnoteReference"/>
        </w:rPr>
        <w:footnoteRef/>
      </w:r>
      <w:r>
        <w:t xml:space="preserve"> </w:t>
      </w:r>
      <w:r>
        <w:rPr>
          <w:snapToGrid w:val="0"/>
        </w:rPr>
        <w:t>held in Geneva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33" w:rsidRPr="00C5280D" w:rsidRDefault="005E3333" w:rsidP="005E3333">
    <w:pPr>
      <w:pStyle w:val="Header"/>
      <w:rPr>
        <w:rStyle w:val="PageNumber"/>
        <w:lang w:val="en-US"/>
      </w:rPr>
    </w:pPr>
    <w:r>
      <w:rPr>
        <w:rStyle w:val="PageNumber"/>
        <w:lang w:val="en-US"/>
      </w:rPr>
      <w:t>TC/58/14</w:t>
    </w:r>
  </w:p>
  <w:p w:rsidR="005E3333" w:rsidRPr="00C5280D" w:rsidRDefault="005E3333" w:rsidP="005E3333">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54CA">
      <w:rPr>
        <w:rStyle w:val="PageNumber"/>
        <w:noProof/>
        <w:lang w:val="en-US"/>
      </w:rPr>
      <w:t>3</w:t>
    </w:r>
    <w:r w:rsidRPr="00C5280D">
      <w:rPr>
        <w:rStyle w:val="PageNumber"/>
        <w:lang w:val="en-US"/>
      </w:rPr>
      <w:fldChar w:fldCharType="end"/>
    </w:r>
  </w:p>
  <w:p w:rsidR="00024CEA" w:rsidRPr="00C5280D" w:rsidRDefault="00024CE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8559E0">
      <w:rPr>
        <w:rStyle w:val="PageNumber"/>
        <w:lang w:val="en-US"/>
      </w:rPr>
      <w:t>1</w:t>
    </w:r>
    <w:r w:rsidR="00363EE5">
      <w:rPr>
        <w:rStyle w:val="PageNumber"/>
        <w:lang w:val="en-US"/>
      </w:rPr>
      <w:t>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63629">
      <w:rPr>
        <w:rStyle w:val="PageNumber"/>
        <w:noProof/>
        <w:lang w:val="en-US"/>
      </w:rPr>
      <w:t>2</w:t>
    </w:r>
    <w:r w:rsidRPr="00C5280D">
      <w:rPr>
        <w:rStyle w:val="PageNumber"/>
        <w:lang w:val="en-US"/>
      </w:rPr>
      <w:fldChar w:fldCharType="end"/>
    </w:r>
  </w:p>
  <w:p w:rsidR="0004198B" w:rsidRPr="00C5280D" w:rsidRDefault="0004198B" w:rsidP="006655D3"/>
  <w:p w:rsidR="002C3BF3" w:rsidRDefault="002C3BF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6D2DD4" w:rsidP="0004198B">
    <w:pPr>
      <w:pStyle w:val="Header"/>
      <w:rPr>
        <w:lang w:val="en-US"/>
      </w:rPr>
    </w:pPr>
    <w:r>
      <w:rPr>
        <w:lang w:val="pt-BR"/>
      </w:rPr>
      <w:t>TC</w:t>
    </w:r>
    <w:r>
      <w:rPr>
        <w:lang w:val="en-US"/>
      </w:rPr>
      <w:t>/58/14</w:t>
    </w:r>
  </w:p>
  <w:p w:rsidR="006D2DD4" w:rsidRDefault="006D2DD4" w:rsidP="0004198B">
    <w:pPr>
      <w:pStyle w:val="Header"/>
      <w:rPr>
        <w:lang w:val="en-US"/>
      </w:rPr>
    </w:pPr>
  </w:p>
  <w:p w:rsidR="006D2DD4" w:rsidRDefault="006D2DD4" w:rsidP="0004198B">
    <w:pPr>
      <w:pStyle w:val="Header"/>
      <w:rPr>
        <w:lang w:val="en-US"/>
      </w:rPr>
    </w:pPr>
    <w:r>
      <w:rPr>
        <w:lang w:val="en-US"/>
      </w:rPr>
      <w:t xml:space="preserve">ANNEX </w:t>
    </w:r>
  </w:p>
  <w:p w:rsidR="006D2DD4" w:rsidRPr="006D2DD4" w:rsidRDefault="006D2DD4"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34D0482C"/>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203F7B"/>
    <w:multiLevelType w:val="hybridMultilevel"/>
    <w:tmpl w:val="2D8CD070"/>
    <w:lvl w:ilvl="0" w:tplc="9F6A0B92">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7EAE3516"/>
    <w:multiLevelType w:val="hybridMultilevel"/>
    <w:tmpl w:val="7BB090FC"/>
    <w:lvl w:ilvl="0" w:tplc="A49C906C">
      <w:start w:val="1"/>
      <w:numFmt w:val="bullet"/>
      <w:lvlText w:val="-"/>
      <w:lvlJc w:val="left"/>
      <w:pPr>
        <w:tabs>
          <w:tab w:val="num" w:pos="2064"/>
        </w:tabs>
        <w:ind w:left="2064" w:hanging="360"/>
      </w:pPr>
      <w:rPr>
        <w:rFonts w:ascii="Courier New" w:hAnsi="Courier New" w:cs="Times New Roman" w:hint="default"/>
      </w:rPr>
    </w:lvl>
    <w:lvl w:ilvl="1" w:tplc="9F6A0B92">
      <w:start w:val="1"/>
      <w:numFmt w:val="lowerLetter"/>
      <w:lvlText w:val="(%2)"/>
      <w:lvlJc w:val="left"/>
      <w:pPr>
        <w:ind w:left="2007" w:hanging="360"/>
      </w:p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abstractNumId w:val="2"/>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24CEA"/>
    <w:rsid w:val="00030854"/>
    <w:rsid w:val="00036028"/>
    <w:rsid w:val="0004198B"/>
    <w:rsid w:val="00044642"/>
    <w:rsid w:val="000446B9"/>
    <w:rsid w:val="00047E21"/>
    <w:rsid w:val="00050E16"/>
    <w:rsid w:val="00085505"/>
    <w:rsid w:val="00093729"/>
    <w:rsid w:val="000C4E25"/>
    <w:rsid w:val="000C7021"/>
    <w:rsid w:val="000D6BBC"/>
    <w:rsid w:val="000D7780"/>
    <w:rsid w:val="000E33D9"/>
    <w:rsid w:val="000E636A"/>
    <w:rsid w:val="000F2A04"/>
    <w:rsid w:val="000F2F11"/>
    <w:rsid w:val="000F4B9B"/>
    <w:rsid w:val="00100A5F"/>
    <w:rsid w:val="00105929"/>
    <w:rsid w:val="001077C7"/>
    <w:rsid w:val="00110A56"/>
    <w:rsid w:val="00110BED"/>
    <w:rsid w:val="00110C36"/>
    <w:rsid w:val="001131D5"/>
    <w:rsid w:val="00114547"/>
    <w:rsid w:val="00141DB8"/>
    <w:rsid w:val="00144612"/>
    <w:rsid w:val="00172084"/>
    <w:rsid w:val="0017474A"/>
    <w:rsid w:val="001758C6"/>
    <w:rsid w:val="00182B99"/>
    <w:rsid w:val="00195D9C"/>
    <w:rsid w:val="001A5F28"/>
    <w:rsid w:val="001B48C7"/>
    <w:rsid w:val="001C1525"/>
    <w:rsid w:val="001C3C4E"/>
    <w:rsid w:val="001C6546"/>
    <w:rsid w:val="001D1A73"/>
    <w:rsid w:val="001F0A06"/>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C3BF3"/>
    <w:rsid w:val="002D5226"/>
    <w:rsid w:val="00305A7F"/>
    <w:rsid w:val="003152FE"/>
    <w:rsid w:val="003234AA"/>
    <w:rsid w:val="00327436"/>
    <w:rsid w:val="00344BD6"/>
    <w:rsid w:val="003450FC"/>
    <w:rsid w:val="0035528D"/>
    <w:rsid w:val="00361821"/>
    <w:rsid w:val="00361E9E"/>
    <w:rsid w:val="00363EE5"/>
    <w:rsid w:val="003753EE"/>
    <w:rsid w:val="003A0835"/>
    <w:rsid w:val="003A5AAF"/>
    <w:rsid w:val="003B5386"/>
    <w:rsid w:val="003B700A"/>
    <w:rsid w:val="003C7FBE"/>
    <w:rsid w:val="003D0839"/>
    <w:rsid w:val="003D227C"/>
    <w:rsid w:val="003D2B4D"/>
    <w:rsid w:val="003D5F5B"/>
    <w:rsid w:val="003F37F5"/>
    <w:rsid w:val="00444A88"/>
    <w:rsid w:val="00445B73"/>
    <w:rsid w:val="00474DA4"/>
    <w:rsid w:val="00476B4D"/>
    <w:rsid w:val="004805FA"/>
    <w:rsid w:val="004935D2"/>
    <w:rsid w:val="004B1215"/>
    <w:rsid w:val="004D047D"/>
    <w:rsid w:val="004E52DD"/>
    <w:rsid w:val="004F1E9E"/>
    <w:rsid w:val="004F305A"/>
    <w:rsid w:val="005007AA"/>
    <w:rsid w:val="005063E0"/>
    <w:rsid w:val="00512164"/>
    <w:rsid w:val="00520297"/>
    <w:rsid w:val="00523C64"/>
    <w:rsid w:val="00526C14"/>
    <w:rsid w:val="005338F9"/>
    <w:rsid w:val="00536929"/>
    <w:rsid w:val="0054281C"/>
    <w:rsid w:val="00544581"/>
    <w:rsid w:val="0055268D"/>
    <w:rsid w:val="00561708"/>
    <w:rsid w:val="00575DE2"/>
    <w:rsid w:val="00576BE4"/>
    <w:rsid w:val="005779DB"/>
    <w:rsid w:val="005A2A67"/>
    <w:rsid w:val="005A400A"/>
    <w:rsid w:val="005B269D"/>
    <w:rsid w:val="005D2899"/>
    <w:rsid w:val="005E3333"/>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B1F32"/>
    <w:rsid w:val="006C224E"/>
    <w:rsid w:val="006D2DD4"/>
    <w:rsid w:val="006D3B27"/>
    <w:rsid w:val="006D780A"/>
    <w:rsid w:val="00700DD6"/>
    <w:rsid w:val="0071271E"/>
    <w:rsid w:val="00732DEC"/>
    <w:rsid w:val="00735BD5"/>
    <w:rsid w:val="007451EC"/>
    <w:rsid w:val="00751613"/>
    <w:rsid w:val="00753EE9"/>
    <w:rsid w:val="007556F6"/>
    <w:rsid w:val="00760EEF"/>
    <w:rsid w:val="00763629"/>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6D7C"/>
    <w:rsid w:val="008559E0"/>
    <w:rsid w:val="00867AC1"/>
    <w:rsid w:val="008751DE"/>
    <w:rsid w:val="00890DF8"/>
    <w:rsid w:val="008A0ADE"/>
    <w:rsid w:val="008A743F"/>
    <w:rsid w:val="008B59CB"/>
    <w:rsid w:val="008C0970"/>
    <w:rsid w:val="008D0BC5"/>
    <w:rsid w:val="008D2CF7"/>
    <w:rsid w:val="00900C26"/>
    <w:rsid w:val="0090197F"/>
    <w:rsid w:val="00903264"/>
    <w:rsid w:val="00906DDC"/>
    <w:rsid w:val="00930E56"/>
    <w:rsid w:val="00933C4A"/>
    <w:rsid w:val="00934E09"/>
    <w:rsid w:val="00936253"/>
    <w:rsid w:val="00940D46"/>
    <w:rsid w:val="009413F1"/>
    <w:rsid w:val="0095090F"/>
    <w:rsid w:val="00952DD4"/>
    <w:rsid w:val="009561F4"/>
    <w:rsid w:val="00965AE7"/>
    <w:rsid w:val="009704EF"/>
    <w:rsid w:val="00970FED"/>
    <w:rsid w:val="00985E41"/>
    <w:rsid w:val="00992D82"/>
    <w:rsid w:val="00997029"/>
    <w:rsid w:val="009A294A"/>
    <w:rsid w:val="009A7339"/>
    <w:rsid w:val="009B440E"/>
    <w:rsid w:val="009D690D"/>
    <w:rsid w:val="009D7D58"/>
    <w:rsid w:val="009E65B6"/>
    <w:rsid w:val="009F0A51"/>
    <w:rsid w:val="009F0B7F"/>
    <w:rsid w:val="009F5ED5"/>
    <w:rsid w:val="009F77CF"/>
    <w:rsid w:val="00A12795"/>
    <w:rsid w:val="00A2054A"/>
    <w:rsid w:val="00A24C10"/>
    <w:rsid w:val="00A42AC3"/>
    <w:rsid w:val="00A430CF"/>
    <w:rsid w:val="00A54309"/>
    <w:rsid w:val="00A5499F"/>
    <w:rsid w:val="00A55168"/>
    <w:rsid w:val="00A610A9"/>
    <w:rsid w:val="00A66B7E"/>
    <w:rsid w:val="00A80F2A"/>
    <w:rsid w:val="00A83F4B"/>
    <w:rsid w:val="00A867E1"/>
    <w:rsid w:val="00A96C33"/>
    <w:rsid w:val="00AB2B93"/>
    <w:rsid w:val="00AB530F"/>
    <w:rsid w:val="00AB7E5B"/>
    <w:rsid w:val="00AC2883"/>
    <w:rsid w:val="00AE0EF1"/>
    <w:rsid w:val="00AE2937"/>
    <w:rsid w:val="00AF1838"/>
    <w:rsid w:val="00B07301"/>
    <w:rsid w:val="00B11F3E"/>
    <w:rsid w:val="00B16F2C"/>
    <w:rsid w:val="00B224DE"/>
    <w:rsid w:val="00B324D4"/>
    <w:rsid w:val="00B33E7F"/>
    <w:rsid w:val="00B46575"/>
    <w:rsid w:val="00B61777"/>
    <w:rsid w:val="00B622E6"/>
    <w:rsid w:val="00B83E82"/>
    <w:rsid w:val="00B84BBD"/>
    <w:rsid w:val="00B91195"/>
    <w:rsid w:val="00BA43FB"/>
    <w:rsid w:val="00BC127D"/>
    <w:rsid w:val="00BC1FE6"/>
    <w:rsid w:val="00BD42F5"/>
    <w:rsid w:val="00BE1218"/>
    <w:rsid w:val="00C061B6"/>
    <w:rsid w:val="00C2446C"/>
    <w:rsid w:val="00C36AE5"/>
    <w:rsid w:val="00C41F17"/>
    <w:rsid w:val="00C45098"/>
    <w:rsid w:val="00C527FA"/>
    <w:rsid w:val="00C5280D"/>
    <w:rsid w:val="00C53EB3"/>
    <w:rsid w:val="00C5791C"/>
    <w:rsid w:val="00C65F79"/>
    <w:rsid w:val="00C66290"/>
    <w:rsid w:val="00C72B7A"/>
    <w:rsid w:val="00C973F2"/>
    <w:rsid w:val="00CA304C"/>
    <w:rsid w:val="00CA774A"/>
    <w:rsid w:val="00CB4921"/>
    <w:rsid w:val="00CC11B0"/>
    <w:rsid w:val="00CC2841"/>
    <w:rsid w:val="00CE73C4"/>
    <w:rsid w:val="00CF1330"/>
    <w:rsid w:val="00CF54CA"/>
    <w:rsid w:val="00CF7E36"/>
    <w:rsid w:val="00D06899"/>
    <w:rsid w:val="00D3708D"/>
    <w:rsid w:val="00D40426"/>
    <w:rsid w:val="00D57C96"/>
    <w:rsid w:val="00D57D18"/>
    <w:rsid w:val="00D70E65"/>
    <w:rsid w:val="00D91203"/>
    <w:rsid w:val="00D95174"/>
    <w:rsid w:val="00DA0F85"/>
    <w:rsid w:val="00DA4973"/>
    <w:rsid w:val="00DA6F36"/>
    <w:rsid w:val="00DB2B55"/>
    <w:rsid w:val="00DB596E"/>
    <w:rsid w:val="00DB7773"/>
    <w:rsid w:val="00DC00EA"/>
    <w:rsid w:val="00DC3802"/>
    <w:rsid w:val="00DD1482"/>
    <w:rsid w:val="00DD6208"/>
    <w:rsid w:val="00DE4FFE"/>
    <w:rsid w:val="00DF7E99"/>
    <w:rsid w:val="00E07D87"/>
    <w:rsid w:val="00E1439D"/>
    <w:rsid w:val="00E17AF3"/>
    <w:rsid w:val="00E249C8"/>
    <w:rsid w:val="00E32F7E"/>
    <w:rsid w:val="00E36F6B"/>
    <w:rsid w:val="00E37783"/>
    <w:rsid w:val="00E5267B"/>
    <w:rsid w:val="00E559F0"/>
    <w:rsid w:val="00E63C0E"/>
    <w:rsid w:val="00E7232A"/>
    <w:rsid w:val="00E72D49"/>
    <w:rsid w:val="00E7593C"/>
    <w:rsid w:val="00E7678A"/>
    <w:rsid w:val="00E77591"/>
    <w:rsid w:val="00E935F1"/>
    <w:rsid w:val="00E94A81"/>
    <w:rsid w:val="00EA1FFB"/>
    <w:rsid w:val="00EB048E"/>
    <w:rsid w:val="00EB4E9C"/>
    <w:rsid w:val="00EC634B"/>
    <w:rsid w:val="00EC7EAC"/>
    <w:rsid w:val="00ED69CF"/>
    <w:rsid w:val="00ED77EF"/>
    <w:rsid w:val="00EE34DF"/>
    <w:rsid w:val="00EF2F89"/>
    <w:rsid w:val="00F03E98"/>
    <w:rsid w:val="00F1237A"/>
    <w:rsid w:val="00F22CBD"/>
    <w:rsid w:val="00F272F1"/>
    <w:rsid w:val="00F31412"/>
    <w:rsid w:val="00F401C6"/>
    <w:rsid w:val="00F45372"/>
    <w:rsid w:val="00F560F7"/>
    <w:rsid w:val="00F6334D"/>
    <w:rsid w:val="00F63599"/>
    <w:rsid w:val="00F71781"/>
    <w:rsid w:val="00F73644"/>
    <w:rsid w:val="00FA16C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EC7EAC"/>
    <w:pPr>
      <w:keepNext/>
      <w:jc w:val="both"/>
      <w:outlineLvl w:val="1"/>
    </w:pPr>
    <w:rPr>
      <w:rFonts w:ascii="Arial" w:hAnsi="Arial" w:cs="Arial"/>
      <w:i/>
      <w:sz w:val="18"/>
      <w:szCs w:val="18"/>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E73C4"/>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E73C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FA16C0"/>
    <w:rPr>
      <w:rFonts w:ascii="Arial" w:hAnsi="Arial"/>
      <w:sz w:val="16"/>
    </w:rPr>
  </w:style>
  <w:style w:type="table" w:styleId="TableGrid">
    <w:name w:val="Table Grid"/>
    <w:basedOn w:val="TableNormal"/>
    <w:rsid w:val="00FA16C0"/>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EC7EAC"/>
    <w:rPr>
      <w:rFonts w:ascii="Arial" w:hAnsi="Arial" w:cs="Arial"/>
      <w:i/>
      <w:sz w:val="18"/>
      <w:szCs w:val="18"/>
    </w:rPr>
  </w:style>
  <w:style w:type="paragraph" w:styleId="ListParagraph">
    <w:name w:val="List Paragraph"/>
    <w:basedOn w:val="Normal"/>
    <w:uiPriority w:val="34"/>
    <w:qFormat/>
    <w:rsid w:val="003B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731805">
      <w:bodyDiv w:val="1"/>
      <w:marLeft w:val="0"/>
      <w:marRight w:val="0"/>
      <w:marTop w:val="0"/>
      <w:marBottom w:val="0"/>
      <w:divBdr>
        <w:top w:val="none" w:sz="0" w:space="0" w:color="auto"/>
        <w:left w:val="none" w:sz="0" w:space="0" w:color="auto"/>
        <w:bottom w:val="none" w:sz="0" w:space="0" w:color="auto"/>
        <w:right w:val="none" w:sz="0" w:space="0" w:color="auto"/>
      </w:divBdr>
    </w:div>
    <w:div w:id="92276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A2318-5067-49AA-AD2D-3712B75A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4</Pages>
  <Words>1191</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creator>MAY Jessica</dc:creator>
  <cp:lastModifiedBy>MAY Jessica</cp:lastModifiedBy>
  <cp:revision>40</cp:revision>
  <cp:lastPrinted>2016-11-22T15:41:00Z</cp:lastPrinted>
  <dcterms:created xsi:type="dcterms:W3CDTF">2022-04-28T09:33:00Z</dcterms:created>
  <dcterms:modified xsi:type="dcterms:W3CDTF">2022-10-06T08:30:00Z</dcterms:modified>
</cp:coreProperties>
</file>