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rsidTr="007A4FDD">
        <w:tc>
          <w:tcPr>
            <w:tcW w:w="6512" w:type="dxa"/>
          </w:tcPr>
          <w:p w:rsidR="003D0839" w:rsidRPr="00AC2883" w:rsidRDefault="003D0839" w:rsidP="007A4FDD">
            <w:pPr>
              <w:pStyle w:val="Sessiontc"/>
              <w:spacing w:line="240" w:lineRule="auto"/>
            </w:pPr>
            <w:r w:rsidRPr="00DA4973">
              <w:t>Technical Committee</w:t>
            </w:r>
          </w:p>
          <w:p w:rsidR="003D0839" w:rsidRPr="00DC3802" w:rsidRDefault="003D0839" w:rsidP="007A4FDD">
            <w:pPr>
              <w:pStyle w:val="Sessiontcplacedate"/>
              <w:rPr>
                <w:sz w:val="22"/>
              </w:rPr>
            </w:pPr>
            <w:r w:rsidRPr="00DA4973">
              <w:t>Fifty-</w:t>
            </w:r>
            <w:r>
              <w:t>Eighth</w:t>
            </w:r>
            <w:r w:rsidRPr="00DA4973">
              <w:t xml:space="preserve"> Session</w:t>
            </w:r>
            <w:r w:rsidRPr="00DA4973">
              <w:br/>
              <w:t xml:space="preserve">Geneva, </w:t>
            </w:r>
            <w:r>
              <w:t>October 24 and 25, 2022</w:t>
            </w:r>
          </w:p>
        </w:tc>
        <w:tc>
          <w:tcPr>
            <w:tcW w:w="3127" w:type="dxa"/>
          </w:tcPr>
          <w:p w:rsidR="003D0839" w:rsidRPr="003C7FBE" w:rsidRDefault="003D0839" w:rsidP="007A4FDD">
            <w:pPr>
              <w:pStyle w:val="Doccode"/>
            </w:pPr>
            <w:r>
              <w:t>TC/58</w:t>
            </w:r>
            <w:r w:rsidRPr="00AC2883">
              <w:t>/</w:t>
            </w:r>
            <w:r w:rsidR="008559E0">
              <w:t>1</w:t>
            </w:r>
            <w:r w:rsidR="00561708">
              <w:t>2</w:t>
            </w:r>
          </w:p>
          <w:p w:rsidR="003D0839" w:rsidRPr="003C7FBE" w:rsidRDefault="003D0839" w:rsidP="007A4FDD">
            <w:pPr>
              <w:pStyle w:val="Docoriginal"/>
            </w:pPr>
            <w:r w:rsidRPr="00AC2883">
              <w:t>Original:</w:t>
            </w:r>
            <w:r w:rsidRPr="000E636A">
              <w:rPr>
                <w:b w:val="0"/>
                <w:spacing w:val="0"/>
              </w:rPr>
              <w:t xml:space="preserve">  English</w:t>
            </w:r>
          </w:p>
          <w:p w:rsidR="003D0839" w:rsidRPr="007C1D92" w:rsidRDefault="003D0839" w:rsidP="00A718F4">
            <w:pPr>
              <w:pStyle w:val="Docoriginal"/>
            </w:pPr>
            <w:r w:rsidRPr="00AC2883">
              <w:t>Date:</w:t>
            </w:r>
            <w:r>
              <w:rPr>
                <w:b w:val="0"/>
                <w:spacing w:val="0"/>
              </w:rPr>
              <w:t xml:space="preserve">  </w:t>
            </w:r>
            <w:bookmarkStart w:id="0" w:name="_GoBack"/>
            <w:bookmarkEnd w:id="0"/>
            <w:r w:rsidR="005D6F14" w:rsidRPr="00D059DC">
              <w:rPr>
                <w:b w:val="0"/>
                <w:spacing w:val="0"/>
              </w:rPr>
              <w:t xml:space="preserve">October </w:t>
            </w:r>
            <w:r w:rsidR="00A718F4" w:rsidRPr="00D059DC">
              <w:rPr>
                <w:b w:val="0"/>
                <w:spacing w:val="0"/>
              </w:rPr>
              <w:t>6</w:t>
            </w:r>
            <w:r w:rsidRPr="00D059DC">
              <w:rPr>
                <w:b w:val="0"/>
                <w:spacing w:val="0"/>
              </w:rPr>
              <w:t>, 2022</w:t>
            </w:r>
          </w:p>
        </w:tc>
      </w:tr>
    </w:tbl>
    <w:p w:rsidR="003D0839" w:rsidRPr="006A644A" w:rsidRDefault="00561708" w:rsidP="003D0839">
      <w:pPr>
        <w:pStyle w:val="Titleofdoc0"/>
      </w:pPr>
      <w:r w:rsidRPr="00561708">
        <w:t>Variety description databases</w:t>
      </w:r>
    </w:p>
    <w:p w:rsidR="003D0839" w:rsidRPr="006A644A" w:rsidRDefault="003D0839" w:rsidP="003D0839">
      <w:pPr>
        <w:pStyle w:val="preparedby1"/>
        <w:jc w:val="left"/>
      </w:pPr>
      <w:r w:rsidRPr="000C4E25">
        <w:t>Document prepared by the Office of the Union</w:t>
      </w:r>
    </w:p>
    <w:p w:rsidR="003D0839" w:rsidRPr="006A644A" w:rsidRDefault="003D0839" w:rsidP="003D0839">
      <w:pPr>
        <w:pStyle w:val="Disclaimer"/>
      </w:pPr>
      <w:r w:rsidRPr="006A644A">
        <w:t>Disclaimer:  this document does not represent UPOV policies or guidance</w:t>
      </w:r>
    </w:p>
    <w:p w:rsidR="00EB4232" w:rsidRPr="00E55054" w:rsidRDefault="00EB4232" w:rsidP="00EB4232">
      <w:pPr>
        <w:keepNext/>
        <w:outlineLvl w:val="0"/>
        <w:rPr>
          <w:caps/>
          <w:snapToGrid w:val="0"/>
          <w:lang w:val="en-GB"/>
        </w:rPr>
      </w:pPr>
      <w:bookmarkStart w:id="1" w:name="_Toc115825470"/>
      <w:r w:rsidRPr="00E55054">
        <w:rPr>
          <w:caps/>
          <w:snapToGrid w:val="0"/>
          <w:lang w:val="en-GB"/>
        </w:rPr>
        <w:t>EXECUTIVE SUMMARY</w:t>
      </w:r>
      <w:bookmarkEnd w:id="1"/>
    </w:p>
    <w:p w:rsidR="00EB4232" w:rsidRPr="00E55054" w:rsidRDefault="00EB4232" w:rsidP="00EB4232">
      <w:pPr>
        <w:rPr>
          <w:snapToGrid w:val="0"/>
          <w:lang w:val="en-GB"/>
        </w:rPr>
      </w:pPr>
    </w:p>
    <w:p w:rsidR="00EB4232" w:rsidRDefault="00EB4232" w:rsidP="00EB4232">
      <w:pPr>
        <w:rPr>
          <w:lang w:val="en-GB"/>
        </w:rPr>
      </w:pPr>
      <w:r w:rsidRPr="00E55054">
        <w:rPr>
          <w:snapToGrid w:val="0"/>
          <w:lang w:val="en-GB"/>
        </w:rPr>
        <w:fldChar w:fldCharType="begin"/>
      </w:r>
      <w:r w:rsidRPr="00E55054">
        <w:rPr>
          <w:snapToGrid w:val="0"/>
          <w:lang w:val="en-GB"/>
        </w:rPr>
        <w:instrText xml:space="preserve"> AUTONUM  </w:instrText>
      </w:r>
      <w:r w:rsidRPr="00E55054">
        <w:rPr>
          <w:snapToGrid w:val="0"/>
          <w:lang w:val="en-GB"/>
        </w:rPr>
        <w:fldChar w:fldCharType="end"/>
      </w:r>
      <w:r w:rsidRPr="00E55054">
        <w:rPr>
          <w:snapToGrid w:val="0"/>
          <w:lang w:val="en-GB"/>
        </w:rPr>
        <w:tab/>
        <w:t xml:space="preserve">The purpose of this document is to report on developments concerning variety description databases and invite members of the Union </w:t>
      </w:r>
      <w:r w:rsidRPr="00E55054">
        <w:rPr>
          <w:lang w:val="en-GB"/>
        </w:rPr>
        <w:t>to report on work concerning the development of databases containing morphological and/or molecular data.</w:t>
      </w:r>
    </w:p>
    <w:p w:rsidR="00EB4232" w:rsidRDefault="00EB4232" w:rsidP="00EB4232">
      <w:pPr>
        <w:rPr>
          <w:lang w:val="en-GB"/>
        </w:rPr>
      </w:pPr>
    </w:p>
    <w:p w:rsidR="00EB4232" w:rsidRPr="00AC777B" w:rsidRDefault="00EB4232" w:rsidP="00EB4232">
      <w:r w:rsidRPr="00E41D7D">
        <w:rPr>
          <w:lang w:val="en-GB"/>
        </w:rPr>
        <w:fldChar w:fldCharType="begin"/>
      </w:r>
      <w:r w:rsidRPr="00E41D7D">
        <w:rPr>
          <w:lang w:val="en-GB"/>
        </w:rPr>
        <w:instrText xml:space="preserve"> AUTONUM  </w:instrText>
      </w:r>
      <w:r w:rsidRPr="00E41D7D">
        <w:rPr>
          <w:lang w:val="en-GB"/>
        </w:rPr>
        <w:fldChar w:fldCharType="end"/>
      </w:r>
      <w:r w:rsidRPr="00E41D7D">
        <w:rPr>
          <w:lang w:val="en-GB"/>
        </w:rPr>
        <w:tab/>
        <w:t xml:space="preserve">Matters concerning the development of a platform for UPOV member databases containing variety description information </w:t>
      </w:r>
      <w:proofErr w:type="gramStart"/>
      <w:r w:rsidRPr="00E41D7D">
        <w:rPr>
          <w:lang w:val="en-GB"/>
        </w:rPr>
        <w:t>are presented</w:t>
      </w:r>
      <w:proofErr w:type="gramEnd"/>
      <w:r w:rsidRPr="00E41D7D">
        <w:rPr>
          <w:lang w:val="en-GB"/>
        </w:rPr>
        <w:t xml:space="preserve"> in document </w:t>
      </w:r>
      <w:r w:rsidR="00F54964">
        <w:rPr>
          <w:lang w:val="en-GB"/>
        </w:rPr>
        <w:t>TC/58/8</w:t>
      </w:r>
      <w:r w:rsidRPr="00E41D7D">
        <w:rPr>
          <w:lang w:val="en-GB"/>
        </w:rPr>
        <w:t xml:space="preserve"> “Cooperation in Examination”.</w:t>
      </w:r>
    </w:p>
    <w:p w:rsidR="003D0878" w:rsidRDefault="003D0878" w:rsidP="003D0878"/>
    <w:p w:rsidR="003D0878" w:rsidRPr="003D0878" w:rsidRDefault="003D0878" w:rsidP="003D0878">
      <w:pPr>
        <w:tabs>
          <w:tab w:val="left" w:pos="567"/>
          <w:tab w:val="left" w:pos="1134"/>
          <w:tab w:val="left" w:pos="5387"/>
        </w:tabs>
        <w:rPr>
          <w:lang w:val="en-GB"/>
        </w:rPr>
      </w:pPr>
      <w:r w:rsidRPr="003D0878">
        <w:rPr>
          <w:lang w:val="en-GB"/>
        </w:rPr>
        <w:fldChar w:fldCharType="begin"/>
      </w:r>
      <w:r w:rsidRPr="003D0878">
        <w:rPr>
          <w:lang w:val="en-GB"/>
        </w:rPr>
        <w:instrText xml:space="preserve"> AUTONUM  </w:instrText>
      </w:r>
      <w:r w:rsidRPr="003D0878">
        <w:rPr>
          <w:lang w:val="en-GB"/>
        </w:rPr>
        <w:fldChar w:fldCharType="end"/>
      </w:r>
      <w:r w:rsidRPr="003D0878">
        <w:rPr>
          <w:lang w:val="en-GB"/>
        </w:rPr>
        <w:tab/>
        <w:t xml:space="preserve">The TC </w:t>
      </w:r>
      <w:proofErr w:type="gramStart"/>
      <w:r w:rsidRPr="003D0878">
        <w:rPr>
          <w:lang w:val="en-GB"/>
        </w:rPr>
        <w:t>is invited</w:t>
      </w:r>
      <w:proofErr w:type="gramEnd"/>
      <w:r w:rsidRPr="003D0878">
        <w:rPr>
          <w:lang w:val="en-GB"/>
        </w:rPr>
        <w:t xml:space="preserve"> to:</w:t>
      </w:r>
    </w:p>
    <w:p w:rsidR="003D0878" w:rsidRPr="003D0878" w:rsidRDefault="003D0878" w:rsidP="003D0878">
      <w:pPr>
        <w:tabs>
          <w:tab w:val="left" w:pos="567"/>
          <w:tab w:val="left" w:pos="1134"/>
          <w:tab w:val="left" w:pos="5387"/>
        </w:tabs>
        <w:rPr>
          <w:lang w:val="en-GB"/>
        </w:rPr>
      </w:pPr>
    </w:p>
    <w:p w:rsidR="003D0878" w:rsidRPr="003D0878" w:rsidRDefault="003D0878" w:rsidP="003D0878">
      <w:pPr>
        <w:tabs>
          <w:tab w:val="left" w:pos="567"/>
          <w:tab w:val="left" w:pos="1134"/>
          <w:tab w:val="left" w:pos="5387"/>
          <w:tab w:val="left" w:pos="5954"/>
        </w:tabs>
        <w:rPr>
          <w:snapToGrid w:val="0"/>
          <w:szCs w:val="24"/>
          <w:lang w:val="en-GB"/>
        </w:rPr>
      </w:pPr>
      <w:r w:rsidRPr="003D0878">
        <w:rPr>
          <w:lang w:val="en-GB"/>
        </w:rPr>
        <w:tab/>
        <w:t>(a)</w:t>
      </w:r>
      <w:r w:rsidRPr="003D0878">
        <w:rPr>
          <w:lang w:val="en-GB"/>
        </w:rPr>
        <w:tab/>
      </w:r>
      <w:proofErr w:type="gramStart"/>
      <w:r w:rsidRPr="003D0878">
        <w:rPr>
          <w:lang w:val="en-GB"/>
        </w:rPr>
        <w:t>consider</w:t>
      </w:r>
      <w:proofErr w:type="gramEnd"/>
      <w:r w:rsidRPr="003D0878">
        <w:rPr>
          <w:lang w:val="en-GB"/>
        </w:rPr>
        <w:t xml:space="preserve"> whether to invite the Office of the Union explore possibilities to make information about webpages with variety descriptions available on the UPOV website; and </w:t>
      </w:r>
    </w:p>
    <w:p w:rsidR="003D0878" w:rsidRPr="003D0878" w:rsidRDefault="003D0878" w:rsidP="003D0878">
      <w:pPr>
        <w:tabs>
          <w:tab w:val="left" w:pos="567"/>
          <w:tab w:val="left" w:pos="1134"/>
          <w:tab w:val="left" w:pos="5387"/>
        </w:tabs>
        <w:rPr>
          <w:snapToGrid w:val="0"/>
          <w:szCs w:val="24"/>
          <w:lang w:val="en-GB"/>
        </w:rPr>
      </w:pPr>
    </w:p>
    <w:p w:rsidR="003D0878" w:rsidRPr="003D0878" w:rsidRDefault="003D0878" w:rsidP="003D0878">
      <w:pPr>
        <w:keepNext/>
        <w:keepLines/>
        <w:tabs>
          <w:tab w:val="left" w:pos="567"/>
          <w:tab w:val="left" w:pos="1134"/>
          <w:tab w:val="left" w:pos="5387"/>
          <w:tab w:val="left" w:pos="5954"/>
        </w:tabs>
        <w:rPr>
          <w:snapToGrid w:val="0"/>
          <w:szCs w:val="24"/>
          <w:lang w:val="en-GB"/>
        </w:rPr>
      </w:pPr>
      <w:r w:rsidRPr="003D0878">
        <w:rPr>
          <w:snapToGrid w:val="0"/>
          <w:szCs w:val="24"/>
          <w:lang w:val="en-GB"/>
        </w:rPr>
        <w:tab/>
        <w:t>(b)</w:t>
      </w:r>
      <w:r w:rsidRPr="003D0878">
        <w:rPr>
          <w:snapToGrid w:val="0"/>
          <w:szCs w:val="24"/>
          <w:lang w:val="en-GB"/>
        </w:rPr>
        <w:tab/>
      </w:r>
      <w:proofErr w:type="gramStart"/>
      <w:r w:rsidRPr="003D0878">
        <w:rPr>
          <w:snapToGrid w:val="0"/>
          <w:szCs w:val="24"/>
          <w:lang w:val="en-GB"/>
        </w:rPr>
        <w:t>recall</w:t>
      </w:r>
      <w:proofErr w:type="gramEnd"/>
      <w:r w:rsidRPr="003D0878">
        <w:rPr>
          <w:snapToGrid w:val="0"/>
          <w:szCs w:val="24"/>
          <w:lang w:val="en-GB"/>
        </w:rPr>
        <w:t xml:space="preserve"> the invitation for members of the Union to report to the TC and TWPs on work concerning the development of databases containing morphological and/or molecular data.</w:t>
      </w:r>
    </w:p>
    <w:p w:rsidR="00EB4232" w:rsidRDefault="00EB4232" w:rsidP="00EB4232">
      <w:pPr>
        <w:rPr>
          <w:lang w:val="en-GB"/>
        </w:rPr>
      </w:pPr>
    </w:p>
    <w:p w:rsidR="00EB4232" w:rsidRPr="00E55054" w:rsidRDefault="00EB4232" w:rsidP="00EB4232">
      <w:pPr>
        <w:rPr>
          <w:lang w:val="en-GB"/>
        </w:rPr>
      </w:pPr>
      <w:r w:rsidRPr="00E55054">
        <w:rPr>
          <w:lang w:val="en-GB"/>
        </w:rPr>
        <w:fldChar w:fldCharType="begin"/>
      </w:r>
      <w:r w:rsidRPr="00E55054">
        <w:rPr>
          <w:lang w:val="en-GB"/>
        </w:rPr>
        <w:instrText xml:space="preserve"> AUTONUM  </w:instrText>
      </w:r>
      <w:r w:rsidRPr="00E55054">
        <w:rPr>
          <w:lang w:val="en-GB"/>
        </w:rPr>
        <w:fldChar w:fldCharType="end"/>
      </w:r>
      <w:r w:rsidRPr="00E55054">
        <w:rPr>
          <w:lang w:val="en-GB"/>
        </w:rPr>
        <w:tab/>
        <w:t xml:space="preserve">The following abbreviations </w:t>
      </w:r>
      <w:proofErr w:type="gramStart"/>
      <w:r w:rsidRPr="00E55054">
        <w:rPr>
          <w:lang w:val="en-GB"/>
        </w:rPr>
        <w:t>are used</w:t>
      </w:r>
      <w:proofErr w:type="gramEnd"/>
      <w:r w:rsidRPr="00E55054">
        <w:rPr>
          <w:lang w:val="en-GB"/>
        </w:rPr>
        <w:t xml:space="preserve"> in this document:</w:t>
      </w:r>
    </w:p>
    <w:p w:rsidR="00EB4232" w:rsidRPr="00E55054" w:rsidRDefault="00EB4232" w:rsidP="00EB4232">
      <w:pPr>
        <w:rPr>
          <w:lang w:val="en-GB"/>
        </w:rPr>
      </w:pPr>
    </w:p>
    <w:p w:rsidR="00EB4232" w:rsidRPr="00E55054" w:rsidRDefault="00EB4232" w:rsidP="00EB4232">
      <w:pPr>
        <w:rPr>
          <w:lang w:val="en-GB"/>
        </w:rPr>
      </w:pPr>
      <w:r w:rsidRPr="00E55054">
        <w:rPr>
          <w:lang w:val="en-GB"/>
        </w:rPr>
        <w:t>BMT:</w:t>
      </w:r>
      <w:r w:rsidRPr="00E55054">
        <w:rPr>
          <w:lang w:val="en-GB"/>
        </w:rPr>
        <w:tab/>
      </w:r>
      <w:r w:rsidRPr="00E55054">
        <w:rPr>
          <w:lang w:val="en-GB"/>
        </w:rPr>
        <w:tab/>
        <w:t>Working Group on Biochemical and Molecular Techniques, and DNA-Profiling in Particular</w:t>
      </w:r>
    </w:p>
    <w:p w:rsidR="00EB4232" w:rsidRPr="00E55054" w:rsidRDefault="00EB4232" w:rsidP="00EB4232">
      <w:pPr>
        <w:rPr>
          <w:lang w:val="en-GB"/>
        </w:rPr>
      </w:pPr>
      <w:r w:rsidRPr="00E55054">
        <w:rPr>
          <w:lang w:val="en-GB"/>
        </w:rPr>
        <w:t xml:space="preserve">TC:  </w:t>
      </w:r>
      <w:r w:rsidRPr="00E55054">
        <w:rPr>
          <w:lang w:val="en-GB"/>
        </w:rPr>
        <w:tab/>
      </w:r>
      <w:r w:rsidRPr="00E55054">
        <w:rPr>
          <w:lang w:val="en-GB"/>
        </w:rPr>
        <w:tab/>
        <w:t>Technical Committee</w:t>
      </w:r>
    </w:p>
    <w:p w:rsidR="00EB4232" w:rsidRPr="00E55054" w:rsidRDefault="00EB4232" w:rsidP="00EB4232">
      <w:pPr>
        <w:rPr>
          <w:lang w:val="en-GB"/>
        </w:rPr>
      </w:pPr>
      <w:r w:rsidRPr="00E55054">
        <w:rPr>
          <w:lang w:val="en-GB"/>
        </w:rPr>
        <w:t xml:space="preserve">TC-EDC:  </w:t>
      </w:r>
      <w:r w:rsidRPr="00E55054">
        <w:rPr>
          <w:lang w:val="en-GB"/>
        </w:rPr>
        <w:tab/>
        <w:t>Enlarged Editorial Committee</w:t>
      </w:r>
    </w:p>
    <w:p w:rsidR="00EB4232" w:rsidRPr="00E55054" w:rsidRDefault="00EB4232" w:rsidP="00EB4232">
      <w:pPr>
        <w:rPr>
          <w:lang w:val="en-GB"/>
        </w:rPr>
      </w:pPr>
      <w:r w:rsidRPr="00E55054">
        <w:rPr>
          <w:lang w:val="en-GB"/>
        </w:rPr>
        <w:t xml:space="preserve">TWA:  </w:t>
      </w:r>
      <w:r w:rsidRPr="00E55054">
        <w:rPr>
          <w:lang w:val="en-GB"/>
        </w:rPr>
        <w:tab/>
        <w:t>Technical Working Party for Agricultural Crops</w:t>
      </w:r>
    </w:p>
    <w:p w:rsidR="00EB4232" w:rsidRPr="00E55054" w:rsidRDefault="00EB4232" w:rsidP="00EB4232">
      <w:pPr>
        <w:rPr>
          <w:lang w:val="en-GB"/>
        </w:rPr>
      </w:pPr>
      <w:r w:rsidRPr="00E55054">
        <w:rPr>
          <w:lang w:val="en-GB"/>
        </w:rPr>
        <w:t xml:space="preserve">TWC:  </w:t>
      </w:r>
      <w:r w:rsidRPr="00E55054">
        <w:rPr>
          <w:lang w:val="en-GB"/>
        </w:rPr>
        <w:tab/>
        <w:t>Technical Working Party on Automation and Computer Programs</w:t>
      </w:r>
    </w:p>
    <w:p w:rsidR="00EB4232" w:rsidRDefault="00EB4232" w:rsidP="00EB4232">
      <w:pPr>
        <w:rPr>
          <w:lang w:val="en-GB"/>
        </w:rPr>
      </w:pPr>
      <w:r w:rsidRPr="00E55054">
        <w:rPr>
          <w:lang w:val="en-GB"/>
        </w:rPr>
        <w:t xml:space="preserve">TWF:  </w:t>
      </w:r>
      <w:r w:rsidRPr="00E55054">
        <w:rPr>
          <w:lang w:val="en-GB"/>
        </w:rPr>
        <w:tab/>
        <w:t xml:space="preserve">Technical Working Party for Fruit Crops </w:t>
      </w:r>
    </w:p>
    <w:p w:rsidR="00EB4232" w:rsidRPr="00775E9B" w:rsidRDefault="00EB4232" w:rsidP="00EB4232">
      <w:r>
        <w:rPr>
          <w:lang w:val="en-GB"/>
        </w:rPr>
        <w:t>TWM:</w:t>
      </w:r>
      <w:r>
        <w:rPr>
          <w:lang w:val="en-GB"/>
        </w:rPr>
        <w:tab/>
      </w:r>
      <w:r>
        <w:rPr>
          <w:lang w:val="en-GB"/>
        </w:rPr>
        <w:tab/>
        <w:t>Technical Working Party on Testing Methods and Techniques</w:t>
      </w:r>
    </w:p>
    <w:p w:rsidR="00EB4232" w:rsidRPr="00E55054" w:rsidRDefault="00EB4232" w:rsidP="00EB4232">
      <w:pPr>
        <w:rPr>
          <w:lang w:val="en-GB"/>
        </w:rPr>
      </w:pPr>
      <w:r w:rsidRPr="00E55054">
        <w:rPr>
          <w:lang w:val="en-GB"/>
        </w:rPr>
        <w:t xml:space="preserve">TWO:  </w:t>
      </w:r>
      <w:r w:rsidRPr="00E55054">
        <w:rPr>
          <w:lang w:val="en-GB"/>
        </w:rPr>
        <w:tab/>
        <w:t xml:space="preserve">Technical Working Party for Ornamental Plants and Forest Trees </w:t>
      </w:r>
    </w:p>
    <w:p w:rsidR="00EB4232" w:rsidRPr="00E55054" w:rsidRDefault="00EB4232" w:rsidP="00EB4232">
      <w:pPr>
        <w:rPr>
          <w:lang w:val="en-GB"/>
        </w:rPr>
      </w:pPr>
      <w:r w:rsidRPr="00E55054">
        <w:rPr>
          <w:lang w:val="en-GB"/>
        </w:rPr>
        <w:t xml:space="preserve">TWV:  </w:t>
      </w:r>
      <w:r w:rsidRPr="00E55054">
        <w:rPr>
          <w:lang w:val="en-GB"/>
        </w:rPr>
        <w:tab/>
        <w:t>Technical Working Party for Vegetables</w:t>
      </w:r>
    </w:p>
    <w:p w:rsidR="00EB4232" w:rsidRPr="00E55054" w:rsidRDefault="00EB4232" w:rsidP="00EB4232">
      <w:pPr>
        <w:rPr>
          <w:lang w:val="en-GB"/>
        </w:rPr>
      </w:pPr>
      <w:r w:rsidRPr="00E55054">
        <w:rPr>
          <w:lang w:val="en-GB"/>
        </w:rPr>
        <w:t>TWPs:</w:t>
      </w:r>
      <w:r w:rsidRPr="00E55054">
        <w:rPr>
          <w:lang w:val="en-GB"/>
        </w:rPr>
        <w:tab/>
        <w:t>Technical Working Parties</w:t>
      </w:r>
    </w:p>
    <w:p w:rsidR="00EB4232" w:rsidRPr="00E55054" w:rsidRDefault="00EB4232" w:rsidP="00EB4232">
      <w:pPr>
        <w:rPr>
          <w:snapToGrid w:val="0"/>
          <w:lang w:val="en-GB"/>
        </w:rPr>
      </w:pPr>
    </w:p>
    <w:p w:rsidR="00EB4232" w:rsidRPr="00E55054" w:rsidRDefault="00EB4232" w:rsidP="00EB4232">
      <w:pPr>
        <w:rPr>
          <w:snapToGrid w:val="0"/>
          <w:lang w:val="en-GB"/>
        </w:rPr>
      </w:pPr>
      <w:r w:rsidRPr="00E55054">
        <w:rPr>
          <w:snapToGrid w:val="0"/>
          <w:lang w:val="en-GB"/>
        </w:rPr>
        <w:fldChar w:fldCharType="begin"/>
      </w:r>
      <w:r w:rsidRPr="00E55054">
        <w:rPr>
          <w:snapToGrid w:val="0"/>
          <w:lang w:val="en-GB"/>
        </w:rPr>
        <w:instrText xml:space="preserve"> AUTONUM  </w:instrText>
      </w:r>
      <w:r w:rsidRPr="00E55054">
        <w:rPr>
          <w:snapToGrid w:val="0"/>
          <w:lang w:val="en-GB"/>
        </w:rPr>
        <w:fldChar w:fldCharType="end"/>
      </w:r>
      <w:r w:rsidRPr="00E55054">
        <w:rPr>
          <w:snapToGrid w:val="0"/>
          <w:lang w:val="en-GB"/>
        </w:rPr>
        <w:tab/>
        <w:t>The structure of this document is as follows:</w:t>
      </w:r>
    </w:p>
    <w:p w:rsidR="003D0878" w:rsidRDefault="00EB4232" w:rsidP="00E76CDA">
      <w:pPr>
        <w:pStyle w:val="TOC1"/>
        <w:rPr>
          <w:rFonts w:asciiTheme="minorHAnsi" w:eastAsiaTheme="minorEastAsia" w:hAnsiTheme="minorHAnsi" w:cstheme="minorBidi"/>
          <w:noProof/>
          <w:sz w:val="22"/>
          <w:szCs w:val="22"/>
        </w:rPr>
      </w:pPr>
      <w:r w:rsidRPr="00E55054">
        <w:rPr>
          <w:bCs/>
          <w:noProof/>
          <w:highlight w:val="yellow"/>
          <w:lang w:val="en-GB"/>
        </w:rPr>
        <w:fldChar w:fldCharType="begin"/>
      </w:r>
      <w:r w:rsidRPr="00E55054">
        <w:rPr>
          <w:highlight w:val="yellow"/>
          <w:lang w:val="en-GB"/>
        </w:rPr>
        <w:instrText xml:space="preserve"> TOC \o "1-3" \h \z \u </w:instrText>
      </w:r>
      <w:r w:rsidRPr="00E55054">
        <w:rPr>
          <w:bCs/>
          <w:noProof/>
          <w:highlight w:val="yellow"/>
          <w:lang w:val="en-GB"/>
        </w:rPr>
        <w:fldChar w:fldCharType="separate"/>
      </w:r>
      <w:hyperlink w:anchor="_Toc115825470" w:history="1">
        <w:r w:rsidR="003D0878" w:rsidRPr="002C5F16">
          <w:rPr>
            <w:rStyle w:val="Hyperlink"/>
            <w:noProof/>
            <w:snapToGrid w:val="0"/>
            <w:lang w:val="en-GB"/>
          </w:rPr>
          <w:t>EXECUTIVE SUMMARY</w:t>
        </w:r>
        <w:r w:rsidR="003D0878">
          <w:rPr>
            <w:noProof/>
            <w:webHidden/>
          </w:rPr>
          <w:tab/>
        </w:r>
        <w:r w:rsidR="003D0878">
          <w:rPr>
            <w:noProof/>
            <w:webHidden/>
          </w:rPr>
          <w:fldChar w:fldCharType="begin"/>
        </w:r>
        <w:r w:rsidR="003D0878">
          <w:rPr>
            <w:noProof/>
            <w:webHidden/>
          </w:rPr>
          <w:instrText xml:space="preserve"> PAGEREF _Toc115825470 \h </w:instrText>
        </w:r>
        <w:r w:rsidR="003D0878">
          <w:rPr>
            <w:noProof/>
            <w:webHidden/>
          </w:rPr>
        </w:r>
        <w:r w:rsidR="003D0878">
          <w:rPr>
            <w:noProof/>
            <w:webHidden/>
          </w:rPr>
          <w:fldChar w:fldCharType="separate"/>
        </w:r>
        <w:r w:rsidR="003D0878">
          <w:rPr>
            <w:noProof/>
            <w:webHidden/>
          </w:rPr>
          <w:t>1</w:t>
        </w:r>
        <w:r w:rsidR="003D0878">
          <w:rPr>
            <w:noProof/>
            <w:webHidden/>
          </w:rPr>
          <w:fldChar w:fldCharType="end"/>
        </w:r>
      </w:hyperlink>
    </w:p>
    <w:p w:rsidR="003D0878" w:rsidRDefault="00D059DC" w:rsidP="00E76CDA">
      <w:pPr>
        <w:pStyle w:val="TOC1"/>
        <w:rPr>
          <w:rFonts w:asciiTheme="minorHAnsi" w:eastAsiaTheme="minorEastAsia" w:hAnsiTheme="minorHAnsi" w:cstheme="minorBidi"/>
          <w:noProof/>
          <w:sz w:val="22"/>
          <w:szCs w:val="22"/>
        </w:rPr>
      </w:pPr>
      <w:hyperlink w:anchor="_Toc115825471" w:history="1">
        <w:r w:rsidR="003D0878" w:rsidRPr="002C5F16">
          <w:rPr>
            <w:rStyle w:val="Hyperlink"/>
            <w:noProof/>
            <w:lang w:val="en-GB"/>
          </w:rPr>
          <w:t>background</w:t>
        </w:r>
        <w:r w:rsidR="003D0878">
          <w:rPr>
            <w:noProof/>
            <w:webHidden/>
          </w:rPr>
          <w:tab/>
        </w:r>
        <w:r w:rsidR="003D0878">
          <w:rPr>
            <w:noProof/>
            <w:webHidden/>
          </w:rPr>
          <w:fldChar w:fldCharType="begin"/>
        </w:r>
        <w:r w:rsidR="003D0878">
          <w:rPr>
            <w:noProof/>
            <w:webHidden/>
          </w:rPr>
          <w:instrText xml:space="preserve"> PAGEREF _Toc115825471 \h </w:instrText>
        </w:r>
        <w:r w:rsidR="003D0878">
          <w:rPr>
            <w:noProof/>
            <w:webHidden/>
          </w:rPr>
        </w:r>
        <w:r w:rsidR="003D0878">
          <w:rPr>
            <w:noProof/>
            <w:webHidden/>
          </w:rPr>
          <w:fldChar w:fldCharType="separate"/>
        </w:r>
        <w:r w:rsidR="003D0878">
          <w:rPr>
            <w:noProof/>
            <w:webHidden/>
          </w:rPr>
          <w:t>2</w:t>
        </w:r>
        <w:r w:rsidR="003D0878">
          <w:rPr>
            <w:noProof/>
            <w:webHidden/>
          </w:rPr>
          <w:fldChar w:fldCharType="end"/>
        </w:r>
      </w:hyperlink>
    </w:p>
    <w:p w:rsidR="003D0878" w:rsidRDefault="00D059DC" w:rsidP="00E76CDA">
      <w:pPr>
        <w:pStyle w:val="TOC1"/>
        <w:rPr>
          <w:rFonts w:asciiTheme="minorHAnsi" w:eastAsiaTheme="minorEastAsia" w:hAnsiTheme="minorHAnsi" w:cstheme="minorBidi"/>
          <w:noProof/>
          <w:sz w:val="22"/>
          <w:szCs w:val="22"/>
        </w:rPr>
      </w:pPr>
      <w:hyperlink w:anchor="_Toc115825472" w:history="1">
        <w:r w:rsidR="003D0878" w:rsidRPr="002C5F16">
          <w:rPr>
            <w:rStyle w:val="Hyperlink"/>
            <w:noProof/>
          </w:rPr>
          <w:t>Developments at the Technical Working Parties at their sessions in 2022</w:t>
        </w:r>
        <w:r w:rsidR="003D0878">
          <w:rPr>
            <w:noProof/>
            <w:webHidden/>
          </w:rPr>
          <w:tab/>
        </w:r>
        <w:r w:rsidR="003D0878">
          <w:rPr>
            <w:noProof/>
            <w:webHidden/>
          </w:rPr>
          <w:fldChar w:fldCharType="begin"/>
        </w:r>
        <w:r w:rsidR="003D0878">
          <w:rPr>
            <w:noProof/>
            <w:webHidden/>
          </w:rPr>
          <w:instrText xml:space="preserve"> PAGEREF _Toc115825472 \h </w:instrText>
        </w:r>
        <w:r w:rsidR="003D0878">
          <w:rPr>
            <w:noProof/>
            <w:webHidden/>
          </w:rPr>
        </w:r>
        <w:r w:rsidR="003D0878">
          <w:rPr>
            <w:noProof/>
            <w:webHidden/>
          </w:rPr>
          <w:fldChar w:fldCharType="separate"/>
        </w:r>
        <w:r w:rsidR="003D0878">
          <w:rPr>
            <w:noProof/>
            <w:webHidden/>
          </w:rPr>
          <w:t>2</w:t>
        </w:r>
        <w:r w:rsidR="003D0878">
          <w:rPr>
            <w:noProof/>
            <w:webHidden/>
          </w:rPr>
          <w:fldChar w:fldCharType="end"/>
        </w:r>
      </w:hyperlink>
    </w:p>
    <w:p w:rsidR="00EB4232" w:rsidRPr="00E55054" w:rsidRDefault="00EB4232" w:rsidP="00EB4232">
      <w:pPr>
        <w:rPr>
          <w:rFonts w:cs="Arial"/>
          <w:lang w:val="en-GB"/>
        </w:rPr>
      </w:pPr>
      <w:r w:rsidRPr="00E55054">
        <w:rPr>
          <w:rFonts w:cs="Arial"/>
          <w:highlight w:val="yellow"/>
          <w:lang w:val="en-GB"/>
        </w:rPr>
        <w:fldChar w:fldCharType="end"/>
      </w:r>
    </w:p>
    <w:p w:rsidR="00EB4232" w:rsidRPr="00E55054" w:rsidRDefault="00EB4232" w:rsidP="00EB4232">
      <w:pPr>
        <w:rPr>
          <w:lang w:val="en-GB"/>
        </w:rPr>
      </w:pPr>
    </w:p>
    <w:p w:rsidR="00EB4232" w:rsidRPr="00E55054" w:rsidRDefault="00EB4232" w:rsidP="00EB4232">
      <w:pPr>
        <w:keepNext/>
        <w:keepLines/>
        <w:outlineLvl w:val="0"/>
        <w:rPr>
          <w:caps/>
          <w:lang w:val="en-GB"/>
        </w:rPr>
      </w:pPr>
      <w:bookmarkStart w:id="2" w:name="_Toc115825471"/>
      <w:r w:rsidRPr="00E55054">
        <w:rPr>
          <w:caps/>
          <w:lang w:val="en-GB"/>
        </w:rPr>
        <w:lastRenderedPageBreak/>
        <w:t>background</w:t>
      </w:r>
      <w:bookmarkEnd w:id="2"/>
    </w:p>
    <w:p w:rsidR="00EB4232" w:rsidRPr="00E55054" w:rsidRDefault="00EB4232" w:rsidP="00EB4232">
      <w:pPr>
        <w:keepNext/>
        <w:keepLines/>
        <w:rPr>
          <w:lang w:val="en-GB"/>
        </w:rPr>
      </w:pPr>
    </w:p>
    <w:p w:rsidR="00EB4232" w:rsidRPr="00E55054" w:rsidRDefault="00EB4232" w:rsidP="00EB4232">
      <w:pPr>
        <w:keepNext/>
        <w:keepLines/>
        <w:rPr>
          <w:lang w:val="en-GB"/>
        </w:rPr>
      </w:pPr>
      <w:r w:rsidRPr="00E55054">
        <w:rPr>
          <w:lang w:val="en-GB"/>
        </w:rPr>
        <w:fldChar w:fldCharType="begin"/>
      </w:r>
      <w:r w:rsidRPr="00E55054">
        <w:rPr>
          <w:lang w:val="en-GB"/>
        </w:rPr>
        <w:instrText xml:space="preserve"> AUTONUM  </w:instrText>
      </w:r>
      <w:r w:rsidRPr="00E55054">
        <w:rPr>
          <w:lang w:val="en-GB"/>
        </w:rPr>
        <w:fldChar w:fldCharType="end"/>
      </w:r>
      <w:r w:rsidRPr="00E55054">
        <w:rPr>
          <w:lang w:val="en-GB"/>
        </w:rPr>
        <w:tab/>
        <w:t>At its forty-fifth session</w:t>
      </w:r>
      <w:r w:rsidRPr="00E55054">
        <w:rPr>
          <w:vertAlign w:val="superscript"/>
          <w:lang w:val="en-GB"/>
        </w:rPr>
        <w:footnoteReference w:id="2"/>
      </w:r>
      <w:r w:rsidRPr="00E55054">
        <w:rPr>
          <w:lang w:val="en-GB"/>
        </w:rPr>
        <w:t>, t</w:t>
      </w:r>
      <w:r w:rsidRPr="00E55054">
        <w:rPr>
          <w:snapToGrid w:val="0"/>
          <w:szCs w:val="24"/>
          <w:lang w:val="en-GB"/>
        </w:rPr>
        <w:t xml:space="preserve">he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TWPs and the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E55054">
        <w:rPr>
          <w:lang w:val="en-GB"/>
        </w:rPr>
        <w:t>list of criteria for consideration for the use of descriptions obtained from different locations and sources as set out in document TC/45/9, paragraph </w:t>
      </w:r>
      <w:proofErr w:type="gramStart"/>
      <w:r w:rsidRPr="00E55054">
        <w:rPr>
          <w:lang w:val="en-GB"/>
        </w:rPr>
        <w:t>3</w:t>
      </w:r>
      <w:proofErr w:type="gramEnd"/>
      <w:r w:rsidRPr="00E55054">
        <w:rPr>
          <w:lang w:val="en-GB"/>
        </w:rPr>
        <w:t xml:space="preserve">, and reproduced below.  The TC also agreed that the information presented would not need to </w:t>
      </w:r>
      <w:proofErr w:type="gramStart"/>
      <w:r w:rsidRPr="00E55054">
        <w:rPr>
          <w:lang w:val="en-GB"/>
        </w:rPr>
        <w:t>be related</w:t>
      </w:r>
      <w:proofErr w:type="gramEnd"/>
      <w:r w:rsidRPr="00E55054">
        <w:rPr>
          <w:lang w:val="en-GB"/>
        </w:rPr>
        <w:t xml:space="preserve"> to the publication of descriptions (</w:t>
      </w:r>
      <w:r w:rsidRPr="00E55054">
        <w:rPr>
          <w:color w:val="000000"/>
          <w:lang w:val="en-GB"/>
        </w:rPr>
        <w:t>see document </w:t>
      </w:r>
      <w:r w:rsidRPr="00E55054">
        <w:rPr>
          <w:snapToGrid w:val="0"/>
          <w:color w:val="000000"/>
          <w:lang w:val="en-GB"/>
        </w:rPr>
        <w:t>TC/45/16 “Report”, paragraph 173)</w:t>
      </w:r>
      <w:r w:rsidRPr="00E55054">
        <w:rPr>
          <w:lang w:val="en-GB"/>
        </w:rPr>
        <w:t>.</w:t>
      </w:r>
    </w:p>
    <w:p w:rsidR="00EB4232" w:rsidRPr="00E55054" w:rsidRDefault="00EB4232" w:rsidP="00EB4232">
      <w:pPr>
        <w:rPr>
          <w:lang w:val="en-GB"/>
        </w:rPr>
      </w:pPr>
    </w:p>
    <w:p w:rsidR="00EB4232" w:rsidRPr="00E55054" w:rsidRDefault="00EB4232" w:rsidP="00EB4232">
      <w:pPr>
        <w:tabs>
          <w:tab w:val="left" w:pos="1134"/>
          <w:tab w:val="left" w:pos="1701"/>
        </w:tabs>
        <w:ind w:left="567" w:right="567"/>
        <w:rPr>
          <w:rFonts w:cs="Arial"/>
          <w:sz w:val="18"/>
          <w:szCs w:val="18"/>
        </w:rPr>
      </w:pPr>
      <w:r w:rsidRPr="00E55054">
        <w:rPr>
          <w:rFonts w:cs="Arial"/>
          <w:sz w:val="18"/>
          <w:szCs w:val="18"/>
        </w:rPr>
        <w:t>“3.</w:t>
      </w:r>
      <w:r w:rsidRPr="00E55054">
        <w:rPr>
          <w:rFonts w:cs="Arial"/>
          <w:sz w:val="18"/>
          <w:szCs w:val="18"/>
        </w:rPr>
        <w:tab/>
        <w:t>At its forty</w:t>
      </w:r>
      <w:r w:rsidRPr="00E55054">
        <w:rPr>
          <w:rFonts w:cs="Arial"/>
          <w:sz w:val="18"/>
          <w:szCs w:val="18"/>
        </w:rPr>
        <w:noBreakHyphen/>
        <w:t xml:space="preserve">third session, held in Geneva, from March 26 to 28, 2007, the Technical Committee (TC) agreed </w:t>
      </w:r>
      <w:r w:rsidRPr="00E55054">
        <w:rPr>
          <w:rFonts w:cs="Arial"/>
          <w:snapToGrid w:val="0"/>
          <w:sz w:val="18"/>
          <w:szCs w:val="18"/>
        </w:rPr>
        <w:t xml:space="preserve">the </w:t>
      </w:r>
      <w:r w:rsidRPr="00E55054">
        <w:rPr>
          <w:rFonts w:cs="Arial"/>
          <w:sz w:val="18"/>
          <w:szCs w:val="18"/>
        </w:rPr>
        <w:t>list of criteria for consideration by the Technical Working Parties (TWPs) for the use of descriptions obtained from different locations and sources as follows:</w:t>
      </w:r>
    </w:p>
    <w:p w:rsidR="00EB4232" w:rsidRPr="00E55054" w:rsidRDefault="00EB4232" w:rsidP="00EB4232">
      <w:pPr>
        <w:tabs>
          <w:tab w:val="left" w:pos="1134"/>
          <w:tab w:val="left" w:pos="1701"/>
        </w:tabs>
        <w:ind w:left="567" w:right="567"/>
        <w:rPr>
          <w:rFonts w:cs="Arial"/>
          <w:sz w:val="18"/>
          <w:szCs w:val="18"/>
        </w:rPr>
      </w:pPr>
    </w:p>
    <w:p w:rsidR="00EB4232" w:rsidRPr="00E55054" w:rsidRDefault="00EB4232" w:rsidP="00EB4232">
      <w:pPr>
        <w:tabs>
          <w:tab w:val="left" w:pos="1701"/>
        </w:tabs>
        <w:spacing w:after="40" w:line="276" w:lineRule="auto"/>
        <w:ind w:left="1701" w:right="567" w:hanging="567"/>
        <w:rPr>
          <w:rFonts w:cs="Arial"/>
          <w:sz w:val="18"/>
          <w:szCs w:val="18"/>
        </w:rPr>
      </w:pPr>
      <w:r w:rsidRPr="00E55054">
        <w:rPr>
          <w:rFonts w:cs="Arial"/>
          <w:sz w:val="18"/>
          <w:szCs w:val="18"/>
        </w:rPr>
        <w:t>“(</w:t>
      </w:r>
      <w:proofErr w:type="gramStart"/>
      <w:r w:rsidRPr="00E55054">
        <w:rPr>
          <w:rFonts w:cs="Arial"/>
          <w:sz w:val="18"/>
          <w:szCs w:val="18"/>
        </w:rPr>
        <w:t>a</w:t>
      </w:r>
      <w:proofErr w:type="gramEnd"/>
      <w:r w:rsidRPr="00E55054">
        <w:rPr>
          <w:rFonts w:cs="Arial"/>
          <w:sz w:val="18"/>
          <w:szCs w:val="18"/>
        </w:rPr>
        <w:t>)</w:t>
      </w:r>
      <w:r w:rsidRPr="00E55054">
        <w:rPr>
          <w:rFonts w:cs="Arial"/>
          <w:sz w:val="18"/>
          <w:szCs w:val="18"/>
        </w:rPr>
        <w:tab/>
        <w:t>to consider the species for which they see a real interest in creating an international database with variety descriptions;</w:t>
      </w:r>
    </w:p>
    <w:p w:rsidR="00EB4232" w:rsidRPr="00E55054" w:rsidRDefault="00EB4232" w:rsidP="00EB4232">
      <w:pPr>
        <w:tabs>
          <w:tab w:val="left" w:pos="1701"/>
        </w:tabs>
        <w:spacing w:after="40" w:line="276" w:lineRule="auto"/>
        <w:ind w:left="1701" w:right="567" w:hanging="567"/>
        <w:rPr>
          <w:rFonts w:cs="Arial"/>
          <w:sz w:val="18"/>
          <w:szCs w:val="18"/>
        </w:rPr>
      </w:pPr>
      <w:r w:rsidRPr="00E55054">
        <w:rPr>
          <w:rFonts w:cs="Arial"/>
          <w:sz w:val="18"/>
          <w:szCs w:val="18"/>
        </w:rPr>
        <w:t>“(b)</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specify the aim and benefits expected;</w:t>
      </w:r>
    </w:p>
    <w:p w:rsidR="00EB4232" w:rsidRPr="00E55054" w:rsidRDefault="00EB4232" w:rsidP="00EB4232">
      <w:pPr>
        <w:tabs>
          <w:tab w:val="left" w:pos="1701"/>
        </w:tabs>
        <w:spacing w:after="40" w:line="276" w:lineRule="auto"/>
        <w:ind w:left="1701" w:right="567" w:hanging="567"/>
        <w:rPr>
          <w:rFonts w:cs="Arial"/>
          <w:sz w:val="18"/>
          <w:szCs w:val="18"/>
        </w:rPr>
      </w:pPr>
      <w:r w:rsidRPr="00E55054">
        <w:rPr>
          <w:rFonts w:cs="Arial"/>
          <w:sz w:val="18"/>
          <w:szCs w:val="18"/>
        </w:rPr>
        <w:t>“(c)</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select the characteristics for which descriptions should be published; </w:t>
      </w:r>
    </w:p>
    <w:p w:rsidR="00EB4232" w:rsidRPr="00E55054" w:rsidRDefault="00EB4232" w:rsidP="00EB4232">
      <w:pPr>
        <w:tabs>
          <w:tab w:val="left" w:pos="1701"/>
        </w:tabs>
        <w:spacing w:after="40" w:line="276" w:lineRule="auto"/>
        <w:ind w:left="1701" w:right="567" w:hanging="567"/>
        <w:rPr>
          <w:rFonts w:cs="Arial"/>
          <w:sz w:val="18"/>
          <w:szCs w:val="18"/>
        </w:rPr>
      </w:pPr>
      <w:r w:rsidRPr="00E55054">
        <w:rPr>
          <w:rFonts w:cs="Arial"/>
          <w:sz w:val="18"/>
          <w:szCs w:val="18"/>
        </w:rPr>
        <w:t>“(d)</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specify for each characteristic the degree of harmonization already achieved or aimed at (in the latter case, to specify if actions should be planned in order to improve the level of harmonization: ring tests, revision of the description of the way of observation in the guideline, …);</w:t>
      </w:r>
    </w:p>
    <w:p w:rsidR="00EB4232" w:rsidRPr="00E55054" w:rsidRDefault="00EB4232" w:rsidP="00EB4232">
      <w:pPr>
        <w:tabs>
          <w:tab w:val="left" w:pos="1701"/>
        </w:tabs>
        <w:spacing w:after="40" w:line="276" w:lineRule="auto"/>
        <w:ind w:left="1701" w:right="567" w:hanging="567"/>
        <w:rPr>
          <w:rFonts w:cs="Arial"/>
          <w:sz w:val="18"/>
          <w:szCs w:val="18"/>
        </w:rPr>
      </w:pPr>
      <w:r w:rsidRPr="00E55054">
        <w:rPr>
          <w:rFonts w:cs="Arial"/>
          <w:sz w:val="18"/>
          <w:szCs w:val="18"/>
        </w:rPr>
        <w:t>“(e)</w:t>
      </w:r>
      <w:r w:rsidRPr="00E55054">
        <w:rPr>
          <w:rFonts w:cs="Arial"/>
          <w:sz w:val="18"/>
          <w:szCs w:val="18"/>
        </w:rPr>
        <w:tab/>
        <w:t>to study the pertinence of a “regional approach”, rather than an “international approach” (to consider groups of countries and to compare descriptions within those groups only);</w:t>
      </w:r>
    </w:p>
    <w:p w:rsidR="00EB4232" w:rsidRPr="00E55054" w:rsidRDefault="00EB4232" w:rsidP="00EB4232">
      <w:pPr>
        <w:tabs>
          <w:tab w:val="left" w:pos="1701"/>
        </w:tabs>
        <w:spacing w:after="40" w:line="276" w:lineRule="auto"/>
        <w:ind w:left="1701" w:right="567" w:hanging="567"/>
        <w:rPr>
          <w:rFonts w:cs="Arial"/>
          <w:sz w:val="18"/>
          <w:szCs w:val="18"/>
        </w:rPr>
      </w:pPr>
      <w:r w:rsidRPr="00E55054">
        <w:rPr>
          <w:rFonts w:cs="Arial"/>
          <w:sz w:val="18"/>
          <w:szCs w:val="18"/>
        </w:rPr>
        <w:t>“(f)</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propose minimum distances when making comparisons of data, for the relevant characteristics;</w:t>
      </w:r>
    </w:p>
    <w:p w:rsidR="00EB4232" w:rsidRPr="00E55054" w:rsidRDefault="00EB4232" w:rsidP="00EB4232">
      <w:pPr>
        <w:tabs>
          <w:tab w:val="left" w:pos="1701"/>
        </w:tabs>
        <w:spacing w:after="40" w:line="276" w:lineRule="auto"/>
        <w:ind w:left="1701" w:right="567" w:hanging="567"/>
        <w:rPr>
          <w:rFonts w:cs="Arial"/>
          <w:sz w:val="18"/>
          <w:szCs w:val="18"/>
        </w:rPr>
      </w:pPr>
      <w:r w:rsidRPr="00E55054">
        <w:rPr>
          <w:rFonts w:cs="Arial"/>
          <w:sz w:val="18"/>
          <w:szCs w:val="18"/>
        </w:rPr>
        <w:t>“(g)</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list the countries which would contribute to the publication;  </w:t>
      </w:r>
    </w:p>
    <w:p w:rsidR="00EB4232" w:rsidRPr="00E55054" w:rsidRDefault="00EB4232" w:rsidP="00EB4232">
      <w:pPr>
        <w:tabs>
          <w:tab w:val="left" w:pos="1701"/>
        </w:tabs>
        <w:spacing w:after="40" w:line="276" w:lineRule="auto"/>
        <w:ind w:left="1701" w:right="567" w:hanging="567"/>
        <w:rPr>
          <w:rFonts w:cs="Arial"/>
          <w:sz w:val="18"/>
          <w:szCs w:val="18"/>
        </w:rPr>
      </w:pPr>
      <w:r w:rsidRPr="00E55054">
        <w:rPr>
          <w:rFonts w:cs="Arial"/>
          <w:sz w:val="18"/>
          <w:szCs w:val="18"/>
        </w:rPr>
        <w:t>“(h)</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consider the type of access (free or restricted to the contributors);  and</w:t>
      </w:r>
    </w:p>
    <w:p w:rsidR="00EB4232" w:rsidRPr="00E55054" w:rsidRDefault="00EB4232" w:rsidP="00EB4232">
      <w:pPr>
        <w:tabs>
          <w:tab w:val="left" w:pos="1701"/>
        </w:tabs>
        <w:spacing w:after="40" w:line="276" w:lineRule="auto"/>
        <w:ind w:left="1701" w:right="567" w:hanging="567"/>
        <w:rPr>
          <w:rFonts w:cs="Arial"/>
          <w:sz w:val="18"/>
          <w:szCs w:val="18"/>
        </w:rPr>
      </w:pPr>
      <w:r w:rsidRPr="00E55054">
        <w:rPr>
          <w:rFonts w:cs="Arial"/>
          <w:sz w:val="18"/>
          <w:szCs w:val="18"/>
        </w:rPr>
        <w:t>“(</w:t>
      </w:r>
      <w:proofErr w:type="gramStart"/>
      <w:r w:rsidRPr="00E55054">
        <w:rPr>
          <w:rFonts w:cs="Arial"/>
          <w:sz w:val="18"/>
          <w:szCs w:val="18"/>
        </w:rPr>
        <w:t>i</w:t>
      </w:r>
      <w:proofErr w:type="gramEnd"/>
      <w:r w:rsidRPr="00E55054">
        <w:rPr>
          <w:rFonts w:cs="Arial"/>
          <w:sz w:val="18"/>
          <w:szCs w:val="18"/>
        </w:rPr>
        <w:t>)</w:t>
      </w:r>
      <w:r w:rsidRPr="00E55054">
        <w:rPr>
          <w:rFonts w:cs="Arial"/>
          <w:sz w:val="18"/>
          <w:szCs w:val="18"/>
        </w:rPr>
        <w:tab/>
        <w:t>to consider the cost of any project.”</w:t>
      </w:r>
    </w:p>
    <w:p w:rsidR="00EB4232" w:rsidRPr="00E55054" w:rsidRDefault="00EB4232" w:rsidP="00EB4232">
      <w:pPr>
        <w:rPr>
          <w:lang w:val="en-GB"/>
        </w:rPr>
      </w:pPr>
    </w:p>
    <w:p w:rsidR="00EB4232" w:rsidRPr="00E55054" w:rsidRDefault="00EB4232" w:rsidP="00EB4232">
      <w:pPr>
        <w:rPr>
          <w:lang w:val="en-GB"/>
        </w:rPr>
      </w:pPr>
      <w:r w:rsidRPr="00E55054">
        <w:rPr>
          <w:lang w:val="en-GB"/>
        </w:rPr>
        <w:fldChar w:fldCharType="begin"/>
      </w:r>
      <w:r w:rsidRPr="00E55054">
        <w:rPr>
          <w:lang w:val="en-GB"/>
        </w:rPr>
        <w:instrText xml:space="preserve"> AUTONUM  </w:instrText>
      </w:r>
      <w:r w:rsidRPr="00E55054">
        <w:rPr>
          <w:lang w:val="en-GB"/>
        </w:rPr>
        <w:fldChar w:fldCharType="end"/>
      </w:r>
      <w:r w:rsidRPr="00E55054">
        <w:rPr>
          <w:lang w:val="en-GB"/>
        </w:rPr>
        <w:tab/>
        <w:t xml:space="preserve">Following the decision by the TC, at its forty-fifth session, it </w:t>
      </w:r>
      <w:proofErr w:type="gramStart"/>
      <w:r w:rsidRPr="00E55054">
        <w:rPr>
          <w:lang w:val="en-GB"/>
        </w:rPr>
        <w:t>is recalled</w:t>
      </w:r>
      <w:proofErr w:type="gramEnd"/>
      <w:r w:rsidRPr="00E55054">
        <w:rPr>
          <w:lang w:val="en-GB"/>
        </w:rPr>
        <w:t xml:space="preserve"> that members of the Union are invited to report to </w:t>
      </w:r>
      <w:r w:rsidRPr="00E55054">
        <w:rPr>
          <w:snapToGrid w:val="0"/>
          <w:szCs w:val="24"/>
          <w:lang w:val="en-GB"/>
        </w:rPr>
        <w:t>TC</w:t>
      </w:r>
      <w:r>
        <w:rPr>
          <w:snapToGrid w:val="0"/>
          <w:szCs w:val="24"/>
          <w:lang w:val="en-GB"/>
        </w:rPr>
        <w:t xml:space="preserve"> and</w:t>
      </w:r>
      <w:r w:rsidRPr="00E55054">
        <w:rPr>
          <w:snapToGrid w:val="0"/>
          <w:szCs w:val="24"/>
          <w:lang w:val="en-GB"/>
        </w:rPr>
        <w:t xml:space="preserve"> TWPs</w:t>
      </w:r>
      <w:r w:rsidRPr="00E55054">
        <w:rPr>
          <w:lang w:val="en-GB"/>
        </w:rPr>
        <w:t xml:space="preserve"> on work concerning the development of databases containing morphological and/or molecular data.</w:t>
      </w:r>
    </w:p>
    <w:p w:rsidR="00EB4232" w:rsidRPr="00E55054" w:rsidRDefault="00EB4232" w:rsidP="00EB4232">
      <w:pPr>
        <w:rPr>
          <w:lang w:val="en-GB"/>
        </w:rPr>
      </w:pPr>
      <w:bookmarkStart w:id="3" w:name="_Toc512935370"/>
    </w:p>
    <w:p w:rsidR="00EB4232" w:rsidRPr="00E55054" w:rsidRDefault="00EB4232" w:rsidP="00EB4232">
      <w:pPr>
        <w:rPr>
          <w:lang w:val="en-GB"/>
        </w:rPr>
      </w:pPr>
    </w:p>
    <w:p w:rsidR="00EB4232" w:rsidRPr="00E55054" w:rsidRDefault="00EB4232" w:rsidP="00EB4232">
      <w:pPr>
        <w:keepNext/>
        <w:outlineLvl w:val="0"/>
        <w:rPr>
          <w:caps/>
        </w:rPr>
      </w:pPr>
      <w:bookmarkStart w:id="4" w:name="_Toc115825472"/>
      <w:bookmarkEnd w:id="3"/>
      <w:r w:rsidRPr="00E55054">
        <w:rPr>
          <w:caps/>
        </w:rPr>
        <w:t>Developments at the Technical Working Parties at their sessions in 202</w:t>
      </w:r>
      <w:r w:rsidR="00F54964">
        <w:rPr>
          <w:caps/>
        </w:rPr>
        <w:t>2</w:t>
      </w:r>
      <w:bookmarkEnd w:id="4"/>
    </w:p>
    <w:p w:rsidR="00EB4232" w:rsidRPr="00E55054" w:rsidRDefault="00EB4232" w:rsidP="00EB4232">
      <w:pPr>
        <w:rPr>
          <w:lang w:val="en-GB"/>
        </w:rPr>
      </w:pPr>
    </w:p>
    <w:p w:rsidR="00F54964" w:rsidRPr="00FA4478" w:rsidRDefault="00EB4232" w:rsidP="00F54964">
      <w:pPr>
        <w:keepNext/>
        <w:keepLines/>
      </w:pPr>
      <w:r w:rsidRPr="00612455">
        <w:rPr>
          <w:snapToGrid w:val="0"/>
        </w:rPr>
        <w:fldChar w:fldCharType="begin"/>
      </w:r>
      <w:r w:rsidRPr="00612455">
        <w:rPr>
          <w:snapToGrid w:val="0"/>
        </w:rPr>
        <w:instrText xml:space="preserve"> AUTONUM  </w:instrText>
      </w:r>
      <w:r w:rsidRPr="00612455">
        <w:rPr>
          <w:snapToGrid w:val="0"/>
        </w:rPr>
        <w:fldChar w:fldCharType="end"/>
      </w:r>
      <w:r w:rsidRPr="00612455">
        <w:rPr>
          <w:snapToGrid w:val="0"/>
        </w:rPr>
        <w:tab/>
      </w:r>
      <w:proofErr w:type="gramStart"/>
      <w:r w:rsidRPr="00612455">
        <w:t>At their sessions in 202</w:t>
      </w:r>
      <w:r w:rsidR="00F54964">
        <w:t>2</w:t>
      </w:r>
      <w:r w:rsidRPr="00612455">
        <w:t xml:space="preserve">, </w:t>
      </w:r>
      <w:r w:rsidR="00F54964" w:rsidRPr="00A36C59">
        <w:t>the TWV</w:t>
      </w:r>
      <w:r w:rsidR="00F54964" w:rsidRPr="00A36C59">
        <w:rPr>
          <w:vertAlign w:val="superscript"/>
        </w:rPr>
        <w:footnoteReference w:id="3"/>
      </w:r>
      <w:r w:rsidR="00F54964" w:rsidRPr="00A36C59">
        <w:t>, TWA</w:t>
      </w:r>
      <w:r w:rsidR="00F54964" w:rsidRPr="00A36C59">
        <w:rPr>
          <w:vertAlign w:val="superscript"/>
        </w:rPr>
        <w:footnoteReference w:id="4"/>
      </w:r>
      <w:r w:rsidR="00F54964" w:rsidRPr="00A36C59">
        <w:t>, TWO</w:t>
      </w:r>
      <w:r w:rsidR="00F54964" w:rsidRPr="00A36C59">
        <w:rPr>
          <w:vertAlign w:val="superscript"/>
        </w:rPr>
        <w:footnoteReference w:id="5"/>
      </w:r>
      <w:r w:rsidR="00F54964" w:rsidRPr="00A36C59">
        <w:t>, TWF</w:t>
      </w:r>
      <w:r w:rsidR="00F54964" w:rsidRPr="00A36C59">
        <w:rPr>
          <w:vertAlign w:val="superscript"/>
        </w:rPr>
        <w:footnoteReference w:id="6"/>
      </w:r>
      <w:r w:rsidR="00F54964" w:rsidRPr="00A36C59">
        <w:t xml:space="preserve"> and </w:t>
      </w:r>
      <w:r w:rsidR="00F54964" w:rsidRPr="00A36C59">
        <w:rPr>
          <w:snapToGrid w:val="0"/>
        </w:rPr>
        <w:t>TWM</w:t>
      </w:r>
      <w:r w:rsidR="00F54964" w:rsidRPr="00A36C59">
        <w:rPr>
          <w:snapToGrid w:val="0"/>
          <w:vertAlign w:val="superscript"/>
        </w:rPr>
        <w:footnoteReference w:id="7"/>
      </w:r>
      <w:r w:rsidR="00F54964" w:rsidRPr="00FA4478">
        <w:t xml:space="preserve"> considered document TWP/</w:t>
      </w:r>
      <w:r w:rsidR="00F54964">
        <w:t>6</w:t>
      </w:r>
      <w:r w:rsidR="00F54964" w:rsidRPr="00FA4478">
        <w:t>/</w:t>
      </w:r>
      <w:r w:rsidR="00F54964">
        <w:t>2</w:t>
      </w:r>
      <w:r w:rsidR="00F54964" w:rsidRPr="00FA4478">
        <w:t xml:space="preserve"> “</w:t>
      </w:r>
      <w:r w:rsidR="00F54964">
        <w:t>Variety description databases</w:t>
      </w:r>
      <w:r w:rsidR="00F54964" w:rsidRPr="00FA4478">
        <w:t>” (see documents TWV/5</w:t>
      </w:r>
      <w:r w:rsidR="00F54964">
        <w:t>6</w:t>
      </w:r>
      <w:r w:rsidR="00F54964" w:rsidRPr="00FA4478">
        <w:t>/</w:t>
      </w:r>
      <w:r w:rsidR="00F54964">
        <w:t>22</w:t>
      </w:r>
      <w:r w:rsidR="00F54964" w:rsidRPr="00FA4478">
        <w:t xml:space="preserve"> “Report”, paragraphs </w:t>
      </w:r>
      <w:r w:rsidR="00F54964">
        <w:t>32</w:t>
      </w:r>
      <w:r w:rsidR="00F54964" w:rsidRPr="00FA4478">
        <w:t xml:space="preserve"> to </w:t>
      </w:r>
      <w:r w:rsidR="00F54964">
        <w:t>38</w:t>
      </w:r>
      <w:r w:rsidR="00F54964" w:rsidRPr="00FA4478">
        <w:t>; TWA/5</w:t>
      </w:r>
      <w:r w:rsidR="00F54964">
        <w:t>1</w:t>
      </w:r>
      <w:r w:rsidR="00F54964" w:rsidRPr="00FA4478">
        <w:t>/</w:t>
      </w:r>
      <w:r w:rsidR="00F54964">
        <w:t>11</w:t>
      </w:r>
      <w:r w:rsidR="00F54964" w:rsidRPr="00FA4478">
        <w:t xml:space="preserve"> “Report”, paragraphs </w:t>
      </w:r>
      <w:r w:rsidR="00C76184">
        <w:t>48</w:t>
      </w:r>
      <w:r w:rsidR="00F54964" w:rsidRPr="00FA4478">
        <w:t xml:space="preserve"> to </w:t>
      </w:r>
      <w:r w:rsidR="00C76184">
        <w:t>50</w:t>
      </w:r>
      <w:r w:rsidR="00F54964" w:rsidRPr="00FA4478">
        <w:t>; TWO/5</w:t>
      </w:r>
      <w:r w:rsidR="00F54964">
        <w:t>4</w:t>
      </w:r>
      <w:r w:rsidR="00F54964" w:rsidRPr="00FA4478">
        <w:t>/</w:t>
      </w:r>
      <w:r w:rsidR="00F54964">
        <w:t>6</w:t>
      </w:r>
      <w:r w:rsidR="00F54964" w:rsidRPr="00FA4478">
        <w:t xml:space="preserve"> “Report”, paragraphs </w:t>
      </w:r>
      <w:r w:rsidR="00C76184">
        <w:t>49</w:t>
      </w:r>
      <w:r w:rsidR="00F54964" w:rsidRPr="00FA4478">
        <w:t xml:space="preserve"> to </w:t>
      </w:r>
      <w:r w:rsidR="00C76184">
        <w:t>51</w:t>
      </w:r>
      <w:r w:rsidR="00F54964" w:rsidRPr="00FA4478">
        <w:t>; TWF/5</w:t>
      </w:r>
      <w:r w:rsidR="00F54964">
        <w:t>3</w:t>
      </w:r>
      <w:r w:rsidR="00F54964" w:rsidRPr="00FA4478">
        <w:t>/1</w:t>
      </w:r>
      <w:r w:rsidR="00F54964">
        <w:t>4</w:t>
      </w:r>
      <w:r w:rsidR="00F54964" w:rsidRPr="00FA4478">
        <w:t xml:space="preserve"> “Report”, paragraphs </w:t>
      </w:r>
      <w:r w:rsidR="00C76184">
        <w:t>38</w:t>
      </w:r>
      <w:r w:rsidR="00F54964" w:rsidRPr="00FA4478">
        <w:t xml:space="preserve"> to </w:t>
      </w:r>
      <w:r w:rsidR="00C76184">
        <w:t>41</w:t>
      </w:r>
      <w:r w:rsidR="00F54964" w:rsidRPr="00FA4478">
        <w:t>; and TW</w:t>
      </w:r>
      <w:r w:rsidR="00F54964">
        <w:t>M</w:t>
      </w:r>
      <w:r w:rsidR="00F54964" w:rsidRPr="00FA4478">
        <w:t>/</w:t>
      </w:r>
      <w:r w:rsidR="00F54964">
        <w:t>1</w:t>
      </w:r>
      <w:r w:rsidR="00F54964" w:rsidRPr="00FA4478">
        <w:t>/</w:t>
      </w:r>
      <w:r w:rsidR="00F54964">
        <w:t>26</w:t>
      </w:r>
      <w:r w:rsidR="00F54964" w:rsidRPr="00FA4478">
        <w:t xml:space="preserve"> “Report”, paragraphs </w:t>
      </w:r>
      <w:r w:rsidR="00F54964">
        <w:t>70</w:t>
      </w:r>
      <w:r w:rsidR="00F54964" w:rsidRPr="00FA4478">
        <w:t xml:space="preserve"> to </w:t>
      </w:r>
      <w:r w:rsidR="00F54964">
        <w:t>80</w:t>
      </w:r>
      <w:r w:rsidR="00F54964" w:rsidRPr="00FA4478">
        <w:t>)</w:t>
      </w:r>
      <w:r w:rsidR="00F54964" w:rsidRPr="00FA4478">
        <w:rPr>
          <w:lang w:eastAsia="ja-JP"/>
        </w:rPr>
        <w:t>.</w:t>
      </w:r>
      <w:proofErr w:type="gramEnd"/>
    </w:p>
    <w:p w:rsidR="00F54964" w:rsidRDefault="00F54964" w:rsidP="000071CC"/>
    <w:p w:rsidR="000071CC" w:rsidRPr="002D1B80" w:rsidRDefault="000071CC" w:rsidP="000071CC">
      <w:pPr>
        <w:rPr>
          <w:snapToGrid w:val="0"/>
        </w:rPr>
      </w:pPr>
      <w:r w:rsidRPr="002D1B80">
        <w:fldChar w:fldCharType="begin"/>
      </w:r>
      <w:r w:rsidRPr="002D1B80">
        <w:instrText xml:space="preserve"> AUTONUM  </w:instrText>
      </w:r>
      <w:r w:rsidRPr="002D1B80">
        <w:fldChar w:fldCharType="end"/>
      </w:r>
      <w:r w:rsidRPr="002D1B80">
        <w:tab/>
      </w:r>
      <w:r w:rsidRPr="002D1B80">
        <w:rPr>
          <w:rFonts w:cs="Arial"/>
        </w:rPr>
        <w:t xml:space="preserve">The </w:t>
      </w:r>
      <w:r w:rsidR="00F54964">
        <w:rPr>
          <w:rFonts w:cs="Arial"/>
        </w:rPr>
        <w:t>TWPs</w:t>
      </w:r>
      <w:r w:rsidRPr="002D1B80">
        <w:rPr>
          <w:rFonts w:cs="Arial"/>
        </w:rPr>
        <w:t xml:space="preserve"> noted the reports made at the TWPs in 2021 on databases containing morphological and/or molecular data.</w:t>
      </w:r>
      <w:r w:rsidR="00F54964">
        <w:rPr>
          <w:rFonts w:cs="Arial"/>
        </w:rPr>
        <w:t xml:space="preserve">  </w:t>
      </w:r>
      <w:r w:rsidRPr="002D1B80">
        <w:rPr>
          <w:rFonts w:cs="Arial"/>
        </w:rPr>
        <w:t xml:space="preserve">The </w:t>
      </w:r>
      <w:r w:rsidR="00F54964">
        <w:rPr>
          <w:rFonts w:cs="Arial"/>
        </w:rPr>
        <w:t>TWPs</w:t>
      </w:r>
      <w:r w:rsidRPr="002D1B80">
        <w:rPr>
          <w:rFonts w:cs="Arial"/>
        </w:rPr>
        <w:t xml:space="preserve"> noted the invitation for members of the Union to report to the TWPs on work concerning the development of databases containing morphological and/or molecular data.</w:t>
      </w:r>
    </w:p>
    <w:p w:rsidR="000071CC" w:rsidRPr="002D1B80" w:rsidRDefault="000071CC" w:rsidP="000071CC">
      <w:pPr>
        <w:rPr>
          <w:snapToGrid w:val="0"/>
        </w:rPr>
      </w:pPr>
    </w:p>
    <w:p w:rsidR="000071CC" w:rsidRPr="002D1B80" w:rsidRDefault="000071CC" w:rsidP="00F54964">
      <w:pPr>
        <w:keepNext/>
        <w:keepLines/>
        <w:rPr>
          <w:snapToGrid w:val="0"/>
        </w:rPr>
      </w:pPr>
      <w:r w:rsidRPr="002D1B80">
        <w:rPr>
          <w:snapToGrid w:val="0"/>
        </w:rPr>
        <w:lastRenderedPageBreak/>
        <w:fldChar w:fldCharType="begin"/>
      </w:r>
      <w:r w:rsidRPr="002D1B80">
        <w:rPr>
          <w:snapToGrid w:val="0"/>
        </w:rPr>
        <w:instrText xml:space="preserve"> AUTONUM  </w:instrText>
      </w:r>
      <w:r w:rsidRPr="002D1B80">
        <w:rPr>
          <w:snapToGrid w:val="0"/>
        </w:rPr>
        <w:fldChar w:fldCharType="end"/>
      </w:r>
      <w:r w:rsidRPr="002D1B80">
        <w:rPr>
          <w:snapToGrid w:val="0"/>
        </w:rPr>
        <w:tab/>
        <w:t>The TWV</w:t>
      </w:r>
      <w:r w:rsidR="00C76184">
        <w:rPr>
          <w:snapToGrid w:val="0"/>
        </w:rPr>
        <w:t>, at its fifty-sixth session,</w:t>
      </w:r>
      <w:r w:rsidRPr="002D1B80">
        <w:rPr>
          <w:snapToGrid w:val="0"/>
        </w:rPr>
        <w:t xml:space="preserve"> received a presentation on “The source of variety descriptions in the Netherlands” from an expert from the Netherlands.  A copy of the presentation </w:t>
      </w:r>
      <w:proofErr w:type="gramStart"/>
      <w:r w:rsidRPr="002D1B80">
        <w:rPr>
          <w:snapToGrid w:val="0"/>
        </w:rPr>
        <w:t>is provided</w:t>
      </w:r>
      <w:proofErr w:type="gramEnd"/>
      <w:r w:rsidRPr="002D1B80">
        <w:rPr>
          <w:snapToGrid w:val="0"/>
        </w:rPr>
        <w:t xml:space="preserve"> in document TWV/56/</w:t>
      </w:r>
      <w:r w:rsidRPr="00153BC6">
        <w:rPr>
          <w:snapToGrid w:val="0"/>
        </w:rPr>
        <w:t>11.  The TWV</w:t>
      </w:r>
      <w:r w:rsidRPr="002D1B80">
        <w:rPr>
          <w:snapToGrid w:val="0"/>
        </w:rPr>
        <w:t xml:space="preserve"> noted that variety descriptions from the Netherlands </w:t>
      </w:r>
      <w:proofErr w:type="gramStart"/>
      <w:r w:rsidRPr="002D1B80">
        <w:rPr>
          <w:snapToGrid w:val="0"/>
        </w:rPr>
        <w:t>were made</w:t>
      </w:r>
      <w:proofErr w:type="gramEnd"/>
      <w:r w:rsidRPr="002D1B80">
        <w:rPr>
          <w:snapToGrid w:val="0"/>
        </w:rPr>
        <w:t xml:space="preserve"> publicly available on the following website:  </w:t>
      </w:r>
      <w:hyperlink r:id="rId9" w:history="1">
        <w:r w:rsidRPr="002D1B80">
          <w:rPr>
            <w:rStyle w:val="Hyperlink"/>
            <w:snapToGrid w:val="0"/>
          </w:rPr>
          <w:t>https://nederlandsrassenregister.nl/</w:t>
        </w:r>
      </w:hyperlink>
      <w:r w:rsidRPr="002D1B80">
        <w:rPr>
          <w:rStyle w:val="Hyperlink"/>
          <w:snapToGrid w:val="0"/>
        </w:rPr>
        <w:t>.</w:t>
      </w:r>
      <w:r w:rsidRPr="002D1B80">
        <w:rPr>
          <w:snapToGrid w:val="0"/>
        </w:rPr>
        <w:t xml:space="preserve"> </w:t>
      </w:r>
    </w:p>
    <w:p w:rsidR="000071CC" w:rsidRPr="002D1B80" w:rsidRDefault="000071CC" w:rsidP="000071CC">
      <w:pPr>
        <w:shd w:val="clear" w:color="auto" w:fill="FFFFFF" w:themeFill="background1"/>
        <w:rPr>
          <w:snapToGrid w:val="0"/>
        </w:rPr>
      </w:pPr>
    </w:p>
    <w:p w:rsidR="000071CC" w:rsidRPr="002D1B80" w:rsidRDefault="000071CC" w:rsidP="000071CC">
      <w:pPr>
        <w:shd w:val="clear" w:color="auto" w:fill="FFFFFF" w:themeFill="background1"/>
        <w:rPr>
          <w:snapToGrid w:val="0"/>
        </w:rPr>
      </w:pPr>
      <w:r w:rsidRPr="00153BC6">
        <w:rPr>
          <w:snapToGrid w:val="0"/>
        </w:rPr>
        <w:fldChar w:fldCharType="begin"/>
      </w:r>
      <w:r w:rsidRPr="00153BC6">
        <w:rPr>
          <w:snapToGrid w:val="0"/>
        </w:rPr>
        <w:instrText xml:space="preserve"> AUTONUM  </w:instrText>
      </w:r>
      <w:r w:rsidRPr="00153BC6">
        <w:rPr>
          <w:snapToGrid w:val="0"/>
        </w:rPr>
        <w:fldChar w:fldCharType="end"/>
      </w:r>
      <w:r w:rsidRPr="00153BC6">
        <w:rPr>
          <w:snapToGrid w:val="0"/>
        </w:rPr>
        <w:tab/>
        <w:t>The TWV</w:t>
      </w:r>
      <w:r w:rsidRPr="002D1B80">
        <w:rPr>
          <w:snapToGrid w:val="0"/>
        </w:rPr>
        <w:t xml:space="preserve"> noted that the following UPOV members also published variety descriptions and/or provided information on protected varieties at the following directions:</w:t>
      </w:r>
    </w:p>
    <w:p w:rsidR="000071CC" w:rsidRPr="002D1B80" w:rsidRDefault="000071CC" w:rsidP="000071CC">
      <w:pPr>
        <w:shd w:val="clear" w:color="auto" w:fill="FFFFFF" w:themeFill="background1"/>
        <w:rPr>
          <w:snapToGrid w:val="0"/>
        </w:rPr>
      </w:pPr>
    </w:p>
    <w:p w:rsidR="000071CC" w:rsidRPr="00D35F7C" w:rsidRDefault="000071CC" w:rsidP="000071CC">
      <w:pPr>
        <w:pStyle w:val="ListParagraph"/>
        <w:numPr>
          <w:ilvl w:val="0"/>
          <w:numId w:val="2"/>
        </w:numPr>
        <w:shd w:val="clear" w:color="auto" w:fill="FFFFFF" w:themeFill="background1"/>
        <w:ind w:left="1134" w:hanging="567"/>
        <w:rPr>
          <w:snapToGrid w:val="0"/>
          <w:lang w:val="es-ES"/>
        </w:rPr>
      </w:pPr>
      <w:r w:rsidRPr="00D35F7C">
        <w:rPr>
          <w:snapToGrid w:val="0"/>
          <w:lang w:val="es-ES"/>
        </w:rPr>
        <w:t xml:space="preserve">Australian PBR </w:t>
      </w:r>
      <w:proofErr w:type="spellStart"/>
      <w:r w:rsidRPr="00D35F7C">
        <w:rPr>
          <w:snapToGrid w:val="0"/>
          <w:lang w:val="es-ES"/>
        </w:rPr>
        <w:t>database</w:t>
      </w:r>
      <w:proofErr w:type="spellEnd"/>
      <w:r w:rsidRPr="00D35F7C">
        <w:rPr>
          <w:snapToGrid w:val="0"/>
          <w:lang w:val="es-ES"/>
        </w:rPr>
        <w:t xml:space="preserve">: </w:t>
      </w:r>
      <w:r w:rsidR="00D059DC">
        <w:fldChar w:fldCharType="begin"/>
      </w:r>
      <w:r w:rsidR="00D059DC" w:rsidRPr="00D059DC">
        <w:rPr>
          <w:lang w:val="es-ES"/>
        </w:rPr>
        <w:instrText xml:space="preserve"> HYPERLINK "http://pericles.ipaustralia.gov.au/pbr_db/" </w:instrText>
      </w:r>
      <w:r w:rsidR="00D059DC">
        <w:fldChar w:fldCharType="separate"/>
      </w:r>
      <w:r w:rsidRPr="00D35F7C">
        <w:rPr>
          <w:rStyle w:val="Hyperlink"/>
          <w:snapToGrid w:val="0"/>
          <w:lang w:val="es-ES"/>
        </w:rPr>
        <w:t>http://pericles.ipaustralia.gov.au/pbr_db/</w:t>
      </w:r>
      <w:r w:rsidR="00D059DC">
        <w:rPr>
          <w:rStyle w:val="Hyperlink"/>
          <w:snapToGrid w:val="0"/>
          <w:lang w:val="es-ES"/>
        </w:rPr>
        <w:fldChar w:fldCharType="end"/>
      </w:r>
      <w:r w:rsidRPr="00D35F7C">
        <w:rPr>
          <w:snapToGrid w:val="0"/>
          <w:lang w:val="es-ES"/>
        </w:rPr>
        <w:t xml:space="preserve"> </w:t>
      </w:r>
    </w:p>
    <w:p w:rsidR="000071CC" w:rsidRPr="00D35F7C" w:rsidRDefault="000071CC" w:rsidP="000071CC">
      <w:pPr>
        <w:shd w:val="clear" w:color="auto" w:fill="FFFFFF" w:themeFill="background1"/>
        <w:ind w:left="1134" w:hanging="567"/>
        <w:rPr>
          <w:snapToGrid w:val="0"/>
          <w:lang w:val="es-ES"/>
        </w:rPr>
      </w:pPr>
    </w:p>
    <w:p w:rsidR="000071CC" w:rsidRPr="00D35F7C" w:rsidRDefault="000071CC" w:rsidP="000071CC">
      <w:pPr>
        <w:pStyle w:val="ListParagraph"/>
        <w:numPr>
          <w:ilvl w:val="0"/>
          <w:numId w:val="2"/>
        </w:numPr>
        <w:ind w:left="1134" w:hanging="567"/>
        <w:rPr>
          <w:snapToGrid w:val="0"/>
          <w:lang w:val="es-ES"/>
        </w:rPr>
      </w:pPr>
      <w:proofErr w:type="spellStart"/>
      <w:r w:rsidRPr="00D35F7C">
        <w:rPr>
          <w:snapToGrid w:val="0"/>
          <w:lang w:val="es-ES"/>
        </w:rPr>
        <w:t>Brazil</w:t>
      </w:r>
      <w:proofErr w:type="spellEnd"/>
      <w:r w:rsidRPr="00D35F7C">
        <w:rPr>
          <w:snapToGrid w:val="0"/>
          <w:lang w:val="es-ES"/>
        </w:rPr>
        <w:t xml:space="preserve">: </w:t>
      </w:r>
      <w:r w:rsidR="00D059DC">
        <w:fldChar w:fldCharType="begin"/>
      </w:r>
      <w:r w:rsidR="00D059DC" w:rsidRPr="00D059DC">
        <w:rPr>
          <w:lang w:val="es-ES"/>
        </w:rPr>
        <w:instrText xml:space="preserve"> HYPERLINK "https://sistemas.agricultura.gov.br/snpc/cultivarweb/cultivares_protegidas.php" </w:instrText>
      </w:r>
      <w:r w:rsidR="00D059DC">
        <w:fldChar w:fldCharType="separate"/>
      </w:r>
      <w:r w:rsidRPr="00D35F7C">
        <w:rPr>
          <w:rStyle w:val="Hyperlink"/>
          <w:snapToGrid w:val="0"/>
          <w:lang w:val="es-ES"/>
        </w:rPr>
        <w:t>https://sistemas.agricultura.gov.br/snpc/cultivarweb/cultivares_protegidas.php</w:t>
      </w:r>
      <w:r w:rsidR="00D059DC">
        <w:rPr>
          <w:rStyle w:val="Hyperlink"/>
          <w:snapToGrid w:val="0"/>
          <w:lang w:val="es-ES"/>
        </w:rPr>
        <w:fldChar w:fldCharType="end"/>
      </w:r>
      <w:r w:rsidRPr="00D35F7C">
        <w:rPr>
          <w:snapToGrid w:val="0"/>
          <w:lang w:val="es-ES"/>
        </w:rPr>
        <w:t xml:space="preserve"> </w:t>
      </w:r>
    </w:p>
    <w:p w:rsidR="000071CC" w:rsidRPr="00D35F7C" w:rsidRDefault="000071CC" w:rsidP="000071CC">
      <w:pPr>
        <w:shd w:val="clear" w:color="auto" w:fill="FFFFFF" w:themeFill="background1"/>
        <w:ind w:left="1134" w:hanging="567"/>
        <w:rPr>
          <w:snapToGrid w:val="0"/>
          <w:lang w:val="es-ES"/>
        </w:rPr>
      </w:pPr>
    </w:p>
    <w:p w:rsidR="000071CC" w:rsidRPr="00191EB8" w:rsidRDefault="000071CC" w:rsidP="000071CC">
      <w:pPr>
        <w:pStyle w:val="ListParagraph"/>
        <w:numPr>
          <w:ilvl w:val="0"/>
          <w:numId w:val="2"/>
        </w:numPr>
        <w:shd w:val="clear" w:color="auto" w:fill="FFFFFF" w:themeFill="background1"/>
        <w:ind w:left="1134" w:hanging="567"/>
        <w:jc w:val="left"/>
        <w:rPr>
          <w:snapToGrid w:val="0"/>
          <w:lang w:val="es-ES_tradnl"/>
        </w:rPr>
      </w:pPr>
      <w:r w:rsidRPr="00191EB8">
        <w:rPr>
          <w:snapToGrid w:val="0"/>
          <w:lang w:val="es-ES_tradnl"/>
        </w:rPr>
        <w:t xml:space="preserve">Canada: </w:t>
      </w:r>
      <w:r w:rsidR="00D059DC">
        <w:fldChar w:fldCharType="begin"/>
      </w:r>
      <w:r w:rsidR="00D059DC" w:rsidRPr="00D059DC">
        <w:rPr>
          <w:lang w:val="es-ES"/>
        </w:rPr>
        <w:instrText xml:space="preserve"> HYPERLINK "https://inspection.canada.ca/plant-varieties/plant-breeders-rights/varieties/eng/1300463863953/1300463978655" </w:instrText>
      </w:r>
      <w:r w:rsidR="00D059DC">
        <w:fldChar w:fldCharType="separate"/>
      </w:r>
      <w:r w:rsidRPr="00191EB8">
        <w:rPr>
          <w:rStyle w:val="Hyperlink"/>
          <w:snapToGrid w:val="0"/>
          <w:lang w:val="es-ES_tradnl"/>
        </w:rPr>
        <w:t>https://inspection.canada.ca/plant-varieties/plant-breeders-rights/varieties/eng/1300463863953/1300463978655</w:t>
      </w:r>
      <w:r w:rsidR="00D059DC">
        <w:rPr>
          <w:rStyle w:val="Hyperlink"/>
          <w:snapToGrid w:val="0"/>
          <w:lang w:val="es-ES_tradnl"/>
        </w:rPr>
        <w:fldChar w:fldCharType="end"/>
      </w:r>
    </w:p>
    <w:p w:rsidR="000071CC" w:rsidRPr="00191EB8" w:rsidRDefault="000071CC" w:rsidP="000071CC">
      <w:pPr>
        <w:shd w:val="clear" w:color="auto" w:fill="FFFFFF" w:themeFill="background1"/>
        <w:ind w:left="1134" w:hanging="567"/>
        <w:rPr>
          <w:snapToGrid w:val="0"/>
          <w:lang w:val="es-ES_tradnl"/>
        </w:rPr>
      </w:pPr>
    </w:p>
    <w:p w:rsidR="000071CC" w:rsidRPr="002D1B80" w:rsidRDefault="000071CC" w:rsidP="000071CC">
      <w:pPr>
        <w:pStyle w:val="ListParagraph"/>
        <w:numPr>
          <w:ilvl w:val="0"/>
          <w:numId w:val="2"/>
        </w:numPr>
        <w:shd w:val="clear" w:color="auto" w:fill="FFFFFF" w:themeFill="background1"/>
        <w:ind w:left="1134" w:hanging="567"/>
        <w:rPr>
          <w:snapToGrid w:val="0"/>
        </w:rPr>
      </w:pPr>
      <w:r w:rsidRPr="002D1B80">
        <w:rPr>
          <w:snapToGrid w:val="0"/>
        </w:rPr>
        <w:t xml:space="preserve">European Union: </w:t>
      </w:r>
      <w:hyperlink r:id="rId10" w:history="1">
        <w:r w:rsidRPr="002D1B80">
          <w:rPr>
            <w:rStyle w:val="Hyperlink"/>
            <w:snapToGrid w:val="0"/>
          </w:rPr>
          <w:t>https://online.plantvarieties.eu/publicSearch</w:t>
        </w:r>
      </w:hyperlink>
      <w:r w:rsidRPr="002D1B80">
        <w:rPr>
          <w:snapToGrid w:val="0"/>
        </w:rPr>
        <w:t xml:space="preserve"> </w:t>
      </w:r>
    </w:p>
    <w:p w:rsidR="000071CC" w:rsidRPr="002D1B80" w:rsidRDefault="000071CC" w:rsidP="000071CC">
      <w:pPr>
        <w:shd w:val="clear" w:color="auto" w:fill="FFFFFF" w:themeFill="background1"/>
        <w:ind w:left="1134" w:hanging="567"/>
        <w:rPr>
          <w:snapToGrid w:val="0"/>
        </w:rPr>
      </w:pPr>
    </w:p>
    <w:p w:rsidR="000071CC" w:rsidRPr="00D35F7C" w:rsidRDefault="000071CC" w:rsidP="000071CC">
      <w:pPr>
        <w:pStyle w:val="ListParagraph"/>
        <w:numPr>
          <w:ilvl w:val="0"/>
          <w:numId w:val="2"/>
        </w:numPr>
        <w:shd w:val="clear" w:color="auto" w:fill="FFFFFF" w:themeFill="background1"/>
        <w:ind w:left="1134" w:hanging="567"/>
        <w:rPr>
          <w:snapToGrid w:val="0"/>
          <w:lang w:val="fr-CH"/>
        </w:rPr>
      </w:pPr>
      <w:r w:rsidRPr="00D35F7C">
        <w:rPr>
          <w:snapToGrid w:val="0"/>
          <w:lang w:val="fr-CH"/>
        </w:rPr>
        <w:t xml:space="preserve">France: </w:t>
      </w:r>
      <w:r w:rsidR="00D059DC">
        <w:fldChar w:fldCharType="begin"/>
      </w:r>
      <w:r w:rsidR="00D059DC" w:rsidRPr="00D059DC">
        <w:rPr>
          <w:lang w:val="fr-CH"/>
        </w:rPr>
        <w:instrText xml:space="preserve"> HYPERLINK "https://www.geves.fr/catalogue-france/" </w:instrText>
      </w:r>
      <w:r w:rsidR="00D059DC">
        <w:fldChar w:fldCharType="separate"/>
      </w:r>
      <w:r w:rsidRPr="00EC16F8">
        <w:rPr>
          <w:rStyle w:val="Hyperlink"/>
          <w:snapToGrid w:val="0"/>
          <w:lang w:val="fr-CH"/>
        </w:rPr>
        <w:t>https://www.geves.fr/catalogue-france/</w:t>
      </w:r>
      <w:r w:rsidR="00D059DC">
        <w:rPr>
          <w:rStyle w:val="Hyperlink"/>
          <w:snapToGrid w:val="0"/>
          <w:lang w:val="fr-CH"/>
        </w:rPr>
        <w:fldChar w:fldCharType="end"/>
      </w:r>
      <w:r w:rsidRPr="00D35F7C">
        <w:rPr>
          <w:snapToGrid w:val="0"/>
          <w:lang w:val="fr-CH"/>
        </w:rPr>
        <w:t xml:space="preserve"> </w:t>
      </w:r>
    </w:p>
    <w:p w:rsidR="000071CC" w:rsidRPr="00D35F7C" w:rsidRDefault="000071CC" w:rsidP="000071CC">
      <w:pPr>
        <w:rPr>
          <w:snapToGrid w:val="0"/>
          <w:lang w:val="fr-CH"/>
        </w:rPr>
      </w:pPr>
    </w:p>
    <w:p w:rsidR="000071CC" w:rsidRPr="00153BC6" w:rsidRDefault="000071CC" w:rsidP="000071CC">
      <w:pPr>
        <w:rPr>
          <w:snapToGrid w:val="0"/>
        </w:rPr>
      </w:pPr>
      <w:r w:rsidRPr="00153BC6">
        <w:rPr>
          <w:snapToGrid w:val="0"/>
        </w:rPr>
        <w:fldChar w:fldCharType="begin"/>
      </w:r>
      <w:r w:rsidRPr="00153BC6">
        <w:rPr>
          <w:snapToGrid w:val="0"/>
        </w:rPr>
        <w:instrText xml:space="preserve"> AUTONUM  </w:instrText>
      </w:r>
      <w:r w:rsidRPr="00153BC6">
        <w:rPr>
          <w:snapToGrid w:val="0"/>
        </w:rPr>
        <w:fldChar w:fldCharType="end"/>
      </w:r>
      <w:r w:rsidRPr="00153BC6">
        <w:rPr>
          <w:snapToGrid w:val="0"/>
        </w:rPr>
        <w:tab/>
        <w:t>The TWV noted that Argentina and Germany provided variety descriptions upon request.</w:t>
      </w:r>
    </w:p>
    <w:p w:rsidR="000071CC" w:rsidRPr="00153BC6" w:rsidRDefault="000071CC" w:rsidP="000071CC">
      <w:pPr>
        <w:rPr>
          <w:snapToGrid w:val="0"/>
        </w:rPr>
      </w:pPr>
    </w:p>
    <w:p w:rsidR="000071CC" w:rsidRPr="002D1B80" w:rsidRDefault="000071CC" w:rsidP="000071CC">
      <w:r w:rsidRPr="00153BC6">
        <w:rPr>
          <w:snapToGrid w:val="0"/>
        </w:rPr>
        <w:fldChar w:fldCharType="begin"/>
      </w:r>
      <w:r w:rsidRPr="00153BC6">
        <w:rPr>
          <w:snapToGrid w:val="0"/>
        </w:rPr>
        <w:instrText xml:space="preserve"> AUTONUM  </w:instrText>
      </w:r>
      <w:r w:rsidRPr="00153BC6">
        <w:rPr>
          <w:snapToGrid w:val="0"/>
        </w:rPr>
        <w:fldChar w:fldCharType="end"/>
      </w:r>
      <w:r w:rsidRPr="00153BC6">
        <w:rPr>
          <w:snapToGrid w:val="0"/>
        </w:rPr>
        <w:tab/>
        <w:t xml:space="preserve">The TWV agreed with the TWF, at its fifty-second </w:t>
      </w:r>
      <w:proofErr w:type="gramStart"/>
      <w:r w:rsidRPr="00153BC6">
        <w:rPr>
          <w:snapToGrid w:val="0"/>
        </w:rPr>
        <w:t>session, that</w:t>
      </w:r>
      <w:proofErr w:type="gramEnd"/>
      <w:r w:rsidRPr="00153BC6">
        <w:rPr>
          <w:snapToGrid w:val="0"/>
        </w:rPr>
        <w:t xml:space="preserve"> </w:t>
      </w:r>
      <w:r w:rsidRPr="00153BC6">
        <w:t>the Office of the Union should be invited to check whether the information on webpages with variety descriptions could be made available on the</w:t>
      </w:r>
      <w:r w:rsidRPr="002D1B80">
        <w:t xml:space="preserve"> UPOV website.</w:t>
      </w:r>
    </w:p>
    <w:p w:rsidR="00394F44" w:rsidRPr="00F34BF7" w:rsidRDefault="00394F44" w:rsidP="00394F44">
      <w:pPr>
        <w:rPr>
          <w:rFonts w:cs="Arial"/>
        </w:rPr>
      </w:pPr>
    </w:p>
    <w:p w:rsidR="00394F44" w:rsidRPr="00F34BF7" w:rsidRDefault="00394F44" w:rsidP="00394F44">
      <w:pPr>
        <w:rPr>
          <w:rFonts w:cs="Arial"/>
        </w:rPr>
      </w:pPr>
      <w:r w:rsidRPr="00F34BF7">
        <w:rPr>
          <w:rFonts w:cs="Arial"/>
        </w:rPr>
        <w:fldChar w:fldCharType="begin"/>
      </w:r>
      <w:r w:rsidRPr="00F34BF7">
        <w:rPr>
          <w:rFonts w:cs="Arial"/>
        </w:rPr>
        <w:instrText xml:space="preserve"> AUTONUM  </w:instrText>
      </w:r>
      <w:r w:rsidRPr="00F34BF7">
        <w:rPr>
          <w:rFonts w:cs="Arial"/>
        </w:rPr>
        <w:fldChar w:fldCharType="end"/>
      </w:r>
      <w:r w:rsidRPr="00F34BF7">
        <w:rPr>
          <w:rFonts w:cs="Arial"/>
        </w:rPr>
        <w:tab/>
        <w:t>The TWF</w:t>
      </w:r>
      <w:r w:rsidR="00C76184">
        <w:rPr>
          <w:rFonts w:cs="Arial"/>
        </w:rPr>
        <w:t>, at its fifty-third session,</w:t>
      </w:r>
      <w:r w:rsidRPr="00F34BF7">
        <w:rPr>
          <w:rFonts w:cs="Arial"/>
        </w:rPr>
        <w:t xml:space="preserve"> noted that Spain could provide variety descriptions upon request from members.</w:t>
      </w:r>
    </w:p>
    <w:p w:rsidR="00C76184" w:rsidRDefault="00C76184" w:rsidP="00445B73"/>
    <w:p w:rsidR="003D0878" w:rsidRDefault="00F54964" w:rsidP="00F54964">
      <w:pPr>
        <w:tabs>
          <w:tab w:val="left" w:pos="5387"/>
        </w:tabs>
        <w:ind w:left="4820"/>
        <w:rPr>
          <w:i/>
          <w:lang w:val="en-GB"/>
        </w:rPr>
      </w:pPr>
      <w:r>
        <w:rPr>
          <w:i/>
          <w:lang w:val="en-GB"/>
        </w:rPr>
        <w:fldChar w:fldCharType="begin"/>
      </w:r>
      <w:r>
        <w:rPr>
          <w:i/>
          <w:lang w:val="en-GB"/>
        </w:rPr>
        <w:instrText xml:space="preserve"> AUTONUM  </w:instrText>
      </w:r>
      <w:r>
        <w:rPr>
          <w:i/>
          <w:lang w:val="en-GB"/>
        </w:rPr>
        <w:fldChar w:fldCharType="end"/>
      </w:r>
      <w:r>
        <w:rPr>
          <w:i/>
          <w:lang w:val="en-GB"/>
        </w:rPr>
        <w:tab/>
        <w:t xml:space="preserve">The </w:t>
      </w:r>
      <w:r w:rsidR="00C76184">
        <w:rPr>
          <w:i/>
          <w:lang w:val="en-GB"/>
        </w:rPr>
        <w:t xml:space="preserve">TC </w:t>
      </w:r>
      <w:proofErr w:type="gramStart"/>
      <w:r w:rsidR="00C76184">
        <w:rPr>
          <w:i/>
          <w:lang w:val="en-GB"/>
        </w:rPr>
        <w:t>is invited</w:t>
      </w:r>
      <w:proofErr w:type="gramEnd"/>
      <w:r w:rsidR="00C76184">
        <w:rPr>
          <w:i/>
          <w:lang w:val="en-GB"/>
        </w:rPr>
        <w:t xml:space="preserve"> to</w:t>
      </w:r>
      <w:r w:rsidR="003D0878">
        <w:rPr>
          <w:i/>
          <w:lang w:val="en-GB"/>
        </w:rPr>
        <w:t>:</w:t>
      </w:r>
    </w:p>
    <w:p w:rsidR="003D0878" w:rsidRDefault="003D0878" w:rsidP="00F54964">
      <w:pPr>
        <w:tabs>
          <w:tab w:val="left" w:pos="5387"/>
        </w:tabs>
        <w:ind w:left="4820"/>
        <w:rPr>
          <w:i/>
          <w:lang w:val="en-GB"/>
        </w:rPr>
      </w:pPr>
    </w:p>
    <w:p w:rsidR="00F54964" w:rsidRDefault="003D0878" w:rsidP="003D0878">
      <w:pPr>
        <w:tabs>
          <w:tab w:val="left" w:pos="5387"/>
          <w:tab w:val="left" w:pos="5954"/>
        </w:tabs>
        <w:ind w:left="4820"/>
        <w:rPr>
          <w:i/>
          <w:snapToGrid w:val="0"/>
          <w:szCs w:val="24"/>
          <w:lang w:val="en-GB"/>
        </w:rPr>
      </w:pPr>
      <w:r>
        <w:rPr>
          <w:i/>
          <w:lang w:val="en-GB"/>
        </w:rPr>
        <w:tab/>
        <w:t>(a)</w:t>
      </w:r>
      <w:r>
        <w:rPr>
          <w:i/>
          <w:lang w:val="en-GB"/>
        </w:rPr>
        <w:tab/>
      </w:r>
      <w:proofErr w:type="gramStart"/>
      <w:r w:rsidR="00C76184">
        <w:rPr>
          <w:i/>
          <w:lang w:val="en-GB"/>
        </w:rPr>
        <w:t>consider</w:t>
      </w:r>
      <w:proofErr w:type="gramEnd"/>
      <w:r w:rsidR="00C76184">
        <w:rPr>
          <w:i/>
          <w:lang w:val="en-GB"/>
        </w:rPr>
        <w:t xml:space="preserve"> whether to invite the Office of the Union explore possibilities to make information about webpages with variety descriptions available on the UPOV website</w:t>
      </w:r>
      <w:r>
        <w:rPr>
          <w:i/>
          <w:lang w:val="en-GB"/>
        </w:rPr>
        <w:t>; and</w:t>
      </w:r>
      <w:r w:rsidR="00C76184">
        <w:rPr>
          <w:i/>
          <w:lang w:val="en-GB"/>
        </w:rPr>
        <w:t xml:space="preserve"> </w:t>
      </w:r>
    </w:p>
    <w:p w:rsidR="00F54964" w:rsidRDefault="00F54964" w:rsidP="00F54964">
      <w:pPr>
        <w:tabs>
          <w:tab w:val="left" w:pos="5387"/>
        </w:tabs>
        <w:ind w:left="4820"/>
        <w:rPr>
          <w:i/>
          <w:snapToGrid w:val="0"/>
          <w:szCs w:val="24"/>
          <w:lang w:val="en-GB"/>
        </w:rPr>
      </w:pPr>
    </w:p>
    <w:p w:rsidR="00F54964" w:rsidRDefault="003D0878" w:rsidP="003D0878">
      <w:pPr>
        <w:keepNext/>
        <w:keepLines/>
        <w:tabs>
          <w:tab w:val="left" w:pos="5387"/>
          <w:tab w:val="left" w:pos="5954"/>
        </w:tabs>
        <w:ind w:left="4820"/>
        <w:rPr>
          <w:i/>
          <w:snapToGrid w:val="0"/>
          <w:szCs w:val="24"/>
          <w:lang w:val="en-GB"/>
        </w:rPr>
      </w:pPr>
      <w:r>
        <w:rPr>
          <w:i/>
          <w:snapToGrid w:val="0"/>
          <w:szCs w:val="24"/>
          <w:lang w:val="en-GB"/>
        </w:rPr>
        <w:tab/>
        <w:t>(b)</w:t>
      </w:r>
      <w:r>
        <w:rPr>
          <w:i/>
          <w:snapToGrid w:val="0"/>
          <w:szCs w:val="24"/>
          <w:lang w:val="en-GB"/>
        </w:rPr>
        <w:tab/>
      </w:r>
      <w:proofErr w:type="gramStart"/>
      <w:r w:rsidR="00C76184">
        <w:rPr>
          <w:i/>
          <w:snapToGrid w:val="0"/>
          <w:szCs w:val="24"/>
          <w:lang w:val="en-GB"/>
        </w:rPr>
        <w:t>recall</w:t>
      </w:r>
      <w:proofErr w:type="gramEnd"/>
      <w:r w:rsidR="00C76184">
        <w:rPr>
          <w:i/>
          <w:snapToGrid w:val="0"/>
          <w:szCs w:val="24"/>
          <w:lang w:val="en-GB"/>
        </w:rPr>
        <w:t xml:space="preserve"> the invitation for members of the </w:t>
      </w:r>
      <w:r w:rsidR="00F54964">
        <w:rPr>
          <w:i/>
          <w:snapToGrid w:val="0"/>
          <w:szCs w:val="24"/>
          <w:lang w:val="en-GB"/>
        </w:rPr>
        <w:t xml:space="preserve">Union </w:t>
      </w:r>
      <w:r>
        <w:rPr>
          <w:i/>
          <w:snapToGrid w:val="0"/>
          <w:szCs w:val="24"/>
          <w:lang w:val="en-GB"/>
        </w:rPr>
        <w:t xml:space="preserve">to report </w:t>
      </w:r>
      <w:r w:rsidR="00F54964">
        <w:rPr>
          <w:i/>
          <w:snapToGrid w:val="0"/>
          <w:szCs w:val="24"/>
          <w:lang w:val="en-GB"/>
        </w:rPr>
        <w:t xml:space="preserve">to the </w:t>
      </w:r>
      <w:r w:rsidR="00C76184">
        <w:rPr>
          <w:i/>
          <w:snapToGrid w:val="0"/>
          <w:szCs w:val="24"/>
          <w:lang w:val="en-GB"/>
        </w:rPr>
        <w:t xml:space="preserve">TC and </w:t>
      </w:r>
      <w:r w:rsidR="00F54964">
        <w:rPr>
          <w:i/>
          <w:snapToGrid w:val="0"/>
          <w:szCs w:val="24"/>
          <w:lang w:val="en-GB"/>
        </w:rPr>
        <w:t>TWPs on work concerning the development of databases containing morphological and/or molecular data.</w:t>
      </w:r>
    </w:p>
    <w:p w:rsidR="00F54964" w:rsidRDefault="00F54964" w:rsidP="00F54964">
      <w:pPr>
        <w:rPr>
          <w:lang w:val="en-GB"/>
        </w:rPr>
      </w:pPr>
    </w:p>
    <w:p w:rsidR="003D0878" w:rsidRDefault="003D0878" w:rsidP="00F54964">
      <w:pPr>
        <w:rPr>
          <w:lang w:val="en-GB"/>
        </w:rPr>
      </w:pPr>
    </w:p>
    <w:p w:rsidR="00445B73" w:rsidRPr="00C651CE" w:rsidRDefault="00445B73" w:rsidP="00445B73"/>
    <w:p w:rsidR="00445B73" w:rsidRDefault="00445B73" w:rsidP="00445B73">
      <w:pPr>
        <w:jc w:val="right"/>
      </w:pPr>
      <w:r w:rsidRPr="00C5280D">
        <w:t xml:space="preserve"> [End of document]</w:t>
      </w:r>
    </w:p>
    <w:p w:rsidR="00445B73" w:rsidRPr="00C5280D" w:rsidRDefault="00445B73" w:rsidP="00445B73">
      <w:pPr>
        <w:jc w:val="left"/>
      </w:pPr>
    </w:p>
    <w:p w:rsidR="00050E16" w:rsidRPr="00C5280D" w:rsidRDefault="00050E16" w:rsidP="009B440E">
      <w:pPr>
        <w:jc w:val="left"/>
      </w:pPr>
    </w:p>
    <w:sectPr w:rsidR="00050E16" w:rsidRPr="00C5280D" w:rsidSect="0004198B">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82" w:rsidRDefault="00DD1482" w:rsidP="006655D3">
      <w:r>
        <w:separator/>
      </w:r>
    </w:p>
    <w:p w:rsidR="00DD1482" w:rsidRDefault="00DD1482" w:rsidP="006655D3"/>
    <w:p w:rsidR="00DD1482" w:rsidRDefault="00DD1482" w:rsidP="006655D3"/>
  </w:endnote>
  <w:endnote w:type="continuationSeparator" w:id="0">
    <w:p w:rsidR="00DD1482" w:rsidRDefault="00DD1482" w:rsidP="006655D3">
      <w:r>
        <w:separator/>
      </w:r>
    </w:p>
    <w:p w:rsidR="00DD1482" w:rsidRPr="00294751" w:rsidRDefault="00DD1482">
      <w:pPr>
        <w:pStyle w:val="Footer"/>
        <w:spacing w:after="60"/>
        <w:rPr>
          <w:sz w:val="18"/>
          <w:lang w:val="fr-FR"/>
        </w:rPr>
      </w:pPr>
      <w:r w:rsidRPr="00294751">
        <w:rPr>
          <w:sz w:val="18"/>
          <w:lang w:val="fr-FR"/>
        </w:rPr>
        <w:t>[Suite de la note de la page précédente]</w:t>
      </w:r>
    </w:p>
    <w:p w:rsidR="00DD1482" w:rsidRPr="00294751" w:rsidRDefault="00DD1482" w:rsidP="006655D3">
      <w:pPr>
        <w:rPr>
          <w:lang w:val="fr-FR"/>
        </w:rPr>
      </w:pPr>
    </w:p>
    <w:p w:rsidR="00DD1482" w:rsidRPr="00294751" w:rsidRDefault="00DD1482" w:rsidP="006655D3">
      <w:pPr>
        <w:rPr>
          <w:lang w:val="fr-FR"/>
        </w:rPr>
      </w:pPr>
    </w:p>
  </w:endnote>
  <w:endnote w:type="continuationNotice" w:id="1">
    <w:p w:rsidR="00DD1482" w:rsidRPr="00294751" w:rsidRDefault="00DD1482" w:rsidP="006655D3">
      <w:pPr>
        <w:rPr>
          <w:lang w:val="fr-FR"/>
        </w:rPr>
      </w:pPr>
      <w:r w:rsidRPr="00294751">
        <w:rPr>
          <w:lang w:val="fr-FR"/>
        </w:rPr>
        <w:t>[Suite de la note page suivante]</w:t>
      </w:r>
    </w:p>
    <w:p w:rsidR="00DD1482" w:rsidRPr="00294751" w:rsidRDefault="00DD1482" w:rsidP="006655D3">
      <w:pPr>
        <w:rPr>
          <w:lang w:val="fr-FR"/>
        </w:rPr>
      </w:pPr>
    </w:p>
    <w:p w:rsidR="00DD1482" w:rsidRPr="00294751" w:rsidRDefault="00DD14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82" w:rsidRDefault="00DD1482" w:rsidP="006655D3">
      <w:r>
        <w:separator/>
      </w:r>
    </w:p>
  </w:footnote>
  <w:footnote w:type="continuationSeparator" w:id="0">
    <w:p w:rsidR="00DD1482" w:rsidRDefault="00DD1482" w:rsidP="006655D3">
      <w:r>
        <w:separator/>
      </w:r>
    </w:p>
  </w:footnote>
  <w:footnote w:type="continuationNotice" w:id="1">
    <w:p w:rsidR="00DD1482" w:rsidRPr="00AB530F" w:rsidRDefault="00DD1482" w:rsidP="00AB530F">
      <w:pPr>
        <w:pStyle w:val="Footer"/>
      </w:pPr>
    </w:p>
  </w:footnote>
  <w:footnote w:id="2">
    <w:p w:rsidR="00EB4232" w:rsidRDefault="00EB4232" w:rsidP="00EB4232">
      <w:pPr>
        <w:pStyle w:val="FootnoteText"/>
      </w:pPr>
      <w:r>
        <w:rPr>
          <w:rStyle w:val="FootnoteReference"/>
        </w:rPr>
        <w:footnoteRef/>
      </w:r>
      <w:r>
        <w:t xml:space="preserve"> </w:t>
      </w:r>
      <w:r w:rsidRPr="00602AF3">
        <w:rPr>
          <w:lang w:val="en-GB"/>
        </w:rPr>
        <w:t>held in Geneva from March 30 to April 1, 2009</w:t>
      </w:r>
    </w:p>
  </w:footnote>
  <w:footnote w:id="3">
    <w:p w:rsidR="00F54964" w:rsidRPr="0067537F" w:rsidRDefault="00F54964" w:rsidP="00F54964">
      <w:pPr>
        <w:pStyle w:val="FootnoteText"/>
      </w:pPr>
      <w:r w:rsidRPr="0067537F">
        <w:rPr>
          <w:rStyle w:val="FootnoteReference"/>
        </w:rPr>
        <w:footnoteRef/>
      </w:r>
      <w:r w:rsidRPr="0067537F">
        <w:t xml:space="preserve"> at its fifty-sixth session, held via electronic means, from April 18 to 22, 2022</w:t>
      </w:r>
    </w:p>
  </w:footnote>
  <w:footnote w:id="4">
    <w:p w:rsidR="00F54964" w:rsidRPr="0067537F" w:rsidRDefault="00F54964" w:rsidP="00F54964">
      <w:pPr>
        <w:pStyle w:val="FootnoteText"/>
        <w:rPr>
          <w:highlight w:val="cyan"/>
        </w:rPr>
      </w:pPr>
      <w:r w:rsidRPr="0067537F">
        <w:rPr>
          <w:rStyle w:val="FootnoteReference"/>
        </w:rPr>
        <w:footnoteRef/>
      </w:r>
      <w:r w:rsidRPr="0067537F">
        <w:t xml:space="preserve"> at its fifty-first session, hosted by the United Kingdom and held via electronic means, from May 23 to 27, 2022</w:t>
      </w:r>
    </w:p>
  </w:footnote>
  <w:footnote w:id="5">
    <w:p w:rsidR="00F54964" w:rsidRPr="0067537F" w:rsidRDefault="00F54964" w:rsidP="00F54964">
      <w:pPr>
        <w:pStyle w:val="FootnoteText"/>
        <w:rPr>
          <w:highlight w:val="cyan"/>
        </w:rPr>
      </w:pPr>
      <w:r w:rsidRPr="00D27BB4">
        <w:rPr>
          <w:rStyle w:val="FootnoteReference"/>
        </w:rPr>
        <w:footnoteRef/>
      </w:r>
      <w:r w:rsidRPr="00D27BB4">
        <w:t xml:space="preserve"> at its fifty-fourth session, , hosted by Germany held via electronic means, from June 13 to 17, 2022</w:t>
      </w:r>
    </w:p>
  </w:footnote>
  <w:footnote w:id="6">
    <w:p w:rsidR="00F54964" w:rsidRDefault="00F54964" w:rsidP="00F54964">
      <w:pPr>
        <w:pStyle w:val="FootnoteText"/>
      </w:pPr>
      <w:r w:rsidRPr="00D27BB4">
        <w:rPr>
          <w:rStyle w:val="FootnoteReference"/>
        </w:rPr>
        <w:footnoteRef/>
      </w:r>
      <w:r w:rsidRPr="00D27BB4">
        <w:t xml:space="preserve"> at its fifty-third session, held via electronic means, from July 11 to 15, 2022</w:t>
      </w:r>
    </w:p>
  </w:footnote>
  <w:footnote w:id="7">
    <w:p w:rsidR="00F54964" w:rsidRPr="005F1F78" w:rsidRDefault="00F54964" w:rsidP="00F54964">
      <w:pPr>
        <w:pStyle w:val="FootnoteText"/>
      </w:pPr>
      <w:r w:rsidRPr="005F1F78">
        <w:rPr>
          <w:rStyle w:val="FootnoteReference"/>
        </w:rPr>
        <w:footnoteRef/>
      </w:r>
      <w:r w:rsidRPr="005F1F78">
        <w:t xml:space="preserve"> </w:t>
      </w:r>
      <w:r w:rsidRPr="00D27BB4">
        <w:t>at its fi</w:t>
      </w:r>
      <w:r>
        <w:t>rst</w:t>
      </w:r>
      <w:r w:rsidRPr="00D27BB4">
        <w:t xml:space="preserve"> session, held via electronic means, from </w:t>
      </w:r>
      <w:r>
        <w:t>September</w:t>
      </w:r>
      <w:r w:rsidRPr="00D27BB4">
        <w:t xml:space="preserve"> 1</w:t>
      </w:r>
      <w:r>
        <w:t>9</w:t>
      </w:r>
      <w:r w:rsidRPr="00D27BB4">
        <w:t xml:space="preserve"> to </w:t>
      </w:r>
      <w:r>
        <w:t>23</w:t>
      </w:r>
      <w:r w:rsidRPr="00D27BB4">
        <w: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D0839" w:rsidP="00EB048E">
    <w:pPr>
      <w:pStyle w:val="Header"/>
      <w:rPr>
        <w:rStyle w:val="PageNumber"/>
        <w:lang w:val="en-US"/>
      </w:rPr>
    </w:pPr>
    <w:r>
      <w:rPr>
        <w:rStyle w:val="PageNumber"/>
        <w:lang w:val="en-US"/>
      </w:rPr>
      <w:t>TC/58</w:t>
    </w:r>
    <w:r w:rsidR="0004198B">
      <w:rPr>
        <w:rStyle w:val="PageNumber"/>
        <w:lang w:val="en-US"/>
      </w:rPr>
      <w:t>/</w:t>
    </w:r>
    <w:r w:rsidR="008559E0">
      <w:rPr>
        <w:rStyle w:val="PageNumber"/>
        <w:lang w:val="en-US"/>
      </w:rPr>
      <w:t>1</w:t>
    </w:r>
    <w:r w:rsidR="00561708">
      <w:rPr>
        <w:rStyle w:val="PageNumber"/>
        <w:lang w:val="en-US"/>
      </w:rPr>
      <w:t>2</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059DC">
      <w:rPr>
        <w:rStyle w:val="PageNumber"/>
        <w:noProof/>
        <w:lang w:val="en-US"/>
      </w:rPr>
      <w:t>3</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70CB"/>
    <w:multiLevelType w:val="hybridMultilevel"/>
    <w:tmpl w:val="C064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71CC"/>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4612"/>
    <w:rsid w:val="00172084"/>
    <w:rsid w:val="0017474A"/>
    <w:rsid w:val="001758C6"/>
    <w:rsid w:val="00182B99"/>
    <w:rsid w:val="001C1525"/>
    <w:rsid w:val="001C3C4E"/>
    <w:rsid w:val="001C6546"/>
    <w:rsid w:val="0021332C"/>
    <w:rsid w:val="00213982"/>
    <w:rsid w:val="0024416D"/>
    <w:rsid w:val="00271911"/>
    <w:rsid w:val="00273187"/>
    <w:rsid w:val="002800A0"/>
    <w:rsid w:val="002801B3"/>
    <w:rsid w:val="00281060"/>
    <w:rsid w:val="00284050"/>
    <w:rsid w:val="00284ACE"/>
    <w:rsid w:val="00285BD0"/>
    <w:rsid w:val="002940E8"/>
    <w:rsid w:val="00294751"/>
    <w:rsid w:val="002A6E50"/>
    <w:rsid w:val="002B4298"/>
    <w:rsid w:val="002B7A36"/>
    <w:rsid w:val="002C256A"/>
    <w:rsid w:val="002D5226"/>
    <w:rsid w:val="002F2405"/>
    <w:rsid w:val="00305A7F"/>
    <w:rsid w:val="003152FE"/>
    <w:rsid w:val="00327436"/>
    <w:rsid w:val="00344BD6"/>
    <w:rsid w:val="0035528D"/>
    <w:rsid w:val="00361821"/>
    <w:rsid w:val="00361E9E"/>
    <w:rsid w:val="003753EE"/>
    <w:rsid w:val="00394F44"/>
    <w:rsid w:val="003A0835"/>
    <w:rsid w:val="003A5AAF"/>
    <w:rsid w:val="003B700A"/>
    <w:rsid w:val="003C7FBE"/>
    <w:rsid w:val="003D0839"/>
    <w:rsid w:val="003D0878"/>
    <w:rsid w:val="003D227C"/>
    <w:rsid w:val="003D2B4D"/>
    <w:rsid w:val="003D5F5B"/>
    <w:rsid w:val="003F37F5"/>
    <w:rsid w:val="00444A88"/>
    <w:rsid w:val="00445B73"/>
    <w:rsid w:val="00474DA4"/>
    <w:rsid w:val="00476B4D"/>
    <w:rsid w:val="004805FA"/>
    <w:rsid w:val="004935D2"/>
    <w:rsid w:val="004B1215"/>
    <w:rsid w:val="004D047D"/>
    <w:rsid w:val="004F1E9E"/>
    <w:rsid w:val="004F305A"/>
    <w:rsid w:val="005007AA"/>
    <w:rsid w:val="005063E0"/>
    <w:rsid w:val="00512164"/>
    <w:rsid w:val="00520297"/>
    <w:rsid w:val="005338F9"/>
    <w:rsid w:val="0054281C"/>
    <w:rsid w:val="00544581"/>
    <w:rsid w:val="0055268D"/>
    <w:rsid w:val="0055774C"/>
    <w:rsid w:val="00561708"/>
    <w:rsid w:val="00575DE2"/>
    <w:rsid w:val="00576BE4"/>
    <w:rsid w:val="005779DB"/>
    <w:rsid w:val="005A2A67"/>
    <w:rsid w:val="005A400A"/>
    <w:rsid w:val="005B269D"/>
    <w:rsid w:val="005B403C"/>
    <w:rsid w:val="005D2899"/>
    <w:rsid w:val="005D6F14"/>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3B27"/>
    <w:rsid w:val="006D780A"/>
    <w:rsid w:val="006E359B"/>
    <w:rsid w:val="006E7408"/>
    <w:rsid w:val="006F34A1"/>
    <w:rsid w:val="00700DD6"/>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C4DDB"/>
    <w:rsid w:val="007D0B9D"/>
    <w:rsid w:val="007D19B0"/>
    <w:rsid w:val="007F498F"/>
    <w:rsid w:val="0080679D"/>
    <w:rsid w:val="008108B0"/>
    <w:rsid w:val="00811B20"/>
    <w:rsid w:val="00812609"/>
    <w:rsid w:val="008211B5"/>
    <w:rsid w:val="0082296E"/>
    <w:rsid w:val="00824099"/>
    <w:rsid w:val="00827704"/>
    <w:rsid w:val="00845D3B"/>
    <w:rsid w:val="00846D7C"/>
    <w:rsid w:val="008559E0"/>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704EF"/>
    <w:rsid w:val="00970FED"/>
    <w:rsid w:val="00985E41"/>
    <w:rsid w:val="00992D82"/>
    <w:rsid w:val="00997029"/>
    <w:rsid w:val="009A7339"/>
    <w:rsid w:val="009B440E"/>
    <w:rsid w:val="009D690D"/>
    <w:rsid w:val="009E65B6"/>
    <w:rsid w:val="009F0A51"/>
    <w:rsid w:val="009F0B7F"/>
    <w:rsid w:val="009F77CF"/>
    <w:rsid w:val="00A12795"/>
    <w:rsid w:val="00A2054A"/>
    <w:rsid w:val="00A24C10"/>
    <w:rsid w:val="00A42AC3"/>
    <w:rsid w:val="00A430CF"/>
    <w:rsid w:val="00A54309"/>
    <w:rsid w:val="00A5499F"/>
    <w:rsid w:val="00A55168"/>
    <w:rsid w:val="00A610A9"/>
    <w:rsid w:val="00A66B7E"/>
    <w:rsid w:val="00A718F4"/>
    <w:rsid w:val="00A80F2A"/>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83E82"/>
    <w:rsid w:val="00B84BBD"/>
    <w:rsid w:val="00B91195"/>
    <w:rsid w:val="00BA43FB"/>
    <w:rsid w:val="00BC127D"/>
    <w:rsid w:val="00BC1FE6"/>
    <w:rsid w:val="00BD42F5"/>
    <w:rsid w:val="00C061B6"/>
    <w:rsid w:val="00C2446C"/>
    <w:rsid w:val="00C36AE5"/>
    <w:rsid w:val="00C41F17"/>
    <w:rsid w:val="00C45098"/>
    <w:rsid w:val="00C527FA"/>
    <w:rsid w:val="00C5280D"/>
    <w:rsid w:val="00C53EB3"/>
    <w:rsid w:val="00C5791C"/>
    <w:rsid w:val="00C66290"/>
    <w:rsid w:val="00C72B7A"/>
    <w:rsid w:val="00C76184"/>
    <w:rsid w:val="00C973F2"/>
    <w:rsid w:val="00CA304C"/>
    <w:rsid w:val="00CA774A"/>
    <w:rsid w:val="00CB4921"/>
    <w:rsid w:val="00CC11B0"/>
    <w:rsid w:val="00CC2841"/>
    <w:rsid w:val="00CF1330"/>
    <w:rsid w:val="00CF7E36"/>
    <w:rsid w:val="00D059DC"/>
    <w:rsid w:val="00D3708D"/>
    <w:rsid w:val="00D40426"/>
    <w:rsid w:val="00D57C96"/>
    <w:rsid w:val="00D57D18"/>
    <w:rsid w:val="00D70E65"/>
    <w:rsid w:val="00D91203"/>
    <w:rsid w:val="00D95174"/>
    <w:rsid w:val="00DA0F85"/>
    <w:rsid w:val="00DA4973"/>
    <w:rsid w:val="00DA6F36"/>
    <w:rsid w:val="00DB596E"/>
    <w:rsid w:val="00DB7773"/>
    <w:rsid w:val="00DC00EA"/>
    <w:rsid w:val="00DC3802"/>
    <w:rsid w:val="00DD1482"/>
    <w:rsid w:val="00DD6208"/>
    <w:rsid w:val="00DE2750"/>
    <w:rsid w:val="00DF7E99"/>
    <w:rsid w:val="00E01F02"/>
    <w:rsid w:val="00E07D87"/>
    <w:rsid w:val="00E249C8"/>
    <w:rsid w:val="00E32F7E"/>
    <w:rsid w:val="00E37783"/>
    <w:rsid w:val="00E4454C"/>
    <w:rsid w:val="00E5267B"/>
    <w:rsid w:val="00E559F0"/>
    <w:rsid w:val="00E63C0E"/>
    <w:rsid w:val="00E7232A"/>
    <w:rsid w:val="00E72D49"/>
    <w:rsid w:val="00E7593C"/>
    <w:rsid w:val="00E7678A"/>
    <w:rsid w:val="00E76CDA"/>
    <w:rsid w:val="00E935F1"/>
    <w:rsid w:val="00E94A81"/>
    <w:rsid w:val="00EA1FFB"/>
    <w:rsid w:val="00EB048E"/>
    <w:rsid w:val="00EB4232"/>
    <w:rsid w:val="00EB4E9C"/>
    <w:rsid w:val="00EC634B"/>
    <w:rsid w:val="00ED77EF"/>
    <w:rsid w:val="00EE34DF"/>
    <w:rsid w:val="00EF2F89"/>
    <w:rsid w:val="00F03E98"/>
    <w:rsid w:val="00F1237A"/>
    <w:rsid w:val="00F22CBD"/>
    <w:rsid w:val="00F272F1"/>
    <w:rsid w:val="00F31412"/>
    <w:rsid w:val="00F401C6"/>
    <w:rsid w:val="00F45372"/>
    <w:rsid w:val="00F54964"/>
    <w:rsid w:val="00F560F7"/>
    <w:rsid w:val="00F6334D"/>
    <w:rsid w:val="00F63599"/>
    <w:rsid w:val="00F71781"/>
    <w:rsid w:val="00FA49AB"/>
    <w:rsid w:val="00FB424F"/>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E76CDA"/>
    <w:pPr>
      <w:tabs>
        <w:tab w:val="right" w:leader="dot" w:pos="9639"/>
      </w:tabs>
      <w:spacing w:before="60"/>
      <w:ind w:right="1418"/>
      <w:jc w:val="center"/>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3Char">
    <w:name w:val="Heading 3 Char"/>
    <w:basedOn w:val="DefaultParagraphFont"/>
    <w:link w:val="Heading3"/>
    <w:rsid w:val="000071CC"/>
    <w:rPr>
      <w:rFonts w:ascii="Arial" w:hAnsi="Arial"/>
      <w:i/>
    </w:rPr>
  </w:style>
  <w:style w:type="paragraph" w:styleId="ListParagraph">
    <w:name w:val="List Paragraph"/>
    <w:aliases w:val="auto_list_(i),List Paragraph1"/>
    <w:basedOn w:val="Normal"/>
    <w:link w:val="ListParagraphChar"/>
    <w:uiPriority w:val="34"/>
    <w:qFormat/>
    <w:rsid w:val="000071CC"/>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0071CC"/>
    <w:rPr>
      <w:rFonts w:ascii="Arial" w:hAnsi="Arial"/>
    </w:rPr>
  </w:style>
  <w:style w:type="character" w:customStyle="1" w:styleId="FootnoteTextChar">
    <w:name w:val="Footnote Text Char"/>
    <w:basedOn w:val="DefaultParagraphFont"/>
    <w:link w:val="FootnoteText"/>
    <w:rsid w:val="00EB4232"/>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line.plantvarieties.eu/publicSearch" TargetMode="External"/><Relationship Id="rId4" Type="http://schemas.openxmlformats.org/officeDocument/2006/relationships/settings" Target="settings.xml"/><Relationship Id="rId9" Type="http://schemas.openxmlformats.org/officeDocument/2006/relationships/hyperlink" Target="https://nederlandsrassenregister.n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09575-34E8-4B21-8BBA-5778AE21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3</Pages>
  <Words>1041</Words>
  <Characters>6928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TC/58</vt:lpstr>
    </vt:vector>
  </TitlesOfParts>
  <Company>UPOV</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MAY Jessica</cp:lastModifiedBy>
  <cp:revision>6</cp:revision>
  <cp:lastPrinted>2016-11-22T15:41:00Z</cp:lastPrinted>
  <dcterms:created xsi:type="dcterms:W3CDTF">2022-10-05T07:45:00Z</dcterms:created>
  <dcterms:modified xsi:type="dcterms:W3CDTF">2022-10-06T08:29:00Z</dcterms:modified>
</cp:coreProperties>
</file>