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E64F5">
        <w:tc>
          <w:tcPr>
            <w:tcW w:w="6512" w:type="dxa"/>
          </w:tcPr>
          <w:p w:rsidR="00445B73" w:rsidRPr="00AC2883" w:rsidRDefault="00445B73" w:rsidP="004E64F5">
            <w:pPr>
              <w:pStyle w:val="Sessiontc"/>
              <w:spacing w:line="240" w:lineRule="auto"/>
            </w:pPr>
            <w:r w:rsidRPr="00DA4973">
              <w:t>Technical Committee</w:t>
            </w:r>
          </w:p>
          <w:p w:rsidR="00445B73" w:rsidRPr="00DC3802" w:rsidRDefault="00445B73" w:rsidP="004E64F5">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5D49F3" w:rsidP="004E64F5">
            <w:pPr>
              <w:pStyle w:val="Doccode"/>
            </w:pPr>
            <w:r>
              <w:t>TC/57/3</w:t>
            </w:r>
          </w:p>
          <w:p w:rsidR="00445B73" w:rsidRPr="003C7FBE" w:rsidRDefault="00445B73" w:rsidP="004E64F5">
            <w:pPr>
              <w:pStyle w:val="Docoriginal"/>
            </w:pPr>
            <w:r w:rsidRPr="00AC2883">
              <w:t>Original:</w:t>
            </w:r>
            <w:r w:rsidRPr="000E636A">
              <w:rPr>
                <w:b w:val="0"/>
                <w:spacing w:val="0"/>
              </w:rPr>
              <w:t xml:space="preserve">  English</w:t>
            </w:r>
          </w:p>
          <w:p w:rsidR="00445B73" w:rsidRPr="007C1D92" w:rsidRDefault="00445B73" w:rsidP="0075336E">
            <w:pPr>
              <w:pStyle w:val="Docoriginal"/>
            </w:pPr>
            <w:r w:rsidRPr="00AC2883">
              <w:t>Date:</w:t>
            </w:r>
            <w:r>
              <w:rPr>
                <w:b w:val="0"/>
                <w:spacing w:val="0"/>
              </w:rPr>
              <w:t xml:space="preserve">  </w:t>
            </w:r>
            <w:r w:rsidR="002A330A" w:rsidRPr="0075336E">
              <w:rPr>
                <w:b w:val="0"/>
                <w:spacing w:val="0"/>
              </w:rPr>
              <w:t xml:space="preserve">August </w:t>
            </w:r>
            <w:r w:rsidR="0075336E" w:rsidRPr="0075336E">
              <w:rPr>
                <w:b w:val="0"/>
                <w:spacing w:val="0"/>
              </w:rPr>
              <w:t>20</w:t>
            </w:r>
            <w:r w:rsidRPr="0075336E">
              <w:rPr>
                <w:b w:val="0"/>
                <w:spacing w:val="0"/>
              </w:rPr>
              <w:t>, 2021</w:t>
            </w:r>
          </w:p>
        </w:tc>
      </w:tr>
    </w:tbl>
    <w:p w:rsidR="00445B73" w:rsidRPr="006A644A" w:rsidRDefault="005D49F3" w:rsidP="00445B73">
      <w:pPr>
        <w:pStyle w:val="Titleofdoc0"/>
      </w:pPr>
      <w:bookmarkStart w:id="0" w:name="TitleOfDoc"/>
      <w:bookmarkEnd w:id="0"/>
      <w:r w:rsidRPr="005D49F3">
        <w:t>Matters arising from the Technical Working Parties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137AED" w:rsidRDefault="00137AED" w:rsidP="00137AED">
      <w:pPr>
        <w:pStyle w:val="Heading1"/>
      </w:pPr>
      <w:bookmarkStart w:id="2" w:name="_Toc20505077"/>
      <w:bookmarkStart w:id="3" w:name="_Toc79758892"/>
      <w:r>
        <w:t>EXECUTIVE SUMMARY</w:t>
      </w:r>
      <w:bookmarkEnd w:id="2"/>
      <w:bookmarkEnd w:id="3"/>
    </w:p>
    <w:p w:rsidR="00137AED" w:rsidRDefault="00137AED" w:rsidP="00137AED">
      <w:pPr>
        <w:rPr>
          <w:color w:val="000000"/>
        </w:rPr>
      </w:pPr>
    </w:p>
    <w:p w:rsidR="002A330A" w:rsidRPr="002A330A" w:rsidRDefault="002A330A" w:rsidP="002A330A">
      <w:pPr>
        <w:rPr>
          <w:color w:val="000000"/>
        </w:rPr>
      </w:pPr>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t>This document summarizes matters arising from the 202</w:t>
      </w:r>
      <w:r>
        <w:rPr>
          <w:color w:val="000000"/>
        </w:rPr>
        <w:t>1</w:t>
      </w:r>
      <w:r w:rsidRPr="002A330A">
        <w:rPr>
          <w:color w:val="000000"/>
        </w:rPr>
        <w:t xml:space="preserve"> sessions of the </w:t>
      </w:r>
      <w:r w:rsidRPr="002A330A">
        <w:rPr>
          <w:rFonts w:eastAsia="PMingLiU"/>
          <w:szCs w:val="24"/>
        </w:rPr>
        <w:t>Technical Working Party for Vegetables (TWV)</w:t>
      </w:r>
      <w:r w:rsidRPr="002A330A">
        <w:rPr>
          <w:rFonts w:eastAsia="PMingLiU"/>
          <w:szCs w:val="24"/>
          <w:vertAlign w:val="superscript"/>
        </w:rPr>
        <w:footnoteReference w:id="2"/>
      </w:r>
      <w:r w:rsidRPr="002A330A">
        <w:rPr>
          <w:rFonts w:eastAsia="PMingLiU"/>
          <w:szCs w:val="24"/>
        </w:rPr>
        <w:t>, Technical Working Party for Ornamental Plants and Forest Trees (TWO)</w:t>
      </w:r>
      <w:r w:rsidRPr="002A330A">
        <w:rPr>
          <w:rFonts w:eastAsia="PMingLiU"/>
          <w:szCs w:val="24"/>
          <w:vertAlign w:val="superscript"/>
        </w:rPr>
        <w:footnoteReference w:id="3"/>
      </w:r>
      <w:r w:rsidRPr="002A330A">
        <w:rPr>
          <w:rFonts w:eastAsia="PMingLiU"/>
          <w:szCs w:val="24"/>
        </w:rPr>
        <w:t>, Technical Working Party for Agricultural Crops (TWA)</w:t>
      </w:r>
      <w:r w:rsidRPr="002A330A">
        <w:rPr>
          <w:rFonts w:eastAsia="PMingLiU"/>
          <w:szCs w:val="24"/>
          <w:vertAlign w:val="superscript"/>
        </w:rPr>
        <w:footnoteReference w:id="4"/>
      </w:r>
      <w:r w:rsidRPr="002A330A">
        <w:rPr>
          <w:rFonts w:eastAsia="PMingLiU"/>
          <w:szCs w:val="24"/>
        </w:rPr>
        <w:t>,</w:t>
      </w:r>
      <w:r w:rsidRPr="002A330A">
        <w:rPr>
          <w:color w:val="000000"/>
        </w:rPr>
        <w:t xml:space="preserve"> </w:t>
      </w:r>
      <w:r w:rsidRPr="002A330A">
        <w:rPr>
          <w:rFonts w:eastAsia="PMingLiU"/>
          <w:szCs w:val="24"/>
        </w:rPr>
        <w:t>Technical Working Party for Fruit Crops</w:t>
      </w:r>
      <w:r w:rsidRPr="002A330A">
        <w:rPr>
          <w:color w:val="000000"/>
        </w:rPr>
        <w:t xml:space="preserve"> (TWF)</w:t>
      </w:r>
      <w:r w:rsidRPr="002A330A">
        <w:rPr>
          <w:color w:val="000000"/>
          <w:vertAlign w:val="superscript"/>
        </w:rPr>
        <w:footnoteReference w:id="5"/>
      </w:r>
      <w:r w:rsidRPr="002A330A">
        <w:rPr>
          <w:color w:val="000000"/>
        </w:rPr>
        <w:t xml:space="preserve">, which </w:t>
      </w:r>
      <w:proofErr w:type="gramStart"/>
      <w:r w:rsidRPr="002A330A">
        <w:rPr>
          <w:color w:val="000000"/>
        </w:rPr>
        <w:t>are not expressly covered</w:t>
      </w:r>
      <w:proofErr w:type="gramEnd"/>
      <w:r w:rsidRPr="002A330A">
        <w:rPr>
          <w:color w:val="000000"/>
        </w:rPr>
        <w:t xml:space="preserve"> by specific agenda items.  </w:t>
      </w:r>
    </w:p>
    <w:p w:rsidR="002A330A" w:rsidRDefault="002A330A" w:rsidP="002A330A">
      <w:pPr>
        <w:rPr>
          <w:color w:val="000000"/>
        </w:rPr>
      </w:pPr>
    </w:p>
    <w:p w:rsidR="00C34A76" w:rsidRDefault="00C34A76" w:rsidP="002A330A">
      <w:pPr>
        <w:rPr>
          <w:color w:val="000000"/>
        </w:rPr>
      </w:pPr>
      <w:r>
        <w:rPr>
          <w:color w:val="000000"/>
        </w:rPr>
        <w:fldChar w:fldCharType="begin"/>
      </w:r>
      <w:r>
        <w:rPr>
          <w:color w:val="000000"/>
        </w:rPr>
        <w:instrText xml:space="preserve"> AUTONUM  </w:instrText>
      </w:r>
      <w:r>
        <w:rPr>
          <w:color w:val="000000"/>
        </w:rPr>
        <w:fldChar w:fldCharType="end"/>
      </w:r>
      <w:r>
        <w:rPr>
          <w:color w:val="000000"/>
        </w:rPr>
        <w:tab/>
        <w:t>M</w:t>
      </w:r>
      <w:r w:rsidRPr="002A330A">
        <w:rPr>
          <w:color w:val="000000"/>
        </w:rPr>
        <w:t xml:space="preserve">atters arising from the </w:t>
      </w:r>
      <w:r>
        <w:rPr>
          <w:color w:val="000000"/>
        </w:rPr>
        <w:t xml:space="preserve">sessions of </w:t>
      </w:r>
      <w:r w:rsidRPr="005F1F78">
        <w:rPr>
          <w:color w:val="000000"/>
        </w:rPr>
        <w:t xml:space="preserve">the </w:t>
      </w:r>
      <w:r w:rsidRPr="002A330A">
        <w:rPr>
          <w:snapToGrid w:val="0"/>
        </w:rPr>
        <w:t>Technical Working Party on Automation and Computer Programs (TWC)</w:t>
      </w:r>
      <w:r w:rsidRPr="005F1F78">
        <w:rPr>
          <w:snapToGrid w:val="0"/>
          <w:vertAlign w:val="superscript"/>
        </w:rPr>
        <w:footnoteReference w:id="6"/>
      </w:r>
      <w:r w:rsidRPr="002A330A">
        <w:rPr>
          <w:snapToGrid w:val="0"/>
        </w:rPr>
        <w:t xml:space="preserve"> and the Working Group on Biochemical and Molecular Techniques and DNA-Profiling in Particular (BMT)</w:t>
      </w:r>
      <w:r w:rsidRPr="005F1F78">
        <w:rPr>
          <w:snapToGrid w:val="0"/>
          <w:vertAlign w:val="superscript"/>
        </w:rPr>
        <w:footnoteReference w:id="7"/>
      </w:r>
      <w:r w:rsidRPr="005F1F78">
        <w:rPr>
          <w:snapToGrid w:val="0"/>
        </w:rPr>
        <w:t xml:space="preserve">, to </w:t>
      </w:r>
      <w:proofErr w:type="gramStart"/>
      <w:r w:rsidRPr="005F1F78">
        <w:rPr>
          <w:snapToGrid w:val="0"/>
        </w:rPr>
        <w:t>be held</w:t>
      </w:r>
      <w:proofErr w:type="gramEnd"/>
      <w:r w:rsidRPr="005F1F78">
        <w:rPr>
          <w:snapToGrid w:val="0"/>
        </w:rPr>
        <w:t xml:space="preserve"> in September 2021, </w:t>
      </w:r>
      <w:r w:rsidR="00201BB4">
        <w:rPr>
          <w:snapToGrid w:val="0"/>
        </w:rPr>
        <w:t xml:space="preserve">will </w:t>
      </w:r>
      <w:r>
        <w:rPr>
          <w:snapToGrid w:val="0"/>
        </w:rPr>
        <w:t xml:space="preserve">be presented as an addendum to this document </w:t>
      </w:r>
    </w:p>
    <w:p w:rsidR="00C34A76" w:rsidRPr="002A330A" w:rsidRDefault="00C34A76" w:rsidP="002A330A">
      <w:pPr>
        <w:rPr>
          <w:color w:val="000000"/>
        </w:rPr>
      </w:pPr>
    </w:p>
    <w:p w:rsidR="002A330A" w:rsidRPr="002A330A" w:rsidRDefault="002A330A" w:rsidP="002A330A">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t>M</w:t>
      </w:r>
      <w:r w:rsidRPr="002A330A">
        <w:t xml:space="preserve">atters arising </w:t>
      </w:r>
      <w:proofErr w:type="gramStart"/>
      <w:r w:rsidRPr="002A330A">
        <w:t>are presented</w:t>
      </w:r>
      <w:proofErr w:type="gramEnd"/>
      <w:r w:rsidRPr="002A330A">
        <w:t xml:space="preserve"> in two sections.  The first section, “Matters for information and for a possible decision to be taken by the Technical Committee (TC)</w:t>
      </w:r>
      <w:r w:rsidRPr="002A330A">
        <w:rPr>
          <w:caps/>
        </w:rPr>
        <w:t>”,</w:t>
      </w:r>
      <w:r w:rsidRPr="002A330A">
        <w:t xml:space="preserve"> identifies matters </w:t>
      </w:r>
      <w:proofErr w:type="gramStart"/>
      <w:r w:rsidRPr="002A330A">
        <w:t>raised which</w:t>
      </w:r>
      <w:proofErr w:type="gramEnd"/>
      <w:r w:rsidRPr="002A330A">
        <w:t xml:space="preserve"> may require a decision to be taken by the TC.  The Office of the Union (Office) has highlighted aspects where the TC may wish to take a decision by introducing a proposed decision paragraph.  The second section, “Matters for information”, </w:t>
      </w:r>
      <w:proofErr w:type="gramStart"/>
      <w:r w:rsidRPr="002A330A">
        <w:t>is provided</w:t>
      </w:r>
      <w:proofErr w:type="gramEnd"/>
      <w:r w:rsidRPr="002A330A">
        <w:t xml:space="preserve"> for the information of the </w:t>
      </w:r>
      <w:r w:rsidRPr="002A330A">
        <w:rPr>
          <w:color w:val="000000"/>
        </w:rPr>
        <w:t>TC</w:t>
      </w:r>
      <w:r w:rsidRPr="002A330A">
        <w:t xml:space="preserve"> but does not require decisions at this stage.</w:t>
      </w:r>
    </w:p>
    <w:p w:rsidR="002A330A" w:rsidRPr="002A330A" w:rsidRDefault="002A330A" w:rsidP="002A330A">
      <w:pPr>
        <w:tabs>
          <w:tab w:val="left" w:pos="567"/>
          <w:tab w:val="left" w:pos="1701"/>
        </w:tabs>
        <w:ind w:left="1695" w:hanging="1695"/>
        <w:rPr>
          <w:rFonts w:eastAsia="PMingLiU"/>
          <w:szCs w:val="24"/>
        </w:rPr>
      </w:pPr>
    </w:p>
    <w:p w:rsidR="002A330A" w:rsidRPr="002A330A" w:rsidRDefault="002A330A" w:rsidP="002A330A">
      <w:pPr>
        <w:tabs>
          <w:tab w:val="left" w:pos="567"/>
        </w:tabs>
      </w:pPr>
      <w:r w:rsidRPr="000F5CE3">
        <w:fldChar w:fldCharType="begin"/>
      </w:r>
      <w:r w:rsidRPr="000F5CE3">
        <w:instrText xml:space="preserve"> AUTONUM  </w:instrText>
      </w:r>
      <w:r w:rsidRPr="000F5CE3">
        <w:fldChar w:fldCharType="end"/>
      </w:r>
      <w:r w:rsidRPr="000F5CE3">
        <w:tab/>
        <w:t xml:space="preserve">The TC </w:t>
      </w:r>
      <w:proofErr w:type="gramStart"/>
      <w:r w:rsidRPr="000F5CE3">
        <w:t>is invited</w:t>
      </w:r>
      <w:proofErr w:type="gramEnd"/>
      <w:r w:rsidRPr="000F5CE3">
        <w:t xml:space="preserve"> to note developments in the TWPs concerning:</w:t>
      </w:r>
    </w:p>
    <w:p w:rsidR="002A330A" w:rsidRPr="002A330A" w:rsidRDefault="002A330A" w:rsidP="002A330A">
      <w:pPr>
        <w:tabs>
          <w:tab w:val="left" w:pos="567"/>
        </w:tabs>
      </w:pPr>
    </w:p>
    <w:p w:rsidR="002A330A" w:rsidRPr="00A637D6" w:rsidRDefault="002A330A" w:rsidP="002A330A">
      <w:pPr>
        <w:tabs>
          <w:tab w:val="left" w:pos="1701"/>
        </w:tabs>
        <w:ind w:left="1134" w:hanging="567"/>
      </w:pPr>
      <w:r w:rsidRPr="00A637D6">
        <w:t>(i)</w:t>
      </w:r>
      <w:r w:rsidRPr="00A637D6">
        <w:tab/>
      </w:r>
      <w:r w:rsidR="00A637D6" w:rsidRPr="00A637D6">
        <w:t>Access to plant material for the purpose of management of variety collections and DUS examination</w:t>
      </w:r>
      <w:proofErr w:type="gramStart"/>
      <w:r w:rsidRPr="00A637D6">
        <w:t>;</w:t>
      </w:r>
      <w:proofErr w:type="gramEnd"/>
    </w:p>
    <w:p w:rsidR="002A330A" w:rsidRPr="00A637D6" w:rsidRDefault="002A330A" w:rsidP="002A330A">
      <w:pPr>
        <w:tabs>
          <w:tab w:val="left" w:pos="1701"/>
        </w:tabs>
        <w:ind w:left="1134" w:hanging="567"/>
      </w:pPr>
      <w:r w:rsidRPr="00A637D6">
        <w:t>(ii)</w:t>
      </w:r>
      <w:r w:rsidRPr="00A637D6">
        <w:tab/>
      </w:r>
      <w:r w:rsidR="00A637D6" w:rsidRPr="00A637D6">
        <w:t>DUS examination of mutant varieties of apple</w:t>
      </w:r>
      <w:r w:rsidRPr="00A637D6">
        <w:t>;</w:t>
      </w:r>
    </w:p>
    <w:p w:rsidR="002A330A" w:rsidRPr="00A637D6" w:rsidRDefault="002A330A" w:rsidP="002A330A">
      <w:pPr>
        <w:tabs>
          <w:tab w:val="left" w:pos="1701"/>
        </w:tabs>
        <w:ind w:left="1134" w:hanging="567"/>
      </w:pPr>
      <w:r w:rsidRPr="00A637D6">
        <w:t>(iii)</w:t>
      </w:r>
      <w:r w:rsidRPr="00A637D6">
        <w:tab/>
      </w:r>
      <w:r w:rsidR="00A637D6" w:rsidRPr="00A637D6">
        <w:t>Use of disease resistance characteristics</w:t>
      </w:r>
      <w:r w:rsidRPr="00A637D6">
        <w:t>;</w:t>
      </w:r>
    </w:p>
    <w:p w:rsidR="002A330A" w:rsidRPr="00A637D6" w:rsidRDefault="002A330A" w:rsidP="002A330A">
      <w:pPr>
        <w:tabs>
          <w:tab w:val="left" w:pos="1701"/>
        </w:tabs>
        <w:ind w:left="1134" w:hanging="567"/>
      </w:pPr>
      <w:r w:rsidRPr="00A637D6">
        <w:t>(</w:t>
      </w:r>
      <w:proofErr w:type="gramStart"/>
      <w:r w:rsidRPr="00A637D6">
        <w:t>iv</w:t>
      </w:r>
      <w:proofErr w:type="gramEnd"/>
      <w:r w:rsidRPr="00A637D6">
        <w:t>)</w:t>
      </w:r>
      <w:r w:rsidRPr="00A637D6">
        <w:tab/>
      </w:r>
      <w:r w:rsidR="00A637D6" w:rsidRPr="00A637D6">
        <w:t>Experiences with new types and species</w:t>
      </w:r>
      <w:r w:rsidRPr="00A637D6">
        <w:t>;</w:t>
      </w:r>
    </w:p>
    <w:p w:rsidR="002A330A" w:rsidRPr="00A637D6" w:rsidRDefault="002A330A" w:rsidP="002A330A">
      <w:pPr>
        <w:tabs>
          <w:tab w:val="left" w:pos="1701"/>
        </w:tabs>
        <w:ind w:left="1134" w:hanging="567"/>
      </w:pPr>
      <w:r w:rsidRPr="00A637D6">
        <w:t>(v)</w:t>
      </w:r>
      <w:r w:rsidRPr="00A637D6">
        <w:tab/>
      </w:r>
      <w:r w:rsidR="00A637D6" w:rsidRPr="00A637D6">
        <w:t>Procedures for grouping varieties using UPOV codes and relevant information sources</w:t>
      </w:r>
      <w:r w:rsidRPr="00A637D6">
        <w:t>;</w:t>
      </w:r>
    </w:p>
    <w:p w:rsidR="002A330A" w:rsidRPr="00A637D6" w:rsidRDefault="002A330A" w:rsidP="002A330A">
      <w:pPr>
        <w:tabs>
          <w:tab w:val="left" w:pos="1701"/>
        </w:tabs>
        <w:ind w:left="1134" w:hanging="567"/>
      </w:pPr>
      <w:proofErr w:type="gramStart"/>
      <w:r w:rsidRPr="00A637D6">
        <w:t>(vi)</w:t>
      </w:r>
      <w:r w:rsidRPr="00A637D6">
        <w:tab/>
      </w:r>
      <w:r w:rsidR="00A637D6" w:rsidRPr="00A637D6">
        <w:t>Providing</w:t>
      </w:r>
      <w:proofErr w:type="gramEnd"/>
      <w:r w:rsidR="00A637D6" w:rsidRPr="00A637D6">
        <w:t xml:space="preserve"> information on similar varieties in the UPOV model variety description</w:t>
      </w:r>
      <w:r w:rsidRPr="00A637D6">
        <w:t>;</w:t>
      </w:r>
    </w:p>
    <w:p w:rsidR="002A330A" w:rsidRPr="00A637D6" w:rsidRDefault="002A330A" w:rsidP="002A330A">
      <w:pPr>
        <w:tabs>
          <w:tab w:val="left" w:pos="1701"/>
        </w:tabs>
        <w:ind w:left="1134" w:hanging="567"/>
      </w:pPr>
      <w:r w:rsidRPr="00A637D6">
        <w:t>(vii)</w:t>
      </w:r>
      <w:r w:rsidRPr="00A637D6">
        <w:tab/>
      </w:r>
      <w:r w:rsidR="00A637D6" w:rsidRPr="00A637D6">
        <w:t>Assessing ornamental crops using individual plant measurements (MS)</w:t>
      </w:r>
      <w:proofErr w:type="gramStart"/>
      <w:r w:rsidRPr="00A637D6">
        <w:t>;</w:t>
      </w:r>
      <w:proofErr w:type="gramEnd"/>
    </w:p>
    <w:p w:rsidR="002A330A" w:rsidRPr="00A637D6" w:rsidRDefault="002A330A" w:rsidP="002A330A">
      <w:pPr>
        <w:tabs>
          <w:tab w:val="left" w:pos="1701"/>
        </w:tabs>
        <w:ind w:left="1134" w:hanging="567"/>
      </w:pPr>
      <w:r w:rsidRPr="00A637D6">
        <w:t>(viii)</w:t>
      </w:r>
      <w:r w:rsidRPr="00A637D6">
        <w:tab/>
      </w:r>
      <w:r w:rsidR="00A637D6" w:rsidRPr="00A637D6">
        <w:t>New technologies in DUS examination</w:t>
      </w:r>
      <w:r w:rsidRPr="00A637D6">
        <w:t>;</w:t>
      </w:r>
      <w:r w:rsidR="00B544E6">
        <w:t xml:space="preserve"> and</w:t>
      </w:r>
    </w:p>
    <w:p w:rsidR="002A330A" w:rsidRPr="00A637D6" w:rsidRDefault="002A330A" w:rsidP="002A330A">
      <w:pPr>
        <w:tabs>
          <w:tab w:val="left" w:pos="1701"/>
        </w:tabs>
        <w:ind w:left="1134" w:hanging="567"/>
      </w:pPr>
      <w:r w:rsidRPr="00A637D6">
        <w:t>(</w:t>
      </w:r>
      <w:proofErr w:type="gramStart"/>
      <w:r w:rsidRPr="00A637D6">
        <w:t>ix</w:t>
      </w:r>
      <w:proofErr w:type="gramEnd"/>
      <w:r w:rsidRPr="00A637D6">
        <w:t>)</w:t>
      </w:r>
      <w:r w:rsidRPr="00A637D6">
        <w:tab/>
      </w:r>
      <w:r w:rsidR="00A637D6" w:rsidRPr="00A637D6">
        <w:rPr>
          <w:rFonts w:cs="Arial"/>
        </w:rPr>
        <w:t>M</w:t>
      </w:r>
      <w:r w:rsidR="00A637D6" w:rsidRPr="00A637D6">
        <w:t>atters relevant in DUS examination for the fruit sector</w:t>
      </w:r>
      <w:r w:rsidR="00B544E6">
        <w:t>.</w:t>
      </w:r>
    </w:p>
    <w:p w:rsidR="002A330A" w:rsidRPr="002A330A" w:rsidRDefault="002A330A" w:rsidP="002A330A">
      <w:pPr>
        <w:tabs>
          <w:tab w:val="left" w:pos="1701"/>
        </w:tabs>
        <w:rPr>
          <w:rFonts w:cs="Arial"/>
        </w:rPr>
      </w:pPr>
    </w:p>
    <w:p w:rsidR="002A330A" w:rsidRPr="002A330A" w:rsidRDefault="002A330A" w:rsidP="002A330A">
      <w:pPr>
        <w:keepNext/>
        <w:rPr>
          <w:color w:val="000000"/>
        </w:rPr>
      </w:pPr>
      <w:r w:rsidRPr="002A330A">
        <w:rPr>
          <w:color w:val="000000"/>
        </w:rPr>
        <w:lastRenderedPageBreak/>
        <w:fldChar w:fldCharType="begin"/>
      </w:r>
      <w:r w:rsidRPr="002A330A">
        <w:rPr>
          <w:color w:val="000000"/>
        </w:rPr>
        <w:instrText xml:space="preserve"> AUTONUM  </w:instrText>
      </w:r>
      <w:r w:rsidRPr="002A330A">
        <w:rPr>
          <w:color w:val="000000"/>
        </w:rPr>
        <w:fldChar w:fldCharType="end"/>
      </w:r>
      <w:r w:rsidRPr="002A330A">
        <w:rPr>
          <w:color w:val="000000"/>
        </w:rPr>
        <w:tab/>
        <w:t xml:space="preserve">The following abbreviations </w:t>
      </w:r>
      <w:proofErr w:type="gramStart"/>
      <w:r w:rsidRPr="002A330A">
        <w:rPr>
          <w:color w:val="000000"/>
        </w:rPr>
        <w:t>are used</w:t>
      </w:r>
      <w:proofErr w:type="gramEnd"/>
      <w:r w:rsidRPr="002A330A">
        <w:rPr>
          <w:color w:val="000000"/>
        </w:rPr>
        <w:t xml:space="preserve"> in this document:</w:t>
      </w:r>
    </w:p>
    <w:p w:rsidR="002A330A" w:rsidRPr="002A330A" w:rsidRDefault="002A330A" w:rsidP="002A330A">
      <w:pPr>
        <w:keepNext/>
        <w:ind w:left="1692" w:hanging="1125"/>
        <w:jc w:val="left"/>
        <w:rPr>
          <w:color w:val="000000"/>
        </w:rPr>
      </w:pPr>
    </w:p>
    <w:p w:rsidR="002A330A" w:rsidRPr="002A330A" w:rsidRDefault="002A330A" w:rsidP="002A330A">
      <w:pPr>
        <w:keepNext/>
        <w:tabs>
          <w:tab w:val="left" w:pos="567"/>
          <w:tab w:val="left" w:pos="1701"/>
        </w:tabs>
      </w:pPr>
      <w:r w:rsidRPr="002A330A">
        <w:tab/>
        <w:t>CAJ:</w:t>
      </w:r>
      <w:r w:rsidRPr="002A330A">
        <w:tab/>
        <w:t xml:space="preserve">Administrative and Legal Committee </w:t>
      </w:r>
    </w:p>
    <w:p w:rsidR="002A330A" w:rsidRPr="002A330A" w:rsidRDefault="002A330A" w:rsidP="002A330A">
      <w:pPr>
        <w:keepNext/>
        <w:tabs>
          <w:tab w:val="left" w:pos="567"/>
          <w:tab w:val="left" w:pos="1701"/>
        </w:tabs>
      </w:pPr>
      <w:r w:rsidRPr="002A330A">
        <w:tab/>
        <w:t>TC:</w:t>
      </w:r>
      <w:r w:rsidRPr="002A330A">
        <w:tab/>
        <w:t>Technical Committee</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TC-EDC:</w:t>
      </w:r>
      <w:r w:rsidRPr="002A330A">
        <w:rPr>
          <w:rFonts w:eastAsia="PMingLiU"/>
          <w:szCs w:val="24"/>
        </w:rPr>
        <w:tab/>
        <w:t>Enlarged Editorial Committee</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TWA:</w:t>
      </w:r>
      <w:r w:rsidRPr="002A330A">
        <w:rPr>
          <w:rFonts w:eastAsia="PMingLiU"/>
          <w:szCs w:val="24"/>
        </w:rPr>
        <w:tab/>
        <w:t>Technical Working Party for Agricultural Crops</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TWC:</w:t>
      </w:r>
      <w:r w:rsidRPr="002A330A">
        <w:rPr>
          <w:rFonts w:eastAsia="PMingLiU"/>
          <w:szCs w:val="24"/>
        </w:rPr>
        <w:tab/>
        <w:t>Technical Working Party on Automation and Computer Programs</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 xml:space="preserve">TWF: </w:t>
      </w:r>
      <w:r w:rsidRPr="002A330A">
        <w:rPr>
          <w:rFonts w:eastAsia="PMingLiU"/>
          <w:szCs w:val="24"/>
        </w:rPr>
        <w:tab/>
        <w:t>Technical Working Party for Fruit Crops</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TWO:</w:t>
      </w:r>
      <w:r w:rsidRPr="002A330A">
        <w:rPr>
          <w:rFonts w:eastAsia="PMingLiU"/>
          <w:szCs w:val="24"/>
        </w:rPr>
        <w:tab/>
        <w:t>Technical Working Party for Ornamental Plants and Forest Trees</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TWPs:</w:t>
      </w:r>
      <w:r w:rsidRPr="002A330A">
        <w:rPr>
          <w:rFonts w:eastAsia="PMingLiU"/>
          <w:szCs w:val="24"/>
        </w:rPr>
        <w:tab/>
        <w:t>Technical Working Parties</w:t>
      </w:r>
    </w:p>
    <w:p w:rsidR="002A330A" w:rsidRPr="002A330A" w:rsidRDefault="002A330A" w:rsidP="002A330A">
      <w:pPr>
        <w:keepNext/>
        <w:tabs>
          <w:tab w:val="left" w:pos="567"/>
          <w:tab w:val="left" w:pos="1701"/>
        </w:tabs>
        <w:rPr>
          <w:rFonts w:eastAsia="PMingLiU"/>
          <w:szCs w:val="24"/>
        </w:rPr>
      </w:pPr>
      <w:r w:rsidRPr="002A330A">
        <w:rPr>
          <w:rFonts w:eastAsia="PMingLiU"/>
          <w:szCs w:val="24"/>
        </w:rPr>
        <w:tab/>
        <w:t>TWV:</w:t>
      </w:r>
      <w:r w:rsidRPr="002A330A">
        <w:rPr>
          <w:rFonts w:eastAsia="PMingLiU"/>
          <w:szCs w:val="24"/>
        </w:rPr>
        <w:tab/>
        <w:t>Technical Working Party for Vegetables</w:t>
      </w:r>
    </w:p>
    <w:p w:rsidR="002A330A" w:rsidRPr="002A330A" w:rsidRDefault="002A330A" w:rsidP="002A330A">
      <w:pPr>
        <w:rPr>
          <w:highlight w:val="cyan"/>
        </w:rPr>
      </w:pPr>
    </w:p>
    <w:p w:rsidR="002A330A" w:rsidRPr="002A330A" w:rsidRDefault="002A330A" w:rsidP="002A330A">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r>
      <w:r w:rsidRPr="002A330A">
        <w:t>The structure of this document is as follows:</w:t>
      </w:r>
    </w:p>
    <w:p w:rsidR="002A330A" w:rsidRPr="002A330A" w:rsidRDefault="002A330A" w:rsidP="002A330A"/>
    <w:p w:rsidR="00750818" w:rsidRDefault="002A330A">
      <w:pPr>
        <w:pStyle w:val="TOC1"/>
        <w:rPr>
          <w:rFonts w:asciiTheme="minorHAnsi" w:eastAsiaTheme="minorEastAsia" w:hAnsiTheme="minorHAnsi" w:cstheme="minorBidi"/>
          <w:caps w:val="0"/>
          <w:noProof/>
          <w:sz w:val="22"/>
          <w:szCs w:val="22"/>
        </w:rPr>
      </w:pPr>
      <w:r w:rsidRPr="002A330A">
        <w:rPr>
          <w:rFonts w:eastAsia="MS Mincho" w:cs="Arial"/>
          <w:noProof/>
          <w:lang w:eastAsia="ja-JP"/>
        </w:rPr>
        <w:fldChar w:fldCharType="begin"/>
      </w:r>
      <w:r w:rsidRPr="002A330A">
        <w:rPr>
          <w:rFonts w:eastAsia="MS Mincho" w:cs="Arial"/>
          <w:noProof/>
          <w:lang w:eastAsia="ja-JP"/>
        </w:rPr>
        <w:instrText xml:space="preserve"> TOC \o "1-2" \u </w:instrText>
      </w:r>
      <w:r w:rsidRPr="002A330A">
        <w:rPr>
          <w:rFonts w:eastAsia="MS Mincho" w:cs="Arial"/>
          <w:noProof/>
          <w:lang w:eastAsia="ja-JP"/>
        </w:rPr>
        <w:fldChar w:fldCharType="separate"/>
      </w:r>
      <w:r w:rsidR="00750818">
        <w:rPr>
          <w:noProof/>
        </w:rPr>
        <w:t>EXECUTIVE SUMMARY</w:t>
      </w:r>
      <w:r w:rsidR="00750818">
        <w:rPr>
          <w:noProof/>
        </w:rPr>
        <w:tab/>
      </w:r>
      <w:r w:rsidR="00750818">
        <w:rPr>
          <w:noProof/>
        </w:rPr>
        <w:fldChar w:fldCharType="begin"/>
      </w:r>
      <w:r w:rsidR="00750818">
        <w:rPr>
          <w:noProof/>
        </w:rPr>
        <w:instrText xml:space="preserve"> PAGEREF _Toc79758892 \h </w:instrText>
      </w:r>
      <w:r w:rsidR="00750818">
        <w:rPr>
          <w:noProof/>
        </w:rPr>
      </w:r>
      <w:r w:rsidR="00750818">
        <w:rPr>
          <w:noProof/>
        </w:rPr>
        <w:fldChar w:fldCharType="separate"/>
      </w:r>
      <w:r w:rsidR="00750818">
        <w:rPr>
          <w:noProof/>
        </w:rPr>
        <w:t>1</w:t>
      </w:r>
      <w:r w:rsidR="00750818">
        <w:rPr>
          <w:noProof/>
        </w:rPr>
        <w:fldChar w:fldCharType="end"/>
      </w:r>
    </w:p>
    <w:p w:rsidR="00750818" w:rsidRDefault="00750818">
      <w:pPr>
        <w:pStyle w:val="TOC1"/>
        <w:rPr>
          <w:rFonts w:asciiTheme="minorHAnsi" w:eastAsiaTheme="minorEastAsia" w:hAnsiTheme="minorHAnsi" w:cstheme="minorBidi"/>
          <w:caps w:val="0"/>
          <w:noProof/>
          <w:sz w:val="22"/>
          <w:szCs w:val="22"/>
        </w:rPr>
      </w:pPr>
      <w:r w:rsidRPr="00C6393D">
        <w:rPr>
          <w:noProof/>
        </w:rPr>
        <w:t>Matters for information and for a possible decision to be taken by the Technical Committee (TC)</w:t>
      </w:r>
      <w:r>
        <w:rPr>
          <w:noProof/>
        </w:rPr>
        <w:tab/>
      </w:r>
      <w:r>
        <w:rPr>
          <w:noProof/>
        </w:rPr>
        <w:fldChar w:fldCharType="begin"/>
      </w:r>
      <w:r>
        <w:rPr>
          <w:noProof/>
        </w:rPr>
        <w:instrText xml:space="preserve"> PAGEREF _Toc79758893 \h </w:instrText>
      </w:r>
      <w:r>
        <w:rPr>
          <w:noProof/>
        </w:rPr>
      </w:r>
      <w:r>
        <w:rPr>
          <w:noProof/>
        </w:rPr>
        <w:fldChar w:fldCharType="separate"/>
      </w:r>
      <w:r>
        <w:rPr>
          <w:noProof/>
        </w:rPr>
        <w:t>2</w:t>
      </w:r>
      <w:r>
        <w:rPr>
          <w:noProof/>
        </w:rPr>
        <w:fldChar w:fldCharType="end"/>
      </w:r>
    </w:p>
    <w:p w:rsidR="00750818" w:rsidRDefault="00750818">
      <w:pPr>
        <w:pStyle w:val="TOC1"/>
        <w:rPr>
          <w:rFonts w:asciiTheme="minorHAnsi" w:eastAsiaTheme="minorEastAsia" w:hAnsiTheme="minorHAnsi" w:cstheme="minorBidi"/>
          <w:caps w:val="0"/>
          <w:noProof/>
          <w:sz w:val="22"/>
          <w:szCs w:val="22"/>
        </w:rPr>
      </w:pPr>
      <w:r w:rsidRPr="00C6393D">
        <w:rPr>
          <w:noProof/>
        </w:rPr>
        <w:t>Matters for information</w:t>
      </w:r>
      <w:r>
        <w:rPr>
          <w:noProof/>
        </w:rPr>
        <w:tab/>
      </w:r>
      <w:r>
        <w:rPr>
          <w:noProof/>
        </w:rPr>
        <w:fldChar w:fldCharType="begin"/>
      </w:r>
      <w:r>
        <w:rPr>
          <w:noProof/>
        </w:rPr>
        <w:instrText xml:space="preserve"> PAGEREF _Toc79758894 \h </w:instrText>
      </w:r>
      <w:r>
        <w:rPr>
          <w:noProof/>
        </w:rPr>
      </w:r>
      <w:r>
        <w:rPr>
          <w:noProof/>
        </w:rPr>
        <w:fldChar w:fldCharType="separate"/>
      </w:r>
      <w:r>
        <w:rPr>
          <w:noProof/>
        </w:rPr>
        <w:t>2</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Access to plant material for the purpose of management of variety collections and DUS examination</w:t>
      </w:r>
      <w:r>
        <w:rPr>
          <w:noProof/>
        </w:rPr>
        <w:tab/>
      </w:r>
      <w:r>
        <w:rPr>
          <w:noProof/>
        </w:rPr>
        <w:fldChar w:fldCharType="begin"/>
      </w:r>
      <w:r>
        <w:rPr>
          <w:noProof/>
        </w:rPr>
        <w:instrText xml:space="preserve"> PAGEREF _Toc79758895 \h </w:instrText>
      </w:r>
      <w:r>
        <w:rPr>
          <w:noProof/>
        </w:rPr>
      </w:r>
      <w:r>
        <w:rPr>
          <w:noProof/>
        </w:rPr>
        <w:fldChar w:fldCharType="separate"/>
      </w:r>
      <w:r>
        <w:rPr>
          <w:noProof/>
        </w:rPr>
        <w:t>2</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DUS examination of mutant varieties of apple</w:t>
      </w:r>
      <w:r>
        <w:rPr>
          <w:noProof/>
        </w:rPr>
        <w:tab/>
      </w:r>
      <w:r>
        <w:rPr>
          <w:noProof/>
        </w:rPr>
        <w:fldChar w:fldCharType="begin"/>
      </w:r>
      <w:r>
        <w:rPr>
          <w:noProof/>
        </w:rPr>
        <w:instrText xml:space="preserve"> PAGEREF _Toc79758896 \h </w:instrText>
      </w:r>
      <w:r>
        <w:rPr>
          <w:noProof/>
        </w:rPr>
      </w:r>
      <w:r>
        <w:rPr>
          <w:noProof/>
        </w:rPr>
        <w:fldChar w:fldCharType="separate"/>
      </w:r>
      <w:r>
        <w:rPr>
          <w:noProof/>
        </w:rPr>
        <w:t>3</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sidRPr="00C6393D">
        <w:rPr>
          <w:noProof/>
          <w:snapToGrid w:val="0"/>
        </w:rPr>
        <w:t>Use of disease resistance characteristics</w:t>
      </w:r>
      <w:r>
        <w:rPr>
          <w:noProof/>
        </w:rPr>
        <w:tab/>
      </w:r>
      <w:r>
        <w:rPr>
          <w:noProof/>
        </w:rPr>
        <w:fldChar w:fldCharType="begin"/>
      </w:r>
      <w:r>
        <w:rPr>
          <w:noProof/>
        </w:rPr>
        <w:instrText xml:space="preserve"> PAGEREF _Toc79758897 \h </w:instrText>
      </w:r>
      <w:r>
        <w:rPr>
          <w:noProof/>
        </w:rPr>
      </w:r>
      <w:r>
        <w:rPr>
          <w:noProof/>
        </w:rPr>
        <w:fldChar w:fldCharType="separate"/>
      </w:r>
      <w:r>
        <w:rPr>
          <w:noProof/>
        </w:rPr>
        <w:t>3</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Experiences with new types and species</w:t>
      </w:r>
      <w:r>
        <w:rPr>
          <w:noProof/>
        </w:rPr>
        <w:tab/>
      </w:r>
      <w:r>
        <w:rPr>
          <w:noProof/>
        </w:rPr>
        <w:fldChar w:fldCharType="begin"/>
      </w:r>
      <w:r>
        <w:rPr>
          <w:noProof/>
        </w:rPr>
        <w:instrText xml:space="preserve"> PAGEREF _Toc79758898 \h </w:instrText>
      </w:r>
      <w:r>
        <w:rPr>
          <w:noProof/>
        </w:rPr>
      </w:r>
      <w:r>
        <w:rPr>
          <w:noProof/>
        </w:rPr>
        <w:fldChar w:fldCharType="separate"/>
      </w:r>
      <w:r>
        <w:rPr>
          <w:noProof/>
        </w:rPr>
        <w:t>3</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Procedures for grouping varieties using UPOV codes and relevant information sources</w:t>
      </w:r>
      <w:r>
        <w:rPr>
          <w:noProof/>
        </w:rPr>
        <w:tab/>
      </w:r>
      <w:r>
        <w:rPr>
          <w:noProof/>
        </w:rPr>
        <w:fldChar w:fldCharType="begin"/>
      </w:r>
      <w:r>
        <w:rPr>
          <w:noProof/>
        </w:rPr>
        <w:instrText xml:space="preserve"> PAGEREF _Toc79758899 \h </w:instrText>
      </w:r>
      <w:r>
        <w:rPr>
          <w:noProof/>
        </w:rPr>
      </w:r>
      <w:r>
        <w:rPr>
          <w:noProof/>
        </w:rPr>
        <w:fldChar w:fldCharType="separate"/>
      </w:r>
      <w:r>
        <w:rPr>
          <w:noProof/>
        </w:rPr>
        <w:t>3</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Providing information on similar varieties in the UPOV model variety description</w:t>
      </w:r>
      <w:r>
        <w:rPr>
          <w:noProof/>
        </w:rPr>
        <w:tab/>
      </w:r>
      <w:r>
        <w:rPr>
          <w:noProof/>
        </w:rPr>
        <w:fldChar w:fldCharType="begin"/>
      </w:r>
      <w:r>
        <w:rPr>
          <w:noProof/>
        </w:rPr>
        <w:instrText xml:space="preserve"> PAGEREF _Toc79758900 \h </w:instrText>
      </w:r>
      <w:r>
        <w:rPr>
          <w:noProof/>
        </w:rPr>
      </w:r>
      <w:r>
        <w:rPr>
          <w:noProof/>
        </w:rPr>
        <w:fldChar w:fldCharType="separate"/>
      </w:r>
      <w:r>
        <w:rPr>
          <w:noProof/>
        </w:rPr>
        <w:t>4</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Assessing ornamental crops using individual plant measurements (MS)</w:t>
      </w:r>
      <w:r>
        <w:rPr>
          <w:noProof/>
        </w:rPr>
        <w:tab/>
      </w:r>
      <w:r>
        <w:rPr>
          <w:noProof/>
        </w:rPr>
        <w:fldChar w:fldCharType="begin"/>
      </w:r>
      <w:r>
        <w:rPr>
          <w:noProof/>
        </w:rPr>
        <w:instrText xml:space="preserve"> PAGEREF _Toc79758901 \h </w:instrText>
      </w:r>
      <w:r>
        <w:rPr>
          <w:noProof/>
        </w:rPr>
      </w:r>
      <w:r>
        <w:rPr>
          <w:noProof/>
        </w:rPr>
        <w:fldChar w:fldCharType="separate"/>
      </w:r>
      <w:r>
        <w:rPr>
          <w:noProof/>
        </w:rPr>
        <w:t>4</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Pr>
          <w:noProof/>
        </w:rPr>
        <w:t>New technologies in DUS examination</w:t>
      </w:r>
      <w:r>
        <w:rPr>
          <w:noProof/>
        </w:rPr>
        <w:tab/>
      </w:r>
      <w:r>
        <w:rPr>
          <w:noProof/>
        </w:rPr>
        <w:fldChar w:fldCharType="begin"/>
      </w:r>
      <w:r>
        <w:rPr>
          <w:noProof/>
        </w:rPr>
        <w:instrText xml:space="preserve"> PAGEREF _Toc79758902 \h </w:instrText>
      </w:r>
      <w:r>
        <w:rPr>
          <w:noProof/>
        </w:rPr>
      </w:r>
      <w:r>
        <w:rPr>
          <w:noProof/>
        </w:rPr>
        <w:fldChar w:fldCharType="separate"/>
      </w:r>
      <w:r>
        <w:rPr>
          <w:noProof/>
        </w:rPr>
        <w:t>4</w:t>
      </w:r>
      <w:r>
        <w:rPr>
          <w:noProof/>
        </w:rPr>
        <w:fldChar w:fldCharType="end"/>
      </w:r>
    </w:p>
    <w:p w:rsidR="00750818" w:rsidRDefault="00750818" w:rsidP="00FE73A4">
      <w:pPr>
        <w:pStyle w:val="TOC2"/>
        <w:rPr>
          <w:rFonts w:asciiTheme="minorHAnsi" w:eastAsiaTheme="minorEastAsia" w:hAnsiTheme="minorHAnsi" w:cstheme="minorBidi"/>
          <w:smallCaps/>
          <w:noProof/>
          <w:sz w:val="22"/>
          <w:szCs w:val="22"/>
        </w:rPr>
      </w:pPr>
      <w:r w:rsidRPr="00C6393D">
        <w:rPr>
          <w:rFonts w:cs="Arial"/>
          <w:noProof/>
        </w:rPr>
        <w:t>M</w:t>
      </w:r>
      <w:r>
        <w:rPr>
          <w:noProof/>
        </w:rPr>
        <w:t>atters relevant in DUS examination for the fruit sector</w:t>
      </w:r>
      <w:r>
        <w:rPr>
          <w:noProof/>
        </w:rPr>
        <w:tab/>
      </w:r>
      <w:r>
        <w:rPr>
          <w:noProof/>
        </w:rPr>
        <w:fldChar w:fldCharType="begin"/>
      </w:r>
      <w:r>
        <w:rPr>
          <w:noProof/>
        </w:rPr>
        <w:instrText xml:space="preserve"> PAGEREF _Toc79758903 \h </w:instrText>
      </w:r>
      <w:r>
        <w:rPr>
          <w:noProof/>
        </w:rPr>
      </w:r>
      <w:r>
        <w:rPr>
          <w:noProof/>
        </w:rPr>
        <w:fldChar w:fldCharType="separate"/>
      </w:r>
      <w:r>
        <w:rPr>
          <w:noProof/>
        </w:rPr>
        <w:t>4</w:t>
      </w:r>
      <w:r>
        <w:rPr>
          <w:noProof/>
        </w:rPr>
        <w:fldChar w:fldCharType="end"/>
      </w:r>
    </w:p>
    <w:p w:rsidR="002A330A" w:rsidRPr="002A330A" w:rsidRDefault="002A330A" w:rsidP="002A330A">
      <w:pPr>
        <w:rPr>
          <w:rFonts w:ascii="Calibri" w:hAnsi="Calibri"/>
          <w:noProof/>
          <w:sz w:val="22"/>
          <w:szCs w:val="22"/>
        </w:rPr>
      </w:pPr>
      <w:r w:rsidRPr="002A330A">
        <w:rPr>
          <w:rFonts w:eastAsia="MS Mincho" w:cs="Arial"/>
          <w:bCs/>
          <w:i/>
          <w:noProof/>
          <w:lang w:eastAsia="ja-JP"/>
        </w:rPr>
        <w:fldChar w:fldCharType="end"/>
      </w:r>
      <w:r w:rsidRPr="002A330A">
        <w:rPr>
          <w:caps/>
          <w:sz w:val="18"/>
        </w:rPr>
        <w:fldChar w:fldCharType="begin"/>
      </w:r>
      <w:r w:rsidRPr="002A330A">
        <w:instrText xml:space="preserve"> TOC \o "1-3" \h \z \u </w:instrText>
      </w:r>
      <w:r w:rsidRPr="002A330A">
        <w:rPr>
          <w:caps/>
          <w:sz w:val="18"/>
        </w:rPr>
        <w:fldChar w:fldCharType="separate"/>
      </w:r>
    </w:p>
    <w:p w:rsidR="002A330A" w:rsidRPr="002A330A" w:rsidRDefault="002A330A" w:rsidP="002A330A">
      <w:pPr>
        <w:tabs>
          <w:tab w:val="left" w:pos="567"/>
        </w:tabs>
        <w:rPr>
          <w:rFonts w:cs="Arial"/>
        </w:rPr>
      </w:pPr>
      <w:r w:rsidRPr="002A330A">
        <w:fldChar w:fldCharType="end"/>
      </w:r>
    </w:p>
    <w:p w:rsidR="002A330A" w:rsidRPr="002A330A" w:rsidRDefault="002A330A" w:rsidP="002A330A">
      <w:pPr>
        <w:keepNext/>
        <w:outlineLvl w:val="0"/>
        <w:rPr>
          <w:rFonts w:eastAsia="PMingLiU"/>
          <w:caps/>
          <w:szCs w:val="24"/>
        </w:rPr>
      </w:pPr>
      <w:bookmarkStart w:id="4" w:name="_Toc20505078"/>
      <w:bookmarkStart w:id="5" w:name="_Toc527377892"/>
      <w:bookmarkStart w:id="6" w:name="_Toc441497828"/>
      <w:bookmarkStart w:id="7" w:name="_Toc79758893"/>
      <w:r w:rsidRPr="002A330A">
        <w:rPr>
          <w:caps/>
        </w:rPr>
        <w:t>Matters for information and for a possible decision to be taken by the Technical Committee (TC)</w:t>
      </w:r>
      <w:bookmarkEnd w:id="4"/>
      <w:bookmarkEnd w:id="5"/>
      <w:bookmarkEnd w:id="6"/>
      <w:bookmarkEnd w:id="7"/>
    </w:p>
    <w:p w:rsidR="002A330A" w:rsidRPr="002A330A" w:rsidRDefault="002A330A" w:rsidP="002A330A"/>
    <w:p w:rsidR="002A330A" w:rsidRPr="002A330A" w:rsidRDefault="002A330A" w:rsidP="002A330A">
      <w:r w:rsidRPr="002A330A">
        <w:fldChar w:fldCharType="begin"/>
      </w:r>
      <w:r w:rsidRPr="002A330A">
        <w:instrText xml:space="preserve"> AUTONUM  </w:instrText>
      </w:r>
      <w:r w:rsidRPr="002A330A">
        <w:fldChar w:fldCharType="end"/>
      </w:r>
      <w:r w:rsidRPr="002A330A">
        <w:tab/>
        <w:t>There are no matters for a decision by the Technical Committee at its fifty-</w:t>
      </w:r>
      <w:r w:rsidR="007A3CB0">
        <w:t>seventh</w:t>
      </w:r>
      <w:r w:rsidRPr="002A330A">
        <w:t xml:space="preserve"> session.</w:t>
      </w:r>
    </w:p>
    <w:p w:rsidR="002A330A" w:rsidRPr="002A330A" w:rsidRDefault="002A330A" w:rsidP="002A330A"/>
    <w:p w:rsidR="002A330A" w:rsidRPr="002A330A" w:rsidRDefault="002A330A" w:rsidP="002A330A"/>
    <w:p w:rsidR="002A330A" w:rsidRPr="002A330A" w:rsidRDefault="002A330A" w:rsidP="002A330A">
      <w:pPr>
        <w:keepNext/>
        <w:outlineLvl w:val="0"/>
        <w:rPr>
          <w:caps/>
        </w:rPr>
      </w:pPr>
      <w:bookmarkStart w:id="8" w:name="_Toc20505079"/>
      <w:bookmarkStart w:id="9" w:name="_Toc527377899"/>
      <w:bookmarkStart w:id="10" w:name="_Toc441497830"/>
      <w:bookmarkStart w:id="11" w:name="_Toc79758894"/>
      <w:r w:rsidRPr="002A330A">
        <w:rPr>
          <w:caps/>
        </w:rPr>
        <w:t>Matters for information</w:t>
      </w:r>
      <w:bookmarkEnd w:id="8"/>
      <w:bookmarkEnd w:id="9"/>
      <w:bookmarkEnd w:id="10"/>
      <w:bookmarkEnd w:id="11"/>
    </w:p>
    <w:p w:rsidR="008A54B8" w:rsidRDefault="008A54B8" w:rsidP="00115286"/>
    <w:p w:rsidR="008A54B8" w:rsidRPr="000035F9" w:rsidRDefault="008A54B8" w:rsidP="008A54B8">
      <w:pPr>
        <w:pStyle w:val="Heading2"/>
      </w:pPr>
      <w:bookmarkStart w:id="12" w:name="_Toc79758895"/>
      <w:r w:rsidRPr="000035F9">
        <w:t>Access to plant material for the purpose of management of variety collections and DUS examination</w:t>
      </w:r>
      <w:bookmarkEnd w:id="12"/>
    </w:p>
    <w:p w:rsidR="008A54B8" w:rsidRPr="000035F9" w:rsidRDefault="008A54B8" w:rsidP="008A54B8">
      <w:pPr>
        <w:jc w:val="left"/>
      </w:pPr>
    </w:p>
    <w:p w:rsidR="008A54B8" w:rsidRPr="000035F9" w:rsidRDefault="008A54B8" w:rsidP="008A54B8">
      <w:r w:rsidRPr="000035F9">
        <w:fldChar w:fldCharType="begin"/>
      </w:r>
      <w:r w:rsidRPr="000035F9">
        <w:instrText xml:space="preserve"> AUTONUM  </w:instrText>
      </w:r>
      <w:r w:rsidRPr="000035F9">
        <w:fldChar w:fldCharType="end"/>
      </w:r>
      <w:r w:rsidRPr="000035F9">
        <w:tab/>
        <w:t>The TWF</w:t>
      </w:r>
      <w:r>
        <w:rPr>
          <w:rStyle w:val="FootnoteReference"/>
        </w:rPr>
        <w:footnoteReference w:id="8"/>
      </w:r>
      <w:r w:rsidRPr="000035F9">
        <w:t xml:space="preserve"> considered document TWF/52/5 and received a presentation on “DUS Access to plant material for the purpose of management of variety collections and DUS examination - The CPVO policy” by an expert from the European Union.  A copy of the presentation </w:t>
      </w:r>
      <w:proofErr w:type="gramStart"/>
      <w:r w:rsidRPr="000035F9">
        <w:t>is provided</w:t>
      </w:r>
      <w:proofErr w:type="gramEnd"/>
      <w:r w:rsidRPr="000035F9">
        <w:t xml:space="preserve"> in the Annex to document TWF/52/5</w:t>
      </w:r>
      <w:r>
        <w:t xml:space="preserve"> (see document TWF/52/10 “Report”, paragraphs 64 and 65)</w:t>
      </w:r>
      <w:r w:rsidRPr="000035F9">
        <w:t>.</w:t>
      </w:r>
    </w:p>
    <w:p w:rsidR="008A54B8" w:rsidRPr="000035F9" w:rsidRDefault="008A54B8" w:rsidP="008A54B8">
      <w:pPr>
        <w:jc w:val="left"/>
      </w:pPr>
    </w:p>
    <w:p w:rsidR="008A54B8" w:rsidRDefault="008A54B8" w:rsidP="008A54B8">
      <w:r w:rsidRPr="00797949">
        <w:fldChar w:fldCharType="begin"/>
      </w:r>
      <w:r w:rsidRPr="00797949">
        <w:instrText xml:space="preserve"> AUTONUM  </w:instrText>
      </w:r>
      <w:r w:rsidRPr="00797949">
        <w:fldChar w:fldCharType="end"/>
      </w:r>
      <w:r w:rsidRPr="00797949">
        <w:tab/>
        <w:t xml:space="preserve">The TWF agreed to invite the expert from the European Union, with the support of Brazil, Canada, France, Italy, Netherlands, New Zealand and Spain to draft a proposal for model letters/contracts to </w:t>
      </w:r>
      <w:proofErr w:type="gramStart"/>
      <w:r w:rsidRPr="00797949">
        <w:t>be used</w:t>
      </w:r>
      <w:proofErr w:type="gramEnd"/>
      <w:r w:rsidRPr="00797949">
        <w:t xml:space="preserve"> for the submission of plant material to the PVP Authority and/or DUS Examination Offices. This draft would be presented at the fifty-third session, as a basis for possible future possible revisions of UPOV Guidance (e.g. </w:t>
      </w:r>
      <w:r>
        <w:t xml:space="preserve">document </w:t>
      </w:r>
      <w:r w:rsidRPr="00797949">
        <w:t xml:space="preserve">TGP/5, Section 11 “Examples of Policies and Contracts for Material Submitted by the Breeder”) to help other UPOV members to facilitate access to plant material for the purpose of management of variety collections and DUS examination. The TWF recalled the list of key factors concerning access to plant material for breeders and PVP </w:t>
      </w:r>
      <w:proofErr w:type="gramStart"/>
      <w:r w:rsidRPr="00797949">
        <w:t>authorities,</w:t>
      </w:r>
      <w:proofErr w:type="gramEnd"/>
      <w:r w:rsidRPr="00797949">
        <w:t xml:space="preserve"> as listed in document TWF/52/5, paragraph 3 and agreed to ask the above group of experts to consider whether there was a need to review it.</w:t>
      </w:r>
    </w:p>
    <w:p w:rsidR="008A54B8" w:rsidRDefault="008A54B8" w:rsidP="008A54B8"/>
    <w:p w:rsidR="008A54B8" w:rsidRPr="000035F9" w:rsidRDefault="008A54B8" w:rsidP="008A54B8"/>
    <w:p w:rsidR="008A54B8" w:rsidRPr="000035F9" w:rsidRDefault="008A54B8" w:rsidP="00E45B5C">
      <w:pPr>
        <w:pStyle w:val="Heading2"/>
        <w:keepLines/>
      </w:pPr>
      <w:bookmarkStart w:id="13" w:name="_Toc79758896"/>
      <w:r w:rsidRPr="000035F9">
        <w:t>DUS examination of mutant varieties of apple</w:t>
      </w:r>
      <w:bookmarkEnd w:id="13"/>
    </w:p>
    <w:p w:rsidR="008A54B8" w:rsidRPr="000035F9" w:rsidRDefault="008A54B8" w:rsidP="00E45B5C">
      <w:pPr>
        <w:keepNext/>
        <w:keepLines/>
        <w:jc w:val="left"/>
        <w:rPr>
          <w:rFonts w:cs="Arial"/>
        </w:rPr>
      </w:pPr>
    </w:p>
    <w:p w:rsidR="008A54B8" w:rsidRPr="000035F9" w:rsidRDefault="008A54B8" w:rsidP="00E45B5C">
      <w:pPr>
        <w:keepNext/>
        <w:keepLines/>
      </w:pPr>
      <w:r w:rsidRPr="000035F9">
        <w:fldChar w:fldCharType="begin"/>
      </w:r>
      <w:r w:rsidRPr="000035F9">
        <w:instrText xml:space="preserve"> AUTONUM  </w:instrText>
      </w:r>
      <w:r w:rsidRPr="000035F9">
        <w:fldChar w:fldCharType="end"/>
      </w:r>
      <w:r w:rsidRPr="000035F9">
        <w:tab/>
        <w:t>The TWF</w:t>
      </w:r>
      <w:r>
        <w:rPr>
          <w:rStyle w:val="FootnoteReference"/>
        </w:rPr>
        <w:footnoteReference w:id="9"/>
      </w:r>
      <w:r w:rsidRPr="000035F9">
        <w:t xml:space="preserve"> considered document TWF/52/6 and received a presentation on “DUS examination of mutant varieties of apple” by an expert from the European Union.  A copy of the presentation </w:t>
      </w:r>
      <w:proofErr w:type="gramStart"/>
      <w:r w:rsidRPr="000035F9">
        <w:t>is provided</w:t>
      </w:r>
      <w:proofErr w:type="gramEnd"/>
      <w:r w:rsidRPr="000035F9">
        <w:t xml:space="preserve"> in the Annex to document TWF/52/6</w:t>
      </w:r>
      <w:r>
        <w:t xml:space="preserve"> (see document TWF/52/10 “Report”, paragraphs 66 to 70)</w:t>
      </w:r>
      <w:r w:rsidRPr="000035F9">
        <w:t>.</w:t>
      </w:r>
    </w:p>
    <w:p w:rsidR="008A54B8" w:rsidRPr="000035F9" w:rsidRDefault="008A54B8" w:rsidP="008A54B8">
      <w:pPr>
        <w:jc w:val="left"/>
        <w:rPr>
          <w:rFonts w:cs="Arial"/>
        </w:rPr>
      </w:pPr>
    </w:p>
    <w:p w:rsidR="008A54B8" w:rsidRPr="000035F9" w:rsidRDefault="008A54B8" w:rsidP="008A54B8">
      <w:r w:rsidRPr="000035F9">
        <w:fldChar w:fldCharType="begin"/>
      </w:r>
      <w:r w:rsidRPr="000035F9">
        <w:instrText xml:space="preserve"> AUTONUM  </w:instrText>
      </w:r>
      <w:r w:rsidRPr="000035F9">
        <w:fldChar w:fldCharType="end"/>
      </w:r>
      <w:r w:rsidRPr="000035F9">
        <w:tab/>
        <w:t xml:space="preserve">The TWF agreed that the work done by the expert from the European Union, to collect information among UPOV members on applications under analysis and existing </w:t>
      </w:r>
      <w:proofErr w:type="gramStart"/>
      <w:r w:rsidRPr="000035F9">
        <w:t>varieties for certain</w:t>
      </w:r>
      <w:proofErr w:type="gramEnd"/>
      <w:r w:rsidRPr="000035F9">
        <w:t xml:space="preserve"> apple mutation groups was important and should be continued.</w:t>
      </w:r>
    </w:p>
    <w:p w:rsidR="008A54B8" w:rsidRPr="000035F9" w:rsidRDefault="008A54B8" w:rsidP="008A54B8">
      <w:pPr>
        <w:jc w:val="left"/>
      </w:pPr>
    </w:p>
    <w:p w:rsidR="008A54B8" w:rsidRPr="000035F9" w:rsidRDefault="008A54B8" w:rsidP="008A54B8">
      <w:r w:rsidRPr="00797949">
        <w:fldChar w:fldCharType="begin"/>
      </w:r>
      <w:r w:rsidRPr="00797949">
        <w:instrText xml:space="preserve"> AUTONUM  </w:instrText>
      </w:r>
      <w:r w:rsidRPr="00797949">
        <w:fldChar w:fldCharType="end"/>
      </w:r>
      <w:r w:rsidRPr="00797949">
        <w:tab/>
        <w:t xml:space="preserve">The TWF considered the potential confidentiality issue of disclosing the parentage of a protected variety when exchanging data among PVP Offices and/or making data publically available.  The TWF agreed to invite the expert from Canada with the support of Australia, Brazil, European Union, France, Germany and Japan to identify potential confidentiality limitations and to share its findings with the TWF via a presentation </w:t>
      </w:r>
      <w:r>
        <w:t>at its fifty</w:t>
      </w:r>
      <w:r>
        <w:noBreakHyphen/>
      </w:r>
      <w:r w:rsidRPr="00797949">
        <w:t xml:space="preserve">third session.  It </w:t>
      </w:r>
      <w:proofErr w:type="gramStart"/>
      <w:r w:rsidRPr="00797949">
        <w:t>was agreed</w:t>
      </w:r>
      <w:proofErr w:type="gramEnd"/>
      <w:r w:rsidRPr="00797949">
        <w:t xml:space="preserve"> by the TWF that until the information about confidentiality </w:t>
      </w:r>
      <w:r w:rsidR="00201BB4">
        <w:t>wa</w:t>
      </w:r>
      <w:r w:rsidR="00201BB4" w:rsidRPr="00797949">
        <w:t xml:space="preserve">s </w:t>
      </w:r>
      <w:r w:rsidRPr="00797949">
        <w:t>clarified, the document collect</w:t>
      </w:r>
      <w:r>
        <w:t>ing</w:t>
      </w:r>
      <w:r w:rsidRPr="00797949">
        <w:t xml:space="preserve"> information among UPOV members</w:t>
      </w:r>
      <w:r>
        <w:t>,</w:t>
      </w:r>
      <w:r w:rsidRPr="004A2257">
        <w:t xml:space="preserve"> would not be made publically available</w:t>
      </w:r>
      <w:r>
        <w:t>.</w:t>
      </w:r>
    </w:p>
    <w:p w:rsidR="008A54B8" w:rsidRPr="000035F9" w:rsidRDefault="008A54B8" w:rsidP="008A54B8"/>
    <w:p w:rsidR="008A54B8" w:rsidRPr="000035F9" w:rsidRDefault="008A54B8" w:rsidP="008A54B8">
      <w:r w:rsidRPr="000035F9">
        <w:fldChar w:fldCharType="begin"/>
      </w:r>
      <w:r w:rsidRPr="000035F9">
        <w:instrText xml:space="preserve"> AUTONUM  </w:instrText>
      </w:r>
      <w:r w:rsidRPr="000035F9">
        <w:fldChar w:fldCharType="end"/>
      </w:r>
      <w:r w:rsidRPr="000035F9">
        <w:tab/>
        <w:t>The TWF agreed to invite the above group of experts to explore the possibility of appending information to UPOV codes to address the identification of variety groups in apple.</w:t>
      </w:r>
    </w:p>
    <w:p w:rsidR="008A54B8" w:rsidRPr="000035F9" w:rsidRDefault="008A54B8" w:rsidP="008A54B8"/>
    <w:p w:rsidR="008A54B8" w:rsidRPr="000035F9" w:rsidRDefault="008A54B8" w:rsidP="008A54B8">
      <w:r w:rsidRPr="000035F9">
        <w:fldChar w:fldCharType="begin"/>
      </w:r>
      <w:r w:rsidRPr="000035F9">
        <w:instrText xml:space="preserve"> AUTONUM  </w:instrText>
      </w:r>
      <w:r w:rsidRPr="000035F9">
        <w:fldChar w:fldCharType="end"/>
      </w:r>
      <w:r w:rsidRPr="000035F9">
        <w:tab/>
        <w:t xml:space="preserve">The TWF agreed to invite the above group of experts to consider how the information on applications under analysis and existing </w:t>
      </w:r>
      <w:proofErr w:type="gramStart"/>
      <w:r w:rsidRPr="000035F9">
        <w:t>varieties for certain</w:t>
      </w:r>
      <w:proofErr w:type="gramEnd"/>
      <w:r w:rsidRPr="000035F9">
        <w:t xml:space="preserve"> apple mutation groups should be made available, such as through the creation of a dedicated database, UPOV’s PLUTO database, or </w:t>
      </w:r>
      <w:r>
        <w:t>posting information on the UPOV </w:t>
      </w:r>
      <w:r w:rsidRPr="000035F9">
        <w:t xml:space="preserve">website. </w:t>
      </w:r>
    </w:p>
    <w:p w:rsidR="008A54B8" w:rsidRPr="000035F9" w:rsidRDefault="008A54B8" w:rsidP="008A54B8"/>
    <w:p w:rsidR="008A54B8" w:rsidRDefault="008A54B8" w:rsidP="00115286"/>
    <w:p w:rsidR="00115286" w:rsidRPr="00113E52" w:rsidRDefault="00115286" w:rsidP="00115286">
      <w:pPr>
        <w:pStyle w:val="Heading2"/>
        <w:rPr>
          <w:snapToGrid w:val="0"/>
        </w:rPr>
      </w:pPr>
      <w:bookmarkStart w:id="14" w:name="_Toc79758897"/>
      <w:r w:rsidRPr="00113E52">
        <w:rPr>
          <w:snapToGrid w:val="0"/>
        </w:rPr>
        <w:t>Use of disease resistance characteristics</w:t>
      </w:r>
      <w:bookmarkEnd w:id="14"/>
    </w:p>
    <w:p w:rsidR="00115286" w:rsidRPr="00113E52" w:rsidRDefault="00115286" w:rsidP="00115286">
      <w:pPr>
        <w:rPr>
          <w:rFonts w:cs="Arial"/>
          <w:snapToGrid w:val="0"/>
        </w:rPr>
      </w:pPr>
    </w:p>
    <w:p w:rsidR="00115286" w:rsidRPr="00113E52" w:rsidRDefault="00115286" w:rsidP="00115286">
      <w:r w:rsidRPr="00113E52">
        <w:fldChar w:fldCharType="begin"/>
      </w:r>
      <w:r w:rsidRPr="00113E52">
        <w:instrText xml:space="preserve"> AUTONUM  </w:instrText>
      </w:r>
      <w:r w:rsidRPr="00113E52">
        <w:fldChar w:fldCharType="end"/>
      </w:r>
      <w:r w:rsidRPr="00113E52">
        <w:tab/>
        <w:t>The TWV</w:t>
      </w:r>
      <w:r w:rsidR="000B7D49">
        <w:rPr>
          <w:rStyle w:val="FootnoteReference"/>
          <w:rFonts w:cs="Arial"/>
          <w:snapToGrid w:val="0"/>
        </w:rPr>
        <w:footnoteReference w:id="10"/>
      </w:r>
      <w:r w:rsidRPr="00113E52">
        <w:t xml:space="preserve"> recalled the invitation for the experts from France and the Netherlands to present their current practice on using quantitative disease resistance characteristics (with intermediate state of expression) at its fifty-sixth session.  The TWV noted the offer made by ISF to present the views of the vegetable seed breeding industry on the terminology used for disease resistance characteristics, at its fifty-sixth session</w:t>
      </w:r>
      <w:r w:rsidR="00C73E74">
        <w:t xml:space="preserve"> (see document</w:t>
      </w:r>
      <w:r w:rsidR="006C2A53">
        <w:t> </w:t>
      </w:r>
      <w:r w:rsidR="00C73E74">
        <w:t>TWV55/16 “Report”, paragraphs 38, 40 and 41)</w:t>
      </w:r>
      <w:r w:rsidRPr="00113E52">
        <w:t>.</w:t>
      </w:r>
    </w:p>
    <w:p w:rsidR="00115286" w:rsidRPr="00113E52" w:rsidRDefault="00115286" w:rsidP="00115286"/>
    <w:p w:rsidR="00115286" w:rsidRPr="00113E52" w:rsidRDefault="00115286" w:rsidP="00115286">
      <w:r w:rsidRPr="00113E52">
        <w:fldChar w:fldCharType="begin"/>
      </w:r>
      <w:r w:rsidRPr="00113E52">
        <w:instrText xml:space="preserve"> AUTONUM  </w:instrText>
      </w:r>
      <w:r w:rsidRPr="00113E52">
        <w:fldChar w:fldCharType="end"/>
      </w:r>
      <w:r w:rsidRPr="00113E52">
        <w:tab/>
        <w:t>The TWV received a presentation on “</w:t>
      </w:r>
      <w:proofErr w:type="spellStart"/>
      <w:r w:rsidRPr="00113E52">
        <w:t>Harmorescoll</w:t>
      </w:r>
      <w:proofErr w:type="spellEnd"/>
      <w:r w:rsidRPr="00113E52">
        <w:t xml:space="preserve"> - Towards a European, harmonized collection of reference material for DUS resistance tests” by an expert from France.  A copy of the presentation </w:t>
      </w:r>
      <w:proofErr w:type="gramStart"/>
      <w:r w:rsidRPr="00113E52">
        <w:t>is provided</w:t>
      </w:r>
      <w:proofErr w:type="gramEnd"/>
      <w:r w:rsidRPr="00113E52">
        <w:t xml:space="preserve"> in document TWV/55/6.  The TWV agreed to invite the expert from France to report on further progress on the </w:t>
      </w:r>
      <w:proofErr w:type="spellStart"/>
      <w:r w:rsidRPr="00113E52">
        <w:t>Harmorescoll</w:t>
      </w:r>
      <w:proofErr w:type="spellEnd"/>
      <w:r w:rsidRPr="00113E52">
        <w:t xml:space="preserve"> project at its fifty-sixth session.</w:t>
      </w:r>
      <w:r>
        <w:t xml:space="preserve"> The TWV noted the interest of members outside the European Union and agreed that further consideration </w:t>
      </w:r>
      <w:proofErr w:type="gramStart"/>
      <w:r>
        <w:t>should be given</w:t>
      </w:r>
      <w:proofErr w:type="gramEnd"/>
      <w:r>
        <w:t xml:space="preserve"> to accessing material from </w:t>
      </w:r>
      <w:proofErr w:type="spellStart"/>
      <w:r>
        <w:t>Harmorescoll</w:t>
      </w:r>
      <w:proofErr w:type="spellEnd"/>
      <w:r>
        <w:t>.</w:t>
      </w:r>
    </w:p>
    <w:p w:rsidR="00115286" w:rsidRPr="00113E52" w:rsidRDefault="00115286" w:rsidP="00115286"/>
    <w:p w:rsidR="00115286" w:rsidRDefault="00115286" w:rsidP="006C2A53">
      <w:pPr>
        <w:keepNext/>
        <w:keepLines/>
      </w:pPr>
      <w:r w:rsidRPr="00113E52">
        <w:fldChar w:fldCharType="begin"/>
      </w:r>
      <w:r w:rsidRPr="00113E52">
        <w:instrText xml:space="preserve"> AUTONUM  </w:instrText>
      </w:r>
      <w:r w:rsidRPr="00113E52">
        <w:fldChar w:fldCharType="end"/>
      </w:r>
      <w:r w:rsidRPr="00113E52">
        <w:tab/>
        <w:t xml:space="preserve">The TWV agreed that access to reference materials and availability of control varieties was key when performing DUS tests of disease resistance characteristics.  It further agreed that, when revising or drafting Test Guidelines, the availability of inoculum, example varieties and control varieties for disease resistance characteristics </w:t>
      </w:r>
      <w:proofErr w:type="gramStart"/>
      <w:r w:rsidRPr="00113E52">
        <w:t>should be checked and updated</w:t>
      </w:r>
      <w:proofErr w:type="gramEnd"/>
      <w:r w:rsidRPr="00113E52">
        <w:t>.</w:t>
      </w:r>
    </w:p>
    <w:p w:rsidR="00115286" w:rsidRDefault="00115286" w:rsidP="006C2A53">
      <w:pPr>
        <w:keepNext/>
        <w:keepLines/>
      </w:pPr>
    </w:p>
    <w:p w:rsidR="00245321" w:rsidRPr="00113E52" w:rsidRDefault="00245321" w:rsidP="00245321">
      <w:pPr>
        <w:keepNext/>
        <w:ind w:left="567" w:hanging="567"/>
        <w:rPr>
          <w:snapToGrid w:val="0"/>
        </w:rPr>
      </w:pPr>
    </w:p>
    <w:p w:rsidR="00245321" w:rsidRPr="00113E52" w:rsidRDefault="00245321" w:rsidP="00245321">
      <w:pPr>
        <w:pStyle w:val="Heading2"/>
      </w:pPr>
      <w:bookmarkStart w:id="15" w:name="_Toc79758898"/>
      <w:r w:rsidRPr="00113E52">
        <w:t>Experiences with new types and species</w:t>
      </w:r>
      <w:bookmarkEnd w:id="15"/>
    </w:p>
    <w:p w:rsidR="00245321" w:rsidRPr="00113E52" w:rsidRDefault="00245321" w:rsidP="00245321">
      <w:pPr>
        <w:keepNext/>
      </w:pPr>
    </w:p>
    <w:p w:rsidR="00245321" w:rsidRDefault="00245321" w:rsidP="00245321">
      <w:pPr>
        <w:rPr>
          <w:snapToGrid w:val="0"/>
        </w:rPr>
      </w:pPr>
      <w:r w:rsidRPr="00113E52">
        <w:fldChar w:fldCharType="begin"/>
      </w:r>
      <w:r w:rsidRPr="00113E52">
        <w:instrText xml:space="preserve"> AUTONUM  </w:instrText>
      </w:r>
      <w:r w:rsidRPr="00113E52">
        <w:fldChar w:fldCharType="end"/>
      </w:r>
      <w:r w:rsidRPr="00113E52">
        <w:tab/>
        <w:t>The TWV</w:t>
      </w:r>
      <w:r w:rsidR="00161EC8" w:rsidRPr="00161EC8">
        <w:rPr>
          <w:vertAlign w:val="superscript"/>
        </w:rPr>
        <w:t>9</w:t>
      </w:r>
      <w:r w:rsidRPr="00113E52">
        <w:t xml:space="preserve"> noted the comment made by the expert of Turkey on the increasing number of applications received for </w:t>
      </w:r>
      <w:proofErr w:type="spellStart"/>
      <w:r w:rsidRPr="00113E52">
        <w:rPr>
          <w:i/>
        </w:rPr>
        <w:t>Solanum</w:t>
      </w:r>
      <w:proofErr w:type="spellEnd"/>
      <w:r w:rsidRPr="00113E52">
        <w:rPr>
          <w:i/>
        </w:rPr>
        <w:t xml:space="preserve"> </w:t>
      </w:r>
      <w:proofErr w:type="spellStart"/>
      <w:r w:rsidRPr="00113E52">
        <w:rPr>
          <w:i/>
        </w:rPr>
        <w:t>torvum</w:t>
      </w:r>
      <w:proofErr w:type="spellEnd"/>
      <w:r w:rsidRPr="00113E52">
        <w:t xml:space="preserve"> </w:t>
      </w:r>
      <w:proofErr w:type="gramStart"/>
      <w:r w:rsidRPr="00113E52">
        <w:t>Sw..</w:t>
      </w:r>
      <w:proofErr w:type="gramEnd"/>
      <w:r w:rsidRPr="00113E52">
        <w:t xml:space="preserve"> The TWV recalled the presentation received on the same species at its fifty</w:t>
      </w:r>
      <w:r w:rsidRPr="00113E52">
        <w:noBreakHyphen/>
        <w:t>second session (see document TWV/52/14)</w:t>
      </w:r>
      <w:r>
        <w:t xml:space="preserve"> (see document TWV</w:t>
      </w:r>
      <w:r w:rsidR="00EA1856">
        <w:t>/</w:t>
      </w:r>
      <w:r>
        <w:t>55/16 “Report”, paragraph 104)</w:t>
      </w:r>
      <w:r w:rsidRPr="00113E52">
        <w:t xml:space="preserve">. </w:t>
      </w:r>
    </w:p>
    <w:p w:rsidR="008B2EDB" w:rsidRDefault="008B2EDB" w:rsidP="008B2EDB"/>
    <w:p w:rsidR="00AB072D" w:rsidRPr="004B1215" w:rsidRDefault="00AB072D" w:rsidP="008B2EDB"/>
    <w:p w:rsidR="008B2EDB" w:rsidRPr="003617FC" w:rsidRDefault="008B2EDB" w:rsidP="008B2EDB">
      <w:pPr>
        <w:pStyle w:val="Heading2"/>
      </w:pPr>
      <w:bookmarkStart w:id="16" w:name="_Toc79758899"/>
      <w:r w:rsidRPr="003617FC">
        <w:t>Procedures for grouping varieties using UPOV codes and relevant information sources</w:t>
      </w:r>
      <w:bookmarkEnd w:id="16"/>
    </w:p>
    <w:p w:rsidR="008B2EDB" w:rsidRPr="003617FC" w:rsidRDefault="008B2EDB" w:rsidP="008B2EDB">
      <w:pPr>
        <w:pStyle w:val="Heading4"/>
        <w:rPr>
          <w:lang w:val="en-US"/>
        </w:rPr>
      </w:pPr>
    </w:p>
    <w:p w:rsidR="008B2EDB" w:rsidRPr="00390239" w:rsidRDefault="008B2EDB" w:rsidP="008B2EDB">
      <w:r>
        <w:fldChar w:fldCharType="begin"/>
      </w:r>
      <w:r>
        <w:instrText xml:space="preserve"> AUTONUM  </w:instrText>
      </w:r>
      <w:r>
        <w:fldChar w:fldCharType="end"/>
      </w:r>
      <w:r>
        <w:tab/>
        <w:t>The TWO</w:t>
      </w:r>
      <w:r>
        <w:rPr>
          <w:rStyle w:val="FootnoteReference"/>
        </w:rPr>
        <w:footnoteReference w:id="11"/>
      </w:r>
      <w:r>
        <w:t xml:space="preserve"> received a presentation on “</w:t>
      </w:r>
      <w:r w:rsidRPr="00390239">
        <w:t>Use of variety groups in the UPOV system</w:t>
      </w:r>
      <w:r>
        <w:t xml:space="preserve">” by an expert from the Netherlands. A copy </w:t>
      </w:r>
      <w:bookmarkStart w:id="17" w:name="_GoBack"/>
      <w:bookmarkEnd w:id="17"/>
      <w:r>
        <w:t xml:space="preserve">of the presentation </w:t>
      </w:r>
      <w:proofErr w:type="gramStart"/>
      <w:r>
        <w:t>is provided</w:t>
      </w:r>
      <w:proofErr w:type="gramEnd"/>
      <w:r>
        <w:t xml:space="preserve"> in the annex to </w:t>
      </w:r>
      <w:r w:rsidRPr="00390239">
        <w:t>document TWO/53/7</w:t>
      </w:r>
      <w:r>
        <w:t xml:space="preserve"> (see document TWO/53/10 “Report”, paragraph 47).</w:t>
      </w:r>
    </w:p>
    <w:p w:rsidR="006C46F9" w:rsidRDefault="006C46F9" w:rsidP="006C46F9">
      <w:pPr>
        <w:pStyle w:val="Heading2"/>
      </w:pPr>
      <w:bookmarkStart w:id="18" w:name="_Toc79758900"/>
      <w:r w:rsidRPr="005B24AC">
        <w:t>Providing information on similar varieties in the UPOV model variety description</w:t>
      </w:r>
      <w:bookmarkEnd w:id="18"/>
    </w:p>
    <w:p w:rsidR="006C46F9" w:rsidRDefault="006C46F9" w:rsidP="006C46F9">
      <w:pPr>
        <w:keepNext/>
      </w:pPr>
    </w:p>
    <w:p w:rsidR="006C46F9" w:rsidRPr="00390239" w:rsidRDefault="006C46F9" w:rsidP="006C46F9">
      <w:r>
        <w:fldChar w:fldCharType="begin"/>
      </w:r>
      <w:r>
        <w:instrText xml:space="preserve"> AUTONUM  </w:instrText>
      </w:r>
      <w:r>
        <w:fldChar w:fldCharType="end"/>
      </w:r>
      <w:r>
        <w:tab/>
        <w:t>The TWO</w:t>
      </w:r>
      <w:r w:rsidR="00F603B2">
        <w:rPr>
          <w:rStyle w:val="FootnoteReference"/>
        </w:rPr>
        <w:footnoteReference w:id="12"/>
      </w:r>
      <w:r>
        <w:t xml:space="preserve"> received a presentation on “Providing information on similar varieties in the UPOV model variety description” by an expert from the European Union. A copy of the presentation </w:t>
      </w:r>
      <w:proofErr w:type="gramStart"/>
      <w:r>
        <w:t>is provided</w:t>
      </w:r>
      <w:proofErr w:type="gramEnd"/>
      <w:r>
        <w:t xml:space="preserve"> in </w:t>
      </w:r>
      <w:r w:rsidRPr="00390239">
        <w:t>document</w:t>
      </w:r>
      <w:r>
        <w:t> </w:t>
      </w:r>
      <w:r w:rsidRPr="00390239">
        <w:t>TWO/53/</w:t>
      </w:r>
      <w:r>
        <w:t>6</w:t>
      </w:r>
      <w:r w:rsidR="00F603B2">
        <w:t xml:space="preserve"> (see document TWO/53/10 “Report”, paragraphs 34 and 35)</w:t>
      </w:r>
      <w:r>
        <w:t>.</w:t>
      </w:r>
    </w:p>
    <w:p w:rsidR="006C46F9" w:rsidRDefault="006C46F9" w:rsidP="006C46F9"/>
    <w:p w:rsidR="006C46F9" w:rsidRDefault="006C46F9" w:rsidP="006C46F9">
      <w:r>
        <w:fldChar w:fldCharType="begin"/>
      </w:r>
      <w:r>
        <w:instrText xml:space="preserve"> AUTONUM  </w:instrText>
      </w:r>
      <w:r>
        <w:fldChar w:fldCharType="end"/>
      </w:r>
      <w:r>
        <w:tab/>
        <w:t xml:space="preserve">The TWO agreed that the most distinguishing characteristics between the candidate and most similar </w:t>
      </w:r>
      <w:proofErr w:type="gramStart"/>
      <w:r>
        <w:t>variety(</w:t>
      </w:r>
      <w:proofErr w:type="spellStart"/>
      <w:proofErr w:type="gramEnd"/>
      <w:r>
        <w:t>ies</w:t>
      </w:r>
      <w:proofErr w:type="spellEnd"/>
      <w:r>
        <w:t xml:space="preserve">) should be provided in the DUS test report.  The TWO agreed that no further clarification would need to </w:t>
      </w:r>
      <w:proofErr w:type="gramStart"/>
      <w:r>
        <w:t>be provided</w:t>
      </w:r>
      <w:proofErr w:type="gramEnd"/>
      <w:r>
        <w:t xml:space="preserve"> in UPOV guidance on this matter at this stage.</w:t>
      </w:r>
    </w:p>
    <w:p w:rsidR="006C46F9" w:rsidRDefault="006C46F9" w:rsidP="006C46F9">
      <w:pPr>
        <w:jc w:val="left"/>
      </w:pPr>
    </w:p>
    <w:p w:rsidR="00595444" w:rsidRPr="00390239" w:rsidRDefault="00595444" w:rsidP="00595444"/>
    <w:p w:rsidR="00595444" w:rsidRDefault="00595444" w:rsidP="00557536">
      <w:pPr>
        <w:pStyle w:val="Heading2"/>
      </w:pPr>
      <w:bookmarkStart w:id="19" w:name="_Toc79758901"/>
      <w:r w:rsidRPr="00E22669">
        <w:t>Assessing ornamental crops using individual plant measurements (MS)</w:t>
      </w:r>
      <w:bookmarkEnd w:id="19"/>
    </w:p>
    <w:p w:rsidR="00595444" w:rsidRDefault="00595444" w:rsidP="00557536">
      <w:pPr>
        <w:keepNext/>
      </w:pPr>
    </w:p>
    <w:p w:rsidR="00595444" w:rsidRDefault="00595444" w:rsidP="00557536">
      <w:pPr>
        <w:keepNext/>
      </w:pPr>
      <w:r>
        <w:fldChar w:fldCharType="begin"/>
      </w:r>
      <w:r>
        <w:instrText xml:space="preserve"> AUTONUM  </w:instrText>
      </w:r>
      <w:r>
        <w:fldChar w:fldCharType="end"/>
      </w:r>
      <w:r>
        <w:tab/>
        <w:t>The TWO</w:t>
      </w:r>
      <w:r w:rsidR="00161EC8" w:rsidRPr="00161EC8">
        <w:rPr>
          <w:vertAlign w:val="superscript"/>
        </w:rPr>
        <w:t>11</w:t>
      </w:r>
      <w:r w:rsidR="00161EC8">
        <w:rPr>
          <w:rStyle w:val="FootnoteReference"/>
        </w:rPr>
        <w:t xml:space="preserve"> </w:t>
      </w:r>
      <w:r>
        <w:t xml:space="preserve">received the following presentations, copies of which </w:t>
      </w:r>
      <w:proofErr w:type="gramStart"/>
      <w:r>
        <w:t>are provided</w:t>
      </w:r>
      <w:proofErr w:type="gramEnd"/>
      <w:r>
        <w:t xml:space="preserve"> in the annexes to document TWO/53/4 (see document TWO/53/10 “Report”, paragraphs 83 and 84):</w:t>
      </w:r>
    </w:p>
    <w:p w:rsidR="00595444" w:rsidRDefault="00595444" w:rsidP="00557536">
      <w:pPr>
        <w:keepNext/>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3"/>
        <w:gridCol w:w="1701"/>
      </w:tblGrid>
      <w:tr w:rsidR="00595444" w:rsidTr="004E64F5">
        <w:tc>
          <w:tcPr>
            <w:tcW w:w="7933" w:type="dxa"/>
          </w:tcPr>
          <w:p w:rsidR="00595444" w:rsidRPr="0044777A" w:rsidRDefault="00595444" w:rsidP="00557536">
            <w:pPr>
              <w:keepNext/>
              <w:spacing w:after="120"/>
              <w:ind w:left="166"/>
            </w:pPr>
            <w:r w:rsidRPr="0044777A">
              <w:rPr>
                <w:rFonts w:eastAsiaTheme="minorHAnsi"/>
                <w:lang w:val="en-NZ"/>
              </w:rPr>
              <w:t>“Assessing ornamental crops using individual plant measurements (MS) – When and why we do it and how we proceed with the data”, by an expert from Germany</w:t>
            </w:r>
          </w:p>
        </w:tc>
        <w:tc>
          <w:tcPr>
            <w:tcW w:w="1701" w:type="dxa"/>
          </w:tcPr>
          <w:p w:rsidR="00595444" w:rsidRDefault="00595444" w:rsidP="00557536">
            <w:pPr>
              <w:keepNext/>
              <w:spacing w:after="120"/>
            </w:pPr>
            <w:r>
              <w:tab/>
              <w:t>Annex I</w:t>
            </w:r>
          </w:p>
        </w:tc>
      </w:tr>
      <w:tr w:rsidR="00595444" w:rsidTr="004E64F5">
        <w:tc>
          <w:tcPr>
            <w:tcW w:w="7933" w:type="dxa"/>
          </w:tcPr>
          <w:p w:rsidR="00595444" w:rsidRPr="0044777A" w:rsidRDefault="00595444" w:rsidP="00557536">
            <w:pPr>
              <w:keepNext/>
              <w:spacing w:after="120"/>
              <w:ind w:left="166"/>
            </w:pPr>
            <w:r w:rsidRPr="0044777A">
              <w:rPr>
                <w:rFonts w:eastAsiaTheme="minorHAnsi"/>
                <w:lang w:val="en-NZ"/>
              </w:rPr>
              <w:t>“The use of MG and MS in Test Guidelines for Ornamental species”, by an expert from New Zealand</w:t>
            </w:r>
          </w:p>
        </w:tc>
        <w:tc>
          <w:tcPr>
            <w:tcW w:w="1701" w:type="dxa"/>
          </w:tcPr>
          <w:p w:rsidR="00595444" w:rsidRDefault="00595444" w:rsidP="00557536">
            <w:pPr>
              <w:keepNext/>
              <w:spacing w:after="120"/>
            </w:pPr>
            <w:r>
              <w:tab/>
              <w:t>Annex II</w:t>
            </w:r>
          </w:p>
        </w:tc>
      </w:tr>
      <w:tr w:rsidR="00595444" w:rsidTr="004E64F5">
        <w:tc>
          <w:tcPr>
            <w:tcW w:w="7933" w:type="dxa"/>
          </w:tcPr>
          <w:p w:rsidR="00595444" w:rsidRPr="0044777A" w:rsidRDefault="00595444" w:rsidP="00557536">
            <w:pPr>
              <w:keepNext/>
              <w:spacing w:after="120"/>
              <w:ind w:left="166"/>
            </w:pPr>
            <w:r w:rsidRPr="0044777A">
              <w:rPr>
                <w:rFonts w:eastAsiaTheme="minorHAnsi"/>
                <w:lang w:val="en-NZ"/>
              </w:rPr>
              <w:t>“Assessing ornamental crops using individual plant measurements (MS) – a United Kingdom perspective”, by an expert from the United Kingdom</w:t>
            </w:r>
          </w:p>
        </w:tc>
        <w:tc>
          <w:tcPr>
            <w:tcW w:w="1701" w:type="dxa"/>
          </w:tcPr>
          <w:p w:rsidR="00595444" w:rsidRDefault="00595444" w:rsidP="00557536">
            <w:pPr>
              <w:keepNext/>
              <w:spacing w:after="120"/>
            </w:pPr>
            <w:r>
              <w:tab/>
              <w:t>Annex III</w:t>
            </w:r>
          </w:p>
        </w:tc>
      </w:tr>
    </w:tbl>
    <w:p w:rsidR="00595444" w:rsidRDefault="00595444" w:rsidP="00595444"/>
    <w:p w:rsidR="00595444" w:rsidRDefault="00595444" w:rsidP="00595444">
      <w:r>
        <w:fldChar w:fldCharType="begin"/>
      </w:r>
      <w:r>
        <w:instrText xml:space="preserve"> AUTONUM  </w:instrText>
      </w:r>
      <w:r>
        <w:fldChar w:fldCharType="end"/>
      </w:r>
      <w:r>
        <w:tab/>
        <w:t xml:space="preserve">The TWO noted that </w:t>
      </w:r>
      <w:r w:rsidRPr="0044777A">
        <w:rPr>
          <w:rFonts w:eastAsiaTheme="minorHAnsi"/>
          <w:lang w:val="en-NZ"/>
        </w:rPr>
        <w:t xml:space="preserve">individual plant measurements (MS) </w:t>
      </w:r>
      <w:proofErr w:type="gramStart"/>
      <w:r>
        <w:rPr>
          <w:rFonts w:eastAsiaTheme="minorHAnsi"/>
          <w:lang w:val="en-NZ"/>
        </w:rPr>
        <w:t>were used</w:t>
      </w:r>
      <w:proofErr w:type="gramEnd"/>
      <w:r>
        <w:rPr>
          <w:rFonts w:eastAsiaTheme="minorHAnsi"/>
          <w:lang w:val="en-NZ"/>
        </w:rPr>
        <w:t xml:space="preserve"> for ornamental crops depending on the species, the type of propagation, the size of the trial and the authorities’ testing practice.  The TWO agreed to </w:t>
      </w:r>
      <w:r>
        <w:t xml:space="preserve">invite Leading Experts of draft Test Guidelines to promote discussions on the necessity of using individual measurements for the proposed characteristics.  </w:t>
      </w:r>
    </w:p>
    <w:p w:rsidR="00595444" w:rsidRPr="00BB3174" w:rsidRDefault="00595444" w:rsidP="00595444"/>
    <w:p w:rsidR="00DF5EC7" w:rsidRPr="00052782" w:rsidRDefault="00DF5EC7" w:rsidP="00DF5EC7">
      <w:pPr>
        <w:jc w:val="left"/>
      </w:pPr>
    </w:p>
    <w:p w:rsidR="00DF5EC7" w:rsidRDefault="00DF5EC7" w:rsidP="00DF5EC7">
      <w:pPr>
        <w:pStyle w:val="Heading2"/>
      </w:pPr>
      <w:bookmarkStart w:id="20" w:name="_Toc79758902"/>
      <w:r w:rsidRPr="00052782">
        <w:t>New technologies in DUS examination</w:t>
      </w:r>
      <w:bookmarkEnd w:id="20"/>
    </w:p>
    <w:p w:rsidR="00DF5EC7" w:rsidRDefault="00DF5EC7" w:rsidP="00DF5EC7">
      <w:pPr>
        <w:jc w:val="left"/>
      </w:pPr>
    </w:p>
    <w:p w:rsidR="00DF5EC7" w:rsidRDefault="00DF5EC7" w:rsidP="00DF5EC7">
      <w:pPr>
        <w:jc w:val="left"/>
      </w:pPr>
      <w:r>
        <w:fldChar w:fldCharType="begin"/>
      </w:r>
      <w:r>
        <w:instrText xml:space="preserve"> AUTONUM  </w:instrText>
      </w:r>
      <w:r>
        <w:fldChar w:fldCharType="end"/>
      </w:r>
      <w:r>
        <w:tab/>
        <w:t>The TWA</w:t>
      </w:r>
      <w:r>
        <w:rPr>
          <w:rStyle w:val="FootnoteReference"/>
        </w:rPr>
        <w:footnoteReference w:id="13"/>
      </w:r>
      <w:r>
        <w:t xml:space="preserve"> received the following presentations, copies of which </w:t>
      </w:r>
      <w:proofErr w:type="gramStart"/>
      <w:r>
        <w:t>are provided</w:t>
      </w:r>
      <w:proofErr w:type="gramEnd"/>
      <w:r>
        <w:t xml:space="preserve"> in document TWA/50/5 (see document TWA/50/</w:t>
      </w:r>
      <w:r w:rsidR="00361CC8">
        <w:t>9 “Report”, paragraphs 94 and 95)</w:t>
      </w:r>
      <w:r>
        <w:t>:</w:t>
      </w:r>
    </w:p>
    <w:p w:rsidR="00DF5EC7" w:rsidRDefault="00DF5EC7" w:rsidP="00DF5EC7">
      <w:pPr>
        <w:jc w:val="left"/>
      </w:pPr>
    </w:p>
    <w:p w:rsidR="00DF5EC7" w:rsidRDefault="00DF5EC7" w:rsidP="00DF5EC7">
      <w:pPr>
        <w:ind w:left="567"/>
      </w:pPr>
      <w:r>
        <w:t>Annex I</w:t>
      </w:r>
      <w:r>
        <w:tab/>
        <w:t>“Using new technology in DUS-testing”, from an expert from Denmark</w:t>
      </w:r>
    </w:p>
    <w:p w:rsidR="00DF5EC7" w:rsidRDefault="00DF5EC7" w:rsidP="00DF5EC7">
      <w:pPr>
        <w:ind w:left="1701" w:hanging="1134"/>
      </w:pPr>
      <w:r>
        <w:t>Annex II</w:t>
      </w:r>
      <w:r>
        <w:tab/>
        <w:t>“Image Analysis in United Kingdom Agricultural DUS testing”, from an expert from the United Kingdom</w:t>
      </w:r>
    </w:p>
    <w:p w:rsidR="00DF5EC7" w:rsidRDefault="00DF5EC7" w:rsidP="00DF5EC7">
      <w:pPr>
        <w:jc w:val="left"/>
      </w:pPr>
    </w:p>
    <w:p w:rsidR="00DF5EC7" w:rsidRDefault="00DF5EC7" w:rsidP="00DF5EC7">
      <w:r>
        <w:fldChar w:fldCharType="begin"/>
      </w:r>
      <w:r>
        <w:instrText xml:space="preserve"> AUTONUM  </w:instrText>
      </w:r>
      <w:r>
        <w:fldChar w:fldCharType="end"/>
      </w:r>
      <w:r>
        <w:tab/>
        <w:t>The TWA</w:t>
      </w:r>
      <w:r w:rsidRPr="00692244">
        <w:t xml:space="preserve"> </w:t>
      </w:r>
      <w:r>
        <w:t xml:space="preserve">noted the work reported </w:t>
      </w:r>
      <w:r w:rsidR="00201BB4">
        <w:t xml:space="preserve">and </w:t>
      </w:r>
      <w:r>
        <w:t>agreed to invite the experts from Denmark and the United Kingdom to report</w:t>
      </w:r>
      <w:r w:rsidR="00201BB4">
        <w:t xml:space="preserve"> further</w:t>
      </w:r>
      <w:r>
        <w:t xml:space="preserve"> developments at its fifty-first session.</w:t>
      </w:r>
    </w:p>
    <w:p w:rsidR="006C46F9" w:rsidRDefault="006C46F9" w:rsidP="00445B73"/>
    <w:p w:rsidR="00D453D6" w:rsidRPr="000035F9" w:rsidRDefault="00D453D6" w:rsidP="00D453D6">
      <w:pPr>
        <w:jc w:val="left"/>
      </w:pPr>
    </w:p>
    <w:p w:rsidR="00D453D6" w:rsidRPr="000035F9" w:rsidRDefault="00D453D6" w:rsidP="00D453D6">
      <w:pPr>
        <w:pStyle w:val="Heading2"/>
        <w:rPr>
          <w:rFonts w:cs="Arial"/>
        </w:rPr>
      </w:pPr>
      <w:bookmarkStart w:id="21" w:name="_Toc79758903"/>
      <w:r w:rsidRPr="000035F9">
        <w:rPr>
          <w:rFonts w:cs="Arial"/>
        </w:rPr>
        <w:t>M</w:t>
      </w:r>
      <w:r w:rsidRPr="000035F9">
        <w:t>atters relevant in DUS examination for the fruit sector</w:t>
      </w:r>
      <w:bookmarkEnd w:id="21"/>
    </w:p>
    <w:p w:rsidR="00D453D6" w:rsidRPr="000035F9" w:rsidRDefault="00D453D6" w:rsidP="00D453D6">
      <w:pPr>
        <w:jc w:val="left"/>
        <w:rPr>
          <w:rFonts w:cs="Arial"/>
        </w:rPr>
      </w:pPr>
    </w:p>
    <w:p w:rsidR="00D453D6" w:rsidRPr="000035F9" w:rsidRDefault="00D453D6" w:rsidP="00D453D6">
      <w:r w:rsidRPr="000035F9">
        <w:rPr>
          <w:rFonts w:cs="Arial"/>
        </w:rPr>
        <w:fldChar w:fldCharType="begin"/>
      </w:r>
      <w:r w:rsidRPr="000035F9">
        <w:rPr>
          <w:rFonts w:cs="Arial"/>
        </w:rPr>
        <w:instrText xml:space="preserve"> AUTONUM  </w:instrText>
      </w:r>
      <w:r w:rsidRPr="000035F9">
        <w:rPr>
          <w:rFonts w:cs="Arial"/>
        </w:rPr>
        <w:fldChar w:fldCharType="end"/>
      </w:r>
      <w:r w:rsidRPr="000035F9">
        <w:rPr>
          <w:rFonts w:cs="Arial"/>
        </w:rPr>
        <w:tab/>
        <w:t>The TWF</w:t>
      </w:r>
      <w:r>
        <w:rPr>
          <w:rStyle w:val="FootnoteReference"/>
          <w:rFonts w:cs="Arial"/>
        </w:rPr>
        <w:footnoteReference w:id="14"/>
      </w:r>
      <w:r w:rsidRPr="000035F9">
        <w:rPr>
          <w:rFonts w:cs="Arial"/>
        </w:rPr>
        <w:t xml:space="preserve"> received a presentation on the “Number of plants of reference variety”, by an expert from the European Union.  </w:t>
      </w:r>
      <w:r w:rsidRPr="000035F9">
        <w:t xml:space="preserve">A copy of the presentation </w:t>
      </w:r>
      <w:proofErr w:type="gramStart"/>
      <w:r w:rsidRPr="000035F9">
        <w:t>is provided</w:t>
      </w:r>
      <w:proofErr w:type="gramEnd"/>
      <w:r w:rsidRPr="000035F9">
        <w:t xml:space="preserve"> in the Annex to document TWF/52/7</w:t>
      </w:r>
      <w:r>
        <w:t xml:space="preserve"> (see document TWF/52/10 “Report”, paragraphs 71 and 72)</w:t>
      </w:r>
      <w:r w:rsidRPr="000035F9">
        <w:t>.</w:t>
      </w:r>
    </w:p>
    <w:p w:rsidR="00D453D6" w:rsidRPr="000035F9" w:rsidRDefault="00D453D6" w:rsidP="00D453D6">
      <w:pPr>
        <w:rPr>
          <w:rFonts w:cs="Arial"/>
        </w:rPr>
      </w:pPr>
    </w:p>
    <w:p w:rsidR="00D453D6" w:rsidRPr="000035F9" w:rsidRDefault="00D453D6" w:rsidP="00D453D6">
      <w:pPr>
        <w:rPr>
          <w:rFonts w:cs="Arial"/>
        </w:rPr>
      </w:pPr>
      <w:r w:rsidRPr="000035F9">
        <w:rPr>
          <w:rFonts w:cs="Arial"/>
        </w:rPr>
        <w:fldChar w:fldCharType="begin"/>
      </w:r>
      <w:r w:rsidRPr="000035F9">
        <w:rPr>
          <w:rFonts w:cs="Arial"/>
        </w:rPr>
        <w:instrText xml:space="preserve"> AUTONUM  </w:instrText>
      </w:r>
      <w:r w:rsidRPr="000035F9">
        <w:rPr>
          <w:rFonts w:cs="Arial"/>
        </w:rPr>
        <w:fldChar w:fldCharType="end"/>
      </w:r>
      <w:r w:rsidRPr="000035F9">
        <w:rPr>
          <w:rFonts w:cs="Arial"/>
        </w:rPr>
        <w:tab/>
        <w:t xml:space="preserve">The TWF agreed to invite the expert from the European Union, with the support of Brazil, to draft a proposal on possible changes in document TGP/9/2 paragraph 5.5.5, to </w:t>
      </w:r>
      <w:proofErr w:type="gramStart"/>
      <w:r w:rsidRPr="000035F9">
        <w:rPr>
          <w:rFonts w:cs="Arial"/>
        </w:rPr>
        <w:t>be presented</w:t>
      </w:r>
      <w:proofErr w:type="gramEnd"/>
      <w:r w:rsidRPr="000035F9">
        <w:rPr>
          <w:rFonts w:cs="Arial"/>
        </w:rPr>
        <w:t xml:space="preserve"> at </w:t>
      </w:r>
      <w:r>
        <w:rPr>
          <w:rFonts w:cs="Arial"/>
        </w:rPr>
        <w:t>its</w:t>
      </w:r>
      <w:r w:rsidRPr="000035F9">
        <w:rPr>
          <w:rFonts w:cs="Arial"/>
        </w:rPr>
        <w:t xml:space="preserve"> fifty-third session.</w:t>
      </w:r>
    </w:p>
    <w:p w:rsidR="00D453D6" w:rsidRPr="000035F9" w:rsidRDefault="00D453D6" w:rsidP="00D453D6">
      <w:pPr>
        <w:jc w:val="left"/>
        <w:rPr>
          <w:rFonts w:cs="Arial"/>
        </w:rPr>
      </w:pPr>
    </w:p>
    <w:p w:rsidR="00D453D6" w:rsidRDefault="00D453D6" w:rsidP="00445B73"/>
    <w:p w:rsidR="00D453D6" w:rsidRPr="00C651CE" w:rsidRDefault="00D453D6" w:rsidP="00445B73"/>
    <w:p w:rsidR="00445B73" w:rsidRDefault="00445B73" w:rsidP="00445B73">
      <w:pPr>
        <w:jc w:val="right"/>
      </w:pPr>
      <w:r w:rsidRPr="00C5280D">
        <w:t xml:space="preserve"> [End of document]</w:t>
      </w:r>
    </w:p>
    <w:sectPr w:rsidR="00445B73"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F5" w:rsidRDefault="004E64F5" w:rsidP="006655D3">
      <w:r>
        <w:separator/>
      </w:r>
    </w:p>
    <w:p w:rsidR="004E64F5" w:rsidRDefault="004E64F5" w:rsidP="006655D3"/>
    <w:p w:rsidR="004E64F5" w:rsidRDefault="004E64F5" w:rsidP="006655D3"/>
  </w:endnote>
  <w:endnote w:type="continuationSeparator" w:id="0">
    <w:p w:rsidR="004E64F5" w:rsidRDefault="004E64F5" w:rsidP="006655D3">
      <w:r>
        <w:separator/>
      </w:r>
    </w:p>
    <w:p w:rsidR="004E64F5" w:rsidRPr="00294751" w:rsidRDefault="004E64F5">
      <w:pPr>
        <w:pStyle w:val="Footer"/>
        <w:spacing w:after="60"/>
        <w:rPr>
          <w:sz w:val="18"/>
          <w:lang w:val="fr-FR"/>
        </w:rPr>
      </w:pPr>
      <w:r w:rsidRPr="00294751">
        <w:rPr>
          <w:sz w:val="18"/>
          <w:lang w:val="fr-FR"/>
        </w:rPr>
        <w:t>[Suite de la note de la page précédente]</w:t>
      </w:r>
    </w:p>
    <w:p w:rsidR="004E64F5" w:rsidRPr="00294751" w:rsidRDefault="004E64F5" w:rsidP="006655D3">
      <w:pPr>
        <w:rPr>
          <w:lang w:val="fr-FR"/>
        </w:rPr>
      </w:pPr>
    </w:p>
    <w:p w:rsidR="004E64F5" w:rsidRPr="00294751" w:rsidRDefault="004E64F5" w:rsidP="006655D3">
      <w:pPr>
        <w:rPr>
          <w:lang w:val="fr-FR"/>
        </w:rPr>
      </w:pPr>
    </w:p>
  </w:endnote>
  <w:endnote w:type="continuationNotice" w:id="1">
    <w:p w:rsidR="004E64F5" w:rsidRPr="00294751" w:rsidRDefault="004E64F5" w:rsidP="006655D3">
      <w:pPr>
        <w:rPr>
          <w:lang w:val="fr-FR"/>
        </w:rPr>
      </w:pPr>
      <w:r w:rsidRPr="00294751">
        <w:rPr>
          <w:lang w:val="fr-FR"/>
        </w:rPr>
        <w:t>[Suite de la note page suivante]</w:t>
      </w:r>
    </w:p>
    <w:p w:rsidR="004E64F5" w:rsidRPr="00294751" w:rsidRDefault="004E64F5" w:rsidP="006655D3">
      <w:pPr>
        <w:rPr>
          <w:lang w:val="fr-FR"/>
        </w:rPr>
      </w:pPr>
    </w:p>
    <w:p w:rsidR="004E64F5" w:rsidRPr="00294751" w:rsidRDefault="004E64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F5" w:rsidRDefault="004E64F5" w:rsidP="006655D3">
      <w:r>
        <w:separator/>
      </w:r>
    </w:p>
  </w:footnote>
  <w:footnote w:type="continuationSeparator" w:id="0">
    <w:p w:rsidR="004E64F5" w:rsidRDefault="004E64F5" w:rsidP="006655D3">
      <w:r>
        <w:separator/>
      </w:r>
    </w:p>
  </w:footnote>
  <w:footnote w:type="continuationNotice" w:id="1">
    <w:p w:rsidR="004E64F5" w:rsidRPr="00AB530F" w:rsidRDefault="004E64F5" w:rsidP="00AB530F">
      <w:pPr>
        <w:pStyle w:val="Footer"/>
      </w:pPr>
    </w:p>
  </w:footnote>
  <w:footnote w:id="2">
    <w:p w:rsidR="004E64F5" w:rsidRDefault="004E64F5" w:rsidP="002A330A">
      <w:pPr>
        <w:pStyle w:val="FootnoteText"/>
      </w:pPr>
      <w:r>
        <w:rPr>
          <w:rStyle w:val="FootnoteReference"/>
        </w:rPr>
        <w:footnoteRef/>
      </w:r>
      <w:r>
        <w:t xml:space="preserve"> </w:t>
      </w:r>
      <w:proofErr w:type="gramStart"/>
      <w:r>
        <w:t>at</w:t>
      </w:r>
      <w:proofErr w:type="gramEnd"/>
      <w:r>
        <w:t xml:space="preserve"> its fifty-fifth session, hosted by Turkey and held via electronic means, from May 3 to 7, 2021.</w:t>
      </w:r>
    </w:p>
  </w:footnote>
  <w:footnote w:id="3">
    <w:p w:rsidR="004E64F5" w:rsidRDefault="004E64F5" w:rsidP="002A330A">
      <w:pPr>
        <w:pStyle w:val="FootnoteText"/>
      </w:pPr>
      <w:r>
        <w:rPr>
          <w:rStyle w:val="FootnoteReference"/>
        </w:rPr>
        <w:footnoteRef/>
      </w:r>
      <w:r>
        <w:t xml:space="preserve"> </w:t>
      </w:r>
      <w:proofErr w:type="gramStart"/>
      <w:r>
        <w:t>at</w:t>
      </w:r>
      <w:proofErr w:type="gramEnd"/>
      <w:r>
        <w:t xml:space="preserve"> its fifty-third session, hosted by the Netherlands and held via electronic means, from June 7 to 11, 2021.</w:t>
      </w:r>
    </w:p>
  </w:footnote>
  <w:footnote w:id="4">
    <w:p w:rsidR="004E64F5" w:rsidRDefault="004E64F5" w:rsidP="002A330A">
      <w:pPr>
        <w:pStyle w:val="FootnoteText"/>
      </w:pPr>
      <w:r>
        <w:rPr>
          <w:rStyle w:val="FootnoteReference"/>
        </w:rPr>
        <w:footnoteRef/>
      </w:r>
      <w:r>
        <w:t xml:space="preserve"> </w:t>
      </w:r>
      <w:proofErr w:type="gramStart"/>
      <w:r>
        <w:t>at</w:t>
      </w:r>
      <w:proofErr w:type="gramEnd"/>
      <w:r>
        <w:t xml:space="preserve"> its fiftieth session, hosted by the United Republic of Tanzania and held via electronic means, from June 21 to 25, 2021.</w:t>
      </w:r>
    </w:p>
  </w:footnote>
  <w:footnote w:id="5">
    <w:p w:rsidR="004E64F5" w:rsidRDefault="004E64F5" w:rsidP="002A330A">
      <w:pPr>
        <w:pStyle w:val="FootnoteText"/>
      </w:pPr>
      <w:r>
        <w:rPr>
          <w:rStyle w:val="FootnoteReference"/>
        </w:rPr>
        <w:footnoteRef/>
      </w:r>
      <w:r>
        <w:t xml:space="preserve"> at its fifty-second session, hosted by China and </w:t>
      </w:r>
      <w:r w:rsidR="008D55D1">
        <w:t>held via</w:t>
      </w:r>
      <w:r>
        <w:t xml:space="preserve"> electronic means, from July 12 to 16, 2021</w:t>
      </w:r>
    </w:p>
  </w:footnote>
  <w:footnote w:id="6">
    <w:p w:rsidR="004E64F5" w:rsidRPr="005F1F78" w:rsidRDefault="004E64F5" w:rsidP="00C34A76">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 w:id="7">
    <w:p w:rsidR="004E64F5" w:rsidRDefault="004E64F5" w:rsidP="00C34A76">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w:t>
      </w:r>
      <w:r w:rsidR="00EC2B38">
        <w:t>twentieth</w:t>
      </w:r>
      <w:r w:rsidRPr="005F1F78">
        <w:t xml:space="preserve"> session, hosted by the United States of America and organized by electronic means, from September 22 to 24, 2021.</w:t>
      </w:r>
    </w:p>
  </w:footnote>
  <w:footnote w:id="8">
    <w:p w:rsidR="008A54B8" w:rsidRDefault="008A54B8" w:rsidP="008A54B8">
      <w:pPr>
        <w:pStyle w:val="FootnoteText"/>
      </w:pPr>
      <w:r>
        <w:rPr>
          <w:rStyle w:val="FootnoteReference"/>
        </w:rPr>
        <w:footnoteRef/>
      </w:r>
      <w:r>
        <w:t xml:space="preserve"> at its fifty-second session, hosted by China and </w:t>
      </w:r>
      <w:r w:rsidR="008D55D1">
        <w:t>held via</w:t>
      </w:r>
      <w:r>
        <w:t xml:space="preserve"> electronic means, from July 12 to 16, 2021</w:t>
      </w:r>
    </w:p>
  </w:footnote>
  <w:footnote w:id="9">
    <w:p w:rsidR="008A54B8" w:rsidRDefault="008A54B8" w:rsidP="008A54B8">
      <w:pPr>
        <w:pStyle w:val="FootnoteText"/>
      </w:pPr>
      <w:r>
        <w:rPr>
          <w:rStyle w:val="FootnoteReference"/>
        </w:rPr>
        <w:footnoteRef/>
      </w:r>
      <w:r>
        <w:t xml:space="preserve"> at its fifty-second session, hosted by China and </w:t>
      </w:r>
      <w:r w:rsidR="008D55D1">
        <w:t>held via</w:t>
      </w:r>
      <w:r>
        <w:t xml:space="preserve"> electronic means, from July 12 to 16, 2021</w:t>
      </w:r>
    </w:p>
  </w:footnote>
  <w:footnote w:id="10">
    <w:p w:rsidR="000B7D49" w:rsidRDefault="000B7D49" w:rsidP="000B7D49">
      <w:pPr>
        <w:pStyle w:val="FootnoteText"/>
      </w:pPr>
      <w:r>
        <w:rPr>
          <w:rStyle w:val="FootnoteReference"/>
        </w:rPr>
        <w:footnoteRef/>
      </w:r>
      <w:r>
        <w:t xml:space="preserve"> at its fifty-fifth session, hosted by Turkey and held via electronic means, from May 3 to 7, 2021</w:t>
      </w:r>
    </w:p>
  </w:footnote>
  <w:footnote w:id="11">
    <w:p w:rsidR="008B2EDB" w:rsidRDefault="008B2EDB" w:rsidP="008B2EDB">
      <w:pPr>
        <w:pStyle w:val="FootnoteText"/>
      </w:pPr>
      <w:r>
        <w:rPr>
          <w:rStyle w:val="FootnoteReference"/>
        </w:rPr>
        <w:footnoteRef/>
      </w:r>
      <w:r>
        <w:t xml:space="preserve"> at its fifty-third session, hosted by the Netherlands and held via electronic means, from June 7 to 11, 2021</w:t>
      </w:r>
    </w:p>
  </w:footnote>
  <w:footnote w:id="12">
    <w:p w:rsidR="004E64F5" w:rsidRDefault="004E64F5">
      <w:pPr>
        <w:pStyle w:val="FootnoteText"/>
      </w:pPr>
      <w:r>
        <w:rPr>
          <w:rStyle w:val="FootnoteReference"/>
        </w:rPr>
        <w:footnoteRef/>
      </w:r>
      <w:r>
        <w:t xml:space="preserve"> at its fifty-third session, hosted by the Netherlands and held via electronic means, from June 7 to 11, 2021</w:t>
      </w:r>
    </w:p>
  </w:footnote>
  <w:footnote w:id="13">
    <w:p w:rsidR="004E64F5" w:rsidRPr="00DF5EC7" w:rsidRDefault="004E64F5">
      <w:pPr>
        <w:pStyle w:val="FootnoteText"/>
      </w:pPr>
      <w:r>
        <w:rPr>
          <w:rStyle w:val="FootnoteReference"/>
        </w:rPr>
        <w:footnoteRef/>
      </w:r>
      <w:r>
        <w:t xml:space="preserve"> at its fiftieth session, hosted by the United Republic of Tanzania and held via electronic means, from June 21 to 25, 2021</w:t>
      </w:r>
    </w:p>
  </w:footnote>
  <w:footnote w:id="14">
    <w:p w:rsidR="004E64F5" w:rsidRDefault="004E64F5">
      <w:pPr>
        <w:pStyle w:val="FootnoteText"/>
      </w:pPr>
      <w:r>
        <w:rPr>
          <w:rStyle w:val="FootnoteReference"/>
        </w:rPr>
        <w:footnoteRef/>
      </w:r>
      <w:r>
        <w:t xml:space="preserve"> at its fifty-second session, hosted by China and </w:t>
      </w:r>
      <w:r w:rsidR="008D55D1">
        <w:t>held via</w:t>
      </w:r>
      <w:r>
        <w:t xml:space="preserve"> electronic means, from July 12 to 16,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F5" w:rsidRPr="00C5280D" w:rsidRDefault="004E64F5" w:rsidP="00EB048E">
    <w:pPr>
      <w:pStyle w:val="Header"/>
      <w:rPr>
        <w:rStyle w:val="PageNumber"/>
        <w:lang w:val="en-US"/>
      </w:rPr>
    </w:pPr>
    <w:r>
      <w:rPr>
        <w:rStyle w:val="PageNumber"/>
        <w:lang w:val="en-US"/>
      </w:rPr>
      <w:t>TC/57/3</w:t>
    </w:r>
  </w:p>
  <w:p w:rsidR="004E64F5" w:rsidRPr="00C5280D" w:rsidRDefault="004E64F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C2B38">
      <w:rPr>
        <w:rStyle w:val="PageNumber"/>
        <w:noProof/>
        <w:lang w:val="en-US"/>
      </w:rPr>
      <w:t>4</w:t>
    </w:r>
    <w:r w:rsidRPr="00C5280D">
      <w:rPr>
        <w:rStyle w:val="PageNumber"/>
        <w:lang w:val="en-US"/>
      </w:rPr>
      <w:fldChar w:fldCharType="end"/>
    </w:r>
  </w:p>
  <w:p w:rsidR="004E64F5" w:rsidRPr="00C5280D" w:rsidRDefault="004E64F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F5" w:rsidRPr="0004198B" w:rsidRDefault="004E64F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48BC"/>
    <w:rsid w:val="00024AB8"/>
    <w:rsid w:val="00030854"/>
    <w:rsid w:val="00036028"/>
    <w:rsid w:val="0004198B"/>
    <w:rsid w:val="00044642"/>
    <w:rsid w:val="000446B9"/>
    <w:rsid w:val="00047E21"/>
    <w:rsid w:val="00050E16"/>
    <w:rsid w:val="00085505"/>
    <w:rsid w:val="00093AD6"/>
    <w:rsid w:val="000B72BF"/>
    <w:rsid w:val="000B7D49"/>
    <w:rsid w:val="000C4E25"/>
    <w:rsid w:val="000C7021"/>
    <w:rsid w:val="000D6BBC"/>
    <w:rsid w:val="000D7780"/>
    <w:rsid w:val="000E636A"/>
    <w:rsid w:val="000F2F11"/>
    <w:rsid w:val="000F5CE3"/>
    <w:rsid w:val="00100A5F"/>
    <w:rsid w:val="00105929"/>
    <w:rsid w:val="00110BED"/>
    <w:rsid w:val="00110C36"/>
    <w:rsid w:val="001131D5"/>
    <w:rsid w:val="00114547"/>
    <w:rsid w:val="00115286"/>
    <w:rsid w:val="00137AED"/>
    <w:rsid w:val="00141DB8"/>
    <w:rsid w:val="00161EC8"/>
    <w:rsid w:val="00172084"/>
    <w:rsid w:val="0017474A"/>
    <w:rsid w:val="001758C6"/>
    <w:rsid w:val="00182B99"/>
    <w:rsid w:val="001C1525"/>
    <w:rsid w:val="001E79BF"/>
    <w:rsid w:val="00201BB4"/>
    <w:rsid w:val="0021332C"/>
    <w:rsid w:val="00213982"/>
    <w:rsid w:val="0024416D"/>
    <w:rsid w:val="00245321"/>
    <w:rsid w:val="00271911"/>
    <w:rsid w:val="00273187"/>
    <w:rsid w:val="002800A0"/>
    <w:rsid w:val="002801B3"/>
    <w:rsid w:val="00281060"/>
    <w:rsid w:val="00284050"/>
    <w:rsid w:val="00285BD0"/>
    <w:rsid w:val="002940E8"/>
    <w:rsid w:val="00294751"/>
    <w:rsid w:val="002A330A"/>
    <w:rsid w:val="002A6E50"/>
    <w:rsid w:val="002B4298"/>
    <w:rsid w:val="002B7A36"/>
    <w:rsid w:val="002C256A"/>
    <w:rsid w:val="002D5226"/>
    <w:rsid w:val="0030199E"/>
    <w:rsid w:val="00305A7F"/>
    <w:rsid w:val="003144F4"/>
    <w:rsid w:val="003152FE"/>
    <w:rsid w:val="00327436"/>
    <w:rsid w:val="00344BD6"/>
    <w:rsid w:val="00347E04"/>
    <w:rsid w:val="0035528D"/>
    <w:rsid w:val="00361821"/>
    <w:rsid w:val="00361CC8"/>
    <w:rsid w:val="00361E9E"/>
    <w:rsid w:val="003753EE"/>
    <w:rsid w:val="003A0835"/>
    <w:rsid w:val="003A5AAF"/>
    <w:rsid w:val="003B700A"/>
    <w:rsid w:val="003C7FBE"/>
    <w:rsid w:val="003D227C"/>
    <w:rsid w:val="003D2B4D"/>
    <w:rsid w:val="003F37F5"/>
    <w:rsid w:val="00444A88"/>
    <w:rsid w:val="00445B73"/>
    <w:rsid w:val="00474DA4"/>
    <w:rsid w:val="00476B4D"/>
    <w:rsid w:val="004805FA"/>
    <w:rsid w:val="004935D2"/>
    <w:rsid w:val="004B1215"/>
    <w:rsid w:val="004D047D"/>
    <w:rsid w:val="004E1F34"/>
    <w:rsid w:val="004E64F5"/>
    <w:rsid w:val="004F1E9E"/>
    <w:rsid w:val="004F305A"/>
    <w:rsid w:val="00512164"/>
    <w:rsid w:val="00520297"/>
    <w:rsid w:val="005338F9"/>
    <w:rsid w:val="0054281C"/>
    <w:rsid w:val="00544581"/>
    <w:rsid w:val="0055268D"/>
    <w:rsid w:val="00557536"/>
    <w:rsid w:val="00571E16"/>
    <w:rsid w:val="00575DE2"/>
    <w:rsid w:val="00576BE4"/>
    <w:rsid w:val="005779DB"/>
    <w:rsid w:val="00595444"/>
    <w:rsid w:val="005A2A67"/>
    <w:rsid w:val="005A400A"/>
    <w:rsid w:val="005B269D"/>
    <w:rsid w:val="005D49F3"/>
    <w:rsid w:val="005F1F78"/>
    <w:rsid w:val="005F7B92"/>
    <w:rsid w:val="00612379"/>
    <w:rsid w:val="006153B6"/>
    <w:rsid w:val="0061555F"/>
    <w:rsid w:val="006245ED"/>
    <w:rsid w:val="00636CA6"/>
    <w:rsid w:val="00641200"/>
    <w:rsid w:val="00645CA8"/>
    <w:rsid w:val="006655D3"/>
    <w:rsid w:val="00667404"/>
    <w:rsid w:val="00687EB4"/>
    <w:rsid w:val="00694584"/>
    <w:rsid w:val="00695C56"/>
    <w:rsid w:val="006A5CDE"/>
    <w:rsid w:val="006A644A"/>
    <w:rsid w:val="006B17D2"/>
    <w:rsid w:val="006C224E"/>
    <w:rsid w:val="006C2A53"/>
    <w:rsid w:val="006C46F9"/>
    <w:rsid w:val="006D780A"/>
    <w:rsid w:val="0071271E"/>
    <w:rsid w:val="00732DEC"/>
    <w:rsid w:val="00735BD5"/>
    <w:rsid w:val="007451EC"/>
    <w:rsid w:val="00750818"/>
    <w:rsid w:val="00751613"/>
    <w:rsid w:val="0075336E"/>
    <w:rsid w:val="00753EE9"/>
    <w:rsid w:val="007556F6"/>
    <w:rsid w:val="00760EEF"/>
    <w:rsid w:val="00763AD3"/>
    <w:rsid w:val="00777EE5"/>
    <w:rsid w:val="00784836"/>
    <w:rsid w:val="0079023E"/>
    <w:rsid w:val="007A2854"/>
    <w:rsid w:val="007A3CB0"/>
    <w:rsid w:val="007C1D92"/>
    <w:rsid w:val="007C4CB9"/>
    <w:rsid w:val="007D0B9D"/>
    <w:rsid w:val="007D19B0"/>
    <w:rsid w:val="007D4A40"/>
    <w:rsid w:val="007F032A"/>
    <w:rsid w:val="007F498F"/>
    <w:rsid w:val="0080679D"/>
    <w:rsid w:val="008108B0"/>
    <w:rsid w:val="00811B20"/>
    <w:rsid w:val="00812609"/>
    <w:rsid w:val="008211B5"/>
    <w:rsid w:val="0082296E"/>
    <w:rsid w:val="00824099"/>
    <w:rsid w:val="00846D7C"/>
    <w:rsid w:val="00867AC1"/>
    <w:rsid w:val="008751DE"/>
    <w:rsid w:val="00890DF8"/>
    <w:rsid w:val="008A0ADE"/>
    <w:rsid w:val="008A54B8"/>
    <w:rsid w:val="008A743F"/>
    <w:rsid w:val="008B2EDB"/>
    <w:rsid w:val="008C0970"/>
    <w:rsid w:val="008D0BC5"/>
    <w:rsid w:val="008D2CF7"/>
    <w:rsid w:val="008D55D1"/>
    <w:rsid w:val="00900C26"/>
    <w:rsid w:val="0090197F"/>
    <w:rsid w:val="00903264"/>
    <w:rsid w:val="00906DDC"/>
    <w:rsid w:val="00934E09"/>
    <w:rsid w:val="00936253"/>
    <w:rsid w:val="00940D46"/>
    <w:rsid w:val="009413F1"/>
    <w:rsid w:val="00952DD4"/>
    <w:rsid w:val="009561F4"/>
    <w:rsid w:val="00965AE7"/>
    <w:rsid w:val="00970FED"/>
    <w:rsid w:val="00985E41"/>
    <w:rsid w:val="00992D82"/>
    <w:rsid w:val="00997029"/>
    <w:rsid w:val="009A254F"/>
    <w:rsid w:val="009A7339"/>
    <w:rsid w:val="009B440E"/>
    <w:rsid w:val="009B55C2"/>
    <w:rsid w:val="009D690D"/>
    <w:rsid w:val="009E1A8E"/>
    <w:rsid w:val="009E65B6"/>
    <w:rsid w:val="009F0A51"/>
    <w:rsid w:val="009F77CF"/>
    <w:rsid w:val="00A24C10"/>
    <w:rsid w:val="00A42AC3"/>
    <w:rsid w:val="00A430CF"/>
    <w:rsid w:val="00A54309"/>
    <w:rsid w:val="00A610A9"/>
    <w:rsid w:val="00A637D6"/>
    <w:rsid w:val="00A80F2A"/>
    <w:rsid w:val="00A96C33"/>
    <w:rsid w:val="00AB072D"/>
    <w:rsid w:val="00AB2B93"/>
    <w:rsid w:val="00AB530F"/>
    <w:rsid w:val="00AB7E5B"/>
    <w:rsid w:val="00AC2883"/>
    <w:rsid w:val="00AE0EF1"/>
    <w:rsid w:val="00AE2937"/>
    <w:rsid w:val="00AF2310"/>
    <w:rsid w:val="00B07301"/>
    <w:rsid w:val="00B11F3E"/>
    <w:rsid w:val="00B224DE"/>
    <w:rsid w:val="00B324D4"/>
    <w:rsid w:val="00B46575"/>
    <w:rsid w:val="00B544E6"/>
    <w:rsid w:val="00B61777"/>
    <w:rsid w:val="00B622E6"/>
    <w:rsid w:val="00B83E82"/>
    <w:rsid w:val="00B84BBD"/>
    <w:rsid w:val="00BA43FB"/>
    <w:rsid w:val="00BC127D"/>
    <w:rsid w:val="00BC1FE6"/>
    <w:rsid w:val="00BD0296"/>
    <w:rsid w:val="00C061B6"/>
    <w:rsid w:val="00C2446C"/>
    <w:rsid w:val="00C34A76"/>
    <w:rsid w:val="00C36AE5"/>
    <w:rsid w:val="00C41F17"/>
    <w:rsid w:val="00C527FA"/>
    <w:rsid w:val="00C5280D"/>
    <w:rsid w:val="00C53EB3"/>
    <w:rsid w:val="00C5791C"/>
    <w:rsid w:val="00C66290"/>
    <w:rsid w:val="00C72B7A"/>
    <w:rsid w:val="00C73E74"/>
    <w:rsid w:val="00C973F2"/>
    <w:rsid w:val="00CA304C"/>
    <w:rsid w:val="00CA774A"/>
    <w:rsid w:val="00CB4921"/>
    <w:rsid w:val="00CC11B0"/>
    <w:rsid w:val="00CC2841"/>
    <w:rsid w:val="00CD75D4"/>
    <w:rsid w:val="00CF1330"/>
    <w:rsid w:val="00CF7E36"/>
    <w:rsid w:val="00D32F9D"/>
    <w:rsid w:val="00D3708D"/>
    <w:rsid w:val="00D40426"/>
    <w:rsid w:val="00D453D6"/>
    <w:rsid w:val="00D57C96"/>
    <w:rsid w:val="00D57D18"/>
    <w:rsid w:val="00D70E65"/>
    <w:rsid w:val="00D91203"/>
    <w:rsid w:val="00D95174"/>
    <w:rsid w:val="00DA46E4"/>
    <w:rsid w:val="00DA4973"/>
    <w:rsid w:val="00DA6F36"/>
    <w:rsid w:val="00DB596E"/>
    <w:rsid w:val="00DB7773"/>
    <w:rsid w:val="00DC00EA"/>
    <w:rsid w:val="00DC3072"/>
    <w:rsid w:val="00DC3802"/>
    <w:rsid w:val="00DD6208"/>
    <w:rsid w:val="00DF5EC7"/>
    <w:rsid w:val="00DF7E99"/>
    <w:rsid w:val="00E07D87"/>
    <w:rsid w:val="00E249C8"/>
    <w:rsid w:val="00E30EB6"/>
    <w:rsid w:val="00E32F7E"/>
    <w:rsid w:val="00E45B5C"/>
    <w:rsid w:val="00E5267B"/>
    <w:rsid w:val="00E559F0"/>
    <w:rsid w:val="00E63C0E"/>
    <w:rsid w:val="00E72D49"/>
    <w:rsid w:val="00E7593C"/>
    <w:rsid w:val="00E7678A"/>
    <w:rsid w:val="00E935F1"/>
    <w:rsid w:val="00E94A81"/>
    <w:rsid w:val="00EA1856"/>
    <w:rsid w:val="00EA1FFB"/>
    <w:rsid w:val="00EB048E"/>
    <w:rsid w:val="00EB4E9C"/>
    <w:rsid w:val="00EC2B38"/>
    <w:rsid w:val="00EE34DF"/>
    <w:rsid w:val="00EF2F89"/>
    <w:rsid w:val="00F03E98"/>
    <w:rsid w:val="00F1237A"/>
    <w:rsid w:val="00F22CBD"/>
    <w:rsid w:val="00F272F1"/>
    <w:rsid w:val="00F31412"/>
    <w:rsid w:val="00F45372"/>
    <w:rsid w:val="00F560F7"/>
    <w:rsid w:val="00F603B2"/>
    <w:rsid w:val="00F6334D"/>
    <w:rsid w:val="00F63599"/>
    <w:rsid w:val="00F71781"/>
    <w:rsid w:val="00FA49AB"/>
    <w:rsid w:val="00FB1FAB"/>
    <w:rsid w:val="00FC5DE8"/>
    <w:rsid w:val="00FC5FD0"/>
    <w:rsid w:val="00FE39C7"/>
    <w:rsid w:val="00FE73A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F30C7D"/>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FE73A4"/>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75336E"/>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A330A"/>
    <w:rPr>
      <w:rFonts w:ascii="Arial" w:hAnsi="Arial"/>
      <w:sz w:val="16"/>
    </w:rPr>
  </w:style>
  <w:style w:type="character" w:customStyle="1" w:styleId="Heading1Char">
    <w:name w:val="Heading 1 Char"/>
    <w:basedOn w:val="DefaultParagraphFont"/>
    <w:link w:val="Heading1"/>
    <w:rsid w:val="00137AED"/>
    <w:rPr>
      <w:rFonts w:ascii="Arial" w:hAnsi="Arial"/>
      <w:caps/>
    </w:rPr>
  </w:style>
  <w:style w:type="character" w:customStyle="1" w:styleId="Heading2Char">
    <w:name w:val="Heading 2 Char"/>
    <w:aliases w:val="VARIETY Char,variety Char"/>
    <w:link w:val="Heading2"/>
    <w:locked/>
    <w:rsid w:val="00115286"/>
    <w:rPr>
      <w:rFonts w:ascii="Arial" w:hAnsi="Arial"/>
      <w:u w:val="single"/>
    </w:rPr>
  </w:style>
  <w:style w:type="character" w:customStyle="1" w:styleId="Heading4Char">
    <w:name w:val="Heading 4 Char"/>
    <w:basedOn w:val="DefaultParagraphFont"/>
    <w:link w:val="Heading4"/>
    <w:rsid w:val="00F603B2"/>
    <w:rPr>
      <w:rFonts w:ascii="Arial" w:hAnsi="Arial"/>
      <w:u w:val="single"/>
      <w:lang w:val="fr-FR"/>
    </w:rPr>
  </w:style>
  <w:style w:type="table" w:styleId="TableGrid">
    <w:name w:val="Table Grid"/>
    <w:basedOn w:val="TableNormal"/>
    <w:rsid w:val="0059544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D029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0485">
      <w:bodyDiv w:val="1"/>
      <w:marLeft w:val="0"/>
      <w:marRight w:val="0"/>
      <w:marTop w:val="0"/>
      <w:marBottom w:val="0"/>
      <w:divBdr>
        <w:top w:val="none" w:sz="0" w:space="0" w:color="auto"/>
        <w:left w:val="none" w:sz="0" w:space="0" w:color="auto"/>
        <w:bottom w:val="none" w:sz="0" w:space="0" w:color="auto"/>
        <w:right w:val="none" w:sz="0" w:space="0" w:color="auto"/>
      </w:divBdr>
    </w:div>
    <w:div w:id="754744498">
      <w:bodyDiv w:val="1"/>
      <w:marLeft w:val="0"/>
      <w:marRight w:val="0"/>
      <w:marTop w:val="0"/>
      <w:marBottom w:val="0"/>
      <w:divBdr>
        <w:top w:val="none" w:sz="0" w:space="0" w:color="auto"/>
        <w:left w:val="none" w:sz="0" w:space="0" w:color="auto"/>
        <w:bottom w:val="none" w:sz="0" w:space="0" w:color="auto"/>
        <w:right w:val="none" w:sz="0" w:space="0" w:color="auto"/>
      </w:divBdr>
    </w:div>
    <w:div w:id="132173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42A7-AC68-441B-926A-E79293B2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4</Pages>
  <Words>1802</Words>
  <Characters>10563</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TC/57/3</vt:lpstr>
    </vt:vector>
  </TitlesOfParts>
  <Company>UPOV</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TC/57/3</dc:title>
  <dc:creator>SANCHEZ VIZCAINO GOMEZ Rosa Maria</dc:creator>
  <cp:lastModifiedBy>MAY Jessica</cp:lastModifiedBy>
  <cp:revision>5</cp:revision>
  <cp:lastPrinted>2016-11-22T15:41:00Z</cp:lastPrinted>
  <dcterms:created xsi:type="dcterms:W3CDTF">2021-08-23T12:59:00Z</dcterms:created>
  <dcterms:modified xsi:type="dcterms:W3CDTF">2021-09-13T15:27:00Z</dcterms:modified>
</cp:coreProperties>
</file>