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9"/>
        <w:gridCol w:w="3122"/>
        <w:gridCol w:w="8"/>
      </w:tblGrid>
      <w:tr w:rsidR="00445B73" w:rsidRPr="00C5280D" w:rsidTr="00D655D3">
        <w:tc>
          <w:tcPr>
            <w:tcW w:w="6509" w:type="dxa"/>
          </w:tcPr>
          <w:p w:rsidR="00445B73" w:rsidRPr="00AC2883" w:rsidRDefault="00445B73" w:rsidP="0049284B">
            <w:pPr>
              <w:pStyle w:val="Sessiontc"/>
              <w:spacing w:line="240" w:lineRule="auto"/>
            </w:pPr>
            <w:r w:rsidRPr="00DA4973">
              <w:t>Technical Committee</w:t>
            </w:r>
          </w:p>
          <w:p w:rsidR="00445B73" w:rsidRPr="00DC3802" w:rsidRDefault="00445B73" w:rsidP="0049284B">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30" w:type="dxa"/>
            <w:gridSpan w:val="2"/>
          </w:tcPr>
          <w:p w:rsidR="00445B73" w:rsidRPr="003C7FBE" w:rsidRDefault="00677D33" w:rsidP="0049284B">
            <w:pPr>
              <w:pStyle w:val="Doccode"/>
            </w:pPr>
            <w:r>
              <w:t>TC/57/13</w:t>
            </w:r>
          </w:p>
          <w:p w:rsidR="00445B73" w:rsidRPr="003C7FBE" w:rsidRDefault="00445B73" w:rsidP="0049284B">
            <w:pPr>
              <w:pStyle w:val="Docoriginal"/>
            </w:pPr>
            <w:r w:rsidRPr="00AC2883">
              <w:t>Original:</w:t>
            </w:r>
            <w:r w:rsidRPr="000E636A">
              <w:rPr>
                <w:b w:val="0"/>
                <w:spacing w:val="0"/>
              </w:rPr>
              <w:t xml:space="preserve">  English</w:t>
            </w:r>
          </w:p>
          <w:p w:rsidR="00445B73" w:rsidRPr="007C1D92" w:rsidRDefault="00445B73" w:rsidP="004007C3">
            <w:pPr>
              <w:pStyle w:val="Docoriginal"/>
            </w:pPr>
            <w:r w:rsidRPr="00AC2883">
              <w:t>Date:</w:t>
            </w:r>
            <w:r>
              <w:rPr>
                <w:b w:val="0"/>
                <w:spacing w:val="0"/>
              </w:rPr>
              <w:t xml:space="preserve">  </w:t>
            </w:r>
            <w:r w:rsidR="00FE7E0F" w:rsidRPr="004007C3">
              <w:rPr>
                <w:b w:val="0"/>
                <w:spacing w:val="0"/>
              </w:rPr>
              <w:t xml:space="preserve">June </w:t>
            </w:r>
            <w:r w:rsidR="004007C3" w:rsidRPr="004007C3">
              <w:rPr>
                <w:b w:val="0"/>
                <w:spacing w:val="0"/>
              </w:rPr>
              <w:t>3</w:t>
            </w:r>
            <w:r w:rsidRPr="004007C3">
              <w:rPr>
                <w:b w:val="0"/>
                <w:spacing w:val="0"/>
              </w:rPr>
              <w:t>, 2021</w:t>
            </w:r>
          </w:p>
        </w:tc>
      </w:tr>
      <w:tr w:rsidR="00D655D3" w:rsidRPr="00C5280D" w:rsidTr="00D655D3">
        <w:trPr>
          <w:gridAfter w:val="1"/>
          <w:wAfter w:w="8" w:type="dxa"/>
        </w:trPr>
        <w:tc>
          <w:tcPr>
            <w:tcW w:w="6509" w:type="dxa"/>
            <w:tcBorders>
              <w:top w:val="single" w:sz="4" w:space="0" w:color="auto"/>
              <w:bottom w:val="single" w:sz="4" w:space="0" w:color="auto"/>
            </w:tcBorders>
          </w:tcPr>
          <w:p w:rsidR="00D655D3" w:rsidRPr="00ED30BD" w:rsidRDefault="00D655D3" w:rsidP="00C3484E">
            <w:pPr>
              <w:jc w:val="left"/>
              <w:rPr>
                <w:b/>
                <w:bCs/>
                <w:i/>
                <w:kern w:val="28"/>
              </w:rPr>
            </w:pPr>
            <w:r w:rsidRPr="00ED30BD">
              <w:rPr>
                <w:b/>
                <w:bCs/>
                <w:i/>
                <w:kern w:val="28"/>
              </w:rPr>
              <w:t>to be considered by correspondence</w:t>
            </w:r>
          </w:p>
        </w:tc>
        <w:tc>
          <w:tcPr>
            <w:tcW w:w="3122" w:type="dxa"/>
            <w:tcBorders>
              <w:top w:val="single" w:sz="4" w:space="0" w:color="auto"/>
              <w:bottom w:val="single" w:sz="4" w:space="0" w:color="auto"/>
            </w:tcBorders>
          </w:tcPr>
          <w:p w:rsidR="00D655D3" w:rsidRPr="00ED30BD" w:rsidRDefault="00D655D3" w:rsidP="00C3484E">
            <w:pPr>
              <w:jc w:val="left"/>
              <w:rPr>
                <w:b/>
                <w:bCs/>
                <w:spacing w:val="10"/>
                <w:sz w:val="18"/>
              </w:rPr>
            </w:pPr>
          </w:p>
        </w:tc>
      </w:tr>
    </w:tbl>
    <w:p w:rsidR="004433DB" w:rsidRPr="004433DB" w:rsidRDefault="004433DB" w:rsidP="004433DB">
      <w:pPr>
        <w:spacing w:before="600" w:after="240"/>
        <w:jc w:val="left"/>
        <w:rPr>
          <w:b/>
          <w:caps/>
        </w:rPr>
      </w:pPr>
      <w:r w:rsidRPr="004433DB">
        <w:rPr>
          <w:b/>
          <w:caps/>
        </w:rPr>
        <w:t>Preparatory workshops</w:t>
      </w:r>
    </w:p>
    <w:p w:rsidR="004433DB" w:rsidRPr="004433DB" w:rsidRDefault="004433DB" w:rsidP="004433DB">
      <w:pPr>
        <w:spacing w:after="240"/>
        <w:jc w:val="left"/>
        <w:rPr>
          <w:i/>
          <w:iCs/>
        </w:rPr>
      </w:pPr>
      <w:r w:rsidRPr="004433DB">
        <w:rPr>
          <w:i/>
          <w:iCs/>
        </w:rPr>
        <w:t>Document prepared by the Office of the Union</w:t>
      </w:r>
    </w:p>
    <w:p w:rsidR="004433DB" w:rsidRPr="004433DB" w:rsidRDefault="004433DB" w:rsidP="004433DB">
      <w:pPr>
        <w:spacing w:after="600"/>
        <w:jc w:val="left"/>
        <w:rPr>
          <w:i/>
          <w:iCs/>
          <w:color w:val="A6A6A6" w:themeColor="background1" w:themeShade="A6"/>
        </w:rPr>
      </w:pPr>
      <w:r w:rsidRPr="004433DB">
        <w:rPr>
          <w:i/>
          <w:iCs/>
          <w:color w:val="A6A6A6" w:themeColor="background1" w:themeShade="A6"/>
        </w:rPr>
        <w:t>Disclaimer:  this document does not represent UPOV policies or guidance</w:t>
      </w:r>
    </w:p>
    <w:p w:rsidR="004433DB" w:rsidRPr="004433DB" w:rsidRDefault="004433DB" w:rsidP="004433DB">
      <w:pPr>
        <w:keepNext/>
        <w:outlineLvl w:val="0"/>
        <w:rPr>
          <w:caps/>
        </w:rPr>
      </w:pPr>
      <w:bookmarkStart w:id="0" w:name="_Toc475955714"/>
      <w:bookmarkStart w:id="1" w:name="_Toc74563365"/>
      <w:r w:rsidRPr="004433DB">
        <w:rPr>
          <w:caps/>
        </w:rPr>
        <w:t>EXECUTIVE SUMMARY</w:t>
      </w:r>
      <w:bookmarkEnd w:id="0"/>
      <w:bookmarkEnd w:id="1"/>
    </w:p>
    <w:p w:rsidR="004433DB" w:rsidRPr="004433DB" w:rsidRDefault="004433DB" w:rsidP="004433DB">
      <w:pPr>
        <w:autoSpaceDE w:val="0"/>
        <w:autoSpaceDN w:val="0"/>
        <w:adjustRightInd w:val="0"/>
        <w:rPr>
          <w:rFonts w:cs="Arial"/>
        </w:rPr>
      </w:pPr>
    </w:p>
    <w:p w:rsidR="004433DB" w:rsidRPr="004433DB" w:rsidRDefault="004433DB" w:rsidP="004433DB">
      <w:pPr>
        <w:rPr>
          <w:rFonts w:cs="Arial"/>
        </w:rPr>
      </w:pPr>
      <w:r w:rsidRPr="004433DB">
        <w:rPr>
          <w:rFonts w:cs="Arial"/>
        </w:rPr>
        <w:fldChar w:fldCharType="begin"/>
      </w:r>
      <w:r w:rsidRPr="004433DB">
        <w:rPr>
          <w:rFonts w:cs="Arial"/>
        </w:rPr>
        <w:instrText xml:space="preserve"> AUTONUM  </w:instrText>
      </w:r>
      <w:r w:rsidRPr="004433DB">
        <w:rPr>
          <w:rFonts w:cs="Arial"/>
        </w:rPr>
        <w:fldChar w:fldCharType="end"/>
      </w:r>
      <w:r w:rsidRPr="004433DB">
        <w:rPr>
          <w:rFonts w:cs="Arial"/>
        </w:rPr>
        <w:tab/>
        <w:t>The purpose of this document is to provide a report on preparatory workshops in 2021 and present proposals for 2022.</w:t>
      </w:r>
    </w:p>
    <w:p w:rsidR="004433DB" w:rsidRPr="004433DB" w:rsidRDefault="004433DB" w:rsidP="004433DB">
      <w:pPr>
        <w:tabs>
          <w:tab w:val="left" w:pos="567"/>
          <w:tab w:val="left" w:pos="1134"/>
        </w:tabs>
        <w:autoSpaceDE w:val="0"/>
        <w:autoSpaceDN w:val="0"/>
        <w:adjustRightInd w:val="0"/>
        <w:rPr>
          <w:rFonts w:cs="Arial"/>
        </w:rPr>
      </w:pPr>
    </w:p>
    <w:p w:rsidR="004433DB" w:rsidRPr="004433DB" w:rsidRDefault="004433DB" w:rsidP="004433DB">
      <w:pPr>
        <w:tabs>
          <w:tab w:val="left" w:pos="567"/>
          <w:tab w:val="left" w:pos="1134"/>
          <w:tab w:val="left" w:pos="5387"/>
          <w:tab w:val="left" w:pos="5954"/>
        </w:tabs>
        <w:rPr>
          <w:rFonts w:cs="Arial"/>
        </w:rPr>
      </w:pPr>
      <w:r w:rsidRPr="004433DB">
        <w:rPr>
          <w:rFonts w:cs="Arial"/>
        </w:rPr>
        <w:fldChar w:fldCharType="begin"/>
      </w:r>
      <w:r w:rsidRPr="004433DB">
        <w:rPr>
          <w:rFonts w:cs="Arial"/>
        </w:rPr>
        <w:instrText xml:space="preserve"> AUTONUM  </w:instrText>
      </w:r>
      <w:r w:rsidRPr="004433DB">
        <w:rPr>
          <w:rFonts w:cs="Arial"/>
        </w:rPr>
        <w:fldChar w:fldCharType="end"/>
      </w:r>
      <w:r w:rsidRPr="004433DB">
        <w:rPr>
          <w:rFonts w:cs="Arial"/>
        </w:rPr>
        <w:tab/>
        <w:t xml:space="preserve">The TC is invited to </w:t>
      </w:r>
      <w:r w:rsidRPr="004433DB">
        <w:rPr>
          <w:snapToGrid w:val="0"/>
        </w:rPr>
        <w:t>consider whether to organize preparatory workshops as a series of webinars, to be organized at suitable dates according to the schedule of TWP sessions in 2022, in conjunction with workshops with physical participation, where requested, as set out in paragraphs 20 to 21 of this document.</w:t>
      </w:r>
    </w:p>
    <w:p w:rsidR="004433DB" w:rsidRPr="004433DB" w:rsidRDefault="004433DB" w:rsidP="004433DB">
      <w:pPr>
        <w:tabs>
          <w:tab w:val="left" w:pos="567"/>
          <w:tab w:val="left" w:pos="1134"/>
          <w:tab w:val="num" w:pos="5387"/>
          <w:tab w:val="left" w:pos="5954"/>
        </w:tabs>
        <w:ind w:left="567"/>
        <w:rPr>
          <w:rFonts w:cs="Arial"/>
        </w:rPr>
      </w:pPr>
    </w:p>
    <w:p w:rsidR="004433DB" w:rsidRPr="004433DB" w:rsidRDefault="004433DB" w:rsidP="004433DB">
      <w:pPr>
        <w:rPr>
          <w:rFonts w:cs="Arial"/>
          <w:color w:val="000000"/>
        </w:rPr>
      </w:pPr>
      <w:r w:rsidRPr="004433DB">
        <w:rPr>
          <w:rFonts w:cs="Arial"/>
          <w:color w:val="000000"/>
        </w:rPr>
        <w:fldChar w:fldCharType="begin"/>
      </w:r>
      <w:r w:rsidRPr="004433DB">
        <w:rPr>
          <w:rFonts w:cs="Arial"/>
          <w:color w:val="000000"/>
        </w:rPr>
        <w:instrText xml:space="preserve"> AUTONUM  </w:instrText>
      </w:r>
      <w:r w:rsidRPr="004433DB">
        <w:rPr>
          <w:rFonts w:cs="Arial"/>
          <w:color w:val="000000"/>
        </w:rPr>
        <w:fldChar w:fldCharType="end"/>
      </w:r>
      <w:r w:rsidRPr="004433DB">
        <w:rPr>
          <w:rFonts w:cs="Arial"/>
          <w:color w:val="000000"/>
        </w:rPr>
        <w:tab/>
        <w:t>The following abbreviations are used in this document:</w:t>
      </w:r>
    </w:p>
    <w:p w:rsidR="004433DB" w:rsidRPr="004433DB" w:rsidRDefault="004433DB" w:rsidP="004433DB">
      <w:pPr>
        <w:rPr>
          <w:rFonts w:cs="Arial"/>
          <w:color w:val="000000"/>
        </w:rPr>
      </w:pPr>
    </w:p>
    <w:p w:rsidR="004433DB" w:rsidRPr="004433DB" w:rsidRDefault="004433DB" w:rsidP="004433DB">
      <w:pPr>
        <w:tabs>
          <w:tab w:val="left" w:pos="567"/>
        </w:tabs>
        <w:ind w:left="1418" w:hanging="851"/>
        <w:rPr>
          <w:rFonts w:cs="Arial"/>
          <w:color w:val="000000"/>
          <w:lang w:eastAsia="ja-JP" w:bidi="th-TH"/>
        </w:rPr>
      </w:pPr>
      <w:r w:rsidRPr="004433DB">
        <w:rPr>
          <w:rFonts w:cs="Arial"/>
          <w:color w:val="000000"/>
          <w:lang w:eastAsia="ja-JP" w:bidi="th-TH"/>
        </w:rPr>
        <w:t>BMT:</w:t>
      </w:r>
      <w:r w:rsidRPr="004433DB">
        <w:rPr>
          <w:rFonts w:cs="Arial"/>
          <w:color w:val="000000"/>
          <w:lang w:eastAsia="ja-JP" w:bidi="th-TH"/>
        </w:rPr>
        <w:tab/>
        <w:t>Working Group on Biochemical and Molecular Techniques, and DNA</w:t>
      </w:r>
      <w:r w:rsidRPr="004433DB">
        <w:rPr>
          <w:rFonts w:cs="Arial"/>
          <w:color w:val="000000"/>
          <w:lang w:eastAsia="ja-JP" w:bidi="th-TH"/>
        </w:rPr>
        <w:noBreakHyphen/>
        <w:t>Profiling in Particular</w:t>
      </w:r>
    </w:p>
    <w:p w:rsidR="004433DB" w:rsidRPr="004433DB" w:rsidRDefault="004433DB" w:rsidP="004433DB">
      <w:pPr>
        <w:tabs>
          <w:tab w:val="left" w:pos="567"/>
        </w:tabs>
        <w:ind w:left="1418" w:hanging="851"/>
        <w:rPr>
          <w:rFonts w:cs="Arial"/>
          <w:color w:val="000000"/>
        </w:rPr>
      </w:pPr>
      <w:r w:rsidRPr="004433DB">
        <w:rPr>
          <w:rFonts w:cs="Arial"/>
          <w:color w:val="000000"/>
        </w:rPr>
        <w:t>TC:</w:t>
      </w:r>
      <w:r w:rsidRPr="004433DB">
        <w:rPr>
          <w:rFonts w:cs="Arial"/>
          <w:color w:val="000000"/>
        </w:rPr>
        <w:tab/>
        <w:t>Technical Committee</w:t>
      </w:r>
    </w:p>
    <w:p w:rsidR="004433DB" w:rsidRPr="004433DB" w:rsidRDefault="004433DB" w:rsidP="004433DB">
      <w:pPr>
        <w:tabs>
          <w:tab w:val="left" w:pos="567"/>
        </w:tabs>
        <w:ind w:left="1418" w:hanging="851"/>
        <w:rPr>
          <w:rFonts w:cs="Arial"/>
          <w:color w:val="000000"/>
        </w:rPr>
      </w:pPr>
      <w:r w:rsidRPr="004433DB">
        <w:rPr>
          <w:rFonts w:cs="Arial"/>
          <w:color w:val="000000"/>
        </w:rPr>
        <w:t>TWA:</w:t>
      </w:r>
      <w:r w:rsidRPr="004433DB">
        <w:rPr>
          <w:rFonts w:cs="Arial"/>
          <w:color w:val="000000"/>
        </w:rPr>
        <w:tab/>
        <w:t>Technical Working Party for Agricultural Crops</w:t>
      </w:r>
    </w:p>
    <w:p w:rsidR="004433DB" w:rsidRPr="004433DB" w:rsidRDefault="004433DB" w:rsidP="004433DB">
      <w:pPr>
        <w:ind w:left="1418" w:hanging="851"/>
        <w:rPr>
          <w:rFonts w:cs="Arial"/>
          <w:color w:val="000000"/>
        </w:rPr>
      </w:pPr>
      <w:r w:rsidRPr="004433DB">
        <w:rPr>
          <w:rFonts w:cs="Arial"/>
          <w:color w:val="000000"/>
        </w:rPr>
        <w:t>TWC:</w:t>
      </w:r>
      <w:r w:rsidRPr="004433DB">
        <w:rPr>
          <w:rFonts w:cs="Arial"/>
          <w:color w:val="000000"/>
        </w:rPr>
        <w:tab/>
        <w:t>Technical Working Party on Automation and Computer Programs</w:t>
      </w:r>
    </w:p>
    <w:p w:rsidR="004433DB" w:rsidRPr="004433DB" w:rsidRDefault="004433DB" w:rsidP="004433DB">
      <w:pPr>
        <w:ind w:left="1418" w:hanging="851"/>
        <w:rPr>
          <w:rFonts w:cs="Arial"/>
          <w:color w:val="000000"/>
        </w:rPr>
      </w:pPr>
      <w:r w:rsidRPr="004433DB">
        <w:rPr>
          <w:rFonts w:cs="Arial"/>
          <w:color w:val="000000"/>
        </w:rPr>
        <w:t xml:space="preserve">TWF: </w:t>
      </w:r>
      <w:r w:rsidRPr="004433DB">
        <w:rPr>
          <w:rFonts w:cs="Arial"/>
          <w:color w:val="000000"/>
        </w:rPr>
        <w:tab/>
        <w:t>Technical Working Party for Fruit Crops</w:t>
      </w:r>
    </w:p>
    <w:p w:rsidR="004433DB" w:rsidRPr="004433DB" w:rsidRDefault="004433DB" w:rsidP="004433DB">
      <w:pPr>
        <w:ind w:left="1418" w:hanging="851"/>
        <w:rPr>
          <w:rFonts w:cs="Arial"/>
          <w:color w:val="000000"/>
        </w:rPr>
      </w:pPr>
      <w:r w:rsidRPr="004433DB">
        <w:rPr>
          <w:rFonts w:cs="Arial"/>
          <w:color w:val="000000"/>
        </w:rPr>
        <w:t>TWM:</w:t>
      </w:r>
      <w:r w:rsidRPr="004433DB">
        <w:rPr>
          <w:rFonts w:cs="Arial"/>
          <w:color w:val="000000"/>
        </w:rPr>
        <w:tab/>
      </w:r>
      <w:r w:rsidRPr="004433DB">
        <w:t>Technical Working Party on Testing Methods and Techniques</w:t>
      </w:r>
    </w:p>
    <w:p w:rsidR="004433DB" w:rsidRPr="004433DB" w:rsidRDefault="004433DB" w:rsidP="004433DB">
      <w:pPr>
        <w:ind w:left="1418" w:hanging="851"/>
        <w:rPr>
          <w:rFonts w:cs="Arial"/>
          <w:color w:val="000000"/>
        </w:rPr>
      </w:pPr>
      <w:r w:rsidRPr="004433DB">
        <w:rPr>
          <w:rFonts w:cs="Arial"/>
          <w:color w:val="000000"/>
        </w:rPr>
        <w:t>TWO:</w:t>
      </w:r>
      <w:r w:rsidRPr="004433DB">
        <w:rPr>
          <w:rFonts w:cs="Arial"/>
          <w:color w:val="000000"/>
        </w:rPr>
        <w:tab/>
        <w:t>Technical Working Party for Ornamental Plants and Forest Trees</w:t>
      </w:r>
    </w:p>
    <w:p w:rsidR="004433DB" w:rsidRPr="004433DB" w:rsidRDefault="004433DB" w:rsidP="004433DB">
      <w:pPr>
        <w:tabs>
          <w:tab w:val="left" w:pos="567"/>
        </w:tabs>
        <w:ind w:left="1418" w:hanging="851"/>
        <w:rPr>
          <w:rFonts w:cs="Arial"/>
          <w:color w:val="000000"/>
          <w:lang w:eastAsia="ja-JP" w:bidi="th-TH"/>
        </w:rPr>
      </w:pPr>
      <w:r w:rsidRPr="004433DB">
        <w:rPr>
          <w:rFonts w:cs="Arial"/>
          <w:color w:val="000000"/>
          <w:lang w:eastAsia="ja-JP" w:bidi="th-TH"/>
        </w:rPr>
        <w:t>TWPs:</w:t>
      </w:r>
      <w:r w:rsidRPr="004433DB">
        <w:rPr>
          <w:rFonts w:cs="Arial"/>
          <w:color w:val="000000"/>
          <w:lang w:eastAsia="ja-JP" w:bidi="th-TH"/>
        </w:rPr>
        <w:tab/>
        <w:t>Technical Working Parties</w:t>
      </w:r>
    </w:p>
    <w:p w:rsidR="004433DB" w:rsidRPr="004433DB" w:rsidRDefault="004433DB" w:rsidP="004433DB">
      <w:pPr>
        <w:ind w:left="1418" w:hanging="851"/>
        <w:rPr>
          <w:rFonts w:cs="Arial"/>
          <w:color w:val="000000"/>
        </w:rPr>
      </w:pPr>
      <w:r w:rsidRPr="004433DB">
        <w:rPr>
          <w:rFonts w:cs="Arial"/>
          <w:color w:val="000000"/>
        </w:rPr>
        <w:t>TWV:</w:t>
      </w:r>
      <w:r w:rsidRPr="004433DB">
        <w:rPr>
          <w:rFonts w:cs="Arial"/>
          <w:color w:val="000000"/>
        </w:rPr>
        <w:tab/>
        <w:t>Technical Working Party for Vegetables</w:t>
      </w:r>
    </w:p>
    <w:p w:rsidR="004433DB" w:rsidRPr="004433DB" w:rsidRDefault="004433DB" w:rsidP="004433DB">
      <w:pPr>
        <w:autoSpaceDE w:val="0"/>
        <w:autoSpaceDN w:val="0"/>
        <w:adjustRightInd w:val="0"/>
        <w:rPr>
          <w:rFonts w:cs="Arial"/>
          <w:snapToGrid w:val="0"/>
        </w:rPr>
      </w:pPr>
    </w:p>
    <w:p w:rsidR="004433DB" w:rsidRPr="004433DB" w:rsidRDefault="004433DB" w:rsidP="004433DB">
      <w:pPr>
        <w:autoSpaceDE w:val="0"/>
        <w:autoSpaceDN w:val="0"/>
        <w:adjustRightInd w:val="0"/>
        <w:rPr>
          <w:rFonts w:cs="Arial"/>
          <w:snapToGrid w:val="0"/>
          <w:lang w:eastAsia="ja-JP"/>
        </w:rPr>
      </w:pPr>
      <w:r w:rsidRPr="004433DB">
        <w:rPr>
          <w:rFonts w:cs="Arial"/>
          <w:snapToGrid w:val="0"/>
        </w:rPr>
        <w:fldChar w:fldCharType="begin"/>
      </w:r>
      <w:r w:rsidRPr="004433DB">
        <w:rPr>
          <w:rFonts w:cs="Arial"/>
          <w:snapToGrid w:val="0"/>
        </w:rPr>
        <w:instrText xml:space="preserve"> AUTONUM  </w:instrText>
      </w:r>
      <w:r w:rsidRPr="004433DB">
        <w:rPr>
          <w:rFonts w:cs="Arial"/>
          <w:snapToGrid w:val="0"/>
        </w:rPr>
        <w:fldChar w:fldCharType="end"/>
      </w:r>
      <w:r w:rsidRPr="004433DB">
        <w:rPr>
          <w:rFonts w:cs="Arial"/>
          <w:snapToGrid w:val="0"/>
        </w:rPr>
        <w:tab/>
      </w:r>
      <w:r w:rsidRPr="004433DB">
        <w:rPr>
          <w:rFonts w:cs="Arial"/>
          <w:snapToGrid w:val="0"/>
          <w:lang w:eastAsia="ja-JP"/>
        </w:rPr>
        <w:t>The structure of this document is as follows:</w:t>
      </w:r>
    </w:p>
    <w:p w:rsidR="004433DB" w:rsidRPr="004433DB" w:rsidRDefault="004433DB" w:rsidP="004433DB">
      <w:pPr>
        <w:autoSpaceDE w:val="0"/>
        <w:autoSpaceDN w:val="0"/>
        <w:adjustRightInd w:val="0"/>
        <w:rPr>
          <w:rFonts w:cs="Arial"/>
          <w:snapToGrid w:val="0"/>
          <w:lang w:eastAsia="ja-JP"/>
        </w:rPr>
      </w:pPr>
    </w:p>
    <w:p w:rsidR="00315605" w:rsidRDefault="004433DB" w:rsidP="007924C4">
      <w:pPr>
        <w:pStyle w:val="TOC1"/>
        <w:rPr>
          <w:rFonts w:asciiTheme="minorHAnsi" w:eastAsiaTheme="minorEastAsia" w:hAnsiTheme="minorHAnsi" w:cstheme="minorBidi"/>
          <w:noProof/>
          <w:sz w:val="22"/>
          <w:szCs w:val="22"/>
        </w:rPr>
      </w:pPr>
      <w:r w:rsidRPr="004433DB">
        <w:rPr>
          <w:rFonts w:eastAsiaTheme="minorEastAsia"/>
          <w:bCs/>
          <w:noProof/>
          <w:snapToGrid w:val="0"/>
          <w:lang w:eastAsia="ja-JP"/>
        </w:rPr>
        <w:fldChar w:fldCharType="begin"/>
      </w:r>
      <w:r w:rsidRPr="004433DB">
        <w:rPr>
          <w:snapToGrid w:val="0"/>
        </w:rPr>
        <w:instrText xml:space="preserve"> TOC \o "1-3" \h \z \u </w:instrText>
      </w:r>
      <w:r w:rsidRPr="004433DB">
        <w:rPr>
          <w:rFonts w:eastAsiaTheme="minorEastAsia"/>
          <w:bCs/>
          <w:noProof/>
          <w:snapToGrid w:val="0"/>
          <w:lang w:eastAsia="ja-JP"/>
        </w:rPr>
        <w:fldChar w:fldCharType="separate"/>
      </w:r>
      <w:hyperlink w:anchor="_Toc74563365" w:history="1">
        <w:r w:rsidR="00315605" w:rsidRPr="00B425B1">
          <w:rPr>
            <w:rStyle w:val="Hyperlink"/>
            <w:noProof/>
          </w:rPr>
          <w:t>EXECUTIVE SUMMARY</w:t>
        </w:r>
        <w:r w:rsidR="00315605">
          <w:rPr>
            <w:noProof/>
            <w:webHidden/>
          </w:rPr>
          <w:tab/>
        </w:r>
        <w:r w:rsidR="00315605">
          <w:rPr>
            <w:noProof/>
            <w:webHidden/>
          </w:rPr>
          <w:fldChar w:fldCharType="begin"/>
        </w:r>
        <w:r w:rsidR="00315605">
          <w:rPr>
            <w:noProof/>
            <w:webHidden/>
          </w:rPr>
          <w:instrText xml:space="preserve"> PAGEREF _Toc74563365 \h </w:instrText>
        </w:r>
        <w:r w:rsidR="00315605">
          <w:rPr>
            <w:noProof/>
            <w:webHidden/>
          </w:rPr>
        </w:r>
        <w:r w:rsidR="00315605">
          <w:rPr>
            <w:noProof/>
            <w:webHidden/>
          </w:rPr>
          <w:fldChar w:fldCharType="separate"/>
        </w:r>
        <w:r w:rsidR="00315605">
          <w:rPr>
            <w:noProof/>
            <w:webHidden/>
          </w:rPr>
          <w:t>1</w:t>
        </w:r>
        <w:r w:rsidR="00315605">
          <w:rPr>
            <w:noProof/>
            <w:webHidden/>
          </w:rPr>
          <w:fldChar w:fldCharType="end"/>
        </w:r>
      </w:hyperlink>
    </w:p>
    <w:p w:rsidR="00315605" w:rsidRDefault="00372074" w:rsidP="007924C4">
      <w:pPr>
        <w:pStyle w:val="TOC1"/>
        <w:rPr>
          <w:rFonts w:asciiTheme="minorHAnsi" w:eastAsiaTheme="minorEastAsia" w:hAnsiTheme="minorHAnsi" w:cstheme="minorBidi"/>
          <w:noProof/>
          <w:sz w:val="22"/>
          <w:szCs w:val="22"/>
        </w:rPr>
      </w:pPr>
      <w:hyperlink w:anchor="_Toc74563366" w:history="1">
        <w:r w:rsidR="00315605" w:rsidRPr="00B425B1">
          <w:rPr>
            <w:rStyle w:val="Hyperlink"/>
            <w:noProof/>
          </w:rPr>
          <w:t>BACKGROUND</w:t>
        </w:r>
        <w:r w:rsidR="00315605">
          <w:rPr>
            <w:noProof/>
            <w:webHidden/>
          </w:rPr>
          <w:tab/>
        </w:r>
        <w:r w:rsidR="00315605">
          <w:rPr>
            <w:noProof/>
            <w:webHidden/>
          </w:rPr>
          <w:fldChar w:fldCharType="begin"/>
        </w:r>
        <w:r w:rsidR="00315605">
          <w:rPr>
            <w:noProof/>
            <w:webHidden/>
          </w:rPr>
          <w:instrText xml:space="preserve"> PAGEREF _Toc74563366 \h </w:instrText>
        </w:r>
        <w:r w:rsidR="00315605">
          <w:rPr>
            <w:noProof/>
            <w:webHidden/>
          </w:rPr>
        </w:r>
        <w:r w:rsidR="00315605">
          <w:rPr>
            <w:noProof/>
            <w:webHidden/>
          </w:rPr>
          <w:fldChar w:fldCharType="separate"/>
        </w:r>
        <w:r w:rsidR="00315605">
          <w:rPr>
            <w:noProof/>
            <w:webHidden/>
          </w:rPr>
          <w:t>1</w:t>
        </w:r>
        <w:r w:rsidR="00315605">
          <w:rPr>
            <w:noProof/>
            <w:webHidden/>
          </w:rPr>
          <w:fldChar w:fldCharType="end"/>
        </w:r>
      </w:hyperlink>
    </w:p>
    <w:p w:rsidR="00315605" w:rsidRDefault="00372074" w:rsidP="007924C4">
      <w:pPr>
        <w:pStyle w:val="TOC1"/>
        <w:rPr>
          <w:rFonts w:asciiTheme="minorHAnsi" w:eastAsiaTheme="minorEastAsia" w:hAnsiTheme="minorHAnsi" w:cstheme="minorBidi"/>
          <w:noProof/>
          <w:sz w:val="22"/>
          <w:szCs w:val="22"/>
        </w:rPr>
      </w:pPr>
      <w:hyperlink w:anchor="_Toc74563367" w:history="1">
        <w:r w:rsidR="00315605" w:rsidRPr="00B425B1">
          <w:rPr>
            <w:rStyle w:val="Hyperlink"/>
            <w:noProof/>
          </w:rPr>
          <w:t>Consideration by the Technical Committee at its fifty-seventh session</w:t>
        </w:r>
        <w:r w:rsidR="00315605">
          <w:rPr>
            <w:noProof/>
            <w:webHidden/>
          </w:rPr>
          <w:tab/>
        </w:r>
        <w:r w:rsidR="00315605">
          <w:rPr>
            <w:noProof/>
            <w:webHidden/>
          </w:rPr>
          <w:fldChar w:fldCharType="begin"/>
        </w:r>
        <w:r w:rsidR="00315605">
          <w:rPr>
            <w:noProof/>
            <w:webHidden/>
          </w:rPr>
          <w:instrText xml:space="preserve"> PAGEREF _Toc74563367 \h </w:instrText>
        </w:r>
        <w:r w:rsidR="00315605">
          <w:rPr>
            <w:noProof/>
            <w:webHidden/>
          </w:rPr>
        </w:r>
        <w:r w:rsidR="00315605">
          <w:rPr>
            <w:noProof/>
            <w:webHidden/>
          </w:rPr>
          <w:fldChar w:fldCharType="separate"/>
        </w:r>
        <w:r w:rsidR="00315605">
          <w:rPr>
            <w:noProof/>
            <w:webHidden/>
          </w:rPr>
          <w:t>2</w:t>
        </w:r>
        <w:r w:rsidR="00315605">
          <w:rPr>
            <w:noProof/>
            <w:webHidden/>
          </w:rPr>
          <w:fldChar w:fldCharType="end"/>
        </w:r>
      </w:hyperlink>
    </w:p>
    <w:p w:rsidR="00315605" w:rsidRDefault="00372074" w:rsidP="007924C4">
      <w:pPr>
        <w:pStyle w:val="TOC1"/>
        <w:rPr>
          <w:rFonts w:asciiTheme="minorHAnsi" w:eastAsiaTheme="minorEastAsia" w:hAnsiTheme="minorHAnsi" w:cstheme="minorBidi"/>
          <w:noProof/>
          <w:sz w:val="22"/>
          <w:szCs w:val="22"/>
        </w:rPr>
      </w:pPr>
      <w:hyperlink w:anchor="_Toc74563368" w:history="1">
        <w:r w:rsidR="00315605" w:rsidRPr="00B425B1">
          <w:rPr>
            <w:rStyle w:val="Hyperlink"/>
            <w:noProof/>
          </w:rPr>
          <w:t>Report on Preparatory Workshops in 2021</w:t>
        </w:r>
        <w:r w:rsidR="00315605">
          <w:rPr>
            <w:noProof/>
            <w:webHidden/>
          </w:rPr>
          <w:tab/>
        </w:r>
        <w:r w:rsidR="00315605">
          <w:rPr>
            <w:noProof/>
            <w:webHidden/>
          </w:rPr>
          <w:fldChar w:fldCharType="begin"/>
        </w:r>
        <w:r w:rsidR="00315605">
          <w:rPr>
            <w:noProof/>
            <w:webHidden/>
          </w:rPr>
          <w:instrText xml:space="preserve"> PAGEREF _Toc74563368 \h </w:instrText>
        </w:r>
        <w:r w:rsidR="00315605">
          <w:rPr>
            <w:noProof/>
            <w:webHidden/>
          </w:rPr>
        </w:r>
        <w:r w:rsidR="00315605">
          <w:rPr>
            <w:noProof/>
            <w:webHidden/>
          </w:rPr>
          <w:fldChar w:fldCharType="separate"/>
        </w:r>
        <w:r w:rsidR="00315605">
          <w:rPr>
            <w:noProof/>
            <w:webHidden/>
          </w:rPr>
          <w:t>3</w:t>
        </w:r>
        <w:r w:rsidR="00315605">
          <w:rPr>
            <w:noProof/>
            <w:webHidden/>
          </w:rPr>
          <w:fldChar w:fldCharType="end"/>
        </w:r>
      </w:hyperlink>
    </w:p>
    <w:p w:rsidR="00315605" w:rsidRDefault="00372074">
      <w:pPr>
        <w:pStyle w:val="TOC2"/>
        <w:rPr>
          <w:rFonts w:asciiTheme="minorHAnsi" w:eastAsiaTheme="minorEastAsia" w:hAnsiTheme="minorHAnsi" w:cstheme="minorBidi"/>
          <w:noProof/>
          <w:sz w:val="22"/>
          <w:szCs w:val="22"/>
        </w:rPr>
      </w:pPr>
      <w:hyperlink w:anchor="_Toc74563369" w:history="1">
        <w:r w:rsidR="00315605" w:rsidRPr="00B425B1">
          <w:rPr>
            <w:rStyle w:val="Hyperlink"/>
            <w:noProof/>
          </w:rPr>
          <w:t>Preparatory webinars</w:t>
        </w:r>
        <w:r w:rsidR="00315605">
          <w:rPr>
            <w:noProof/>
            <w:webHidden/>
          </w:rPr>
          <w:tab/>
        </w:r>
        <w:r w:rsidR="00315605">
          <w:rPr>
            <w:noProof/>
            <w:webHidden/>
          </w:rPr>
          <w:fldChar w:fldCharType="begin"/>
        </w:r>
        <w:r w:rsidR="00315605">
          <w:rPr>
            <w:noProof/>
            <w:webHidden/>
          </w:rPr>
          <w:instrText xml:space="preserve"> PAGEREF _Toc74563369 \h </w:instrText>
        </w:r>
        <w:r w:rsidR="00315605">
          <w:rPr>
            <w:noProof/>
            <w:webHidden/>
          </w:rPr>
        </w:r>
        <w:r w:rsidR="00315605">
          <w:rPr>
            <w:noProof/>
            <w:webHidden/>
          </w:rPr>
          <w:fldChar w:fldCharType="separate"/>
        </w:r>
        <w:r w:rsidR="00315605">
          <w:rPr>
            <w:noProof/>
            <w:webHidden/>
          </w:rPr>
          <w:t>3</w:t>
        </w:r>
        <w:r w:rsidR="00315605">
          <w:rPr>
            <w:noProof/>
            <w:webHidden/>
          </w:rPr>
          <w:fldChar w:fldCharType="end"/>
        </w:r>
      </w:hyperlink>
    </w:p>
    <w:p w:rsidR="00315605" w:rsidRDefault="00372074" w:rsidP="007924C4">
      <w:pPr>
        <w:pStyle w:val="TOC1"/>
        <w:rPr>
          <w:rFonts w:asciiTheme="minorHAnsi" w:eastAsiaTheme="minorEastAsia" w:hAnsiTheme="minorHAnsi" w:cstheme="minorBidi"/>
          <w:noProof/>
          <w:sz w:val="22"/>
          <w:szCs w:val="22"/>
        </w:rPr>
      </w:pPr>
      <w:hyperlink w:anchor="_Toc74563370" w:history="1">
        <w:r w:rsidR="00315605" w:rsidRPr="00B425B1">
          <w:rPr>
            <w:rStyle w:val="Hyperlink"/>
            <w:noProof/>
          </w:rPr>
          <w:t>Program and format for Preparatory Work in 2022</w:t>
        </w:r>
        <w:r w:rsidR="00315605">
          <w:rPr>
            <w:noProof/>
            <w:webHidden/>
          </w:rPr>
          <w:tab/>
        </w:r>
        <w:r w:rsidR="00315605">
          <w:rPr>
            <w:noProof/>
            <w:webHidden/>
          </w:rPr>
          <w:fldChar w:fldCharType="begin"/>
        </w:r>
        <w:r w:rsidR="00315605">
          <w:rPr>
            <w:noProof/>
            <w:webHidden/>
          </w:rPr>
          <w:instrText xml:space="preserve"> PAGEREF _Toc74563370 \h </w:instrText>
        </w:r>
        <w:r w:rsidR="00315605">
          <w:rPr>
            <w:noProof/>
            <w:webHidden/>
          </w:rPr>
        </w:r>
        <w:r w:rsidR="00315605">
          <w:rPr>
            <w:noProof/>
            <w:webHidden/>
          </w:rPr>
          <w:fldChar w:fldCharType="separate"/>
        </w:r>
        <w:r w:rsidR="00315605">
          <w:rPr>
            <w:noProof/>
            <w:webHidden/>
          </w:rPr>
          <w:t>3</w:t>
        </w:r>
        <w:r w:rsidR="00315605">
          <w:rPr>
            <w:noProof/>
            <w:webHidden/>
          </w:rPr>
          <w:fldChar w:fldCharType="end"/>
        </w:r>
      </w:hyperlink>
    </w:p>
    <w:p w:rsidR="00315605" w:rsidRDefault="00372074">
      <w:pPr>
        <w:pStyle w:val="TOC2"/>
        <w:rPr>
          <w:rFonts w:asciiTheme="minorHAnsi" w:eastAsiaTheme="minorEastAsia" w:hAnsiTheme="minorHAnsi" w:cstheme="minorBidi"/>
          <w:noProof/>
          <w:sz w:val="22"/>
          <w:szCs w:val="22"/>
        </w:rPr>
      </w:pPr>
      <w:hyperlink w:anchor="_Toc74563371" w:history="1">
        <w:r w:rsidR="00315605" w:rsidRPr="00B425B1">
          <w:rPr>
            <w:rStyle w:val="Hyperlink"/>
            <w:noProof/>
          </w:rPr>
          <w:t>Proposal:</w:t>
        </w:r>
        <w:r w:rsidR="00315605">
          <w:rPr>
            <w:noProof/>
            <w:webHidden/>
          </w:rPr>
          <w:tab/>
        </w:r>
        <w:r w:rsidR="00315605">
          <w:rPr>
            <w:noProof/>
            <w:webHidden/>
          </w:rPr>
          <w:fldChar w:fldCharType="begin"/>
        </w:r>
        <w:r w:rsidR="00315605">
          <w:rPr>
            <w:noProof/>
            <w:webHidden/>
          </w:rPr>
          <w:instrText xml:space="preserve"> PAGEREF _Toc74563371 \h </w:instrText>
        </w:r>
        <w:r w:rsidR="00315605">
          <w:rPr>
            <w:noProof/>
            <w:webHidden/>
          </w:rPr>
        </w:r>
        <w:r w:rsidR="00315605">
          <w:rPr>
            <w:noProof/>
            <w:webHidden/>
          </w:rPr>
          <w:fldChar w:fldCharType="separate"/>
        </w:r>
        <w:r w:rsidR="00315605">
          <w:rPr>
            <w:noProof/>
            <w:webHidden/>
          </w:rPr>
          <w:t>3</w:t>
        </w:r>
        <w:r w:rsidR="00315605">
          <w:rPr>
            <w:noProof/>
            <w:webHidden/>
          </w:rPr>
          <w:fldChar w:fldCharType="end"/>
        </w:r>
      </w:hyperlink>
    </w:p>
    <w:p w:rsidR="00315605" w:rsidRDefault="00372074" w:rsidP="007924C4">
      <w:pPr>
        <w:pStyle w:val="TOC1"/>
        <w:rPr>
          <w:rFonts w:asciiTheme="minorHAnsi" w:eastAsiaTheme="minorEastAsia" w:hAnsiTheme="minorHAnsi" w:cstheme="minorBidi"/>
          <w:noProof/>
          <w:sz w:val="22"/>
          <w:szCs w:val="22"/>
        </w:rPr>
      </w:pPr>
      <w:hyperlink w:anchor="_Toc74563372" w:history="1">
        <w:r w:rsidR="00315605" w:rsidRPr="00B425B1">
          <w:rPr>
            <w:rStyle w:val="Hyperlink"/>
            <w:rFonts w:cs="Arial"/>
            <w:noProof/>
          </w:rPr>
          <w:t>pROGRAM OF THE PREPARATORY WEBINARS IN 2021</w:t>
        </w:r>
        <w:r w:rsidR="00315605">
          <w:rPr>
            <w:noProof/>
            <w:webHidden/>
          </w:rPr>
          <w:tab/>
        </w:r>
        <w:r w:rsidR="00315605">
          <w:rPr>
            <w:noProof/>
            <w:webHidden/>
          </w:rPr>
          <w:fldChar w:fldCharType="begin"/>
        </w:r>
        <w:r w:rsidR="00315605">
          <w:rPr>
            <w:noProof/>
            <w:webHidden/>
          </w:rPr>
          <w:instrText xml:space="preserve"> PAGEREF _Toc74563372 \h </w:instrText>
        </w:r>
        <w:r w:rsidR="00315605">
          <w:rPr>
            <w:noProof/>
            <w:webHidden/>
          </w:rPr>
        </w:r>
        <w:r w:rsidR="00315605">
          <w:rPr>
            <w:noProof/>
            <w:webHidden/>
          </w:rPr>
          <w:fldChar w:fldCharType="separate"/>
        </w:r>
        <w:r w:rsidR="00315605">
          <w:rPr>
            <w:noProof/>
            <w:webHidden/>
          </w:rPr>
          <w:t>1</w:t>
        </w:r>
        <w:r w:rsidR="00315605">
          <w:rPr>
            <w:noProof/>
            <w:webHidden/>
          </w:rPr>
          <w:fldChar w:fldCharType="end"/>
        </w:r>
      </w:hyperlink>
    </w:p>
    <w:p w:rsidR="004433DB" w:rsidRPr="004433DB" w:rsidRDefault="004433DB" w:rsidP="004433DB">
      <w:pPr>
        <w:rPr>
          <w:rFonts w:cs="Arial"/>
          <w:snapToGrid w:val="0"/>
        </w:rPr>
      </w:pPr>
      <w:r w:rsidRPr="004433DB">
        <w:rPr>
          <w:rFonts w:cs="Arial"/>
          <w:snapToGrid w:val="0"/>
        </w:rPr>
        <w:fldChar w:fldCharType="end"/>
      </w:r>
    </w:p>
    <w:p w:rsidR="004433DB" w:rsidRPr="004433DB" w:rsidRDefault="004433DB" w:rsidP="004433DB">
      <w:pPr>
        <w:rPr>
          <w:rFonts w:cs="Arial"/>
          <w:snapToGrid w:val="0"/>
        </w:rPr>
      </w:pPr>
      <w:r w:rsidRPr="004433DB">
        <w:rPr>
          <w:rFonts w:cs="Arial"/>
          <w:snapToGrid w:val="0"/>
        </w:rPr>
        <w:t>Annex:  Program of the preparatory webinars in 2021</w:t>
      </w:r>
    </w:p>
    <w:p w:rsidR="004433DB" w:rsidRPr="004433DB" w:rsidRDefault="004433DB" w:rsidP="004433DB">
      <w:pPr>
        <w:rPr>
          <w:rFonts w:cs="Arial"/>
          <w:snapToGrid w:val="0"/>
        </w:rPr>
      </w:pPr>
    </w:p>
    <w:p w:rsidR="004433DB" w:rsidRPr="004433DB" w:rsidRDefault="004433DB" w:rsidP="004433DB">
      <w:r w:rsidRPr="004433DB">
        <w:rPr>
          <w:noProof/>
        </w:rPr>
        <mc:AlternateContent>
          <mc:Choice Requires="wps">
            <w:drawing>
              <wp:anchor distT="0" distB="0" distL="114300" distR="114300" simplePos="0" relativeHeight="251659264" behindDoc="0" locked="0" layoutInCell="1" allowOverlap="1" wp14:anchorId="2492E5DB" wp14:editId="3288B5E3">
                <wp:simplePos x="0" y="0"/>
                <wp:positionH relativeFrom="column">
                  <wp:posOffset>-694690</wp:posOffset>
                </wp:positionH>
                <wp:positionV relativeFrom="paragraph">
                  <wp:posOffset>155575</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4433DB" w:rsidRPr="00D31BFA" w:rsidRDefault="004433DB" w:rsidP="004433DB">
                            <w:pPr>
                              <w:jc w:val="right"/>
                              <w:rPr>
                                <w:rFonts w:cs="Arial"/>
                                <w:color w:val="000000"/>
                              </w:rPr>
                            </w:pPr>
                            <w:r w:rsidRPr="00D31BFA">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492E5DB"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" fillcolor="black" strokeweight=".5pt">
                <v:fill opacity="0"/>
                <v:stroke opacity="0" joinstyle="round"/>
                <v:textbox inset="0,0,0,0">
                  <w:txbxContent>
                    <w:p w:rsidR="004433DB" w:rsidRPr="00D31BFA" w:rsidRDefault="004433DB" w:rsidP="004433DB">
                      <w:pPr>
                        <w:jc w:val="right"/>
                        <w:rPr>
                          <w:rFonts w:cs="Arial"/>
                          <w:color w:val="000000"/>
                        </w:rPr>
                      </w:pPr>
                      <w:r w:rsidRPr="00D31BFA">
                        <w:rPr>
                          <w:rFonts w:cs="Arial"/>
                          <w:color w:val="000000"/>
                        </w:rPr>
                        <w:t xml:space="preserve">./. </w:t>
                      </w:r>
                    </w:p>
                  </w:txbxContent>
                </v:textbox>
              </v:shape>
            </w:pict>
          </mc:Fallback>
        </mc:AlternateContent>
      </w:r>
    </w:p>
    <w:p w:rsidR="004433DB" w:rsidRPr="004433DB" w:rsidRDefault="004433DB" w:rsidP="004433DB">
      <w:pPr>
        <w:keepNext/>
        <w:keepLines/>
        <w:outlineLvl w:val="0"/>
        <w:rPr>
          <w:caps/>
        </w:rPr>
      </w:pPr>
      <w:bookmarkStart w:id="2" w:name="_Toc74563366"/>
      <w:r w:rsidRPr="004433DB">
        <w:rPr>
          <w:caps/>
        </w:rPr>
        <w:lastRenderedPageBreak/>
        <w:t>BACKGROUND</w:t>
      </w:r>
      <w:bookmarkEnd w:id="2"/>
    </w:p>
    <w:p w:rsidR="004433DB" w:rsidRPr="004433DB" w:rsidRDefault="004433DB" w:rsidP="004433DB">
      <w:pPr>
        <w:keepNext/>
        <w:keepLines/>
      </w:pPr>
    </w:p>
    <w:p w:rsidR="004433DB" w:rsidRPr="004433DB" w:rsidRDefault="004433DB" w:rsidP="004433DB">
      <w:pPr>
        <w:keepLines/>
        <w:autoSpaceDE w:val="0"/>
        <w:autoSpaceDN w:val="0"/>
        <w:adjustRightInd w:val="0"/>
        <w:rPr>
          <w:rFonts w:cs="Arial"/>
          <w:snapToGrid w:val="0"/>
        </w:rPr>
      </w:pPr>
      <w:r w:rsidRPr="004433DB">
        <w:rPr>
          <w:rFonts w:cs="Arial"/>
        </w:rPr>
        <w:fldChar w:fldCharType="begin"/>
      </w:r>
      <w:r w:rsidRPr="004433DB">
        <w:rPr>
          <w:rFonts w:cs="Arial"/>
        </w:rPr>
        <w:instrText xml:space="preserve"> AUTONUM  </w:instrText>
      </w:r>
      <w:r w:rsidRPr="004433DB">
        <w:rPr>
          <w:rFonts w:cs="Arial"/>
        </w:rPr>
        <w:fldChar w:fldCharType="end"/>
      </w:r>
      <w:r w:rsidRPr="004433DB">
        <w:rPr>
          <w:rFonts w:cs="Arial"/>
        </w:rPr>
        <w:tab/>
        <w:t>The TC, at its thirty-eighth session</w:t>
      </w:r>
      <w:r w:rsidRPr="004433DB">
        <w:rPr>
          <w:rFonts w:cs="Arial"/>
          <w:vertAlign w:val="superscript"/>
        </w:rPr>
        <w:footnoteReference w:id="2"/>
      </w:r>
      <w:r w:rsidRPr="004433DB">
        <w:rPr>
          <w:rFonts w:cs="Arial"/>
        </w:rPr>
        <w:t>, agreed, on the basis of document TC/38/12, to the holding of a preparatory workshop before each Technical Working Party (TWP) meeting, with the aim of helping some of the delegates to participate more actively at the meeting (see document TC/38/16 “Report”, paragraphs 215 to 218).</w:t>
      </w:r>
    </w:p>
    <w:p w:rsidR="004433DB" w:rsidRPr="004433DB" w:rsidRDefault="004433DB" w:rsidP="004433DB"/>
    <w:p w:rsidR="004433DB" w:rsidRPr="004433DB" w:rsidRDefault="004433DB" w:rsidP="004433DB">
      <w:r w:rsidRPr="004433DB">
        <w:fldChar w:fldCharType="begin"/>
      </w:r>
      <w:r w:rsidRPr="004433DB">
        <w:instrText xml:space="preserve"> AUTONUM  </w:instrText>
      </w:r>
      <w:r w:rsidRPr="004433DB">
        <w:fldChar w:fldCharType="end"/>
      </w:r>
      <w:r w:rsidRPr="004433DB">
        <w:tab/>
        <w:t>The TC, at its fifty-fifth session</w:t>
      </w:r>
      <w:r w:rsidRPr="004433DB">
        <w:rPr>
          <w:vertAlign w:val="superscript"/>
        </w:rPr>
        <w:footnoteReference w:id="3"/>
      </w:r>
      <w:r w:rsidRPr="004433DB">
        <w:t>, recalled that preparatory workshops were an opportunity for training local participants and agreed that TWP hosts should have the possibility to decide whether or not to organize a preparatory workshop prior to the TWP session (see document TC/55/25 “Report”, paragraphs 226 and 227).</w:t>
      </w:r>
    </w:p>
    <w:p w:rsidR="004433DB" w:rsidRPr="004433DB" w:rsidRDefault="004433DB" w:rsidP="004433DB"/>
    <w:p w:rsidR="004433DB" w:rsidRPr="004433DB" w:rsidRDefault="004433DB" w:rsidP="004433DB">
      <w:r w:rsidRPr="004433DB">
        <w:fldChar w:fldCharType="begin"/>
      </w:r>
      <w:r w:rsidRPr="004433DB">
        <w:instrText xml:space="preserve"> AUTONUM  </w:instrText>
      </w:r>
      <w:r w:rsidRPr="004433DB">
        <w:fldChar w:fldCharType="end"/>
      </w:r>
      <w:r w:rsidRPr="004433DB">
        <w:tab/>
        <w:t>The TC, at its fifty-fifth session, agreed that TWPs should be invited to discuss the possible organization of preparatory workshops when considering the date and place of their future sessions.</w:t>
      </w:r>
    </w:p>
    <w:p w:rsidR="004433DB" w:rsidRPr="004433DB" w:rsidRDefault="004433DB" w:rsidP="004433DB"/>
    <w:p w:rsidR="004433DB" w:rsidRPr="004433DB" w:rsidRDefault="004433DB" w:rsidP="004433DB"/>
    <w:p w:rsidR="004433DB" w:rsidRPr="004433DB" w:rsidRDefault="004433DB" w:rsidP="004433DB">
      <w:pPr>
        <w:keepNext/>
        <w:outlineLvl w:val="0"/>
        <w:rPr>
          <w:caps/>
        </w:rPr>
      </w:pPr>
      <w:bookmarkStart w:id="3" w:name="_Toc74563367"/>
      <w:r w:rsidRPr="004433DB">
        <w:rPr>
          <w:caps/>
        </w:rPr>
        <w:t>Consideration by the Technical Committee at its fifty-seventh session</w:t>
      </w:r>
      <w:bookmarkEnd w:id="3"/>
    </w:p>
    <w:p w:rsidR="004433DB" w:rsidRPr="004433DB" w:rsidRDefault="004433DB" w:rsidP="004433DB"/>
    <w:p w:rsidR="004433DB" w:rsidRPr="004433DB" w:rsidRDefault="004433DB" w:rsidP="004433DB">
      <w:r w:rsidRPr="004433DB">
        <w:fldChar w:fldCharType="begin"/>
      </w:r>
      <w:r w:rsidRPr="004433DB">
        <w:instrText xml:space="preserve"> AUTONUM  </w:instrText>
      </w:r>
      <w:r w:rsidRPr="004433DB">
        <w:fldChar w:fldCharType="end"/>
      </w:r>
      <w:r w:rsidRPr="004433DB">
        <w:tab/>
        <w:t>The TC, at its fifty-sixth session</w:t>
      </w:r>
      <w:r w:rsidRPr="004433DB">
        <w:rPr>
          <w:vertAlign w:val="superscript"/>
        </w:rPr>
        <w:footnoteReference w:id="4"/>
      </w:r>
      <w:r w:rsidRPr="004433DB">
        <w:t xml:space="preserve"> considered document TC/56/9 “Preparatory Workshops” (see document TC/56/23 “Report”, paragraphs 71 and 75).</w:t>
      </w:r>
    </w:p>
    <w:p w:rsidR="004433DB" w:rsidRPr="004433DB" w:rsidRDefault="004433DB" w:rsidP="004433DB"/>
    <w:p w:rsidR="004433DB" w:rsidRPr="004433DB" w:rsidRDefault="004433DB" w:rsidP="004433DB">
      <w:pPr>
        <w:rPr>
          <w:snapToGrid w:val="0"/>
        </w:rPr>
      </w:pPr>
      <w:r w:rsidRPr="004433DB">
        <w:fldChar w:fldCharType="begin"/>
      </w:r>
      <w:r w:rsidRPr="004433DB">
        <w:instrText xml:space="preserve"> AUTONUM  </w:instrText>
      </w:r>
      <w:r w:rsidRPr="004433DB">
        <w:fldChar w:fldCharType="end"/>
      </w:r>
      <w:r w:rsidRPr="004433DB">
        <w:tab/>
      </w:r>
      <w:r w:rsidRPr="004433DB">
        <w:rPr>
          <w:rFonts w:cs="Arial"/>
        </w:rPr>
        <w:t>The TC agreed</w:t>
      </w:r>
      <w:r w:rsidRPr="004433DB">
        <w:rPr>
          <w:snapToGrid w:val="0"/>
        </w:rPr>
        <w:t xml:space="preserve"> to organize preparatory workshops in 2021 as a series of webinars at suitable dates according to the schedule of TWP sessions, as follows:  </w:t>
      </w:r>
    </w:p>
    <w:p w:rsidR="004433DB" w:rsidRPr="004433DB" w:rsidRDefault="004433DB" w:rsidP="004433DB">
      <w:pPr>
        <w:rPr>
          <w:snapToGrid w:val="0"/>
        </w:rPr>
      </w:pPr>
    </w:p>
    <w:p w:rsidR="004433DB" w:rsidRPr="004433DB" w:rsidRDefault="004433DB" w:rsidP="004433DB">
      <w:pPr>
        <w:keepNext/>
        <w:rPr>
          <w:rFonts w:cs="Arial"/>
        </w:rPr>
      </w:pPr>
      <w:r w:rsidRPr="004433DB">
        <w:rPr>
          <w:rFonts w:cs="Arial"/>
        </w:rPr>
        <w:t>Webinar 1:</w:t>
      </w:r>
    </w:p>
    <w:p w:rsidR="004433DB" w:rsidRPr="004433DB" w:rsidRDefault="004433DB" w:rsidP="004433DB">
      <w:pPr>
        <w:keepNext/>
        <w:numPr>
          <w:ilvl w:val="1"/>
          <w:numId w:val="9"/>
        </w:numPr>
        <w:spacing w:line="276" w:lineRule="auto"/>
        <w:ind w:left="1134" w:hanging="567"/>
        <w:contextualSpacing/>
        <w:rPr>
          <w:rFonts w:cs="Arial"/>
        </w:rPr>
      </w:pPr>
      <w:r w:rsidRPr="004433DB">
        <w:rPr>
          <w:rFonts w:cs="Arial"/>
        </w:rPr>
        <w:t>Introduction to UPOV and the role of UPOV Technical Working Parties (TWPs)</w:t>
      </w:r>
    </w:p>
    <w:p w:rsidR="004433DB" w:rsidRPr="004433DB" w:rsidRDefault="004433DB" w:rsidP="004433DB">
      <w:pPr>
        <w:keepNext/>
        <w:numPr>
          <w:ilvl w:val="1"/>
          <w:numId w:val="9"/>
        </w:numPr>
        <w:spacing w:line="276" w:lineRule="auto"/>
        <w:ind w:left="1134" w:hanging="567"/>
        <w:contextualSpacing/>
        <w:rPr>
          <w:rFonts w:cs="Arial"/>
        </w:rPr>
      </w:pPr>
      <w:r w:rsidRPr="004433DB">
        <w:rPr>
          <w:rFonts w:cs="Arial"/>
        </w:rPr>
        <w:t>Overview of the General Introduction (document TG/1/3 and TGP documents)</w:t>
      </w:r>
    </w:p>
    <w:p w:rsidR="004433DB" w:rsidRPr="004433DB" w:rsidRDefault="004433DB" w:rsidP="004433DB">
      <w:pPr>
        <w:numPr>
          <w:ilvl w:val="0"/>
          <w:numId w:val="3"/>
        </w:numPr>
        <w:tabs>
          <w:tab w:val="left" w:pos="1134"/>
        </w:tabs>
        <w:spacing w:line="276" w:lineRule="auto"/>
        <w:ind w:left="1134" w:firstLine="0"/>
        <w:rPr>
          <w:rFonts w:cs="Arial"/>
        </w:rPr>
      </w:pPr>
      <w:r w:rsidRPr="004433DB">
        <w:rPr>
          <w:rFonts w:cs="Arial"/>
        </w:rPr>
        <w:t>Characteristics as the Basis for DUS Examination a</w:t>
      </w:r>
      <w:r w:rsidR="005B6FE2">
        <w:rPr>
          <w:rFonts w:cs="Arial"/>
        </w:rPr>
        <w:t>nd Selection of Characteristics</w:t>
      </w:r>
    </w:p>
    <w:p w:rsidR="004433DB" w:rsidRPr="004433DB" w:rsidRDefault="004433DB" w:rsidP="004433DB">
      <w:pPr>
        <w:spacing w:line="276" w:lineRule="auto"/>
        <w:rPr>
          <w:rFonts w:cs="Arial"/>
        </w:rPr>
      </w:pPr>
      <w:r w:rsidRPr="004433DB">
        <w:rPr>
          <w:rFonts w:cs="Arial"/>
        </w:rPr>
        <w:t>Webinar 2:</w:t>
      </w:r>
    </w:p>
    <w:p w:rsidR="004433DB" w:rsidRPr="004433DB" w:rsidRDefault="004433DB" w:rsidP="004433DB">
      <w:pPr>
        <w:spacing w:line="276" w:lineRule="auto"/>
        <w:ind w:left="567"/>
        <w:rPr>
          <w:rFonts w:cs="Arial"/>
        </w:rPr>
      </w:pPr>
      <w:r w:rsidRPr="004433DB">
        <w:rPr>
          <w:rFonts w:cs="Arial"/>
        </w:rPr>
        <w:t xml:space="preserve">Guidance on drafting Test Guidelines – part I (document TGP/7) </w:t>
      </w:r>
    </w:p>
    <w:p w:rsidR="004433DB" w:rsidRPr="004433DB" w:rsidRDefault="004433DB" w:rsidP="004433DB">
      <w:pPr>
        <w:numPr>
          <w:ilvl w:val="0"/>
          <w:numId w:val="11"/>
        </w:numPr>
        <w:tabs>
          <w:tab w:val="num" w:pos="1134"/>
        </w:tabs>
        <w:spacing w:line="276" w:lineRule="auto"/>
        <w:ind w:left="567" w:firstLine="0"/>
        <w:rPr>
          <w:rFonts w:cs="Arial"/>
        </w:rPr>
      </w:pPr>
      <w:r w:rsidRPr="004433DB">
        <w:rPr>
          <w:rFonts w:cs="Arial"/>
        </w:rPr>
        <w:t>Method of Observation (MS, MG, VS, VG);</w:t>
      </w:r>
    </w:p>
    <w:p w:rsidR="004433DB" w:rsidRPr="004433DB" w:rsidRDefault="004433DB" w:rsidP="004433DB">
      <w:pPr>
        <w:numPr>
          <w:ilvl w:val="0"/>
          <w:numId w:val="11"/>
        </w:numPr>
        <w:tabs>
          <w:tab w:val="left" w:pos="567"/>
          <w:tab w:val="num" w:pos="1134"/>
          <w:tab w:val="left" w:pos="2268"/>
          <w:tab w:val="left" w:pos="2835"/>
          <w:tab w:val="left" w:pos="3402"/>
          <w:tab w:val="left" w:pos="3969"/>
          <w:tab w:val="left" w:pos="4536"/>
          <w:tab w:val="center" w:pos="5386"/>
        </w:tabs>
        <w:spacing w:line="276" w:lineRule="auto"/>
        <w:ind w:left="567" w:firstLine="0"/>
        <w:rPr>
          <w:rFonts w:cs="Arial"/>
        </w:rPr>
      </w:pPr>
      <w:r w:rsidRPr="004433DB">
        <w:rPr>
          <w:rFonts w:cs="Arial"/>
        </w:rPr>
        <w:t>Types of Expression (QL, PQ, QN), notes and distinctness;</w:t>
      </w:r>
    </w:p>
    <w:p w:rsidR="004433DB" w:rsidRPr="004433DB" w:rsidRDefault="004433DB" w:rsidP="004433DB">
      <w:pPr>
        <w:tabs>
          <w:tab w:val="left" w:pos="567"/>
          <w:tab w:val="left" w:pos="1134"/>
          <w:tab w:val="left" w:pos="2268"/>
          <w:tab w:val="left" w:pos="2835"/>
          <w:tab w:val="left" w:pos="3402"/>
          <w:tab w:val="left" w:pos="3969"/>
          <w:tab w:val="left" w:pos="4536"/>
          <w:tab w:val="center" w:pos="5386"/>
        </w:tabs>
        <w:spacing w:line="276" w:lineRule="auto"/>
        <w:rPr>
          <w:rFonts w:cs="Arial"/>
        </w:rPr>
      </w:pPr>
      <w:r w:rsidRPr="004433DB">
        <w:rPr>
          <w:rFonts w:cs="Arial"/>
        </w:rPr>
        <w:t>Webinar 3:</w:t>
      </w:r>
    </w:p>
    <w:p w:rsidR="004433DB" w:rsidRPr="004433DB" w:rsidRDefault="004433DB" w:rsidP="004433DB">
      <w:pPr>
        <w:spacing w:line="276" w:lineRule="auto"/>
        <w:ind w:left="567"/>
        <w:rPr>
          <w:rFonts w:cs="Arial"/>
        </w:rPr>
      </w:pPr>
      <w:r w:rsidRPr="004433DB">
        <w:rPr>
          <w:rFonts w:cs="Arial"/>
        </w:rPr>
        <w:t xml:space="preserve">Guidance on drafting Test Guidelines – part II (document TGP/7) </w:t>
      </w:r>
    </w:p>
    <w:p w:rsidR="004433DB" w:rsidRPr="004433DB" w:rsidRDefault="004433DB" w:rsidP="004433DB">
      <w:pPr>
        <w:numPr>
          <w:ilvl w:val="0"/>
          <w:numId w:val="12"/>
        </w:numPr>
        <w:tabs>
          <w:tab w:val="left" w:pos="1134"/>
        </w:tabs>
        <w:spacing w:line="276" w:lineRule="auto"/>
        <w:ind w:left="567" w:firstLine="0"/>
        <w:rPr>
          <w:rFonts w:cs="Arial"/>
        </w:rPr>
      </w:pPr>
      <w:r w:rsidRPr="004433DB">
        <w:rPr>
          <w:rFonts w:cs="Arial"/>
        </w:rPr>
        <w:t>Subject of the Test Guidelines, Material Required and Method of Examination;</w:t>
      </w:r>
    </w:p>
    <w:p w:rsidR="004433DB" w:rsidRPr="004433DB" w:rsidRDefault="004433DB" w:rsidP="004433DB">
      <w:pPr>
        <w:numPr>
          <w:ilvl w:val="0"/>
          <w:numId w:val="12"/>
        </w:numPr>
        <w:tabs>
          <w:tab w:val="left" w:pos="1134"/>
        </w:tabs>
        <w:spacing w:line="276" w:lineRule="auto"/>
        <w:ind w:left="567" w:firstLine="0"/>
        <w:rPr>
          <w:rFonts w:cs="Arial"/>
        </w:rPr>
      </w:pPr>
      <w:r w:rsidRPr="004433DB">
        <w:rPr>
          <w:rFonts w:cs="Arial"/>
        </w:rPr>
        <w:t>Shape and Color Characteristics;</w:t>
      </w:r>
    </w:p>
    <w:p w:rsidR="004433DB" w:rsidRPr="004433DB" w:rsidRDefault="004433DB" w:rsidP="004433DB">
      <w:pPr>
        <w:numPr>
          <w:ilvl w:val="0"/>
          <w:numId w:val="12"/>
        </w:numPr>
        <w:tabs>
          <w:tab w:val="left" w:pos="1134"/>
        </w:tabs>
        <w:spacing w:line="276" w:lineRule="auto"/>
        <w:ind w:left="567" w:firstLine="0"/>
        <w:rPr>
          <w:rFonts w:cs="Arial"/>
        </w:rPr>
      </w:pPr>
      <w:r w:rsidRPr="004433DB">
        <w:rPr>
          <w:rFonts w:cs="Arial"/>
        </w:rPr>
        <w:t>Example Varieties;</w:t>
      </w:r>
    </w:p>
    <w:p w:rsidR="004433DB" w:rsidRPr="004433DB" w:rsidRDefault="004433DB" w:rsidP="004433DB">
      <w:pPr>
        <w:spacing w:line="276" w:lineRule="auto"/>
        <w:rPr>
          <w:rFonts w:cs="Arial"/>
        </w:rPr>
      </w:pPr>
      <w:r w:rsidRPr="004433DB">
        <w:rPr>
          <w:rFonts w:cs="Arial"/>
        </w:rPr>
        <w:t>Webinar 4:</w:t>
      </w:r>
    </w:p>
    <w:p w:rsidR="004433DB" w:rsidRPr="004433DB" w:rsidRDefault="004433DB" w:rsidP="004433DB">
      <w:pPr>
        <w:tabs>
          <w:tab w:val="left" w:pos="1134"/>
        </w:tabs>
        <w:spacing w:line="276" w:lineRule="auto"/>
        <w:ind w:left="567"/>
        <w:rPr>
          <w:rFonts w:cs="Arial"/>
          <w:snapToGrid w:val="0"/>
          <w:color w:val="000000"/>
        </w:rPr>
      </w:pPr>
      <w:r w:rsidRPr="004433DB">
        <w:rPr>
          <w:rFonts w:cs="Arial"/>
          <w:snapToGrid w:val="0"/>
          <w:color w:val="000000"/>
        </w:rPr>
        <w:t>The process for developing UPOV Test Guidelines:</w:t>
      </w:r>
    </w:p>
    <w:p w:rsidR="004433DB" w:rsidRPr="004433DB" w:rsidRDefault="004433DB" w:rsidP="004433DB">
      <w:pPr>
        <w:tabs>
          <w:tab w:val="left" w:pos="1134"/>
        </w:tabs>
        <w:spacing w:line="276" w:lineRule="auto"/>
        <w:ind w:left="567"/>
        <w:rPr>
          <w:rFonts w:cs="Arial"/>
        </w:rPr>
      </w:pPr>
      <w:r w:rsidRPr="004433DB">
        <w:rPr>
          <w:rFonts w:cs="Arial"/>
          <w:snapToGrid w:val="0"/>
          <w:color w:val="000000"/>
        </w:rPr>
        <w:t>(a)</w:t>
      </w:r>
      <w:r w:rsidRPr="004433DB">
        <w:rPr>
          <w:rFonts w:cs="Arial"/>
          <w:snapToGrid w:val="0"/>
          <w:color w:val="000000"/>
        </w:rPr>
        <w:tab/>
      </w:r>
      <w:r w:rsidRPr="004433DB">
        <w:rPr>
          <w:rFonts w:cs="Arial"/>
        </w:rPr>
        <w:t>Web-based</w:t>
      </w:r>
      <w:r w:rsidRPr="004433DB">
        <w:rPr>
          <w:rFonts w:cs="Arial"/>
          <w:snapToGrid w:val="0"/>
          <w:color w:val="000000"/>
        </w:rPr>
        <w:t xml:space="preserve"> T</w:t>
      </w:r>
      <w:r w:rsidRPr="004433DB">
        <w:rPr>
          <w:rFonts w:cs="Arial"/>
        </w:rPr>
        <w:t>G Template; Additional Standard Wording; and Guidance Notes;</w:t>
      </w:r>
    </w:p>
    <w:p w:rsidR="004433DB" w:rsidRPr="004433DB" w:rsidRDefault="004433DB" w:rsidP="004433DB">
      <w:pPr>
        <w:tabs>
          <w:tab w:val="left" w:pos="1134"/>
        </w:tabs>
        <w:spacing w:line="276" w:lineRule="auto"/>
        <w:ind w:left="567"/>
        <w:rPr>
          <w:rFonts w:cs="Arial"/>
        </w:rPr>
      </w:pPr>
      <w:r w:rsidRPr="004433DB">
        <w:rPr>
          <w:rFonts w:cs="Arial"/>
        </w:rPr>
        <w:t>(b)</w:t>
      </w:r>
      <w:r w:rsidRPr="004433DB">
        <w:rPr>
          <w:rFonts w:cs="Arial"/>
        </w:rPr>
        <w:tab/>
        <w:t>Role of the leading expert drafting Test Guidelines and how to participate as an interested expert</w:t>
      </w:r>
    </w:p>
    <w:p w:rsidR="004433DB" w:rsidRPr="004433DB" w:rsidRDefault="004433DB" w:rsidP="004433DB">
      <w:pPr>
        <w:tabs>
          <w:tab w:val="left" w:pos="567"/>
        </w:tabs>
        <w:spacing w:line="276" w:lineRule="auto"/>
        <w:rPr>
          <w:rFonts w:cs="Arial"/>
        </w:rPr>
      </w:pPr>
      <w:r w:rsidRPr="004433DB">
        <w:rPr>
          <w:rFonts w:cs="Arial"/>
        </w:rPr>
        <w:t>Webinar 5:</w:t>
      </w:r>
    </w:p>
    <w:p w:rsidR="004433DB" w:rsidRPr="004433DB" w:rsidRDefault="004433DB" w:rsidP="004433DB">
      <w:pPr>
        <w:keepNext/>
        <w:keepLines/>
        <w:spacing w:line="276" w:lineRule="auto"/>
        <w:ind w:firstLine="567"/>
        <w:rPr>
          <w:rFonts w:cs="Arial"/>
        </w:rPr>
      </w:pPr>
      <w:r w:rsidRPr="004433DB">
        <w:rPr>
          <w:rFonts w:cs="Arial"/>
        </w:rPr>
        <w:t>UPOV online resources</w:t>
      </w:r>
    </w:p>
    <w:p w:rsidR="004433DB" w:rsidRPr="004433DB" w:rsidRDefault="004433DB" w:rsidP="004433DB">
      <w:pPr>
        <w:numPr>
          <w:ilvl w:val="2"/>
          <w:numId w:val="13"/>
        </w:numPr>
        <w:spacing w:line="276" w:lineRule="auto"/>
        <w:ind w:left="1134" w:hanging="567"/>
        <w:rPr>
          <w:rFonts w:cs="Arial"/>
        </w:rPr>
      </w:pPr>
      <w:r w:rsidRPr="004433DB">
        <w:rPr>
          <w:rFonts w:cs="Arial"/>
        </w:rPr>
        <w:t>UPOV member laws:  UPOV Lex</w:t>
      </w:r>
    </w:p>
    <w:p w:rsidR="004433DB" w:rsidRPr="004433DB" w:rsidRDefault="004433DB" w:rsidP="004433DB">
      <w:pPr>
        <w:numPr>
          <w:ilvl w:val="2"/>
          <w:numId w:val="13"/>
        </w:numPr>
        <w:spacing w:line="276" w:lineRule="auto"/>
        <w:ind w:left="1134" w:hanging="567"/>
        <w:rPr>
          <w:rFonts w:cs="Arial"/>
          <w:spacing w:val="-2"/>
        </w:rPr>
      </w:pPr>
      <w:r w:rsidRPr="004433DB">
        <w:rPr>
          <w:rFonts w:cs="Arial"/>
          <w:spacing w:val="-2"/>
        </w:rPr>
        <w:t>PBR Applications:  UPOV PRISMA PBR Application Tool</w:t>
      </w:r>
    </w:p>
    <w:p w:rsidR="004433DB" w:rsidRPr="004433DB" w:rsidRDefault="004433DB" w:rsidP="004433DB">
      <w:pPr>
        <w:numPr>
          <w:ilvl w:val="2"/>
          <w:numId w:val="13"/>
        </w:numPr>
        <w:spacing w:line="276" w:lineRule="auto"/>
        <w:ind w:left="1134" w:hanging="567"/>
        <w:rPr>
          <w:rFonts w:cs="Arial"/>
          <w:spacing w:val="-2"/>
          <w:lang w:val="fr-CH"/>
        </w:rPr>
      </w:pPr>
      <w:r w:rsidRPr="004433DB">
        <w:rPr>
          <w:rFonts w:cs="Arial"/>
          <w:spacing w:val="-2"/>
          <w:lang w:val="fr-CH"/>
        </w:rPr>
        <w:t xml:space="preserve">DUS </w:t>
      </w:r>
      <w:proofErr w:type="spellStart"/>
      <w:r w:rsidRPr="004433DB">
        <w:rPr>
          <w:rFonts w:cs="Arial"/>
          <w:spacing w:val="-2"/>
          <w:lang w:val="fr-CH"/>
        </w:rPr>
        <w:t>Examination</w:t>
      </w:r>
      <w:proofErr w:type="spellEnd"/>
      <w:r w:rsidRPr="004433DB">
        <w:rPr>
          <w:rFonts w:cs="Arial"/>
          <w:spacing w:val="-2"/>
          <w:lang w:val="fr-CH"/>
        </w:rPr>
        <w:t xml:space="preserve">:  GENIE </w:t>
      </w:r>
      <w:proofErr w:type="spellStart"/>
      <w:r w:rsidRPr="004433DB">
        <w:rPr>
          <w:rFonts w:cs="Arial"/>
          <w:spacing w:val="-2"/>
          <w:lang w:val="fr-CH"/>
        </w:rPr>
        <w:t>database</w:t>
      </w:r>
      <w:proofErr w:type="spellEnd"/>
      <w:r w:rsidRPr="004433DB">
        <w:rPr>
          <w:rFonts w:cs="Arial"/>
          <w:spacing w:val="-2"/>
          <w:lang w:val="fr-CH"/>
        </w:rPr>
        <w:t>, UPOV Code</w:t>
      </w:r>
    </w:p>
    <w:p w:rsidR="004433DB" w:rsidRPr="004433DB" w:rsidRDefault="004433DB" w:rsidP="004433DB">
      <w:pPr>
        <w:numPr>
          <w:ilvl w:val="2"/>
          <w:numId w:val="13"/>
        </w:numPr>
        <w:spacing w:line="276" w:lineRule="auto"/>
        <w:ind w:left="1134" w:hanging="567"/>
        <w:rPr>
          <w:rFonts w:cs="Arial"/>
          <w:spacing w:val="-2"/>
        </w:rPr>
      </w:pPr>
      <w:r w:rsidRPr="004433DB">
        <w:rPr>
          <w:rFonts w:cs="Arial"/>
          <w:spacing w:val="-2"/>
        </w:rPr>
        <w:t>Variety denomination/novelty:  PLUTO database</w:t>
      </w:r>
    </w:p>
    <w:p w:rsidR="004433DB" w:rsidRPr="004433DB" w:rsidRDefault="004433DB" w:rsidP="004433DB">
      <w:pPr>
        <w:spacing w:line="276" w:lineRule="auto"/>
        <w:rPr>
          <w:rFonts w:cs="Arial"/>
          <w:spacing w:val="-2"/>
        </w:rPr>
      </w:pPr>
      <w:r w:rsidRPr="004433DB">
        <w:rPr>
          <w:rFonts w:cs="Arial"/>
          <w:spacing w:val="-2"/>
        </w:rPr>
        <w:t>Webinar 6:</w:t>
      </w:r>
    </w:p>
    <w:p w:rsidR="004433DB" w:rsidRPr="004433DB" w:rsidRDefault="004433DB" w:rsidP="004433DB">
      <w:pPr>
        <w:numPr>
          <w:ilvl w:val="0"/>
          <w:numId w:val="14"/>
        </w:numPr>
        <w:ind w:left="1134" w:hanging="567"/>
        <w:contextualSpacing/>
      </w:pPr>
      <w:r w:rsidRPr="004433DB">
        <w:rPr>
          <w:rFonts w:cs="Arial"/>
        </w:rPr>
        <w:t>Situation in UPOV Concerning the Possible Use of Molecular Techniques in DUS Examination</w:t>
      </w:r>
    </w:p>
    <w:p w:rsidR="004433DB" w:rsidRPr="004433DB" w:rsidRDefault="004433DB" w:rsidP="004433DB">
      <w:pPr>
        <w:numPr>
          <w:ilvl w:val="0"/>
          <w:numId w:val="14"/>
        </w:numPr>
        <w:ind w:left="1134" w:hanging="567"/>
        <w:contextualSpacing/>
        <w:rPr>
          <w:rFonts w:cs="Arial"/>
        </w:rPr>
      </w:pPr>
      <w:r w:rsidRPr="004433DB">
        <w:rPr>
          <w:rFonts w:cs="Arial"/>
        </w:rPr>
        <w:t>The Concept of Essentially Derived Varieties</w:t>
      </w:r>
    </w:p>
    <w:p w:rsidR="004433DB" w:rsidRPr="004433DB" w:rsidRDefault="004433DB" w:rsidP="004433DB">
      <w:pPr>
        <w:numPr>
          <w:ilvl w:val="0"/>
          <w:numId w:val="14"/>
        </w:numPr>
        <w:ind w:left="1134" w:hanging="567"/>
        <w:contextualSpacing/>
        <w:rPr>
          <w:rFonts w:cs="Arial"/>
        </w:rPr>
      </w:pPr>
      <w:r w:rsidRPr="004433DB">
        <w:rPr>
          <w:rFonts w:cs="Arial"/>
        </w:rPr>
        <w:t>The Role of UPOV in Variety Identification</w:t>
      </w:r>
    </w:p>
    <w:p w:rsidR="004433DB" w:rsidRPr="004433DB" w:rsidRDefault="004433DB" w:rsidP="004433DB">
      <w:pPr>
        <w:rPr>
          <w:snapToGrid w:val="0"/>
        </w:rPr>
      </w:pPr>
    </w:p>
    <w:p w:rsidR="004433DB" w:rsidRPr="004433DB" w:rsidRDefault="004433DB" w:rsidP="004433DB">
      <w:pPr>
        <w:rPr>
          <w:snapToGrid w:val="0"/>
        </w:rPr>
      </w:pPr>
      <w:r w:rsidRPr="004433DB">
        <w:rPr>
          <w:snapToGrid w:val="0"/>
        </w:rPr>
        <w:fldChar w:fldCharType="begin"/>
      </w:r>
      <w:r w:rsidRPr="004433DB">
        <w:rPr>
          <w:snapToGrid w:val="0"/>
        </w:rPr>
        <w:instrText xml:space="preserve"> AUTONUM  </w:instrText>
      </w:r>
      <w:r w:rsidRPr="004433DB">
        <w:rPr>
          <w:snapToGrid w:val="0"/>
        </w:rPr>
        <w:fldChar w:fldCharType="end"/>
      </w:r>
      <w:r w:rsidRPr="004433DB">
        <w:rPr>
          <w:snapToGrid w:val="0"/>
        </w:rPr>
        <w:tab/>
        <w:t xml:space="preserve">The TC noted that the webinar presentations would be recorded and made available online, but not the discussions.  The TC noted that the Office of the Union would provide content for the webinars and invite experts from members to act as panelists for discussions and to provide practical examples.  </w:t>
      </w:r>
    </w:p>
    <w:p w:rsidR="004433DB" w:rsidRPr="004433DB" w:rsidRDefault="004433DB" w:rsidP="004433DB">
      <w:pPr>
        <w:rPr>
          <w:snapToGrid w:val="0"/>
        </w:rPr>
      </w:pPr>
    </w:p>
    <w:p w:rsidR="004433DB" w:rsidRPr="004433DB" w:rsidRDefault="004433DB" w:rsidP="004433DB">
      <w:pPr>
        <w:rPr>
          <w:snapToGrid w:val="0"/>
        </w:rPr>
      </w:pPr>
      <w:r w:rsidRPr="004433DB">
        <w:rPr>
          <w:snapToGrid w:val="0"/>
        </w:rPr>
        <w:lastRenderedPageBreak/>
        <w:fldChar w:fldCharType="begin"/>
      </w:r>
      <w:r w:rsidRPr="004433DB">
        <w:rPr>
          <w:snapToGrid w:val="0"/>
        </w:rPr>
        <w:instrText xml:space="preserve"> AUTONUM  </w:instrText>
      </w:r>
      <w:r w:rsidRPr="004433DB">
        <w:rPr>
          <w:snapToGrid w:val="0"/>
        </w:rPr>
        <w:fldChar w:fldCharType="end"/>
      </w:r>
      <w:r w:rsidRPr="004433DB">
        <w:rPr>
          <w:snapToGrid w:val="0"/>
        </w:rPr>
        <w:tab/>
        <w:t xml:space="preserve">The TC noted that detailed arrangements concerning the webinars would be finalized by the Office of the Union in coordination with the chairpersons of the TC and </w:t>
      </w:r>
      <w:proofErr w:type="spellStart"/>
      <w:r w:rsidRPr="004433DB">
        <w:rPr>
          <w:snapToGrid w:val="0"/>
        </w:rPr>
        <w:t>TWPs.</w:t>
      </w:r>
      <w:proofErr w:type="spellEnd"/>
    </w:p>
    <w:p w:rsidR="004433DB" w:rsidRPr="004433DB" w:rsidRDefault="004433DB" w:rsidP="004433DB">
      <w:pPr>
        <w:rPr>
          <w:rFonts w:cs="Arial"/>
        </w:rPr>
      </w:pPr>
    </w:p>
    <w:p w:rsidR="004433DB" w:rsidRPr="004433DB" w:rsidRDefault="004433DB" w:rsidP="004433DB">
      <w:pPr>
        <w:rPr>
          <w:rFonts w:cs="Arial"/>
        </w:rPr>
      </w:pPr>
      <w:r w:rsidRPr="004433DB">
        <w:rPr>
          <w:rFonts w:cs="Arial"/>
        </w:rPr>
        <w:fldChar w:fldCharType="begin"/>
      </w:r>
      <w:r w:rsidRPr="004433DB">
        <w:rPr>
          <w:rFonts w:cs="Arial"/>
        </w:rPr>
        <w:instrText xml:space="preserve"> AUTONUM  </w:instrText>
      </w:r>
      <w:r w:rsidRPr="004433DB">
        <w:rPr>
          <w:rFonts w:cs="Arial"/>
        </w:rPr>
        <w:fldChar w:fldCharType="end"/>
      </w:r>
      <w:r w:rsidRPr="004433DB">
        <w:rPr>
          <w:rFonts w:cs="Arial"/>
        </w:rPr>
        <w:tab/>
        <w:t>The TC noted that, subject to a request by the hosts of the TWPs, workshops with physical participation could be organized in conjunction with the TWP sessions.  In such cases, the content would be adapted to the particular context.</w:t>
      </w:r>
    </w:p>
    <w:p w:rsidR="004433DB" w:rsidRDefault="004433DB" w:rsidP="004433DB"/>
    <w:p w:rsidR="005B6FE2" w:rsidRPr="004433DB" w:rsidRDefault="005B6FE2" w:rsidP="004433DB"/>
    <w:p w:rsidR="004433DB" w:rsidRPr="004433DB" w:rsidRDefault="004433DB" w:rsidP="004433DB">
      <w:pPr>
        <w:keepNext/>
        <w:outlineLvl w:val="0"/>
        <w:rPr>
          <w:i/>
          <w:caps/>
        </w:rPr>
      </w:pPr>
      <w:bookmarkStart w:id="4" w:name="_Toc524688361"/>
      <w:bookmarkStart w:id="5" w:name="_Toc74563368"/>
      <w:r w:rsidRPr="004433DB">
        <w:rPr>
          <w:caps/>
        </w:rPr>
        <w:t xml:space="preserve">Report on Preparatory Workshops in </w:t>
      </w:r>
      <w:bookmarkEnd w:id="4"/>
      <w:r w:rsidRPr="004433DB">
        <w:rPr>
          <w:caps/>
        </w:rPr>
        <w:t>2021</w:t>
      </w:r>
      <w:bookmarkEnd w:id="5"/>
    </w:p>
    <w:p w:rsidR="004433DB" w:rsidRPr="004433DB" w:rsidRDefault="004433DB" w:rsidP="004433DB">
      <w:pPr>
        <w:jc w:val="left"/>
        <w:rPr>
          <w:snapToGrid w:val="0"/>
        </w:rPr>
      </w:pPr>
    </w:p>
    <w:p w:rsidR="004433DB" w:rsidRPr="004433DB" w:rsidRDefault="004433DB" w:rsidP="00315605">
      <w:pPr>
        <w:pStyle w:val="Heading2"/>
      </w:pPr>
      <w:bookmarkStart w:id="6" w:name="_Toc74563369"/>
      <w:r w:rsidRPr="004433DB">
        <w:t>Preparatory webinars</w:t>
      </w:r>
      <w:bookmarkEnd w:id="6"/>
    </w:p>
    <w:p w:rsidR="004433DB" w:rsidRPr="004433DB" w:rsidRDefault="004433DB" w:rsidP="004433DB">
      <w:pPr>
        <w:jc w:val="left"/>
        <w:rPr>
          <w:snapToGrid w:val="0"/>
        </w:rPr>
      </w:pPr>
    </w:p>
    <w:p w:rsidR="004433DB" w:rsidRPr="004433DB" w:rsidRDefault="004433DB" w:rsidP="004433DB">
      <w:pPr>
        <w:rPr>
          <w:snapToGrid w:val="0"/>
        </w:rPr>
      </w:pPr>
      <w:r w:rsidRPr="004433DB">
        <w:rPr>
          <w:snapToGrid w:val="0"/>
        </w:rPr>
        <w:fldChar w:fldCharType="begin"/>
      </w:r>
      <w:r w:rsidRPr="004433DB">
        <w:rPr>
          <w:snapToGrid w:val="0"/>
        </w:rPr>
        <w:instrText xml:space="preserve"> AUTONUM  </w:instrText>
      </w:r>
      <w:r w:rsidRPr="004433DB">
        <w:rPr>
          <w:snapToGrid w:val="0"/>
        </w:rPr>
        <w:fldChar w:fldCharType="end"/>
      </w:r>
      <w:r w:rsidRPr="004433DB">
        <w:rPr>
          <w:snapToGrid w:val="0"/>
        </w:rPr>
        <w:tab/>
        <w:t xml:space="preserve">Four preparatory webinars were conducted from April 19 to 22, 2021.  The arrangements of the webinars were finalized by the Office of the Union in coordination with the chairpersons of the TC and </w:t>
      </w:r>
      <w:proofErr w:type="spellStart"/>
      <w:r w:rsidRPr="004433DB">
        <w:rPr>
          <w:snapToGrid w:val="0"/>
        </w:rPr>
        <w:t>TWPs.</w:t>
      </w:r>
      <w:proofErr w:type="spellEnd"/>
      <w:r w:rsidRPr="004433DB">
        <w:rPr>
          <w:snapToGrid w:val="0"/>
        </w:rPr>
        <w:t xml:space="preserve">  </w:t>
      </w:r>
    </w:p>
    <w:p w:rsidR="004433DB" w:rsidRPr="004433DB" w:rsidRDefault="004433DB" w:rsidP="004433DB">
      <w:pPr>
        <w:rPr>
          <w:snapToGrid w:val="0"/>
        </w:rPr>
      </w:pPr>
    </w:p>
    <w:p w:rsidR="004433DB" w:rsidRPr="004433DB" w:rsidRDefault="004433DB" w:rsidP="004433DB">
      <w:pPr>
        <w:rPr>
          <w:snapToGrid w:val="0"/>
        </w:rPr>
      </w:pPr>
      <w:r w:rsidRPr="004433DB">
        <w:rPr>
          <w:snapToGrid w:val="0"/>
        </w:rPr>
        <w:fldChar w:fldCharType="begin"/>
      </w:r>
      <w:r w:rsidRPr="004433DB">
        <w:rPr>
          <w:snapToGrid w:val="0"/>
        </w:rPr>
        <w:instrText xml:space="preserve"> AUTONUM  </w:instrText>
      </w:r>
      <w:r w:rsidRPr="004433DB">
        <w:rPr>
          <w:snapToGrid w:val="0"/>
        </w:rPr>
        <w:fldChar w:fldCharType="end"/>
      </w:r>
      <w:r w:rsidRPr="004433DB">
        <w:rPr>
          <w:snapToGrid w:val="0"/>
        </w:rPr>
        <w:tab/>
        <w:t>The content of the webinars was as follows:</w:t>
      </w:r>
    </w:p>
    <w:p w:rsidR="004433DB" w:rsidRPr="004433DB" w:rsidRDefault="004433DB" w:rsidP="004433DB">
      <w:pPr>
        <w:rPr>
          <w:snapToGrid w:val="0"/>
        </w:rPr>
      </w:pPr>
    </w:p>
    <w:p w:rsidR="004433DB" w:rsidRPr="004433DB" w:rsidRDefault="004433DB" w:rsidP="004433DB">
      <w:pPr>
        <w:numPr>
          <w:ilvl w:val="0"/>
          <w:numId w:val="15"/>
        </w:numPr>
        <w:contextualSpacing/>
        <w:rPr>
          <w:rFonts w:cs="Arial"/>
          <w:color w:val="000000" w:themeColor="text1"/>
          <w:szCs w:val="18"/>
        </w:rPr>
      </w:pPr>
      <w:r w:rsidRPr="004433DB">
        <w:rPr>
          <w:rFonts w:cs="Arial"/>
          <w:color w:val="000000" w:themeColor="text1"/>
          <w:szCs w:val="18"/>
        </w:rPr>
        <w:t>Webinar 1:  How to organize DUS examination and international cooperation</w:t>
      </w:r>
    </w:p>
    <w:p w:rsidR="004433DB" w:rsidRPr="004433DB" w:rsidRDefault="004433DB" w:rsidP="004433DB">
      <w:pPr>
        <w:numPr>
          <w:ilvl w:val="0"/>
          <w:numId w:val="15"/>
        </w:numPr>
        <w:contextualSpacing/>
        <w:rPr>
          <w:rFonts w:cs="Arial"/>
          <w:color w:val="000000" w:themeColor="text1"/>
          <w:szCs w:val="18"/>
        </w:rPr>
      </w:pPr>
      <w:r w:rsidRPr="004433DB">
        <w:rPr>
          <w:rFonts w:cs="Arial"/>
          <w:color w:val="000000" w:themeColor="text1"/>
          <w:szCs w:val="18"/>
        </w:rPr>
        <w:t>Webinar 2:  International harmonization in DUS examination</w:t>
      </w:r>
    </w:p>
    <w:p w:rsidR="004433DB" w:rsidRPr="004433DB" w:rsidRDefault="004433DB" w:rsidP="004433DB">
      <w:pPr>
        <w:numPr>
          <w:ilvl w:val="0"/>
          <w:numId w:val="15"/>
        </w:numPr>
        <w:contextualSpacing/>
        <w:rPr>
          <w:rFonts w:cs="Arial"/>
          <w:color w:val="000000" w:themeColor="text1"/>
          <w:szCs w:val="18"/>
        </w:rPr>
      </w:pPr>
      <w:r w:rsidRPr="004433DB">
        <w:rPr>
          <w:rFonts w:cs="Arial"/>
          <w:color w:val="000000" w:themeColor="text1"/>
          <w:szCs w:val="18"/>
        </w:rPr>
        <w:t>Webinar 3:  Developing and using UPOV Test Guidelines</w:t>
      </w:r>
    </w:p>
    <w:p w:rsidR="004433DB" w:rsidRPr="004433DB" w:rsidRDefault="004433DB" w:rsidP="004433DB">
      <w:pPr>
        <w:numPr>
          <w:ilvl w:val="0"/>
          <w:numId w:val="15"/>
        </w:numPr>
        <w:contextualSpacing/>
        <w:rPr>
          <w:snapToGrid w:val="0"/>
          <w:sz w:val="22"/>
        </w:rPr>
      </w:pPr>
      <w:r w:rsidRPr="004433DB">
        <w:rPr>
          <w:rFonts w:cs="Arial"/>
          <w:color w:val="000000" w:themeColor="text1"/>
          <w:szCs w:val="18"/>
        </w:rPr>
        <w:t>Webinar 4:  Using molecular markers in DUS examination and the role of the BMT</w:t>
      </w:r>
    </w:p>
    <w:p w:rsidR="004433DB" w:rsidRPr="004433DB" w:rsidRDefault="004433DB" w:rsidP="004433DB">
      <w:pPr>
        <w:rPr>
          <w:snapToGrid w:val="0"/>
        </w:rPr>
      </w:pPr>
    </w:p>
    <w:p w:rsidR="004433DB" w:rsidRPr="004433DB" w:rsidRDefault="004433DB" w:rsidP="004433DB">
      <w:pPr>
        <w:rPr>
          <w:rFonts w:cs="Arial"/>
        </w:rPr>
      </w:pPr>
      <w:r w:rsidRPr="004433DB">
        <w:rPr>
          <w:rFonts w:cs="Arial"/>
        </w:rPr>
        <w:fldChar w:fldCharType="begin"/>
      </w:r>
      <w:r w:rsidRPr="004433DB">
        <w:rPr>
          <w:rFonts w:cs="Arial"/>
        </w:rPr>
        <w:instrText xml:space="preserve"> AUTONUM  </w:instrText>
      </w:r>
      <w:r w:rsidRPr="004433DB">
        <w:rPr>
          <w:rFonts w:cs="Arial"/>
        </w:rPr>
        <w:fldChar w:fldCharType="end"/>
      </w:r>
      <w:r w:rsidRPr="004433DB">
        <w:rPr>
          <w:rFonts w:cs="Arial"/>
        </w:rPr>
        <w:tab/>
        <w:t>Video recordings of the webinars, excluding the discussion sessions, are made available on the UPOV webpage (</w:t>
      </w:r>
      <w:hyperlink r:id="rId9" w:history="1">
        <w:r w:rsidRPr="004433DB">
          <w:rPr>
            <w:color w:val="0000FF"/>
            <w:u w:val="single"/>
          </w:rPr>
          <w:t>https://www.upov.int/meetings/en/webinar_videos.html</w:t>
        </w:r>
      </w:hyperlink>
      <w:r w:rsidRPr="004433DB">
        <w:rPr>
          <w:color w:val="0000FF"/>
          <w:u w:val="single"/>
        </w:rPr>
        <w:t>)</w:t>
      </w:r>
      <w:r w:rsidRPr="004433DB">
        <w:rPr>
          <w:rFonts w:cs="Arial"/>
        </w:rPr>
        <w:t xml:space="preserve"> for each TWP session in 2021 and on the UPOV </w:t>
      </w:r>
      <w:proofErr w:type="spellStart"/>
      <w:r w:rsidRPr="004433DB">
        <w:rPr>
          <w:rFonts w:cs="Arial"/>
        </w:rPr>
        <w:t>Youtube</w:t>
      </w:r>
      <w:proofErr w:type="spellEnd"/>
      <w:r w:rsidRPr="004433DB">
        <w:rPr>
          <w:rFonts w:cs="Arial"/>
        </w:rPr>
        <w:t xml:space="preserve"> channel (</w:t>
      </w:r>
      <w:hyperlink r:id="rId10" w:history="1">
        <w:r w:rsidRPr="004433DB">
          <w:rPr>
            <w:rFonts w:cs="Arial"/>
            <w:color w:val="0000FF"/>
            <w:u w:val="single"/>
          </w:rPr>
          <w:t>https://www.youtube.com/user/upov</w:t>
        </w:r>
      </w:hyperlink>
      <w:r w:rsidRPr="004433DB">
        <w:rPr>
          <w:rFonts w:cs="Arial"/>
        </w:rPr>
        <w:t xml:space="preserve">).  The UPOV </w:t>
      </w:r>
      <w:proofErr w:type="spellStart"/>
      <w:r w:rsidRPr="004433DB">
        <w:rPr>
          <w:rFonts w:cs="Arial"/>
        </w:rPr>
        <w:t>Youtube</w:t>
      </w:r>
      <w:proofErr w:type="spellEnd"/>
      <w:r w:rsidRPr="004433DB">
        <w:rPr>
          <w:rFonts w:cs="Arial"/>
        </w:rPr>
        <w:t xml:space="preserve"> channel provides the possibility to watch the videos with “closed caption” transcription and subtitles can be generated automatically in different languages.  </w:t>
      </w:r>
    </w:p>
    <w:p w:rsidR="004433DB" w:rsidRPr="004433DB" w:rsidRDefault="004433DB" w:rsidP="004433DB">
      <w:pPr>
        <w:rPr>
          <w:rFonts w:cs="Arial"/>
        </w:rPr>
      </w:pPr>
    </w:p>
    <w:p w:rsidR="004433DB" w:rsidRPr="004433DB" w:rsidRDefault="004433DB" w:rsidP="004433DB">
      <w:pPr>
        <w:rPr>
          <w:rFonts w:cs="Arial"/>
        </w:rPr>
      </w:pPr>
      <w:r w:rsidRPr="004433DB">
        <w:rPr>
          <w:rFonts w:cs="Arial"/>
        </w:rPr>
        <w:fldChar w:fldCharType="begin"/>
      </w:r>
      <w:r w:rsidRPr="004433DB">
        <w:rPr>
          <w:rFonts w:cs="Arial"/>
        </w:rPr>
        <w:instrText xml:space="preserve"> AUTONUM  </w:instrText>
      </w:r>
      <w:r w:rsidRPr="004433DB">
        <w:rPr>
          <w:rFonts w:cs="Arial"/>
        </w:rPr>
        <w:fldChar w:fldCharType="end"/>
      </w:r>
      <w:r w:rsidRPr="004433DB">
        <w:rPr>
          <w:rFonts w:cs="Arial"/>
        </w:rPr>
        <w:tab/>
        <w:t>The following number of views were registered to May 31, 2021:</w:t>
      </w:r>
    </w:p>
    <w:p w:rsidR="004433DB" w:rsidRPr="004433DB" w:rsidRDefault="004433DB" w:rsidP="004433DB">
      <w:pPr>
        <w:rPr>
          <w:rFonts w:cs="Arial"/>
        </w:rPr>
      </w:pPr>
    </w:p>
    <w:p w:rsidR="004433DB" w:rsidRPr="004433DB" w:rsidRDefault="004433DB" w:rsidP="004433DB">
      <w:pPr>
        <w:rPr>
          <w:rFonts w:cs="Arial"/>
        </w:rPr>
      </w:pPr>
      <w:r w:rsidRPr="004433DB">
        <w:rPr>
          <w:rFonts w:cs="Arial"/>
        </w:rPr>
        <w:t>UPOV TWP webpages:</w:t>
      </w:r>
    </w:p>
    <w:p w:rsidR="004433DB" w:rsidRPr="004433DB" w:rsidRDefault="004433DB" w:rsidP="004433DB">
      <w:pPr>
        <w:rPr>
          <w:rFonts w:cs="Arial"/>
        </w:rPr>
      </w:pPr>
    </w:p>
    <w:tbl>
      <w:tblPr>
        <w:tblW w:w="0" w:type="auto"/>
        <w:jc w:val="center"/>
        <w:tblCellMar>
          <w:left w:w="0" w:type="dxa"/>
          <w:right w:w="0" w:type="dxa"/>
        </w:tblCellMar>
        <w:tblLook w:val="04A0" w:firstRow="1" w:lastRow="0" w:firstColumn="1" w:lastColumn="0" w:noHBand="0" w:noVBand="1"/>
      </w:tblPr>
      <w:tblGrid>
        <w:gridCol w:w="2088"/>
        <w:gridCol w:w="1980"/>
      </w:tblGrid>
      <w:tr w:rsidR="004433DB" w:rsidRPr="004433DB" w:rsidTr="006C2363">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33DB" w:rsidRPr="004433DB" w:rsidRDefault="004433DB" w:rsidP="004433DB">
            <w:pPr>
              <w:jc w:val="center"/>
            </w:pPr>
            <w:proofErr w:type="spellStart"/>
            <w:r w:rsidRPr="004433DB">
              <w:t>Pageviews</w:t>
            </w:r>
            <w:proofErr w:type="spellEnd"/>
          </w:p>
          <w:p w:rsidR="004433DB" w:rsidRPr="004433DB" w:rsidRDefault="004433DB" w:rsidP="004433DB">
            <w:pPr>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 xml:space="preserve">Unique </w:t>
            </w:r>
            <w:proofErr w:type="spellStart"/>
            <w:r w:rsidRPr="004433DB">
              <w:t>pageviews</w:t>
            </w:r>
            <w:proofErr w:type="spellEnd"/>
          </w:p>
        </w:tc>
      </w:tr>
      <w:tr w:rsidR="004433DB" w:rsidRPr="004433DB" w:rsidTr="006C2363">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254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210</w:t>
            </w:r>
          </w:p>
        </w:tc>
      </w:tr>
    </w:tbl>
    <w:p w:rsidR="004433DB" w:rsidRPr="004433DB" w:rsidRDefault="004433DB" w:rsidP="004433DB">
      <w:pPr>
        <w:rPr>
          <w:rFonts w:cs="Arial"/>
        </w:rPr>
      </w:pPr>
    </w:p>
    <w:p w:rsidR="004433DB" w:rsidRPr="004433DB" w:rsidRDefault="004433DB" w:rsidP="004433DB">
      <w:r w:rsidRPr="004433DB">
        <w:t>UPOV YouTube channel:</w:t>
      </w:r>
    </w:p>
    <w:p w:rsidR="004433DB" w:rsidRPr="004433DB" w:rsidRDefault="004433DB" w:rsidP="004433DB"/>
    <w:tbl>
      <w:tblPr>
        <w:tblW w:w="0" w:type="auto"/>
        <w:jc w:val="center"/>
        <w:tblCellMar>
          <w:left w:w="0" w:type="dxa"/>
          <w:right w:w="0" w:type="dxa"/>
        </w:tblCellMar>
        <w:tblLook w:val="04A0" w:firstRow="1" w:lastRow="0" w:firstColumn="1" w:lastColumn="0" w:noHBand="0" w:noVBand="1"/>
      </w:tblPr>
      <w:tblGrid>
        <w:gridCol w:w="3285"/>
        <w:gridCol w:w="1863"/>
        <w:gridCol w:w="1890"/>
      </w:tblGrid>
      <w:tr w:rsidR="004433DB" w:rsidRPr="004433DB" w:rsidTr="006C2363">
        <w:trPr>
          <w:jc w:val="center"/>
        </w:trPr>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r w:rsidRPr="004433DB">
              <w:t>Webinar</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Total views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33DB" w:rsidRPr="004433DB" w:rsidRDefault="004433DB" w:rsidP="004433DB">
            <w:pPr>
              <w:jc w:val="center"/>
            </w:pPr>
            <w:r w:rsidRPr="004433DB">
              <w:t>Closed Caption/ Subtitles</w:t>
            </w:r>
          </w:p>
        </w:tc>
      </w:tr>
      <w:tr w:rsidR="004433DB" w:rsidRPr="004433DB" w:rsidTr="006C2363">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r w:rsidRPr="004433DB">
              <w:t>TWP Webinar 1</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178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59 (EN)</w:t>
            </w:r>
          </w:p>
        </w:tc>
      </w:tr>
      <w:tr w:rsidR="004433DB" w:rsidRPr="004433DB" w:rsidTr="006C2363">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r w:rsidRPr="004433DB">
              <w:t>TWP Webinar 2</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47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8 (EN)</w:t>
            </w:r>
          </w:p>
        </w:tc>
      </w:tr>
      <w:tr w:rsidR="004433DB" w:rsidRPr="004433DB" w:rsidTr="006C2363">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r w:rsidRPr="004433DB">
              <w:t>TWP Webinar 3</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25</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None</w:t>
            </w:r>
          </w:p>
        </w:tc>
      </w:tr>
      <w:tr w:rsidR="004433DB" w:rsidRPr="004433DB" w:rsidTr="006C2363">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r w:rsidRPr="004433DB">
              <w:t>TWP Webinar 4</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32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4433DB" w:rsidRPr="004433DB" w:rsidRDefault="004433DB" w:rsidP="004433DB">
            <w:pPr>
              <w:jc w:val="center"/>
            </w:pPr>
            <w:r w:rsidRPr="004433DB">
              <w:t>4 (EN)</w:t>
            </w:r>
          </w:p>
        </w:tc>
      </w:tr>
    </w:tbl>
    <w:p w:rsidR="004433DB" w:rsidRPr="004433DB" w:rsidRDefault="004433DB" w:rsidP="004433DB">
      <w:pPr>
        <w:rPr>
          <w:rFonts w:eastAsiaTheme="minorHAnsi" w:cs="Arial"/>
        </w:rPr>
      </w:pPr>
    </w:p>
    <w:p w:rsidR="004433DB" w:rsidRPr="004433DB" w:rsidRDefault="004433DB" w:rsidP="004433DB">
      <w:pPr>
        <w:rPr>
          <w:rFonts w:cs="Arial"/>
        </w:rPr>
      </w:pPr>
      <w:r w:rsidRPr="004433DB">
        <w:rPr>
          <w:rFonts w:eastAsiaTheme="minorHAnsi" w:cs="Arial"/>
        </w:rPr>
        <w:fldChar w:fldCharType="begin"/>
      </w:r>
      <w:r w:rsidRPr="004433DB">
        <w:rPr>
          <w:rFonts w:eastAsiaTheme="minorHAnsi" w:cs="Arial"/>
        </w:rPr>
        <w:instrText xml:space="preserve"> AUTONUM  </w:instrText>
      </w:r>
      <w:r w:rsidRPr="004433DB">
        <w:rPr>
          <w:rFonts w:eastAsiaTheme="minorHAnsi" w:cs="Arial"/>
        </w:rPr>
        <w:fldChar w:fldCharType="end"/>
      </w:r>
      <w:r w:rsidRPr="004433DB">
        <w:rPr>
          <w:rFonts w:eastAsiaTheme="minorHAnsi" w:cs="Arial"/>
        </w:rPr>
        <w:tab/>
        <w:t xml:space="preserve">The availability of the webinars is communicated via the UPOV TWP webpages and via social media. </w:t>
      </w:r>
    </w:p>
    <w:p w:rsidR="004433DB" w:rsidRPr="004433DB" w:rsidRDefault="004433DB" w:rsidP="004433DB"/>
    <w:p w:rsidR="004433DB" w:rsidRPr="004433DB" w:rsidRDefault="004433DB" w:rsidP="004433DB"/>
    <w:p w:rsidR="004433DB" w:rsidRPr="004433DB" w:rsidRDefault="004433DB" w:rsidP="004433DB">
      <w:pPr>
        <w:keepNext/>
        <w:keepLines/>
        <w:outlineLvl w:val="0"/>
        <w:rPr>
          <w:i/>
          <w:caps/>
        </w:rPr>
      </w:pPr>
      <w:bookmarkStart w:id="7" w:name="_Toc524688363"/>
      <w:bookmarkStart w:id="8" w:name="_Toc74563370"/>
      <w:r w:rsidRPr="004433DB">
        <w:rPr>
          <w:caps/>
        </w:rPr>
        <w:t>Program and format for Preparatory Work in 20</w:t>
      </w:r>
      <w:bookmarkEnd w:id="7"/>
      <w:r w:rsidRPr="004433DB">
        <w:rPr>
          <w:caps/>
        </w:rPr>
        <w:t>22</w:t>
      </w:r>
      <w:bookmarkEnd w:id="8"/>
    </w:p>
    <w:p w:rsidR="004433DB" w:rsidRPr="004433DB" w:rsidRDefault="004433DB" w:rsidP="004433DB">
      <w:pPr>
        <w:keepNext/>
        <w:keepLines/>
        <w:rPr>
          <w:snapToGrid w:val="0"/>
        </w:rPr>
      </w:pPr>
    </w:p>
    <w:p w:rsidR="004433DB" w:rsidRPr="004433DB" w:rsidRDefault="004433DB" w:rsidP="00315605">
      <w:pPr>
        <w:pStyle w:val="Heading2"/>
      </w:pPr>
      <w:bookmarkStart w:id="9" w:name="_Toc74563371"/>
      <w:r w:rsidRPr="004433DB">
        <w:t>Proposal:</w:t>
      </w:r>
      <w:bookmarkEnd w:id="9"/>
    </w:p>
    <w:p w:rsidR="004433DB" w:rsidRPr="004433DB" w:rsidRDefault="004433DB" w:rsidP="004433DB">
      <w:pPr>
        <w:keepNext/>
        <w:keepLines/>
        <w:rPr>
          <w:snapToGrid w:val="0"/>
        </w:rPr>
      </w:pPr>
    </w:p>
    <w:p w:rsidR="004433DB" w:rsidRPr="004433DB" w:rsidRDefault="004433DB" w:rsidP="004433DB">
      <w:pPr>
        <w:keepNext/>
        <w:keepLines/>
        <w:rPr>
          <w:snapToGrid w:val="0"/>
        </w:rPr>
      </w:pPr>
      <w:r w:rsidRPr="004433DB">
        <w:rPr>
          <w:snapToGrid w:val="0"/>
        </w:rPr>
        <w:fldChar w:fldCharType="begin"/>
      </w:r>
      <w:r w:rsidRPr="004433DB">
        <w:rPr>
          <w:snapToGrid w:val="0"/>
        </w:rPr>
        <w:instrText xml:space="preserve"> AUTONUM  </w:instrText>
      </w:r>
      <w:r w:rsidRPr="004433DB">
        <w:rPr>
          <w:snapToGrid w:val="0"/>
        </w:rPr>
        <w:fldChar w:fldCharType="end"/>
      </w:r>
      <w:r w:rsidRPr="004433DB">
        <w:rPr>
          <w:snapToGrid w:val="0"/>
        </w:rPr>
        <w:tab/>
        <w:t xml:space="preserve">It is proposed that the preparatory workshops in 2022 are organized as webinars at suitable dates according to the schedule of TWP sessions.  The webinar presentations and panel discussions would be recorded and made available online.  The session on questions and answers would not be recorded and/or made available online. </w:t>
      </w:r>
    </w:p>
    <w:p w:rsidR="004433DB" w:rsidRPr="004433DB" w:rsidRDefault="004433DB" w:rsidP="004433DB">
      <w:pPr>
        <w:rPr>
          <w:snapToGrid w:val="0"/>
        </w:rPr>
      </w:pPr>
    </w:p>
    <w:p w:rsidR="004433DB" w:rsidRPr="004433DB" w:rsidRDefault="004433DB" w:rsidP="004433DB">
      <w:pPr>
        <w:rPr>
          <w:snapToGrid w:val="0"/>
        </w:rPr>
      </w:pPr>
      <w:r w:rsidRPr="004433DB">
        <w:rPr>
          <w:snapToGrid w:val="0"/>
        </w:rPr>
        <w:fldChar w:fldCharType="begin"/>
      </w:r>
      <w:r w:rsidRPr="004433DB">
        <w:rPr>
          <w:snapToGrid w:val="0"/>
        </w:rPr>
        <w:instrText xml:space="preserve"> AUTONUM  </w:instrText>
      </w:r>
      <w:r w:rsidRPr="004433DB">
        <w:rPr>
          <w:snapToGrid w:val="0"/>
        </w:rPr>
        <w:fldChar w:fldCharType="end"/>
      </w:r>
      <w:r w:rsidRPr="004433DB">
        <w:rPr>
          <w:snapToGrid w:val="0"/>
        </w:rPr>
        <w:tab/>
        <w:t xml:space="preserve">Experts from members would be invited to make presentations on selected contents and participate as panelists for discussions.  </w:t>
      </w:r>
    </w:p>
    <w:p w:rsidR="004433DB" w:rsidRPr="004433DB" w:rsidRDefault="004433DB" w:rsidP="004433DB">
      <w:pPr>
        <w:rPr>
          <w:snapToGrid w:val="0"/>
        </w:rPr>
      </w:pPr>
    </w:p>
    <w:p w:rsidR="004433DB" w:rsidRPr="004433DB" w:rsidRDefault="004433DB" w:rsidP="004433DB">
      <w:pPr>
        <w:rPr>
          <w:snapToGrid w:val="0"/>
        </w:rPr>
      </w:pPr>
      <w:r w:rsidRPr="004433DB">
        <w:rPr>
          <w:snapToGrid w:val="0"/>
        </w:rPr>
        <w:lastRenderedPageBreak/>
        <w:fldChar w:fldCharType="begin"/>
      </w:r>
      <w:r w:rsidRPr="004433DB">
        <w:rPr>
          <w:snapToGrid w:val="0"/>
        </w:rPr>
        <w:instrText xml:space="preserve"> AUTONUM  </w:instrText>
      </w:r>
      <w:r w:rsidRPr="004433DB">
        <w:rPr>
          <w:snapToGrid w:val="0"/>
        </w:rPr>
        <w:fldChar w:fldCharType="end"/>
      </w:r>
      <w:r w:rsidRPr="004433DB">
        <w:rPr>
          <w:snapToGrid w:val="0"/>
        </w:rPr>
        <w:tab/>
        <w:t xml:space="preserve">The detailed arrangements concerning the webinars would be finalized by the Office of the Union in coordination with the chairpersons of the TC and </w:t>
      </w:r>
      <w:proofErr w:type="spellStart"/>
      <w:r w:rsidRPr="004433DB">
        <w:rPr>
          <w:snapToGrid w:val="0"/>
        </w:rPr>
        <w:t>TWPs.</w:t>
      </w:r>
      <w:proofErr w:type="spellEnd"/>
    </w:p>
    <w:p w:rsidR="004433DB" w:rsidRPr="004433DB" w:rsidRDefault="004433DB" w:rsidP="004433DB">
      <w:pPr>
        <w:rPr>
          <w:rFonts w:cs="Arial"/>
        </w:rPr>
      </w:pPr>
    </w:p>
    <w:p w:rsidR="004433DB" w:rsidRPr="004433DB" w:rsidRDefault="004433DB" w:rsidP="004433DB">
      <w:pPr>
        <w:rPr>
          <w:rFonts w:cs="Arial"/>
        </w:rPr>
      </w:pPr>
      <w:r w:rsidRPr="004433DB">
        <w:fldChar w:fldCharType="begin"/>
      </w:r>
      <w:r w:rsidRPr="004433DB">
        <w:instrText xml:space="preserve"> AUTONUM  </w:instrText>
      </w:r>
      <w:r w:rsidRPr="004433DB">
        <w:fldChar w:fldCharType="end"/>
      </w:r>
      <w:r w:rsidRPr="004433DB">
        <w:tab/>
        <w:t xml:space="preserve">If </w:t>
      </w:r>
      <w:r w:rsidRPr="004433DB">
        <w:rPr>
          <w:rFonts w:cs="Arial"/>
        </w:rPr>
        <w:t>requested by the hosts of the TWPs, workshops with physical participation could be organized in conjunction with the TWP sessions.  In such cases, the content would be adapted to the particular context.</w:t>
      </w:r>
    </w:p>
    <w:p w:rsidR="004433DB" w:rsidRPr="004433DB" w:rsidRDefault="004433DB" w:rsidP="004433DB">
      <w:pPr>
        <w:rPr>
          <w:rFonts w:eastAsiaTheme="minorHAnsi" w:cs="Arial"/>
        </w:rPr>
      </w:pPr>
    </w:p>
    <w:p w:rsidR="004433DB" w:rsidRPr="004433DB" w:rsidRDefault="004433DB" w:rsidP="004433DB">
      <w:pPr>
        <w:keepNext/>
        <w:keepLines/>
        <w:tabs>
          <w:tab w:val="left" w:pos="5387"/>
          <w:tab w:val="left" w:pos="5954"/>
        </w:tabs>
        <w:ind w:left="4820"/>
        <w:rPr>
          <w:rFonts w:cs="Arial"/>
          <w:i/>
        </w:rPr>
      </w:pPr>
      <w:r w:rsidRPr="004433DB">
        <w:rPr>
          <w:rFonts w:cs="Arial"/>
        </w:rPr>
        <w:fldChar w:fldCharType="begin"/>
      </w:r>
      <w:r w:rsidRPr="004433DB">
        <w:rPr>
          <w:rFonts w:cs="Arial"/>
          <w:i/>
        </w:rPr>
        <w:instrText xml:space="preserve"> AUTONUM  </w:instrText>
      </w:r>
      <w:r w:rsidRPr="004433DB">
        <w:rPr>
          <w:rFonts w:cs="Arial"/>
        </w:rPr>
        <w:fldChar w:fldCharType="end"/>
      </w:r>
      <w:r w:rsidRPr="004433DB">
        <w:rPr>
          <w:rFonts w:cs="Arial"/>
          <w:i/>
        </w:rPr>
        <w:tab/>
        <w:t xml:space="preserve">The TC is invited to </w:t>
      </w:r>
      <w:r w:rsidRPr="004433DB">
        <w:rPr>
          <w:i/>
          <w:snapToGrid w:val="0"/>
        </w:rPr>
        <w:t xml:space="preserve">consider whether to organize preparatory workshops as a series of webinars, to be organized at suitable dates according to the schedule of TWP sessions in 2022, in conjunction with </w:t>
      </w:r>
      <w:r w:rsidRPr="004433DB">
        <w:rPr>
          <w:rFonts w:cs="Arial"/>
          <w:i/>
        </w:rPr>
        <w:t>workshops with physical participation,</w:t>
      </w:r>
      <w:r w:rsidRPr="004433DB">
        <w:rPr>
          <w:i/>
          <w:snapToGrid w:val="0"/>
        </w:rPr>
        <w:t xml:space="preserve"> where requested, as set out in paragraphs 20 to 21 of this document.</w:t>
      </w:r>
    </w:p>
    <w:p w:rsidR="004433DB" w:rsidRPr="004433DB" w:rsidRDefault="004433DB" w:rsidP="004433DB">
      <w:pPr>
        <w:jc w:val="left"/>
        <w:rPr>
          <w:snapToGrid w:val="0"/>
        </w:rPr>
      </w:pPr>
    </w:p>
    <w:p w:rsidR="004433DB" w:rsidRPr="004433DB" w:rsidRDefault="004433DB" w:rsidP="004433DB">
      <w:pPr>
        <w:jc w:val="left"/>
        <w:rPr>
          <w:snapToGrid w:val="0"/>
        </w:rPr>
      </w:pPr>
    </w:p>
    <w:p w:rsidR="004433DB" w:rsidRPr="004433DB" w:rsidRDefault="004433DB" w:rsidP="004433DB">
      <w:pPr>
        <w:jc w:val="left"/>
        <w:rPr>
          <w:snapToGrid w:val="0"/>
        </w:rPr>
      </w:pPr>
    </w:p>
    <w:p w:rsidR="004433DB" w:rsidRPr="004433DB" w:rsidRDefault="004433DB" w:rsidP="004433DB">
      <w:pPr>
        <w:jc w:val="right"/>
        <w:rPr>
          <w:snapToGrid w:val="0"/>
        </w:rPr>
      </w:pPr>
      <w:r w:rsidRPr="004433DB">
        <w:rPr>
          <w:snapToGrid w:val="0"/>
        </w:rPr>
        <w:t>[Annex follows]</w:t>
      </w:r>
    </w:p>
    <w:p w:rsidR="004433DB" w:rsidRPr="004433DB" w:rsidRDefault="004433DB" w:rsidP="004433DB">
      <w:pPr>
        <w:jc w:val="left"/>
        <w:rPr>
          <w:snapToGrid w:val="0"/>
        </w:rPr>
      </w:pPr>
    </w:p>
    <w:p w:rsidR="004433DB" w:rsidRPr="004433DB" w:rsidRDefault="004433DB" w:rsidP="004433DB">
      <w:pPr>
        <w:jc w:val="left"/>
        <w:rPr>
          <w:snapToGrid w:val="0"/>
        </w:rPr>
        <w:sectPr w:rsidR="004433DB" w:rsidRPr="004433DB" w:rsidSect="0004198B">
          <w:headerReference w:type="default" r:id="rId11"/>
          <w:headerReference w:type="first" r:id="rId12"/>
          <w:pgSz w:w="11907" w:h="16840" w:code="9"/>
          <w:pgMar w:top="510" w:right="1134" w:bottom="1134" w:left="1134" w:header="510" w:footer="680" w:gutter="0"/>
          <w:pgNumType w:start="1"/>
          <w:cols w:space="720"/>
          <w:titlePg/>
        </w:sectPr>
      </w:pPr>
    </w:p>
    <w:p w:rsidR="004433DB" w:rsidRPr="004433DB" w:rsidRDefault="004433DB" w:rsidP="004433DB">
      <w:pPr>
        <w:jc w:val="center"/>
        <w:outlineLvl w:val="0"/>
        <w:rPr>
          <w:rFonts w:cs="Arial"/>
          <w:caps/>
        </w:rPr>
      </w:pPr>
      <w:bookmarkStart w:id="10" w:name="_Toc74563372"/>
      <w:r w:rsidRPr="004433DB">
        <w:rPr>
          <w:rFonts w:cs="Arial"/>
          <w:caps/>
        </w:rPr>
        <w:lastRenderedPageBreak/>
        <w:t>pROGRAM OF THE PREPARATORY WEBINARS IN 2021</w:t>
      </w:r>
      <w:bookmarkEnd w:id="10"/>
    </w:p>
    <w:p w:rsidR="004433DB" w:rsidRPr="004433DB" w:rsidRDefault="004433DB" w:rsidP="004433DB">
      <w:pPr>
        <w:spacing w:line="276" w:lineRule="auto"/>
        <w:rPr>
          <w:rFonts w:cs="Arial"/>
          <w:sz w:val="16"/>
        </w:rPr>
      </w:pPr>
    </w:p>
    <w:p w:rsidR="004433DB" w:rsidRPr="004433DB" w:rsidRDefault="004433DB" w:rsidP="00372074">
      <w:pPr>
        <w:rPr>
          <w:rFonts w:cs="Arial"/>
        </w:rPr>
      </w:pPr>
      <w:r w:rsidRPr="004433DB">
        <w:rPr>
          <w:rFonts w:cs="Arial"/>
        </w:rPr>
        <w:t xml:space="preserve">The preparatory webinars held in 2021 were comprised of presentations, followed by a panel discussion and a session on questions and answers.  The following content was presented:  </w:t>
      </w:r>
      <w:bookmarkStart w:id="11" w:name="_GoBack"/>
      <w:bookmarkEnd w:id="11"/>
    </w:p>
    <w:p w:rsidR="004433DB" w:rsidRPr="004433DB" w:rsidRDefault="004433DB" w:rsidP="004433DB">
      <w:pPr>
        <w:spacing w:line="276" w:lineRule="auto"/>
        <w:rPr>
          <w:rFonts w:cs="Arial"/>
          <w:sz w:val="16"/>
        </w:rPr>
      </w:pPr>
    </w:p>
    <w:tbl>
      <w:tblPr>
        <w:tblStyle w:val="TableGrid"/>
        <w:tblW w:w="9918" w:type="dxa"/>
        <w:tblLook w:val="04A0" w:firstRow="1" w:lastRow="0" w:firstColumn="1" w:lastColumn="0" w:noHBand="0" w:noVBand="1"/>
      </w:tblPr>
      <w:tblGrid>
        <w:gridCol w:w="6658"/>
        <w:gridCol w:w="2506"/>
        <w:gridCol w:w="754"/>
      </w:tblGrid>
      <w:tr w:rsidR="004433DB" w:rsidRPr="004433DB" w:rsidTr="006C2363">
        <w:tc>
          <w:tcPr>
            <w:tcW w:w="6658"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April 19, 2021:  Webinar 1:  How to organize DUS examination and international cooperation</w:t>
            </w:r>
          </w:p>
          <w:p w:rsidR="004433DB" w:rsidRPr="004433DB" w:rsidRDefault="004433DB" w:rsidP="004433DB">
            <w:pPr>
              <w:spacing w:line="276" w:lineRule="auto"/>
              <w:jc w:val="left"/>
              <w:rPr>
                <w:color w:val="000000" w:themeColor="text1"/>
                <w:sz w:val="18"/>
                <w:szCs w:val="18"/>
              </w:rPr>
            </w:pPr>
          </w:p>
        </w:tc>
        <w:tc>
          <w:tcPr>
            <w:tcW w:w="2506"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Presenters / Panelists</w:t>
            </w:r>
          </w:p>
          <w:p w:rsidR="004433DB" w:rsidRPr="004433DB" w:rsidRDefault="004433DB" w:rsidP="004433DB">
            <w:pPr>
              <w:spacing w:line="276" w:lineRule="auto"/>
              <w:jc w:val="left"/>
              <w:rPr>
                <w:color w:val="000000" w:themeColor="text1"/>
                <w:sz w:val="18"/>
                <w:szCs w:val="18"/>
              </w:rPr>
            </w:pPr>
          </w:p>
        </w:tc>
        <w:tc>
          <w:tcPr>
            <w:tcW w:w="754" w:type="dxa"/>
          </w:tcPr>
          <w:p w:rsidR="004433DB" w:rsidRPr="004433DB" w:rsidRDefault="004433DB" w:rsidP="004433DB">
            <w:pPr>
              <w:spacing w:line="276" w:lineRule="auto"/>
              <w:rPr>
                <w:color w:val="000000" w:themeColor="text1"/>
                <w:sz w:val="18"/>
                <w:szCs w:val="18"/>
              </w:rPr>
            </w:pPr>
            <w:r w:rsidRPr="004433DB">
              <w:rPr>
                <w:color w:val="000000" w:themeColor="text1"/>
                <w:sz w:val="18"/>
                <w:szCs w:val="18"/>
              </w:rPr>
              <w:t>Time</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(a)</w:t>
            </w:r>
            <w:r w:rsidRPr="004433DB">
              <w:rPr>
                <w:sz w:val="18"/>
                <w:szCs w:val="18"/>
              </w:rPr>
              <w:tab/>
              <w:t>What are the possible testing arrangements</w:t>
            </w:r>
          </w:p>
        </w:tc>
        <w:tc>
          <w:tcPr>
            <w:tcW w:w="2506" w:type="dxa"/>
          </w:tcPr>
          <w:p w:rsidR="004433DB" w:rsidRPr="004433DB" w:rsidRDefault="004433DB" w:rsidP="004433DB">
            <w:pPr>
              <w:spacing w:line="276" w:lineRule="auto"/>
              <w:jc w:val="left"/>
              <w:rPr>
                <w:sz w:val="18"/>
                <w:szCs w:val="18"/>
              </w:rPr>
            </w:pPr>
            <w:r w:rsidRPr="004433DB">
              <w:rPr>
                <w:sz w:val="18"/>
                <w:szCs w:val="18"/>
              </w:rPr>
              <w:t xml:space="preserve">Ben </w:t>
            </w:r>
            <w:proofErr w:type="spellStart"/>
            <w:r w:rsidRPr="004433DB">
              <w:rPr>
                <w:sz w:val="18"/>
                <w:szCs w:val="18"/>
              </w:rPr>
              <w:t>Rivoire</w:t>
            </w:r>
            <w:proofErr w:type="spellEnd"/>
            <w:r w:rsidRPr="004433DB">
              <w:rPr>
                <w:sz w:val="18"/>
                <w:szCs w:val="18"/>
              </w:rPr>
              <w:t>, UPOV</w:t>
            </w:r>
          </w:p>
        </w:tc>
        <w:tc>
          <w:tcPr>
            <w:tcW w:w="754" w:type="dxa"/>
          </w:tcPr>
          <w:p w:rsidR="004433DB" w:rsidRPr="004433DB" w:rsidRDefault="004433DB" w:rsidP="004433DB">
            <w:pPr>
              <w:spacing w:line="276" w:lineRule="auto"/>
              <w:rPr>
                <w:sz w:val="18"/>
                <w:szCs w:val="18"/>
              </w:rPr>
            </w:pPr>
            <w:r w:rsidRPr="004433DB">
              <w:rPr>
                <w:sz w:val="18"/>
                <w:szCs w:val="18"/>
              </w:rPr>
              <w:t xml:space="preserve">12.00 </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(b)</w:t>
            </w:r>
            <w:r w:rsidRPr="004433DB">
              <w:rPr>
                <w:sz w:val="18"/>
                <w:szCs w:val="18"/>
              </w:rPr>
              <w:tab/>
              <w:t xml:space="preserve">How to cooperate with other UPOV members (document TGP/5) </w:t>
            </w:r>
          </w:p>
        </w:tc>
        <w:tc>
          <w:tcPr>
            <w:tcW w:w="2506" w:type="dxa"/>
          </w:tcPr>
          <w:p w:rsidR="004433DB" w:rsidRPr="004433DB" w:rsidRDefault="004433DB" w:rsidP="004433DB">
            <w:pPr>
              <w:spacing w:line="276" w:lineRule="auto"/>
              <w:jc w:val="left"/>
              <w:rPr>
                <w:sz w:val="18"/>
                <w:szCs w:val="18"/>
              </w:rPr>
            </w:pPr>
            <w:proofErr w:type="spellStart"/>
            <w:r w:rsidRPr="004433DB">
              <w:rPr>
                <w:sz w:val="18"/>
                <w:szCs w:val="18"/>
              </w:rPr>
              <w:t>Leontino</w:t>
            </w:r>
            <w:proofErr w:type="spellEnd"/>
            <w:r w:rsidRPr="004433DB">
              <w:rPr>
                <w:sz w:val="18"/>
                <w:szCs w:val="18"/>
              </w:rPr>
              <w:t xml:space="preserve"> </w:t>
            </w:r>
            <w:proofErr w:type="spellStart"/>
            <w:r w:rsidRPr="004433DB">
              <w:rPr>
                <w:sz w:val="18"/>
                <w:szCs w:val="18"/>
              </w:rPr>
              <w:t>Taveira</w:t>
            </w:r>
            <w:proofErr w:type="spellEnd"/>
            <w:r w:rsidRPr="004433DB">
              <w:rPr>
                <w:sz w:val="18"/>
                <w:szCs w:val="18"/>
              </w:rPr>
              <w:t>, UPOV</w:t>
            </w:r>
          </w:p>
        </w:tc>
        <w:tc>
          <w:tcPr>
            <w:tcW w:w="754" w:type="dxa"/>
          </w:tcPr>
          <w:p w:rsidR="004433DB" w:rsidRPr="004433DB" w:rsidRDefault="004433DB" w:rsidP="004433DB">
            <w:pPr>
              <w:spacing w:line="276" w:lineRule="auto"/>
              <w:rPr>
                <w:sz w:val="18"/>
                <w:szCs w:val="18"/>
              </w:rPr>
            </w:pPr>
            <w:r w:rsidRPr="004433DB">
              <w:rPr>
                <w:sz w:val="18"/>
                <w:szCs w:val="18"/>
              </w:rPr>
              <w:t xml:space="preserve">12.10 </w:t>
            </w:r>
          </w:p>
        </w:tc>
      </w:tr>
      <w:tr w:rsidR="004433DB" w:rsidRPr="004433DB" w:rsidTr="006C2363">
        <w:tc>
          <w:tcPr>
            <w:tcW w:w="6658" w:type="dxa"/>
          </w:tcPr>
          <w:p w:rsidR="004433DB" w:rsidRPr="004433DB" w:rsidRDefault="004433DB" w:rsidP="004433DB">
            <w:pPr>
              <w:spacing w:line="276" w:lineRule="auto"/>
              <w:ind w:left="332" w:hanging="332"/>
              <w:jc w:val="left"/>
              <w:rPr>
                <w:spacing w:val="-2"/>
                <w:sz w:val="18"/>
                <w:szCs w:val="18"/>
              </w:rPr>
            </w:pPr>
            <w:r w:rsidRPr="004433DB">
              <w:rPr>
                <w:sz w:val="18"/>
                <w:szCs w:val="18"/>
              </w:rPr>
              <w:t>(c)</w:t>
            </w:r>
            <w:r w:rsidRPr="004433DB">
              <w:rPr>
                <w:sz w:val="18"/>
                <w:szCs w:val="18"/>
              </w:rPr>
              <w:tab/>
            </w:r>
            <w:r w:rsidRPr="004433DB">
              <w:rPr>
                <w:spacing w:val="-2"/>
                <w:sz w:val="18"/>
                <w:szCs w:val="18"/>
              </w:rPr>
              <w:t xml:space="preserve">Using GENIE database to find practical experience / cooperation in DUS examination </w:t>
            </w:r>
          </w:p>
        </w:tc>
        <w:tc>
          <w:tcPr>
            <w:tcW w:w="2506" w:type="dxa"/>
          </w:tcPr>
          <w:p w:rsidR="004433DB" w:rsidRPr="004433DB" w:rsidRDefault="004433DB" w:rsidP="004433DB">
            <w:pPr>
              <w:spacing w:line="276" w:lineRule="auto"/>
              <w:jc w:val="left"/>
              <w:rPr>
                <w:sz w:val="18"/>
                <w:szCs w:val="18"/>
              </w:rPr>
            </w:pPr>
            <w:r w:rsidRPr="004433DB">
              <w:rPr>
                <w:sz w:val="18"/>
                <w:szCs w:val="18"/>
              </w:rPr>
              <w:t>Manabu Suzuki, UPOV</w:t>
            </w:r>
          </w:p>
        </w:tc>
        <w:tc>
          <w:tcPr>
            <w:tcW w:w="754" w:type="dxa"/>
          </w:tcPr>
          <w:p w:rsidR="004433DB" w:rsidRPr="004433DB" w:rsidRDefault="004433DB" w:rsidP="004433DB">
            <w:pPr>
              <w:spacing w:line="276" w:lineRule="auto"/>
              <w:rPr>
                <w:sz w:val="18"/>
                <w:szCs w:val="18"/>
              </w:rPr>
            </w:pPr>
            <w:r w:rsidRPr="004433DB">
              <w:rPr>
                <w:sz w:val="18"/>
                <w:szCs w:val="18"/>
              </w:rPr>
              <w:t xml:space="preserve">12.20 </w:t>
            </w:r>
          </w:p>
        </w:tc>
      </w:tr>
      <w:tr w:rsidR="004433DB" w:rsidRPr="004433DB" w:rsidTr="006C2363">
        <w:tc>
          <w:tcPr>
            <w:tcW w:w="6658" w:type="dxa"/>
            <w:vAlign w:val="center"/>
          </w:tcPr>
          <w:p w:rsidR="004433DB" w:rsidRPr="004433DB" w:rsidRDefault="004433DB" w:rsidP="004433DB">
            <w:pPr>
              <w:spacing w:line="276" w:lineRule="auto"/>
              <w:jc w:val="left"/>
              <w:rPr>
                <w:sz w:val="18"/>
                <w:szCs w:val="18"/>
              </w:rPr>
            </w:pPr>
            <w:r w:rsidRPr="004433DB">
              <w:rPr>
                <w:sz w:val="18"/>
                <w:szCs w:val="18"/>
              </w:rPr>
              <w:t>Panel discussion</w:t>
            </w:r>
          </w:p>
        </w:tc>
        <w:tc>
          <w:tcPr>
            <w:tcW w:w="2506" w:type="dxa"/>
          </w:tcPr>
          <w:p w:rsidR="004433DB" w:rsidRPr="004433DB" w:rsidRDefault="004433DB" w:rsidP="004433DB">
            <w:pPr>
              <w:spacing w:line="276" w:lineRule="auto"/>
              <w:jc w:val="left"/>
              <w:rPr>
                <w:sz w:val="18"/>
                <w:szCs w:val="18"/>
              </w:rPr>
            </w:pPr>
            <w:r w:rsidRPr="004433DB">
              <w:rPr>
                <w:sz w:val="18"/>
                <w:szCs w:val="18"/>
              </w:rPr>
              <w:t>Anthony Parker (CA);</w:t>
            </w:r>
          </w:p>
          <w:p w:rsidR="004433DB" w:rsidRPr="004433DB" w:rsidRDefault="004433DB" w:rsidP="004433DB">
            <w:pPr>
              <w:spacing w:line="276" w:lineRule="auto"/>
              <w:jc w:val="left"/>
              <w:rPr>
                <w:sz w:val="18"/>
                <w:szCs w:val="18"/>
              </w:rPr>
            </w:pPr>
            <w:r w:rsidRPr="004433DB">
              <w:rPr>
                <w:sz w:val="18"/>
                <w:szCs w:val="18"/>
              </w:rPr>
              <w:t>Manuela Brand (CH);</w:t>
            </w:r>
          </w:p>
          <w:p w:rsidR="004433DB" w:rsidRPr="004433DB" w:rsidRDefault="004433DB" w:rsidP="004433DB">
            <w:pPr>
              <w:spacing w:line="276" w:lineRule="auto"/>
              <w:jc w:val="left"/>
              <w:rPr>
                <w:sz w:val="18"/>
                <w:szCs w:val="18"/>
              </w:rPr>
            </w:pPr>
            <w:r w:rsidRPr="004433DB">
              <w:rPr>
                <w:sz w:val="18"/>
                <w:szCs w:val="18"/>
              </w:rPr>
              <w:t xml:space="preserve">Simon </w:t>
            </w:r>
            <w:proofErr w:type="spellStart"/>
            <w:r w:rsidRPr="004433DB">
              <w:rPr>
                <w:sz w:val="18"/>
                <w:szCs w:val="18"/>
              </w:rPr>
              <w:t>Maina</w:t>
            </w:r>
            <w:proofErr w:type="spellEnd"/>
            <w:r w:rsidRPr="004433DB">
              <w:rPr>
                <w:sz w:val="18"/>
                <w:szCs w:val="18"/>
              </w:rPr>
              <w:t xml:space="preserve"> (KE);</w:t>
            </w:r>
          </w:p>
          <w:p w:rsidR="004433DB" w:rsidRPr="004433DB" w:rsidRDefault="004433DB" w:rsidP="004433DB">
            <w:pPr>
              <w:spacing w:line="276" w:lineRule="auto"/>
              <w:jc w:val="left"/>
              <w:rPr>
                <w:sz w:val="18"/>
                <w:szCs w:val="18"/>
              </w:rPr>
            </w:pPr>
            <w:r w:rsidRPr="004433DB">
              <w:rPr>
                <w:sz w:val="18"/>
                <w:szCs w:val="18"/>
              </w:rPr>
              <w:t xml:space="preserve">Yoshiyuki </w:t>
            </w:r>
            <w:proofErr w:type="spellStart"/>
            <w:r w:rsidRPr="004433DB">
              <w:rPr>
                <w:sz w:val="18"/>
                <w:szCs w:val="18"/>
              </w:rPr>
              <w:t>Ohno</w:t>
            </w:r>
            <w:proofErr w:type="spellEnd"/>
            <w:r w:rsidRPr="004433DB">
              <w:rPr>
                <w:sz w:val="18"/>
                <w:szCs w:val="18"/>
              </w:rPr>
              <w:t xml:space="preserve"> (JP)</w:t>
            </w:r>
          </w:p>
        </w:tc>
        <w:tc>
          <w:tcPr>
            <w:tcW w:w="754" w:type="dxa"/>
          </w:tcPr>
          <w:p w:rsidR="004433DB" w:rsidRPr="004433DB" w:rsidRDefault="004433DB" w:rsidP="004433DB">
            <w:pPr>
              <w:spacing w:line="276" w:lineRule="auto"/>
              <w:rPr>
                <w:sz w:val="18"/>
                <w:szCs w:val="18"/>
              </w:rPr>
            </w:pPr>
            <w:r w:rsidRPr="004433DB">
              <w:rPr>
                <w:sz w:val="18"/>
                <w:szCs w:val="18"/>
              </w:rPr>
              <w:t xml:space="preserve">12.30 </w:t>
            </w:r>
          </w:p>
        </w:tc>
      </w:tr>
      <w:tr w:rsidR="004433DB" w:rsidRPr="004433DB" w:rsidTr="006C2363">
        <w:tc>
          <w:tcPr>
            <w:tcW w:w="6658" w:type="dxa"/>
          </w:tcPr>
          <w:p w:rsidR="004433DB" w:rsidRPr="004433DB" w:rsidRDefault="004433DB" w:rsidP="004433DB">
            <w:pPr>
              <w:spacing w:line="276" w:lineRule="auto"/>
              <w:jc w:val="left"/>
              <w:rPr>
                <w:sz w:val="18"/>
                <w:szCs w:val="18"/>
              </w:rPr>
            </w:pPr>
            <w:r w:rsidRPr="004433DB">
              <w:rPr>
                <w:sz w:val="18"/>
                <w:szCs w:val="18"/>
              </w:rPr>
              <w:t>Question and answer session</w:t>
            </w:r>
          </w:p>
        </w:tc>
        <w:tc>
          <w:tcPr>
            <w:tcW w:w="2506" w:type="dxa"/>
          </w:tcPr>
          <w:p w:rsidR="004433DB" w:rsidRPr="004433DB" w:rsidRDefault="004433DB" w:rsidP="004433DB">
            <w:pPr>
              <w:spacing w:line="276" w:lineRule="auto"/>
              <w:jc w:val="left"/>
              <w:rPr>
                <w:sz w:val="18"/>
                <w:szCs w:val="18"/>
              </w:rPr>
            </w:pPr>
          </w:p>
        </w:tc>
        <w:tc>
          <w:tcPr>
            <w:tcW w:w="754" w:type="dxa"/>
          </w:tcPr>
          <w:p w:rsidR="004433DB" w:rsidRPr="004433DB" w:rsidRDefault="004433DB" w:rsidP="004433DB">
            <w:pPr>
              <w:spacing w:line="276" w:lineRule="auto"/>
              <w:rPr>
                <w:sz w:val="18"/>
                <w:szCs w:val="18"/>
              </w:rPr>
            </w:pPr>
            <w:r w:rsidRPr="004433DB">
              <w:rPr>
                <w:sz w:val="18"/>
                <w:szCs w:val="18"/>
              </w:rPr>
              <w:t xml:space="preserve">13.00 </w:t>
            </w:r>
          </w:p>
        </w:tc>
      </w:tr>
    </w:tbl>
    <w:p w:rsidR="004433DB" w:rsidRPr="004433DB" w:rsidRDefault="004433DB" w:rsidP="004433DB">
      <w:pPr>
        <w:spacing w:line="276" w:lineRule="auto"/>
        <w:rPr>
          <w:rFonts w:cs="Arial"/>
          <w:sz w:val="18"/>
          <w:szCs w:val="18"/>
        </w:rPr>
      </w:pPr>
    </w:p>
    <w:tbl>
      <w:tblPr>
        <w:tblStyle w:val="TableGrid"/>
        <w:tblW w:w="9918" w:type="dxa"/>
        <w:tblLook w:val="04A0" w:firstRow="1" w:lastRow="0" w:firstColumn="1" w:lastColumn="0" w:noHBand="0" w:noVBand="1"/>
      </w:tblPr>
      <w:tblGrid>
        <w:gridCol w:w="6658"/>
        <w:gridCol w:w="2551"/>
        <w:gridCol w:w="709"/>
      </w:tblGrid>
      <w:tr w:rsidR="004433DB" w:rsidRPr="004433DB" w:rsidTr="006C2363">
        <w:tc>
          <w:tcPr>
            <w:tcW w:w="6658"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 xml:space="preserve">April 20, 2021:  Webinar 2:  International harmonization in DUS examination </w:t>
            </w:r>
          </w:p>
          <w:p w:rsidR="004433DB" w:rsidRPr="004433DB" w:rsidRDefault="004433DB" w:rsidP="004433DB">
            <w:pPr>
              <w:spacing w:line="276" w:lineRule="auto"/>
              <w:jc w:val="left"/>
              <w:rPr>
                <w:color w:val="000000" w:themeColor="text1"/>
                <w:sz w:val="18"/>
                <w:szCs w:val="18"/>
              </w:rPr>
            </w:pPr>
          </w:p>
        </w:tc>
        <w:tc>
          <w:tcPr>
            <w:tcW w:w="2551"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Presenters / Panelists</w:t>
            </w:r>
          </w:p>
          <w:p w:rsidR="004433DB" w:rsidRPr="004433DB" w:rsidRDefault="004433DB" w:rsidP="004433DB">
            <w:pPr>
              <w:spacing w:line="276" w:lineRule="auto"/>
              <w:jc w:val="left"/>
              <w:rPr>
                <w:color w:val="000000" w:themeColor="text1"/>
                <w:sz w:val="18"/>
                <w:szCs w:val="18"/>
              </w:rPr>
            </w:pPr>
          </w:p>
        </w:tc>
        <w:tc>
          <w:tcPr>
            <w:tcW w:w="709" w:type="dxa"/>
          </w:tcPr>
          <w:p w:rsidR="004433DB" w:rsidRPr="004433DB" w:rsidRDefault="004433DB" w:rsidP="004433DB">
            <w:pPr>
              <w:spacing w:line="276" w:lineRule="auto"/>
              <w:rPr>
                <w:color w:val="000000" w:themeColor="text1"/>
                <w:sz w:val="18"/>
                <w:szCs w:val="18"/>
              </w:rPr>
            </w:pPr>
            <w:r w:rsidRPr="004433DB">
              <w:rPr>
                <w:color w:val="000000" w:themeColor="text1"/>
                <w:sz w:val="18"/>
                <w:szCs w:val="18"/>
              </w:rPr>
              <w:t>Time</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(a)</w:t>
            </w:r>
            <w:r w:rsidRPr="004433DB">
              <w:rPr>
                <w:sz w:val="18"/>
                <w:szCs w:val="18"/>
              </w:rPr>
              <w:tab/>
              <w:t>The role of Technical Working Parties (TWPs) and Technical Committee (TC)</w:t>
            </w:r>
          </w:p>
        </w:tc>
        <w:tc>
          <w:tcPr>
            <w:tcW w:w="2551" w:type="dxa"/>
          </w:tcPr>
          <w:p w:rsidR="004433DB" w:rsidRPr="004433DB" w:rsidRDefault="004433DB" w:rsidP="004433DB">
            <w:pPr>
              <w:spacing w:line="276" w:lineRule="auto"/>
              <w:jc w:val="left"/>
              <w:rPr>
                <w:sz w:val="18"/>
                <w:szCs w:val="18"/>
              </w:rPr>
            </w:pPr>
            <w:proofErr w:type="spellStart"/>
            <w:r w:rsidRPr="004433DB">
              <w:rPr>
                <w:sz w:val="18"/>
                <w:szCs w:val="18"/>
              </w:rPr>
              <w:t>Leontino</w:t>
            </w:r>
            <w:proofErr w:type="spellEnd"/>
            <w:r w:rsidRPr="004433DB">
              <w:rPr>
                <w:sz w:val="18"/>
                <w:szCs w:val="18"/>
              </w:rPr>
              <w:t xml:space="preserve"> </w:t>
            </w:r>
            <w:proofErr w:type="spellStart"/>
            <w:r w:rsidRPr="004433DB">
              <w:rPr>
                <w:sz w:val="18"/>
                <w:szCs w:val="18"/>
              </w:rPr>
              <w:t>Taveira</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12.00 </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(b)</w:t>
            </w:r>
            <w:r w:rsidRPr="004433DB">
              <w:rPr>
                <w:sz w:val="18"/>
                <w:szCs w:val="18"/>
              </w:rPr>
              <w:tab/>
              <w:t>UPOV guidance on DUS examination (document TG/1/3, TGP documents and TGs)</w:t>
            </w:r>
          </w:p>
        </w:tc>
        <w:tc>
          <w:tcPr>
            <w:tcW w:w="2551" w:type="dxa"/>
          </w:tcPr>
          <w:p w:rsidR="004433DB" w:rsidRPr="004433DB" w:rsidRDefault="004433DB" w:rsidP="004433DB">
            <w:pPr>
              <w:spacing w:line="276" w:lineRule="auto"/>
              <w:jc w:val="left"/>
              <w:rPr>
                <w:sz w:val="18"/>
                <w:szCs w:val="18"/>
              </w:rPr>
            </w:pPr>
            <w:r w:rsidRPr="004433DB">
              <w:rPr>
                <w:sz w:val="18"/>
                <w:szCs w:val="18"/>
              </w:rPr>
              <w:t xml:space="preserve">Ben </w:t>
            </w:r>
            <w:proofErr w:type="spellStart"/>
            <w:r w:rsidRPr="004433DB">
              <w:rPr>
                <w:sz w:val="18"/>
                <w:szCs w:val="18"/>
              </w:rPr>
              <w:t>Rivoire</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12.10 </w:t>
            </w:r>
          </w:p>
        </w:tc>
      </w:tr>
      <w:tr w:rsidR="004433DB" w:rsidRPr="004433DB" w:rsidTr="006C2363">
        <w:tc>
          <w:tcPr>
            <w:tcW w:w="6658" w:type="dxa"/>
          </w:tcPr>
          <w:p w:rsidR="004433DB" w:rsidRPr="004433DB" w:rsidRDefault="004433DB" w:rsidP="004433DB">
            <w:pPr>
              <w:spacing w:line="276" w:lineRule="auto"/>
              <w:ind w:left="332" w:hanging="332"/>
              <w:jc w:val="left"/>
              <w:rPr>
                <w:spacing w:val="-2"/>
                <w:sz w:val="18"/>
                <w:szCs w:val="18"/>
              </w:rPr>
            </w:pPr>
            <w:r w:rsidRPr="004433DB">
              <w:rPr>
                <w:sz w:val="18"/>
                <w:szCs w:val="18"/>
              </w:rPr>
              <w:t>(c)</w:t>
            </w:r>
            <w:r w:rsidRPr="004433DB">
              <w:rPr>
                <w:sz w:val="18"/>
                <w:szCs w:val="18"/>
              </w:rPr>
              <w:tab/>
              <w:t>Harmonizing observations and decision-making (TGP documents)</w:t>
            </w:r>
          </w:p>
        </w:tc>
        <w:tc>
          <w:tcPr>
            <w:tcW w:w="2551" w:type="dxa"/>
          </w:tcPr>
          <w:p w:rsidR="004433DB" w:rsidRPr="004433DB" w:rsidRDefault="004433DB" w:rsidP="004433DB">
            <w:pPr>
              <w:spacing w:line="276" w:lineRule="auto"/>
              <w:jc w:val="left"/>
              <w:rPr>
                <w:sz w:val="18"/>
                <w:szCs w:val="18"/>
              </w:rPr>
            </w:pPr>
            <w:proofErr w:type="spellStart"/>
            <w:r w:rsidRPr="004433DB">
              <w:rPr>
                <w:sz w:val="18"/>
                <w:szCs w:val="18"/>
              </w:rPr>
              <w:t>Leontino</w:t>
            </w:r>
            <w:proofErr w:type="spellEnd"/>
            <w:r w:rsidRPr="004433DB">
              <w:rPr>
                <w:sz w:val="18"/>
                <w:szCs w:val="18"/>
              </w:rPr>
              <w:t xml:space="preserve"> </w:t>
            </w:r>
            <w:proofErr w:type="spellStart"/>
            <w:r w:rsidRPr="004433DB">
              <w:rPr>
                <w:sz w:val="18"/>
                <w:szCs w:val="18"/>
              </w:rPr>
              <w:t>Taveira</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12.20 </w:t>
            </w:r>
          </w:p>
        </w:tc>
      </w:tr>
      <w:tr w:rsidR="004433DB" w:rsidRPr="004433DB" w:rsidTr="006C2363">
        <w:tc>
          <w:tcPr>
            <w:tcW w:w="6658" w:type="dxa"/>
            <w:vAlign w:val="center"/>
          </w:tcPr>
          <w:p w:rsidR="004433DB" w:rsidRPr="004433DB" w:rsidRDefault="004433DB" w:rsidP="004433DB">
            <w:pPr>
              <w:spacing w:line="276" w:lineRule="auto"/>
              <w:jc w:val="left"/>
              <w:rPr>
                <w:sz w:val="18"/>
                <w:szCs w:val="18"/>
              </w:rPr>
            </w:pPr>
            <w:r w:rsidRPr="004433DB">
              <w:rPr>
                <w:sz w:val="18"/>
                <w:szCs w:val="18"/>
              </w:rPr>
              <w:t>Panel discussion</w:t>
            </w:r>
          </w:p>
        </w:tc>
        <w:tc>
          <w:tcPr>
            <w:tcW w:w="2551" w:type="dxa"/>
          </w:tcPr>
          <w:p w:rsidR="004433DB" w:rsidRPr="004433DB" w:rsidRDefault="004433DB" w:rsidP="004433DB">
            <w:pPr>
              <w:spacing w:line="276" w:lineRule="auto"/>
              <w:jc w:val="left"/>
              <w:rPr>
                <w:sz w:val="18"/>
                <w:szCs w:val="18"/>
              </w:rPr>
            </w:pPr>
            <w:r w:rsidRPr="004433DB">
              <w:rPr>
                <w:sz w:val="18"/>
                <w:szCs w:val="18"/>
              </w:rPr>
              <w:t xml:space="preserve">Nik </w:t>
            </w:r>
            <w:proofErr w:type="spellStart"/>
            <w:r w:rsidRPr="004433DB">
              <w:rPr>
                <w:sz w:val="18"/>
                <w:szCs w:val="18"/>
              </w:rPr>
              <w:t>Hulse</w:t>
            </w:r>
            <w:proofErr w:type="spellEnd"/>
            <w:r w:rsidRPr="004433DB">
              <w:rPr>
                <w:sz w:val="18"/>
                <w:szCs w:val="18"/>
              </w:rPr>
              <w:t xml:space="preserve"> (Chair/TC);</w:t>
            </w:r>
          </w:p>
          <w:p w:rsidR="004433DB" w:rsidRPr="004433DB" w:rsidRDefault="004433DB" w:rsidP="004433DB">
            <w:pPr>
              <w:spacing w:line="276" w:lineRule="auto"/>
              <w:jc w:val="left"/>
              <w:rPr>
                <w:sz w:val="18"/>
                <w:szCs w:val="18"/>
              </w:rPr>
            </w:pPr>
            <w:proofErr w:type="spellStart"/>
            <w:r w:rsidRPr="004433DB">
              <w:rPr>
                <w:sz w:val="18"/>
                <w:szCs w:val="18"/>
              </w:rPr>
              <w:t>Beate</w:t>
            </w:r>
            <w:proofErr w:type="spellEnd"/>
            <w:r w:rsidRPr="004433DB">
              <w:rPr>
                <w:sz w:val="18"/>
                <w:szCs w:val="18"/>
              </w:rPr>
              <w:t xml:space="preserve"> </w:t>
            </w:r>
            <w:proofErr w:type="spellStart"/>
            <w:r w:rsidRPr="004433DB">
              <w:rPr>
                <w:sz w:val="18"/>
                <w:szCs w:val="18"/>
              </w:rPr>
              <w:t>Ruecker</w:t>
            </w:r>
            <w:proofErr w:type="spellEnd"/>
            <w:r w:rsidRPr="004433DB">
              <w:rPr>
                <w:sz w:val="18"/>
                <w:szCs w:val="18"/>
              </w:rPr>
              <w:t xml:space="preserve"> (Chair/BMT/TWC)</w:t>
            </w:r>
          </w:p>
        </w:tc>
        <w:tc>
          <w:tcPr>
            <w:tcW w:w="709" w:type="dxa"/>
          </w:tcPr>
          <w:p w:rsidR="004433DB" w:rsidRPr="004433DB" w:rsidRDefault="004433DB" w:rsidP="004433DB">
            <w:pPr>
              <w:spacing w:line="276" w:lineRule="auto"/>
              <w:rPr>
                <w:sz w:val="18"/>
                <w:szCs w:val="18"/>
              </w:rPr>
            </w:pPr>
            <w:r w:rsidRPr="004433DB">
              <w:rPr>
                <w:sz w:val="18"/>
                <w:szCs w:val="18"/>
              </w:rPr>
              <w:t xml:space="preserve">12.30 </w:t>
            </w:r>
          </w:p>
        </w:tc>
      </w:tr>
      <w:tr w:rsidR="004433DB" w:rsidRPr="004433DB" w:rsidTr="006C2363">
        <w:tc>
          <w:tcPr>
            <w:tcW w:w="6658" w:type="dxa"/>
          </w:tcPr>
          <w:p w:rsidR="004433DB" w:rsidRPr="004433DB" w:rsidRDefault="004433DB" w:rsidP="004433DB">
            <w:pPr>
              <w:spacing w:line="276" w:lineRule="auto"/>
              <w:jc w:val="left"/>
              <w:rPr>
                <w:sz w:val="18"/>
                <w:szCs w:val="18"/>
              </w:rPr>
            </w:pPr>
            <w:r w:rsidRPr="004433DB">
              <w:rPr>
                <w:sz w:val="18"/>
                <w:szCs w:val="18"/>
              </w:rPr>
              <w:t>Question and answer session</w:t>
            </w:r>
          </w:p>
        </w:tc>
        <w:tc>
          <w:tcPr>
            <w:tcW w:w="2551" w:type="dxa"/>
          </w:tcPr>
          <w:p w:rsidR="004433DB" w:rsidRPr="004433DB" w:rsidRDefault="004433DB" w:rsidP="004433DB">
            <w:pPr>
              <w:spacing w:line="276" w:lineRule="auto"/>
              <w:jc w:val="left"/>
              <w:rPr>
                <w:sz w:val="18"/>
                <w:szCs w:val="18"/>
              </w:rPr>
            </w:pPr>
          </w:p>
        </w:tc>
        <w:tc>
          <w:tcPr>
            <w:tcW w:w="709" w:type="dxa"/>
          </w:tcPr>
          <w:p w:rsidR="004433DB" w:rsidRPr="004433DB" w:rsidRDefault="004433DB" w:rsidP="004433DB">
            <w:pPr>
              <w:spacing w:line="276" w:lineRule="auto"/>
              <w:rPr>
                <w:sz w:val="18"/>
                <w:szCs w:val="18"/>
              </w:rPr>
            </w:pPr>
            <w:r w:rsidRPr="004433DB">
              <w:rPr>
                <w:sz w:val="18"/>
                <w:szCs w:val="18"/>
              </w:rPr>
              <w:t xml:space="preserve">13.00 </w:t>
            </w:r>
          </w:p>
        </w:tc>
      </w:tr>
    </w:tbl>
    <w:p w:rsidR="004433DB" w:rsidRPr="004433DB" w:rsidRDefault="004433DB" w:rsidP="004433DB">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rPr>
      </w:pPr>
    </w:p>
    <w:tbl>
      <w:tblPr>
        <w:tblStyle w:val="TableGrid"/>
        <w:tblW w:w="9918" w:type="dxa"/>
        <w:tblLook w:val="04A0" w:firstRow="1" w:lastRow="0" w:firstColumn="1" w:lastColumn="0" w:noHBand="0" w:noVBand="1"/>
      </w:tblPr>
      <w:tblGrid>
        <w:gridCol w:w="6658"/>
        <w:gridCol w:w="2551"/>
        <w:gridCol w:w="709"/>
      </w:tblGrid>
      <w:tr w:rsidR="004433DB" w:rsidRPr="004433DB" w:rsidTr="006C2363">
        <w:trPr>
          <w:trHeight w:val="551"/>
        </w:trPr>
        <w:tc>
          <w:tcPr>
            <w:tcW w:w="6658"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April 21, 2021:  Webinar 3:  Developing and using UPOV Test Guidelines</w:t>
            </w:r>
          </w:p>
          <w:p w:rsidR="004433DB" w:rsidRPr="004433DB" w:rsidRDefault="004433DB" w:rsidP="004433DB">
            <w:pPr>
              <w:spacing w:line="276" w:lineRule="auto"/>
              <w:jc w:val="left"/>
              <w:rPr>
                <w:color w:val="000000" w:themeColor="text1"/>
                <w:sz w:val="18"/>
                <w:szCs w:val="18"/>
              </w:rPr>
            </w:pPr>
          </w:p>
        </w:tc>
        <w:tc>
          <w:tcPr>
            <w:tcW w:w="2551"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Presenters / Panelists</w:t>
            </w:r>
          </w:p>
          <w:p w:rsidR="004433DB" w:rsidRPr="004433DB" w:rsidRDefault="004433DB" w:rsidP="004433DB">
            <w:pPr>
              <w:spacing w:line="276" w:lineRule="auto"/>
              <w:jc w:val="left"/>
              <w:rPr>
                <w:color w:val="000000" w:themeColor="text1"/>
                <w:sz w:val="18"/>
                <w:szCs w:val="18"/>
              </w:rPr>
            </w:pPr>
          </w:p>
        </w:tc>
        <w:tc>
          <w:tcPr>
            <w:tcW w:w="709" w:type="dxa"/>
          </w:tcPr>
          <w:p w:rsidR="004433DB" w:rsidRPr="004433DB" w:rsidRDefault="004433DB" w:rsidP="004433DB">
            <w:pPr>
              <w:spacing w:line="276" w:lineRule="auto"/>
              <w:rPr>
                <w:color w:val="000000" w:themeColor="text1"/>
                <w:sz w:val="18"/>
                <w:szCs w:val="18"/>
              </w:rPr>
            </w:pPr>
            <w:r w:rsidRPr="004433DB">
              <w:rPr>
                <w:color w:val="000000" w:themeColor="text1"/>
                <w:sz w:val="18"/>
                <w:szCs w:val="18"/>
              </w:rPr>
              <w:t>Time</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(a)</w:t>
            </w:r>
            <w:r w:rsidRPr="004433DB">
              <w:rPr>
                <w:sz w:val="18"/>
                <w:szCs w:val="18"/>
              </w:rPr>
              <w:tab/>
              <w:t>How to participate in the development of Test Guidelines (Leading and Interested Experts)</w:t>
            </w:r>
          </w:p>
        </w:tc>
        <w:tc>
          <w:tcPr>
            <w:tcW w:w="2551" w:type="dxa"/>
          </w:tcPr>
          <w:p w:rsidR="004433DB" w:rsidRPr="004433DB" w:rsidRDefault="004433DB" w:rsidP="004433DB">
            <w:pPr>
              <w:spacing w:line="276" w:lineRule="auto"/>
              <w:jc w:val="left"/>
              <w:rPr>
                <w:sz w:val="18"/>
                <w:szCs w:val="18"/>
              </w:rPr>
            </w:pPr>
            <w:r w:rsidRPr="004433DB">
              <w:rPr>
                <w:sz w:val="18"/>
                <w:szCs w:val="18"/>
              </w:rPr>
              <w:t xml:space="preserve">Ben </w:t>
            </w:r>
            <w:proofErr w:type="spellStart"/>
            <w:r w:rsidRPr="004433DB">
              <w:rPr>
                <w:sz w:val="18"/>
                <w:szCs w:val="18"/>
              </w:rPr>
              <w:t>Rivoire</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12.00 </w:t>
            </w:r>
          </w:p>
        </w:tc>
      </w:tr>
      <w:tr w:rsidR="004433DB" w:rsidRPr="004433DB" w:rsidTr="006C2363">
        <w:tc>
          <w:tcPr>
            <w:tcW w:w="6658" w:type="dxa"/>
          </w:tcPr>
          <w:p w:rsidR="004433DB" w:rsidRPr="004433DB" w:rsidRDefault="004433DB" w:rsidP="004433DB">
            <w:pPr>
              <w:tabs>
                <w:tab w:val="left" w:pos="567"/>
                <w:tab w:val="left" w:pos="1134"/>
              </w:tabs>
              <w:spacing w:line="276" w:lineRule="auto"/>
              <w:ind w:left="332" w:hanging="332"/>
              <w:jc w:val="left"/>
              <w:rPr>
                <w:sz w:val="18"/>
                <w:szCs w:val="18"/>
              </w:rPr>
            </w:pPr>
            <w:r w:rsidRPr="004433DB">
              <w:rPr>
                <w:sz w:val="18"/>
                <w:szCs w:val="18"/>
              </w:rPr>
              <w:t>(b)</w:t>
            </w:r>
            <w:r w:rsidRPr="004433DB">
              <w:rPr>
                <w:sz w:val="18"/>
                <w:szCs w:val="18"/>
              </w:rPr>
              <w:tab/>
              <w:t>Elements of Test Guidelines: coverage, plant material, characteristics and explanations</w:t>
            </w:r>
          </w:p>
        </w:tc>
        <w:tc>
          <w:tcPr>
            <w:tcW w:w="2551" w:type="dxa"/>
          </w:tcPr>
          <w:p w:rsidR="004433DB" w:rsidRPr="004433DB" w:rsidRDefault="004433DB" w:rsidP="004433DB">
            <w:pPr>
              <w:spacing w:line="276" w:lineRule="auto"/>
              <w:jc w:val="left"/>
              <w:rPr>
                <w:sz w:val="18"/>
                <w:szCs w:val="18"/>
              </w:rPr>
            </w:pPr>
            <w:proofErr w:type="spellStart"/>
            <w:r w:rsidRPr="004433DB">
              <w:rPr>
                <w:sz w:val="18"/>
                <w:szCs w:val="18"/>
              </w:rPr>
              <w:t>Leontino</w:t>
            </w:r>
            <w:proofErr w:type="spellEnd"/>
            <w:r w:rsidRPr="004433DB">
              <w:rPr>
                <w:sz w:val="18"/>
                <w:szCs w:val="18"/>
              </w:rPr>
              <w:t xml:space="preserve"> </w:t>
            </w:r>
            <w:proofErr w:type="spellStart"/>
            <w:r w:rsidRPr="004433DB">
              <w:rPr>
                <w:sz w:val="18"/>
                <w:szCs w:val="18"/>
              </w:rPr>
              <w:t>Taveira</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12.10 </w:t>
            </w:r>
          </w:p>
        </w:tc>
      </w:tr>
      <w:tr w:rsidR="004433DB" w:rsidRPr="004433DB" w:rsidTr="006C2363">
        <w:tc>
          <w:tcPr>
            <w:tcW w:w="6658" w:type="dxa"/>
          </w:tcPr>
          <w:p w:rsidR="004433DB" w:rsidRPr="004433DB" w:rsidRDefault="004433DB" w:rsidP="004433DB">
            <w:pPr>
              <w:spacing w:line="276" w:lineRule="auto"/>
              <w:ind w:left="332" w:hanging="332"/>
              <w:jc w:val="left"/>
              <w:rPr>
                <w:spacing w:val="-2"/>
                <w:sz w:val="18"/>
                <w:szCs w:val="18"/>
              </w:rPr>
            </w:pPr>
            <w:r w:rsidRPr="004433DB">
              <w:rPr>
                <w:sz w:val="18"/>
                <w:szCs w:val="18"/>
              </w:rPr>
              <w:t>(c)</w:t>
            </w:r>
            <w:r w:rsidRPr="004433DB">
              <w:rPr>
                <w:sz w:val="18"/>
                <w:szCs w:val="18"/>
              </w:rPr>
              <w:tab/>
            </w:r>
            <w:r w:rsidRPr="004433DB">
              <w:rPr>
                <w:snapToGrid w:val="0"/>
                <w:color w:val="000000"/>
                <w:sz w:val="18"/>
                <w:szCs w:val="18"/>
              </w:rPr>
              <w:t xml:space="preserve">Using the online tool </w:t>
            </w:r>
            <w:r w:rsidRPr="004433DB">
              <w:rPr>
                <w:sz w:val="18"/>
                <w:szCs w:val="18"/>
              </w:rPr>
              <w:t xml:space="preserve">to develop and comment on draft Test Guidelines </w:t>
            </w:r>
            <w:r w:rsidRPr="004433DB">
              <w:rPr>
                <w:snapToGrid w:val="0"/>
                <w:color w:val="000000"/>
                <w:sz w:val="18"/>
                <w:szCs w:val="18"/>
              </w:rPr>
              <w:t>(</w:t>
            </w:r>
            <w:r w:rsidRPr="004433DB">
              <w:rPr>
                <w:sz w:val="18"/>
                <w:szCs w:val="18"/>
              </w:rPr>
              <w:t>Web-based</w:t>
            </w:r>
            <w:r w:rsidRPr="004433DB">
              <w:rPr>
                <w:snapToGrid w:val="0"/>
                <w:color w:val="000000"/>
                <w:sz w:val="18"/>
                <w:szCs w:val="18"/>
              </w:rPr>
              <w:t xml:space="preserve"> T</w:t>
            </w:r>
            <w:r w:rsidRPr="004433DB">
              <w:rPr>
                <w:sz w:val="18"/>
                <w:szCs w:val="18"/>
              </w:rPr>
              <w:t>G Template)</w:t>
            </w:r>
          </w:p>
        </w:tc>
        <w:tc>
          <w:tcPr>
            <w:tcW w:w="2551" w:type="dxa"/>
          </w:tcPr>
          <w:p w:rsidR="004433DB" w:rsidRPr="004433DB" w:rsidRDefault="004433DB" w:rsidP="004433DB">
            <w:pPr>
              <w:spacing w:line="276" w:lineRule="auto"/>
              <w:jc w:val="left"/>
              <w:rPr>
                <w:sz w:val="18"/>
                <w:szCs w:val="18"/>
              </w:rPr>
            </w:pPr>
            <w:proofErr w:type="spellStart"/>
            <w:r w:rsidRPr="004433DB">
              <w:rPr>
                <w:sz w:val="18"/>
                <w:szCs w:val="18"/>
              </w:rPr>
              <w:t>Romy</w:t>
            </w:r>
            <w:proofErr w:type="spellEnd"/>
            <w:r w:rsidRPr="004433DB">
              <w:rPr>
                <w:sz w:val="18"/>
                <w:szCs w:val="18"/>
              </w:rPr>
              <w:t xml:space="preserve"> </w:t>
            </w:r>
            <w:proofErr w:type="spellStart"/>
            <w:r w:rsidRPr="004433DB">
              <w:rPr>
                <w:sz w:val="18"/>
                <w:szCs w:val="18"/>
              </w:rPr>
              <w:t>Oertel</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12.20 </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(d)</w:t>
            </w:r>
            <w:r w:rsidRPr="004433DB">
              <w:rPr>
                <w:sz w:val="18"/>
                <w:szCs w:val="18"/>
              </w:rPr>
              <w:tab/>
              <w:t>Using varieties for reference and comparison (Example Varieties)</w:t>
            </w:r>
          </w:p>
        </w:tc>
        <w:tc>
          <w:tcPr>
            <w:tcW w:w="2551" w:type="dxa"/>
          </w:tcPr>
          <w:p w:rsidR="004433DB" w:rsidRPr="004433DB" w:rsidRDefault="004433DB" w:rsidP="004433DB">
            <w:pPr>
              <w:spacing w:line="276" w:lineRule="auto"/>
              <w:jc w:val="left"/>
              <w:rPr>
                <w:sz w:val="18"/>
                <w:szCs w:val="18"/>
              </w:rPr>
            </w:pPr>
            <w:r w:rsidRPr="004433DB">
              <w:rPr>
                <w:sz w:val="18"/>
                <w:szCs w:val="18"/>
              </w:rPr>
              <w:t xml:space="preserve">Ben </w:t>
            </w:r>
            <w:proofErr w:type="spellStart"/>
            <w:r w:rsidRPr="004433DB">
              <w:rPr>
                <w:sz w:val="18"/>
                <w:szCs w:val="18"/>
              </w:rPr>
              <w:t>Rivoire</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12.30</w:t>
            </w:r>
          </w:p>
        </w:tc>
      </w:tr>
      <w:tr w:rsidR="004433DB" w:rsidRPr="004433DB" w:rsidTr="006C2363">
        <w:tc>
          <w:tcPr>
            <w:tcW w:w="6658" w:type="dxa"/>
            <w:vAlign w:val="center"/>
          </w:tcPr>
          <w:p w:rsidR="004433DB" w:rsidRPr="004433DB" w:rsidRDefault="004433DB" w:rsidP="004433DB">
            <w:pPr>
              <w:spacing w:line="276" w:lineRule="auto"/>
              <w:jc w:val="left"/>
              <w:rPr>
                <w:sz w:val="18"/>
                <w:szCs w:val="18"/>
              </w:rPr>
            </w:pPr>
            <w:r w:rsidRPr="004433DB">
              <w:rPr>
                <w:sz w:val="18"/>
                <w:szCs w:val="18"/>
              </w:rPr>
              <w:t>Panel discussion</w:t>
            </w:r>
          </w:p>
        </w:tc>
        <w:tc>
          <w:tcPr>
            <w:tcW w:w="2551" w:type="dxa"/>
          </w:tcPr>
          <w:p w:rsidR="004433DB" w:rsidRPr="004433DB" w:rsidRDefault="004433DB" w:rsidP="004433DB">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sidRPr="004433DB">
              <w:rPr>
                <w:sz w:val="18"/>
                <w:szCs w:val="18"/>
              </w:rPr>
              <w:t xml:space="preserve">Ashley </w:t>
            </w:r>
            <w:proofErr w:type="spellStart"/>
            <w:r w:rsidRPr="004433DB">
              <w:rPr>
                <w:sz w:val="18"/>
                <w:szCs w:val="18"/>
              </w:rPr>
              <w:t>Balchin</w:t>
            </w:r>
            <w:proofErr w:type="spellEnd"/>
            <w:r w:rsidRPr="004433DB">
              <w:rPr>
                <w:sz w:val="18"/>
                <w:szCs w:val="18"/>
              </w:rPr>
              <w:t xml:space="preserve"> (Chair/TWO); Marian van </w:t>
            </w:r>
            <w:proofErr w:type="spellStart"/>
            <w:r w:rsidRPr="004433DB">
              <w:rPr>
                <w:sz w:val="18"/>
                <w:szCs w:val="18"/>
              </w:rPr>
              <w:t>Leeuwen</w:t>
            </w:r>
            <w:proofErr w:type="spellEnd"/>
            <w:r w:rsidRPr="004433DB">
              <w:rPr>
                <w:sz w:val="18"/>
                <w:szCs w:val="18"/>
              </w:rPr>
              <w:t xml:space="preserve"> (Chair/TWV); </w:t>
            </w:r>
            <w:r w:rsidRPr="004433DB">
              <w:rPr>
                <w:sz w:val="18"/>
                <w:szCs w:val="18"/>
              </w:rPr>
              <w:br/>
              <w:t xml:space="preserve">Renée </w:t>
            </w:r>
            <w:proofErr w:type="spellStart"/>
            <w:r w:rsidRPr="004433DB">
              <w:rPr>
                <w:sz w:val="18"/>
                <w:szCs w:val="18"/>
              </w:rPr>
              <w:t>Cloutier</w:t>
            </w:r>
            <w:proofErr w:type="spellEnd"/>
            <w:r w:rsidRPr="004433DB">
              <w:rPr>
                <w:sz w:val="18"/>
                <w:szCs w:val="18"/>
              </w:rPr>
              <w:t xml:space="preserve"> (Chair/TWA)</w:t>
            </w:r>
          </w:p>
        </w:tc>
        <w:tc>
          <w:tcPr>
            <w:tcW w:w="709" w:type="dxa"/>
          </w:tcPr>
          <w:p w:rsidR="004433DB" w:rsidRPr="004433DB" w:rsidRDefault="004433DB" w:rsidP="004433DB">
            <w:pPr>
              <w:spacing w:line="276" w:lineRule="auto"/>
              <w:rPr>
                <w:sz w:val="18"/>
                <w:szCs w:val="18"/>
              </w:rPr>
            </w:pPr>
            <w:r w:rsidRPr="004433DB">
              <w:rPr>
                <w:sz w:val="18"/>
                <w:szCs w:val="18"/>
              </w:rPr>
              <w:t xml:space="preserve">12.40 </w:t>
            </w:r>
          </w:p>
        </w:tc>
      </w:tr>
      <w:tr w:rsidR="004433DB" w:rsidRPr="004433DB" w:rsidTr="006C2363">
        <w:tc>
          <w:tcPr>
            <w:tcW w:w="6658" w:type="dxa"/>
          </w:tcPr>
          <w:p w:rsidR="004433DB" w:rsidRPr="004433DB" w:rsidRDefault="004433DB" w:rsidP="004433DB">
            <w:pPr>
              <w:spacing w:line="276" w:lineRule="auto"/>
              <w:jc w:val="left"/>
              <w:rPr>
                <w:sz w:val="18"/>
                <w:szCs w:val="18"/>
              </w:rPr>
            </w:pPr>
            <w:r w:rsidRPr="004433DB">
              <w:rPr>
                <w:sz w:val="18"/>
                <w:szCs w:val="18"/>
              </w:rPr>
              <w:t>Question and answer session</w:t>
            </w:r>
          </w:p>
        </w:tc>
        <w:tc>
          <w:tcPr>
            <w:tcW w:w="2551" w:type="dxa"/>
          </w:tcPr>
          <w:p w:rsidR="004433DB" w:rsidRPr="004433DB" w:rsidRDefault="004433DB" w:rsidP="004433DB">
            <w:pPr>
              <w:spacing w:line="276" w:lineRule="auto"/>
              <w:jc w:val="left"/>
              <w:rPr>
                <w:sz w:val="18"/>
                <w:szCs w:val="18"/>
              </w:rPr>
            </w:pPr>
          </w:p>
        </w:tc>
        <w:tc>
          <w:tcPr>
            <w:tcW w:w="709" w:type="dxa"/>
          </w:tcPr>
          <w:p w:rsidR="004433DB" w:rsidRPr="004433DB" w:rsidRDefault="004433DB" w:rsidP="004433DB">
            <w:pPr>
              <w:spacing w:line="276" w:lineRule="auto"/>
              <w:rPr>
                <w:sz w:val="18"/>
                <w:szCs w:val="18"/>
              </w:rPr>
            </w:pPr>
            <w:r w:rsidRPr="004433DB">
              <w:rPr>
                <w:sz w:val="18"/>
                <w:szCs w:val="18"/>
              </w:rPr>
              <w:t xml:space="preserve">13.10 </w:t>
            </w:r>
          </w:p>
        </w:tc>
      </w:tr>
    </w:tbl>
    <w:p w:rsidR="004433DB" w:rsidRPr="004433DB" w:rsidRDefault="004433DB" w:rsidP="004433DB">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u w:val="single"/>
        </w:rPr>
      </w:pPr>
    </w:p>
    <w:tbl>
      <w:tblPr>
        <w:tblStyle w:val="TableGrid"/>
        <w:tblW w:w="9918" w:type="dxa"/>
        <w:tblLook w:val="04A0" w:firstRow="1" w:lastRow="0" w:firstColumn="1" w:lastColumn="0" w:noHBand="0" w:noVBand="1"/>
      </w:tblPr>
      <w:tblGrid>
        <w:gridCol w:w="6658"/>
        <w:gridCol w:w="2551"/>
        <w:gridCol w:w="709"/>
      </w:tblGrid>
      <w:tr w:rsidR="004433DB" w:rsidRPr="004433DB" w:rsidTr="006C2363">
        <w:tc>
          <w:tcPr>
            <w:tcW w:w="6658"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April 22, 2021:  Webinar 4:  Using molecular markers in DUS examination and the role of the BMT</w:t>
            </w:r>
          </w:p>
          <w:p w:rsidR="004433DB" w:rsidRPr="004433DB" w:rsidRDefault="004433DB" w:rsidP="004433DB">
            <w:pPr>
              <w:spacing w:line="276" w:lineRule="auto"/>
              <w:jc w:val="left"/>
              <w:rPr>
                <w:color w:val="000000" w:themeColor="text1"/>
                <w:sz w:val="18"/>
                <w:szCs w:val="18"/>
              </w:rPr>
            </w:pPr>
          </w:p>
        </w:tc>
        <w:tc>
          <w:tcPr>
            <w:tcW w:w="2551" w:type="dxa"/>
          </w:tcPr>
          <w:p w:rsidR="004433DB" w:rsidRPr="004433DB" w:rsidRDefault="004433DB" w:rsidP="004433DB">
            <w:pPr>
              <w:spacing w:line="276" w:lineRule="auto"/>
              <w:jc w:val="left"/>
              <w:rPr>
                <w:color w:val="000000" w:themeColor="text1"/>
                <w:sz w:val="18"/>
                <w:szCs w:val="18"/>
              </w:rPr>
            </w:pPr>
            <w:r w:rsidRPr="004433DB">
              <w:rPr>
                <w:color w:val="000000" w:themeColor="text1"/>
                <w:sz w:val="18"/>
                <w:szCs w:val="18"/>
              </w:rPr>
              <w:t>Presenters / Panelists</w:t>
            </w:r>
          </w:p>
          <w:p w:rsidR="004433DB" w:rsidRPr="004433DB" w:rsidRDefault="004433DB" w:rsidP="004433DB">
            <w:pPr>
              <w:spacing w:line="276" w:lineRule="auto"/>
              <w:jc w:val="left"/>
              <w:rPr>
                <w:color w:val="000000" w:themeColor="text1"/>
                <w:sz w:val="18"/>
                <w:szCs w:val="18"/>
              </w:rPr>
            </w:pPr>
          </w:p>
        </w:tc>
        <w:tc>
          <w:tcPr>
            <w:tcW w:w="709" w:type="dxa"/>
          </w:tcPr>
          <w:p w:rsidR="004433DB" w:rsidRPr="004433DB" w:rsidRDefault="004433DB" w:rsidP="004433DB">
            <w:pPr>
              <w:spacing w:line="276" w:lineRule="auto"/>
              <w:rPr>
                <w:color w:val="000000" w:themeColor="text1"/>
                <w:sz w:val="18"/>
                <w:szCs w:val="18"/>
              </w:rPr>
            </w:pPr>
            <w:r w:rsidRPr="004433DB">
              <w:rPr>
                <w:color w:val="000000" w:themeColor="text1"/>
                <w:sz w:val="18"/>
                <w:szCs w:val="18"/>
              </w:rPr>
              <w:t>Time</w:t>
            </w:r>
          </w:p>
        </w:tc>
      </w:tr>
      <w:tr w:rsidR="004433DB" w:rsidRPr="004433DB" w:rsidTr="006C2363">
        <w:tc>
          <w:tcPr>
            <w:tcW w:w="6658" w:type="dxa"/>
          </w:tcPr>
          <w:p w:rsidR="004433DB" w:rsidRPr="004433DB" w:rsidRDefault="004433DB" w:rsidP="004433DB">
            <w:pPr>
              <w:spacing w:line="276" w:lineRule="auto"/>
              <w:ind w:left="332" w:hanging="332"/>
              <w:jc w:val="left"/>
              <w:rPr>
                <w:sz w:val="18"/>
                <w:szCs w:val="18"/>
              </w:rPr>
            </w:pPr>
            <w:r w:rsidRPr="004433DB">
              <w:rPr>
                <w:sz w:val="18"/>
                <w:szCs w:val="18"/>
              </w:rPr>
              <w:t>(a)</w:t>
            </w:r>
            <w:r w:rsidRPr="004433DB">
              <w:rPr>
                <w:sz w:val="18"/>
                <w:szCs w:val="18"/>
              </w:rPr>
              <w:tab/>
              <w:t>UPOV guidance on the use of molecular markers in DUS Examination</w:t>
            </w:r>
          </w:p>
        </w:tc>
        <w:tc>
          <w:tcPr>
            <w:tcW w:w="2551" w:type="dxa"/>
          </w:tcPr>
          <w:p w:rsidR="004433DB" w:rsidRPr="004433DB" w:rsidRDefault="004433DB" w:rsidP="004433DB">
            <w:pPr>
              <w:spacing w:line="276" w:lineRule="auto"/>
              <w:jc w:val="left"/>
              <w:rPr>
                <w:sz w:val="18"/>
                <w:szCs w:val="18"/>
              </w:rPr>
            </w:pPr>
            <w:proofErr w:type="spellStart"/>
            <w:r w:rsidRPr="004433DB">
              <w:rPr>
                <w:sz w:val="18"/>
                <w:szCs w:val="18"/>
              </w:rPr>
              <w:t>Leontino</w:t>
            </w:r>
            <w:proofErr w:type="spellEnd"/>
            <w:r w:rsidRPr="004433DB">
              <w:rPr>
                <w:sz w:val="18"/>
                <w:szCs w:val="18"/>
              </w:rPr>
              <w:t xml:space="preserve"> </w:t>
            </w:r>
            <w:proofErr w:type="spellStart"/>
            <w:r w:rsidRPr="004433DB">
              <w:rPr>
                <w:sz w:val="18"/>
                <w:szCs w:val="18"/>
              </w:rPr>
              <w:t>Taveira</w:t>
            </w:r>
            <w:proofErr w:type="spellEnd"/>
            <w:r w:rsidRPr="004433DB">
              <w:rPr>
                <w:sz w:val="18"/>
                <w:szCs w:val="18"/>
              </w:rPr>
              <w:t>, UPOV</w:t>
            </w:r>
          </w:p>
        </w:tc>
        <w:tc>
          <w:tcPr>
            <w:tcW w:w="709" w:type="dxa"/>
          </w:tcPr>
          <w:p w:rsidR="004433DB" w:rsidRPr="004433DB" w:rsidRDefault="004433DB" w:rsidP="004433DB">
            <w:pPr>
              <w:spacing w:line="276" w:lineRule="auto"/>
              <w:rPr>
                <w:sz w:val="18"/>
                <w:szCs w:val="18"/>
              </w:rPr>
            </w:pPr>
            <w:r w:rsidRPr="004433DB">
              <w:rPr>
                <w:sz w:val="18"/>
                <w:szCs w:val="18"/>
              </w:rPr>
              <w:t xml:space="preserve">12.00 </w:t>
            </w:r>
          </w:p>
        </w:tc>
      </w:tr>
      <w:tr w:rsidR="004433DB" w:rsidRPr="004433DB" w:rsidTr="006C2363">
        <w:tc>
          <w:tcPr>
            <w:tcW w:w="6658" w:type="dxa"/>
          </w:tcPr>
          <w:p w:rsidR="004433DB" w:rsidRPr="004433DB" w:rsidRDefault="004433DB" w:rsidP="004433DB">
            <w:pPr>
              <w:ind w:left="332" w:hanging="332"/>
              <w:rPr>
                <w:snapToGrid w:val="0"/>
                <w:sz w:val="18"/>
                <w:szCs w:val="18"/>
              </w:rPr>
            </w:pPr>
            <w:r w:rsidRPr="004433DB">
              <w:rPr>
                <w:sz w:val="18"/>
                <w:szCs w:val="18"/>
              </w:rPr>
              <w:t>(b)</w:t>
            </w:r>
            <w:r w:rsidRPr="004433DB">
              <w:rPr>
                <w:sz w:val="18"/>
                <w:szCs w:val="18"/>
              </w:rPr>
              <w:tab/>
              <w:t xml:space="preserve">The role of the </w:t>
            </w:r>
            <w:r w:rsidRPr="004433DB">
              <w:rPr>
                <w:snapToGrid w:val="0"/>
                <w:sz w:val="18"/>
                <w:szCs w:val="18"/>
              </w:rPr>
              <w:t xml:space="preserve">BMT </w:t>
            </w:r>
          </w:p>
        </w:tc>
        <w:tc>
          <w:tcPr>
            <w:tcW w:w="2551" w:type="dxa"/>
          </w:tcPr>
          <w:p w:rsidR="004433DB" w:rsidRPr="004433DB" w:rsidRDefault="004433DB" w:rsidP="004433DB">
            <w:pPr>
              <w:spacing w:line="276" w:lineRule="auto"/>
              <w:jc w:val="left"/>
              <w:rPr>
                <w:sz w:val="18"/>
                <w:szCs w:val="18"/>
              </w:rPr>
            </w:pPr>
            <w:r w:rsidRPr="004433DB">
              <w:rPr>
                <w:sz w:val="18"/>
                <w:szCs w:val="18"/>
              </w:rPr>
              <w:t>Manabu Suzuki, UPOV</w:t>
            </w:r>
          </w:p>
        </w:tc>
        <w:tc>
          <w:tcPr>
            <w:tcW w:w="709" w:type="dxa"/>
          </w:tcPr>
          <w:p w:rsidR="004433DB" w:rsidRPr="004433DB" w:rsidRDefault="004433DB" w:rsidP="004433DB">
            <w:pPr>
              <w:spacing w:line="276" w:lineRule="auto"/>
              <w:rPr>
                <w:sz w:val="18"/>
                <w:szCs w:val="18"/>
              </w:rPr>
            </w:pPr>
            <w:r w:rsidRPr="004433DB">
              <w:rPr>
                <w:sz w:val="18"/>
                <w:szCs w:val="18"/>
              </w:rPr>
              <w:t xml:space="preserve">12.15 </w:t>
            </w:r>
          </w:p>
        </w:tc>
      </w:tr>
      <w:tr w:rsidR="004433DB" w:rsidRPr="004433DB" w:rsidTr="006C2363">
        <w:tc>
          <w:tcPr>
            <w:tcW w:w="6658" w:type="dxa"/>
            <w:vAlign w:val="center"/>
          </w:tcPr>
          <w:p w:rsidR="004433DB" w:rsidRPr="004433DB" w:rsidRDefault="004433DB" w:rsidP="004433DB">
            <w:pPr>
              <w:spacing w:line="276" w:lineRule="auto"/>
              <w:jc w:val="left"/>
              <w:rPr>
                <w:sz w:val="18"/>
                <w:szCs w:val="18"/>
              </w:rPr>
            </w:pPr>
            <w:r w:rsidRPr="004433DB">
              <w:rPr>
                <w:sz w:val="18"/>
                <w:szCs w:val="18"/>
              </w:rPr>
              <w:t>Panel discussion</w:t>
            </w:r>
          </w:p>
        </w:tc>
        <w:tc>
          <w:tcPr>
            <w:tcW w:w="2551" w:type="dxa"/>
          </w:tcPr>
          <w:p w:rsidR="004433DB" w:rsidRPr="004433DB" w:rsidRDefault="004433DB" w:rsidP="004433DB">
            <w:pPr>
              <w:spacing w:line="276" w:lineRule="auto"/>
              <w:rPr>
                <w:sz w:val="18"/>
                <w:szCs w:val="18"/>
                <w:lang w:val="es-ES"/>
              </w:rPr>
            </w:pPr>
            <w:r w:rsidRPr="004433DB">
              <w:rPr>
                <w:sz w:val="18"/>
                <w:szCs w:val="18"/>
                <w:lang w:val="es-ES"/>
              </w:rPr>
              <w:t xml:space="preserve">Amanda van </w:t>
            </w:r>
            <w:proofErr w:type="spellStart"/>
            <w:r w:rsidRPr="004433DB">
              <w:rPr>
                <w:sz w:val="18"/>
                <w:szCs w:val="18"/>
                <w:lang w:val="es-ES"/>
              </w:rPr>
              <w:t>Dijk</w:t>
            </w:r>
            <w:proofErr w:type="spellEnd"/>
            <w:r w:rsidRPr="004433DB">
              <w:rPr>
                <w:sz w:val="18"/>
                <w:szCs w:val="18"/>
                <w:lang w:val="es-ES"/>
              </w:rPr>
              <w:t xml:space="preserve"> (NL);</w:t>
            </w:r>
          </w:p>
          <w:p w:rsidR="004433DB" w:rsidRPr="004433DB" w:rsidRDefault="004433DB" w:rsidP="004433DB">
            <w:pPr>
              <w:spacing w:line="276" w:lineRule="auto"/>
              <w:rPr>
                <w:rFonts w:eastAsia="Dotum"/>
                <w:sz w:val="18"/>
                <w:szCs w:val="18"/>
                <w:lang w:val="es-ES"/>
              </w:rPr>
            </w:pPr>
            <w:proofErr w:type="spellStart"/>
            <w:r w:rsidRPr="004433DB">
              <w:rPr>
                <w:rFonts w:eastAsia="Dotum"/>
                <w:sz w:val="18"/>
                <w:szCs w:val="18"/>
                <w:lang w:val="es-ES"/>
              </w:rPr>
              <w:t>Jin-Kee</w:t>
            </w:r>
            <w:proofErr w:type="spellEnd"/>
            <w:r w:rsidRPr="004433DB">
              <w:rPr>
                <w:rFonts w:eastAsia="Dotum"/>
                <w:sz w:val="18"/>
                <w:szCs w:val="18"/>
                <w:lang w:val="es-ES"/>
              </w:rPr>
              <w:t xml:space="preserve"> Jung (KR);</w:t>
            </w:r>
          </w:p>
          <w:p w:rsidR="004433DB" w:rsidRPr="004433DB" w:rsidRDefault="004433DB" w:rsidP="004433DB">
            <w:pPr>
              <w:spacing w:line="276" w:lineRule="auto"/>
              <w:rPr>
                <w:sz w:val="18"/>
                <w:szCs w:val="18"/>
              </w:rPr>
            </w:pPr>
            <w:r w:rsidRPr="004433DB">
              <w:rPr>
                <w:sz w:val="18"/>
                <w:szCs w:val="18"/>
              </w:rPr>
              <w:t xml:space="preserve">Mariano </w:t>
            </w:r>
            <w:proofErr w:type="spellStart"/>
            <w:r w:rsidRPr="004433DB">
              <w:rPr>
                <w:sz w:val="18"/>
                <w:szCs w:val="18"/>
              </w:rPr>
              <w:t>Mangeri</w:t>
            </w:r>
            <w:proofErr w:type="spellEnd"/>
            <w:r w:rsidRPr="004433DB">
              <w:rPr>
                <w:sz w:val="18"/>
                <w:szCs w:val="18"/>
              </w:rPr>
              <w:t xml:space="preserve"> (AR)</w:t>
            </w:r>
          </w:p>
        </w:tc>
        <w:tc>
          <w:tcPr>
            <w:tcW w:w="709" w:type="dxa"/>
          </w:tcPr>
          <w:p w:rsidR="004433DB" w:rsidRPr="004433DB" w:rsidRDefault="004433DB" w:rsidP="004433DB">
            <w:pPr>
              <w:spacing w:line="276" w:lineRule="auto"/>
              <w:rPr>
                <w:sz w:val="18"/>
                <w:szCs w:val="18"/>
              </w:rPr>
            </w:pPr>
            <w:r w:rsidRPr="004433DB">
              <w:rPr>
                <w:sz w:val="18"/>
                <w:szCs w:val="18"/>
              </w:rPr>
              <w:t xml:space="preserve">12.25 </w:t>
            </w:r>
          </w:p>
        </w:tc>
      </w:tr>
      <w:tr w:rsidR="004433DB" w:rsidRPr="004433DB" w:rsidTr="006C2363">
        <w:tc>
          <w:tcPr>
            <w:tcW w:w="6658" w:type="dxa"/>
          </w:tcPr>
          <w:p w:rsidR="004433DB" w:rsidRPr="004433DB" w:rsidRDefault="004433DB" w:rsidP="004433DB">
            <w:pPr>
              <w:spacing w:line="276" w:lineRule="auto"/>
              <w:jc w:val="left"/>
              <w:rPr>
                <w:sz w:val="18"/>
                <w:szCs w:val="18"/>
              </w:rPr>
            </w:pPr>
            <w:r w:rsidRPr="004433DB">
              <w:rPr>
                <w:sz w:val="18"/>
                <w:szCs w:val="18"/>
              </w:rPr>
              <w:t>Question and answer session</w:t>
            </w:r>
          </w:p>
        </w:tc>
        <w:tc>
          <w:tcPr>
            <w:tcW w:w="2551" w:type="dxa"/>
          </w:tcPr>
          <w:p w:rsidR="004433DB" w:rsidRPr="004433DB" w:rsidRDefault="004433DB" w:rsidP="004433DB">
            <w:pPr>
              <w:spacing w:line="276" w:lineRule="auto"/>
              <w:jc w:val="left"/>
              <w:rPr>
                <w:sz w:val="18"/>
                <w:szCs w:val="18"/>
              </w:rPr>
            </w:pPr>
          </w:p>
        </w:tc>
        <w:tc>
          <w:tcPr>
            <w:tcW w:w="709" w:type="dxa"/>
          </w:tcPr>
          <w:p w:rsidR="004433DB" w:rsidRPr="004433DB" w:rsidRDefault="004433DB" w:rsidP="004433DB">
            <w:pPr>
              <w:spacing w:line="276" w:lineRule="auto"/>
              <w:rPr>
                <w:sz w:val="18"/>
                <w:szCs w:val="18"/>
              </w:rPr>
            </w:pPr>
            <w:r w:rsidRPr="004433DB">
              <w:rPr>
                <w:sz w:val="18"/>
                <w:szCs w:val="18"/>
              </w:rPr>
              <w:t xml:space="preserve">13.00 </w:t>
            </w:r>
          </w:p>
        </w:tc>
      </w:tr>
    </w:tbl>
    <w:p w:rsidR="004433DB" w:rsidRPr="004433DB" w:rsidRDefault="004433DB" w:rsidP="004433DB">
      <w:pPr>
        <w:rPr>
          <w:rFonts w:cs="Arial"/>
        </w:rPr>
      </w:pPr>
    </w:p>
    <w:p w:rsidR="004433DB" w:rsidRPr="004433DB" w:rsidRDefault="004433DB" w:rsidP="004433DB">
      <w:pPr>
        <w:jc w:val="left"/>
        <w:rPr>
          <w:snapToGrid w:val="0"/>
        </w:rPr>
      </w:pPr>
    </w:p>
    <w:p w:rsidR="004433DB" w:rsidRPr="004433DB" w:rsidRDefault="004433DB" w:rsidP="004433DB">
      <w:pPr>
        <w:jc w:val="left"/>
        <w:rPr>
          <w:snapToGrid w:val="0"/>
        </w:rPr>
      </w:pPr>
    </w:p>
    <w:p w:rsidR="00050E16" w:rsidRPr="00C5280D" w:rsidRDefault="004433DB" w:rsidP="004433DB">
      <w:pPr>
        <w:jc w:val="right"/>
      </w:pPr>
      <w:r w:rsidRPr="004433DB">
        <w:rPr>
          <w:snapToGrid w:val="0"/>
        </w:rPr>
        <w:t>[End of Annex and of document]</w:t>
      </w:r>
    </w:p>
    <w:sectPr w:rsidR="00050E16" w:rsidRPr="00C5280D" w:rsidSect="0004198B">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1C" w:rsidRDefault="0096531C" w:rsidP="006655D3">
      <w:r>
        <w:separator/>
      </w:r>
    </w:p>
    <w:p w:rsidR="0096531C" w:rsidRDefault="0096531C" w:rsidP="006655D3"/>
    <w:p w:rsidR="0096531C" w:rsidRDefault="0096531C" w:rsidP="006655D3"/>
  </w:endnote>
  <w:endnote w:type="continuationSeparator" w:id="0">
    <w:p w:rsidR="0096531C" w:rsidRDefault="0096531C" w:rsidP="006655D3">
      <w:r>
        <w:separator/>
      </w:r>
    </w:p>
    <w:p w:rsidR="0096531C" w:rsidRPr="00294751" w:rsidRDefault="0096531C">
      <w:pPr>
        <w:pStyle w:val="Footer"/>
        <w:spacing w:after="60"/>
        <w:rPr>
          <w:sz w:val="18"/>
          <w:lang w:val="fr-FR"/>
        </w:rPr>
      </w:pPr>
      <w:r w:rsidRPr="00294751">
        <w:rPr>
          <w:sz w:val="18"/>
          <w:lang w:val="fr-FR"/>
        </w:rPr>
        <w:t>[Suite de la note de la page précédente]</w:t>
      </w:r>
    </w:p>
    <w:p w:rsidR="0096531C" w:rsidRPr="00294751" w:rsidRDefault="0096531C" w:rsidP="006655D3">
      <w:pPr>
        <w:rPr>
          <w:lang w:val="fr-FR"/>
        </w:rPr>
      </w:pPr>
    </w:p>
    <w:p w:rsidR="0096531C" w:rsidRPr="00294751" w:rsidRDefault="0096531C" w:rsidP="006655D3">
      <w:pPr>
        <w:rPr>
          <w:lang w:val="fr-FR"/>
        </w:rPr>
      </w:pPr>
    </w:p>
  </w:endnote>
  <w:endnote w:type="continuationNotice" w:id="1">
    <w:p w:rsidR="0096531C" w:rsidRPr="00294751" w:rsidRDefault="0096531C" w:rsidP="006655D3">
      <w:pPr>
        <w:rPr>
          <w:lang w:val="fr-FR"/>
        </w:rPr>
      </w:pPr>
      <w:r w:rsidRPr="00294751">
        <w:rPr>
          <w:lang w:val="fr-FR"/>
        </w:rPr>
        <w:t>[Suite de la note page suivante]</w:t>
      </w:r>
    </w:p>
    <w:p w:rsidR="0096531C" w:rsidRPr="00294751" w:rsidRDefault="0096531C" w:rsidP="006655D3">
      <w:pPr>
        <w:rPr>
          <w:lang w:val="fr-FR"/>
        </w:rPr>
      </w:pPr>
    </w:p>
    <w:p w:rsidR="0096531C" w:rsidRPr="00294751" w:rsidRDefault="009653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1C" w:rsidRDefault="0096531C" w:rsidP="006655D3">
      <w:r>
        <w:separator/>
      </w:r>
    </w:p>
  </w:footnote>
  <w:footnote w:type="continuationSeparator" w:id="0">
    <w:p w:rsidR="0096531C" w:rsidRDefault="0096531C" w:rsidP="006655D3">
      <w:r>
        <w:separator/>
      </w:r>
    </w:p>
  </w:footnote>
  <w:footnote w:type="continuationNotice" w:id="1">
    <w:p w:rsidR="0096531C" w:rsidRPr="00AB530F" w:rsidRDefault="0096531C" w:rsidP="00AB530F">
      <w:pPr>
        <w:pStyle w:val="Footer"/>
      </w:pPr>
    </w:p>
  </w:footnote>
  <w:footnote w:id="2">
    <w:p w:rsidR="004433DB" w:rsidRDefault="004433DB" w:rsidP="004433DB">
      <w:pPr>
        <w:pStyle w:val="FootnoteText"/>
      </w:pPr>
      <w:r>
        <w:rPr>
          <w:rStyle w:val="FootnoteReference"/>
        </w:rPr>
        <w:footnoteRef/>
      </w:r>
      <w:r>
        <w:t xml:space="preserve"> </w:t>
      </w:r>
      <w:r w:rsidRPr="004A69D5">
        <w:rPr>
          <w:rFonts w:cs="Arial"/>
        </w:rPr>
        <w:t>held in G</w:t>
      </w:r>
      <w:r>
        <w:rPr>
          <w:rFonts w:cs="Arial"/>
        </w:rPr>
        <w:t>eneva from April 15 to 17, 2002</w:t>
      </w:r>
    </w:p>
  </w:footnote>
  <w:footnote w:id="3">
    <w:p w:rsidR="004433DB" w:rsidRDefault="004433DB" w:rsidP="004433DB">
      <w:pPr>
        <w:pStyle w:val="FootnoteText"/>
      </w:pPr>
      <w:r>
        <w:rPr>
          <w:rStyle w:val="FootnoteReference"/>
        </w:rPr>
        <w:footnoteRef/>
      </w:r>
      <w:r>
        <w:t xml:space="preserve"> </w:t>
      </w:r>
      <w:r w:rsidRPr="0031517A">
        <w:rPr>
          <w:snapToGrid w:val="0"/>
        </w:rPr>
        <w:t>held in Geneva on October 2</w:t>
      </w:r>
      <w:r>
        <w:rPr>
          <w:snapToGrid w:val="0"/>
        </w:rPr>
        <w:t>8</w:t>
      </w:r>
      <w:r w:rsidRPr="0031517A">
        <w:rPr>
          <w:snapToGrid w:val="0"/>
        </w:rPr>
        <w:t xml:space="preserve"> and </w:t>
      </w:r>
      <w:r>
        <w:rPr>
          <w:snapToGrid w:val="0"/>
        </w:rPr>
        <w:t>29</w:t>
      </w:r>
      <w:r w:rsidRPr="0031517A">
        <w:rPr>
          <w:snapToGrid w:val="0"/>
        </w:rPr>
        <w:t>, 201</w:t>
      </w:r>
      <w:r>
        <w:rPr>
          <w:snapToGrid w:val="0"/>
        </w:rPr>
        <w:t>9</w:t>
      </w:r>
    </w:p>
  </w:footnote>
  <w:footnote w:id="4">
    <w:p w:rsidR="004433DB" w:rsidRDefault="004433DB" w:rsidP="005B6FE2">
      <w:pPr>
        <w:pStyle w:val="FootnoteText"/>
      </w:pPr>
      <w:r>
        <w:rPr>
          <w:rStyle w:val="FootnoteReference"/>
        </w:rPr>
        <w:footnoteRef/>
      </w:r>
      <w:r>
        <w:t xml:space="preserve"> </w:t>
      </w:r>
      <w:r w:rsidRPr="0031517A">
        <w:rPr>
          <w:snapToGrid w:val="0"/>
        </w:rPr>
        <w:t>held in Geneva on October 2</w:t>
      </w:r>
      <w:r>
        <w:rPr>
          <w:snapToGrid w:val="0"/>
        </w:rPr>
        <w:t>6</w:t>
      </w:r>
      <w:r w:rsidRPr="0031517A">
        <w:rPr>
          <w:snapToGrid w:val="0"/>
        </w:rPr>
        <w:t xml:space="preserve"> and </w:t>
      </w:r>
      <w:r>
        <w:rPr>
          <w:snapToGrid w:val="0"/>
        </w:rPr>
        <w:t>27</w:t>
      </w:r>
      <w:r w:rsidRPr="0031517A">
        <w:rPr>
          <w:snapToGrid w:val="0"/>
        </w:rPr>
        <w:t>, 20</w:t>
      </w:r>
      <w:r>
        <w:rPr>
          <w:snapToGrid w:val="0"/>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DB" w:rsidRPr="00C5280D" w:rsidRDefault="004433DB" w:rsidP="00EB048E">
    <w:pPr>
      <w:pStyle w:val="Header"/>
      <w:rPr>
        <w:rStyle w:val="PageNumber"/>
        <w:lang w:val="en-US"/>
      </w:rPr>
    </w:pPr>
    <w:r>
      <w:rPr>
        <w:rStyle w:val="PageNumber"/>
        <w:lang w:val="en-US"/>
      </w:rPr>
      <w:t>TC/57/13</w:t>
    </w:r>
  </w:p>
  <w:p w:rsidR="004433DB" w:rsidRPr="00C5280D" w:rsidRDefault="004433D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2074">
      <w:rPr>
        <w:rStyle w:val="PageNumber"/>
        <w:noProof/>
        <w:lang w:val="en-US"/>
      </w:rPr>
      <w:t>4</w:t>
    </w:r>
    <w:r w:rsidRPr="00C5280D">
      <w:rPr>
        <w:rStyle w:val="PageNumber"/>
        <w:lang w:val="en-US"/>
      </w:rPr>
      <w:fldChar w:fldCharType="end"/>
    </w:r>
  </w:p>
  <w:p w:rsidR="004433DB" w:rsidRPr="00C5280D" w:rsidRDefault="004433D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DB" w:rsidRPr="0004198B" w:rsidRDefault="004433D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41A" w:rsidRPr="00C5280D" w:rsidRDefault="0095641A" w:rsidP="0095641A">
    <w:pPr>
      <w:pStyle w:val="Header"/>
      <w:rPr>
        <w:rStyle w:val="PageNumber"/>
        <w:lang w:val="en-US"/>
      </w:rPr>
    </w:pPr>
    <w:r>
      <w:rPr>
        <w:rStyle w:val="PageNumber"/>
        <w:lang w:val="en-US"/>
      </w:rPr>
      <w:t>TC/57/13</w:t>
    </w:r>
  </w:p>
  <w:p w:rsidR="0095641A" w:rsidRDefault="0095641A" w:rsidP="0095641A">
    <w:pPr>
      <w:pStyle w:val="Header"/>
      <w:rPr>
        <w:lang w:val="en-US"/>
      </w:rPr>
    </w:pPr>
  </w:p>
  <w:p w:rsidR="0095641A" w:rsidRPr="00C5280D" w:rsidRDefault="0095641A" w:rsidP="0095641A">
    <w:pPr>
      <w:pStyle w:val="Header"/>
      <w:rPr>
        <w:lang w:val="en-US"/>
      </w:rPr>
    </w:pPr>
    <w:r>
      <w:rPr>
        <w:lang w:val="en-US"/>
      </w:rPr>
      <w:t>ANNEX</w:t>
    </w:r>
  </w:p>
  <w:p w:rsidR="0095641A" w:rsidRPr="0004198B" w:rsidRDefault="0095641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4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2C0151A4"/>
    <w:multiLevelType w:val="hybridMultilevel"/>
    <w:tmpl w:val="7308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D0482C"/>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3F7B"/>
    <w:multiLevelType w:val="hybridMultilevel"/>
    <w:tmpl w:val="2D8CD070"/>
    <w:lvl w:ilvl="0" w:tplc="9F6A0B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99D0B31"/>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7EAE3516"/>
    <w:multiLevelType w:val="hybridMultilevel"/>
    <w:tmpl w:val="7BB090FC"/>
    <w:lvl w:ilvl="0" w:tplc="A49C906C">
      <w:start w:val="1"/>
      <w:numFmt w:val="bullet"/>
      <w:lvlText w:val="-"/>
      <w:lvlJc w:val="left"/>
      <w:pPr>
        <w:tabs>
          <w:tab w:val="num" w:pos="2064"/>
        </w:tabs>
        <w:ind w:left="2064" w:hanging="360"/>
      </w:pPr>
      <w:rPr>
        <w:rFonts w:ascii="Courier New" w:hAnsi="Courier New" w:cs="Times New Roman" w:hint="default"/>
      </w:rPr>
    </w:lvl>
    <w:lvl w:ilvl="1" w:tplc="9F6A0B92">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2"/>
  </w:num>
  <w:num w:numId="7">
    <w:abstractNumId w:val="8"/>
  </w:num>
  <w:num w:numId="8">
    <w:abstractNumId w:val="5"/>
  </w:num>
  <w:num w:numId="9">
    <w:abstractNumId w:val="8"/>
    <w:lvlOverride w:ilvl="0"/>
    <w:lvlOverride w:ilvl="1">
      <w:startOverride w:val="1"/>
    </w:lvlOverride>
    <w:lvlOverride w:ilvl="2"/>
    <w:lvlOverride w:ilvl="3"/>
    <w:lvlOverride w:ilvl="4"/>
    <w:lvlOverride w:ilvl="5"/>
    <w:lvlOverride w:ilvl="6"/>
    <w:lvlOverride w:ilvl="7"/>
    <w:lvlOverride w:ilv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26F2C"/>
    <w:rsid w:val="00030854"/>
    <w:rsid w:val="00036028"/>
    <w:rsid w:val="0004198B"/>
    <w:rsid w:val="00044642"/>
    <w:rsid w:val="000446B9"/>
    <w:rsid w:val="00047E21"/>
    <w:rsid w:val="00050E16"/>
    <w:rsid w:val="00066120"/>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43BC2"/>
    <w:rsid w:val="0016506C"/>
    <w:rsid w:val="00172084"/>
    <w:rsid w:val="0017474A"/>
    <w:rsid w:val="001758C6"/>
    <w:rsid w:val="00182B99"/>
    <w:rsid w:val="00195A49"/>
    <w:rsid w:val="001C1525"/>
    <w:rsid w:val="0021332C"/>
    <w:rsid w:val="00213982"/>
    <w:rsid w:val="00217FBB"/>
    <w:rsid w:val="002358E3"/>
    <w:rsid w:val="0024416D"/>
    <w:rsid w:val="00257210"/>
    <w:rsid w:val="00263255"/>
    <w:rsid w:val="00271911"/>
    <w:rsid w:val="00273187"/>
    <w:rsid w:val="00275909"/>
    <w:rsid w:val="002800A0"/>
    <w:rsid w:val="002801B3"/>
    <w:rsid w:val="00281060"/>
    <w:rsid w:val="00284050"/>
    <w:rsid w:val="00285BD0"/>
    <w:rsid w:val="002940E8"/>
    <w:rsid w:val="00294751"/>
    <w:rsid w:val="002A6E50"/>
    <w:rsid w:val="002B4298"/>
    <w:rsid w:val="002B7A36"/>
    <w:rsid w:val="002C256A"/>
    <w:rsid w:val="002D5226"/>
    <w:rsid w:val="002E194F"/>
    <w:rsid w:val="002E58FF"/>
    <w:rsid w:val="00305A7F"/>
    <w:rsid w:val="003152FE"/>
    <w:rsid w:val="00315605"/>
    <w:rsid w:val="00327436"/>
    <w:rsid w:val="00332ED5"/>
    <w:rsid w:val="0033773D"/>
    <w:rsid w:val="00344BD6"/>
    <w:rsid w:val="0035096E"/>
    <w:rsid w:val="0035528D"/>
    <w:rsid w:val="00361821"/>
    <w:rsid w:val="00361E9E"/>
    <w:rsid w:val="00372074"/>
    <w:rsid w:val="003753EE"/>
    <w:rsid w:val="003A0835"/>
    <w:rsid w:val="003A5AAF"/>
    <w:rsid w:val="003B700A"/>
    <w:rsid w:val="003C7FBE"/>
    <w:rsid w:val="003D227C"/>
    <w:rsid w:val="003D2B4D"/>
    <w:rsid w:val="003D5419"/>
    <w:rsid w:val="003F37F5"/>
    <w:rsid w:val="003F74D4"/>
    <w:rsid w:val="004007C3"/>
    <w:rsid w:val="004433DB"/>
    <w:rsid w:val="00444A88"/>
    <w:rsid w:val="00445B73"/>
    <w:rsid w:val="00474DA4"/>
    <w:rsid w:val="00476584"/>
    <w:rsid w:val="00476B4D"/>
    <w:rsid w:val="004805FA"/>
    <w:rsid w:val="00481798"/>
    <w:rsid w:val="004935D2"/>
    <w:rsid w:val="004B1215"/>
    <w:rsid w:val="004D047D"/>
    <w:rsid w:val="004E51E2"/>
    <w:rsid w:val="004F1896"/>
    <w:rsid w:val="004F1E9E"/>
    <w:rsid w:val="004F305A"/>
    <w:rsid w:val="00501DB4"/>
    <w:rsid w:val="00512164"/>
    <w:rsid w:val="00520297"/>
    <w:rsid w:val="005253DA"/>
    <w:rsid w:val="00532A66"/>
    <w:rsid w:val="005338F9"/>
    <w:rsid w:val="0054281C"/>
    <w:rsid w:val="00544581"/>
    <w:rsid w:val="0055268D"/>
    <w:rsid w:val="00575DE2"/>
    <w:rsid w:val="00576BE4"/>
    <w:rsid w:val="005779DB"/>
    <w:rsid w:val="00586782"/>
    <w:rsid w:val="005A2A67"/>
    <w:rsid w:val="005A400A"/>
    <w:rsid w:val="005B269D"/>
    <w:rsid w:val="005B6FE2"/>
    <w:rsid w:val="005F7B92"/>
    <w:rsid w:val="00612379"/>
    <w:rsid w:val="006153B6"/>
    <w:rsid w:val="0061555F"/>
    <w:rsid w:val="006245ED"/>
    <w:rsid w:val="00636CA6"/>
    <w:rsid w:val="00641200"/>
    <w:rsid w:val="00645CA8"/>
    <w:rsid w:val="006655D3"/>
    <w:rsid w:val="00667404"/>
    <w:rsid w:val="00677D33"/>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924C4"/>
    <w:rsid w:val="007A2854"/>
    <w:rsid w:val="007C1D92"/>
    <w:rsid w:val="007C4CB9"/>
    <w:rsid w:val="007D0B9D"/>
    <w:rsid w:val="007D19B0"/>
    <w:rsid w:val="007F498F"/>
    <w:rsid w:val="0080679D"/>
    <w:rsid w:val="008108B0"/>
    <w:rsid w:val="00811B20"/>
    <w:rsid w:val="00812609"/>
    <w:rsid w:val="008211B5"/>
    <w:rsid w:val="0082296E"/>
    <w:rsid w:val="00824099"/>
    <w:rsid w:val="00831EF9"/>
    <w:rsid w:val="00846D7C"/>
    <w:rsid w:val="00867AC1"/>
    <w:rsid w:val="008751DE"/>
    <w:rsid w:val="00890DF8"/>
    <w:rsid w:val="008A0ADE"/>
    <w:rsid w:val="008A743F"/>
    <w:rsid w:val="008C0970"/>
    <w:rsid w:val="008D0BC5"/>
    <w:rsid w:val="008D2CF7"/>
    <w:rsid w:val="00900C26"/>
    <w:rsid w:val="0090197F"/>
    <w:rsid w:val="00903264"/>
    <w:rsid w:val="00906DDC"/>
    <w:rsid w:val="00910AE0"/>
    <w:rsid w:val="00934E09"/>
    <w:rsid w:val="00935176"/>
    <w:rsid w:val="00936253"/>
    <w:rsid w:val="00940D46"/>
    <w:rsid w:val="009413F1"/>
    <w:rsid w:val="00952DD4"/>
    <w:rsid w:val="009561F4"/>
    <w:rsid w:val="0095641A"/>
    <w:rsid w:val="00957632"/>
    <w:rsid w:val="0096531C"/>
    <w:rsid w:val="00965AE7"/>
    <w:rsid w:val="00970FED"/>
    <w:rsid w:val="00985E41"/>
    <w:rsid w:val="00992D82"/>
    <w:rsid w:val="00997029"/>
    <w:rsid w:val="009A7339"/>
    <w:rsid w:val="009B440E"/>
    <w:rsid w:val="009D690D"/>
    <w:rsid w:val="009E349F"/>
    <w:rsid w:val="009E65B6"/>
    <w:rsid w:val="009F0A51"/>
    <w:rsid w:val="009F0B7F"/>
    <w:rsid w:val="009F77CF"/>
    <w:rsid w:val="00A12795"/>
    <w:rsid w:val="00A24C10"/>
    <w:rsid w:val="00A415E5"/>
    <w:rsid w:val="00A42AC3"/>
    <w:rsid w:val="00A430CF"/>
    <w:rsid w:val="00A54309"/>
    <w:rsid w:val="00A610A9"/>
    <w:rsid w:val="00A64DE6"/>
    <w:rsid w:val="00A80F2A"/>
    <w:rsid w:val="00A96C33"/>
    <w:rsid w:val="00AB2B93"/>
    <w:rsid w:val="00AB530F"/>
    <w:rsid w:val="00AB7E5B"/>
    <w:rsid w:val="00AC2883"/>
    <w:rsid w:val="00AE0EF1"/>
    <w:rsid w:val="00AE2937"/>
    <w:rsid w:val="00B07301"/>
    <w:rsid w:val="00B11F3E"/>
    <w:rsid w:val="00B13125"/>
    <w:rsid w:val="00B224DE"/>
    <w:rsid w:val="00B324D4"/>
    <w:rsid w:val="00B46575"/>
    <w:rsid w:val="00B556C8"/>
    <w:rsid w:val="00B61777"/>
    <w:rsid w:val="00B622E6"/>
    <w:rsid w:val="00B83E82"/>
    <w:rsid w:val="00B84BBD"/>
    <w:rsid w:val="00BA43FB"/>
    <w:rsid w:val="00BC127D"/>
    <w:rsid w:val="00BC1FE6"/>
    <w:rsid w:val="00C061B6"/>
    <w:rsid w:val="00C07812"/>
    <w:rsid w:val="00C2446C"/>
    <w:rsid w:val="00C2637C"/>
    <w:rsid w:val="00C36AE5"/>
    <w:rsid w:val="00C41F17"/>
    <w:rsid w:val="00C527FA"/>
    <w:rsid w:val="00C5280D"/>
    <w:rsid w:val="00C53EB3"/>
    <w:rsid w:val="00C5791C"/>
    <w:rsid w:val="00C6479F"/>
    <w:rsid w:val="00C66290"/>
    <w:rsid w:val="00C72221"/>
    <w:rsid w:val="00C72B7A"/>
    <w:rsid w:val="00C97118"/>
    <w:rsid w:val="00C973F2"/>
    <w:rsid w:val="00CA304C"/>
    <w:rsid w:val="00CA46B9"/>
    <w:rsid w:val="00CA774A"/>
    <w:rsid w:val="00CB4921"/>
    <w:rsid w:val="00CC11B0"/>
    <w:rsid w:val="00CC2841"/>
    <w:rsid w:val="00CD68AC"/>
    <w:rsid w:val="00CF1330"/>
    <w:rsid w:val="00CF7E36"/>
    <w:rsid w:val="00D16E64"/>
    <w:rsid w:val="00D31BFA"/>
    <w:rsid w:val="00D3708D"/>
    <w:rsid w:val="00D40426"/>
    <w:rsid w:val="00D57C96"/>
    <w:rsid w:val="00D57D18"/>
    <w:rsid w:val="00D655D3"/>
    <w:rsid w:val="00D70E65"/>
    <w:rsid w:val="00D91203"/>
    <w:rsid w:val="00D95174"/>
    <w:rsid w:val="00DA4973"/>
    <w:rsid w:val="00DA6F36"/>
    <w:rsid w:val="00DB596E"/>
    <w:rsid w:val="00DB7773"/>
    <w:rsid w:val="00DC00EA"/>
    <w:rsid w:val="00DC3802"/>
    <w:rsid w:val="00DD00C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50B1A"/>
    <w:rsid w:val="00F560F7"/>
    <w:rsid w:val="00F62FC5"/>
    <w:rsid w:val="00F6334D"/>
    <w:rsid w:val="00F63599"/>
    <w:rsid w:val="00F63CFA"/>
    <w:rsid w:val="00F71781"/>
    <w:rsid w:val="00F7659F"/>
    <w:rsid w:val="00F84571"/>
    <w:rsid w:val="00FA49AB"/>
    <w:rsid w:val="00FC55E7"/>
    <w:rsid w:val="00FC5FD0"/>
    <w:rsid w:val="00FE39C7"/>
    <w:rsid w:val="00FE5230"/>
    <w:rsid w:val="00FE7E0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1ABEEE"/>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CD68AC"/>
    <w:pPr>
      <w:keepNext/>
      <w:jc w:val="both"/>
      <w:outlineLvl w:val="1"/>
    </w:pPr>
    <w:rPr>
      <w:rFonts w:ascii="Arial" w:hAnsi="Arial"/>
      <w:snapToGrid w:val="0"/>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7924C4"/>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7924C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95A49"/>
    <w:pPr>
      <w:ind w:left="720"/>
      <w:contextualSpacing/>
    </w:pPr>
  </w:style>
  <w:style w:type="paragraph" w:styleId="BodyTextIndent3">
    <w:name w:val="Body Text Indent 3"/>
    <w:basedOn w:val="Normal"/>
    <w:link w:val="BodyTextIndent3Char"/>
    <w:rsid w:val="00195A49"/>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195A49"/>
    <w:rPr>
      <w:rFonts w:cs="Angsana New"/>
      <w:color w:val="000000"/>
      <w:sz w:val="24"/>
      <w:szCs w:val="24"/>
      <w:lang w:eastAsia="ja-JP" w:bidi="th-TH"/>
    </w:rPr>
  </w:style>
  <w:style w:type="table" w:styleId="TableGrid">
    <w:name w:val="Table Grid"/>
    <w:basedOn w:val="TableNormal"/>
    <w:rsid w:val="0095641A"/>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4228">
      <w:bodyDiv w:val="1"/>
      <w:marLeft w:val="0"/>
      <w:marRight w:val="0"/>
      <w:marTop w:val="0"/>
      <w:marBottom w:val="0"/>
      <w:divBdr>
        <w:top w:val="none" w:sz="0" w:space="0" w:color="auto"/>
        <w:left w:val="none" w:sz="0" w:space="0" w:color="auto"/>
        <w:bottom w:val="none" w:sz="0" w:space="0" w:color="auto"/>
        <w:right w:val="none" w:sz="0" w:space="0" w:color="auto"/>
      </w:divBdr>
    </w:div>
    <w:div w:id="803427527">
      <w:bodyDiv w:val="1"/>
      <w:marLeft w:val="0"/>
      <w:marRight w:val="0"/>
      <w:marTop w:val="0"/>
      <w:marBottom w:val="0"/>
      <w:divBdr>
        <w:top w:val="none" w:sz="0" w:space="0" w:color="auto"/>
        <w:left w:val="none" w:sz="0" w:space="0" w:color="auto"/>
        <w:bottom w:val="none" w:sz="0" w:space="0" w:color="auto"/>
        <w:right w:val="none" w:sz="0" w:space="0" w:color="auto"/>
      </w:divBdr>
    </w:div>
    <w:div w:id="193089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D076-E708-442E-9903-0E3E8042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routing_slip_with_doc_tc_57.dotm</Template>
  <TotalTime>3</TotalTime>
  <Pages>5</Pages>
  <Words>1534</Words>
  <Characters>9396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TC/57/13</vt:lpstr>
    </vt:vector>
  </TitlesOfParts>
  <Company>UPOV</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TC/57/13</dc:title>
  <dc:creator>SANCHEZ VIZCAINO GOMEZ Rosa Maria</dc:creator>
  <cp:lastModifiedBy>SANCHEZ VIZCAINO GOMEZ Rosa Maria</cp:lastModifiedBy>
  <cp:revision>12</cp:revision>
  <cp:lastPrinted>2016-11-22T15:41:00Z</cp:lastPrinted>
  <dcterms:created xsi:type="dcterms:W3CDTF">2021-06-02T15:23:00Z</dcterms:created>
  <dcterms:modified xsi:type="dcterms:W3CDTF">2021-06-15T17:21:00Z</dcterms:modified>
</cp:coreProperties>
</file>