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F5E6A" w:rsidTr="00EB4E9C">
        <w:tc>
          <w:tcPr>
            <w:tcW w:w="6522" w:type="dxa"/>
          </w:tcPr>
          <w:p w:rsidR="00DC3802" w:rsidRPr="003F5E6A" w:rsidRDefault="00DC3802" w:rsidP="00AC2883">
            <w:r w:rsidRPr="003F5E6A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F5E6A" w:rsidRDefault="00DC3802" w:rsidP="00AC2883">
            <w:pPr>
              <w:pStyle w:val="Lettrine"/>
            </w:pPr>
            <w:r w:rsidRPr="003F5E6A">
              <w:t>E</w:t>
            </w:r>
          </w:p>
        </w:tc>
      </w:tr>
      <w:tr w:rsidR="00DC3802" w:rsidRPr="003F5E6A" w:rsidTr="00645CA8">
        <w:trPr>
          <w:trHeight w:val="219"/>
        </w:trPr>
        <w:tc>
          <w:tcPr>
            <w:tcW w:w="6522" w:type="dxa"/>
          </w:tcPr>
          <w:p w:rsidR="00DC3802" w:rsidRPr="003F5E6A" w:rsidRDefault="00DC3802" w:rsidP="00AC2883">
            <w:pPr>
              <w:pStyle w:val="upove"/>
            </w:pPr>
            <w:r w:rsidRPr="003F5E6A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3F5E6A" w:rsidRDefault="00DC3802" w:rsidP="00DA4973"/>
        </w:tc>
      </w:tr>
    </w:tbl>
    <w:p w:rsidR="00DC3802" w:rsidRPr="003F5E6A" w:rsidRDefault="00DC3802" w:rsidP="00DC3802"/>
    <w:p w:rsidR="00DA4973" w:rsidRPr="003F5E6A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5E6A" w:rsidTr="00EB4E9C">
        <w:tc>
          <w:tcPr>
            <w:tcW w:w="6512" w:type="dxa"/>
          </w:tcPr>
          <w:p w:rsidR="00EB4E9C" w:rsidRPr="003F5E6A" w:rsidRDefault="00EB4E9C" w:rsidP="00AC2883">
            <w:pPr>
              <w:pStyle w:val="Sessiontc"/>
              <w:spacing w:line="240" w:lineRule="auto"/>
            </w:pPr>
            <w:r w:rsidRPr="003F5E6A">
              <w:t>Technical Committee</w:t>
            </w:r>
          </w:p>
          <w:p w:rsidR="00EB4E9C" w:rsidRPr="003F5E6A" w:rsidRDefault="00EB4E9C" w:rsidP="00E75233">
            <w:pPr>
              <w:pStyle w:val="Sessiontcplacedate"/>
              <w:rPr>
                <w:sz w:val="22"/>
              </w:rPr>
            </w:pPr>
            <w:r w:rsidRPr="003F5E6A">
              <w:t>Fifty-</w:t>
            </w:r>
            <w:r w:rsidR="00E75233" w:rsidRPr="003F5E6A">
              <w:t>Six</w:t>
            </w:r>
            <w:r w:rsidR="006D7435" w:rsidRPr="003F5E6A">
              <w:t>th</w:t>
            </w:r>
            <w:r w:rsidRPr="003F5E6A">
              <w:t xml:space="preserve"> Session</w:t>
            </w:r>
            <w:r w:rsidRPr="003F5E6A">
              <w:br/>
              <w:t xml:space="preserve">Geneva, </w:t>
            </w:r>
            <w:r w:rsidR="008B6E60" w:rsidRPr="003F5E6A">
              <w:t>October 2</w:t>
            </w:r>
            <w:r w:rsidR="00E75233" w:rsidRPr="003F5E6A">
              <w:t>6</w:t>
            </w:r>
            <w:r w:rsidR="008B6E60" w:rsidRPr="003F5E6A">
              <w:t xml:space="preserve"> and </w:t>
            </w:r>
            <w:r w:rsidR="006D7435" w:rsidRPr="003F5E6A">
              <w:t>2</w:t>
            </w:r>
            <w:r w:rsidR="00E75233" w:rsidRPr="003F5E6A">
              <w:t>7</w:t>
            </w:r>
            <w:r w:rsidR="006D7435" w:rsidRPr="003F5E6A">
              <w:t xml:space="preserve">, </w:t>
            </w:r>
            <w:r w:rsidR="00E75233" w:rsidRPr="003F5E6A">
              <w:t>2020</w:t>
            </w:r>
          </w:p>
        </w:tc>
        <w:tc>
          <w:tcPr>
            <w:tcW w:w="3127" w:type="dxa"/>
          </w:tcPr>
          <w:p w:rsidR="00EB4E9C" w:rsidRPr="003F5E6A" w:rsidRDefault="00882C6F" w:rsidP="003C7FBE">
            <w:pPr>
              <w:pStyle w:val="Doccode"/>
            </w:pPr>
            <w:r w:rsidRPr="003F5E6A">
              <w:t>TC/56/9</w:t>
            </w:r>
          </w:p>
          <w:p w:rsidR="00EB4E9C" w:rsidRPr="003F5E6A" w:rsidRDefault="00EB4E9C" w:rsidP="003C7FBE">
            <w:pPr>
              <w:pStyle w:val="Docoriginal"/>
            </w:pPr>
            <w:r w:rsidRPr="003F5E6A">
              <w:t>Original:</w:t>
            </w:r>
            <w:r w:rsidRPr="003F5E6A">
              <w:rPr>
                <w:b w:val="0"/>
                <w:spacing w:val="0"/>
              </w:rPr>
              <w:t xml:space="preserve">  English</w:t>
            </w:r>
          </w:p>
          <w:p w:rsidR="00EB4E9C" w:rsidRPr="003F5E6A" w:rsidRDefault="00EB4E9C" w:rsidP="005B79B9">
            <w:pPr>
              <w:pStyle w:val="Docoriginal"/>
            </w:pPr>
            <w:r w:rsidRPr="003F5E6A">
              <w:t>Date:</w:t>
            </w:r>
            <w:r w:rsidR="008B6E60" w:rsidRPr="003F5E6A">
              <w:rPr>
                <w:b w:val="0"/>
                <w:spacing w:val="0"/>
              </w:rPr>
              <w:t xml:space="preserve">  </w:t>
            </w:r>
            <w:r w:rsidR="00D42832" w:rsidRPr="00B7765E">
              <w:rPr>
                <w:b w:val="0"/>
                <w:spacing w:val="0"/>
              </w:rPr>
              <w:t>October 1</w:t>
            </w:r>
            <w:r w:rsidR="005B79B9" w:rsidRPr="00B7765E">
              <w:rPr>
                <w:b w:val="0"/>
                <w:spacing w:val="0"/>
              </w:rPr>
              <w:t>9</w:t>
            </w:r>
            <w:r w:rsidR="008B6E60" w:rsidRPr="00B7765E">
              <w:rPr>
                <w:b w:val="0"/>
                <w:spacing w:val="0"/>
              </w:rPr>
              <w:t xml:space="preserve">, </w:t>
            </w:r>
            <w:r w:rsidR="00E75233" w:rsidRPr="00B7765E">
              <w:rPr>
                <w:b w:val="0"/>
                <w:spacing w:val="0"/>
              </w:rPr>
              <w:t>2020</w:t>
            </w:r>
          </w:p>
        </w:tc>
      </w:tr>
    </w:tbl>
    <w:p w:rsidR="000D7780" w:rsidRPr="003F5E6A" w:rsidRDefault="00882C6F" w:rsidP="006A644A">
      <w:pPr>
        <w:pStyle w:val="Titleofdoc0"/>
      </w:pPr>
      <w:bookmarkStart w:id="0" w:name="TitleOfDoc"/>
      <w:bookmarkEnd w:id="0"/>
      <w:r w:rsidRPr="003F5E6A">
        <w:t>Preparatory workshops</w:t>
      </w:r>
    </w:p>
    <w:p w:rsidR="006A644A" w:rsidRPr="003F5E6A" w:rsidRDefault="00AE0EF1" w:rsidP="006A644A">
      <w:pPr>
        <w:pStyle w:val="preparedby1"/>
        <w:jc w:val="left"/>
      </w:pPr>
      <w:bookmarkStart w:id="1" w:name="Prepared"/>
      <w:bookmarkEnd w:id="1"/>
      <w:r w:rsidRPr="003F5E6A">
        <w:t xml:space="preserve">Document </w:t>
      </w:r>
      <w:r w:rsidR="0061555F" w:rsidRPr="003F5E6A">
        <w:t>prepared by the Office of the Union</w:t>
      </w:r>
    </w:p>
    <w:p w:rsidR="00050E16" w:rsidRPr="003F5E6A" w:rsidRDefault="00050E16" w:rsidP="006A644A">
      <w:pPr>
        <w:pStyle w:val="Disclaimer"/>
      </w:pPr>
      <w:r w:rsidRPr="003F5E6A">
        <w:t>Disclaimer:  this document does not represent UPOV policies or guidance</w:t>
      </w:r>
    </w:p>
    <w:p w:rsidR="00644C1A" w:rsidRPr="003F5E6A" w:rsidRDefault="00644C1A" w:rsidP="00644C1A">
      <w:pPr>
        <w:pStyle w:val="Heading1"/>
      </w:pPr>
      <w:bookmarkStart w:id="2" w:name="_Toc475955714"/>
      <w:bookmarkStart w:id="3" w:name="_Toc53936211"/>
      <w:r w:rsidRPr="003F5E6A">
        <w:t>EXECUTIVE SUMMARY</w:t>
      </w:r>
      <w:bookmarkEnd w:id="2"/>
      <w:bookmarkEnd w:id="3"/>
    </w:p>
    <w:p w:rsidR="00644C1A" w:rsidRPr="003F5E6A" w:rsidRDefault="00644C1A" w:rsidP="00644C1A">
      <w:pPr>
        <w:autoSpaceDE w:val="0"/>
        <w:autoSpaceDN w:val="0"/>
        <w:adjustRightInd w:val="0"/>
        <w:rPr>
          <w:rFonts w:cs="Arial"/>
        </w:rPr>
      </w:pPr>
    </w:p>
    <w:p w:rsidR="00644C1A" w:rsidRPr="003F5E6A" w:rsidRDefault="00644C1A" w:rsidP="00644C1A">
      <w:pPr>
        <w:rPr>
          <w:rFonts w:cs="Arial"/>
        </w:rPr>
      </w:pPr>
      <w:r w:rsidRPr="003F5E6A">
        <w:rPr>
          <w:rFonts w:cs="Arial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  <w:t xml:space="preserve">The purpose of this document is to provide a report on the preparatory workshops held in </w:t>
      </w:r>
      <w:r w:rsidR="00B91069" w:rsidRPr="003F5E6A">
        <w:rPr>
          <w:rFonts w:cs="Arial"/>
        </w:rPr>
        <w:t xml:space="preserve">2020 </w:t>
      </w:r>
      <w:r w:rsidRPr="003F5E6A">
        <w:rPr>
          <w:rFonts w:cs="Arial"/>
        </w:rPr>
        <w:t xml:space="preserve">and to present proposals for </w:t>
      </w:r>
      <w:r w:rsidR="00B91069" w:rsidRPr="003F5E6A">
        <w:rPr>
          <w:rFonts w:cs="Arial"/>
        </w:rPr>
        <w:t>2021</w:t>
      </w:r>
      <w:r w:rsidRPr="003F5E6A">
        <w:rPr>
          <w:rFonts w:cs="Arial"/>
        </w:rPr>
        <w:t>.</w:t>
      </w:r>
    </w:p>
    <w:p w:rsidR="00644C1A" w:rsidRPr="00904FB5" w:rsidRDefault="00644C1A" w:rsidP="00904FB5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904FB5" w:rsidRPr="00123AC4" w:rsidRDefault="00904FB5" w:rsidP="00123AC4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</w:rPr>
      </w:pPr>
      <w:r w:rsidRPr="00123AC4">
        <w:rPr>
          <w:rFonts w:cs="Arial"/>
          <w:i w:val="0"/>
        </w:rPr>
        <w:fldChar w:fldCharType="begin"/>
      </w:r>
      <w:r w:rsidRPr="00123AC4">
        <w:rPr>
          <w:rFonts w:cs="Arial"/>
          <w:i w:val="0"/>
        </w:rPr>
        <w:instrText xml:space="preserve"> AUTONUM  </w:instrText>
      </w:r>
      <w:r w:rsidRPr="00123AC4">
        <w:rPr>
          <w:rFonts w:cs="Arial"/>
          <w:i w:val="0"/>
        </w:rPr>
        <w:fldChar w:fldCharType="end"/>
      </w:r>
      <w:r w:rsidRPr="00123AC4">
        <w:rPr>
          <w:rFonts w:cs="Arial"/>
          <w:i w:val="0"/>
        </w:rPr>
        <w:tab/>
      </w:r>
      <w:r w:rsidR="00123AC4" w:rsidRPr="00123AC4">
        <w:rPr>
          <w:rFonts w:cs="Arial"/>
          <w:i w:val="0"/>
        </w:rPr>
        <w:t xml:space="preserve">The TC is invited to </w:t>
      </w:r>
      <w:r w:rsidR="00123AC4" w:rsidRPr="00123AC4">
        <w:rPr>
          <w:i w:val="0"/>
          <w:snapToGrid w:val="0"/>
        </w:rPr>
        <w:t xml:space="preserve">consider whether to organize preparatory workshops as a series of webinars, to be organized at suitable dates according to the schedule of TWP sessions, in conjunction with </w:t>
      </w:r>
      <w:r w:rsidR="00123AC4" w:rsidRPr="00123AC4">
        <w:rPr>
          <w:rFonts w:cs="Arial"/>
          <w:i w:val="0"/>
        </w:rPr>
        <w:t>workshops with physical participation,</w:t>
      </w:r>
      <w:r w:rsidR="00123AC4" w:rsidRPr="00123AC4">
        <w:rPr>
          <w:i w:val="0"/>
          <w:snapToGrid w:val="0"/>
        </w:rPr>
        <w:t xml:space="preserve"> where requested, as set </w:t>
      </w:r>
      <w:r w:rsidR="00123AC4" w:rsidRPr="00B7765E">
        <w:rPr>
          <w:i w:val="0"/>
          <w:snapToGrid w:val="0"/>
        </w:rPr>
        <w:t>out in paragraphs 14 to 21 of th</w:t>
      </w:r>
      <w:r w:rsidR="00123AC4">
        <w:rPr>
          <w:i w:val="0"/>
          <w:snapToGrid w:val="0"/>
        </w:rPr>
        <w:t>is document.</w:t>
      </w:r>
    </w:p>
    <w:p w:rsidR="000D5CF4" w:rsidRPr="003F5E6A" w:rsidRDefault="000D5CF4" w:rsidP="000D5CF4">
      <w:pPr>
        <w:pStyle w:val="DecisionParagraphs"/>
        <w:tabs>
          <w:tab w:val="left" w:pos="567"/>
          <w:tab w:val="left" w:pos="1134"/>
          <w:tab w:val="num" w:pos="5387"/>
          <w:tab w:val="left" w:pos="5954"/>
        </w:tabs>
        <w:ind w:left="567"/>
        <w:rPr>
          <w:rFonts w:cs="Arial"/>
          <w:i w:val="0"/>
        </w:rPr>
      </w:pPr>
    </w:p>
    <w:p w:rsidR="00644C1A" w:rsidRPr="003F5E6A" w:rsidRDefault="00644C1A" w:rsidP="00644C1A">
      <w:pPr>
        <w:rPr>
          <w:rFonts w:cs="Arial"/>
          <w:color w:val="000000"/>
        </w:rPr>
      </w:pPr>
      <w:r w:rsidRPr="003F5E6A">
        <w:rPr>
          <w:rFonts w:cs="Arial"/>
          <w:color w:val="000000"/>
        </w:rPr>
        <w:fldChar w:fldCharType="begin"/>
      </w:r>
      <w:r w:rsidRPr="003F5E6A">
        <w:rPr>
          <w:rFonts w:cs="Arial"/>
          <w:color w:val="000000"/>
        </w:rPr>
        <w:instrText xml:space="preserve"> AUTONUM  </w:instrText>
      </w:r>
      <w:r w:rsidRPr="003F5E6A">
        <w:rPr>
          <w:rFonts w:cs="Arial"/>
          <w:color w:val="000000"/>
        </w:rPr>
        <w:fldChar w:fldCharType="end"/>
      </w:r>
      <w:r w:rsidRPr="003F5E6A">
        <w:rPr>
          <w:rFonts w:cs="Arial"/>
          <w:color w:val="000000"/>
        </w:rPr>
        <w:tab/>
        <w:t xml:space="preserve">The following abbreviations </w:t>
      </w:r>
      <w:proofErr w:type="gramStart"/>
      <w:r w:rsidRPr="003F5E6A">
        <w:rPr>
          <w:rFonts w:cs="Arial"/>
          <w:color w:val="000000"/>
        </w:rPr>
        <w:t>are used</w:t>
      </w:r>
      <w:proofErr w:type="gramEnd"/>
      <w:r w:rsidRPr="003F5E6A">
        <w:rPr>
          <w:rFonts w:cs="Arial"/>
          <w:color w:val="000000"/>
        </w:rPr>
        <w:t xml:space="preserve"> in this document:</w:t>
      </w:r>
    </w:p>
    <w:p w:rsidR="00644C1A" w:rsidRPr="003F5E6A" w:rsidRDefault="00644C1A" w:rsidP="00644C1A">
      <w:pPr>
        <w:rPr>
          <w:rFonts w:cs="Arial"/>
          <w:color w:val="000000"/>
        </w:rPr>
      </w:pPr>
    </w:p>
    <w:p w:rsidR="00644C1A" w:rsidRPr="003F5E6A" w:rsidRDefault="00644C1A" w:rsidP="006C5FF1">
      <w:pPr>
        <w:tabs>
          <w:tab w:val="left" w:pos="567"/>
        </w:tabs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>TC:</w:t>
      </w:r>
      <w:r w:rsidRPr="003F5E6A">
        <w:rPr>
          <w:rFonts w:cs="Arial"/>
          <w:color w:val="000000"/>
        </w:rPr>
        <w:tab/>
        <w:t>Technical Committee</w:t>
      </w:r>
    </w:p>
    <w:p w:rsidR="00644C1A" w:rsidRPr="003F5E6A" w:rsidRDefault="00644C1A" w:rsidP="006C5FF1">
      <w:pPr>
        <w:tabs>
          <w:tab w:val="left" w:pos="567"/>
        </w:tabs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>TWA:</w:t>
      </w:r>
      <w:r w:rsidRPr="003F5E6A">
        <w:rPr>
          <w:rFonts w:cs="Arial"/>
          <w:color w:val="000000"/>
        </w:rPr>
        <w:tab/>
        <w:t>Technical Working Party for Agricultural Crops</w:t>
      </w:r>
    </w:p>
    <w:p w:rsidR="00644C1A" w:rsidRPr="003F5E6A" w:rsidRDefault="00644C1A" w:rsidP="006C5FF1">
      <w:pPr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>TWC:</w:t>
      </w:r>
      <w:r w:rsidRPr="003F5E6A">
        <w:rPr>
          <w:rFonts w:cs="Arial"/>
          <w:color w:val="000000"/>
        </w:rPr>
        <w:tab/>
        <w:t>Technical Working Party on Automation and Computer Programs</w:t>
      </w:r>
    </w:p>
    <w:p w:rsidR="00644C1A" w:rsidRPr="003F5E6A" w:rsidRDefault="00644C1A" w:rsidP="006C5FF1">
      <w:pPr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 xml:space="preserve">TWF: </w:t>
      </w:r>
      <w:r w:rsidRPr="003F5E6A">
        <w:rPr>
          <w:rFonts w:cs="Arial"/>
          <w:color w:val="000000"/>
        </w:rPr>
        <w:tab/>
        <w:t>Technical Working Party for Fruit Crops</w:t>
      </w:r>
    </w:p>
    <w:p w:rsidR="00644C1A" w:rsidRPr="003F5E6A" w:rsidRDefault="00644C1A" w:rsidP="006C5FF1">
      <w:pPr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>TWO:</w:t>
      </w:r>
      <w:r w:rsidRPr="003F5E6A">
        <w:rPr>
          <w:rFonts w:cs="Arial"/>
          <w:color w:val="000000"/>
        </w:rPr>
        <w:tab/>
        <w:t>Technical Working Party for Ornamental Plants and Forest Trees</w:t>
      </w:r>
    </w:p>
    <w:p w:rsidR="00644C1A" w:rsidRPr="003F5E6A" w:rsidRDefault="00644C1A" w:rsidP="006C5FF1">
      <w:pPr>
        <w:ind w:left="1418" w:hanging="851"/>
        <w:rPr>
          <w:rFonts w:cs="Arial"/>
          <w:color w:val="000000"/>
        </w:rPr>
      </w:pPr>
      <w:r w:rsidRPr="003F5E6A">
        <w:rPr>
          <w:rFonts w:cs="Arial"/>
          <w:color w:val="000000"/>
        </w:rPr>
        <w:t>TWV:</w:t>
      </w:r>
      <w:r w:rsidRPr="003F5E6A">
        <w:rPr>
          <w:rFonts w:cs="Arial"/>
          <w:color w:val="000000"/>
        </w:rPr>
        <w:tab/>
        <w:t>Technical Working Party for Vegetables</w:t>
      </w:r>
    </w:p>
    <w:p w:rsidR="00644C1A" w:rsidRPr="003F5E6A" w:rsidRDefault="00644C1A" w:rsidP="006C5FF1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3F5E6A">
        <w:rPr>
          <w:rFonts w:ascii="Arial" w:hAnsi="Arial" w:cs="Arial"/>
          <w:sz w:val="20"/>
          <w:szCs w:val="20"/>
        </w:rPr>
        <w:t>BMT:</w:t>
      </w:r>
      <w:r w:rsidRPr="003F5E6A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3F5E6A">
        <w:rPr>
          <w:rFonts w:ascii="Arial" w:hAnsi="Arial" w:cs="Arial"/>
          <w:sz w:val="20"/>
          <w:szCs w:val="20"/>
        </w:rPr>
        <w:noBreakHyphen/>
        <w:t>Profiling in Particular</w:t>
      </w:r>
    </w:p>
    <w:p w:rsidR="00644C1A" w:rsidRPr="003F5E6A" w:rsidRDefault="00644C1A" w:rsidP="006C5FF1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3F5E6A">
        <w:rPr>
          <w:rFonts w:ascii="Arial" w:hAnsi="Arial" w:cs="Arial"/>
          <w:sz w:val="20"/>
          <w:szCs w:val="20"/>
        </w:rPr>
        <w:t>TWPs:</w:t>
      </w:r>
      <w:r w:rsidRPr="003F5E6A">
        <w:rPr>
          <w:rFonts w:ascii="Arial" w:hAnsi="Arial" w:cs="Arial"/>
          <w:sz w:val="20"/>
          <w:szCs w:val="20"/>
        </w:rPr>
        <w:tab/>
        <w:t>Technical Working Parties</w:t>
      </w:r>
    </w:p>
    <w:p w:rsidR="00644C1A" w:rsidRPr="003F5E6A" w:rsidRDefault="00644C1A" w:rsidP="00644C1A">
      <w:pPr>
        <w:autoSpaceDE w:val="0"/>
        <w:autoSpaceDN w:val="0"/>
        <w:adjustRightInd w:val="0"/>
        <w:rPr>
          <w:rFonts w:cs="Arial"/>
          <w:snapToGrid w:val="0"/>
        </w:rPr>
      </w:pPr>
    </w:p>
    <w:p w:rsidR="00644C1A" w:rsidRPr="003F5E6A" w:rsidRDefault="00644C1A" w:rsidP="00644C1A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  <w:r w:rsidRPr="003F5E6A">
        <w:rPr>
          <w:rFonts w:cs="Arial"/>
          <w:snapToGrid w:val="0"/>
        </w:rPr>
        <w:fldChar w:fldCharType="begin"/>
      </w:r>
      <w:r w:rsidRPr="003F5E6A">
        <w:rPr>
          <w:rFonts w:cs="Arial"/>
          <w:snapToGrid w:val="0"/>
        </w:rPr>
        <w:instrText xml:space="preserve"> AUTONUM  </w:instrText>
      </w:r>
      <w:r w:rsidRPr="003F5E6A">
        <w:rPr>
          <w:rFonts w:cs="Arial"/>
          <w:snapToGrid w:val="0"/>
        </w:rPr>
        <w:fldChar w:fldCharType="end"/>
      </w:r>
      <w:r w:rsidRPr="003F5E6A">
        <w:rPr>
          <w:rFonts w:cs="Arial"/>
          <w:snapToGrid w:val="0"/>
        </w:rPr>
        <w:tab/>
      </w:r>
      <w:r w:rsidRPr="003F5E6A">
        <w:rPr>
          <w:rFonts w:cs="Arial"/>
          <w:snapToGrid w:val="0"/>
          <w:lang w:eastAsia="ja-JP"/>
        </w:rPr>
        <w:t>The structure of this document is as follows:</w:t>
      </w:r>
    </w:p>
    <w:p w:rsidR="00644C1A" w:rsidRPr="003F5E6A" w:rsidRDefault="00644C1A" w:rsidP="00644C1A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904FB5" w:rsidRDefault="00644C1A" w:rsidP="005E35C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F5E6A">
        <w:rPr>
          <w:rFonts w:eastAsiaTheme="minorEastAsia"/>
          <w:bCs/>
          <w:noProof/>
          <w:snapToGrid w:val="0"/>
          <w:lang w:eastAsia="ja-JP"/>
        </w:rPr>
        <w:fldChar w:fldCharType="begin"/>
      </w:r>
      <w:r w:rsidRPr="003F5E6A">
        <w:rPr>
          <w:snapToGrid w:val="0"/>
        </w:rPr>
        <w:instrText xml:space="preserve"> TOC \o "1-3" \h \z \u </w:instrText>
      </w:r>
      <w:r w:rsidRPr="003F5E6A">
        <w:rPr>
          <w:rFonts w:eastAsiaTheme="minorEastAsia"/>
          <w:bCs/>
          <w:noProof/>
          <w:snapToGrid w:val="0"/>
          <w:lang w:eastAsia="ja-JP"/>
        </w:rPr>
        <w:fldChar w:fldCharType="separate"/>
      </w:r>
      <w:hyperlink w:anchor="_Toc53936211" w:history="1">
        <w:r w:rsidR="00904FB5" w:rsidRPr="00764B94">
          <w:rPr>
            <w:rStyle w:val="Hyperlink"/>
            <w:noProof/>
          </w:rPr>
          <w:t>EXECUTIVE SUMMARY</w:t>
        </w:r>
        <w:r w:rsidR="00904FB5">
          <w:rPr>
            <w:noProof/>
            <w:webHidden/>
          </w:rPr>
          <w:tab/>
        </w:r>
        <w:r w:rsidR="00904FB5">
          <w:rPr>
            <w:noProof/>
            <w:webHidden/>
          </w:rPr>
          <w:fldChar w:fldCharType="begin"/>
        </w:r>
        <w:r w:rsidR="00904FB5">
          <w:rPr>
            <w:noProof/>
            <w:webHidden/>
          </w:rPr>
          <w:instrText xml:space="preserve"> PAGEREF _Toc53936211 \h </w:instrText>
        </w:r>
        <w:r w:rsidR="00904FB5">
          <w:rPr>
            <w:noProof/>
            <w:webHidden/>
          </w:rPr>
        </w:r>
        <w:r w:rsidR="00904FB5">
          <w:rPr>
            <w:noProof/>
            <w:webHidden/>
          </w:rPr>
          <w:fldChar w:fldCharType="separate"/>
        </w:r>
        <w:r w:rsidR="00904FB5">
          <w:rPr>
            <w:noProof/>
            <w:webHidden/>
          </w:rPr>
          <w:t>1</w:t>
        </w:r>
        <w:r w:rsidR="00904FB5">
          <w:rPr>
            <w:noProof/>
            <w:webHidden/>
          </w:rPr>
          <w:fldChar w:fldCharType="end"/>
        </w:r>
      </w:hyperlink>
    </w:p>
    <w:p w:rsidR="00904FB5" w:rsidRDefault="00B7765E" w:rsidP="005E35C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936212" w:history="1">
        <w:r w:rsidR="00904FB5" w:rsidRPr="00764B94">
          <w:rPr>
            <w:rStyle w:val="Hyperlink"/>
            <w:noProof/>
          </w:rPr>
          <w:t>BACKGROUND</w:t>
        </w:r>
        <w:r w:rsidR="00904FB5">
          <w:rPr>
            <w:noProof/>
            <w:webHidden/>
          </w:rPr>
          <w:tab/>
        </w:r>
        <w:r w:rsidR="00904FB5">
          <w:rPr>
            <w:noProof/>
            <w:webHidden/>
          </w:rPr>
          <w:fldChar w:fldCharType="begin"/>
        </w:r>
        <w:r w:rsidR="00904FB5">
          <w:rPr>
            <w:noProof/>
            <w:webHidden/>
          </w:rPr>
          <w:instrText xml:space="preserve"> PAGEREF _Toc53936212 \h </w:instrText>
        </w:r>
        <w:r w:rsidR="00904FB5">
          <w:rPr>
            <w:noProof/>
            <w:webHidden/>
          </w:rPr>
        </w:r>
        <w:r w:rsidR="00904FB5">
          <w:rPr>
            <w:noProof/>
            <w:webHidden/>
          </w:rPr>
          <w:fldChar w:fldCharType="separate"/>
        </w:r>
        <w:r w:rsidR="00904FB5">
          <w:rPr>
            <w:noProof/>
            <w:webHidden/>
          </w:rPr>
          <w:t>1</w:t>
        </w:r>
        <w:r w:rsidR="00904FB5">
          <w:rPr>
            <w:noProof/>
            <w:webHidden/>
          </w:rPr>
          <w:fldChar w:fldCharType="end"/>
        </w:r>
      </w:hyperlink>
    </w:p>
    <w:p w:rsidR="00904FB5" w:rsidRDefault="00B7765E" w:rsidP="005E35C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936213" w:history="1">
        <w:r w:rsidR="00904FB5" w:rsidRPr="00764B94">
          <w:rPr>
            <w:rStyle w:val="Hyperlink"/>
            <w:noProof/>
          </w:rPr>
          <w:t>Report on Preparatory Workshops held in 2020</w:t>
        </w:r>
        <w:r w:rsidR="00904FB5">
          <w:rPr>
            <w:noProof/>
            <w:webHidden/>
          </w:rPr>
          <w:tab/>
        </w:r>
        <w:r w:rsidR="00904FB5">
          <w:rPr>
            <w:noProof/>
            <w:webHidden/>
          </w:rPr>
          <w:fldChar w:fldCharType="begin"/>
        </w:r>
        <w:r w:rsidR="00904FB5">
          <w:rPr>
            <w:noProof/>
            <w:webHidden/>
          </w:rPr>
          <w:instrText xml:space="preserve"> PAGEREF _Toc53936213 \h </w:instrText>
        </w:r>
        <w:r w:rsidR="00904FB5">
          <w:rPr>
            <w:noProof/>
            <w:webHidden/>
          </w:rPr>
        </w:r>
        <w:r w:rsidR="00904FB5">
          <w:rPr>
            <w:noProof/>
            <w:webHidden/>
          </w:rPr>
          <w:fldChar w:fldCharType="separate"/>
        </w:r>
        <w:r w:rsidR="00904FB5">
          <w:rPr>
            <w:noProof/>
            <w:webHidden/>
          </w:rPr>
          <w:t>2</w:t>
        </w:r>
        <w:r w:rsidR="00904FB5">
          <w:rPr>
            <w:noProof/>
            <w:webHidden/>
          </w:rPr>
          <w:fldChar w:fldCharType="end"/>
        </w:r>
      </w:hyperlink>
    </w:p>
    <w:p w:rsidR="00904FB5" w:rsidRDefault="00B7765E" w:rsidP="005E35C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936214" w:history="1">
        <w:r w:rsidR="00904FB5" w:rsidRPr="00764B94">
          <w:rPr>
            <w:rStyle w:val="Hyperlink"/>
            <w:noProof/>
          </w:rPr>
          <w:t>Program and format for Preparatory Work in 2021</w:t>
        </w:r>
        <w:r w:rsidR="00904FB5">
          <w:rPr>
            <w:noProof/>
            <w:webHidden/>
          </w:rPr>
          <w:tab/>
        </w:r>
        <w:r w:rsidR="00904FB5">
          <w:rPr>
            <w:noProof/>
            <w:webHidden/>
          </w:rPr>
          <w:fldChar w:fldCharType="begin"/>
        </w:r>
        <w:r w:rsidR="00904FB5">
          <w:rPr>
            <w:noProof/>
            <w:webHidden/>
          </w:rPr>
          <w:instrText xml:space="preserve"> PAGEREF _Toc53936214 \h </w:instrText>
        </w:r>
        <w:r w:rsidR="00904FB5">
          <w:rPr>
            <w:noProof/>
            <w:webHidden/>
          </w:rPr>
        </w:r>
        <w:r w:rsidR="00904FB5">
          <w:rPr>
            <w:noProof/>
            <w:webHidden/>
          </w:rPr>
          <w:fldChar w:fldCharType="separate"/>
        </w:r>
        <w:r w:rsidR="00904FB5">
          <w:rPr>
            <w:noProof/>
            <w:webHidden/>
          </w:rPr>
          <w:t>2</w:t>
        </w:r>
        <w:r w:rsidR="00904FB5">
          <w:rPr>
            <w:noProof/>
            <w:webHidden/>
          </w:rPr>
          <w:fldChar w:fldCharType="end"/>
        </w:r>
      </w:hyperlink>
    </w:p>
    <w:p w:rsidR="00904FB5" w:rsidRDefault="00B7765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53936215" w:history="1">
        <w:r w:rsidR="00904FB5" w:rsidRPr="00764B94">
          <w:rPr>
            <w:rStyle w:val="Hyperlink"/>
            <w:noProof/>
            <w:snapToGrid w:val="0"/>
          </w:rPr>
          <w:t>Proposal:</w:t>
        </w:r>
        <w:r w:rsidR="00904FB5">
          <w:rPr>
            <w:noProof/>
            <w:webHidden/>
          </w:rPr>
          <w:tab/>
        </w:r>
        <w:r w:rsidR="00904FB5">
          <w:rPr>
            <w:noProof/>
            <w:webHidden/>
          </w:rPr>
          <w:fldChar w:fldCharType="begin"/>
        </w:r>
        <w:r w:rsidR="00904FB5">
          <w:rPr>
            <w:noProof/>
            <w:webHidden/>
          </w:rPr>
          <w:instrText xml:space="preserve"> PAGEREF _Toc53936215 \h </w:instrText>
        </w:r>
        <w:r w:rsidR="00904FB5">
          <w:rPr>
            <w:noProof/>
            <w:webHidden/>
          </w:rPr>
        </w:r>
        <w:r w:rsidR="00904FB5">
          <w:rPr>
            <w:noProof/>
            <w:webHidden/>
          </w:rPr>
          <w:fldChar w:fldCharType="separate"/>
        </w:r>
        <w:r w:rsidR="00904FB5">
          <w:rPr>
            <w:noProof/>
            <w:webHidden/>
          </w:rPr>
          <w:t>2</w:t>
        </w:r>
        <w:r w:rsidR="00904FB5">
          <w:rPr>
            <w:noProof/>
            <w:webHidden/>
          </w:rPr>
          <w:fldChar w:fldCharType="end"/>
        </w:r>
      </w:hyperlink>
    </w:p>
    <w:p w:rsidR="00644C1A" w:rsidRPr="003F5E6A" w:rsidRDefault="00644C1A" w:rsidP="00644C1A">
      <w:r w:rsidRPr="003F5E6A">
        <w:rPr>
          <w:rFonts w:cs="Arial"/>
          <w:snapToGrid w:val="0"/>
        </w:rPr>
        <w:fldChar w:fldCharType="end"/>
      </w:r>
    </w:p>
    <w:p w:rsidR="00644C1A" w:rsidRPr="003F5E6A" w:rsidRDefault="00644C1A" w:rsidP="00644C1A">
      <w:pPr>
        <w:pStyle w:val="Heading1"/>
      </w:pPr>
      <w:bookmarkStart w:id="4" w:name="_Toc53936212"/>
      <w:r w:rsidRPr="003F5E6A">
        <w:t>BACKGROUND</w:t>
      </w:r>
      <w:bookmarkEnd w:id="4"/>
    </w:p>
    <w:p w:rsidR="00644C1A" w:rsidRPr="003F5E6A" w:rsidRDefault="00644C1A" w:rsidP="00644C1A">
      <w:pPr>
        <w:keepNext/>
      </w:pPr>
    </w:p>
    <w:p w:rsidR="00644C1A" w:rsidRPr="003F5E6A" w:rsidRDefault="00644C1A" w:rsidP="00644C1A">
      <w:pPr>
        <w:autoSpaceDE w:val="0"/>
        <w:autoSpaceDN w:val="0"/>
        <w:adjustRightInd w:val="0"/>
        <w:rPr>
          <w:rFonts w:cs="Arial"/>
          <w:snapToGrid w:val="0"/>
        </w:rPr>
      </w:pPr>
      <w:r w:rsidRPr="003F5E6A">
        <w:rPr>
          <w:rFonts w:cs="Arial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  <w:t>The TC, at its thirty-eighth session</w:t>
      </w:r>
      <w:r w:rsidR="0031517A" w:rsidRPr="003F5E6A">
        <w:rPr>
          <w:rStyle w:val="FootnoteReference"/>
          <w:rFonts w:cs="Arial"/>
        </w:rPr>
        <w:footnoteReference w:id="2"/>
      </w:r>
      <w:r w:rsidR="0031517A" w:rsidRPr="003F5E6A">
        <w:rPr>
          <w:rFonts w:cs="Arial"/>
        </w:rPr>
        <w:t xml:space="preserve">, </w:t>
      </w:r>
      <w:r w:rsidRPr="003F5E6A">
        <w:rPr>
          <w:rFonts w:cs="Arial"/>
        </w:rPr>
        <w:t>agreed, on the basis of document TC/38/12, to the holding of a preparatory workshop before each Technical Working Party (TWP) meeting, with the aim of helping some of the delegates to participate more actively at the meeting (see document TC/38/16 “Report”, paragraphs 215 to 218).</w:t>
      </w:r>
    </w:p>
    <w:p w:rsidR="00644C1A" w:rsidRPr="003F5E6A" w:rsidRDefault="00644C1A" w:rsidP="00644C1A">
      <w:pPr>
        <w:ind w:left="567" w:hanging="567"/>
        <w:rPr>
          <w:rFonts w:cs="Arial"/>
          <w:snapToGrid w:val="0"/>
        </w:rPr>
      </w:pPr>
    </w:p>
    <w:p w:rsidR="00644C1A" w:rsidRPr="003F5E6A" w:rsidRDefault="00644C1A" w:rsidP="005E35C9">
      <w:pPr>
        <w:rPr>
          <w:rFonts w:cs="Arial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  <w:t>The TC, at its fifty-fourth session</w:t>
      </w:r>
      <w:r w:rsidR="0031517A" w:rsidRPr="003F5E6A">
        <w:rPr>
          <w:rStyle w:val="FootnoteReference"/>
          <w:snapToGrid w:val="0"/>
        </w:rPr>
        <w:footnoteReference w:id="3"/>
      </w:r>
      <w:r w:rsidRPr="003F5E6A">
        <w:rPr>
          <w:snapToGrid w:val="0"/>
        </w:rPr>
        <w:t xml:space="preserve">, </w:t>
      </w:r>
      <w:r w:rsidRPr="003F5E6A">
        <w:t>agreed the program for preparatory workshops for 2019</w:t>
      </w:r>
      <w:r w:rsidRPr="003F5E6A">
        <w:rPr>
          <w:rFonts w:cs="Arial"/>
        </w:rPr>
        <w:t xml:space="preserve">.  The TC agreed that the following contents </w:t>
      </w:r>
      <w:proofErr w:type="gramStart"/>
      <w:r w:rsidRPr="003F5E6A">
        <w:rPr>
          <w:rFonts w:cs="Arial"/>
        </w:rPr>
        <w:t>should be added</w:t>
      </w:r>
      <w:proofErr w:type="gramEnd"/>
      <w:r w:rsidRPr="003F5E6A">
        <w:rPr>
          <w:rFonts w:cs="Arial"/>
        </w:rPr>
        <w:t xml:space="preserve"> to the preparatory workshops </w:t>
      </w:r>
      <w:r w:rsidRPr="003F5E6A">
        <w:t>(see document TC/54/31 “Report”, paragraphs 323 to 327)</w:t>
      </w:r>
      <w:r w:rsidRPr="003F5E6A">
        <w:rPr>
          <w:rFonts w:cs="Arial"/>
        </w:rPr>
        <w:t>:</w:t>
      </w:r>
    </w:p>
    <w:p w:rsidR="00644C1A" w:rsidRPr="003F5E6A" w:rsidRDefault="00644C1A" w:rsidP="005E35C9">
      <w:pPr>
        <w:rPr>
          <w:rFonts w:cs="Arial"/>
        </w:rPr>
      </w:pPr>
    </w:p>
    <w:p w:rsidR="00644C1A" w:rsidRPr="003F5E6A" w:rsidRDefault="00644C1A" w:rsidP="005E35C9">
      <w:pPr>
        <w:pStyle w:val="ListParagraph"/>
        <w:numPr>
          <w:ilvl w:val="0"/>
          <w:numId w:val="1"/>
        </w:numPr>
        <w:rPr>
          <w:rFonts w:cs="Arial"/>
        </w:rPr>
      </w:pPr>
      <w:r w:rsidRPr="003F5E6A">
        <w:rPr>
          <w:rFonts w:cs="Arial"/>
        </w:rPr>
        <w:t>Procedure for the adoption of Test Guidelines by correspondence;</w:t>
      </w:r>
    </w:p>
    <w:p w:rsidR="00644C1A" w:rsidRPr="003F5E6A" w:rsidRDefault="00644C1A" w:rsidP="005E35C9">
      <w:pPr>
        <w:pStyle w:val="ListParagraph"/>
        <w:numPr>
          <w:ilvl w:val="0"/>
          <w:numId w:val="1"/>
        </w:numPr>
        <w:rPr>
          <w:rFonts w:cs="Arial"/>
        </w:rPr>
      </w:pPr>
      <w:r w:rsidRPr="003F5E6A">
        <w:rPr>
          <w:rFonts w:cs="Arial"/>
        </w:rPr>
        <w:t>Role of the leading expert drafting Test Guidelines and how to participate as an interested expert</w:t>
      </w:r>
    </w:p>
    <w:p w:rsidR="00644C1A" w:rsidRPr="003F5E6A" w:rsidRDefault="00644C1A" w:rsidP="005E35C9">
      <w:pPr>
        <w:pStyle w:val="ListParagraph"/>
        <w:numPr>
          <w:ilvl w:val="0"/>
          <w:numId w:val="1"/>
        </w:numPr>
        <w:rPr>
          <w:rFonts w:cs="Arial"/>
        </w:rPr>
      </w:pPr>
      <w:r w:rsidRPr="003F5E6A">
        <w:rPr>
          <w:rFonts w:cs="Arial"/>
        </w:rPr>
        <w:t>Possibilities for international cooperation in DUS examination</w:t>
      </w:r>
    </w:p>
    <w:p w:rsidR="00644C1A" w:rsidRPr="003F5E6A" w:rsidRDefault="00644C1A" w:rsidP="005E35C9">
      <w:pPr>
        <w:rPr>
          <w:snapToGrid w:val="0"/>
        </w:rPr>
      </w:pPr>
    </w:p>
    <w:p w:rsidR="00644C1A" w:rsidRPr="003F5E6A" w:rsidRDefault="00644C1A" w:rsidP="00644C1A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  <w:t>The TC</w:t>
      </w:r>
      <w:r w:rsidR="0031517A" w:rsidRPr="003F5E6A">
        <w:rPr>
          <w:snapToGrid w:val="0"/>
        </w:rPr>
        <w:t>, at its fifty-fourth session,</w:t>
      </w:r>
      <w:r w:rsidRPr="003F5E6A">
        <w:rPr>
          <w:snapToGrid w:val="0"/>
        </w:rPr>
        <w:t xml:space="preserve"> agreed that the Chairpersons of the TWPs should discuss in conjunction with the organizers, the Chairperson of the TC and the UPOV Office on the procedure for individual cases.</w:t>
      </w:r>
    </w:p>
    <w:p w:rsidR="00644C1A" w:rsidRPr="003F5E6A" w:rsidRDefault="00644C1A" w:rsidP="00644C1A"/>
    <w:p w:rsidR="0047340E" w:rsidRPr="003F5E6A" w:rsidRDefault="0047340E" w:rsidP="0047340E">
      <w:r w:rsidRPr="003F5E6A">
        <w:fldChar w:fldCharType="begin"/>
      </w:r>
      <w:r w:rsidRPr="003F5E6A">
        <w:instrText xml:space="preserve"> AUTONUM  </w:instrText>
      </w:r>
      <w:r w:rsidRPr="003F5E6A">
        <w:fldChar w:fldCharType="end"/>
      </w:r>
      <w:r w:rsidRPr="003F5E6A">
        <w:tab/>
        <w:t>The TC, at its fifty-fifth session</w:t>
      </w:r>
      <w:r w:rsidRPr="003F5E6A">
        <w:rPr>
          <w:rStyle w:val="FootnoteReference"/>
        </w:rPr>
        <w:footnoteReference w:id="4"/>
      </w:r>
      <w:r w:rsidRPr="003F5E6A">
        <w:t xml:space="preserve">, recalled that preparatory workshops were an opportunity for training local participants and agreed that TWP hosts should have the possibility to decide </w:t>
      </w:r>
      <w:proofErr w:type="gramStart"/>
      <w:r w:rsidRPr="003F5E6A">
        <w:t>whether or not</w:t>
      </w:r>
      <w:proofErr w:type="gramEnd"/>
      <w:r w:rsidRPr="003F5E6A">
        <w:t xml:space="preserve"> to organize a preparatory workshop prior to the TWP session (see document TC/55/25 “Report”, paragraphs 226 </w:t>
      </w:r>
      <w:r w:rsidR="006C5FF1" w:rsidRPr="003F5E6A">
        <w:t>and</w:t>
      </w:r>
      <w:r w:rsidRPr="003F5E6A">
        <w:t xml:space="preserve"> 22</w:t>
      </w:r>
      <w:r w:rsidR="006C5FF1" w:rsidRPr="003F5E6A">
        <w:t>7</w:t>
      </w:r>
      <w:r w:rsidRPr="003F5E6A">
        <w:t>).</w:t>
      </w:r>
    </w:p>
    <w:p w:rsidR="0047340E" w:rsidRPr="003F5E6A" w:rsidRDefault="0047340E" w:rsidP="0047340E"/>
    <w:p w:rsidR="0047340E" w:rsidRPr="003F5E6A" w:rsidRDefault="0047340E" w:rsidP="0047340E">
      <w:r w:rsidRPr="003F5E6A">
        <w:fldChar w:fldCharType="begin"/>
      </w:r>
      <w:r w:rsidRPr="003F5E6A">
        <w:instrText xml:space="preserve"> AUTONUM  </w:instrText>
      </w:r>
      <w:r w:rsidRPr="003F5E6A">
        <w:fldChar w:fldCharType="end"/>
      </w:r>
      <w:r w:rsidRPr="003F5E6A">
        <w:tab/>
        <w:t>The TC</w:t>
      </w:r>
      <w:r w:rsidR="006C5FF1" w:rsidRPr="003F5E6A">
        <w:t>,</w:t>
      </w:r>
      <w:r w:rsidRPr="003F5E6A">
        <w:t xml:space="preserve"> at its fifty-fifth session</w:t>
      </w:r>
      <w:r w:rsidR="00A62AD0" w:rsidRPr="003F5E6A">
        <w:t>,</w:t>
      </w:r>
      <w:r w:rsidRPr="003F5E6A">
        <w:t xml:space="preserve"> agreed that TWPs </w:t>
      </w:r>
      <w:proofErr w:type="gramStart"/>
      <w:r w:rsidRPr="003F5E6A">
        <w:t>should be invited</w:t>
      </w:r>
      <w:proofErr w:type="gramEnd"/>
      <w:r w:rsidRPr="003F5E6A">
        <w:t xml:space="preserve"> to discuss the possible organization of preparatory workshops when considering date and place of their future sessions.</w:t>
      </w:r>
    </w:p>
    <w:p w:rsidR="0031517A" w:rsidRPr="003F5E6A" w:rsidRDefault="0031517A" w:rsidP="00644C1A"/>
    <w:p w:rsidR="00644C1A" w:rsidRPr="003F5E6A" w:rsidRDefault="00644C1A" w:rsidP="00644C1A">
      <w:pPr>
        <w:pStyle w:val="Heading1"/>
        <w:rPr>
          <w:i/>
        </w:rPr>
      </w:pPr>
      <w:bookmarkStart w:id="5" w:name="_Toc524688361"/>
      <w:bookmarkStart w:id="6" w:name="_Toc53936213"/>
      <w:r w:rsidRPr="003F5E6A">
        <w:t xml:space="preserve">Report on Preparatory Workshops held in </w:t>
      </w:r>
      <w:bookmarkEnd w:id="5"/>
      <w:r w:rsidR="0031517A" w:rsidRPr="003F5E6A">
        <w:t>2020</w:t>
      </w:r>
      <w:bookmarkEnd w:id="6"/>
    </w:p>
    <w:p w:rsidR="00644C1A" w:rsidRPr="003F5E6A" w:rsidRDefault="00644C1A" w:rsidP="00644C1A">
      <w:pPr>
        <w:rPr>
          <w:rFonts w:cs="Arial"/>
          <w:i/>
        </w:rPr>
      </w:pPr>
    </w:p>
    <w:p w:rsidR="00D63607" w:rsidRPr="003F5E6A" w:rsidRDefault="00644C1A" w:rsidP="00644C1A">
      <w:r w:rsidRPr="003F5E6A">
        <w:rPr>
          <w:rFonts w:cs="Arial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</w:r>
      <w:r w:rsidR="0053184B" w:rsidRPr="003F5E6A">
        <w:rPr>
          <w:rFonts w:cs="Arial"/>
        </w:rPr>
        <w:t xml:space="preserve">No preparatory workshops </w:t>
      </w:r>
      <w:proofErr w:type="gramStart"/>
      <w:r w:rsidR="0053184B" w:rsidRPr="003F5E6A">
        <w:rPr>
          <w:rFonts w:cs="Arial"/>
        </w:rPr>
        <w:t>were held</w:t>
      </w:r>
      <w:proofErr w:type="gramEnd"/>
      <w:r w:rsidR="0053184B" w:rsidRPr="003F5E6A">
        <w:rPr>
          <w:rFonts w:cs="Arial"/>
        </w:rPr>
        <w:t xml:space="preserve"> in 2020</w:t>
      </w:r>
      <w:r w:rsidR="00D63607" w:rsidRPr="003F5E6A">
        <w:rPr>
          <w:rFonts w:cs="Arial"/>
        </w:rPr>
        <w:t xml:space="preserve"> due to the </w:t>
      </w:r>
      <w:r w:rsidR="00B91069" w:rsidRPr="003F5E6A">
        <w:t>measures taken in response to the COVID</w:t>
      </w:r>
      <w:r w:rsidR="00D63607" w:rsidRPr="003F5E6A">
        <w:t>-</w:t>
      </w:r>
      <w:r w:rsidR="00B91069" w:rsidRPr="003F5E6A">
        <w:t>19 pandemic</w:t>
      </w:r>
      <w:r w:rsidR="00D63607" w:rsidRPr="003F5E6A">
        <w:t>.  T</w:t>
      </w:r>
      <w:r w:rsidR="00B91069" w:rsidRPr="003F5E6A">
        <w:t xml:space="preserve">he TWPs and BMT sessions in 2020 </w:t>
      </w:r>
      <w:proofErr w:type="gramStart"/>
      <w:r w:rsidR="00B91069" w:rsidRPr="003F5E6A">
        <w:t>were held</w:t>
      </w:r>
      <w:proofErr w:type="gramEnd"/>
      <w:r w:rsidR="00B91069" w:rsidRPr="003F5E6A">
        <w:t xml:space="preserve"> via electronic means</w:t>
      </w:r>
      <w:r w:rsidR="007F32BC" w:rsidRPr="003F5E6A">
        <w:t xml:space="preserve"> </w:t>
      </w:r>
      <w:r w:rsidR="000520A1" w:rsidRPr="003F5E6A">
        <w:t>with</w:t>
      </w:r>
      <w:r w:rsidR="007F32BC" w:rsidRPr="003F5E6A">
        <w:t xml:space="preserve"> </w:t>
      </w:r>
      <w:r w:rsidR="000C6BB2" w:rsidRPr="003F5E6A">
        <w:t xml:space="preserve">preparatory </w:t>
      </w:r>
      <w:r w:rsidR="008C7727" w:rsidRPr="003F5E6A">
        <w:t xml:space="preserve">meetings </w:t>
      </w:r>
      <w:r w:rsidR="0071549A" w:rsidRPr="003F5E6A">
        <w:t xml:space="preserve">organized </w:t>
      </w:r>
      <w:r w:rsidR="007F32BC" w:rsidRPr="003F5E6A">
        <w:t xml:space="preserve">to enable </w:t>
      </w:r>
      <w:r w:rsidR="000520A1" w:rsidRPr="003F5E6A">
        <w:t>participants</w:t>
      </w:r>
      <w:r w:rsidR="008C7727" w:rsidRPr="003F5E6A">
        <w:t xml:space="preserve"> using the meeting platform.  </w:t>
      </w:r>
      <w:r w:rsidR="00D63607" w:rsidRPr="003F5E6A">
        <w:t xml:space="preserve">Written guidance </w:t>
      </w:r>
      <w:r w:rsidR="000520A1" w:rsidRPr="003F5E6A">
        <w:t>for different types of participants at</w:t>
      </w:r>
      <w:r w:rsidR="00D63607" w:rsidRPr="003F5E6A">
        <w:t xml:space="preserve"> </w:t>
      </w:r>
      <w:r w:rsidR="0071549A" w:rsidRPr="003F5E6A">
        <w:t>online meeting</w:t>
      </w:r>
      <w:r w:rsidR="000520A1" w:rsidRPr="003F5E6A">
        <w:t>s</w:t>
      </w:r>
      <w:r w:rsidR="0071549A" w:rsidRPr="003F5E6A">
        <w:t xml:space="preserve"> was developed </w:t>
      </w:r>
      <w:r w:rsidR="0053184B" w:rsidRPr="003F5E6A">
        <w:t>(delegates, leading experts, chairpersons)</w:t>
      </w:r>
      <w:r w:rsidR="008C7727" w:rsidRPr="003F5E6A">
        <w:t xml:space="preserve">. </w:t>
      </w:r>
      <w:r w:rsidR="0053184B" w:rsidRPr="003F5E6A">
        <w:t xml:space="preserve"> </w:t>
      </w:r>
    </w:p>
    <w:p w:rsidR="00A62AD0" w:rsidRPr="003F5E6A" w:rsidRDefault="00A62AD0" w:rsidP="00644C1A"/>
    <w:p w:rsidR="00644C1A" w:rsidRPr="003F5E6A" w:rsidRDefault="00644C1A" w:rsidP="00644C1A">
      <w:pPr>
        <w:pStyle w:val="Heading1"/>
        <w:rPr>
          <w:i/>
        </w:rPr>
      </w:pPr>
      <w:bookmarkStart w:id="7" w:name="_Toc524688363"/>
      <w:bookmarkStart w:id="8" w:name="_Toc53936214"/>
      <w:r w:rsidRPr="003F5E6A">
        <w:t xml:space="preserve">Program </w:t>
      </w:r>
      <w:r w:rsidR="00AD38C8" w:rsidRPr="003F5E6A">
        <w:t xml:space="preserve">and format </w:t>
      </w:r>
      <w:r w:rsidRPr="003F5E6A">
        <w:t>for Preparatory Work in 20</w:t>
      </w:r>
      <w:bookmarkEnd w:id="7"/>
      <w:r w:rsidRPr="003F5E6A">
        <w:t>2</w:t>
      </w:r>
      <w:r w:rsidR="004725F8" w:rsidRPr="003F5E6A">
        <w:t>1</w:t>
      </w:r>
      <w:bookmarkEnd w:id="8"/>
    </w:p>
    <w:p w:rsidR="00EA3FF1" w:rsidRPr="003F5E6A" w:rsidRDefault="00EA3FF1" w:rsidP="00644C1A">
      <w:pPr>
        <w:rPr>
          <w:rFonts w:cs="Arial"/>
        </w:rPr>
      </w:pPr>
    </w:p>
    <w:p w:rsidR="007E6352" w:rsidRPr="003F5E6A" w:rsidRDefault="006A425B" w:rsidP="006A425B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  <w:t xml:space="preserve">The TC, at its fifty-fourth session, agreed that the elements to </w:t>
      </w:r>
      <w:proofErr w:type="gramStart"/>
      <w:r w:rsidRPr="003F5E6A">
        <w:rPr>
          <w:snapToGrid w:val="0"/>
        </w:rPr>
        <w:t>be discussed</w:t>
      </w:r>
      <w:proofErr w:type="gramEnd"/>
      <w:r w:rsidRPr="003F5E6A">
        <w:rPr>
          <w:snapToGrid w:val="0"/>
        </w:rPr>
        <w:t xml:space="preserve"> during the preparatory workshop could be presented as an introduction to the respective agenda items during the normal program for the TWPs and BMT sessions</w:t>
      </w:r>
      <w:r w:rsidR="007E6352" w:rsidRPr="003F5E6A">
        <w:rPr>
          <w:snapToGrid w:val="0"/>
        </w:rPr>
        <w:t xml:space="preserve">. </w:t>
      </w:r>
      <w:r w:rsidRPr="003F5E6A">
        <w:rPr>
          <w:snapToGrid w:val="0"/>
        </w:rPr>
        <w:t xml:space="preserve"> </w:t>
      </w:r>
      <w:r w:rsidR="007E6352" w:rsidRPr="003F5E6A">
        <w:rPr>
          <w:snapToGrid w:val="0"/>
        </w:rPr>
        <w:t>The TC agreed that the group exercises should continue to take place and that a national workshop could take place on the day before the TWP sessions for local experts.</w:t>
      </w:r>
      <w:r w:rsidR="007E6352" w:rsidRPr="003F5E6A">
        <w:t xml:space="preserve"> </w:t>
      </w:r>
      <w:r w:rsidRPr="003F5E6A">
        <w:t>(</w:t>
      </w:r>
      <w:proofErr w:type="gramStart"/>
      <w:r w:rsidRPr="003F5E6A">
        <w:t>see</w:t>
      </w:r>
      <w:proofErr w:type="gramEnd"/>
      <w:r w:rsidRPr="003F5E6A">
        <w:t xml:space="preserve"> document TC/54/31 “Report”, paragraph 325)</w:t>
      </w:r>
      <w:r w:rsidRPr="003F5E6A">
        <w:rPr>
          <w:snapToGrid w:val="0"/>
        </w:rPr>
        <w:t xml:space="preserve">.  </w:t>
      </w:r>
    </w:p>
    <w:p w:rsidR="007E6352" w:rsidRPr="003F5E6A" w:rsidRDefault="007E6352" w:rsidP="006A425B">
      <w:pPr>
        <w:rPr>
          <w:snapToGrid w:val="0"/>
        </w:rPr>
      </w:pPr>
    </w:p>
    <w:p w:rsidR="006A425B" w:rsidRPr="003F5E6A" w:rsidRDefault="007E6352" w:rsidP="006A425B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</w:r>
      <w:r w:rsidR="00842923" w:rsidRPr="003F5E6A">
        <w:rPr>
          <w:snapToGrid w:val="0"/>
        </w:rPr>
        <w:t xml:space="preserve">The elements to </w:t>
      </w:r>
      <w:proofErr w:type="gramStart"/>
      <w:r w:rsidR="00842923" w:rsidRPr="003F5E6A">
        <w:rPr>
          <w:snapToGrid w:val="0"/>
        </w:rPr>
        <w:t>be discussed</w:t>
      </w:r>
      <w:proofErr w:type="gramEnd"/>
      <w:r w:rsidR="00842923" w:rsidRPr="003F5E6A">
        <w:rPr>
          <w:snapToGrid w:val="0"/>
        </w:rPr>
        <w:t xml:space="preserve"> during the preparatory workshop were presented as an introduction to the respective agenda items during the normal program </w:t>
      </w:r>
      <w:r w:rsidR="00EA3FF1" w:rsidRPr="003F5E6A">
        <w:rPr>
          <w:snapToGrid w:val="0"/>
        </w:rPr>
        <w:t>of</w:t>
      </w:r>
      <w:r w:rsidR="00842923" w:rsidRPr="003F5E6A">
        <w:rPr>
          <w:snapToGrid w:val="0"/>
        </w:rPr>
        <w:t xml:space="preserve"> </w:t>
      </w:r>
      <w:r w:rsidR="006A425B" w:rsidRPr="003F5E6A">
        <w:rPr>
          <w:snapToGrid w:val="0"/>
        </w:rPr>
        <w:t>the TWA, TWC, TWF and BMT</w:t>
      </w:r>
      <w:r w:rsidR="00842923" w:rsidRPr="003F5E6A">
        <w:rPr>
          <w:snapToGrid w:val="0"/>
        </w:rPr>
        <w:t>,</w:t>
      </w:r>
      <w:r w:rsidR="006A425B" w:rsidRPr="003F5E6A">
        <w:rPr>
          <w:snapToGrid w:val="0"/>
        </w:rPr>
        <w:t xml:space="preserve"> at their sessions in 2019.  </w:t>
      </w:r>
      <w:r w:rsidR="00AD38C8" w:rsidRPr="003F5E6A">
        <w:rPr>
          <w:snapToGrid w:val="0"/>
        </w:rPr>
        <w:t xml:space="preserve">Feedback from participants </w:t>
      </w:r>
      <w:r w:rsidRPr="003F5E6A">
        <w:rPr>
          <w:snapToGrid w:val="0"/>
        </w:rPr>
        <w:t xml:space="preserve">was not satisfactory, with mentions to </w:t>
      </w:r>
      <w:r w:rsidR="006A425B" w:rsidRPr="003F5E6A">
        <w:rPr>
          <w:snapToGrid w:val="0"/>
        </w:rPr>
        <w:t xml:space="preserve">insufficient </w:t>
      </w:r>
      <w:r w:rsidRPr="003F5E6A">
        <w:rPr>
          <w:snapToGrid w:val="0"/>
        </w:rPr>
        <w:t xml:space="preserve">time to address </w:t>
      </w:r>
      <w:r w:rsidR="00EA3FF1" w:rsidRPr="003F5E6A">
        <w:rPr>
          <w:snapToGrid w:val="0"/>
        </w:rPr>
        <w:t xml:space="preserve">the </w:t>
      </w:r>
      <w:r w:rsidRPr="003F5E6A">
        <w:rPr>
          <w:snapToGrid w:val="0"/>
        </w:rPr>
        <w:t xml:space="preserve">topics presented and </w:t>
      </w:r>
      <w:r w:rsidR="00EA3FF1" w:rsidRPr="003F5E6A">
        <w:rPr>
          <w:snapToGrid w:val="0"/>
        </w:rPr>
        <w:t>lack of</w:t>
      </w:r>
      <w:r w:rsidRPr="003F5E6A">
        <w:rPr>
          <w:snapToGrid w:val="0"/>
        </w:rPr>
        <w:t xml:space="preserve"> </w:t>
      </w:r>
      <w:r w:rsidR="006A425B" w:rsidRPr="003F5E6A">
        <w:rPr>
          <w:snapToGrid w:val="0"/>
        </w:rPr>
        <w:t>interaction</w:t>
      </w:r>
      <w:r w:rsidRPr="003F5E6A">
        <w:rPr>
          <w:snapToGrid w:val="0"/>
        </w:rPr>
        <w:t xml:space="preserve"> between new and experienced participants</w:t>
      </w:r>
      <w:r w:rsidR="006A425B" w:rsidRPr="003F5E6A">
        <w:rPr>
          <w:snapToGrid w:val="0"/>
        </w:rPr>
        <w:t xml:space="preserve">.  </w:t>
      </w:r>
    </w:p>
    <w:p w:rsidR="00EA3FF1" w:rsidRPr="003F5E6A" w:rsidRDefault="00EA3FF1" w:rsidP="00EA3FF1">
      <w:pPr>
        <w:rPr>
          <w:rFonts w:cs="Arial"/>
        </w:rPr>
      </w:pPr>
    </w:p>
    <w:p w:rsidR="00EA3FF1" w:rsidRPr="003F5E6A" w:rsidRDefault="00EA3FF1" w:rsidP="00EA3FF1">
      <w:r w:rsidRPr="003F5E6A">
        <w:fldChar w:fldCharType="begin"/>
      </w:r>
      <w:r w:rsidRPr="003F5E6A">
        <w:instrText xml:space="preserve"> AUTONUM  </w:instrText>
      </w:r>
      <w:r w:rsidRPr="003F5E6A">
        <w:fldChar w:fldCharType="end"/>
      </w:r>
      <w:r w:rsidRPr="003F5E6A">
        <w:tab/>
        <w:t>The TC, at its fifty-fifth session, agreed that the UPOV Office should explore the possibility of recording a “webinar” to make part of the content of the preparatory workshop available online for distance learning (see document TC/55/25 “Report”, paragraph 228).</w:t>
      </w:r>
      <w:r w:rsidR="00B1597F" w:rsidRPr="003F5E6A">
        <w:t xml:space="preserve">  </w:t>
      </w:r>
    </w:p>
    <w:p w:rsidR="006A425B" w:rsidRDefault="006A425B" w:rsidP="006A425B">
      <w:pPr>
        <w:rPr>
          <w:snapToGrid w:val="0"/>
        </w:rPr>
      </w:pPr>
    </w:p>
    <w:p w:rsidR="00567CF6" w:rsidRPr="003F5E6A" w:rsidRDefault="00567CF6" w:rsidP="005E35C9">
      <w:pPr>
        <w:pStyle w:val="Heading2"/>
        <w:rPr>
          <w:snapToGrid w:val="0"/>
        </w:rPr>
      </w:pPr>
      <w:bookmarkStart w:id="9" w:name="_Toc53936215"/>
      <w:r w:rsidRPr="003F5E6A">
        <w:rPr>
          <w:snapToGrid w:val="0"/>
        </w:rPr>
        <w:t>Proposal:</w:t>
      </w:r>
      <w:bookmarkEnd w:id="9"/>
    </w:p>
    <w:p w:rsidR="00B97338" w:rsidRPr="003F5E6A" w:rsidRDefault="00B97338" w:rsidP="006A425B">
      <w:pPr>
        <w:rPr>
          <w:snapToGrid w:val="0"/>
        </w:rPr>
      </w:pPr>
    </w:p>
    <w:p w:rsidR="00EA3FF1" w:rsidRPr="003F5E6A" w:rsidRDefault="00EA3FF1" w:rsidP="006A425B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</w:r>
      <w:r w:rsidR="005D1BAA">
        <w:rPr>
          <w:snapToGrid w:val="0"/>
        </w:rPr>
        <w:t>I</w:t>
      </w:r>
      <w:r w:rsidR="000E29B7" w:rsidRPr="003F5E6A">
        <w:rPr>
          <w:snapToGrid w:val="0"/>
        </w:rPr>
        <w:t>t</w:t>
      </w:r>
      <w:r w:rsidR="00567CF6" w:rsidRPr="003F5E6A">
        <w:rPr>
          <w:snapToGrid w:val="0"/>
        </w:rPr>
        <w:t xml:space="preserve"> </w:t>
      </w:r>
      <w:proofErr w:type="gramStart"/>
      <w:r w:rsidR="00567CF6" w:rsidRPr="003F5E6A">
        <w:rPr>
          <w:snapToGrid w:val="0"/>
        </w:rPr>
        <w:t>is proposed</w:t>
      </w:r>
      <w:proofErr w:type="gramEnd"/>
      <w:r w:rsidR="00567CF6" w:rsidRPr="003F5E6A">
        <w:rPr>
          <w:snapToGrid w:val="0"/>
        </w:rPr>
        <w:t xml:space="preserve"> that the preparatory workshops</w:t>
      </w:r>
      <w:r w:rsidR="005B79B9">
        <w:rPr>
          <w:snapToGrid w:val="0"/>
        </w:rPr>
        <w:t xml:space="preserve"> in 2</w:t>
      </w:r>
      <w:r w:rsidR="005D1BAA">
        <w:rPr>
          <w:snapToGrid w:val="0"/>
        </w:rPr>
        <w:t>021</w:t>
      </w:r>
      <w:r w:rsidR="00567CF6" w:rsidRPr="003F5E6A">
        <w:rPr>
          <w:snapToGrid w:val="0"/>
        </w:rPr>
        <w:t xml:space="preserve"> are </w:t>
      </w:r>
      <w:r w:rsidR="005D1BAA">
        <w:rPr>
          <w:snapToGrid w:val="0"/>
        </w:rPr>
        <w:t>organized in the form of</w:t>
      </w:r>
      <w:r w:rsidR="00567CF6" w:rsidRPr="003F5E6A">
        <w:rPr>
          <w:snapToGrid w:val="0"/>
        </w:rPr>
        <w:t xml:space="preserve"> a series of webinars </w:t>
      </w:r>
      <w:r w:rsidR="000E29B7" w:rsidRPr="003F5E6A">
        <w:rPr>
          <w:snapToGrid w:val="0"/>
        </w:rPr>
        <w:t xml:space="preserve">at </w:t>
      </w:r>
      <w:r w:rsidR="00C44D25" w:rsidRPr="003F5E6A">
        <w:rPr>
          <w:snapToGrid w:val="0"/>
        </w:rPr>
        <w:t>suitable dates according to the schedule of TWP sessions.  The webinar</w:t>
      </w:r>
      <w:r w:rsidR="005D1BAA">
        <w:rPr>
          <w:snapToGrid w:val="0"/>
        </w:rPr>
        <w:t xml:space="preserve"> presentations</w:t>
      </w:r>
      <w:r w:rsidR="00C44D25" w:rsidRPr="003F5E6A">
        <w:rPr>
          <w:snapToGrid w:val="0"/>
        </w:rPr>
        <w:t xml:space="preserve"> </w:t>
      </w:r>
      <w:proofErr w:type="gramStart"/>
      <w:r w:rsidR="005D1BAA">
        <w:rPr>
          <w:snapToGrid w:val="0"/>
        </w:rPr>
        <w:t>w</w:t>
      </w:r>
      <w:r w:rsidR="005D1BAA" w:rsidRPr="003F5E6A">
        <w:rPr>
          <w:snapToGrid w:val="0"/>
        </w:rPr>
        <w:t xml:space="preserve">ould </w:t>
      </w:r>
      <w:r w:rsidR="00567CF6" w:rsidRPr="003F5E6A">
        <w:rPr>
          <w:snapToGrid w:val="0"/>
        </w:rPr>
        <w:t xml:space="preserve">be </w:t>
      </w:r>
      <w:r w:rsidR="00C44D25" w:rsidRPr="003F5E6A">
        <w:rPr>
          <w:snapToGrid w:val="0"/>
        </w:rPr>
        <w:t xml:space="preserve">recorded and </w:t>
      </w:r>
      <w:r w:rsidR="00567CF6" w:rsidRPr="003F5E6A">
        <w:rPr>
          <w:snapToGrid w:val="0"/>
        </w:rPr>
        <w:t>made available online</w:t>
      </w:r>
      <w:r w:rsidR="005D1BAA">
        <w:rPr>
          <w:snapToGrid w:val="0"/>
        </w:rPr>
        <w:t>, but not the discussions</w:t>
      </w:r>
      <w:proofErr w:type="gramEnd"/>
      <w:r w:rsidR="00567CF6" w:rsidRPr="003F5E6A">
        <w:rPr>
          <w:snapToGrid w:val="0"/>
        </w:rPr>
        <w:t xml:space="preserve">. </w:t>
      </w:r>
      <w:r w:rsidR="00C44D25" w:rsidRPr="003F5E6A">
        <w:rPr>
          <w:snapToGrid w:val="0"/>
        </w:rPr>
        <w:t xml:space="preserve"> </w:t>
      </w:r>
    </w:p>
    <w:p w:rsidR="000E29B7" w:rsidRPr="003F5E6A" w:rsidRDefault="000E29B7" w:rsidP="006A425B">
      <w:pPr>
        <w:rPr>
          <w:snapToGrid w:val="0"/>
        </w:rPr>
      </w:pPr>
    </w:p>
    <w:p w:rsidR="00567CF6" w:rsidRPr="003F5E6A" w:rsidRDefault="00567CF6" w:rsidP="006A425B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  <w:t xml:space="preserve">Experts from members </w:t>
      </w:r>
      <w:proofErr w:type="gramStart"/>
      <w:r w:rsidR="005D1BAA">
        <w:rPr>
          <w:snapToGrid w:val="0"/>
        </w:rPr>
        <w:t>w</w:t>
      </w:r>
      <w:r w:rsidR="005D1BAA" w:rsidRPr="003F5E6A">
        <w:rPr>
          <w:snapToGrid w:val="0"/>
        </w:rPr>
        <w:t xml:space="preserve">ould </w:t>
      </w:r>
      <w:r w:rsidRPr="003F5E6A">
        <w:rPr>
          <w:snapToGrid w:val="0"/>
        </w:rPr>
        <w:t>be invited</w:t>
      </w:r>
      <w:proofErr w:type="gramEnd"/>
      <w:r w:rsidRPr="003F5E6A">
        <w:rPr>
          <w:snapToGrid w:val="0"/>
        </w:rPr>
        <w:t xml:space="preserve"> to make presentations on selected contents and act as panelists for discussions.  </w:t>
      </w:r>
    </w:p>
    <w:p w:rsidR="00EA3FF1" w:rsidRPr="003F5E6A" w:rsidRDefault="00EA3FF1" w:rsidP="006A425B">
      <w:pPr>
        <w:rPr>
          <w:snapToGrid w:val="0"/>
        </w:rPr>
      </w:pPr>
    </w:p>
    <w:p w:rsidR="00B97338" w:rsidRDefault="00B97338" w:rsidP="00B97338">
      <w:pPr>
        <w:rPr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D1BAA">
        <w:t>Practical e</w:t>
      </w:r>
      <w:r>
        <w:rPr>
          <w:snapToGrid w:val="0"/>
        </w:rPr>
        <w:t xml:space="preserve">xercises </w:t>
      </w:r>
      <w:proofErr w:type="gramStart"/>
      <w:r w:rsidR="005D1BAA">
        <w:rPr>
          <w:snapToGrid w:val="0"/>
        </w:rPr>
        <w:t>would</w:t>
      </w:r>
      <w:r w:rsidRPr="003F5E6A">
        <w:rPr>
          <w:snapToGrid w:val="0"/>
        </w:rPr>
        <w:t xml:space="preserve"> </w:t>
      </w:r>
      <w:r>
        <w:rPr>
          <w:snapToGrid w:val="0"/>
        </w:rPr>
        <w:t>be organized</w:t>
      </w:r>
      <w:proofErr w:type="gramEnd"/>
      <w:r w:rsidR="004569BB">
        <w:rPr>
          <w:snapToGrid w:val="0"/>
        </w:rPr>
        <w:t xml:space="preserve"> in accordance with the agreement of the TC at its fifty-fourth session</w:t>
      </w:r>
      <w:r>
        <w:rPr>
          <w:snapToGrid w:val="0"/>
        </w:rPr>
        <w:t>.</w:t>
      </w:r>
    </w:p>
    <w:p w:rsidR="00B97338" w:rsidRPr="003F5E6A" w:rsidRDefault="00B97338" w:rsidP="00B97338">
      <w:pPr>
        <w:rPr>
          <w:rFonts w:cs="Arial"/>
        </w:rPr>
      </w:pPr>
    </w:p>
    <w:p w:rsidR="00B97338" w:rsidRDefault="00B97338" w:rsidP="00B97338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</w:r>
      <w:r w:rsidR="004569BB">
        <w:rPr>
          <w:snapToGrid w:val="0"/>
        </w:rPr>
        <w:t>A</w:t>
      </w:r>
      <w:r w:rsidR="004569BB" w:rsidRPr="003F5E6A">
        <w:rPr>
          <w:snapToGrid w:val="0"/>
        </w:rPr>
        <w:t xml:space="preserve"> </w:t>
      </w:r>
      <w:r w:rsidRPr="003F5E6A">
        <w:rPr>
          <w:snapToGrid w:val="0"/>
        </w:rPr>
        <w:t xml:space="preserve">proposal to organize the preparatory workshops as online webinars </w:t>
      </w:r>
      <w:proofErr w:type="gramStart"/>
      <w:r w:rsidRPr="003F5E6A">
        <w:rPr>
          <w:snapToGrid w:val="0"/>
        </w:rPr>
        <w:t xml:space="preserve">is also </w:t>
      </w:r>
      <w:r w:rsidR="004569BB">
        <w:rPr>
          <w:snapToGrid w:val="0"/>
        </w:rPr>
        <w:t>considered</w:t>
      </w:r>
      <w:proofErr w:type="gramEnd"/>
      <w:r w:rsidR="004569BB" w:rsidRPr="003F5E6A">
        <w:rPr>
          <w:snapToGrid w:val="0"/>
        </w:rPr>
        <w:t xml:space="preserve"> </w:t>
      </w:r>
      <w:r w:rsidRPr="003F5E6A">
        <w:rPr>
          <w:snapToGrid w:val="0"/>
        </w:rPr>
        <w:t>in document TC/56/12 “Increasing participation of new members of the Union in the work of the TC and the TWPs.”</w:t>
      </w:r>
    </w:p>
    <w:p w:rsidR="00B97338" w:rsidRPr="003F5E6A" w:rsidRDefault="00B97338" w:rsidP="00B97338">
      <w:pPr>
        <w:rPr>
          <w:snapToGrid w:val="0"/>
        </w:rPr>
      </w:pPr>
    </w:p>
    <w:p w:rsidR="00567CF6" w:rsidRPr="003F5E6A" w:rsidRDefault="00567CF6" w:rsidP="006A425B">
      <w:pPr>
        <w:rPr>
          <w:snapToGrid w:val="0"/>
        </w:rPr>
      </w:pPr>
      <w:r w:rsidRPr="003F5E6A">
        <w:rPr>
          <w:snapToGrid w:val="0"/>
        </w:rPr>
        <w:fldChar w:fldCharType="begin"/>
      </w:r>
      <w:r w:rsidRPr="003F5E6A">
        <w:rPr>
          <w:snapToGrid w:val="0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3F5E6A">
        <w:rPr>
          <w:snapToGrid w:val="0"/>
        </w:rPr>
        <w:tab/>
      </w:r>
      <w:proofErr w:type="gramStart"/>
      <w:r w:rsidR="00B97338">
        <w:rPr>
          <w:snapToGrid w:val="0"/>
        </w:rPr>
        <w:t>D</w:t>
      </w:r>
      <w:r w:rsidRPr="003F5E6A">
        <w:rPr>
          <w:snapToGrid w:val="0"/>
        </w:rPr>
        <w:t>etailed arrangements concerning the webinars would be finalized by the Office of the Union in coordination with the chairpersons of the TWPs and BMT</w:t>
      </w:r>
      <w:proofErr w:type="gramEnd"/>
      <w:r w:rsidRPr="003F5E6A">
        <w:rPr>
          <w:snapToGrid w:val="0"/>
        </w:rPr>
        <w:t>.</w:t>
      </w:r>
    </w:p>
    <w:p w:rsidR="00567CF6" w:rsidRDefault="00567CF6" w:rsidP="006A425B">
      <w:pPr>
        <w:rPr>
          <w:snapToGrid w:val="0"/>
        </w:rPr>
      </w:pPr>
    </w:p>
    <w:p w:rsidR="00F90C7F" w:rsidRPr="003F5E6A" w:rsidRDefault="00142E57" w:rsidP="005E35C9">
      <w:pPr>
        <w:keepNext/>
      </w:pPr>
      <w:r w:rsidRPr="003F5E6A">
        <w:rPr>
          <w:rFonts w:cs="Arial"/>
        </w:rPr>
        <w:lastRenderedPageBreak/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</w:r>
      <w:r w:rsidR="001F7336">
        <w:rPr>
          <w:rFonts w:cs="Arial"/>
        </w:rPr>
        <w:t>T</w:t>
      </w:r>
      <w:r w:rsidR="00644C1A" w:rsidRPr="003F5E6A">
        <w:rPr>
          <w:rFonts w:cs="Arial"/>
        </w:rPr>
        <w:t xml:space="preserve">he following content </w:t>
      </w:r>
      <w:proofErr w:type="gramStart"/>
      <w:r w:rsidR="00644C1A" w:rsidRPr="003F5E6A">
        <w:rPr>
          <w:rFonts w:cs="Arial"/>
        </w:rPr>
        <w:t>is</w:t>
      </w:r>
      <w:r w:rsidR="001F7336">
        <w:rPr>
          <w:rFonts w:cs="Arial"/>
        </w:rPr>
        <w:t xml:space="preserve"> proposed</w:t>
      </w:r>
      <w:proofErr w:type="gramEnd"/>
      <w:r w:rsidR="001F7336">
        <w:rPr>
          <w:rFonts w:cs="Arial"/>
        </w:rPr>
        <w:t xml:space="preserve"> for the webinars in 2021:</w:t>
      </w:r>
    </w:p>
    <w:p w:rsidR="000E29B7" w:rsidRPr="003F5E6A" w:rsidRDefault="000E29B7" w:rsidP="005E35C9">
      <w:pPr>
        <w:keepNext/>
        <w:rPr>
          <w:rFonts w:cs="Arial"/>
        </w:rPr>
      </w:pPr>
    </w:p>
    <w:p w:rsidR="000E29B7" w:rsidRPr="003F5E6A" w:rsidRDefault="000E29B7" w:rsidP="005E35C9">
      <w:pPr>
        <w:keepNext/>
        <w:rPr>
          <w:rFonts w:cs="Arial"/>
        </w:rPr>
      </w:pPr>
      <w:r w:rsidRPr="003F5E6A">
        <w:rPr>
          <w:rFonts w:cs="Arial"/>
        </w:rPr>
        <w:t>Webinar 1:</w:t>
      </w:r>
    </w:p>
    <w:p w:rsidR="000E29B7" w:rsidRPr="003F5E6A" w:rsidRDefault="000E29B7" w:rsidP="005E35C9">
      <w:pPr>
        <w:keepNext/>
        <w:rPr>
          <w:rFonts w:cs="Arial"/>
        </w:rPr>
      </w:pPr>
    </w:p>
    <w:p w:rsidR="00644C1A" w:rsidRPr="001C2C8A" w:rsidRDefault="00644C1A" w:rsidP="005E35C9">
      <w:pPr>
        <w:pStyle w:val="ListParagraph"/>
        <w:keepNext/>
        <w:numPr>
          <w:ilvl w:val="1"/>
          <w:numId w:val="15"/>
        </w:numPr>
        <w:spacing w:line="276" w:lineRule="auto"/>
        <w:ind w:left="1134" w:hanging="567"/>
        <w:rPr>
          <w:rFonts w:cs="Arial"/>
        </w:rPr>
      </w:pPr>
      <w:r w:rsidRPr="001C2C8A">
        <w:rPr>
          <w:rFonts w:cs="Arial"/>
        </w:rPr>
        <w:t>Introduction to UPOV and the role of UPOV Technical Working Parties (TWPs)</w:t>
      </w:r>
    </w:p>
    <w:p w:rsidR="00644C1A" w:rsidRPr="001C2C8A" w:rsidRDefault="00644C1A" w:rsidP="005E35C9">
      <w:pPr>
        <w:pStyle w:val="ListParagraph"/>
        <w:keepNext/>
        <w:numPr>
          <w:ilvl w:val="1"/>
          <w:numId w:val="15"/>
        </w:numPr>
        <w:spacing w:line="276" w:lineRule="auto"/>
        <w:ind w:left="1134" w:hanging="567"/>
        <w:rPr>
          <w:rFonts w:cs="Arial"/>
        </w:rPr>
      </w:pPr>
      <w:r w:rsidRPr="001C2C8A">
        <w:rPr>
          <w:rFonts w:cs="Arial"/>
        </w:rPr>
        <w:t>Overview of the General Introduction (document TG/1/3 and TGP documents)</w:t>
      </w:r>
    </w:p>
    <w:p w:rsidR="00644C1A" w:rsidRPr="003F5E6A" w:rsidRDefault="00644C1A" w:rsidP="001C2C8A">
      <w:pPr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rFonts w:cs="Arial"/>
        </w:rPr>
      </w:pPr>
      <w:r w:rsidRPr="003F5E6A">
        <w:rPr>
          <w:rFonts w:cs="Arial"/>
        </w:rPr>
        <w:t>Characteristics as the Basis for DUS Examination and Selection of Characteristics.</w:t>
      </w:r>
    </w:p>
    <w:p w:rsidR="000E29B7" w:rsidRPr="003F5E6A" w:rsidRDefault="000E29B7" w:rsidP="000E29B7">
      <w:pPr>
        <w:spacing w:line="276" w:lineRule="auto"/>
        <w:rPr>
          <w:rFonts w:cs="Arial"/>
        </w:rPr>
      </w:pPr>
    </w:p>
    <w:p w:rsidR="000E29B7" w:rsidRPr="003F5E6A" w:rsidRDefault="000E29B7" w:rsidP="000E29B7">
      <w:pPr>
        <w:spacing w:line="276" w:lineRule="auto"/>
        <w:rPr>
          <w:rFonts w:cs="Arial"/>
        </w:rPr>
      </w:pPr>
      <w:r w:rsidRPr="003F5E6A">
        <w:rPr>
          <w:rFonts w:cs="Arial"/>
        </w:rPr>
        <w:t>Webinar 2:</w:t>
      </w:r>
    </w:p>
    <w:p w:rsidR="000E29B7" w:rsidRPr="003F5E6A" w:rsidRDefault="000E29B7" w:rsidP="000E29B7">
      <w:pPr>
        <w:spacing w:line="276" w:lineRule="auto"/>
        <w:rPr>
          <w:rFonts w:cs="Arial"/>
        </w:rPr>
      </w:pPr>
    </w:p>
    <w:p w:rsidR="00BE035F" w:rsidRPr="003F5E6A" w:rsidRDefault="00BE035F" w:rsidP="00777F74">
      <w:pPr>
        <w:spacing w:line="276" w:lineRule="auto"/>
        <w:ind w:left="567"/>
        <w:rPr>
          <w:rFonts w:cs="Arial"/>
        </w:rPr>
      </w:pPr>
      <w:r w:rsidRPr="003F5E6A">
        <w:rPr>
          <w:rFonts w:cs="Arial"/>
        </w:rPr>
        <w:t xml:space="preserve">Guidance on drafting Test Guidelines </w:t>
      </w:r>
      <w:r w:rsidR="00890FE0">
        <w:rPr>
          <w:rFonts w:cs="Arial"/>
        </w:rPr>
        <w:t xml:space="preserve">– part I </w:t>
      </w:r>
      <w:r w:rsidRPr="003F5E6A">
        <w:rPr>
          <w:rFonts w:cs="Arial"/>
        </w:rPr>
        <w:t xml:space="preserve">(document TGP/7) </w:t>
      </w:r>
    </w:p>
    <w:p w:rsidR="00644C1A" w:rsidRPr="003F5E6A" w:rsidRDefault="00644C1A" w:rsidP="00777F74">
      <w:pPr>
        <w:numPr>
          <w:ilvl w:val="0"/>
          <w:numId w:val="7"/>
        </w:numPr>
        <w:tabs>
          <w:tab w:val="clear" w:pos="1689"/>
          <w:tab w:val="num" w:pos="1134"/>
        </w:tabs>
        <w:spacing w:line="276" w:lineRule="auto"/>
        <w:ind w:left="567" w:firstLine="0"/>
        <w:rPr>
          <w:rFonts w:cs="Arial"/>
        </w:rPr>
      </w:pPr>
      <w:r w:rsidRPr="003F5E6A">
        <w:rPr>
          <w:rFonts w:cs="Arial"/>
        </w:rPr>
        <w:t>Method of Observation (MS, MG, VS, VG);</w:t>
      </w:r>
    </w:p>
    <w:p w:rsidR="00644C1A" w:rsidRPr="003F5E6A" w:rsidRDefault="00644C1A" w:rsidP="00777F74">
      <w:pPr>
        <w:numPr>
          <w:ilvl w:val="0"/>
          <w:numId w:val="7"/>
        </w:numPr>
        <w:tabs>
          <w:tab w:val="clear" w:pos="1689"/>
          <w:tab w:val="left" w:pos="567"/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ind w:left="567" w:firstLine="0"/>
        <w:rPr>
          <w:rFonts w:cs="Arial"/>
        </w:rPr>
      </w:pPr>
      <w:r w:rsidRPr="003F5E6A">
        <w:rPr>
          <w:rFonts w:cs="Arial"/>
        </w:rPr>
        <w:t>Types of Expression (QL, PQ, QN), notes and distinctness;</w:t>
      </w:r>
    </w:p>
    <w:p w:rsidR="00BE035F" w:rsidRPr="003F5E6A" w:rsidRDefault="00BE035F" w:rsidP="00BE035F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</w:rPr>
      </w:pPr>
    </w:p>
    <w:p w:rsidR="00777F74" w:rsidRPr="003F5E6A" w:rsidRDefault="00777F74" w:rsidP="00BE035F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</w:rPr>
      </w:pPr>
      <w:r w:rsidRPr="003F5E6A">
        <w:rPr>
          <w:rFonts w:cs="Arial"/>
        </w:rPr>
        <w:t>Webinar 3:</w:t>
      </w:r>
    </w:p>
    <w:p w:rsidR="00777F74" w:rsidRPr="003F5E6A" w:rsidRDefault="00777F74" w:rsidP="00BE035F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</w:rPr>
      </w:pPr>
    </w:p>
    <w:p w:rsidR="00BE035F" w:rsidRPr="003F5E6A" w:rsidRDefault="00BE035F" w:rsidP="00777F74">
      <w:pPr>
        <w:spacing w:line="276" w:lineRule="auto"/>
        <w:ind w:left="567"/>
        <w:rPr>
          <w:rFonts w:cs="Arial"/>
        </w:rPr>
      </w:pPr>
      <w:r w:rsidRPr="003F5E6A">
        <w:rPr>
          <w:rFonts w:cs="Arial"/>
        </w:rPr>
        <w:t xml:space="preserve">Guidance on drafting Test Guidelines </w:t>
      </w:r>
      <w:r w:rsidR="00890FE0">
        <w:rPr>
          <w:rFonts w:cs="Arial"/>
        </w:rPr>
        <w:t xml:space="preserve">– part II </w:t>
      </w:r>
      <w:r w:rsidRPr="003F5E6A">
        <w:rPr>
          <w:rFonts w:cs="Arial"/>
        </w:rPr>
        <w:t xml:space="preserve">(document TGP/7) </w:t>
      </w:r>
    </w:p>
    <w:p w:rsidR="00BE035F" w:rsidRPr="003F5E6A" w:rsidRDefault="00BE035F" w:rsidP="00777F74">
      <w:pPr>
        <w:numPr>
          <w:ilvl w:val="0"/>
          <w:numId w:val="12"/>
        </w:numPr>
        <w:tabs>
          <w:tab w:val="left" w:pos="1134"/>
        </w:tabs>
        <w:spacing w:line="276" w:lineRule="auto"/>
        <w:ind w:left="567" w:firstLine="0"/>
        <w:rPr>
          <w:rFonts w:cs="Arial"/>
        </w:rPr>
      </w:pPr>
      <w:r w:rsidRPr="003F5E6A">
        <w:rPr>
          <w:rFonts w:cs="Arial"/>
        </w:rPr>
        <w:t>Subject of the Test Guidelines, Material Required and Method of Examination;</w:t>
      </w:r>
    </w:p>
    <w:p w:rsidR="00644C1A" w:rsidRPr="003F5E6A" w:rsidRDefault="00644C1A" w:rsidP="00777F74">
      <w:pPr>
        <w:numPr>
          <w:ilvl w:val="0"/>
          <w:numId w:val="12"/>
        </w:numPr>
        <w:tabs>
          <w:tab w:val="left" w:pos="1134"/>
        </w:tabs>
        <w:spacing w:line="276" w:lineRule="auto"/>
        <w:ind w:left="567" w:firstLine="0"/>
        <w:rPr>
          <w:rFonts w:cs="Arial"/>
        </w:rPr>
      </w:pPr>
      <w:r w:rsidRPr="003F5E6A">
        <w:rPr>
          <w:rFonts w:cs="Arial"/>
        </w:rPr>
        <w:t>Shape and Color Characteristics;</w:t>
      </w:r>
    </w:p>
    <w:p w:rsidR="00644C1A" w:rsidRPr="003F5E6A" w:rsidRDefault="00644C1A" w:rsidP="00777F74">
      <w:pPr>
        <w:numPr>
          <w:ilvl w:val="0"/>
          <w:numId w:val="12"/>
        </w:numPr>
        <w:tabs>
          <w:tab w:val="left" w:pos="1134"/>
        </w:tabs>
        <w:spacing w:line="276" w:lineRule="auto"/>
        <w:ind w:left="567" w:firstLine="0"/>
        <w:rPr>
          <w:rFonts w:cs="Arial"/>
        </w:rPr>
      </w:pPr>
      <w:r w:rsidRPr="003F5E6A">
        <w:rPr>
          <w:rFonts w:cs="Arial"/>
        </w:rPr>
        <w:t>Example Varieties;</w:t>
      </w:r>
    </w:p>
    <w:p w:rsidR="000E29B7" w:rsidRPr="003F5E6A" w:rsidRDefault="000E29B7" w:rsidP="000E29B7">
      <w:pPr>
        <w:spacing w:line="276" w:lineRule="auto"/>
        <w:rPr>
          <w:rFonts w:cs="Arial"/>
        </w:rPr>
      </w:pPr>
    </w:p>
    <w:p w:rsidR="00777F74" w:rsidRPr="003F5E6A" w:rsidRDefault="00777F74" w:rsidP="000E29B7">
      <w:pPr>
        <w:spacing w:line="276" w:lineRule="auto"/>
        <w:rPr>
          <w:rFonts w:cs="Arial"/>
        </w:rPr>
      </w:pPr>
      <w:r w:rsidRPr="003F5E6A">
        <w:rPr>
          <w:rFonts w:cs="Arial"/>
        </w:rPr>
        <w:t>Webinar 4:</w:t>
      </w:r>
    </w:p>
    <w:p w:rsidR="00777F74" w:rsidRPr="003F5E6A" w:rsidRDefault="00777F74" w:rsidP="000E29B7">
      <w:pPr>
        <w:spacing w:line="276" w:lineRule="auto"/>
        <w:rPr>
          <w:rFonts w:cs="Arial"/>
        </w:rPr>
      </w:pPr>
    </w:p>
    <w:p w:rsidR="00777F74" w:rsidRPr="003F5E6A" w:rsidRDefault="00644C1A" w:rsidP="00777F74">
      <w:pPr>
        <w:tabs>
          <w:tab w:val="left" w:pos="1134"/>
        </w:tabs>
        <w:spacing w:line="276" w:lineRule="auto"/>
        <w:ind w:left="567"/>
        <w:rPr>
          <w:rFonts w:cs="Arial"/>
          <w:snapToGrid w:val="0"/>
          <w:color w:val="000000"/>
        </w:rPr>
      </w:pPr>
      <w:r w:rsidRPr="003F5E6A">
        <w:rPr>
          <w:rFonts w:cs="Arial"/>
          <w:snapToGrid w:val="0"/>
          <w:color w:val="000000"/>
        </w:rPr>
        <w:t>The process for developing UPOV Test Guidelines:</w:t>
      </w:r>
    </w:p>
    <w:p w:rsidR="00644C1A" w:rsidRPr="003F5E6A" w:rsidRDefault="00777F74" w:rsidP="00777F74">
      <w:pPr>
        <w:tabs>
          <w:tab w:val="left" w:pos="1134"/>
        </w:tabs>
        <w:spacing w:line="276" w:lineRule="auto"/>
        <w:ind w:left="567"/>
        <w:rPr>
          <w:rFonts w:cs="Arial"/>
        </w:rPr>
      </w:pPr>
      <w:r w:rsidRPr="003F5E6A">
        <w:rPr>
          <w:rFonts w:cs="Arial"/>
          <w:snapToGrid w:val="0"/>
          <w:color w:val="000000"/>
        </w:rPr>
        <w:t>(a)</w:t>
      </w:r>
      <w:r w:rsidRPr="003F5E6A">
        <w:rPr>
          <w:rFonts w:cs="Arial"/>
          <w:snapToGrid w:val="0"/>
          <w:color w:val="000000"/>
        </w:rPr>
        <w:tab/>
      </w:r>
      <w:r w:rsidR="00644C1A" w:rsidRPr="003F5E6A">
        <w:rPr>
          <w:rFonts w:cs="Arial"/>
        </w:rPr>
        <w:t>Web-based</w:t>
      </w:r>
      <w:r w:rsidR="00644C1A" w:rsidRPr="003F5E6A">
        <w:rPr>
          <w:rFonts w:cs="Arial"/>
          <w:snapToGrid w:val="0"/>
          <w:color w:val="000000"/>
        </w:rPr>
        <w:t xml:space="preserve"> T</w:t>
      </w:r>
      <w:r w:rsidR="00644C1A" w:rsidRPr="003F5E6A">
        <w:rPr>
          <w:rFonts w:cs="Arial"/>
        </w:rPr>
        <w:t>G Template; Additional Standard Wording; and Guidance Notes;</w:t>
      </w:r>
    </w:p>
    <w:p w:rsidR="00644C1A" w:rsidRPr="003F5E6A" w:rsidRDefault="00884914" w:rsidP="00884914">
      <w:pPr>
        <w:tabs>
          <w:tab w:val="left" w:pos="1134"/>
        </w:tabs>
        <w:spacing w:line="276" w:lineRule="auto"/>
        <w:ind w:left="567"/>
        <w:rPr>
          <w:rFonts w:cs="Arial"/>
        </w:rPr>
      </w:pPr>
      <w:r w:rsidRPr="003F5E6A">
        <w:rPr>
          <w:rFonts w:cs="Arial"/>
        </w:rPr>
        <w:t>(b)</w:t>
      </w:r>
      <w:r w:rsidRPr="003F5E6A">
        <w:rPr>
          <w:rFonts w:cs="Arial"/>
        </w:rPr>
        <w:tab/>
      </w:r>
      <w:r w:rsidR="00644C1A" w:rsidRPr="003F5E6A">
        <w:rPr>
          <w:rFonts w:cs="Arial"/>
        </w:rPr>
        <w:t xml:space="preserve">Role of the leading expert drafting </w:t>
      </w:r>
      <w:proofErr w:type="gramStart"/>
      <w:r w:rsidR="00644C1A" w:rsidRPr="003F5E6A">
        <w:rPr>
          <w:rFonts w:cs="Arial"/>
        </w:rPr>
        <w:t>Test Guidelines and how to participate as an interested expert</w:t>
      </w:r>
      <w:proofErr w:type="gramEnd"/>
    </w:p>
    <w:p w:rsidR="00BE035F" w:rsidRPr="003F5E6A" w:rsidRDefault="00BE035F" w:rsidP="00884914">
      <w:pPr>
        <w:tabs>
          <w:tab w:val="left" w:pos="567"/>
        </w:tabs>
        <w:spacing w:line="276" w:lineRule="auto"/>
        <w:rPr>
          <w:rFonts w:cs="Arial"/>
        </w:rPr>
      </w:pPr>
    </w:p>
    <w:p w:rsidR="00884914" w:rsidRPr="003F5E6A" w:rsidRDefault="00884914" w:rsidP="00884914">
      <w:pPr>
        <w:tabs>
          <w:tab w:val="left" w:pos="567"/>
        </w:tabs>
        <w:spacing w:line="276" w:lineRule="auto"/>
        <w:rPr>
          <w:rFonts w:cs="Arial"/>
        </w:rPr>
      </w:pPr>
      <w:r w:rsidRPr="003F5E6A">
        <w:rPr>
          <w:rFonts w:cs="Arial"/>
        </w:rPr>
        <w:t>Webinar 5:</w:t>
      </w:r>
    </w:p>
    <w:p w:rsidR="00884914" w:rsidRPr="003F5E6A" w:rsidRDefault="00884914" w:rsidP="00884914">
      <w:pPr>
        <w:tabs>
          <w:tab w:val="left" w:pos="567"/>
        </w:tabs>
        <w:spacing w:line="276" w:lineRule="auto"/>
        <w:rPr>
          <w:rFonts w:cs="Arial"/>
        </w:rPr>
      </w:pPr>
    </w:p>
    <w:p w:rsidR="00644C1A" w:rsidRPr="003F5E6A" w:rsidRDefault="00644C1A" w:rsidP="00884914">
      <w:pPr>
        <w:keepNext/>
        <w:keepLines/>
        <w:spacing w:line="276" w:lineRule="auto"/>
        <w:ind w:firstLine="567"/>
        <w:rPr>
          <w:rFonts w:cs="Arial"/>
        </w:rPr>
      </w:pPr>
      <w:r w:rsidRPr="003F5E6A">
        <w:rPr>
          <w:rFonts w:cs="Arial"/>
        </w:rPr>
        <w:t>UPOV online resources</w:t>
      </w:r>
    </w:p>
    <w:p w:rsidR="00644C1A" w:rsidRPr="003F5E6A" w:rsidRDefault="00644C1A" w:rsidP="00884914">
      <w:pPr>
        <w:numPr>
          <w:ilvl w:val="2"/>
          <w:numId w:val="5"/>
        </w:numPr>
        <w:spacing w:line="276" w:lineRule="auto"/>
        <w:ind w:left="1134" w:hanging="567"/>
        <w:rPr>
          <w:rFonts w:cs="Arial"/>
        </w:rPr>
      </w:pPr>
      <w:r w:rsidRPr="003F5E6A">
        <w:rPr>
          <w:rFonts w:cs="Arial"/>
        </w:rPr>
        <w:t xml:space="preserve">UPOV member </w:t>
      </w:r>
      <w:r w:rsidR="00B97338">
        <w:rPr>
          <w:rFonts w:cs="Arial"/>
        </w:rPr>
        <w:t>laws:  UPOV Lex</w:t>
      </w:r>
    </w:p>
    <w:p w:rsidR="00644C1A" w:rsidRPr="003F5E6A" w:rsidRDefault="00644C1A" w:rsidP="00884914">
      <w:pPr>
        <w:numPr>
          <w:ilvl w:val="2"/>
          <w:numId w:val="5"/>
        </w:numPr>
        <w:spacing w:line="276" w:lineRule="auto"/>
        <w:ind w:left="1134" w:hanging="567"/>
        <w:rPr>
          <w:rFonts w:cs="Arial"/>
          <w:spacing w:val="-2"/>
        </w:rPr>
      </w:pPr>
      <w:r w:rsidRPr="003F5E6A">
        <w:rPr>
          <w:rFonts w:cs="Arial"/>
          <w:spacing w:val="-2"/>
        </w:rPr>
        <w:t>PBR Applications:  UPOV PRISMA PBR Application Tool</w:t>
      </w:r>
    </w:p>
    <w:p w:rsidR="00644C1A" w:rsidRPr="005B79B9" w:rsidRDefault="00644C1A" w:rsidP="00884914">
      <w:pPr>
        <w:numPr>
          <w:ilvl w:val="2"/>
          <w:numId w:val="5"/>
        </w:numPr>
        <w:spacing w:line="276" w:lineRule="auto"/>
        <w:ind w:left="1134" w:hanging="567"/>
        <w:rPr>
          <w:rFonts w:cs="Arial"/>
          <w:spacing w:val="-2"/>
          <w:lang w:val="fr-CH"/>
        </w:rPr>
      </w:pPr>
      <w:r w:rsidRPr="005B79B9">
        <w:rPr>
          <w:rFonts w:cs="Arial"/>
          <w:spacing w:val="-2"/>
          <w:lang w:val="fr-CH"/>
        </w:rPr>
        <w:t xml:space="preserve">DUS </w:t>
      </w:r>
      <w:proofErr w:type="spellStart"/>
      <w:r w:rsidRPr="005B79B9">
        <w:rPr>
          <w:rFonts w:cs="Arial"/>
          <w:spacing w:val="-2"/>
          <w:lang w:val="fr-CH"/>
        </w:rPr>
        <w:t>Examination</w:t>
      </w:r>
      <w:proofErr w:type="spellEnd"/>
      <w:r w:rsidRPr="005B79B9">
        <w:rPr>
          <w:rFonts w:cs="Arial"/>
          <w:spacing w:val="-2"/>
          <w:lang w:val="fr-CH"/>
        </w:rPr>
        <w:t xml:space="preserve">:  GENIE </w:t>
      </w:r>
      <w:proofErr w:type="spellStart"/>
      <w:r w:rsidRPr="005B79B9">
        <w:rPr>
          <w:rFonts w:cs="Arial"/>
          <w:spacing w:val="-2"/>
          <w:lang w:val="fr-CH"/>
        </w:rPr>
        <w:t>database</w:t>
      </w:r>
      <w:proofErr w:type="spellEnd"/>
      <w:r w:rsidRPr="005B79B9">
        <w:rPr>
          <w:rFonts w:cs="Arial"/>
          <w:spacing w:val="-2"/>
          <w:lang w:val="fr-CH"/>
        </w:rPr>
        <w:t>, UPOV Code</w:t>
      </w:r>
    </w:p>
    <w:p w:rsidR="001868A9" w:rsidRPr="003F5E6A" w:rsidRDefault="00644C1A" w:rsidP="001868A9">
      <w:pPr>
        <w:numPr>
          <w:ilvl w:val="2"/>
          <w:numId w:val="5"/>
        </w:numPr>
        <w:spacing w:line="276" w:lineRule="auto"/>
        <w:ind w:left="1134" w:hanging="567"/>
        <w:rPr>
          <w:rFonts w:cs="Arial"/>
          <w:spacing w:val="-2"/>
        </w:rPr>
      </w:pPr>
      <w:r w:rsidRPr="003F5E6A">
        <w:rPr>
          <w:rFonts w:cs="Arial"/>
          <w:spacing w:val="-2"/>
        </w:rPr>
        <w:t>Variety denomination/novelty:  PLUTO database</w:t>
      </w:r>
    </w:p>
    <w:p w:rsidR="001868A9" w:rsidRPr="003F5E6A" w:rsidRDefault="001868A9" w:rsidP="001868A9">
      <w:pPr>
        <w:spacing w:line="276" w:lineRule="auto"/>
        <w:rPr>
          <w:rFonts w:cs="Arial"/>
          <w:spacing w:val="-2"/>
        </w:rPr>
      </w:pPr>
    </w:p>
    <w:p w:rsidR="001868A9" w:rsidRDefault="001868A9" w:rsidP="001868A9">
      <w:pPr>
        <w:spacing w:line="276" w:lineRule="auto"/>
        <w:rPr>
          <w:rFonts w:cs="Arial"/>
          <w:spacing w:val="-2"/>
        </w:rPr>
      </w:pPr>
      <w:r w:rsidRPr="003F5E6A">
        <w:rPr>
          <w:rFonts w:cs="Arial"/>
          <w:spacing w:val="-2"/>
        </w:rPr>
        <w:t>Webinar 6:</w:t>
      </w:r>
    </w:p>
    <w:p w:rsidR="003F5E6A" w:rsidRPr="003F5E6A" w:rsidRDefault="003F5E6A" w:rsidP="001868A9">
      <w:pPr>
        <w:spacing w:line="276" w:lineRule="auto"/>
        <w:rPr>
          <w:rFonts w:cs="Arial"/>
          <w:spacing w:val="-2"/>
        </w:rPr>
      </w:pPr>
    </w:p>
    <w:p w:rsidR="00644C1A" w:rsidRPr="003F5E6A" w:rsidRDefault="00644C1A" w:rsidP="001C2C8A">
      <w:pPr>
        <w:pStyle w:val="ListParagraph"/>
        <w:numPr>
          <w:ilvl w:val="0"/>
          <w:numId w:val="16"/>
        </w:numPr>
        <w:ind w:left="1134" w:hanging="567"/>
      </w:pPr>
      <w:r w:rsidRPr="003F5E6A">
        <w:t>Situation in UPOV Concerning the Possible Use of Molecular Techniques in DUS Examination</w:t>
      </w:r>
    </w:p>
    <w:p w:rsidR="00644C1A" w:rsidRPr="003F5E6A" w:rsidRDefault="00644C1A" w:rsidP="001C2C8A">
      <w:pPr>
        <w:pStyle w:val="ListParagraph"/>
        <w:numPr>
          <w:ilvl w:val="0"/>
          <w:numId w:val="16"/>
        </w:numPr>
        <w:ind w:left="1134" w:hanging="567"/>
      </w:pPr>
      <w:r w:rsidRPr="003F5E6A">
        <w:t>The Concept of Essentially Derived Varieties</w:t>
      </w:r>
    </w:p>
    <w:p w:rsidR="00644C1A" w:rsidRPr="003F5E6A" w:rsidRDefault="00644C1A" w:rsidP="001C2C8A">
      <w:pPr>
        <w:pStyle w:val="ListParagraph"/>
        <w:numPr>
          <w:ilvl w:val="0"/>
          <w:numId w:val="16"/>
        </w:numPr>
        <w:ind w:left="1134" w:hanging="567"/>
      </w:pPr>
      <w:r w:rsidRPr="003F5E6A">
        <w:t>The Role of UPOV in Variety Identification</w:t>
      </w:r>
    </w:p>
    <w:p w:rsidR="00F90C7F" w:rsidRPr="003F5E6A" w:rsidRDefault="00F90C7F" w:rsidP="00F90C7F">
      <w:pPr>
        <w:rPr>
          <w:rFonts w:cs="Arial"/>
        </w:rPr>
      </w:pPr>
    </w:p>
    <w:p w:rsidR="004569BB" w:rsidRDefault="00F90C7F" w:rsidP="00142E57">
      <w:pPr>
        <w:rPr>
          <w:snapToGrid w:val="0"/>
        </w:rPr>
      </w:pPr>
      <w:r w:rsidRPr="003F5E6A">
        <w:rPr>
          <w:rFonts w:cs="Arial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</w:r>
      <w:r w:rsidR="004569BB" w:rsidRPr="003F5E6A">
        <w:rPr>
          <w:snapToGrid w:val="0"/>
        </w:rPr>
        <w:t>The webinar</w:t>
      </w:r>
      <w:r w:rsidR="004569BB">
        <w:rPr>
          <w:snapToGrid w:val="0"/>
        </w:rPr>
        <w:t xml:space="preserve"> presentations</w:t>
      </w:r>
      <w:r w:rsidR="004569BB" w:rsidRPr="003F5E6A">
        <w:rPr>
          <w:snapToGrid w:val="0"/>
        </w:rPr>
        <w:t xml:space="preserve"> </w:t>
      </w:r>
      <w:proofErr w:type="gramStart"/>
      <w:r w:rsidR="004569BB">
        <w:rPr>
          <w:snapToGrid w:val="0"/>
        </w:rPr>
        <w:t>w</w:t>
      </w:r>
      <w:r w:rsidR="004569BB" w:rsidRPr="003F5E6A">
        <w:rPr>
          <w:snapToGrid w:val="0"/>
        </w:rPr>
        <w:t>ould be recorded and made available online</w:t>
      </w:r>
      <w:r w:rsidR="004569BB">
        <w:rPr>
          <w:snapToGrid w:val="0"/>
        </w:rPr>
        <w:t>, but not the discussions</w:t>
      </w:r>
      <w:proofErr w:type="gramEnd"/>
      <w:r w:rsidR="004569BB" w:rsidRPr="003F5E6A">
        <w:rPr>
          <w:snapToGrid w:val="0"/>
        </w:rPr>
        <w:t>.</w:t>
      </w:r>
    </w:p>
    <w:p w:rsidR="00636778" w:rsidRPr="003F5E6A" w:rsidRDefault="00636778" w:rsidP="00142E57">
      <w:pPr>
        <w:rPr>
          <w:rFonts w:cs="Arial"/>
        </w:rPr>
      </w:pPr>
    </w:p>
    <w:p w:rsidR="00F90C7F" w:rsidRPr="003F5E6A" w:rsidRDefault="00636778" w:rsidP="00142E57">
      <w:pPr>
        <w:rPr>
          <w:rFonts w:cs="Arial"/>
        </w:rPr>
      </w:pPr>
      <w:r w:rsidRPr="003F5E6A">
        <w:rPr>
          <w:rFonts w:cs="Arial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3F5E6A">
        <w:rPr>
          <w:rFonts w:cs="Arial"/>
        </w:rPr>
        <w:tab/>
      </w:r>
      <w:r w:rsidR="004569BB">
        <w:rPr>
          <w:rFonts w:cs="Arial"/>
        </w:rPr>
        <w:t>In addition, s</w:t>
      </w:r>
      <w:r w:rsidRPr="003F5E6A">
        <w:rPr>
          <w:rFonts w:cs="Arial"/>
        </w:rPr>
        <w:t>ubject to</w:t>
      </w:r>
      <w:r w:rsidR="004569BB">
        <w:rPr>
          <w:rFonts w:cs="Arial"/>
        </w:rPr>
        <w:t xml:space="preserve"> a</w:t>
      </w:r>
      <w:r w:rsidRPr="003F5E6A">
        <w:rPr>
          <w:rFonts w:cs="Arial"/>
        </w:rPr>
        <w:t xml:space="preserve"> request by the hosts of </w:t>
      </w:r>
      <w:r w:rsidR="004569BB">
        <w:rPr>
          <w:rFonts w:cs="Arial"/>
        </w:rPr>
        <w:t xml:space="preserve">the </w:t>
      </w:r>
      <w:r w:rsidRPr="003F5E6A">
        <w:rPr>
          <w:rFonts w:cs="Arial"/>
        </w:rPr>
        <w:t>TWP</w:t>
      </w:r>
      <w:r w:rsidR="004569BB">
        <w:rPr>
          <w:rFonts w:cs="Arial"/>
        </w:rPr>
        <w:t>, including the</w:t>
      </w:r>
      <w:r w:rsidRPr="003F5E6A">
        <w:rPr>
          <w:rFonts w:cs="Arial"/>
        </w:rPr>
        <w:t xml:space="preserve"> BMT</w:t>
      </w:r>
      <w:r w:rsidR="00F90C7F" w:rsidRPr="003F5E6A">
        <w:rPr>
          <w:rFonts w:cs="Arial"/>
        </w:rPr>
        <w:t xml:space="preserve">, </w:t>
      </w:r>
      <w:r w:rsidRPr="003F5E6A">
        <w:rPr>
          <w:rFonts w:cs="Arial"/>
        </w:rPr>
        <w:t>workshops</w:t>
      </w:r>
      <w:r w:rsidR="004569BB">
        <w:rPr>
          <w:rFonts w:cs="Arial"/>
        </w:rPr>
        <w:t xml:space="preserve"> with physical participation</w:t>
      </w:r>
      <w:r w:rsidRPr="003F5E6A">
        <w:rPr>
          <w:rFonts w:cs="Arial"/>
        </w:rPr>
        <w:t xml:space="preserve"> </w:t>
      </w:r>
      <w:proofErr w:type="gramStart"/>
      <w:r w:rsidRPr="003F5E6A">
        <w:rPr>
          <w:rFonts w:cs="Arial"/>
        </w:rPr>
        <w:t>could be organized</w:t>
      </w:r>
      <w:proofErr w:type="gramEnd"/>
      <w:r w:rsidRPr="003F5E6A">
        <w:rPr>
          <w:rFonts w:cs="Arial"/>
        </w:rPr>
        <w:t xml:space="preserve"> in conjunction with the </w:t>
      </w:r>
      <w:r w:rsidR="004569BB">
        <w:rPr>
          <w:rFonts w:cs="Arial"/>
        </w:rPr>
        <w:t xml:space="preserve">TWP </w:t>
      </w:r>
      <w:r w:rsidRPr="003F5E6A">
        <w:rPr>
          <w:rFonts w:cs="Arial"/>
        </w:rPr>
        <w:t xml:space="preserve">sessions.  The content </w:t>
      </w:r>
      <w:r w:rsidR="002C271A" w:rsidRPr="003F5E6A">
        <w:rPr>
          <w:rFonts w:cs="Arial"/>
        </w:rPr>
        <w:t>would then</w:t>
      </w:r>
      <w:r w:rsidRPr="003F5E6A">
        <w:rPr>
          <w:rFonts w:cs="Arial"/>
        </w:rPr>
        <w:t xml:space="preserve"> be adapted according to the particular context.</w:t>
      </w:r>
    </w:p>
    <w:p w:rsidR="00F90C7F" w:rsidRPr="003F5E6A" w:rsidRDefault="00F90C7F" w:rsidP="00644C1A">
      <w:pPr>
        <w:rPr>
          <w:rFonts w:cs="Arial"/>
        </w:rPr>
      </w:pPr>
    </w:p>
    <w:p w:rsidR="000D5CF4" w:rsidRPr="003F5E6A" w:rsidRDefault="00644C1A" w:rsidP="005B79B9">
      <w:pPr>
        <w:pStyle w:val="DecisionParagraphs"/>
        <w:rPr>
          <w:rFonts w:cs="Arial"/>
        </w:rPr>
      </w:pPr>
      <w:r w:rsidRPr="003F5E6A">
        <w:rPr>
          <w:rFonts w:cs="Arial"/>
          <w:i w:val="0"/>
        </w:rPr>
        <w:fldChar w:fldCharType="begin"/>
      </w:r>
      <w:r w:rsidRPr="003F5E6A">
        <w:rPr>
          <w:rFonts w:cs="Arial"/>
        </w:rPr>
        <w:instrText xml:space="preserve"> AUTONUM  </w:instrText>
      </w:r>
      <w:r w:rsidRPr="003F5E6A">
        <w:rPr>
          <w:rFonts w:cs="Arial"/>
          <w:i w:val="0"/>
        </w:rPr>
        <w:fldChar w:fldCharType="end"/>
      </w:r>
      <w:r w:rsidRPr="003F5E6A">
        <w:rPr>
          <w:rFonts w:cs="Arial"/>
        </w:rPr>
        <w:tab/>
        <w:t>The TC is invited to</w:t>
      </w:r>
      <w:r w:rsidR="004569BB">
        <w:rPr>
          <w:rFonts w:cs="Arial"/>
        </w:rPr>
        <w:t xml:space="preserve"> </w:t>
      </w:r>
      <w:r w:rsidR="00890FE0">
        <w:rPr>
          <w:snapToGrid w:val="0"/>
        </w:rPr>
        <w:t xml:space="preserve">consider whether to organize </w:t>
      </w:r>
      <w:r w:rsidR="00890FE0" w:rsidRPr="003F5E6A">
        <w:rPr>
          <w:snapToGrid w:val="0"/>
        </w:rPr>
        <w:t xml:space="preserve">preparatory workshops </w:t>
      </w:r>
      <w:r w:rsidR="00890FE0">
        <w:rPr>
          <w:snapToGrid w:val="0"/>
        </w:rPr>
        <w:t>as</w:t>
      </w:r>
      <w:r w:rsidR="00890FE0" w:rsidRPr="003F5E6A">
        <w:rPr>
          <w:snapToGrid w:val="0"/>
        </w:rPr>
        <w:t xml:space="preserve"> a series of webinars</w:t>
      </w:r>
      <w:r w:rsidR="00890FE0">
        <w:rPr>
          <w:snapToGrid w:val="0"/>
        </w:rPr>
        <w:t>,</w:t>
      </w:r>
      <w:r w:rsidR="00890FE0" w:rsidRPr="003F5E6A">
        <w:rPr>
          <w:snapToGrid w:val="0"/>
        </w:rPr>
        <w:t xml:space="preserve"> to be organized at suitable dates according to the schedule of TWP</w:t>
      </w:r>
      <w:r w:rsidR="00890FE0">
        <w:rPr>
          <w:snapToGrid w:val="0"/>
        </w:rPr>
        <w:t xml:space="preserve"> sessions</w:t>
      </w:r>
      <w:r w:rsidR="004569BB">
        <w:rPr>
          <w:snapToGrid w:val="0"/>
        </w:rPr>
        <w:t xml:space="preserve">, in conjunction with </w:t>
      </w:r>
      <w:r w:rsidR="004569BB" w:rsidRPr="003F5E6A">
        <w:rPr>
          <w:rFonts w:cs="Arial"/>
        </w:rPr>
        <w:t>workshops</w:t>
      </w:r>
      <w:r w:rsidR="004569BB">
        <w:rPr>
          <w:rFonts w:cs="Arial"/>
        </w:rPr>
        <w:t xml:space="preserve"> with physical participation,</w:t>
      </w:r>
      <w:r w:rsidR="004569BB">
        <w:rPr>
          <w:snapToGrid w:val="0"/>
        </w:rPr>
        <w:t xml:space="preserve"> </w:t>
      </w:r>
      <w:r w:rsidR="00490643">
        <w:rPr>
          <w:snapToGrid w:val="0"/>
        </w:rPr>
        <w:t xml:space="preserve">where requested, </w:t>
      </w:r>
      <w:r w:rsidR="004569BB">
        <w:rPr>
          <w:snapToGrid w:val="0"/>
        </w:rPr>
        <w:t xml:space="preserve">as set out in </w:t>
      </w:r>
      <w:r w:rsidR="004569BB" w:rsidRPr="00B7765E">
        <w:rPr>
          <w:snapToGrid w:val="0"/>
        </w:rPr>
        <w:t>paragraphs 14 to 21</w:t>
      </w:r>
      <w:r w:rsidR="00123AC4" w:rsidRPr="00B7765E">
        <w:rPr>
          <w:snapToGrid w:val="0"/>
        </w:rPr>
        <w:t xml:space="preserve"> of this</w:t>
      </w:r>
      <w:bookmarkStart w:id="10" w:name="_GoBack"/>
      <w:bookmarkEnd w:id="10"/>
      <w:r w:rsidR="00123AC4">
        <w:rPr>
          <w:snapToGrid w:val="0"/>
        </w:rPr>
        <w:t xml:space="preserve"> document</w:t>
      </w:r>
      <w:r w:rsidR="005B79B9">
        <w:rPr>
          <w:snapToGrid w:val="0"/>
        </w:rPr>
        <w:t>.</w:t>
      </w:r>
    </w:p>
    <w:p w:rsidR="00644C1A" w:rsidRDefault="00644C1A" w:rsidP="00644C1A">
      <w:pPr>
        <w:rPr>
          <w:snapToGrid w:val="0"/>
        </w:rPr>
      </w:pPr>
    </w:p>
    <w:p w:rsidR="00890FE0" w:rsidRPr="003F5E6A" w:rsidRDefault="00890FE0" w:rsidP="00644C1A">
      <w:pPr>
        <w:rPr>
          <w:snapToGrid w:val="0"/>
        </w:rPr>
      </w:pPr>
    </w:p>
    <w:p w:rsidR="00050E16" w:rsidRPr="003F5E6A" w:rsidRDefault="00050E16" w:rsidP="009B440E">
      <w:pPr>
        <w:jc w:val="left"/>
        <w:rPr>
          <w:snapToGrid w:val="0"/>
        </w:rPr>
      </w:pPr>
    </w:p>
    <w:p w:rsidR="00D647AE" w:rsidRPr="003F5E6A" w:rsidRDefault="00D647AE" w:rsidP="00583368">
      <w:pPr>
        <w:jc w:val="right"/>
      </w:pPr>
      <w:r w:rsidRPr="003F5E6A">
        <w:rPr>
          <w:snapToGrid w:val="0"/>
        </w:rPr>
        <w:t>[End of document]</w:t>
      </w:r>
    </w:p>
    <w:sectPr w:rsidR="00D647AE" w:rsidRPr="003F5E6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44" w:rsidRDefault="001A2A44" w:rsidP="006655D3">
      <w:r>
        <w:separator/>
      </w:r>
    </w:p>
    <w:p w:rsidR="001A2A44" w:rsidRDefault="001A2A44" w:rsidP="006655D3"/>
    <w:p w:rsidR="001A2A44" w:rsidRDefault="001A2A44" w:rsidP="006655D3"/>
  </w:endnote>
  <w:endnote w:type="continuationSeparator" w:id="0">
    <w:p w:rsidR="001A2A44" w:rsidRDefault="001A2A44" w:rsidP="006655D3">
      <w:r>
        <w:separator/>
      </w:r>
    </w:p>
    <w:p w:rsidR="001A2A44" w:rsidRPr="00294751" w:rsidRDefault="001A2A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2A44" w:rsidRPr="00294751" w:rsidRDefault="001A2A44" w:rsidP="006655D3">
      <w:pPr>
        <w:rPr>
          <w:lang w:val="fr-FR"/>
        </w:rPr>
      </w:pPr>
    </w:p>
    <w:p w:rsidR="001A2A44" w:rsidRPr="00294751" w:rsidRDefault="001A2A44" w:rsidP="006655D3">
      <w:pPr>
        <w:rPr>
          <w:lang w:val="fr-FR"/>
        </w:rPr>
      </w:pPr>
    </w:p>
  </w:endnote>
  <w:endnote w:type="continuationNotice" w:id="1">
    <w:p w:rsidR="001A2A44" w:rsidRPr="00294751" w:rsidRDefault="001A2A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2A44" w:rsidRPr="00294751" w:rsidRDefault="001A2A44" w:rsidP="006655D3">
      <w:pPr>
        <w:rPr>
          <w:lang w:val="fr-FR"/>
        </w:rPr>
      </w:pPr>
    </w:p>
    <w:p w:rsidR="001A2A44" w:rsidRPr="00294751" w:rsidRDefault="001A2A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44" w:rsidRDefault="001A2A44" w:rsidP="006655D3">
      <w:r>
        <w:separator/>
      </w:r>
    </w:p>
  </w:footnote>
  <w:footnote w:type="continuationSeparator" w:id="0">
    <w:p w:rsidR="001A2A44" w:rsidRDefault="001A2A44" w:rsidP="006655D3">
      <w:r>
        <w:separator/>
      </w:r>
    </w:p>
  </w:footnote>
  <w:footnote w:type="continuationNotice" w:id="1">
    <w:p w:rsidR="001A2A44" w:rsidRPr="00AB530F" w:rsidRDefault="001A2A44" w:rsidP="00AB530F">
      <w:pPr>
        <w:pStyle w:val="Footer"/>
      </w:pPr>
    </w:p>
  </w:footnote>
  <w:footnote w:id="2">
    <w:p w:rsidR="0031517A" w:rsidRDefault="003151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69D5">
        <w:rPr>
          <w:rFonts w:cs="Arial"/>
        </w:rPr>
        <w:t>held in G</w:t>
      </w:r>
      <w:r>
        <w:rPr>
          <w:rFonts w:cs="Arial"/>
        </w:rPr>
        <w:t>eneva from April 15 to 17, 2002</w:t>
      </w:r>
    </w:p>
  </w:footnote>
  <w:footnote w:id="3">
    <w:p w:rsidR="0031517A" w:rsidRDefault="003151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517A">
        <w:rPr>
          <w:snapToGrid w:val="0"/>
        </w:rPr>
        <w:t>held in Geneva on October 29 and 30, 2018</w:t>
      </w:r>
    </w:p>
  </w:footnote>
  <w:footnote w:id="4">
    <w:p w:rsidR="0047340E" w:rsidRDefault="00473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517A">
        <w:rPr>
          <w:snapToGrid w:val="0"/>
        </w:rPr>
        <w:t>held in Geneva on October 2</w:t>
      </w:r>
      <w:r>
        <w:rPr>
          <w:snapToGrid w:val="0"/>
        </w:rPr>
        <w:t>8</w:t>
      </w:r>
      <w:r w:rsidRPr="0031517A">
        <w:rPr>
          <w:snapToGrid w:val="0"/>
        </w:rPr>
        <w:t xml:space="preserve"> and </w:t>
      </w:r>
      <w:r>
        <w:rPr>
          <w:snapToGrid w:val="0"/>
        </w:rPr>
        <w:t>29</w:t>
      </w:r>
      <w:r w:rsidRPr="0031517A">
        <w:rPr>
          <w:snapToGrid w:val="0"/>
        </w:rPr>
        <w:t>, 201</w:t>
      </w:r>
      <w:r>
        <w:rPr>
          <w:snapToGrid w:val="0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82C6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7765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DE7"/>
    <w:multiLevelType w:val="hybridMultilevel"/>
    <w:tmpl w:val="BDEA3952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C63A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76124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82C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B753B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5B870F0A"/>
    <w:multiLevelType w:val="hybridMultilevel"/>
    <w:tmpl w:val="2772B7FA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EB339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62203F7B"/>
    <w:multiLevelType w:val="hybridMultilevel"/>
    <w:tmpl w:val="2D8CD070"/>
    <w:lvl w:ilvl="0" w:tplc="9F6A0B9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5972C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9D0B31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597E46"/>
    <w:multiLevelType w:val="hybridMultilevel"/>
    <w:tmpl w:val="37DE9288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EAE3516"/>
    <w:multiLevelType w:val="hybridMultilevel"/>
    <w:tmpl w:val="7BB090FC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9F6A0B92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CB6BCF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0"/>
    <w:rsid w:val="00001F41"/>
    <w:rsid w:val="00010CF3"/>
    <w:rsid w:val="00011E27"/>
    <w:rsid w:val="000148BC"/>
    <w:rsid w:val="00024AB8"/>
    <w:rsid w:val="00030854"/>
    <w:rsid w:val="00036028"/>
    <w:rsid w:val="00036D11"/>
    <w:rsid w:val="00044642"/>
    <w:rsid w:val="000446B9"/>
    <w:rsid w:val="00047E21"/>
    <w:rsid w:val="00050E16"/>
    <w:rsid w:val="000520A1"/>
    <w:rsid w:val="000829DC"/>
    <w:rsid w:val="00085505"/>
    <w:rsid w:val="000B29B6"/>
    <w:rsid w:val="000C4E25"/>
    <w:rsid w:val="000C6BB2"/>
    <w:rsid w:val="000C7021"/>
    <w:rsid w:val="000D5CF4"/>
    <w:rsid w:val="000D6BBC"/>
    <w:rsid w:val="000D7780"/>
    <w:rsid w:val="000E29B7"/>
    <w:rsid w:val="000E636A"/>
    <w:rsid w:val="000F2F11"/>
    <w:rsid w:val="00105929"/>
    <w:rsid w:val="00110C36"/>
    <w:rsid w:val="001131D5"/>
    <w:rsid w:val="00123AC4"/>
    <w:rsid w:val="00141DB8"/>
    <w:rsid w:val="00142E57"/>
    <w:rsid w:val="00172084"/>
    <w:rsid w:val="0017474A"/>
    <w:rsid w:val="00174C4D"/>
    <w:rsid w:val="001758C6"/>
    <w:rsid w:val="00182B99"/>
    <w:rsid w:val="001833F7"/>
    <w:rsid w:val="001868A9"/>
    <w:rsid w:val="001A2A44"/>
    <w:rsid w:val="001C2C8A"/>
    <w:rsid w:val="001D1213"/>
    <w:rsid w:val="001F7336"/>
    <w:rsid w:val="0021332C"/>
    <w:rsid w:val="00213982"/>
    <w:rsid w:val="00214EA6"/>
    <w:rsid w:val="0024416D"/>
    <w:rsid w:val="00252944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1A"/>
    <w:rsid w:val="00304827"/>
    <w:rsid w:val="00305A7F"/>
    <w:rsid w:val="0031517A"/>
    <w:rsid w:val="003152FE"/>
    <w:rsid w:val="00327436"/>
    <w:rsid w:val="00340D10"/>
    <w:rsid w:val="00344BD6"/>
    <w:rsid w:val="0035528D"/>
    <w:rsid w:val="00357E26"/>
    <w:rsid w:val="00361821"/>
    <w:rsid w:val="00361E9E"/>
    <w:rsid w:val="003C7FBE"/>
    <w:rsid w:val="003D227C"/>
    <w:rsid w:val="003D2B4D"/>
    <w:rsid w:val="003F5E6A"/>
    <w:rsid w:val="00444A88"/>
    <w:rsid w:val="004569BB"/>
    <w:rsid w:val="004725F8"/>
    <w:rsid w:val="0047340E"/>
    <w:rsid w:val="00474DA4"/>
    <w:rsid w:val="00476B4D"/>
    <w:rsid w:val="004805FA"/>
    <w:rsid w:val="00490643"/>
    <w:rsid w:val="004935D2"/>
    <w:rsid w:val="004B1215"/>
    <w:rsid w:val="004D047D"/>
    <w:rsid w:val="004E3520"/>
    <w:rsid w:val="004F1E9E"/>
    <w:rsid w:val="004F305A"/>
    <w:rsid w:val="00512164"/>
    <w:rsid w:val="00515F7C"/>
    <w:rsid w:val="00520297"/>
    <w:rsid w:val="0053184B"/>
    <w:rsid w:val="005338F9"/>
    <w:rsid w:val="0054281C"/>
    <w:rsid w:val="00544581"/>
    <w:rsid w:val="0055268D"/>
    <w:rsid w:val="005544CB"/>
    <w:rsid w:val="00567CF6"/>
    <w:rsid w:val="00576BE4"/>
    <w:rsid w:val="00583368"/>
    <w:rsid w:val="005A400A"/>
    <w:rsid w:val="005B79B9"/>
    <w:rsid w:val="005D1380"/>
    <w:rsid w:val="005D1BAA"/>
    <w:rsid w:val="005E35C9"/>
    <w:rsid w:val="005F7B92"/>
    <w:rsid w:val="00612379"/>
    <w:rsid w:val="006153B6"/>
    <w:rsid w:val="0061555F"/>
    <w:rsid w:val="00636778"/>
    <w:rsid w:val="00636CA6"/>
    <w:rsid w:val="00641200"/>
    <w:rsid w:val="00644C1A"/>
    <w:rsid w:val="00645CA8"/>
    <w:rsid w:val="006655D3"/>
    <w:rsid w:val="00667404"/>
    <w:rsid w:val="00687EB4"/>
    <w:rsid w:val="00695C56"/>
    <w:rsid w:val="00696C31"/>
    <w:rsid w:val="006A425B"/>
    <w:rsid w:val="006A5CDE"/>
    <w:rsid w:val="006A644A"/>
    <w:rsid w:val="006B17D2"/>
    <w:rsid w:val="006C224E"/>
    <w:rsid w:val="006C5FF1"/>
    <w:rsid w:val="006D1444"/>
    <w:rsid w:val="006D7435"/>
    <w:rsid w:val="006D780A"/>
    <w:rsid w:val="0071271E"/>
    <w:rsid w:val="0071549A"/>
    <w:rsid w:val="0073008E"/>
    <w:rsid w:val="00732DEC"/>
    <w:rsid w:val="00735BD5"/>
    <w:rsid w:val="00751613"/>
    <w:rsid w:val="007556F6"/>
    <w:rsid w:val="00760EEF"/>
    <w:rsid w:val="00777EE5"/>
    <w:rsid w:val="00777F74"/>
    <w:rsid w:val="00784836"/>
    <w:rsid w:val="0079023E"/>
    <w:rsid w:val="007A1CCA"/>
    <w:rsid w:val="007A2854"/>
    <w:rsid w:val="007B1FD7"/>
    <w:rsid w:val="007C1D92"/>
    <w:rsid w:val="007C4CB9"/>
    <w:rsid w:val="007D0B9D"/>
    <w:rsid w:val="007D19B0"/>
    <w:rsid w:val="007E6352"/>
    <w:rsid w:val="007F32BC"/>
    <w:rsid w:val="007F498F"/>
    <w:rsid w:val="0080679D"/>
    <w:rsid w:val="008108B0"/>
    <w:rsid w:val="00811B20"/>
    <w:rsid w:val="00813B81"/>
    <w:rsid w:val="008211B5"/>
    <w:rsid w:val="00822657"/>
    <w:rsid w:val="0082296E"/>
    <w:rsid w:val="00824099"/>
    <w:rsid w:val="008326A0"/>
    <w:rsid w:val="00842923"/>
    <w:rsid w:val="00846D7C"/>
    <w:rsid w:val="00855A93"/>
    <w:rsid w:val="008619BE"/>
    <w:rsid w:val="00867AC1"/>
    <w:rsid w:val="00882C6F"/>
    <w:rsid w:val="00884914"/>
    <w:rsid w:val="008901C7"/>
    <w:rsid w:val="00890DF8"/>
    <w:rsid w:val="00890FE0"/>
    <w:rsid w:val="008A743F"/>
    <w:rsid w:val="008B6E60"/>
    <w:rsid w:val="008C0970"/>
    <w:rsid w:val="008C5EE1"/>
    <w:rsid w:val="008C7727"/>
    <w:rsid w:val="008D0BC5"/>
    <w:rsid w:val="008D2CF7"/>
    <w:rsid w:val="008D7E86"/>
    <w:rsid w:val="00900C26"/>
    <w:rsid w:val="0090197F"/>
    <w:rsid w:val="00904FB5"/>
    <w:rsid w:val="00906DDC"/>
    <w:rsid w:val="0091714B"/>
    <w:rsid w:val="00927758"/>
    <w:rsid w:val="00934E09"/>
    <w:rsid w:val="00935115"/>
    <w:rsid w:val="00936253"/>
    <w:rsid w:val="009369B8"/>
    <w:rsid w:val="00940D46"/>
    <w:rsid w:val="00951FF6"/>
    <w:rsid w:val="00952DD4"/>
    <w:rsid w:val="00965AE7"/>
    <w:rsid w:val="00970FED"/>
    <w:rsid w:val="00992D82"/>
    <w:rsid w:val="00997029"/>
    <w:rsid w:val="009A7339"/>
    <w:rsid w:val="009B440E"/>
    <w:rsid w:val="009C0E7F"/>
    <w:rsid w:val="009D690D"/>
    <w:rsid w:val="009E266F"/>
    <w:rsid w:val="009E65B6"/>
    <w:rsid w:val="009E67ED"/>
    <w:rsid w:val="00A24C10"/>
    <w:rsid w:val="00A308C3"/>
    <w:rsid w:val="00A37C2B"/>
    <w:rsid w:val="00A42AC3"/>
    <w:rsid w:val="00A430CF"/>
    <w:rsid w:val="00A54309"/>
    <w:rsid w:val="00A62AD0"/>
    <w:rsid w:val="00AA18B2"/>
    <w:rsid w:val="00AB2B93"/>
    <w:rsid w:val="00AB530F"/>
    <w:rsid w:val="00AB7E5B"/>
    <w:rsid w:val="00AC2883"/>
    <w:rsid w:val="00AD38C8"/>
    <w:rsid w:val="00AE0EF1"/>
    <w:rsid w:val="00AE2937"/>
    <w:rsid w:val="00B07301"/>
    <w:rsid w:val="00B104FC"/>
    <w:rsid w:val="00B11F3E"/>
    <w:rsid w:val="00B1597F"/>
    <w:rsid w:val="00B224DE"/>
    <w:rsid w:val="00B31E8A"/>
    <w:rsid w:val="00B324D4"/>
    <w:rsid w:val="00B46575"/>
    <w:rsid w:val="00B61777"/>
    <w:rsid w:val="00B7765E"/>
    <w:rsid w:val="00B819E3"/>
    <w:rsid w:val="00B84BBD"/>
    <w:rsid w:val="00B91069"/>
    <w:rsid w:val="00B97338"/>
    <w:rsid w:val="00BA3131"/>
    <w:rsid w:val="00BA43FB"/>
    <w:rsid w:val="00BC127D"/>
    <w:rsid w:val="00BC1FE6"/>
    <w:rsid w:val="00BE035F"/>
    <w:rsid w:val="00C061B6"/>
    <w:rsid w:val="00C125F7"/>
    <w:rsid w:val="00C239B5"/>
    <w:rsid w:val="00C2446C"/>
    <w:rsid w:val="00C36AE5"/>
    <w:rsid w:val="00C41F17"/>
    <w:rsid w:val="00C44D25"/>
    <w:rsid w:val="00C527FA"/>
    <w:rsid w:val="00C5280D"/>
    <w:rsid w:val="00C53EB3"/>
    <w:rsid w:val="00C5791C"/>
    <w:rsid w:val="00C66290"/>
    <w:rsid w:val="00C72B7A"/>
    <w:rsid w:val="00C9549B"/>
    <w:rsid w:val="00C973F2"/>
    <w:rsid w:val="00CA304C"/>
    <w:rsid w:val="00CA609C"/>
    <w:rsid w:val="00CA774A"/>
    <w:rsid w:val="00CC11B0"/>
    <w:rsid w:val="00CC2841"/>
    <w:rsid w:val="00CF1330"/>
    <w:rsid w:val="00CF7E36"/>
    <w:rsid w:val="00D24754"/>
    <w:rsid w:val="00D32794"/>
    <w:rsid w:val="00D3708D"/>
    <w:rsid w:val="00D40426"/>
    <w:rsid w:val="00D42832"/>
    <w:rsid w:val="00D57C96"/>
    <w:rsid w:val="00D57D18"/>
    <w:rsid w:val="00D63607"/>
    <w:rsid w:val="00D647AE"/>
    <w:rsid w:val="00D805CC"/>
    <w:rsid w:val="00D91203"/>
    <w:rsid w:val="00D95174"/>
    <w:rsid w:val="00DA4973"/>
    <w:rsid w:val="00DA5CE9"/>
    <w:rsid w:val="00DA6F36"/>
    <w:rsid w:val="00DB596E"/>
    <w:rsid w:val="00DB7773"/>
    <w:rsid w:val="00DC00EA"/>
    <w:rsid w:val="00DC3802"/>
    <w:rsid w:val="00DD7591"/>
    <w:rsid w:val="00DE0711"/>
    <w:rsid w:val="00E07D87"/>
    <w:rsid w:val="00E222ED"/>
    <w:rsid w:val="00E32F7E"/>
    <w:rsid w:val="00E51DB5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A3FF1"/>
    <w:rsid w:val="00EB048E"/>
    <w:rsid w:val="00EB4E9C"/>
    <w:rsid w:val="00EE34DF"/>
    <w:rsid w:val="00EF2F89"/>
    <w:rsid w:val="00F03E98"/>
    <w:rsid w:val="00F101A0"/>
    <w:rsid w:val="00F1237A"/>
    <w:rsid w:val="00F22CBD"/>
    <w:rsid w:val="00F25991"/>
    <w:rsid w:val="00F272F1"/>
    <w:rsid w:val="00F30951"/>
    <w:rsid w:val="00F345F0"/>
    <w:rsid w:val="00F45372"/>
    <w:rsid w:val="00F560F7"/>
    <w:rsid w:val="00F6334D"/>
    <w:rsid w:val="00F66C0B"/>
    <w:rsid w:val="00F90C7F"/>
    <w:rsid w:val="00F94ED8"/>
    <w:rsid w:val="00F96AF3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C85B6A-60F6-4D17-B285-07E9A32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E35C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5E35C9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5E35C9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44C1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44C1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44C1A"/>
    <w:rPr>
      <w:rFonts w:cs="Angsana New"/>
      <w:color w:val="000000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8CB1-E72F-4D3B-AE76-57C75AD0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TC_56_EN</Template>
  <TotalTime>0</TotalTime>
  <Pages>3</Pages>
  <Words>1171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TC/56/9</vt:lpstr>
    </vt:vector>
  </TitlesOfParts>
  <Company>UPOV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TC/56/9</dc:title>
  <dc:creator>MAY Jessica</dc:creator>
  <cp:lastModifiedBy>MAY Jessica</cp:lastModifiedBy>
  <cp:revision>8</cp:revision>
  <cp:lastPrinted>2016-11-22T15:41:00Z</cp:lastPrinted>
  <dcterms:created xsi:type="dcterms:W3CDTF">2020-10-19T09:51:00Z</dcterms:created>
  <dcterms:modified xsi:type="dcterms:W3CDTF">2020-10-20T07:43:00Z</dcterms:modified>
</cp:coreProperties>
</file>