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E75233" w:rsidP="003C7FBE">
            <w:pPr>
              <w:pStyle w:val="Doccode"/>
            </w:pPr>
            <w:r>
              <w:t>TC/56</w:t>
            </w:r>
            <w:r w:rsidR="00EB4E9C" w:rsidRPr="00AC2883">
              <w:t>/</w:t>
            </w:r>
            <w:r w:rsidR="00E36AFF">
              <w:t>21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36AFF">
            <w:pPr>
              <w:pStyle w:val="Docoriginal"/>
            </w:pPr>
            <w:r w:rsidRPr="00AC2883">
              <w:t>Date:</w:t>
            </w:r>
            <w:r w:rsidR="008B6E60">
              <w:rPr>
                <w:b w:val="0"/>
                <w:spacing w:val="0"/>
              </w:rPr>
              <w:t xml:space="preserve">  </w:t>
            </w:r>
            <w:r w:rsidR="00E36AFF" w:rsidRPr="00E36AFF">
              <w:rPr>
                <w:b w:val="0"/>
                <w:spacing w:val="0"/>
                <w:highlight w:val="cyan"/>
              </w:rPr>
              <w:t>September 2, 2020</w:t>
            </w:r>
          </w:p>
        </w:tc>
      </w:tr>
    </w:tbl>
    <w:p w:rsidR="000D7780" w:rsidRPr="006A644A" w:rsidRDefault="00CE4D5F" w:rsidP="00172FB4">
      <w:pPr>
        <w:pStyle w:val="Titleofdoc0"/>
        <w:jc w:val="both"/>
      </w:pPr>
      <w:bookmarkStart w:id="0" w:name="TitleOfDoc"/>
      <w:bookmarkEnd w:id="0"/>
      <w:r w:rsidRPr="00CE4D5F">
        <w:t>Matters to be resolved concerning Test Guidelines put forward for adoption by the Technical Committee:  Red Clover</w:t>
      </w:r>
      <w:bookmarkStart w:id="1" w:name="_GoBack"/>
      <w:bookmarkEnd w:id="1"/>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36AFF" w:rsidRDefault="00E36AFF" w:rsidP="00E36AFF">
      <w:pPr>
        <w:autoSpaceDE w:val="0"/>
        <w:autoSpaceDN w:val="0"/>
        <w:adjustRightInd w:val="0"/>
      </w:pPr>
      <w:r>
        <w:fldChar w:fldCharType="begin"/>
      </w:r>
      <w:r>
        <w:instrText xml:space="preserve"> AUTONUM  </w:instrText>
      </w:r>
      <w:r>
        <w:fldChar w:fldCharType="end"/>
      </w:r>
      <w:r>
        <w:tab/>
      </w:r>
      <w:r w:rsidR="00F316E3">
        <w:t xml:space="preserve">The Enlarged Editorial Committee (TC-EDC) </w:t>
      </w:r>
      <w:r w:rsidR="00F316E3" w:rsidRPr="00003DA0">
        <w:t>at its meeting held in Geneva, on March 24, 2020</w:t>
      </w:r>
      <w:r w:rsidR="00F316E3">
        <w:t xml:space="preserve">, </w:t>
      </w:r>
      <w:r>
        <w:t xml:space="preserve">considered </w:t>
      </w:r>
      <w:r w:rsidR="00172FB4">
        <w:t xml:space="preserve">the </w:t>
      </w:r>
      <w:r w:rsidR="00172FB4" w:rsidRPr="002B6F72">
        <w:rPr>
          <w:rFonts w:cs="Arial"/>
        </w:rPr>
        <w:t xml:space="preserve">draft Test Guidelines for Red Clover </w:t>
      </w:r>
      <w:r w:rsidR="00172FB4">
        <w:rPr>
          <w:rFonts w:cs="Arial"/>
        </w:rPr>
        <w:t>(</w:t>
      </w:r>
      <w:r>
        <w:t xml:space="preserve">document </w:t>
      </w:r>
      <w:hyperlink r:id="rId8" w:history="1">
        <w:r w:rsidRPr="009164CC">
          <w:rPr>
            <w:rStyle w:val="Hyperlink"/>
            <w:rFonts w:cs="Arial"/>
          </w:rPr>
          <w:t>TG/5/8(proj.5)</w:t>
        </w:r>
      </w:hyperlink>
      <w:r w:rsidR="00172FB4">
        <w:rPr>
          <w:rStyle w:val="Hyperlink"/>
          <w:rFonts w:cs="Arial"/>
        </w:rPr>
        <w:t>)</w:t>
      </w:r>
      <w:r>
        <w:rPr>
          <w:rFonts w:cs="Arial"/>
        </w:rPr>
        <w:t xml:space="preserve"> </w:t>
      </w:r>
      <w:r>
        <w:t xml:space="preserve">and </w:t>
      </w:r>
      <w:r w:rsidRPr="002B6F72">
        <w:rPr>
          <w:rFonts w:cs="Arial"/>
        </w:rPr>
        <w:t xml:space="preserve">agreed that </w:t>
      </w:r>
      <w:r w:rsidR="00172FB4">
        <w:rPr>
          <w:rFonts w:cs="Arial"/>
        </w:rPr>
        <w:t>it</w:t>
      </w:r>
      <w:r w:rsidRPr="002B6F72">
        <w:rPr>
          <w:rFonts w:cs="Arial"/>
        </w:rPr>
        <w:t xml:space="preserve"> required editorial clarifications to be provided by the Leading Expert.  The TC-EDC </w:t>
      </w:r>
      <w:r w:rsidRPr="002B6F72">
        <w:t>agreed to reconsider the draft Test</w:t>
      </w:r>
      <w:r w:rsidR="00172FB4">
        <w:t> </w:t>
      </w:r>
      <w:r w:rsidRPr="002B6F72">
        <w:t>Guidelines at its meeting to be held in October 2020.</w:t>
      </w:r>
      <w:r w:rsidRPr="00003DA0">
        <w:t xml:space="preserve">  </w:t>
      </w:r>
    </w:p>
    <w:p w:rsidR="002401F0" w:rsidRDefault="002401F0" w:rsidP="00E36AFF">
      <w:pPr>
        <w:autoSpaceDE w:val="0"/>
        <w:autoSpaceDN w:val="0"/>
        <w:adjustRightInd w:val="0"/>
      </w:pPr>
    </w:p>
    <w:p w:rsidR="002401F0" w:rsidRDefault="002401F0" w:rsidP="00E36AFF">
      <w:pPr>
        <w:autoSpaceDE w:val="0"/>
        <w:autoSpaceDN w:val="0"/>
        <w:adjustRightInd w:val="0"/>
      </w:pPr>
      <w:r>
        <w:rPr>
          <w:rFonts w:cs="Arial"/>
          <w:bCs/>
          <w:snapToGrid w:val="0"/>
          <w:color w:val="000000"/>
        </w:rPr>
        <w:fldChar w:fldCharType="begin"/>
      </w:r>
      <w:r>
        <w:rPr>
          <w:rFonts w:cs="Arial"/>
          <w:bCs/>
          <w:snapToGrid w:val="0"/>
          <w:color w:val="000000"/>
        </w:rPr>
        <w:instrText xml:space="preserve"> AUTONUM  </w:instrText>
      </w:r>
      <w:r>
        <w:rPr>
          <w:rFonts w:cs="Arial"/>
          <w:bCs/>
          <w:snapToGrid w:val="0"/>
          <w:color w:val="000000"/>
        </w:rPr>
        <w:fldChar w:fldCharType="end"/>
      </w:r>
      <w:r>
        <w:rPr>
          <w:rFonts w:cs="Arial"/>
          <w:bCs/>
          <w:snapToGrid w:val="0"/>
          <w:color w:val="000000"/>
        </w:rPr>
        <w:tab/>
      </w:r>
      <w:r w:rsidR="00172FB4">
        <w:rPr>
          <w:rFonts w:cs="Arial"/>
          <w:bCs/>
          <w:snapToGrid w:val="0"/>
          <w:color w:val="000000"/>
        </w:rPr>
        <w:t>R</w:t>
      </w:r>
      <w:r>
        <w:rPr>
          <w:rFonts w:cs="Arial"/>
          <w:bCs/>
          <w:snapToGrid w:val="0"/>
          <w:color w:val="000000"/>
        </w:rPr>
        <w:t xml:space="preserve">ecommendations </w:t>
      </w:r>
      <w:r w:rsidR="00172FB4">
        <w:rPr>
          <w:rFonts w:cs="Arial"/>
          <w:bCs/>
          <w:snapToGrid w:val="0"/>
          <w:color w:val="000000"/>
        </w:rPr>
        <w:t>from</w:t>
      </w:r>
      <w:r w:rsidR="009164CC">
        <w:rPr>
          <w:rFonts w:cs="Arial"/>
          <w:bCs/>
          <w:snapToGrid w:val="0"/>
          <w:color w:val="000000"/>
        </w:rPr>
        <w:t xml:space="preserve"> the TC-EDC </w:t>
      </w:r>
      <w:r>
        <w:rPr>
          <w:rFonts w:cs="Arial"/>
          <w:bCs/>
          <w:snapToGrid w:val="0"/>
          <w:color w:val="000000"/>
        </w:rPr>
        <w:t>on the draft Test Guidelines for Red Clover</w:t>
      </w:r>
      <w:r w:rsidR="00172FB4" w:rsidRPr="00172FB4">
        <w:t xml:space="preserve"> </w:t>
      </w:r>
      <w:r w:rsidR="00172FB4">
        <w:t>are presented in the table below</w:t>
      </w:r>
      <w:r>
        <w:rPr>
          <w:rFonts w:cs="Arial"/>
          <w:bCs/>
          <w:snapToGrid w:val="0"/>
          <w:color w:val="000000"/>
        </w:rPr>
        <w:t xml:space="preserve">, including the </w:t>
      </w:r>
      <w:r w:rsidRPr="002B6F72">
        <w:rPr>
          <w:rFonts w:cs="Arial"/>
        </w:rPr>
        <w:t xml:space="preserve">required editorial clarifications (indicated </w:t>
      </w:r>
      <w:r w:rsidR="00172FB4">
        <w:rPr>
          <w:rFonts w:cs="Arial"/>
        </w:rPr>
        <w:t xml:space="preserve">with </w:t>
      </w:r>
      <w:r w:rsidRPr="002B6F72">
        <w:rPr>
          <w:rFonts w:cs="Arial"/>
        </w:rPr>
        <w:t>“</w:t>
      </w:r>
      <w:r w:rsidRPr="002B6F72">
        <w:rPr>
          <w:rFonts w:cs="Arial"/>
          <w:vertAlign w:val="superscript"/>
        </w:rPr>
        <w:t>#</w:t>
      </w:r>
      <w:r w:rsidRPr="002B6F72">
        <w:rPr>
          <w:rFonts w:cs="Arial"/>
        </w:rPr>
        <w:t>”)</w:t>
      </w:r>
      <w:r>
        <w:rPr>
          <w:rFonts w:cs="Arial"/>
        </w:rPr>
        <w:t xml:space="preserve"> and </w:t>
      </w:r>
      <w:r>
        <w:t xml:space="preserve">responses </w:t>
      </w:r>
      <w:r w:rsidR="00172FB4">
        <w:t>from</w:t>
      </w:r>
      <w:r>
        <w:t xml:space="preserve"> the Leading</w:t>
      </w:r>
      <w:r w:rsidR="00172FB4">
        <w:t> </w:t>
      </w:r>
      <w:r>
        <w:t>Expert, Mr. Do</w:t>
      </w:r>
      <w:r w:rsidR="00172FB4">
        <w:t>novan Sonnenberg (South Africa)</w:t>
      </w:r>
      <w:r>
        <w:t>:</w:t>
      </w:r>
    </w:p>
    <w:p w:rsidR="002401F0" w:rsidRDefault="002401F0" w:rsidP="00E36AFF">
      <w:pPr>
        <w:autoSpaceDE w:val="0"/>
        <w:autoSpaceDN w:val="0"/>
        <w:adjustRightInd w:val="0"/>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080"/>
      </w:tblGrid>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pPr>
              <w:jc w:val="left"/>
              <w:rPr>
                <w:rFonts w:cs="Arial"/>
              </w:rPr>
            </w:pPr>
            <w:r w:rsidRPr="00003DA0">
              <w:rPr>
                <w:rFonts w:cs="Arial"/>
              </w:rPr>
              <w:t>3.3</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pPr>
              <w:keepNext/>
              <w:rPr>
                <w:rFonts w:cs="Arial"/>
              </w:rPr>
            </w:pPr>
            <w:r w:rsidRPr="00003DA0">
              <w:rPr>
                <w:rFonts w:cs="Arial"/>
              </w:rPr>
              <w:t xml:space="preserve">to add ASW 4 (a) </w:t>
            </w:r>
            <w:r w:rsidRPr="00003DA0">
              <w:t>Stage of development for the assessment</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pPr>
              <w:jc w:val="left"/>
              <w:rPr>
                <w:rFonts w:cs="Arial"/>
              </w:rPr>
            </w:pPr>
            <w:r w:rsidRPr="00003DA0">
              <w:rPr>
                <w:rFonts w:cs="Arial"/>
              </w:rPr>
              <w:t>3.4</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pPr>
              <w:keepNext/>
              <w:rPr>
                <w:rFonts w:cs="Arial"/>
              </w:rPr>
            </w:pPr>
            <w:r w:rsidRPr="00003DA0">
              <w:rPr>
                <w:rFonts w:cs="Arial"/>
              </w:rPr>
              <w:t xml:space="preserve">to read </w:t>
            </w:r>
            <w:r w:rsidRPr="00003DA0">
              <w:t xml:space="preserve">“Each test should be designed to result in </w:t>
            </w:r>
            <w:r w:rsidRPr="00003DA0">
              <w:rPr>
                <w:highlight w:val="lightGray"/>
                <w:u w:val="single"/>
              </w:rPr>
              <w:t>a total of</w:t>
            </w:r>
            <w:r w:rsidRPr="00003DA0">
              <w:t xml:space="preserve"> at least…”</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 xml:space="preserve">Char. 9 </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to read “Leaf: conspicuousness of marking”</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pPr>
              <w:jc w:val="left"/>
            </w:pPr>
            <w:r w:rsidRPr="00003DA0">
              <w:t>Chars. 13 and 14</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to read or “medial leaflet”</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rPr>
                <w:rFonts w:cs="Arial"/>
                <w:vertAlign w:val="superscript"/>
              </w:rPr>
              <w:t>#</w:t>
            </w:r>
            <w:r w:rsidRPr="00003DA0">
              <w:t>Ad. 8</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 to check whether the timing of assessment can be explained more precisely</w:t>
            </w:r>
          </w:p>
          <w:p w:rsidR="002401F0" w:rsidRDefault="002401F0" w:rsidP="000F2C87">
            <w:r w:rsidRPr="00003DA0">
              <w:t xml:space="preserve">(When has full expression occurred? When vegetation has stopped?) (check how this characteristic is explained in similar crops) </w:t>
            </w:r>
          </w:p>
          <w:p w:rsidR="002401F0" w:rsidRPr="002401F0" w:rsidRDefault="002401F0" w:rsidP="000F2C87">
            <w:pPr>
              <w:rPr>
                <w:i/>
              </w:rPr>
            </w:pPr>
            <w:r w:rsidRPr="002401F0">
              <w:rPr>
                <w:i/>
              </w:rPr>
              <w:t>Leading Expert: proposed to read “The number of plants showing inflorescences should be recorded for each variety. To be assessed at one occasion on the whole trial when the development stagnates before vernalization.”</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Ad. 9</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rPr>
                <w:rFonts w:cs="Arial"/>
                <w:color w:val="000000"/>
              </w:rPr>
              <w:t>to read “</w:t>
            </w:r>
            <w:r w:rsidRPr="00003DA0">
              <w:rPr>
                <w:rFonts w:eastAsia="Arial" w:cs="Arial"/>
                <w:color w:val="000000"/>
                <w:u w:val="single"/>
                <w:shd w:val="clear" w:color="auto" w:fill="D9D9D9" w:themeFill="background1" w:themeFillShade="D9"/>
              </w:rPr>
              <w:t>The characteristic</w:t>
            </w:r>
            <w:r w:rsidRPr="00003DA0">
              <w:rPr>
                <w:rFonts w:cs="Arial"/>
                <w:color w:val="000000"/>
              </w:rPr>
              <w:t xml:space="preserve"> leaf marking refers to the conspicuousness of leaf </w:t>
            </w:r>
            <w:r w:rsidRPr="00003DA0">
              <w:rPr>
                <w:rFonts w:eastAsia="Arial" w:cs="Arial"/>
                <w:strike/>
                <w:color w:val="000000"/>
                <w:shd w:val="clear" w:color="auto" w:fill="D9D9D9" w:themeFill="background1" w:themeFillShade="D9"/>
              </w:rPr>
              <w:t>the</w:t>
            </w:r>
            <w:r w:rsidRPr="00003DA0">
              <w:rPr>
                <w:rFonts w:cs="Arial"/>
                <w:color w:val="000000"/>
              </w:rPr>
              <w:t xml:space="preserve"> marking.”</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Ad. 12</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to read “medial leaflet”</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rPr>
                <w:rFonts w:cs="Arial"/>
                <w:vertAlign w:val="superscript"/>
              </w:rPr>
              <w:t>#</w:t>
            </w:r>
            <w:r w:rsidRPr="00003DA0">
              <w:t>Ad. 16</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Default="002401F0" w:rsidP="000F2C87">
            <w:pPr>
              <w:rPr>
                <w:rFonts w:eastAsia="Arial" w:cs="Arial"/>
              </w:rPr>
            </w:pPr>
            <w:r w:rsidRPr="00003DA0">
              <w:t>to check whether to read “</w:t>
            </w:r>
            <w:r w:rsidRPr="00003DA0">
              <w:rPr>
                <w:rFonts w:eastAsia="Arial" w:cs="Arial"/>
              </w:rPr>
              <w:t>Stem length should be measured from the base of plant to the base of terminal inflorescence.” (where is the end point of measurement?)</w:t>
            </w:r>
          </w:p>
          <w:p w:rsidR="002401F0" w:rsidRPr="00003DA0" w:rsidRDefault="002401F0" w:rsidP="000F2C87">
            <w:r w:rsidRPr="002401F0">
              <w:rPr>
                <w:i/>
              </w:rPr>
              <w:t>Leading Expert:</w:t>
            </w:r>
            <w:r>
              <w:rPr>
                <w:i/>
              </w:rPr>
              <w:t xml:space="preserve"> agreed</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rPr>
                <w:rFonts w:cs="Arial"/>
                <w:vertAlign w:val="superscript"/>
              </w:rPr>
              <w:t>#</w:t>
            </w:r>
            <w:r w:rsidRPr="00003DA0">
              <w:t>Ad. 17</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Default="002401F0" w:rsidP="000F2C87">
            <w:r w:rsidRPr="00003DA0">
              <w:t>to improve wording by explaining where the tillering node is situated</w:t>
            </w:r>
          </w:p>
          <w:p w:rsidR="002401F0" w:rsidRPr="002401F0" w:rsidRDefault="002401F0" w:rsidP="002401F0">
            <w:pPr>
              <w:rPr>
                <w:i/>
              </w:rPr>
            </w:pPr>
            <w:r w:rsidRPr="002401F0">
              <w:rPr>
                <w:i/>
              </w:rPr>
              <w:t xml:space="preserve">Leading Expert:  </w:t>
            </w:r>
            <w:r w:rsidRPr="002401F0">
              <w:rPr>
                <w:rFonts w:cs="Arial"/>
                <w:i/>
              </w:rPr>
              <w:t>There is only </w:t>
            </w:r>
            <w:r w:rsidRPr="002401F0">
              <w:rPr>
                <w:rFonts w:cs="Arial"/>
                <w:i/>
                <w:u w:val="single"/>
              </w:rPr>
              <w:t>one</w:t>
            </w:r>
            <w:r w:rsidRPr="002401F0">
              <w:rPr>
                <w:rFonts w:cs="Arial"/>
                <w:i/>
              </w:rPr>
              <w:t> tillering node. Therefore it should be clear to say “</w:t>
            </w:r>
            <w:r w:rsidRPr="002401F0">
              <w:rPr>
                <w:rFonts w:cs="Arial"/>
                <w:i/>
                <w:u w:val="single"/>
              </w:rPr>
              <w:t>the</w:t>
            </w:r>
            <w:r w:rsidRPr="002401F0">
              <w:rPr>
                <w:rFonts w:cs="Arial"/>
                <w:i/>
              </w:rPr>
              <w:t> tillering node” and to read “Stem thickness should be measured 2 to 4 cm above the tillering node.”</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t>Ad. 17</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r w:rsidRPr="00003DA0">
              <w:rPr>
                <w:rFonts w:cs="Arial"/>
                <w:color w:val="000000"/>
              </w:rPr>
              <w:t>to read “</w:t>
            </w:r>
            <w:r w:rsidRPr="00003DA0">
              <w:rPr>
                <w:rFonts w:eastAsia="Arial" w:cs="Arial"/>
                <w:color w:val="000000"/>
                <w:u w:val="single"/>
                <w:shd w:val="clear" w:color="auto" w:fill="D9D9D9" w:themeFill="background1" w:themeFillShade="D9"/>
              </w:rPr>
              <w:t>Stem</w:t>
            </w:r>
            <w:r w:rsidRPr="00003DA0">
              <w:rPr>
                <w:rFonts w:cs="Arial"/>
                <w:color w:val="000000"/>
              </w:rPr>
              <w:t xml:space="preserve"> </w:t>
            </w:r>
            <w:r w:rsidRPr="00003DA0">
              <w:rPr>
                <w:rFonts w:eastAsia="Arial" w:cs="Arial"/>
                <w:strike/>
                <w:color w:val="000000"/>
                <w:shd w:val="clear" w:color="auto" w:fill="D9D9D9" w:themeFill="background1" w:themeFillShade="D9"/>
              </w:rPr>
              <w:t xml:space="preserve">The </w:t>
            </w:r>
            <w:r w:rsidRPr="00003DA0">
              <w:rPr>
                <w:rFonts w:cs="Arial"/>
                <w:color w:val="000000"/>
              </w:rPr>
              <w:t>thickness should be …”</w:t>
            </w:r>
          </w:p>
        </w:tc>
      </w:tr>
      <w:tr w:rsidR="002401F0" w:rsidRPr="00003DA0" w:rsidTr="000F2C87">
        <w:trPr>
          <w:cantSplit/>
        </w:trPr>
        <w:tc>
          <w:tcPr>
            <w:tcW w:w="1701"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pPr>
              <w:jc w:val="left"/>
              <w:rPr>
                <w:rFonts w:cs="Arial"/>
              </w:rPr>
            </w:pPr>
            <w:r w:rsidRPr="00003DA0">
              <w:rPr>
                <w:rFonts w:cs="Arial"/>
              </w:rPr>
              <w:t>8.3</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401F0" w:rsidRPr="00003DA0" w:rsidRDefault="002401F0" w:rsidP="000F2C87">
            <w:pPr>
              <w:keepNext/>
              <w:rPr>
                <w:rFonts w:cs="Arial"/>
              </w:rPr>
            </w:pPr>
            <w:r w:rsidRPr="00003DA0">
              <w:rPr>
                <w:rFonts w:cs="Arial"/>
              </w:rPr>
              <w:t>growth stages to read “Principal…” (not “principle”)</w:t>
            </w:r>
          </w:p>
        </w:tc>
      </w:tr>
    </w:tbl>
    <w:p w:rsidR="002401F0" w:rsidRPr="00E36AFF" w:rsidRDefault="002401F0" w:rsidP="00E36AFF">
      <w:pPr>
        <w:autoSpaceDE w:val="0"/>
        <w:autoSpaceDN w:val="0"/>
        <w:adjustRightInd w:val="0"/>
        <w:rPr>
          <w:rFonts w:cs="Arial"/>
          <w:bCs/>
          <w:snapToGrid w:val="0"/>
          <w:color w:val="000000"/>
        </w:rPr>
      </w:pPr>
    </w:p>
    <w:p w:rsidR="00050E16" w:rsidRDefault="00623191" w:rsidP="002E14B4">
      <w:pPr>
        <w:autoSpaceDE w:val="0"/>
        <w:autoSpaceDN w:val="0"/>
        <w:adjustRightInd w:val="0"/>
      </w:pPr>
      <w:r>
        <w:fldChar w:fldCharType="begin"/>
      </w:r>
      <w:r>
        <w:instrText xml:space="preserve"> AUTONUM  </w:instrText>
      </w:r>
      <w:r>
        <w:fldChar w:fldCharType="end"/>
      </w:r>
      <w:r>
        <w:tab/>
        <w:t xml:space="preserve">The </w:t>
      </w:r>
      <w:r w:rsidRPr="002B6F72">
        <w:rPr>
          <w:rFonts w:cs="Arial"/>
        </w:rPr>
        <w:t xml:space="preserve">TC-EDC </w:t>
      </w:r>
      <w:r>
        <w:t xml:space="preserve">will </w:t>
      </w:r>
      <w:r w:rsidRPr="002B6F72">
        <w:t xml:space="preserve">consider the </w:t>
      </w:r>
      <w:r>
        <w:t xml:space="preserve">above information on the </w:t>
      </w:r>
      <w:r w:rsidRPr="002B6F72">
        <w:t>draft Test</w:t>
      </w:r>
      <w:r>
        <w:t> </w:t>
      </w:r>
      <w:r w:rsidRPr="002B6F72">
        <w:t>Guidelines</w:t>
      </w:r>
      <w:r w:rsidR="00A06C7D">
        <w:t xml:space="preserve"> for Red Clover</w:t>
      </w:r>
      <w:r w:rsidRPr="002B6F72">
        <w:t xml:space="preserve"> at its meeting to be held in October 2020</w:t>
      </w:r>
      <w:r w:rsidRPr="00003DA0">
        <w:t xml:space="preserve"> </w:t>
      </w:r>
      <w:r w:rsidR="002E14B4" w:rsidRPr="002E14B4">
        <w:t xml:space="preserve">and the Test Guidelines </w:t>
      </w:r>
      <w:r w:rsidR="002E14B4">
        <w:t xml:space="preserve">be </w:t>
      </w:r>
      <w:r w:rsidR="002E14B4" w:rsidRPr="002E14B4">
        <w:t xml:space="preserve">re-submitted for </w:t>
      </w:r>
      <w:r w:rsidR="00A06C7D">
        <w:t>adoption by the TC at its fifty</w:t>
      </w:r>
      <w:r w:rsidR="00A06C7D">
        <w:noBreakHyphen/>
      </w:r>
      <w:r w:rsidR="002E14B4" w:rsidRPr="002E14B4">
        <w:t>sixth session to be held on October 25 and 26, 2020.</w:t>
      </w:r>
    </w:p>
    <w:p w:rsidR="00F22DEB" w:rsidRDefault="00F22DEB" w:rsidP="00050E16"/>
    <w:p w:rsidR="00F22DEB" w:rsidRPr="00C651CE" w:rsidRDefault="00F22DEB"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605" w:rsidRDefault="00846605" w:rsidP="006655D3">
      <w:r>
        <w:separator/>
      </w:r>
    </w:p>
    <w:p w:rsidR="00846605" w:rsidRDefault="00846605" w:rsidP="006655D3"/>
    <w:p w:rsidR="00846605" w:rsidRDefault="00846605" w:rsidP="006655D3"/>
  </w:endnote>
  <w:endnote w:type="continuationSeparator" w:id="0">
    <w:p w:rsidR="00846605" w:rsidRDefault="00846605" w:rsidP="006655D3">
      <w:r>
        <w:separator/>
      </w:r>
    </w:p>
    <w:p w:rsidR="00846605" w:rsidRPr="00294751" w:rsidRDefault="00846605">
      <w:pPr>
        <w:pStyle w:val="Footer"/>
        <w:spacing w:after="60"/>
        <w:rPr>
          <w:sz w:val="18"/>
          <w:lang w:val="fr-FR"/>
        </w:rPr>
      </w:pPr>
      <w:r w:rsidRPr="00294751">
        <w:rPr>
          <w:sz w:val="18"/>
          <w:lang w:val="fr-FR"/>
        </w:rPr>
        <w:t>[Suite de la note de la page précédente]</w:t>
      </w:r>
    </w:p>
    <w:p w:rsidR="00846605" w:rsidRPr="00294751" w:rsidRDefault="00846605" w:rsidP="006655D3">
      <w:pPr>
        <w:rPr>
          <w:lang w:val="fr-FR"/>
        </w:rPr>
      </w:pPr>
    </w:p>
    <w:p w:rsidR="00846605" w:rsidRPr="00294751" w:rsidRDefault="00846605" w:rsidP="006655D3">
      <w:pPr>
        <w:rPr>
          <w:lang w:val="fr-FR"/>
        </w:rPr>
      </w:pPr>
    </w:p>
  </w:endnote>
  <w:endnote w:type="continuationNotice" w:id="1">
    <w:p w:rsidR="00846605" w:rsidRPr="00294751" w:rsidRDefault="00846605" w:rsidP="006655D3">
      <w:pPr>
        <w:rPr>
          <w:lang w:val="fr-FR"/>
        </w:rPr>
      </w:pPr>
      <w:r w:rsidRPr="00294751">
        <w:rPr>
          <w:lang w:val="fr-FR"/>
        </w:rPr>
        <w:t>[Suite de la note page suivante]</w:t>
      </w:r>
    </w:p>
    <w:p w:rsidR="00846605" w:rsidRPr="00294751" w:rsidRDefault="00846605" w:rsidP="006655D3">
      <w:pPr>
        <w:rPr>
          <w:lang w:val="fr-FR"/>
        </w:rPr>
      </w:pPr>
    </w:p>
    <w:p w:rsidR="00846605" w:rsidRPr="00294751" w:rsidRDefault="0084660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605" w:rsidRDefault="00846605" w:rsidP="006655D3">
      <w:r>
        <w:separator/>
      </w:r>
    </w:p>
  </w:footnote>
  <w:footnote w:type="continuationSeparator" w:id="0">
    <w:p w:rsidR="00846605" w:rsidRDefault="00846605" w:rsidP="006655D3">
      <w:r>
        <w:separator/>
      </w:r>
    </w:p>
  </w:footnote>
  <w:footnote w:type="continuationNotice" w:id="1">
    <w:p w:rsidR="00846605" w:rsidRPr="00AB530F" w:rsidRDefault="0084660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E75233" w:rsidP="00EB048E">
    <w:pPr>
      <w:pStyle w:val="Header"/>
      <w:rPr>
        <w:rStyle w:val="PageNumber"/>
        <w:lang w:val="en-US"/>
      </w:rPr>
    </w:pPr>
    <w:r>
      <w:rPr>
        <w:rStyle w:val="PageNumber"/>
        <w:lang w:val="en-US"/>
      </w:rPr>
      <w:t>TC/56</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45CA8">
      <w:rPr>
        <w:rStyle w:val="PageNumber"/>
        <w:noProof/>
        <w:lang w:val="en-US"/>
      </w:rPr>
      <w:t>1</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0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2FB4"/>
    <w:rsid w:val="0017474A"/>
    <w:rsid w:val="001758C6"/>
    <w:rsid w:val="00182B99"/>
    <w:rsid w:val="0021332C"/>
    <w:rsid w:val="00213982"/>
    <w:rsid w:val="002401F0"/>
    <w:rsid w:val="0024416D"/>
    <w:rsid w:val="00271911"/>
    <w:rsid w:val="002800A0"/>
    <w:rsid w:val="002801B3"/>
    <w:rsid w:val="00281060"/>
    <w:rsid w:val="002940E8"/>
    <w:rsid w:val="00294751"/>
    <w:rsid w:val="002A6E50"/>
    <w:rsid w:val="002B4298"/>
    <w:rsid w:val="002C256A"/>
    <w:rsid w:val="002E14B4"/>
    <w:rsid w:val="00304827"/>
    <w:rsid w:val="00305A7F"/>
    <w:rsid w:val="003152FE"/>
    <w:rsid w:val="00327436"/>
    <w:rsid w:val="00344BD6"/>
    <w:rsid w:val="0035528D"/>
    <w:rsid w:val="00361821"/>
    <w:rsid w:val="00361E9E"/>
    <w:rsid w:val="003C7FBE"/>
    <w:rsid w:val="003D227C"/>
    <w:rsid w:val="003D2B4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3191"/>
    <w:rsid w:val="00636CA6"/>
    <w:rsid w:val="00641200"/>
    <w:rsid w:val="00645CA8"/>
    <w:rsid w:val="006655D3"/>
    <w:rsid w:val="00667404"/>
    <w:rsid w:val="00687EB4"/>
    <w:rsid w:val="00695C56"/>
    <w:rsid w:val="006A5CDE"/>
    <w:rsid w:val="006A644A"/>
    <w:rsid w:val="006B17D2"/>
    <w:rsid w:val="006C224E"/>
    <w:rsid w:val="006D7435"/>
    <w:rsid w:val="006D780A"/>
    <w:rsid w:val="0071271E"/>
    <w:rsid w:val="007155D5"/>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605"/>
    <w:rsid w:val="00846D7C"/>
    <w:rsid w:val="00867AC1"/>
    <w:rsid w:val="00890DF8"/>
    <w:rsid w:val="008A743F"/>
    <w:rsid w:val="008B6E60"/>
    <w:rsid w:val="008C0970"/>
    <w:rsid w:val="008D0BC5"/>
    <w:rsid w:val="008D2CF7"/>
    <w:rsid w:val="008D7E86"/>
    <w:rsid w:val="00900C26"/>
    <w:rsid w:val="0090197F"/>
    <w:rsid w:val="00906DDC"/>
    <w:rsid w:val="009164CC"/>
    <w:rsid w:val="00934E09"/>
    <w:rsid w:val="00936253"/>
    <w:rsid w:val="00940D46"/>
    <w:rsid w:val="00952DD4"/>
    <w:rsid w:val="00965AE7"/>
    <w:rsid w:val="00970FED"/>
    <w:rsid w:val="00992D82"/>
    <w:rsid w:val="00997029"/>
    <w:rsid w:val="009A7339"/>
    <w:rsid w:val="009B440E"/>
    <w:rsid w:val="009D690D"/>
    <w:rsid w:val="009E65B6"/>
    <w:rsid w:val="00A06C7D"/>
    <w:rsid w:val="00A24C10"/>
    <w:rsid w:val="00A37C2B"/>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B632C"/>
    <w:rsid w:val="00CC11B0"/>
    <w:rsid w:val="00CC2841"/>
    <w:rsid w:val="00CE4D5F"/>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36AFF"/>
    <w:rsid w:val="00E5267B"/>
    <w:rsid w:val="00E63C0E"/>
    <w:rsid w:val="00E72D49"/>
    <w:rsid w:val="00E75233"/>
    <w:rsid w:val="00E7593C"/>
    <w:rsid w:val="00E7678A"/>
    <w:rsid w:val="00E935F1"/>
    <w:rsid w:val="00E94A81"/>
    <w:rsid w:val="00EA1FFB"/>
    <w:rsid w:val="00EB048E"/>
    <w:rsid w:val="00EB4E9C"/>
    <w:rsid w:val="00EE34DF"/>
    <w:rsid w:val="00EF2F89"/>
    <w:rsid w:val="00F03E98"/>
    <w:rsid w:val="00F1237A"/>
    <w:rsid w:val="00F22CBD"/>
    <w:rsid w:val="00F22DEB"/>
    <w:rsid w:val="00F272F1"/>
    <w:rsid w:val="00F316E3"/>
    <w:rsid w:val="00F345F0"/>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ACF2947-8552-43FE-AAA9-61D745E1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21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mdocs/upov/en/tc_edc_mar20/tg_5_8_proj_5.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8EDF-C8FF-4ECA-B1F1-BFD48EC1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TC_56_EN.dotx</Template>
  <TotalTime>4</TotalTime>
  <Pages>1</Pages>
  <Words>442</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OERTEL Romy</dc:creator>
  <cp:lastModifiedBy>Romy Oertel</cp:lastModifiedBy>
  <cp:revision>11</cp:revision>
  <cp:lastPrinted>2016-11-22T15:41:00Z</cp:lastPrinted>
  <dcterms:created xsi:type="dcterms:W3CDTF">2020-09-02T13:05:00Z</dcterms:created>
  <dcterms:modified xsi:type="dcterms:W3CDTF">2020-09-03T06:34:00Z</dcterms:modified>
</cp:coreProperties>
</file>