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32052" w:rsidTr="00EB4E9C">
        <w:tc>
          <w:tcPr>
            <w:tcW w:w="6522" w:type="dxa"/>
          </w:tcPr>
          <w:p w:rsidR="00DC3802" w:rsidRPr="00832052" w:rsidRDefault="00DC3802" w:rsidP="00AC2883">
            <w:r w:rsidRPr="0083205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32052" w:rsidRDefault="00DC3802" w:rsidP="00AC2883">
            <w:pPr>
              <w:pStyle w:val="Lettrine"/>
            </w:pPr>
            <w:r w:rsidRPr="00832052">
              <w:t>E</w:t>
            </w:r>
          </w:p>
        </w:tc>
      </w:tr>
      <w:tr w:rsidR="00DC3802" w:rsidRPr="00832052" w:rsidTr="00645CA8">
        <w:trPr>
          <w:trHeight w:val="219"/>
        </w:trPr>
        <w:tc>
          <w:tcPr>
            <w:tcW w:w="6522" w:type="dxa"/>
          </w:tcPr>
          <w:p w:rsidR="00DC3802" w:rsidRPr="00832052" w:rsidRDefault="00DC3802" w:rsidP="00AC2883">
            <w:pPr>
              <w:pStyle w:val="upove"/>
            </w:pPr>
            <w:r w:rsidRPr="00832052">
              <w:t>International Union for the Protection of New Varieties of Plants</w:t>
            </w:r>
          </w:p>
        </w:tc>
        <w:tc>
          <w:tcPr>
            <w:tcW w:w="3117" w:type="dxa"/>
          </w:tcPr>
          <w:p w:rsidR="00DC3802" w:rsidRPr="00832052" w:rsidRDefault="00DC3802" w:rsidP="00DA4973"/>
        </w:tc>
      </w:tr>
    </w:tbl>
    <w:p w:rsidR="00DC3802" w:rsidRPr="00832052" w:rsidRDefault="00DC3802" w:rsidP="00DC3802"/>
    <w:p w:rsidR="00DA4973" w:rsidRPr="0083205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2052" w:rsidTr="00EB4E9C">
        <w:tc>
          <w:tcPr>
            <w:tcW w:w="6512" w:type="dxa"/>
          </w:tcPr>
          <w:p w:rsidR="00EB4E9C" w:rsidRPr="00832052" w:rsidRDefault="00EB4E9C" w:rsidP="00AC2883">
            <w:pPr>
              <w:pStyle w:val="Sessiontc"/>
              <w:spacing w:line="240" w:lineRule="auto"/>
            </w:pPr>
            <w:r w:rsidRPr="00832052">
              <w:t>Technical Committee</w:t>
            </w:r>
          </w:p>
          <w:p w:rsidR="00EB4E9C" w:rsidRPr="00832052" w:rsidRDefault="00EB4E9C" w:rsidP="00E75233">
            <w:pPr>
              <w:pStyle w:val="Sessiontcplacedate"/>
              <w:rPr>
                <w:sz w:val="22"/>
              </w:rPr>
            </w:pPr>
            <w:r w:rsidRPr="00832052">
              <w:t>Fifty-</w:t>
            </w:r>
            <w:r w:rsidR="00E75233" w:rsidRPr="00832052">
              <w:t>Six</w:t>
            </w:r>
            <w:r w:rsidR="006D7435" w:rsidRPr="00832052">
              <w:t>th</w:t>
            </w:r>
            <w:r w:rsidRPr="00832052">
              <w:t xml:space="preserve"> Session</w:t>
            </w:r>
            <w:r w:rsidRPr="00832052">
              <w:br/>
              <w:t xml:space="preserve">Geneva, </w:t>
            </w:r>
            <w:r w:rsidR="008B6E60" w:rsidRPr="00832052">
              <w:t>October 2</w:t>
            </w:r>
            <w:r w:rsidR="00E75233" w:rsidRPr="00832052">
              <w:t>6</w:t>
            </w:r>
            <w:r w:rsidR="008B6E60" w:rsidRPr="00832052">
              <w:t xml:space="preserve"> and </w:t>
            </w:r>
            <w:r w:rsidR="006D7435" w:rsidRPr="00832052">
              <w:t>2</w:t>
            </w:r>
            <w:r w:rsidR="00E75233" w:rsidRPr="00832052">
              <w:t>7</w:t>
            </w:r>
            <w:r w:rsidR="006D7435" w:rsidRPr="00832052">
              <w:t xml:space="preserve">, </w:t>
            </w:r>
            <w:r w:rsidR="00E75233" w:rsidRPr="00832052">
              <w:t>2020</w:t>
            </w:r>
          </w:p>
        </w:tc>
        <w:tc>
          <w:tcPr>
            <w:tcW w:w="3127" w:type="dxa"/>
          </w:tcPr>
          <w:p w:rsidR="00EB4E9C" w:rsidRPr="00832052" w:rsidRDefault="007645F2" w:rsidP="003C7FBE">
            <w:pPr>
              <w:pStyle w:val="Doccode"/>
            </w:pPr>
            <w:r w:rsidRPr="00832052">
              <w:t>TC/56/13</w:t>
            </w:r>
          </w:p>
          <w:p w:rsidR="00EB4E9C" w:rsidRPr="00832052" w:rsidRDefault="00EB4E9C" w:rsidP="003C7FBE">
            <w:pPr>
              <w:pStyle w:val="Docoriginal"/>
            </w:pPr>
            <w:r w:rsidRPr="00832052">
              <w:t>Original:</w:t>
            </w:r>
            <w:r w:rsidRPr="00832052">
              <w:rPr>
                <w:b w:val="0"/>
                <w:spacing w:val="0"/>
              </w:rPr>
              <w:t xml:space="preserve">  English</w:t>
            </w:r>
          </w:p>
          <w:p w:rsidR="00EB4E9C" w:rsidRPr="00832052" w:rsidRDefault="00EB4E9C" w:rsidP="00806AB4">
            <w:pPr>
              <w:pStyle w:val="Docoriginal"/>
            </w:pPr>
            <w:r w:rsidRPr="00832052">
              <w:t>Date:</w:t>
            </w:r>
            <w:r w:rsidR="008B6E60" w:rsidRPr="00832052">
              <w:rPr>
                <w:b w:val="0"/>
                <w:spacing w:val="0"/>
              </w:rPr>
              <w:t xml:space="preserve">  </w:t>
            </w:r>
            <w:r w:rsidR="00485380" w:rsidRPr="00806AB4">
              <w:rPr>
                <w:b w:val="0"/>
                <w:spacing w:val="0"/>
              </w:rPr>
              <w:t xml:space="preserve">October </w:t>
            </w:r>
            <w:r w:rsidR="00806AB4" w:rsidRPr="00806AB4">
              <w:rPr>
                <w:b w:val="0"/>
                <w:spacing w:val="0"/>
              </w:rPr>
              <w:t>9</w:t>
            </w:r>
            <w:r w:rsidR="00485380" w:rsidRPr="00806AB4">
              <w:rPr>
                <w:b w:val="0"/>
                <w:spacing w:val="0"/>
              </w:rPr>
              <w:t>, 2020</w:t>
            </w:r>
          </w:p>
        </w:tc>
      </w:tr>
    </w:tbl>
    <w:p w:rsidR="000D7780" w:rsidRPr="00832052" w:rsidRDefault="007645F2" w:rsidP="006A644A">
      <w:pPr>
        <w:pStyle w:val="Titleofdoc0"/>
      </w:pPr>
      <w:bookmarkStart w:id="0" w:name="TitleOfDoc"/>
      <w:bookmarkEnd w:id="0"/>
      <w:r w:rsidRPr="00832052">
        <w:t>Review of document UPOV/INF/17 “Guidelines for DNA-Profiling: Molecular Marker Selection and Database Construction (‘BMT Guidelines’)”</w:t>
      </w:r>
    </w:p>
    <w:p w:rsidR="006A644A" w:rsidRPr="00832052" w:rsidRDefault="00AE0EF1" w:rsidP="006A644A">
      <w:pPr>
        <w:pStyle w:val="preparedby1"/>
        <w:jc w:val="left"/>
      </w:pPr>
      <w:bookmarkStart w:id="1" w:name="Prepared"/>
      <w:bookmarkEnd w:id="1"/>
      <w:r w:rsidRPr="00832052">
        <w:t xml:space="preserve">Document </w:t>
      </w:r>
      <w:r w:rsidR="0061555F" w:rsidRPr="00832052">
        <w:t>prepared by the Office of the Union</w:t>
      </w:r>
    </w:p>
    <w:p w:rsidR="00050E16" w:rsidRPr="00832052" w:rsidRDefault="00050E16" w:rsidP="006A644A">
      <w:pPr>
        <w:pStyle w:val="Disclaimer"/>
      </w:pPr>
      <w:r w:rsidRPr="00832052">
        <w:t>Disclaimer:  this document does not represent UPOV policies or guidance</w:t>
      </w:r>
    </w:p>
    <w:p w:rsidR="00050E16" w:rsidRPr="00832052" w:rsidRDefault="00403992" w:rsidP="00403992">
      <w:pPr>
        <w:pStyle w:val="Heading1"/>
      </w:pPr>
      <w:bookmarkStart w:id="2" w:name="_Toc52216614"/>
      <w:r w:rsidRPr="00832052">
        <w:t>Executive summary</w:t>
      </w:r>
      <w:bookmarkEnd w:id="2"/>
    </w:p>
    <w:p w:rsidR="00403992" w:rsidRPr="00832052" w:rsidRDefault="00403992" w:rsidP="004B1215"/>
    <w:p w:rsidR="00403992" w:rsidRPr="00832052" w:rsidRDefault="00403992" w:rsidP="004B1215">
      <w:r w:rsidRPr="00832052">
        <w:fldChar w:fldCharType="begin"/>
      </w:r>
      <w:r w:rsidRPr="00832052">
        <w:instrText xml:space="preserve"> AUTONUM  </w:instrText>
      </w:r>
      <w:r w:rsidRPr="00832052">
        <w:fldChar w:fldCharType="end"/>
      </w:r>
      <w:r w:rsidRPr="00832052">
        <w:tab/>
        <w:t xml:space="preserve">The purpose of this document is to </w:t>
      </w:r>
      <w:r w:rsidR="00E47493" w:rsidRPr="00832052">
        <w:t>consider a</w:t>
      </w:r>
      <w:r w:rsidRPr="00832052">
        <w:t xml:space="preserve"> </w:t>
      </w:r>
      <w:r w:rsidR="00E47493" w:rsidRPr="00832052">
        <w:t xml:space="preserve">proposal for </w:t>
      </w:r>
      <w:r w:rsidRPr="00832052">
        <w:t>revision of document UPOV/INF/17 “Guidelines for DNA</w:t>
      </w:r>
      <w:r w:rsidR="00E47493" w:rsidRPr="00832052">
        <w:noBreakHyphen/>
      </w:r>
      <w:r w:rsidRPr="00832052">
        <w:t>profiling: Molecular Maker Selection and Database Construction (‘BMT Guidelines’)”</w:t>
      </w:r>
      <w:r w:rsidR="00E47493" w:rsidRPr="00832052">
        <w:t>, as presented in document UPOV/INF/17/2 Draft 4</w:t>
      </w:r>
      <w:r w:rsidR="00203B8B" w:rsidRPr="00832052">
        <w:t>, and in the Annex to this document</w:t>
      </w:r>
      <w:r w:rsidR="00E167AF" w:rsidRPr="00832052">
        <w:t>.</w:t>
      </w:r>
    </w:p>
    <w:p w:rsidR="003A27EF" w:rsidRDefault="003A27EF" w:rsidP="003A27EF"/>
    <w:p w:rsidR="003A10BA" w:rsidRDefault="003A10BA" w:rsidP="003A10BA">
      <w:r>
        <w:fldChar w:fldCharType="begin"/>
      </w:r>
      <w:r>
        <w:instrText xml:space="preserve"> AUTONUM  </w:instrText>
      </w:r>
      <w:r>
        <w:fldChar w:fldCharType="end"/>
      </w:r>
      <w:r>
        <w:tab/>
        <w:t xml:space="preserve">The TC is invited to: </w:t>
      </w:r>
    </w:p>
    <w:p w:rsidR="003A10BA" w:rsidRDefault="003A10BA" w:rsidP="003A10BA"/>
    <w:p w:rsidR="003A10BA" w:rsidRDefault="003A10BA" w:rsidP="003A10BA">
      <w:r>
        <w:tab/>
        <w:t>(a)</w:t>
      </w:r>
      <w:r>
        <w:tab/>
        <w:t xml:space="preserve">consider the proposed revision of document UPOV/INF/17 on the basis of document UPOV/INF/17/2 Draft 4; </w:t>
      </w:r>
    </w:p>
    <w:p w:rsidR="003A10BA" w:rsidRDefault="003A10BA" w:rsidP="003A10BA"/>
    <w:p w:rsidR="003A10BA" w:rsidRDefault="003A10BA" w:rsidP="003A10BA">
      <w:r>
        <w:tab/>
        <w:t>(b)</w:t>
      </w:r>
      <w:r>
        <w:tab/>
        <w:t>request the TWPs to consider a draft revision of document UPOV/INF/17/1 (document UPOV/INF/17/2 Draft 5) at their sessions in 2021; and</w:t>
      </w:r>
    </w:p>
    <w:p w:rsidR="003A10BA" w:rsidRDefault="003A10BA" w:rsidP="003A10BA"/>
    <w:p w:rsidR="003A27EF" w:rsidRDefault="003A10BA" w:rsidP="003A10BA">
      <w:r>
        <w:tab/>
        <w:t>(c)</w:t>
      </w:r>
      <w:r>
        <w:tab/>
        <w:t>note that a draft revision of document UPOV/INF/17 (UPOV/INF/17/2 Draft 6) would be proposed for adoption by the Council, at its fifty-fifth session, to be held on October 29, 2021, subject to agreement by the TC at its fifty</w:t>
      </w:r>
      <w:r>
        <w:noBreakHyphen/>
        <w:t>seventh session and the CAJ, at its seventy</w:t>
      </w:r>
      <w:r>
        <w:noBreakHyphen/>
        <w:t>eighth session, to be held in 2021.</w:t>
      </w:r>
    </w:p>
    <w:p w:rsidR="003A10BA" w:rsidRPr="00832052" w:rsidRDefault="003A10BA" w:rsidP="003A10BA"/>
    <w:p w:rsidR="007B4D86" w:rsidRPr="00832052" w:rsidRDefault="007B4D86" w:rsidP="007B4D86">
      <w:pPr>
        <w:keepNext/>
        <w:spacing w:after="120"/>
        <w:rPr>
          <w:rFonts w:cs="Arial"/>
        </w:rPr>
      </w:pPr>
      <w:r w:rsidRPr="00832052">
        <w:rPr>
          <w:rFonts w:cs="Arial"/>
        </w:rPr>
        <w:fldChar w:fldCharType="begin"/>
      </w:r>
      <w:r w:rsidRPr="00832052">
        <w:rPr>
          <w:rFonts w:cs="Arial"/>
        </w:rPr>
        <w:instrText xml:space="preserve"> AUTONUM  </w:instrText>
      </w:r>
      <w:r w:rsidRPr="00832052">
        <w:rPr>
          <w:rFonts w:cs="Arial"/>
        </w:rPr>
        <w:fldChar w:fldCharType="end"/>
      </w:r>
      <w:r w:rsidRPr="00832052">
        <w:rPr>
          <w:rFonts w:cs="Arial"/>
        </w:rPr>
        <w:tab/>
        <w:t>The structure of this document is as follows:</w:t>
      </w:r>
    </w:p>
    <w:p w:rsidR="007B4D86" w:rsidRPr="00832052" w:rsidRDefault="007B4D86">
      <w:pPr>
        <w:pStyle w:val="TOC1"/>
        <w:rPr>
          <w:rFonts w:asciiTheme="minorHAnsi" w:eastAsiaTheme="minorEastAsia" w:hAnsiTheme="minorHAnsi" w:cstheme="minorBidi"/>
          <w:caps w:val="0"/>
          <w:noProof/>
          <w:sz w:val="22"/>
          <w:szCs w:val="22"/>
        </w:rPr>
      </w:pPr>
      <w:r w:rsidRPr="00832052">
        <w:rPr>
          <w:rFonts w:cs="Arial"/>
          <w:bCs/>
          <w:sz w:val="14"/>
        </w:rPr>
        <w:fldChar w:fldCharType="begin"/>
      </w:r>
      <w:r w:rsidRPr="00832052">
        <w:rPr>
          <w:rFonts w:cs="Arial"/>
          <w:bCs/>
          <w:sz w:val="14"/>
        </w:rPr>
        <w:instrText xml:space="preserve"> TOC \o "1-4" \h \z \u </w:instrText>
      </w:r>
      <w:r w:rsidRPr="00832052">
        <w:rPr>
          <w:rFonts w:cs="Arial"/>
          <w:bCs/>
          <w:sz w:val="14"/>
        </w:rPr>
        <w:fldChar w:fldCharType="separate"/>
      </w:r>
      <w:hyperlink w:anchor="_Toc52216614" w:history="1">
        <w:r w:rsidRPr="00832052">
          <w:rPr>
            <w:rStyle w:val="Hyperlink"/>
            <w:noProof/>
          </w:rPr>
          <w:t>Executive summary</w:t>
        </w:r>
        <w:r w:rsidRPr="00832052">
          <w:rPr>
            <w:noProof/>
            <w:webHidden/>
          </w:rPr>
          <w:tab/>
        </w:r>
        <w:r w:rsidRPr="00832052">
          <w:rPr>
            <w:noProof/>
            <w:webHidden/>
          </w:rPr>
          <w:fldChar w:fldCharType="begin"/>
        </w:r>
        <w:r w:rsidRPr="00832052">
          <w:rPr>
            <w:noProof/>
            <w:webHidden/>
          </w:rPr>
          <w:instrText xml:space="preserve"> PAGEREF _Toc52216614 \h </w:instrText>
        </w:r>
        <w:r w:rsidRPr="00832052">
          <w:rPr>
            <w:noProof/>
            <w:webHidden/>
          </w:rPr>
        </w:r>
        <w:r w:rsidRPr="00832052">
          <w:rPr>
            <w:noProof/>
            <w:webHidden/>
          </w:rPr>
          <w:fldChar w:fldCharType="separate"/>
        </w:r>
        <w:r w:rsidR="00D24C2E">
          <w:rPr>
            <w:noProof/>
            <w:webHidden/>
          </w:rPr>
          <w:t>1</w:t>
        </w:r>
        <w:r w:rsidRPr="00832052">
          <w:rPr>
            <w:noProof/>
            <w:webHidden/>
          </w:rPr>
          <w:fldChar w:fldCharType="end"/>
        </w:r>
      </w:hyperlink>
    </w:p>
    <w:p w:rsidR="007B4D86" w:rsidRPr="00832052" w:rsidRDefault="005544DA">
      <w:pPr>
        <w:pStyle w:val="TOC1"/>
        <w:rPr>
          <w:rStyle w:val="Hyperlink"/>
          <w:noProof/>
        </w:rPr>
      </w:pPr>
      <w:hyperlink w:anchor="_Toc52216615" w:history="1">
        <w:r w:rsidR="007B4D86" w:rsidRPr="00832052">
          <w:rPr>
            <w:rStyle w:val="Hyperlink"/>
            <w:noProof/>
          </w:rPr>
          <w:t>BACKGROUND</w:t>
        </w:r>
        <w:r w:rsidR="007B4D86" w:rsidRPr="00832052">
          <w:rPr>
            <w:noProof/>
            <w:webHidden/>
          </w:rPr>
          <w:tab/>
        </w:r>
        <w:r w:rsidR="007B4D86" w:rsidRPr="00832052">
          <w:rPr>
            <w:noProof/>
            <w:webHidden/>
          </w:rPr>
          <w:fldChar w:fldCharType="begin"/>
        </w:r>
        <w:r w:rsidR="007B4D86" w:rsidRPr="00832052">
          <w:rPr>
            <w:noProof/>
            <w:webHidden/>
          </w:rPr>
          <w:instrText xml:space="preserve"> PAGEREF _Toc52216615 \h </w:instrText>
        </w:r>
        <w:r w:rsidR="007B4D86" w:rsidRPr="00832052">
          <w:rPr>
            <w:noProof/>
            <w:webHidden/>
          </w:rPr>
        </w:r>
        <w:r w:rsidR="007B4D86" w:rsidRPr="00832052">
          <w:rPr>
            <w:noProof/>
            <w:webHidden/>
          </w:rPr>
          <w:fldChar w:fldCharType="separate"/>
        </w:r>
        <w:r w:rsidR="00D24C2E">
          <w:rPr>
            <w:noProof/>
            <w:webHidden/>
          </w:rPr>
          <w:t>1</w:t>
        </w:r>
        <w:r w:rsidR="007B4D86" w:rsidRPr="00832052">
          <w:rPr>
            <w:noProof/>
            <w:webHidden/>
          </w:rPr>
          <w:fldChar w:fldCharType="end"/>
        </w:r>
      </w:hyperlink>
    </w:p>
    <w:p w:rsidR="00F24EE7" w:rsidRPr="00832052" w:rsidRDefault="00F24EE7" w:rsidP="00F24EE7">
      <w:pPr>
        <w:tabs>
          <w:tab w:val="left" w:leader="dot" w:pos="9498"/>
        </w:tabs>
        <w:rPr>
          <w:rFonts w:eastAsia="MS Mincho"/>
          <w:caps/>
        </w:rPr>
      </w:pPr>
      <w:r w:rsidRPr="00832052">
        <w:rPr>
          <w:rFonts w:eastAsia="MS Mincho"/>
          <w:caps/>
        </w:rPr>
        <w:t>Developments at the nineteenth session of the BMT</w:t>
      </w:r>
      <w:r w:rsidRPr="00832052">
        <w:rPr>
          <w:rFonts w:eastAsia="MS Mincho"/>
          <w:caps/>
        </w:rPr>
        <w:tab/>
        <w:t>2</w:t>
      </w:r>
    </w:p>
    <w:p w:rsidR="00F24EE7" w:rsidRPr="00832052" w:rsidRDefault="00F24EE7" w:rsidP="00F24EE7">
      <w:pPr>
        <w:tabs>
          <w:tab w:val="left" w:leader="dot" w:pos="9498"/>
        </w:tabs>
        <w:rPr>
          <w:rFonts w:eastAsiaTheme="minorEastAsia"/>
          <w:caps/>
        </w:rPr>
      </w:pPr>
      <w:r w:rsidRPr="00832052">
        <w:rPr>
          <w:rFonts w:eastAsia="MS Mincho"/>
          <w:caps/>
        </w:rPr>
        <w:t>NEXT STEPS</w:t>
      </w:r>
      <w:r w:rsidRPr="00832052">
        <w:rPr>
          <w:rFonts w:eastAsia="MS Mincho"/>
          <w:caps/>
        </w:rPr>
        <w:tab/>
        <w:t>2</w:t>
      </w:r>
    </w:p>
    <w:p w:rsidR="007B4D86" w:rsidRPr="003265BF" w:rsidRDefault="007B4D86" w:rsidP="00686841">
      <w:pPr>
        <w:keepNext/>
        <w:tabs>
          <w:tab w:val="left" w:pos="1134"/>
        </w:tabs>
        <w:spacing w:before="60"/>
        <w:rPr>
          <w:noProof/>
          <w:snapToGrid w:val="0"/>
          <w:sz w:val="18"/>
        </w:rPr>
      </w:pPr>
      <w:r w:rsidRPr="00832052">
        <w:rPr>
          <w:noProof/>
          <w:snapToGrid w:val="0"/>
          <w:sz w:val="16"/>
        </w:rPr>
        <w:fldChar w:fldCharType="end"/>
      </w:r>
      <w:r w:rsidR="00686841" w:rsidRPr="003265BF">
        <w:rPr>
          <w:noProof/>
          <w:snapToGrid w:val="0"/>
          <w:sz w:val="18"/>
        </w:rPr>
        <w:t>Annex:</w:t>
      </w:r>
      <w:r w:rsidR="00686841" w:rsidRPr="003265BF">
        <w:rPr>
          <w:noProof/>
          <w:snapToGrid w:val="0"/>
          <w:sz w:val="18"/>
        </w:rPr>
        <w:tab/>
      </w:r>
      <w:r w:rsidR="003265BF" w:rsidRPr="003265BF">
        <w:rPr>
          <w:noProof/>
          <w:snapToGrid w:val="0"/>
          <w:sz w:val="18"/>
        </w:rPr>
        <w:t>Proposal by the BMT for the revision of document UPOV/INF/17</w:t>
      </w:r>
    </w:p>
    <w:p w:rsidR="00686841" w:rsidRPr="00832052" w:rsidRDefault="00686841" w:rsidP="00686841">
      <w:pPr>
        <w:keepNext/>
        <w:spacing w:before="60"/>
        <w:rPr>
          <w:sz w:val="18"/>
        </w:rPr>
      </w:pPr>
    </w:p>
    <w:p w:rsidR="007B4D86" w:rsidRPr="00832052" w:rsidRDefault="007B4D86" w:rsidP="007B4D86">
      <w:pPr>
        <w:keepNext/>
        <w:rPr>
          <w:rFonts w:cs="Arial"/>
        </w:rPr>
      </w:pPr>
      <w:r w:rsidRPr="00832052">
        <w:rPr>
          <w:rFonts w:cs="Arial"/>
        </w:rPr>
        <w:fldChar w:fldCharType="begin"/>
      </w:r>
      <w:r w:rsidRPr="00832052">
        <w:rPr>
          <w:rFonts w:cs="Arial"/>
        </w:rPr>
        <w:instrText xml:space="preserve"> AUTONUM  </w:instrText>
      </w:r>
      <w:r w:rsidRPr="00832052">
        <w:rPr>
          <w:rFonts w:cs="Arial"/>
        </w:rPr>
        <w:fldChar w:fldCharType="end"/>
      </w:r>
      <w:r w:rsidRPr="00832052">
        <w:rPr>
          <w:rFonts w:cs="Arial"/>
        </w:rPr>
        <w:tab/>
        <w:t>The following abbreviations are used in this document:</w:t>
      </w:r>
    </w:p>
    <w:p w:rsidR="007B4D86" w:rsidRPr="00832052" w:rsidRDefault="007B4D86" w:rsidP="007B4D86">
      <w:pPr>
        <w:jc w:val="left"/>
        <w:rPr>
          <w:rFonts w:cs="Arial"/>
          <w:color w:val="000000"/>
        </w:rPr>
      </w:pPr>
      <w:bookmarkStart w:id="3" w:name="_Toc352678045"/>
      <w:bookmarkStart w:id="4" w:name="_Toc353797725"/>
      <w:bookmarkStart w:id="5" w:name="_Toc386185970"/>
      <w:bookmarkStart w:id="6" w:name="_Toc419124858"/>
    </w:p>
    <w:p w:rsidR="007B4D86" w:rsidRPr="00832052" w:rsidRDefault="007B4D86" w:rsidP="007B4D86">
      <w:pPr>
        <w:tabs>
          <w:tab w:val="left" w:pos="567"/>
          <w:tab w:val="left" w:pos="1701"/>
        </w:tabs>
        <w:rPr>
          <w:rFonts w:eastAsiaTheme="minorEastAsia"/>
          <w:lang w:eastAsia="ja-JP"/>
        </w:rPr>
      </w:pPr>
      <w:r w:rsidRPr="00832052">
        <w:tab/>
        <w:t>BMT:</w:t>
      </w:r>
      <w:r w:rsidRPr="00832052">
        <w:tab/>
        <w:t xml:space="preserve">Working Group on Biochemical and Molecular Techniques, and DNA-Profiling in Particular </w:t>
      </w:r>
    </w:p>
    <w:p w:rsidR="007B4D86" w:rsidRPr="00832052" w:rsidRDefault="007B4D86" w:rsidP="007B4D86">
      <w:pPr>
        <w:keepNext/>
        <w:tabs>
          <w:tab w:val="left" w:pos="567"/>
          <w:tab w:val="left" w:pos="1701"/>
        </w:tabs>
        <w:ind w:left="567"/>
        <w:rPr>
          <w:rFonts w:eastAsiaTheme="minorEastAsia"/>
        </w:rPr>
      </w:pPr>
      <w:r w:rsidRPr="00832052">
        <w:rPr>
          <w:rFonts w:eastAsiaTheme="minorEastAsia"/>
        </w:rPr>
        <w:t xml:space="preserve">CAJ:  </w:t>
      </w:r>
      <w:r w:rsidRPr="00832052">
        <w:rPr>
          <w:rFonts w:eastAsiaTheme="minorEastAsia"/>
        </w:rPr>
        <w:tab/>
      </w:r>
      <w:r w:rsidRPr="00832052">
        <w:rPr>
          <w:rFonts w:eastAsiaTheme="minorEastAsia"/>
        </w:rPr>
        <w:tab/>
        <w:t xml:space="preserve">Administrative and Legal Committee </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 xml:space="preserve">TC:  </w:t>
      </w:r>
      <w:r w:rsidRPr="00832052">
        <w:rPr>
          <w:rFonts w:eastAsia="PMingLiU"/>
          <w:szCs w:val="24"/>
        </w:rPr>
        <w:tab/>
      </w:r>
      <w:r w:rsidRPr="00832052">
        <w:rPr>
          <w:rFonts w:eastAsia="PMingLiU"/>
          <w:szCs w:val="24"/>
        </w:rPr>
        <w:tab/>
        <w:t xml:space="preserve">Technical Committee </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TWA:</w:t>
      </w:r>
      <w:r w:rsidRPr="00832052">
        <w:rPr>
          <w:rFonts w:eastAsia="PMingLiU"/>
          <w:szCs w:val="24"/>
        </w:rPr>
        <w:tab/>
        <w:t>Technical Working Party for Agricultural Crops</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TWC:</w:t>
      </w:r>
      <w:r w:rsidRPr="00832052">
        <w:rPr>
          <w:rFonts w:eastAsia="PMingLiU"/>
          <w:szCs w:val="24"/>
        </w:rPr>
        <w:tab/>
        <w:t>Technical Working Party on Automation and Computer Programs</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 xml:space="preserve">TWF: </w:t>
      </w:r>
      <w:r w:rsidRPr="00832052">
        <w:rPr>
          <w:rFonts w:eastAsia="PMingLiU"/>
          <w:szCs w:val="24"/>
        </w:rPr>
        <w:tab/>
        <w:t>Technical Working Party for Fruit Crops</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TWO:</w:t>
      </w:r>
      <w:r w:rsidRPr="00832052">
        <w:rPr>
          <w:rFonts w:eastAsia="PMingLiU"/>
          <w:szCs w:val="24"/>
        </w:rPr>
        <w:tab/>
        <w:t>Technical Working Party for Ornamental Plants and Forest Trees</w:t>
      </w:r>
    </w:p>
    <w:p w:rsidR="007B4D86" w:rsidRPr="00832052" w:rsidRDefault="007B4D86" w:rsidP="007B4D86">
      <w:pPr>
        <w:keepNext/>
        <w:tabs>
          <w:tab w:val="left" w:pos="567"/>
          <w:tab w:val="left" w:pos="1701"/>
        </w:tabs>
        <w:rPr>
          <w:rFonts w:eastAsia="PMingLiU"/>
          <w:szCs w:val="24"/>
        </w:rPr>
      </w:pPr>
      <w:r w:rsidRPr="00832052">
        <w:rPr>
          <w:rFonts w:eastAsia="PMingLiU"/>
          <w:szCs w:val="24"/>
        </w:rPr>
        <w:tab/>
        <w:t>TWP(s):</w:t>
      </w:r>
      <w:r w:rsidRPr="00832052">
        <w:rPr>
          <w:rFonts w:eastAsia="PMingLiU"/>
          <w:szCs w:val="24"/>
        </w:rPr>
        <w:tab/>
        <w:t>Technical Working Party(ies)</w:t>
      </w:r>
    </w:p>
    <w:p w:rsidR="007B4D86" w:rsidRPr="00832052" w:rsidRDefault="007B4D86" w:rsidP="007B4D86">
      <w:pPr>
        <w:tabs>
          <w:tab w:val="left" w:pos="567"/>
          <w:tab w:val="left" w:pos="1701"/>
        </w:tabs>
        <w:rPr>
          <w:rFonts w:eastAsiaTheme="minorEastAsia"/>
        </w:rPr>
      </w:pPr>
      <w:r w:rsidRPr="00832052">
        <w:rPr>
          <w:rFonts w:eastAsiaTheme="minorEastAsia"/>
        </w:rPr>
        <w:tab/>
        <w:t>TWV:</w:t>
      </w:r>
      <w:r w:rsidRPr="00832052">
        <w:rPr>
          <w:rFonts w:eastAsiaTheme="minorEastAsia"/>
        </w:rPr>
        <w:tab/>
        <w:t>Technical Working Party for Vegetables</w:t>
      </w:r>
    </w:p>
    <w:p w:rsidR="007B4D86" w:rsidRPr="00832052" w:rsidRDefault="007B4D86" w:rsidP="007B4D86">
      <w:pPr>
        <w:jc w:val="left"/>
        <w:rPr>
          <w:rFonts w:cs="Arial"/>
          <w:color w:val="000000"/>
        </w:rPr>
      </w:pPr>
    </w:p>
    <w:p w:rsidR="007B4D86" w:rsidRPr="00832052" w:rsidRDefault="007B4D86" w:rsidP="007B4D86">
      <w:pPr>
        <w:keepNext/>
        <w:keepLines/>
        <w:outlineLvl w:val="0"/>
        <w:rPr>
          <w:caps/>
        </w:rPr>
      </w:pPr>
      <w:bookmarkStart w:id="7" w:name="_Toc52216615"/>
      <w:r w:rsidRPr="00832052">
        <w:rPr>
          <w:caps/>
        </w:rPr>
        <w:t>BACKGROUND</w:t>
      </w:r>
      <w:bookmarkEnd w:id="3"/>
      <w:bookmarkEnd w:id="4"/>
      <w:bookmarkEnd w:id="5"/>
      <w:bookmarkEnd w:id="6"/>
      <w:bookmarkEnd w:id="7"/>
    </w:p>
    <w:p w:rsidR="006D3FF6" w:rsidRPr="00832052" w:rsidRDefault="006D3FF6" w:rsidP="004B1215"/>
    <w:p w:rsidR="00974047" w:rsidRPr="00832052" w:rsidRDefault="00974047" w:rsidP="004B1215">
      <w:r w:rsidRPr="00832052">
        <w:fldChar w:fldCharType="begin"/>
      </w:r>
      <w:r w:rsidRPr="00832052">
        <w:instrText xml:space="preserve"> AUTONUM  </w:instrText>
      </w:r>
      <w:r w:rsidRPr="00832052">
        <w:fldChar w:fldCharType="end"/>
      </w:r>
      <w:r w:rsidRPr="00832052">
        <w:tab/>
        <w:t>The background to this matter is provided in document TC/55/7 “Molecular Techniques.”</w:t>
      </w:r>
    </w:p>
    <w:p w:rsidR="00B82D78" w:rsidRPr="00832052" w:rsidRDefault="00B82D78" w:rsidP="00B82D78"/>
    <w:p w:rsidR="00B82D78" w:rsidRPr="00832052" w:rsidRDefault="00B82D78" w:rsidP="00B82D78">
      <w:r w:rsidRPr="00832052">
        <w:lastRenderedPageBreak/>
        <w:fldChar w:fldCharType="begin"/>
      </w:r>
      <w:r w:rsidRPr="00832052">
        <w:instrText xml:space="preserve"> AUTONUM  </w:instrText>
      </w:r>
      <w:r w:rsidRPr="00832052">
        <w:fldChar w:fldCharType="end"/>
      </w:r>
      <w:r w:rsidRPr="00832052">
        <w:tab/>
        <w:t>The TC</w:t>
      </w:r>
      <w:r w:rsidR="00974047" w:rsidRPr="00832052">
        <w:t>, at its fifty-fifth session</w:t>
      </w:r>
      <w:r w:rsidR="00974047" w:rsidRPr="00832052">
        <w:rPr>
          <w:rStyle w:val="FootnoteReference"/>
        </w:rPr>
        <w:footnoteReference w:id="2"/>
      </w:r>
      <w:r w:rsidR="00974047" w:rsidRPr="00832052">
        <w:t>,</w:t>
      </w:r>
      <w:r w:rsidRPr="00832052">
        <w:t xml:space="preserve"> agreed with the proposal by the BMT, at its eighteenth session</w:t>
      </w:r>
      <w:r w:rsidR="00974047" w:rsidRPr="00832052">
        <w:rPr>
          <w:rStyle w:val="FootnoteReference"/>
        </w:rPr>
        <w:footnoteReference w:id="3"/>
      </w:r>
      <w:r w:rsidRPr="00832052">
        <w:t xml:space="preserve">, for the European Union, France and the Netherlands to prepare a new draft of document UPOV/INF/17 </w:t>
      </w:r>
      <w:r w:rsidRPr="00832052">
        <w:rPr>
          <w:rFonts w:cs="Arial"/>
          <w:iCs/>
        </w:rPr>
        <w:t>(document</w:t>
      </w:r>
      <w:r w:rsidR="00974047" w:rsidRPr="00832052">
        <w:rPr>
          <w:rFonts w:cs="Arial"/>
          <w:iCs/>
        </w:rPr>
        <w:t> </w:t>
      </w:r>
      <w:r w:rsidRPr="00832052">
        <w:rPr>
          <w:rFonts w:cs="Arial"/>
          <w:iCs/>
        </w:rPr>
        <w:t xml:space="preserve">UPOV/INF/17/2 Draft 3) </w:t>
      </w:r>
      <w:r w:rsidRPr="00832052">
        <w:t>for consideration at the nineteenth session of the BMT</w:t>
      </w:r>
      <w:r w:rsidR="00F913DA">
        <w:t xml:space="preserve"> (see document TC/55/25 Corr. “Report”, paragraph 181)</w:t>
      </w:r>
      <w:r w:rsidRPr="00832052">
        <w:t>.</w:t>
      </w:r>
    </w:p>
    <w:p w:rsidR="00E47493" w:rsidRPr="00832052" w:rsidRDefault="00E47493" w:rsidP="00B82D78"/>
    <w:p w:rsidR="00912F53" w:rsidRDefault="00686841" w:rsidP="00B82D78">
      <w:r w:rsidRPr="0018589F">
        <w:fldChar w:fldCharType="begin"/>
      </w:r>
      <w:r w:rsidRPr="0018589F">
        <w:instrText xml:space="preserve"> AUTONUM  </w:instrText>
      </w:r>
      <w:r w:rsidRPr="0018589F">
        <w:fldChar w:fldCharType="end"/>
      </w:r>
      <w:r w:rsidRPr="0018589F">
        <w:tab/>
      </w:r>
      <w:r w:rsidR="008D2A77" w:rsidRPr="0018589F">
        <w:t>The TWPs, at their sessions in 2020, considered document</w:t>
      </w:r>
      <w:r w:rsidR="00912F53" w:rsidRPr="0018589F">
        <w:t xml:space="preserve"> TW</w:t>
      </w:r>
      <w:r w:rsidR="008D2A77" w:rsidRPr="0018589F">
        <w:t>P/4/7 “Molecular Techniques”</w:t>
      </w:r>
      <w:r w:rsidR="00912F53" w:rsidRPr="0018589F">
        <w:t>. The TWPs noted the changes agreed by the BMT to document UPOV/INF/17, as reproduced in document TWP/4/7, Annex II.  The TWPs noted that the TC had agreed to invite the European Union, France and the Netherlands to prepare a new draft of document UPOV/INF/17 for consideration of the BMT, at its nineteenth session (see documents TWV/54/12 “Report”, paragraph</w:t>
      </w:r>
      <w:r w:rsidR="005467D6" w:rsidRPr="0018589F">
        <w:t>s 13 and 14</w:t>
      </w:r>
      <w:r w:rsidR="00912F53" w:rsidRPr="0018589F">
        <w:t xml:space="preserve">;  TWO/52/11 “Report”, paragraphs </w:t>
      </w:r>
      <w:r w:rsidR="005467D6" w:rsidRPr="0018589F">
        <w:t>84</w:t>
      </w:r>
      <w:r w:rsidR="00912F53" w:rsidRPr="0018589F">
        <w:t xml:space="preserve"> and </w:t>
      </w:r>
      <w:r w:rsidR="005467D6" w:rsidRPr="0018589F">
        <w:t>85</w:t>
      </w:r>
      <w:r w:rsidR="00912F53" w:rsidRPr="0018589F">
        <w:t xml:space="preserve">;  TWA/49/7 “Report”, paragraphs </w:t>
      </w:r>
      <w:r w:rsidR="005467D6" w:rsidRPr="0018589F">
        <w:t>58</w:t>
      </w:r>
      <w:r w:rsidR="00912F53" w:rsidRPr="0018589F">
        <w:t xml:space="preserve"> </w:t>
      </w:r>
      <w:r w:rsidR="005467D6" w:rsidRPr="0018589F">
        <w:t>and 59</w:t>
      </w:r>
      <w:r w:rsidR="00912F53" w:rsidRPr="0018589F">
        <w:t>;  TWF/51/10 “Report”, paragraph</w:t>
      </w:r>
      <w:r w:rsidR="005467D6" w:rsidRPr="0018589F">
        <w:t>s 13 and 14</w:t>
      </w:r>
      <w:r w:rsidR="00912F53" w:rsidRPr="0018589F">
        <w:t>;  and TWC/38/11 “Report”, paragraph</w:t>
      </w:r>
      <w:r w:rsidR="005467D6" w:rsidRPr="0018589F">
        <w:t>s 66 and 67</w:t>
      </w:r>
      <w:r w:rsidR="00912F53" w:rsidRPr="0018589F">
        <w:t>).</w:t>
      </w:r>
    </w:p>
    <w:p w:rsidR="00912F53" w:rsidRPr="00832052" w:rsidRDefault="00912F53" w:rsidP="00B82D78"/>
    <w:p w:rsidR="00686841" w:rsidRPr="00832052" w:rsidRDefault="00686841" w:rsidP="00B82D78">
      <w:r w:rsidRPr="00832052">
        <w:fldChar w:fldCharType="begin"/>
      </w:r>
      <w:r w:rsidRPr="00832052">
        <w:instrText xml:space="preserve"> AUTONUM  </w:instrText>
      </w:r>
      <w:r w:rsidRPr="00832052">
        <w:fldChar w:fldCharType="end"/>
      </w:r>
      <w:r w:rsidRPr="00832052">
        <w:tab/>
        <w:t xml:space="preserve">The program for the development of </w:t>
      </w:r>
      <w:r w:rsidR="00832052" w:rsidRPr="00832052">
        <w:t>guidance and relevant information materials</w:t>
      </w:r>
      <w:r w:rsidR="00832052">
        <w:t xml:space="preserve"> anticipates presenting </w:t>
      </w:r>
      <w:r w:rsidR="00832052" w:rsidRPr="00832052">
        <w:t>a new draft of document UPOV/INF/17</w:t>
      </w:r>
      <w:r w:rsidR="00832052">
        <w:t xml:space="preserve"> for possible adoption by the Council, at its fifty-fifth session, to be held in 2021</w:t>
      </w:r>
      <w:r w:rsidR="008D2A77">
        <w:t>, as set out in document TC/56/14 “Development of guidance and information materials.”</w:t>
      </w:r>
    </w:p>
    <w:p w:rsidR="00F24EE7" w:rsidRDefault="00F24EE7" w:rsidP="00B82D78">
      <w:pPr>
        <w:rPr>
          <w:rFonts w:eastAsia="MS Mincho"/>
        </w:rPr>
      </w:pPr>
    </w:p>
    <w:p w:rsidR="00806AB4" w:rsidRPr="00832052" w:rsidRDefault="00806AB4" w:rsidP="00B82D78">
      <w:pPr>
        <w:rPr>
          <w:rFonts w:eastAsia="MS Mincho"/>
        </w:rPr>
      </w:pPr>
    </w:p>
    <w:p w:rsidR="00974047" w:rsidRPr="00832052" w:rsidRDefault="00974047" w:rsidP="00974047">
      <w:pPr>
        <w:pStyle w:val="Heading1"/>
        <w:rPr>
          <w:rFonts w:eastAsia="MS Mincho"/>
        </w:rPr>
      </w:pPr>
      <w:r w:rsidRPr="00832052">
        <w:rPr>
          <w:rFonts w:eastAsia="MS Mincho"/>
        </w:rPr>
        <w:t>Developments at the nineteenth session of the BMT</w:t>
      </w:r>
    </w:p>
    <w:p w:rsidR="00974047" w:rsidRPr="00832052" w:rsidRDefault="00974047" w:rsidP="00B82D78">
      <w:pPr>
        <w:rPr>
          <w:rFonts w:eastAsia="MS Mincho"/>
        </w:rPr>
      </w:pPr>
    </w:p>
    <w:p w:rsidR="00705CF5" w:rsidRPr="00832052" w:rsidRDefault="00705CF5" w:rsidP="00705CF5">
      <w:r w:rsidRPr="00832052">
        <w:fldChar w:fldCharType="begin"/>
      </w:r>
      <w:r w:rsidRPr="00832052">
        <w:instrText xml:space="preserve"> AUTONUM  </w:instrText>
      </w:r>
      <w:r w:rsidRPr="00832052">
        <w:fldChar w:fldCharType="end"/>
      </w:r>
      <w:r w:rsidRPr="00832052">
        <w:tab/>
        <w:t>The BMT, at its nineteenth session</w:t>
      </w:r>
      <w:r w:rsidRPr="00832052">
        <w:rPr>
          <w:rStyle w:val="FootnoteReference"/>
        </w:rPr>
        <w:footnoteReference w:id="4"/>
      </w:r>
      <w:r w:rsidRPr="00832052">
        <w:t>, considered documents BMT/19/3 Rev. “Revision of document INF/17” and UPOV/INF/17/2 Draft 3</w:t>
      </w:r>
      <w:r w:rsidR="00F913DA">
        <w:t xml:space="preserve"> (see document BMT/19/15 “Report”, paragraphs 11 and 12) </w:t>
      </w:r>
      <w:r w:rsidRPr="00832052">
        <w:t xml:space="preserve">.  </w:t>
      </w:r>
    </w:p>
    <w:p w:rsidR="00705CF5" w:rsidRPr="00832052" w:rsidRDefault="00705CF5" w:rsidP="00705CF5"/>
    <w:p w:rsidR="00705CF5" w:rsidRPr="00832052" w:rsidRDefault="00705CF5" w:rsidP="00705CF5">
      <w:r w:rsidRPr="00832052">
        <w:fldChar w:fldCharType="begin"/>
      </w:r>
      <w:r w:rsidRPr="00832052">
        <w:instrText xml:space="preserve"> AUTONUM  </w:instrText>
      </w:r>
      <w:r w:rsidRPr="00832052">
        <w:fldChar w:fldCharType="end"/>
      </w:r>
      <w:r w:rsidRPr="00832052">
        <w:tab/>
        <w:t>The BMT agreed that the draft guidance reproduced in the Annex to this document should be proposed to the Technical Committee as the basis for a future revision of docume</w:t>
      </w:r>
      <w:r w:rsidR="00F913DA">
        <w:t>nt UPOV/INF/17</w:t>
      </w:r>
      <w:r w:rsidRPr="00832052">
        <w:t xml:space="preserve">. </w:t>
      </w:r>
    </w:p>
    <w:p w:rsidR="00705CF5" w:rsidRDefault="00705CF5" w:rsidP="00705CF5"/>
    <w:p w:rsidR="00806AB4" w:rsidRPr="00832052" w:rsidRDefault="00806AB4" w:rsidP="00705CF5"/>
    <w:p w:rsidR="00974047" w:rsidRPr="00832052" w:rsidRDefault="00974047" w:rsidP="00974047">
      <w:pPr>
        <w:pStyle w:val="Heading1"/>
      </w:pPr>
      <w:r w:rsidRPr="00832052">
        <w:t>NEXT STEPS</w:t>
      </w:r>
    </w:p>
    <w:p w:rsidR="00974047" w:rsidRPr="00832052" w:rsidRDefault="00974047" w:rsidP="00705CF5"/>
    <w:p w:rsidR="00CB6220" w:rsidRPr="00832052" w:rsidRDefault="00974047" w:rsidP="00974047">
      <w:r w:rsidRPr="00832052">
        <w:fldChar w:fldCharType="begin"/>
      </w:r>
      <w:r w:rsidRPr="00832052">
        <w:instrText xml:space="preserve"> AUTONUM  </w:instrText>
      </w:r>
      <w:r w:rsidRPr="00832052">
        <w:fldChar w:fldCharType="end"/>
      </w:r>
      <w:r w:rsidRPr="00832052">
        <w:tab/>
      </w:r>
      <w:r w:rsidR="00700599" w:rsidRPr="00832052">
        <w:t xml:space="preserve">The draft guidance </w:t>
      </w:r>
      <w:r w:rsidR="00700599">
        <w:t xml:space="preserve">agreed by the </w:t>
      </w:r>
      <w:r w:rsidR="00700599" w:rsidRPr="00832052">
        <w:t>BMT</w:t>
      </w:r>
      <w:r w:rsidR="00700599">
        <w:t>, as repr</w:t>
      </w:r>
      <w:r w:rsidR="00700599" w:rsidRPr="00832052">
        <w:t>oduced in the Annex to this document</w:t>
      </w:r>
      <w:r w:rsidR="00700599">
        <w:t>, is presented</w:t>
      </w:r>
      <w:r w:rsidR="00700599" w:rsidRPr="00832052">
        <w:t xml:space="preserve"> </w:t>
      </w:r>
      <w:r w:rsidR="00700599">
        <w:t xml:space="preserve">in </w:t>
      </w:r>
      <w:r w:rsidR="00700599" w:rsidRPr="00832052">
        <w:t>docume</w:t>
      </w:r>
      <w:r w:rsidR="00700599">
        <w:t>nt UPOV/INF/17/</w:t>
      </w:r>
      <w:r w:rsidR="00700599" w:rsidRPr="00832052">
        <w:t>2 Draft 4</w:t>
      </w:r>
      <w:r w:rsidR="00700599">
        <w:t xml:space="preserve">, indicating the </w:t>
      </w:r>
      <w:r w:rsidR="009B1FBE">
        <w:t xml:space="preserve">changes </w:t>
      </w:r>
      <w:r w:rsidR="00700599" w:rsidRPr="00700599">
        <w:t>from the text of document UPOV/INF/17/1</w:t>
      </w:r>
      <w:r w:rsidR="00700599" w:rsidRPr="00832052">
        <w:t xml:space="preserve">. </w:t>
      </w:r>
      <w:r w:rsidRPr="00832052">
        <w:t xml:space="preserve">The TC may wish to consider the document </w:t>
      </w:r>
      <w:r w:rsidR="00AE7FDE" w:rsidRPr="00832052">
        <w:t>UPOV/INF/17/2 Draft 4</w:t>
      </w:r>
      <w:r w:rsidR="00AE7FDE">
        <w:t xml:space="preserve"> </w:t>
      </w:r>
      <w:r w:rsidRPr="00832052">
        <w:t>as the basis for a revision of document</w:t>
      </w:r>
      <w:r w:rsidR="00074AE7">
        <w:t> </w:t>
      </w:r>
      <w:r w:rsidRPr="00832052">
        <w:t>UPOV/INF/17</w:t>
      </w:r>
      <w:r w:rsidR="00AE7FDE">
        <w:t xml:space="preserve">. </w:t>
      </w:r>
      <w:r w:rsidR="00AD7632">
        <w:t xml:space="preserve"> </w:t>
      </w:r>
    </w:p>
    <w:p w:rsidR="00CB6220" w:rsidRDefault="00CB6220" w:rsidP="00974047"/>
    <w:p w:rsidR="00AD7632" w:rsidRDefault="00AD7632" w:rsidP="00974047">
      <w:r>
        <w:fldChar w:fldCharType="begin"/>
      </w:r>
      <w:r>
        <w:instrText xml:space="preserve"> AUTONUM  </w:instrText>
      </w:r>
      <w:r>
        <w:fldChar w:fldCharType="end"/>
      </w:r>
      <w:r>
        <w:tab/>
        <w:t xml:space="preserve">The TC may wish to </w:t>
      </w:r>
      <w:r w:rsidRPr="00832052">
        <w:t>request the TWPs</w:t>
      </w:r>
      <w:r w:rsidR="00F362DD" w:rsidRPr="00F362DD">
        <w:t xml:space="preserve"> </w:t>
      </w:r>
      <w:r w:rsidR="00F362DD" w:rsidRPr="00832052">
        <w:t xml:space="preserve">to consider </w:t>
      </w:r>
      <w:r w:rsidR="00F362DD">
        <w:t xml:space="preserve">a draft revision of </w:t>
      </w:r>
      <w:r w:rsidR="00F362DD" w:rsidRPr="00832052">
        <w:t>document UPOV/INF/17/</w:t>
      </w:r>
      <w:r w:rsidR="00F362DD">
        <w:t xml:space="preserve">1 (document </w:t>
      </w:r>
      <w:r w:rsidR="00F362DD" w:rsidRPr="00832052">
        <w:t xml:space="preserve">UPOV/INF/17/2 Draft </w:t>
      </w:r>
      <w:r w:rsidR="00F362DD">
        <w:t>5</w:t>
      </w:r>
      <w:r w:rsidR="00F362DD" w:rsidRPr="00832052">
        <w:t>)</w:t>
      </w:r>
      <w:r w:rsidRPr="00832052">
        <w:t xml:space="preserve"> at their sessions in 2021, </w:t>
      </w:r>
      <w:r w:rsidR="00F362DD">
        <w:t xml:space="preserve">on the basis of any amendments to </w:t>
      </w:r>
      <w:r w:rsidR="00F362DD" w:rsidRPr="00832052">
        <w:t xml:space="preserve">UPOV/INF/17/2 Draft </w:t>
      </w:r>
      <w:r w:rsidR="00F362DD">
        <w:t>4</w:t>
      </w:r>
      <w:r w:rsidR="00F362DD" w:rsidRPr="00832052">
        <w:t xml:space="preserve"> </w:t>
      </w:r>
      <w:r w:rsidR="00F362DD">
        <w:t>agreed by the TC at its fifty-sixth session</w:t>
      </w:r>
      <w:r>
        <w:t xml:space="preserve">. </w:t>
      </w:r>
    </w:p>
    <w:p w:rsidR="00AD7632" w:rsidRPr="00832052" w:rsidRDefault="00AD7632" w:rsidP="00974047"/>
    <w:p w:rsidR="00974047" w:rsidRPr="00832052" w:rsidRDefault="00CB6220" w:rsidP="00974047">
      <w:r w:rsidRPr="00832052">
        <w:fldChar w:fldCharType="begin"/>
      </w:r>
      <w:r w:rsidRPr="00832052">
        <w:instrText xml:space="preserve"> AUTONUM  </w:instrText>
      </w:r>
      <w:r w:rsidRPr="00832052">
        <w:fldChar w:fldCharType="end"/>
      </w:r>
      <w:r w:rsidRPr="00832052">
        <w:tab/>
      </w:r>
      <w:r w:rsidR="009B1FBE">
        <w:t>On the basis of</w:t>
      </w:r>
      <w:r w:rsidR="00AD7632">
        <w:t xml:space="preserve"> the conclusions of the TC, at its fifty-sixth session, and the TWPs, at their sessions in 2021, a </w:t>
      </w:r>
      <w:r w:rsidR="00F362DD">
        <w:t>draft revision of</w:t>
      </w:r>
      <w:r w:rsidR="00FE70CF" w:rsidRPr="00832052">
        <w:t xml:space="preserve"> document UPOV/INF/17 (UPOV/INF/17/2 Draft </w:t>
      </w:r>
      <w:r w:rsidR="00F362DD">
        <w:t>6</w:t>
      </w:r>
      <w:r w:rsidR="00FE70CF" w:rsidRPr="00832052">
        <w:t xml:space="preserve">) would be proposed for </w:t>
      </w:r>
      <w:r w:rsidR="001F1497">
        <w:t>adoption</w:t>
      </w:r>
      <w:r w:rsidR="00FE70CF" w:rsidRPr="00832052">
        <w:t xml:space="preserve"> by the Council, at its fifty-fifth session, to be held on October 29, 2021, subject to </w:t>
      </w:r>
      <w:r w:rsidR="001F1497">
        <w:t>agreement</w:t>
      </w:r>
      <w:r w:rsidR="00FE70CF" w:rsidRPr="00832052">
        <w:t xml:space="preserve"> by the </w:t>
      </w:r>
      <w:r w:rsidR="00F362DD">
        <w:t>TC at its fifty</w:t>
      </w:r>
      <w:r w:rsidR="00074AE7">
        <w:noBreakHyphen/>
      </w:r>
      <w:r w:rsidR="00F362DD">
        <w:t>seventh session</w:t>
      </w:r>
      <w:r w:rsidR="009B1FBE">
        <w:t xml:space="preserve"> and the </w:t>
      </w:r>
      <w:r w:rsidR="00FE70CF" w:rsidRPr="00832052">
        <w:t>CAJ, at its seventy</w:t>
      </w:r>
      <w:r w:rsidRPr="00832052">
        <w:noBreakHyphen/>
      </w:r>
      <w:r w:rsidR="00FE70CF" w:rsidRPr="00832052">
        <w:t xml:space="preserve">eighth session, to be held </w:t>
      </w:r>
      <w:r w:rsidR="00AD7632">
        <w:t xml:space="preserve">in </w:t>
      </w:r>
      <w:r w:rsidR="00FE70CF" w:rsidRPr="00832052">
        <w:t>2021</w:t>
      </w:r>
      <w:r w:rsidRPr="00832052">
        <w:t>.</w:t>
      </w:r>
    </w:p>
    <w:p w:rsidR="00AE7FDE" w:rsidRPr="00832052" w:rsidRDefault="00AE7FDE" w:rsidP="00705CF5"/>
    <w:p w:rsidR="00021B34" w:rsidRDefault="00705CF5" w:rsidP="00705CF5">
      <w:pPr>
        <w:tabs>
          <w:tab w:val="left" w:pos="5387"/>
        </w:tabs>
        <w:ind w:left="4820"/>
        <w:rPr>
          <w:i/>
        </w:rPr>
      </w:pPr>
      <w:r w:rsidRPr="00832052">
        <w:rPr>
          <w:i/>
        </w:rPr>
        <w:fldChar w:fldCharType="begin"/>
      </w:r>
      <w:r w:rsidRPr="00832052">
        <w:rPr>
          <w:i/>
        </w:rPr>
        <w:instrText xml:space="preserve"> AUTONUM  </w:instrText>
      </w:r>
      <w:r w:rsidRPr="00832052">
        <w:rPr>
          <w:i/>
        </w:rPr>
        <w:fldChar w:fldCharType="end"/>
      </w:r>
      <w:r w:rsidRPr="00832052">
        <w:rPr>
          <w:i/>
        </w:rPr>
        <w:tab/>
        <w:t xml:space="preserve">The TC is invited to </w:t>
      </w:r>
    </w:p>
    <w:p w:rsidR="00021B34" w:rsidRDefault="00021B34" w:rsidP="00705CF5">
      <w:pPr>
        <w:tabs>
          <w:tab w:val="left" w:pos="5387"/>
        </w:tabs>
        <w:ind w:left="4820"/>
        <w:rPr>
          <w:i/>
        </w:rPr>
      </w:pPr>
    </w:p>
    <w:p w:rsidR="00021B34" w:rsidRPr="00021B34" w:rsidRDefault="00021B34" w:rsidP="00021B34">
      <w:pPr>
        <w:tabs>
          <w:tab w:val="left" w:pos="5387"/>
          <w:tab w:val="left" w:pos="5954"/>
        </w:tabs>
        <w:ind w:left="4820"/>
        <w:rPr>
          <w:i/>
        </w:rPr>
      </w:pPr>
      <w:r w:rsidRPr="00021B34">
        <w:rPr>
          <w:i/>
        </w:rPr>
        <w:tab/>
        <w:t>(a)</w:t>
      </w:r>
      <w:r w:rsidRPr="00021B34">
        <w:rPr>
          <w:i/>
        </w:rPr>
        <w:tab/>
        <w:t xml:space="preserve">consider the proposed revision of document UPOV/INF/17 on the basis of document UPOV/INF/17/2 Draft 4; </w:t>
      </w:r>
    </w:p>
    <w:p w:rsidR="00021B34" w:rsidRPr="00021B34" w:rsidRDefault="00021B34" w:rsidP="00021B34">
      <w:pPr>
        <w:tabs>
          <w:tab w:val="left" w:pos="5387"/>
          <w:tab w:val="left" w:pos="5954"/>
        </w:tabs>
        <w:ind w:left="4820"/>
        <w:rPr>
          <w:i/>
        </w:rPr>
      </w:pPr>
    </w:p>
    <w:p w:rsidR="00021B34" w:rsidRPr="00021B34" w:rsidRDefault="00021B34" w:rsidP="00021B34">
      <w:pPr>
        <w:tabs>
          <w:tab w:val="left" w:pos="5387"/>
          <w:tab w:val="left" w:pos="5954"/>
        </w:tabs>
        <w:ind w:left="4820"/>
        <w:rPr>
          <w:i/>
        </w:rPr>
      </w:pPr>
      <w:r w:rsidRPr="00021B34">
        <w:rPr>
          <w:i/>
        </w:rPr>
        <w:tab/>
        <w:t>(b)</w:t>
      </w:r>
      <w:r w:rsidRPr="00021B34">
        <w:rPr>
          <w:i/>
        </w:rPr>
        <w:tab/>
      </w:r>
      <w:r w:rsidR="006F3E80" w:rsidRPr="006F3E80">
        <w:rPr>
          <w:i/>
        </w:rPr>
        <w:t>request the TWPs to consider a draft revision of document UPOV/INF/17/1 (document</w:t>
      </w:r>
      <w:r w:rsidR="006F3E80">
        <w:rPr>
          <w:i/>
        </w:rPr>
        <w:t> </w:t>
      </w:r>
      <w:r w:rsidR="006F3E80" w:rsidRPr="006F3E80">
        <w:rPr>
          <w:i/>
        </w:rPr>
        <w:t>UPOV/INF/17/2 Dra</w:t>
      </w:r>
      <w:r w:rsidR="006F3E80">
        <w:rPr>
          <w:i/>
        </w:rPr>
        <w:t>ft 5) at their sessions in 2021</w:t>
      </w:r>
      <w:r w:rsidRPr="00021B34">
        <w:rPr>
          <w:i/>
        </w:rPr>
        <w:t>; and</w:t>
      </w:r>
    </w:p>
    <w:p w:rsidR="00021B34" w:rsidRPr="00021B34" w:rsidRDefault="00021B34" w:rsidP="00021B34">
      <w:pPr>
        <w:tabs>
          <w:tab w:val="left" w:pos="5387"/>
          <w:tab w:val="left" w:pos="5954"/>
        </w:tabs>
        <w:ind w:left="4820"/>
        <w:rPr>
          <w:i/>
        </w:rPr>
      </w:pPr>
    </w:p>
    <w:p w:rsidR="00021B34" w:rsidRPr="00021B34" w:rsidRDefault="00021B34" w:rsidP="00021B34">
      <w:pPr>
        <w:tabs>
          <w:tab w:val="left" w:pos="5387"/>
          <w:tab w:val="left" w:pos="5954"/>
        </w:tabs>
        <w:ind w:left="4820"/>
        <w:rPr>
          <w:i/>
        </w:rPr>
      </w:pPr>
      <w:r w:rsidRPr="00021B34">
        <w:rPr>
          <w:i/>
        </w:rPr>
        <w:tab/>
        <w:t>(c)</w:t>
      </w:r>
      <w:r w:rsidRPr="00021B34">
        <w:rPr>
          <w:i/>
        </w:rPr>
        <w:tab/>
      </w:r>
      <w:r w:rsidR="006F3E80">
        <w:rPr>
          <w:i/>
        </w:rPr>
        <w:t xml:space="preserve">note that </w:t>
      </w:r>
      <w:r w:rsidR="006F3E80" w:rsidRPr="006F3E80">
        <w:rPr>
          <w:i/>
        </w:rPr>
        <w:t>a draft revision of document</w:t>
      </w:r>
      <w:r w:rsidR="006F3E80">
        <w:rPr>
          <w:i/>
        </w:rPr>
        <w:t> </w:t>
      </w:r>
      <w:r w:rsidR="006F3E80" w:rsidRPr="006F3E80">
        <w:rPr>
          <w:i/>
        </w:rPr>
        <w:t>UPOV/INF/17 (UPOV/INF/17/2 Draft 6) would be proposed for adoption by the Council, at its fifty-fifth session, to be held on October 29, 2021, subject to agreement by the TC at its fifty</w:t>
      </w:r>
      <w:r w:rsidR="006F3E80">
        <w:rPr>
          <w:i/>
        </w:rPr>
        <w:noBreakHyphen/>
      </w:r>
      <w:r w:rsidR="006F3E80" w:rsidRPr="006F3E80">
        <w:rPr>
          <w:i/>
        </w:rPr>
        <w:t xml:space="preserve">seventh </w:t>
      </w:r>
      <w:r w:rsidR="006F3E80" w:rsidRPr="006F3E80">
        <w:rPr>
          <w:i/>
        </w:rPr>
        <w:lastRenderedPageBreak/>
        <w:t>session and the CAJ, at its seventy</w:t>
      </w:r>
      <w:r w:rsidR="006F3E80">
        <w:rPr>
          <w:i/>
        </w:rPr>
        <w:noBreakHyphen/>
      </w:r>
      <w:r w:rsidR="006F3E80" w:rsidRPr="006F3E80">
        <w:rPr>
          <w:i/>
        </w:rPr>
        <w:t>eig</w:t>
      </w:r>
      <w:r w:rsidR="006F3E80">
        <w:rPr>
          <w:i/>
        </w:rPr>
        <w:t>hth session, to be held in 2021</w:t>
      </w:r>
      <w:r w:rsidRPr="00021B34">
        <w:rPr>
          <w:i/>
        </w:rPr>
        <w:t>.</w:t>
      </w:r>
    </w:p>
    <w:p w:rsidR="00050E16" w:rsidRDefault="00050E16" w:rsidP="00050E16"/>
    <w:p w:rsidR="003A10BA" w:rsidRDefault="003A10BA" w:rsidP="00050E16"/>
    <w:p w:rsidR="003A10BA" w:rsidRPr="00832052" w:rsidRDefault="003A10BA" w:rsidP="00050E16"/>
    <w:p w:rsidR="00DF1F17" w:rsidRPr="00832052" w:rsidRDefault="00050E16" w:rsidP="00050E16">
      <w:pPr>
        <w:jc w:val="right"/>
      </w:pPr>
      <w:r w:rsidRPr="00832052">
        <w:t xml:space="preserve"> [</w:t>
      </w:r>
      <w:r w:rsidR="00204ACA" w:rsidRPr="00832052">
        <w:t>Annex follows</w:t>
      </w:r>
      <w:r w:rsidRPr="00832052">
        <w:t>]</w:t>
      </w:r>
    </w:p>
    <w:p w:rsidR="00DF1F17" w:rsidRPr="00832052" w:rsidRDefault="00DF1F17" w:rsidP="00050E16">
      <w:pPr>
        <w:jc w:val="right"/>
        <w:sectPr w:rsidR="00DF1F17" w:rsidRPr="00832052" w:rsidSect="00906DDC">
          <w:headerReference w:type="default" r:id="rId9"/>
          <w:pgSz w:w="11907" w:h="16840" w:code="9"/>
          <w:pgMar w:top="510" w:right="1134" w:bottom="1134" w:left="1134" w:header="510" w:footer="680" w:gutter="0"/>
          <w:cols w:space="720"/>
          <w:titlePg/>
        </w:sectPr>
      </w:pPr>
    </w:p>
    <w:p w:rsidR="00DF1F17" w:rsidRPr="00832052" w:rsidRDefault="00DF1F17" w:rsidP="00DF1F17">
      <w:pPr>
        <w:jc w:val="right"/>
      </w:pPr>
    </w:p>
    <w:p w:rsidR="00DF1F17" w:rsidRPr="003265BF" w:rsidRDefault="003265BF" w:rsidP="003265BF">
      <w:pPr>
        <w:jc w:val="center"/>
        <w:rPr>
          <w:caps/>
          <w:snapToGrid w:val="0"/>
        </w:rPr>
      </w:pPr>
      <w:r w:rsidRPr="003265BF">
        <w:rPr>
          <w:caps/>
          <w:snapToGrid w:val="0"/>
        </w:rPr>
        <w:t>Proposal by the BMT for the revision of document UPOV/INF/17</w:t>
      </w:r>
    </w:p>
    <w:p w:rsidR="00DF1F17" w:rsidRPr="00832052" w:rsidRDefault="00DF1F17" w:rsidP="00DF1F17">
      <w:pPr>
        <w:rPr>
          <w:snapToGrid w:val="0"/>
        </w:rPr>
      </w:pPr>
    </w:p>
    <w:p w:rsidR="00DF1F17" w:rsidRPr="00832052" w:rsidRDefault="00DF1F17" w:rsidP="00DF1F17">
      <w:r w:rsidRPr="00832052">
        <w:t>TABLE OF CONTENTS</w:t>
      </w:r>
    </w:p>
    <w:p w:rsidR="00DF1F17" w:rsidRPr="00832052" w:rsidRDefault="00DF1F17" w:rsidP="00DF1F17">
      <w:pPr>
        <w:jc w:val="left"/>
      </w:pPr>
    </w:p>
    <w:p w:rsidR="00DF1F17" w:rsidRPr="00832052" w:rsidRDefault="00DF1F17" w:rsidP="00DF1F17">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shd w:val="pct15" w:color="auto" w:fill="FFFFFF"/>
        </w:rPr>
        <w:fldChar w:fldCharType="begin"/>
      </w:r>
      <w:r w:rsidRPr="00832052">
        <w:rPr>
          <w:rFonts w:cs="Arial"/>
          <w:bCs/>
          <w:caps/>
          <w:noProof/>
          <w:sz w:val="18"/>
          <w:shd w:val="pct15" w:color="auto" w:fill="FFFFFF"/>
        </w:rPr>
        <w:instrText xml:space="preserve"> TOC \o "1-3" </w:instrText>
      </w:r>
      <w:r w:rsidRPr="00832052">
        <w:rPr>
          <w:rFonts w:cs="Arial"/>
          <w:bCs/>
          <w:caps/>
          <w:noProof/>
          <w:sz w:val="18"/>
          <w:shd w:val="pct15" w:color="auto" w:fill="FFFFFF"/>
        </w:rPr>
        <w:fldChar w:fldCharType="separate"/>
      </w:r>
      <w:r w:rsidRPr="00832052">
        <w:rPr>
          <w:rFonts w:cs="Arial"/>
          <w:bCs/>
          <w:caps/>
          <w:noProof/>
          <w:sz w:val="18"/>
        </w:rPr>
        <w:t>A.</w:t>
      </w:r>
      <w:r w:rsidRPr="00832052">
        <w:rPr>
          <w:rFonts w:asciiTheme="minorHAnsi" w:eastAsiaTheme="minorEastAsia" w:hAnsiTheme="minorHAnsi" w:cstheme="minorBidi"/>
          <w:noProof/>
          <w:sz w:val="22"/>
          <w:szCs w:val="22"/>
        </w:rPr>
        <w:tab/>
      </w:r>
      <w:r w:rsidRPr="00832052">
        <w:rPr>
          <w:rFonts w:cs="Arial"/>
          <w:bCs/>
          <w:caps/>
          <w:noProof/>
          <w:sz w:val="18"/>
        </w:rPr>
        <w:t>INTRODUCTION</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_Toc50577338 \h </w:instrText>
      </w:r>
      <w:r w:rsidRPr="00832052">
        <w:rPr>
          <w:rFonts w:cs="Arial"/>
          <w:bCs/>
          <w:caps/>
          <w:noProof/>
          <w:sz w:val="18"/>
        </w:rPr>
      </w:r>
      <w:r w:rsidRPr="00832052">
        <w:rPr>
          <w:rFonts w:cs="Arial"/>
          <w:bCs/>
          <w:caps/>
          <w:noProof/>
          <w:sz w:val="18"/>
        </w:rPr>
        <w:fldChar w:fldCharType="separate"/>
      </w:r>
      <w:r w:rsidR="00D24C2E">
        <w:rPr>
          <w:rFonts w:cs="Arial"/>
          <w:bCs/>
          <w:caps/>
          <w:noProof/>
          <w:sz w:val="18"/>
        </w:rPr>
        <w:t>1</w:t>
      </w:r>
      <w:r w:rsidRPr="00832052">
        <w:rPr>
          <w:rFonts w:cs="Arial"/>
          <w:bCs/>
          <w:caps/>
          <w:noProof/>
          <w:sz w:val="18"/>
        </w:rPr>
        <w:fldChar w:fldCharType="end"/>
      </w:r>
    </w:p>
    <w:p w:rsidR="00DF1F17" w:rsidRPr="00832052" w:rsidRDefault="00DF1F17" w:rsidP="00DF1F17">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B.</w:t>
      </w:r>
      <w:r w:rsidRPr="00832052">
        <w:rPr>
          <w:rFonts w:asciiTheme="minorHAnsi" w:eastAsiaTheme="minorEastAsia" w:hAnsiTheme="minorHAnsi" w:cstheme="minorBidi"/>
          <w:noProof/>
          <w:sz w:val="22"/>
          <w:szCs w:val="22"/>
        </w:rPr>
        <w:tab/>
      </w:r>
      <w:r w:rsidRPr="00832052">
        <w:rPr>
          <w:rFonts w:cs="Arial"/>
          <w:bCs/>
          <w:caps/>
          <w:noProof/>
          <w:sz w:val="18"/>
        </w:rPr>
        <w:t>GENERAL PRINCIPLES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_Toc50577339 \h </w:instrText>
      </w:r>
      <w:r w:rsidRPr="00832052">
        <w:rPr>
          <w:rFonts w:cs="Arial"/>
          <w:bCs/>
          <w:caps/>
          <w:noProof/>
          <w:sz w:val="18"/>
        </w:rPr>
      </w:r>
      <w:r w:rsidRPr="00832052">
        <w:rPr>
          <w:rFonts w:cs="Arial"/>
          <w:bCs/>
          <w:caps/>
          <w:noProof/>
          <w:sz w:val="18"/>
        </w:rPr>
        <w:fldChar w:fldCharType="separate"/>
      </w:r>
      <w:r w:rsidR="00D24C2E">
        <w:rPr>
          <w:rFonts w:cs="Arial"/>
          <w:bCs/>
          <w:caps/>
          <w:noProof/>
          <w:sz w:val="18"/>
        </w:rPr>
        <w:t>1</w:t>
      </w:r>
      <w:r w:rsidRPr="00832052">
        <w:rPr>
          <w:rFonts w:cs="Arial"/>
          <w:bCs/>
          <w:caps/>
          <w:noProof/>
          <w:sz w:val="18"/>
        </w:rPr>
        <w:fldChar w:fldCharType="end"/>
      </w:r>
    </w:p>
    <w:p w:rsidR="00DF1F17" w:rsidRPr="00832052"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1.</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Molecular Markers</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_Toc50577340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rPr>
        <w:t>2</w:t>
      </w:r>
      <w:r w:rsidRPr="00832052">
        <w:rPr>
          <w:rFonts w:eastAsiaTheme="minorHAnsi" w:cs="Arial"/>
          <w:noProof/>
          <w:sz w:val="18"/>
          <w:szCs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1.1</w:t>
      </w:r>
      <w:r w:rsidRPr="00832052">
        <w:rPr>
          <w:rFonts w:asciiTheme="minorHAnsi" w:eastAsiaTheme="minorEastAsia" w:hAnsiTheme="minorHAnsi" w:cstheme="minorBidi"/>
          <w:noProof/>
          <w:sz w:val="22"/>
          <w:szCs w:val="22"/>
        </w:rPr>
        <w:tab/>
      </w:r>
      <w:r w:rsidRPr="00832052">
        <w:rPr>
          <w:rFonts w:cs="Arial"/>
          <w:i/>
          <w:noProof/>
          <w:sz w:val="18"/>
        </w:rPr>
        <w:t>Sets of varieties for the selection process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_Toc50577341 \h </w:instrText>
      </w:r>
      <w:r w:rsidRPr="00832052">
        <w:rPr>
          <w:rFonts w:cs="Arial"/>
          <w:i/>
          <w:noProof/>
          <w:sz w:val="18"/>
        </w:rPr>
      </w:r>
      <w:r w:rsidRPr="00832052">
        <w:rPr>
          <w:rFonts w:cs="Arial"/>
          <w:i/>
          <w:noProof/>
          <w:sz w:val="18"/>
        </w:rPr>
        <w:fldChar w:fldCharType="separate"/>
      </w:r>
      <w:r w:rsidR="00D24C2E">
        <w:rPr>
          <w:rFonts w:cs="Arial"/>
          <w:i/>
          <w:noProof/>
          <w:sz w:val="18"/>
        </w:rPr>
        <w:t>2</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1.2</w:t>
      </w:r>
      <w:r w:rsidRPr="00832052">
        <w:rPr>
          <w:rFonts w:asciiTheme="minorHAnsi" w:eastAsiaTheme="minorEastAsia" w:hAnsiTheme="minorHAnsi" w:cstheme="minorBidi"/>
          <w:noProof/>
          <w:sz w:val="22"/>
          <w:szCs w:val="22"/>
        </w:rPr>
        <w:tab/>
      </w:r>
      <w:r w:rsidRPr="00832052">
        <w:rPr>
          <w:rFonts w:cs="Arial"/>
          <w:i/>
          <w:noProof/>
          <w:sz w:val="18"/>
        </w:rPr>
        <w:t xml:space="preserve"> Molecular markers – performance criteria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_Toc50577342 \h </w:instrText>
      </w:r>
      <w:r w:rsidRPr="00832052">
        <w:rPr>
          <w:rFonts w:cs="Arial"/>
          <w:i/>
          <w:noProof/>
          <w:sz w:val="18"/>
        </w:rPr>
      </w:r>
      <w:r w:rsidRPr="00832052">
        <w:rPr>
          <w:rFonts w:cs="Arial"/>
          <w:i/>
          <w:noProof/>
          <w:sz w:val="18"/>
        </w:rPr>
        <w:fldChar w:fldCharType="separate"/>
      </w:r>
      <w:r w:rsidR="00D24C2E">
        <w:rPr>
          <w:rFonts w:cs="Arial"/>
          <w:i/>
          <w:noProof/>
          <w:sz w:val="18"/>
        </w:rPr>
        <w:t>2</w:t>
      </w:r>
      <w:r w:rsidRPr="00832052">
        <w:rPr>
          <w:rFonts w:cs="Arial"/>
          <w:i/>
          <w:noProof/>
          <w:sz w:val="18"/>
        </w:rPr>
        <w:fldChar w:fldCharType="end"/>
      </w:r>
    </w:p>
    <w:p w:rsidR="00DF1F17" w:rsidRPr="00832052"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2.</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the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_Toc50577343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rPr>
        <w:t>3</w:t>
      </w:r>
      <w:r w:rsidRPr="00832052">
        <w:rPr>
          <w:rFonts w:eastAsiaTheme="minorHAnsi" w:cs="Arial"/>
          <w:noProof/>
          <w:sz w:val="18"/>
          <w:szCs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2.1</w:t>
      </w:r>
      <w:r w:rsidRPr="00832052">
        <w:rPr>
          <w:rFonts w:asciiTheme="minorHAnsi" w:eastAsiaTheme="minorEastAsia" w:hAnsiTheme="minorHAnsi" w:cstheme="minorBidi"/>
          <w:noProof/>
          <w:sz w:val="22"/>
          <w:szCs w:val="22"/>
        </w:rPr>
        <w:tab/>
      </w:r>
      <w:r w:rsidRPr="00832052">
        <w:rPr>
          <w:rFonts w:cs="Arial"/>
          <w:i/>
          <w:noProof/>
          <w:sz w:val="18"/>
        </w:rPr>
        <w:t>DNA profiling methods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_Toc50577344 \h </w:instrText>
      </w:r>
      <w:r w:rsidRPr="00832052">
        <w:rPr>
          <w:rFonts w:cs="Arial"/>
          <w:i/>
          <w:noProof/>
          <w:sz w:val="18"/>
        </w:rPr>
      </w:r>
      <w:r w:rsidRPr="00832052">
        <w:rPr>
          <w:rFonts w:cs="Arial"/>
          <w:i/>
          <w:noProof/>
          <w:sz w:val="18"/>
        </w:rPr>
        <w:fldChar w:fldCharType="separate"/>
      </w:r>
      <w:r w:rsidR="00D24C2E">
        <w:rPr>
          <w:rFonts w:cs="Arial"/>
          <w:i/>
          <w:noProof/>
          <w:sz w:val="18"/>
        </w:rPr>
        <w:t>3</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2.2.</w:t>
      </w:r>
      <w:r w:rsidRPr="00832052">
        <w:rPr>
          <w:rFonts w:asciiTheme="minorHAnsi" w:eastAsiaTheme="minorEastAsia" w:hAnsiTheme="minorHAnsi" w:cstheme="minorBidi"/>
          <w:noProof/>
          <w:sz w:val="22"/>
          <w:szCs w:val="22"/>
        </w:rPr>
        <w:tab/>
      </w:r>
      <w:r w:rsidRPr="00832052">
        <w:rPr>
          <w:rFonts w:cs="Arial"/>
          <w:i/>
          <w:noProof/>
          <w:sz w:val="18"/>
        </w:rPr>
        <w:t>Access to the Technology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_Toc50577345 \h </w:instrText>
      </w:r>
      <w:r w:rsidRPr="00832052">
        <w:rPr>
          <w:rFonts w:cs="Arial"/>
          <w:i/>
          <w:noProof/>
          <w:sz w:val="18"/>
        </w:rPr>
      </w:r>
      <w:r w:rsidRPr="00832052">
        <w:rPr>
          <w:rFonts w:cs="Arial"/>
          <w:i/>
          <w:noProof/>
          <w:sz w:val="18"/>
        </w:rPr>
        <w:fldChar w:fldCharType="separate"/>
      </w:r>
      <w:r w:rsidR="00D24C2E">
        <w:rPr>
          <w:rFonts w:cs="Arial"/>
          <w:i/>
          <w:noProof/>
          <w:sz w:val="18"/>
        </w:rPr>
        <w:t>3</w:t>
      </w:r>
      <w:r w:rsidRPr="00832052">
        <w:rPr>
          <w:rFonts w:cs="Arial"/>
          <w:i/>
          <w:noProof/>
          <w:sz w:val="18"/>
        </w:rPr>
        <w:fldChar w:fldCharType="end"/>
      </w:r>
    </w:p>
    <w:p w:rsidR="00DF1F17" w:rsidRPr="00832052"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3.</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Validation and harmonization of a marker set and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_Toc50577346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rPr>
        <w:t>3</w:t>
      </w:r>
      <w:r w:rsidRPr="00832052">
        <w:rPr>
          <w:rFonts w:eastAsiaTheme="minorHAnsi" w:cs="Arial"/>
          <w:noProof/>
          <w:sz w:val="18"/>
          <w:szCs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3.1</w:t>
      </w:r>
      <w:r w:rsidRPr="00832052">
        <w:rPr>
          <w:rFonts w:asciiTheme="minorHAnsi" w:eastAsiaTheme="minorEastAsia" w:hAnsiTheme="minorHAnsi" w:cstheme="minorBidi"/>
          <w:noProof/>
          <w:sz w:val="22"/>
          <w:szCs w:val="22"/>
        </w:rPr>
        <w:tab/>
      </w:r>
      <w:r w:rsidRPr="00832052">
        <w:rPr>
          <w:rFonts w:cs="Arial"/>
          <w:i/>
          <w:noProof/>
          <w:sz w:val="18"/>
        </w:rPr>
        <w:t>Validation and harmonization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_Toc50577347 \h </w:instrText>
      </w:r>
      <w:r w:rsidRPr="00832052">
        <w:rPr>
          <w:rFonts w:cs="Arial"/>
          <w:i/>
          <w:noProof/>
          <w:sz w:val="18"/>
        </w:rPr>
      </w:r>
      <w:r w:rsidRPr="00832052">
        <w:rPr>
          <w:rFonts w:cs="Arial"/>
          <w:i/>
          <w:noProof/>
          <w:sz w:val="18"/>
        </w:rPr>
        <w:fldChar w:fldCharType="separate"/>
      </w:r>
      <w:r w:rsidR="00D24C2E">
        <w:rPr>
          <w:rFonts w:cs="Arial"/>
          <w:i/>
          <w:noProof/>
          <w:sz w:val="18"/>
        </w:rPr>
        <w:t>3</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3.2</w:t>
      </w:r>
      <w:r w:rsidRPr="00832052">
        <w:rPr>
          <w:rFonts w:asciiTheme="minorHAnsi" w:eastAsiaTheme="minorEastAsia" w:hAnsiTheme="minorHAnsi" w:cstheme="minorBidi"/>
          <w:noProof/>
          <w:sz w:val="22"/>
          <w:szCs w:val="22"/>
        </w:rPr>
        <w:tab/>
      </w:r>
      <w:r w:rsidRPr="00832052">
        <w:rPr>
          <w:rFonts w:cs="Arial"/>
          <w:i/>
          <w:noProof/>
          <w:sz w:val="18"/>
        </w:rPr>
        <w:t>Performance considerations - validation of markers and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_Toc50577348 \h </w:instrText>
      </w:r>
      <w:r w:rsidRPr="00832052">
        <w:rPr>
          <w:rFonts w:cs="Arial"/>
          <w:i/>
          <w:noProof/>
          <w:sz w:val="18"/>
        </w:rPr>
      </w:r>
      <w:r w:rsidRPr="00832052">
        <w:rPr>
          <w:rFonts w:cs="Arial"/>
          <w:i/>
          <w:noProof/>
          <w:sz w:val="18"/>
        </w:rPr>
        <w:fldChar w:fldCharType="separate"/>
      </w:r>
      <w:r w:rsidR="00D24C2E">
        <w:rPr>
          <w:rFonts w:cs="Arial"/>
          <w:i/>
          <w:noProof/>
          <w:sz w:val="18"/>
        </w:rPr>
        <w:t>3</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3.3</w:t>
      </w:r>
      <w:r w:rsidRPr="00832052">
        <w:rPr>
          <w:rFonts w:asciiTheme="minorHAnsi" w:eastAsiaTheme="minorEastAsia" w:hAnsiTheme="minorHAnsi" w:cstheme="minorBidi"/>
          <w:noProof/>
          <w:sz w:val="22"/>
          <w:szCs w:val="22"/>
        </w:rPr>
        <w:tab/>
      </w:r>
      <w:r w:rsidRPr="00832052">
        <w:rPr>
          <w:rFonts w:cs="Arial"/>
          <w:i/>
          <w:noProof/>
          <w:sz w:val="18"/>
        </w:rPr>
        <w:t>Consistence considerations - harmonization of markers and methods between different laboratories in case of shared database – ring test</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_Toc50577349 \h </w:instrText>
      </w:r>
      <w:r w:rsidRPr="00832052">
        <w:rPr>
          <w:rFonts w:cs="Arial"/>
          <w:i/>
          <w:noProof/>
          <w:sz w:val="18"/>
        </w:rPr>
      </w:r>
      <w:r w:rsidRPr="00832052">
        <w:rPr>
          <w:rFonts w:cs="Arial"/>
          <w:i/>
          <w:noProof/>
          <w:sz w:val="18"/>
        </w:rPr>
        <w:fldChar w:fldCharType="separate"/>
      </w:r>
      <w:r w:rsidR="00D24C2E">
        <w:rPr>
          <w:rFonts w:cs="Arial"/>
          <w:i/>
          <w:noProof/>
          <w:sz w:val="18"/>
        </w:rPr>
        <w:t>4</w:t>
      </w:r>
      <w:r w:rsidRPr="00832052">
        <w:rPr>
          <w:rFonts w:cs="Arial"/>
          <w:i/>
          <w:noProof/>
          <w:sz w:val="18"/>
        </w:rPr>
        <w:fldChar w:fldCharType="end"/>
      </w:r>
    </w:p>
    <w:p w:rsidR="00DF1F17" w:rsidRPr="00832052"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4.</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Construction of a Species-specific Database</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_Toc50577350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rPr>
        <w:t>4</w:t>
      </w:r>
      <w:r w:rsidRPr="00832052">
        <w:rPr>
          <w:rFonts w:eastAsiaTheme="minorHAnsi" w:cs="Arial"/>
          <w:noProof/>
          <w:sz w:val="18"/>
          <w:szCs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4.1</w:t>
      </w:r>
      <w:r w:rsidRPr="00832052">
        <w:rPr>
          <w:rFonts w:asciiTheme="minorHAnsi" w:eastAsiaTheme="minorEastAsia" w:hAnsiTheme="minorHAnsi" w:cstheme="minorBidi"/>
          <w:noProof/>
          <w:sz w:val="22"/>
          <w:szCs w:val="22"/>
        </w:rPr>
        <w:tab/>
      </w:r>
      <w:r w:rsidRPr="00832052">
        <w:rPr>
          <w:rFonts w:cs="Arial"/>
          <w:i/>
          <w:noProof/>
          <w:sz w:val="18"/>
        </w:rPr>
        <w:t>Recommendations for database design</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_Toc50577351 \h </w:instrText>
      </w:r>
      <w:r w:rsidRPr="00832052">
        <w:rPr>
          <w:rFonts w:cs="Arial"/>
          <w:i/>
          <w:noProof/>
          <w:sz w:val="18"/>
        </w:rPr>
      </w:r>
      <w:r w:rsidRPr="00832052">
        <w:rPr>
          <w:rFonts w:cs="Arial"/>
          <w:i/>
          <w:noProof/>
          <w:sz w:val="18"/>
        </w:rPr>
        <w:fldChar w:fldCharType="separate"/>
      </w:r>
      <w:r w:rsidR="00D24C2E">
        <w:rPr>
          <w:rFonts w:cs="Arial"/>
          <w:i/>
          <w:noProof/>
          <w:sz w:val="18"/>
        </w:rPr>
        <w:t>4</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4.2</w:t>
      </w:r>
      <w:r w:rsidRPr="00832052">
        <w:rPr>
          <w:rFonts w:asciiTheme="minorHAnsi" w:eastAsiaTheme="minorEastAsia" w:hAnsiTheme="minorHAnsi" w:cstheme="minorBidi"/>
          <w:noProof/>
          <w:sz w:val="22"/>
          <w:szCs w:val="22"/>
        </w:rPr>
        <w:tab/>
      </w:r>
      <w:r w:rsidRPr="00832052">
        <w:rPr>
          <w:rFonts w:cs="Arial"/>
          <w:i/>
          <w:noProof/>
          <w:sz w:val="18"/>
        </w:rPr>
        <w:t>Requirements of the plant material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_Toc50577352 \h </w:instrText>
      </w:r>
      <w:r w:rsidRPr="00832052">
        <w:rPr>
          <w:rFonts w:cs="Arial"/>
          <w:i/>
          <w:noProof/>
          <w:sz w:val="18"/>
        </w:rPr>
      </w:r>
      <w:r w:rsidRPr="00832052">
        <w:rPr>
          <w:rFonts w:cs="Arial"/>
          <w:i/>
          <w:noProof/>
          <w:sz w:val="18"/>
        </w:rPr>
        <w:fldChar w:fldCharType="separate"/>
      </w:r>
      <w:r w:rsidR="00D24C2E">
        <w:rPr>
          <w:rFonts w:cs="Arial"/>
          <w:i/>
          <w:noProof/>
          <w:sz w:val="18"/>
        </w:rPr>
        <w:t>5</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4.3</w:t>
      </w:r>
      <w:r w:rsidRPr="00832052">
        <w:rPr>
          <w:rFonts w:asciiTheme="minorHAnsi" w:eastAsiaTheme="minorEastAsia" w:hAnsiTheme="minorHAnsi" w:cstheme="minorBidi"/>
          <w:noProof/>
          <w:sz w:val="22"/>
          <w:szCs w:val="22"/>
        </w:rPr>
        <w:tab/>
      </w:r>
      <w:r w:rsidRPr="00832052">
        <w:rPr>
          <w:rFonts w:cs="Arial"/>
          <w:i/>
          <w:noProof/>
          <w:sz w:val="18"/>
        </w:rPr>
        <w:t>Processing of sequence data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_Toc50577353 \h </w:instrText>
      </w:r>
      <w:r w:rsidRPr="00832052">
        <w:rPr>
          <w:rFonts w:cs="Arial"/>
          <w:i/>
          <w:noProof/>
          <w:sz w:val="18"/>
        </w:rPr>
      </w:r>
      <w:r w:rsidRPr="00832052">
        <w:rPr>
          <w:rFonts w:cs="Arial"/>
          <w:i/>
          <w:noProof/>
          <w:sz w:val="18"/>
        </w:rPr>
        <w:fldChar w:fldCharType="separate"/>
      </w:r>
      <w:r w:rsidR="00D24C2E">
        <w:rPr>
          <w:rFonts w:cs="Arial"/>
          <w:i/>
          <w:noProof/>
          <w:sz w:val="18"/>
        </w:rPr>
        <w:t>5</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4.4 </w:t>
      </w:r>
      <w:r w:rsidRPr="00832052">
        <w:rPr>
          <w:rFonts w:asciiTheme="minorHAnsi" w:eastAsiaTheme="minorEastAsia" w:hAnsiTheme="minorHAnsi" w:cstheme="minorBidi"/>
          <w:noProof/>
          <w:sz w:val="22"/>
          <w:szCs w:val="22"/>
        </w:rPr>
        <w:tab/>
      </w:r>
      <w:r w:rsidRPr="00832052">
        <w:rPr>
          <w:rFonts w:cs="Arial"/>
          <w:i/>
          <w:noProof/>
          <w:sz w:val="18"/>
        </w:rPr>
        <w:t>Type of database</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_Toc50577354 \h </w:instrText>
      </w:r>
      <w:r w:rsidRPr="00832052">
        <w:rPr>
          <w:rFonts w:cs="Arial"/>
          <w:i/>
          <w:noProof/>
          <w:sz w:val="18"/>
        </w:rPr>
      </w:r>
      <w:r w:rsidRPr="00832052">
        <w:rPr>
          <w:rFonts w:cs="Arial"/>
          <w:i/>
          <w:noProof/>
          <w:sz w:val="18"/>
        </w:rPr>
        <w:fldChar w:fldCharType="separate"/>
      </w:r>
      <w:r w:rsidR="00D24C2E">
        <w:rPr>
          <w:rFonts w:cs="Arial"/>
          <w:i/>
          <w:noProof/>
          <w:sz w:val="18"/>
        </w:rPr>
        <w:t>6</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4.5 </w:t>
      </w:r>
      <w:r w:rsidRPr="00832052">
        <w:rPr>
          <w:rFonts w:asciiTheme="minorHAnsi" w:eastAsiaTheme="minorEastAsia" w:hAnsiTheme="minorHAnsi" w:cstheme="minorBidi"/>
          <w:noProof/>
          <w:sz w:val="22"/>
          <w:szCs w:val="22"/>
        </w:rPr>
        <w:tab/>
      </w:r>
      <w:r w:rsidRPr="00832052">
        <w:rPr>
          <w:rFonts w:cs="Arial"/>
          <w:i/>
          <w:noProof/>
          <w:sz w:val="18"/>
        </w:rPr>
        <w:t>Database model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_Toc50577355 \h </w:instrText>
      </w:r>
      <w:r w:rsidRPr="00832052">
        <w:rPr>
          <w:rFonts w:cs="Arial"/>
          <w:i/>
          <w:noProof/>
          <w:sz w:val="18"/>
        </w:rPr>
      </w:r>
      <w:r w:rsidRPr="00832052">
        <w:rPr>
          <w:rFonts w:cs="Arial"/>
          <w:i/>
          <w:noProof/>
          <w:sz w:val="18"/>
        </w:rPr>
        <w:fldChar w:fldCharType="separate"/>
      </w:r>
      <w:r w:rsidR="00D24C2E">
        <w:rPr>
          <w:rFonts w:cs="Arial"/>
          <w:i/>
          <w:noProof/>
          <w:sz w:val="18"/>
        </w:rPr>
        <w:t>6</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4.6</w:t>
      </w:r>
      <w:r w:rsidRPr="00832052">
        <w:rPr>
          <w:rFonts w:asciiTheme="minorHAnsi" w:eastAsiaTheme="minorEastAsia" w:hAnsiTheme="minorHAnsi" w:cstheme="minorBidi"/>
          <w:noProof/>
          <w:sz w:val="22"/>
          <w:szCs w:val="22"/>
        </w:rPr>
        <w:tab/>
      </w:r>
      <w:r w:rsidRPr="00832052">
        <w:rPr>
          <w:rFonts w:cs="Arial"/>
          <w:i/>
          <w:noProof/>
          <w:sz w:val="18"/>
        </w:rPr>
        <w:t>Data Dictionary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_Toc50577356 \h </w:instrText>
      </w:r>
      <w:r w:rsidRPr="00832052">
        <w:rPr>
          <w:rFonts w:cs="Arial"/>
          <w:i/>
          <w:noProof/>
          <w:sz w:val="18"/>
        </w:rPr>
      </w:r>
      <w:r w:rsidRPr="00832052">
        <w:rPr>
          <w:rFonts w:cs="Arial"/>
          <w:i/>
          <w:noProof/>
          <w:sz w:val="18"/>
        </w:rPr>
        <w:fldChar w:fldCharType="separate"/>
      </w:r>
      <w:r w:rsidR="00D24C2E">
        <w:rPr>
          <w:rFonts w:cs="Arial"/>
          <w:i/>
          <w:noProof/>
          <w:sz w:val="18"/>
        </w:rPr>
        <w:t>6</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4.7</w:t>
      </w:r>
      <w:r w:rsidRPr="00832052">
        <w:rPr>
          <w:rFonts w:asciiTheme="minorHAnsi" w:eastAsiaTheme="minorEastAsia" w:hAnsiTheme="minorHAnsi" w:cstheme="minorBidi"/>
          <w:noProof/>
          <w:sz w:val="22"/>
          <w:szCs w:val="22"/>
        </w:rPr>
        <w:tab/>
      </w:r>
      <w:r w:rsidRPr="00832052">
        <w:rPr>
          <w:rFonts w:cs="Arial"/>
          <w:i/>
          <w:noProof/>
          <w:sz w:val="18"/>
        </w:rPr>
        <w:t>Data access – ownership</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_Toc50577357 \h </w:instrText>
      </w:r>
      <w:r w:rsidRPr="00832052">
        <w:rPr>
          <w:rFonts w:cs="Arial"/>
          <w:i/>
          <w:noProof/>
          <w:sz w:val="18"/>
        </w:rPr>
      </w:r>
      <w:r w:rsidRPr="00832052">
        <w:rPr>
          <w:rFonts w:cs="Arial"/>
          <w:i/>
          <w:noProof/>
          <w:sz w:val="18"/>
        </w:rPr>
        <w:fldChar w:fldCharType="separate"/>
      </w:r>
      <w:r w:rsidR="00D24C2E">
        <w:rPr>
          <w:rFonts w:cs="Arial"/>
          <w:i/>
          <w:noProof/>
          <w:sz w:val="18"/>
        </w:rPr>
        <w:t>7</w:t>
      </w:r>
      <w:r w:rsidRPr="00832052">
        <w:rPr>
          <w:rFonts w:cs="Arial"/>
          <w:i/>
          <w:noProof/>
          <w:sz w:val="18"/>
        </w:rPr>
        <w:fldChar w:fldCharType="end"/>
      </w:r>
    </w:p>
    <w:p w:rsidR="00DF1F17" w:rsidRPr="00C13FE6"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lang w:val="pt-BR"/>
        </w:rPr>
      </w:pPr>
      <w:r w:rsidRPr="00C13FE6">
        <w:rPr>
          <w:rFonts w:eastAsiaTheme="minorHAnsi" w:cs="Arial"/>
          <w:noProof/>
          <w:sz w:val="18"/>
          <w:szCs w:val="18"/>
          <w:lang w:val="pt-BR"/>
        </w:rPr>
        <w:t xml:space="preserve">5. </w:t>
      </w:r>
      <w:r w:rsidRPr="00C13FE6">
        <w:rPr>
          <w:rFonts w:asciiTheme="minorHAnsi" w:eastAsiaTheme="minorEastAsia" w:hAnsiTheme="minorHAnsi" w:cstheme="minorBidi"/>
          <w:noProof/>
          <w:sz w:val="22"/>
          <w:szCs w:val="22"/>
          <w:lang w:val="pt-BR"/>
        </w:rPr>
        <w:tab/>
      </w:r>
      <w:r w:rsidRPr="00C13FE6">
        <w:rPr>
          <w:rFonts w:eastAsiaTheme="minorHAnsi" w:cs="Arial"/>
          <w:noProof/>
          <w:sz w:val="18"/>
          <w:szCs w:val="18"/>
          <w:lang w:val="pt-BR"/>
        </w:rPr>
        <w:t>Data Exchange</w:t>
      </w:r>
      <w:r w:rsidRPr="00C13FE6">
        <w:rPr>
          <w:rFonts w:eastAsiaTheme="minorHAnsi" w:cs="Arial"/>
          <w:noProof/>
          <w:sz w:val="18"/>
          <w:szCs w:val="18"/>
          <w:lang w:val="pt-BR"/>
        </w:rPr>
        <w:tab/>
      </w:r>
      <w:r w:rsidRPr="00832052">
        <w:rPr>
          <w:rFonts w:eastAsiaTheme="minorHAnsi" w:cs="Arial"/>
          <w:noProof/>
          <w:sz w:val="18"/>
          <w:szCs w:val="18"/>
        </w:rPr>
        <w:fldChar w:fldCharType="begin"/>
      </w:r>
      <w:r w:rsidRPr="00C13FE6">
        <w:rPr>
          <w:rFonts w:eastAsiaTheme="minorHAnsi" w:cs="Arial"/>
          <w:noProof/>
          <w:sz w:val="18"/>
          <w:szCs w:val="18"/>
          <w:lang w:val="pt-BR"/>
        </w:rPr>
        <w:instrText xml:space="preserve"> PAGEREF _Toc50577358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lang w:val="pt-BR"/>
        </w:rPr>
        <w:t>7</w:t>
      </w:r>
      <w:r w:rsidRPr="00832052">
        <w:rPr>
          <w:rFonts w:eastAsiaTheme="minorHAnsi" w:cs="Arial"/>
          <w:noProof/>
          <w:sz w:val="18"/>
          <w:szCs w:val="18"/>
        </w:rPr>
        <w:fldChar w:fldCharType="end"/>
      </w:r>
    </w:p>
    <w:p w:rsidR="00DF1F17" w:rsidRPr="00C13FE6"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lang w:val="pt-BR"/>
        </w:rPr>
      </w:pPr>
      <w:r w:rsidRPr="00C13FE6">
        <w:rPr>
          <w:rFonts w:cs="Arial"/>
          <w:i/>
          <w:noProof/>
          <w:sz w:val="18"/>
          <w:lang w:val="pt-BR"/>
        </w:rPr>
        <w:t>5.1</w:t>
      </w:r>
      <w:r w:rsidRPr="00C13FE6">
        <w:rPr>
          <w:rFonts w:asciiTheme="minorHAnsi" w:eastAsiaTheme="minorEastAsia" w:hAnsiTheme="minorHAnsi" w:cstheme="minorBidi"/>
          <w:noProof/>
          <w:sz w:val="22"/>
          <w:szCs w:val="22"/>
          <w:lang w:val="pt-BR"/>
        </w:rPr>
        <w:tab/>
      </w:r>
      <w:r w:rsidRPr="00C13FE6">
        <w:rPr>
          <w:rFonts w:cs="Arial"/>
          <w:i/>
          <w:noProof/>
          <w:sz w:val="18"/>
          <w:lang w:val="pt-BR"/>
        </w:rPr>
        <w:t>Data exchange scenarios</w:t>
      </w:r>
      <w:r w:rsidRPr="00C13FE6">
        <w:rPr>
          <w:rFonts w:cs="Arial"/>
          <w:i/>
          <w:noProof/>
          <w:sz w:val="18"/>
          <w:lang w:val="pt-BR"/>
        </w:rPr>
        <w:tab/>
      </w:r>
      <w:r w:rsidRPr="00832052">
        <w:rPr>
          <w:rFonts w:cs="Arial"/>
          <w:i/>
          <w:noProof/>
          <w:sz w:val="18"/>
        </w:rPr>
        <w:fldChar w:fldCharType="begin"/>
      </w:r>
      <w:r w:rsidRPr="00C13FE6">
        <w:rPr>
          <w:rFonts w:cs="Arial"/>
          <w:i/>
          <w:noProof/>
          <w:sz w:val="18"/>
          <w:lang w:val="pt-BR"/>
        </w:rPr>
        <w:instrText xml:space="preserve"> PAGEREF _Toc50577359 \h </w:instrText>
      </w:r>
      <w:r w:rsidRPr="00832052">
        <w:rPr>
          <w:rFonts w:cs="Arial"/>
          <w:i/>
          <w:noProof/>
          <w:sz w:val="18"/>
        </w:rPr>
      </w:r>
      <w:r w:rsidRPr="00832052">
        <w:rPr>
          <w:rFonts w:cs="Arial"/>
          <w:i/>
          <w:noProof/>
          <w:sz w:val="18"/>
        </w:rPr>
        <w:fldChar w:fldCharType="separate"/>
      </w:r>
      <w:r w:rsidR="00D24C2E">
        <w:rPr>
          <w:rFonts w:cs="Arial"/>
          <w:i/>
          <w:noProof/>
          <w:sz w:val="18"/>
          <w:lang w:val="pt-BR"/>
        </w:rPr>
        <w:t>7</w:t>
      </w:r>
      <w:r w:rsidRPr="00832052">
        <w:rPr>
          <w:rFonts w:cs="Arial"/>
          <w:i/>
          <w:noProof/>
          <w:sz w:val="18"/>
        </w:rPr>
        <w:fldChar w:fldCharType="end"/>
      </w:r>
    </w:p>
    <w:p w:rsidR="00DF1F17" w:rsidRPr="00832052" w:rsidRDefault="00DF1F17" w:rsidP="00DF1F1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eastAsia="Calibri" w:cs="Arial"/>
          <w:i/>
          <w:noProof/>
          <w:sz w:val="18"/>
        </w:rPr>
        <w:t>5.2</w:t>
      </w:r>
      <w:r w:rsidRPr="00832052">
        <w:rPr>
          <w:rFonts w:asciiTheme="minorHAnsi" w:eastAsiaTheme="minorEastAsia" w:hAnsiTheme="minorHAnsi" w:cstheme="minorBidi"/>
          <w:noProof/>
          <w:sz w:val="22"/>
          <w:szCs w:val="22"/>
        </w:rPr>
        <w:tab/>
      </w:r>
      <w:r w:rsidRPr="00832052">
        <w:rPr>
          <w:rFonts w:eastAsia="Calibri" w:cs="Arial"/>
          <w:i/>
          <w:noProof/>
          <w:sz w:val="18"/>
        </w:rPr>
        <w:t>Data transfer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_Toc50577360 \h </w:instrText>
      </w:r>
      <w:r w:rsidRPr="00832052">
        <w:rPr>
          <w:rFonts w:cs="Arial"/>
          <w:i/>
          <w:noProof/>
          <w:sz w:val="18"/>
        </w:rPr>
      </w:r>
      <w:r w:rsidRPr="00832052">
        <w:rPr>
          <w:rFonts w:cs="Arial"/>
          <w:i/>
          <w:noProof/>
          <w:sz w:val="18"/>
        </w:rPr>
        <w:fldChar w:fldCharType="separate"/>
      </w:r>
      <w:r w:rsidR="00D24C2E">
        <w:rPr>
          <w:rFonts w:cs="Arial"/>
          <w:i/>
          <w:noProof/>
          <w:sz w:val="18"/>
        </w:rPr>
        <w:t>7</w:t>
      </w:r>
      <w:r w:rsidRPr="00832052">
        <w:rPr>
          <w:rFonts w:cs="Arial"/>
          <w:i/>
          <w:noProof/>
          <w:sz w:val="18"/>
        </w:rPr>
        <w:fldChar w:fldCharType="end"/>
      </w:r>
    </w:p>
    <w:p w:rsidR="00DF1F17" w:rsidRPr="00832052" w:rsidRDefault="00DF1F17" w:rsidP="00DF1F17">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 xml:space="preserve">6. </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Summary</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_Toc50577361 \h </w:instrText>
      </w:r>
      <w:r w:rsidRPr="00832052">
        <w:rPr>
          <w:rFonts w:eastAsiaTheme="minorHAnsi" w:cs="Arial"/>
          <w:noProof/>
          <w:sz w:val="18"/>
          <w:szCs w:val="18"/>
        </w:rPr>
      </w:r>
      <w:r w:rsidRPr="00832052">
        <w:rPr>
          <w:rFonts w:eastAsiaTheme="minorHAnsi" w:cs="Arial"/>
          <w:noProof/>
          <w:sz w:val="18"/>
          <w:szCs w:val="18"/>
        </w:rPr>
        <w:fldChar w:fldCharType="separate"/>
      </w:r>
      <w:r w:rsidR="00D24C2E">
        <w:rPr>
          <w:rFonts w:eastAsiaTheme="minorHAnsi" w:cs="Arial"/>
          <w:noProof/>
          <w:sz w:val="18"/>
          <w:szCs w:val="18"/>
        </w:rPr>
        <w:t>7</w:t>
      </w:r>
      <w:r w:rsidRPr="00832052">
        <w:rPr>
          <w:rFonts w:eastAsiaTheme="minorHAnsi" w:cs="Arial"/>
          <w:noProof/>
          <w:sz w:val="18"/>
          <w:szCs w:val="18"/>
        </w:rPr>
        <w:fldChar w:fldCharType="end"/>
      </w:r>
    </w:p>
    <w:p w:rsidR="00DF1F17" w:rsidRPr="00832052" w:rsidRDefault="00DF1F17" w:rsidP="00DF1F17">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C.</w:t>
      </w:r>
      <w:r w:rsidRPr="00832052">
        <w:rPr>
          <w:rFonts w:asciiTheme="minorHAnsi" w:eastAsiaTheme="minorEastAsia" w:hAnsiTheme="minorHAnsi" w:cstheme="minorBidi"/>
          <w:noProof/>
          <w:sz w:val="22"/>
          <w:szCs w:val="22"/>
        </w:rPr>
        <w:tab/>
      </w:r>
      <w:r w:rsidRPr="00832052">
        <w:rPr>
          <w:rFonts w:cs="Arial"/>
          <w:bCs/>
          <w:caps/>
          <w:noProof/>
          <w:sz w:val="18"/>
        </w:rPr>
        <w:t>LIST OF ACRONYMS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_Toc50577362 \h </w:instrText>
      </w:r>
      <w:r w:rsidRPr="00832052">
        <w:rPr>
          <w:rFonts w:cs="Arial"/>
          <w:bCs/>
          <w:caps/>
          <w:noProof/>
          <w:sz w:val="18"/>
        </w:rPr>
      </w:r>
      <w:r w:rsidRPr="00832052">
        <w:rPr>
          <w:rFonts w:cs="Arial"/>
          <w:bCs/>
          <w:caps/>
          <w:noProof/>
          <w:sz w:val="18"/>
        </w:rPr>
        <w:fldChar w:fldCharType="separate"/>
      </w:r>
      <w:r w:rsidR="00D24C2E">
        <w:rPr>
          <w:rFonts w:cs="Arial"/>
          <w:bCs/>
          <w:caps/>
          <w:noProof/>
          <w:sz w:val="18"/>
        </w:rPr>
        <w:t>8</w:t>
      </w:r>
      <w:r w:rsidRPr="00832052">
        <w:rPr>
          <w:rFonts w:cs="Arial"/>
          <w:bCs/>
          <w:caps/>
          <w:noProof/>
          <w:sz w:val="18"/>
        </w:rPr>
        <w:fldChar w:fldCharType="end"/>
      </w:r>
    </w:p>
    <w:p w:rsidR="00DF1F17" w:rsidRDefault="00DF1F17" w:rsidP="00DF1F17">
      <w:pPr>
        <w:keepNext/>
        <w:outlineLvl w:val="0"/>
        <w:rPr>
          <w:caps/>
          <w:shd w:val="pct15" w:color="auto" w:fill="FFFFFF"/>
        </w:rPr>
      </w:pPr>
      <w:r w:rsidRPr="00832052">
        <w:rPr>
          <w:caps/>
          <w:shd w:val="pct15" w:color="auto" w:fill="FFFFFF"/>
        </w:rPr>
        <w:fldChar w:fldCharType="end"/>
      </w:r>
    </w:p>
    <w:p w:rsidR="00673520" w:rsidRPr="00832052" w:rsidRDefault="00673520" w:rsidP="00DF1F17">
      <w:pPr>
        <w:keepNext/>
        <w:outlineLvl w:val="0"/>
        <w:rPr>
          <w:caps/>
          <w:shd w:val="pct15" w:color="auto" w:fill="FFFFFF"/>
        </w:rPr>
      </w:pPr>
    </w:p>
    <w:p w:rsidR="00DF1F17" w:rsidRPr="00832052" w:rsidRDefault="00DF1F17" w:rsidP="00DF1F17">
      <w:pPr>
        <w:keepNext/>
        <w:outlineLvl w:val="0"/>
        <w:rPr>
          <w:caps/>
        </w:rPr>
      </w:pPr>
      <w:bookmarkStart w:id="8" w:name="_Toc50577338"/>
      <w:r w:rsidRPr="00832052">
        <w:rPr>
          <w:caps/>
        </w:rPr>
        <w:t>A.</w:t>
      </w:r>
      <w:r w:rsidRPr="00832052">
        <w:rPr>
          <w:caps/>
        </w:rPr>
        <w:tab/>
        <w:t>INTRODUCTION</w:t>
      </w:r>
      <w:bookmarkEnd w:id="8"/>
    </w:p>
    <w:p w:rsidR="00DF1F17" w:rsidRPr="00832052" w:rsidRDefault="00DF1F17" w:rsidP="00DF1F17"/>
    <w:p w:rsidR="00DF1F17" w:rsidRPr="00832052" w:rsidRDefault="00DF1F17" w:rsidP="00DF1F17">
      <w:r w:rsidRPr="00832052">
        <w:t>The purpose of this document (BMT Guidelines) is to provide guidance on harmonized principles for the use of molecular markers with the aim of generating high quality molecular data for a range of applications.  Only DNA molecular markers are considered in this document.</w:t>
      </w:r>
    </w:p>
    <w:p w:rsidR="00DF1F17" w:rsidRPr="00832052" w:rsidRDefault="00DF1F17" w:rsidP="00DF1F17"/>
    <w:p w:rsidR="00DF1F17" w:rsidRPr="00832052" w:rsidRDefault="00DF1F17" w:rsidP="00DF1F17">
      <w:r w:rsidRPr="00832052">
        <w:t>The BMT Guidelines are also intended to address the construction of databases containing molecular profiles of plant varieties, possibly produced in different laboratories using different technologies.  In addition, the aim is to set high demands on the quality of markers and on the desire for generating reproducible data using these markers in situations where equipment and/or reaction chemicals might change.  Specific precautions need to be taken to ensure quality entry into a database.</w:t>
      </w:r>
    </w:p>
    <w:p w:rsidR="00DF1F17" w:rsidRDefault="00DF1F17" w:rsidP="00DF1F17"/>
    <w:p w:rsidR="00545708" w:rsidRPr="00832052" w:rsidRDefault="00545708" w:rsidP="00DF1F17"/>
    <w:p w:rsidR="00DF1F17" w:rsidRPr="00832052" w:rsidRDefault="00DF1F17" w:rsidP="00DF1F17">
      <w:pPr>
        <w:keepNext/>
        <w:outlineLvl w:val="0"/>
        <w:rPr>
          <w:caps/>
        </w:rPr>
      </w:pPr>
      <w:bookmarkStart w:id="9" w:name="_Toc50577339"/>
      <w:r w:rsidRPr="00832052">
        <w:rPr>
          <w:caps/>
        </w:rPr>
        <w:t>B.</w:t>
      </w:r>
      <w:r w:rsidRPr="00832052">
        <w:rPr>
          <w:caps/>
        </w:rPr>
        <w:tab/>
        <w:t>GENERAL PRINCIPLES</w:t>
      </w:r>
      <w:bookmarkEnd w:id="9"/>
    </w:p>
    <w:p w:rsidR="00DF1F17" w:rsidRPr="00832052" w:rsidRDefault="00DF1F17" w:rsidP="00DF1F17"/>
    <w:p w:rsidR="00DF1F17" w:rsidRPr="00832052" w:rsidRDefault="00DF1F17" w:rsidP="00DF1F17">
      <w:r w:rsidRPr="00832052">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rsidR="00DF1F17" w:rsidRPr="00832052" w:rsidRDefault="00DF1F17" w:rsidP="00DF1F17"/>
    <w:p w:rsidR="00DF1F17" w:rsidRPr="00832052" w:rsidRDefault="00DF1F17" w:rsidP="00DF1F17">
      <w:r w:rsidRPr="00832052">
        <w:t>Molecular marker sets, marker detection methods and subsequently the database developmental process can be subdivided into 5 different phases:</w:t>
      </w:r>
    </w:p>
    <w:p w:rsidR="00DF1F17" w:rsidRPr="00832052" w:rsidRDefault="00DF1F17" w:rsidP="00DF1F17"/>
    <w:p w:rsidR="00DF1F17" w:rsidRPr="00832052" w:rsidRDefault="00DF1F17" w:rsidP="00DF1F17">
      <w:pPr>
        <w:ind w:firstLine="567"/>
        <w:rPr>
          <w:shd w:val="pct15" w:color="auto" w:fill="FFFFFF"/>
        </w:rPr>
      </w:pPr>
      <w:r w:rsidRPr="00832052">
        <w:t>1.</w:t>
      </w:r>
      <w:r w:rsidRPr="00832052">
        <w:tab/>
        <w:t>Selection of molecular markers</w:t>
      </w:r>
    </w:p>
    <w:p w:rsidR="00DF1F17" w:rsidRPr="00832052" w:rsidRDefault="00DF1F17" w:rsidP="00DF1F17">
      <w:pPr>
        <w:ind w:firstLine="567"/>
        <w:rPr>
          <w:shd w:val="pct15" w:color="auto" w:fill="FFFFFF"/>
        </w:rPr>
      </w:pPr>
      <w:r w:rsidRPr="00832052">
        <w:t>2.</w:t>
      </w:r>
      <w:r w:rsidRPr="00832052">
        <w:tab/>
        <w:t>Selection of detection method</w:t>
      </w:r>
    </w:p>
    <w:p w:rsidR="00DF1F17" w:rsidRPr="00832052" w:rsidRDefault="00DF1F17" w:rsidP="00DF1F17">
      <w:pPr>
        <w:ind w:firstLine="567"/>
        <w:rPr>
          <w:shd w:val="pct15" w:color="auto" w:fill="FFFFFF"/>
        </w:rPr>
      </w:pPr>
      <w:r w:rsidRPr="00832052">
        <w:lastRenderedPageBreak/>
        <w:t>3.</w:t>
      </w:r>
      <w:r w:rsidRPr="00832052">
        <w:tab/>
        <w:t>Validation and harmonization of the detection method</w:t>
      </w:r>
    </w:p>
    <w:p w:rsidR="00DF1F17" w:rsidRPr="00832052" w:rsidRDefault="00DF1F17" w:rsidP="00DF1F17">
      <w:pPr>
        <w:ind w:firstLine="567"/>
        <w:rPr>
          <w:shd w:val="pct15" w:color="auto" w:fill="FFFFFF"/>
        </w:rPr>
      </w:pPr>
      <w:r w:rsidRPr="00832052">
        <w:t xml:space="preserve">4. </w:t>
      </w:r>
      <w:r w:rsidRPr="00832052">
        <w:tab/>
        <w:t>Construction of the database</w:t>
      </w:r>
    </w:p>
    <w:p w:rsidR="00DF1F17" w:rsidRPr="00832052" w:rsidRDefault="00DF1F17" w:rsidP="00DF1F17">
      <w:pPr>
        <w:ind w:firstLine="567"/>
        <w:rPr>
          <w:shd w:val="pct15" w:color="auto" w:fill="FFFFFF"/>
        </w:rPr>
      </w:pPr>
      <w:r w:rsidRPr="00832052">
        <w:t xml:space="preserve">5. </w:t>
      </w:r>
      <w:r w:rsidRPr="00832052">
        <w:tab/>
        <w:t>Data exchange</w:t>
      </w:r>
    </w:p>
    <w:p w:rsidR="00DF1F17" w:rsidRPr="00832052" w:rsidRDefault="00DF1F17" w:rsidP="00DF1F17">
      <w:pPr>
        <w:rPr>
          <w:u w:val="single"/>
          <w:shd w:val="pct15" w:color="auto" w:fill="FFFFFF"/>
        </w:rPr>
      </w:pPr>
    </w:p>
    <w:p w:rsidR="00DF1F17" w:rsidRPr="00832052" w:rsidRDefault="00DF1F17" w:rsidP="00DF1F17">
      <w:pPr>
        <w:rPr>
          <w:shd w:val="pct15" w:color="auto" w:fill="FFFFFF"/>
        </w:rPr>
      </w:pPr>
      <w:r w:rsidRPr="00832052">
        <w:t xml:space="preserve">This document describes these different phases in more detail. It is considered that these phases are </w:t>
      </w:r>
      <w:r w:rsidRPr="003265BF">
        <w:t>independent from the stage of development of genotyping technologies and future improvements in</w:t>
      </w:r>
      <w:r w:rsidRPr="00832052">
        <w:t xml:space="preserve"> high</w:t>
      </w:r>
      <w:r w:rsidRPr="00832052">
        <w:noBreakHyphen/>
        <w:t>throughput sequencing.</w:t>
      </w:r>
    </w:p>
    <w:p w:rsidR="00DF1F17" w:rsidRPr="00832052" w:rsidRDefault="00DF1F17" w:rsidP="00DF1F17"/>
    <w:p w:rsidR="00DF1F17" w:rsidRPr="00832052" w:rsidRDefault="00DF1F17" w:rsidP="00DF1F17">
      <w:pPr>
        <w:keepNext/>
        <w:outlineLvl w:val="1"/>
      </w:pPr>
      <w:bookmarkStart w:id="10" w:name="_Toc50577340"/>
      <w:r w:rsidRPr="00832052">
        <w:t>1.</w:t>
      </w:r>
      <w:r w:rsidRPr="00832052">
        <w:tab/>
        <w:t>Selection of Molecular Markers</w:t>
      </w:r>
      <w:bookmarkEnd w:id="10"/>
    </w:p>
    <w:p w:rsidR="00DF1F17" w:rsidRPr="00832052" w:rsidRDefault="00DF1F17" w:rsidP="00DF1F17"/>
    <w:p w:rsidR="00DF1F17" w:rsidRPr="00832052" w:rsidRDefault="00DF1F17" w:rsidP="00DF1F17">
      <w:pPr>
        <w:keepNext/>
        <w:ind w:left="567" w:hanging="567"/>
        <w:outlineLvl w:val="2"/>
        <w:rPr>
          <w:i/>
          <w:snapToGrid w:val="0"/>
        </w:rPr>
      </w:pPr>
      <w:bookmarkStart w:id="11" w:name="_Toc50577341"/>
      <w:r w:rsidRPr="00832052">
        <w:rPr>
          <w:i/>
          <w:snapToGrid w:val="0"/>
        </w:rPr>
        <w:t>1.1</w:t>
      </w:r>
      <w:r w:rsidRPr="00832052">
        <w:rPr>
          <w:i/>
          <w:snapToGrid w:val="0"/>
        </w:rPr>
        <w:tab/>
        <w:t>Sets of varieties for the selection process</w:t>
      </w:r>
      <w:bookmarkEnd w:id="11"/>
    </w:p>
    <w:p w:rsidR="00DF1F17" w:rsidRPr="00832052" w:rsidRDefault="00DF1F17" w:rsidP="00DF1F17"/>
    <w:p w:rsidR="00DF1F17" w:rsidRPr="00832052" w:rsidRDefault="00DF1F17" w:rsidP="00DF1F17">
      <w:pPr>
        <w:rPr>
          <w:u w:val="double"/>
        </w:rPr>
      </w:pPr>
      <w:r w:rsidRPr="00832052">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DF1F17" w:rsidRPr="00832052" w:rsidRDefault="00DF1F17" w:rsidP="00DF1F17"/>
    <w:p w:rsidR="00DF1F17" w:rsidRPr="00832052" w:rsidRDefault="00DF1F17" w:rsidP="00DF1F17">
      <w:pPr>
        <w:ind w:left="567"/>
      </w:pPr>
      <w:r w:rsidRPr="00832052">
        <w:t>(a)</w:t>
      </w:r>
      <w:r w:rsidRPr="00832052">
        <w:tab/>
        <w:t xml:space="preserve">genetically very similar varieties or lines, NILs, RILs </w:t>
      </w:r>
    </w:p>
    <w:p w:rsidR="00DF1F17" w:rsidRPr="00832052" w:rsidRDefault="00DF1F17" w:rsidP="00DF1F17">
      <w:pPr>
        <w:ind w:left="567"/>
      </w:pPr>
      <w:r w:rsidRPr="00832052">
        <w:t>(b)</w:t>
      </w:r>
      <w:r w:rsidRPr="00832052">
        <w:tab/>
        <w:t>parental lines and offspring</w:t>
      </w:r>
    </w:p>
    <w:p w:rsidR="00DF1F17" w:rsidRPr="00832052" w:rsidRDefault="00DF1F17" w:rsidP="00DF1F17">
      <w:pPr>
        <w:ind w:left="567"/>
      </w:pPr>
      <w:r w:rsidRPr="00832052">
        <w:t>(c)</w:t>
      </w:r>
      <w:r w:rsidRPr="00832052">
        <w:tab/>
        <w:t>genetically close but morphologically distinct varieties (e.g. mutants)</w:t>
      </w:r>
    </w:p>
    <w:p w:rsidR="00DF1F17" w:rsidRPr="00832052" w:rsidRDefault="00DF1F17" w:rsidP="00DF1F17">
      <w:pPr>
        <w:ind w:left="567"/>
      </w:pPr>
      <w:r w:rsidRPr="00832052">
        <w:t>(d)</w:t>
      </w:r>
      <w:r w:rsidRPr="00832052">
        <w:tab/>
        <w:t>some morphologically close varieties with different pedigree</w:t>
      </w:r>
    </w:p>
    <w:p w:rsidR="00DF1F17" w:rsidRPr="00832052" w:rsidRDefault="00DF1F17" w:rsidP="00DF1F17">
      <w:pPr>
        <w:ind w:left="567"/>
      </w:pPr>
      <w:r w:rsidRPr="00832052">
        <w:t>(e)</w:t>
      </w:r>
      <w:r w:rsidRPr="00832052">
        <w:tab/>
        <w:t>different lots of the same variety</w:t>
      </w:r>
    </w:p>
    <w:p w:rsidR="00DF1F17" w:rsidRPr="00832052" w:rsidRDefault="00DF1F17" w:rsidP="00DF1F17">
      <w:pPr>
        <w:ind w:left="567"/>
        <w:rPr>
          <w:u w:val="double"/>
        </w:rPr>
      </w:pPr>
      <w:r w:rsidRPr="00832052">
        <w:t>(f)</w:t>
      </w:r>
      <w:r w:rsidRPr="00832052">
        <w:tab/>
        <w:t>different origins of the same variety</w:t>
      </w:r>
    </w:p>
    <w:p w:rsidR="00DF1F17" w:rsidRPr="00832052" w:rsidRDefault="00DF1F17" w:rsidP="00DF1F17"/>
    <w:p w:rsidR="00DF1F17" w:rsidRPr="00832052" w:rsidRDefault="00DF1F17" w:rsidP="00DF1F17">
      <w:pPr>
        <w:keepNext/>
        <w:ind w:left="567" w:hanging="567"/>
        <w:outlineLvl w:val="2"/>
        <w:rPr>
          <w:i/>
          <w:snapToGrid w:val="0"/>
        </w:rPr>
      </w:pPr>
      <w:bookmarkStart w:id="12" w:name="_Toc50577342"/>
      <w:r w:rsidRPr="00832052">
        <w:rPr>
          <w:i/>
          <w:snapToGrid w:val="0"/>
        </w:rPr>
        <w:t>1.2</w:t>
      </w:r>
      <w:r w:rsidRPr="00832052">
        <w:rPr>
          <w:i/>
          <w:snapToGrid w:val="0"/>
        </w:rPr>
        <w:tab/>
        <w:t xml:space="preserve"> Molecular markers – performance criteria</w:t>
      </w:r>
      <w:bookmarkEnd w:id="12"/>
    </w:p>
    <w:p w:rsidR="00DF1F17" w:rsidRPr="00832052" w:rsidRDefault="00DF1F17" w:rsidP="00DF1F17"/>
    <w:p w:rsidR="00DF1F17" w:rsidRPr="003265BF" w:rsidRDefault="00DF1F17" w:rsidP="00DF1F17">
      <w:r w:rsidRPr="003265BF">
        <w:t xml:space="preserve">The following general criteria for selecting a specific marker or set of markers are intended to be appropriate irrespective of the use of the markers: </w:t>
      </w:r>
    </w:p>
    <w:p w:rsidR="00DF1F17" w:rsidRPr="003265BF" w:rsidRDefault="00DF1F17" w:rsidP="00DF1F17"/>
    <w:p w:rsidR="00DF1F17" w:rsidRPr="003265BF" w:rsidRDefault="00DF1F17" w:rsidP="00DF1F17">
      <w:pPr>
        <w:ind w:firstLine="567"/>
      </w:pPr>
      <w:r w:rsidRPr="003265BF">
        <w:t>(a)</w:t>
      </w:r>
      <w:r w:rsidRPr="003265BF">
        <w:tab/>
        <w:t>Repeatability, reproducibility and robustness within and between, laboratories in terms of scoring data;</w:t>
      </w:r>
    </w:p>
    <w:p w:rsidR="00DF1F17" w:rsidRPr="003265BF" w:rsidRDefault="00DF1F17" w:rsidP="00DF1F17">
      <w:pPr>
        <w:ind w:firstLine="567"/>
      </w:pPr>
    </w:p>
    <w:p w:rsidR="00DF1F17" w:rsidRPr="003265BF" w:rsidRDefault="00DF1F17" w:rsidP="00DF1F17">
      <w:pPr>
        <w:ind w:left="1134" w:hanging="567"/>
        <w:rPr>
          <w:u w:val="double"/>
          <w:shd w:val="pct15" w:color="auto" w:fill="FFFFFF"/>
        </w:rPr>
      </w:pPr>
      <w:r w:rsidRPr="003265BF">
        <w:t>(b)</w:t>
      </w:r>
      <w:r w:rsidRPr="003265BF">
        <w:tab/>
        <w:t>Possible sources of molecular markers</w:t>
      </w:r>
    </w:p>
    <w:p w:rsidR="00DF1F17" w:rsidRPr="00832052" w:rsidRDefault="00DF1F17" w:rsidP="00DF1F17">
      <w:pPr>
        <w:ind w:left="1134"/>
        <w:rPr>
          <w:shd w:val="pct15" w:color="auto" w:fill="FFFFFF"/>
        </w:rPr>
      </w:pPr>
      <w:r w:rsidRPr="003265BF">
        <w:t>-</w:t>
      </w:r>
      <w:r w:rsidRPr="003265BF">
        <w:tab/>
        <w:t>Molecular markers derived from public resources</w:t>
      </w:r>
      <w:r w:rsidRPr="00832052">
        <w:rPr>
          <w:shd w:val="pct15" w:color="auto" w:fill="FFFFFF"/>
        </w:rPr>
        <w:t xml:space="preserve"> </w:t>
      </w:r>
    </w:p>
    <w:p w:rsidR="00DF1F17" w:rsidRPr="00832052" w:rsidRDefault="00DF1F17" w:rsidP="00DF1F17">
      <w:pPr>
        <w:ind w:left="1134"/>
        <w:rPr>
          <w:shd w:val="pct15" w:color="auto" w:fill="FFFFFF"/>
        </w:rPr>
      </w:pPr>
      <w:r w:rsidRPr="00832052">
        <w:t>-</w:t>
      </w:r>
      <w:r w:rsidRPr="00832052">
        <w:tab/>
        <w:t>Molecular markers derived from non-public resources, screening and selection of commercially available species-specific chips and arrays.</w:t>
      </w:r>
      <w:r w:rsidRPr="00832052">
        <w:rPr>
          <w:shd w:val="pct15" w:color="auto" w:fill="FFFFFF"/>
        </w:rPr>
        <w:t xml:space="preserve"> </w:t>
      </w:r>
    </w:p>
    <w:p w:rsidR="00DF1F17" w:rsidRPr="00832052" w:rsidRDefault="00DF1F17" w:rsidP="00DF1F17">
      <w:pPr>
        <w:ind w:left="1134"/>
      </w:pPr>
      <w:r w:rsidRPr="00832052">
        <w:t>-</w:t>
      </w:r>
      <w:r w:rsidRPr="00832052">
        <w:tab/>
        <w:t>Molecular markers selected from newly generated sequence data;</w:t>
      </w:r>
    </w:p>
    <w:p w:rsidR="00DF1F17" w:rsidRPr="00832052" w:rsidRDefault="00DF1F17" w:rsidP="00DF1F17">
      <w:pPr>
        <w:ind w:left="1134" w:hanging="567"/>
      </w:pPr>
    </w:p>
    <w:p w:rsidR="00DF1F17" w:rsidRPr="003265BF" w:rsidRDefault="00DF1F17" w:rsidP="00DF1F17">
      <w:pPr>
        <w:ind w:firstLine="567"/>
      </w:pPr>
      <w:r w:rsidRPr="003265BF">
        <w:t>(c)</w:t>
      </w:r>
      <w:r w:rsidRPr="003265BF">
        <w:tab/>
        <w:t xml:space="preserve">The avoidance, as far as possible, of markers with “null” alleles (i.e. an allele whose effect is an absence of a PCR product at the molecular level), which again is not essential, but advisable; </w:t>
      </w:r>
    </w:p>
    <w:p w:rsidR="00DF1F17" w:rsidRPr="003265BF" w:rsidRDefault="00DF1F17" w:rsidP="00DF1F17">
      <w:pPr>
        <w:ind w:left="1134" w:hanging="567"/>
        <w:rPr>
          <w:shd w:val="pct15" w:color="auto" w:fill="FFFFFF"/>
        </w:rPr>
      </w:pPr>
    </w:p>
    <w:p w:rsidR="00DF1F17" w:rsidRPr="003265BF" w:rsidRDefault="00DF1F17" w:rsidP="00DF1F17">
      <w:pPr>
        <w:ind w:firstLine="567"/>
        <w:rPr>
          <w:u w:val="single"/>
          <w:shd w:val="pct15" w:color="auto" w:fill="FFFFFF"/>
        </w:rPr>
      </w:pPr>
      <w:r w:rsidRPr="003265BF">
        <w:t>(d)</w:t>
      </w:r>
      <w:r w:rsidRPr="003265BF">
        <w:tab/>
        <w:t>Allowance of easy, objective and indisputable scoring of marker profiles. These good performing markers are preferred over complex marker profiles that are sensitive to interpretation. Clear black and white answers also allows for easier harmonization; </w:t>
      </w:r>
    </w:p>
    <w:p w:rsidR="00DF1F17" w:rsidRPr="003265BF" w:rsidRDefault="00DF1F17" w:rsidP="00DF1F17">
      <w:pPr>
        <w:ind w:left="1134" w:hanging="567"/>
        <w:rPr>
          <w:u w:val="single"/>
          <w:shd w:val="pct15" w:color="auto" w:fill="FFFFFF"/>
        </w:rPr>
      </w:pPr>
    </w:p>
    <w:p w:rsidR="00DF1F17" w:rsidRPr="003265BF" w:rsidRDefault="00DF1F17" w:rsidP="00DF1F17">
      <w:pPr>
        <w:ind w:firstLine="567"/>
        <w:rPr>
          <w:shd w:val="pct15" w:color="auto" w:fill="FFFFFF"/>
        </w:rPr>
      </w:pPr>
      <w:r w:rsidRPr="003265BF">
        <w:t>(e)</w:t>
      </w:r>
      <w:r w:rsidRPr="003265BF">
        <w:tab/>
        <w:t>Co-dominant markers are generally preferred over dominant markers as they have a higher discriminative power;</w:t>
      </w:r>
      <w:r w:rsidR="005544DA" w:rsidRPr="003265BF">
        <w:rPr>
          <w:shd w:val="pct15" w:color="auto" w:fill="FFFFFF"/>
        </w:rPr>
        <w:t xml:space="preserve"> </w:t>
      </w:r>
    </w:p>
    <w:p w:rsidR="00DF1F17" w:rsidRPr="003265BF" w:rsidRDefault="00DF1F17" w:rsidP="00DF1F17">
      <w:pPr>
        <w:ind w:left="1134" w:hanging="567"/>
        <w:rPr>
          <w:u w:val="single"/>
          <w:shd w:val="pct15" w:color="auto" w:fill="FFFFFF"/>
        </w:rPr>
      </w:pPr>
    </w:p>
    <w:p w:rsidR="00DF1F17" w:rsidRPr="003265BF" w:rsidRDefault="00DF1F17" w:rsidP="00DF1F17">
      <w:pPr>
        <w:ind w:left="1134" w:hanging="567"/>
        <w:rPr>
          <w:shd w:val="pct15" w:color="auto" w:fill="FFFFFF"/>
        </w:rPr>
      </w:pPr>
      <w:r w:rsidRPr="003265BF">
        <w:t>(f)</w:t>
      </w:r>
      <w:r w:rsidRPr="003265BF">
        <w:tab/>
        <w:t>Markers located in coding and/or in non-coding regions; and</w:t>
      </w:r>
    </w:p>
    <w:p w:rsidR="00DF1F17" w:rsidRPr="003265BF" w:rsidRDefault="00DF1F17" w:rsidP="00DF1F17">
      <w:pPr>
        <w:ind w:left="1134" w:hanging="567"/>
        <w:rPr>
          <w:u w:val="single"/>
          <w:shd w:val="pct15" w:color="auto" w:fill="FFFFFF"/>
        </w:rPr>
      </w:pPr>
    </w:p>
    <w:p w:rsidR="00DF1F17" w:rsidRPr="003265BF" w:rsidRDefault="00DF1F17" w:rsidP="00DF1F17">
      <w:pPr>
        <w:ind w:firstLine="567"/>
        <w:rPr>
          <w:shd w:val="pct15" w:color="auto" w:fill="FFFFFF"/>
        </w:rPr>
      </w:pPr>
      <w:r w:rsidRPr="003265BF">
        <w:t>(g)</w:t>
      </w:r>
      <w:r w:rsidRPr="003265BF">
        <w:tab/>
        <w:t>The use of molecular markers is species-specific and should take into account the features of propagation of the species.</w:t>
      </w:r>
    </w:p>
    <w:p w:rsidR="003265BF" w:rsidRDefault="003265BF" w:rsidP="00DF1F17">
      <w:pPr>
        <w:ind w:firstLine="567"/>
      </w:pPr>
    </w:p>
    <w:p w:rsidR="00DF1F17" w:rsidRPr="003265BF" w:rsidRDefault="00DF1F17" w:rsidP="003265BF">
      <w:r w:rsidRPr="003265BF">
        <w:t>It is recognized that specific uses may impose certain additional considerations that may include (but are not limited to:</w:t>
      </w:r>
    </w:p>
    <w:p w:rsidR="00DF1F17" w:rsidRPr="003265BF" w:rsidRDefault="00DF1F17" w:rsidP="00DF1F17">
      <w:pPr>
        <w:ind w:firstLine="567"/>
      </w:pPr>
    </w:p>
    <w:p w:rsidR="003265BF" w:rsidRDefault="003265BF" w:rsidP="003265BF">
      <w:pPr>
        <w:ind w:left="567"/>
      </w:pPr>
      <w:r>
        <w:t>(a)</w:t>
      </w:r>
      <w:r>
        <w:tab/>
        <w:t xml:space="preserve">The 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 </w:t>
      </w:r>
    </w:p>
    <w:p w:rsidR="003265BF" w:rsidRDefault="003265BF" w:rsidP="003265BF">
      <w:pPr>
        <w:ind w:left="567"/>
      </w:pPr>
    </w:p>
    <w:p w:rsidR="00DF1F17" w:rsidRDefault="003265BF" w:rsidP="003265BF">
      <w:pPr>
        <w:ind w:left="567"/>
      </w:pPr>
      <w:r>
        <w:lastRenderedPageBreak/>
        <w:t>(b)</w:t>
      </w:r>
      <w:r>
        <w:tab/>
        <w:t>Coverage of the genome and the linkage disequilibrium should reflect the objectives. Knowing the physical and/or genetic position of the selected markers on the genome is not essential but enables a good selection of markers.</w:t>
      </w:r>
    </w:p>
    <w:p w:rsidR="003265BF" w:rsidRPr="00832052" w:rsidRDefault="003265BF" w:rsidP="003265BF">
      <w:pPr>
        <w:ind w:left="567"/>
      </w:pPr>
    </w:p>
    <w:p w:rsidR="00DF1F17" w:rsidRPr="00832052" w:rsidRDefault="00DF1F17" w:rsidP="00DF1F17">
      <w:pPr>
        <w:keepNext/>
        <w:outlineLvl w:val="1"/>
      </w:pPr>
      <w:bookmarkStart w:id="13" w:name="_Toc50577343"/>
      <w:r w:rsidRPr="00832052">
        <w:t>2.</w:t>
      </w:r>
      <w:r w:rsidRPr="00832052">
        <w:tab/>
        <w:t>Selection of the Detection Method</w:t>
      </w:r>
      <w:bookmarkEnd w:id="13"/>
    </w:p>
    <w:p w:rsidR="00DF1F17" w:rsidRPr="00832052" w:rsidRDefault="00DF1F17" w:rsidP="00DF1F17"/>
    <w:p w:rsidR="00DF1F17" w:rsidRPr="00832052" w:rsidRDefault="00DF1F17" w:rsidP="00DF1F17">
      <w:pPr>
        <w:keepNext/>
        <w:ind w:left="567" w:hanging="567"/>
        <w:outlineLvl w:val="2"/>
        <w:rPr>
          <w:i/>
          <w:snapToGrid w:val="0"/>
        </w:rPr>
      </w:pPr>
      <w:bookmarkStart w:id="14" w:name="_Toc50577344"/>
      <w:r w:rsidRPr="00832052">
        <w:rPr>
          <w:i/>
          <w:snapToGrid w:val="0"/>
        </w:rPr>
        <w:t>2.1</w:t>
      </w:r>
      <w:r w:rsidRPr="00832052">
        <w:rPr>
          <w:i/>
          <w:snapToGrid w:val="0"/>
        </w:rPr>
        <w:tab/>
        <w:t>DNA profiling methods - general considerations</w:t>
      </w:r>
      <w:bookmarkEnd w:id="14"/>
      <w:r w:rsidRPr="00832052">
        <w:rPr>
          <w:i/>
          <w:snapToGrid w:val="0"/>
        </w:rPr>
        <w:t> </w:t>
      </w:r>
    </w:p>
    <w:p w:rsidR="00DF1F17" w:rsidRPr="00832052" w:rsidRDefault="00DF1F17" w:rsidP="00DF1F17"/>
    <w:p w:rsidR="00DF1F17" w:rsidRPr="00832052" w:rsidRDefault="00DF1F17" w:rsidP="00DF1F17">
      <w:pPr>
        <w:ind w:firstLine="567"/>
      </w:pPr>
      <w:r w:rsidRPr="00832052">
        <w:t>2.1.1</w:t>
      </w:r>
      <w:r w:rsidRPr="00832052">
        <w:tab/>
        <w:t xml:space="preserve">Important considerations for choosing DNA profiling methods that generate high quality molecular data are: </w:t>
      </w:r>
    </w:p>
    <w:p w:rsidR="00DF1F17" w:rsidRPr="00832052" w:rsidRDefault="00DF1F17" w:rsidP="00DF1F17"/>
    <w:p w:rsidR="00DF1F17" w:rsidRPr="00832052" w:rsidRDefault="00DF1F17" w:rsidP="00DF1F17">
      <w:pPr>
        <w:ind w:left="1134" w:hanging="567"/>
      </w:pPr>
      <w:r w:rsidRPr="00832052">
        <w:t>(a)</w:t>
      </w:r>
      <w:r w:rsidRPr="00832052">
        <w:tab/>
        <w:t xml:space="preserve">reproducibility of data production within and between laboratories and detection platforms (different types of equipment); </w:t>
      </w:r>
    </w:p>
    <w:p w:rsidR="00DF1F17" w:rsidRPr="00832052" w:rsidRDefault="00DF1F17" w:rsidP="00DF1F17">
      <w:pPr>
        <w:ind w:left="1134" w:hanging="567"/>
      </w:pPr>
      <w:r w:rsidRPr="00832052">
        <w:t>(b)</w:t>
      </w:r>
      <w:r w:rsidRPr="00832052">
        <w:tab/>
        <w:t xml:space="preserve">repeatability over time; </w:t>
      </w:r>
    </w:p>
    <w:p w:rsidR="00DF1F17" w:rsidRPr="003265BF" w:rsidRDefault="00DF1F17" w:rsidP="00DF1F17">
      <w:pPr>
        <w:ind w:left="1134" w:hanging="567"/>
      </w:pPr>
      <w:r w:rsidRPr="003265BF">
        <w:t>(c)</w:t>
      </w:r>
      <w:r w:rsidRPr="003265BF">
        <w:tab/>
        <w:t xml:space="preserve">discrimination power; </w:t>
      </w:r>
    </w:p>
    <w:p w:rsidR="00DF1F17" w:rsidRPr="003265BF" w:rsidRDefault="00DF1F17" w:rsidP="00DF1F17">
      <w:pPr>
        <w:ind w:left="1134" w:hanging="567"/>
      </w:pPr>
      <w:r w:rsidRPr="003265BF">
        <w:t>(d)</w:t>
      </w:r>
      <w:r w:rsidRPr="003265BF">
        <w:tab/>
        <w:t>time and labor intensity;</w:t>
      </w:r>
    </w:p>
    <w:p w:rsidR="00DF1F17" w:rsidRPr="00832052" w:rsidRDefault="00DF1F17" w:rsidP="00DF1F17">
      <w:pPr>
        <w:ind w:left="1134" w:hanging="567"/>
      </w:pPr>
      <w:r w:rsidRPr="003265BF">
        <w:t>(e)</w:t>
      </w:r>
      <w:r w:rsidRPr="003265BF">
        <w:tab/>
        <w:t>robustness of performance in time and conditions (sensitiveness to subtle changes in the protocol</w:t>
      </w:r>
      <w:r w:rsidRPr="00832052">
        <w:t xml:space="preserve"> or condition);</w:t>
      </w:r>
    </w:p>
    <w:p w:rsidR="00DF1F17" w:rsidRPr="00832052" w:rsidRDefault="00DF1F17" w:rsidP="00DF1F17">
      <w:pPr>
        <w:ind w:left="1134" w:hanging="567"/>
      </w:pPr>
      <w:r w:rsidRPr="00832052">
        <w:t>(f)</w:t>
      </w:r>
      <w:r w:rsidRPr="00832052">
        <w:tab/>
        <w:t>flexibility of the method, possibility to vary in the number of samples and/or number of markers;</w:t>
      </w:r>
    </w:p>
    <w:p w:rsidR="00DF1F17" w:rsidRPr="00832052" w:rsidRDefault="00DF1F17" w:rsidP="00DF1F17">
      <w:pPr>
        <w:ind w:left="1134" w:hanging="567"/>
      </w:pPr>
      <w:r w:rsidRPr="00832052">
        <w:t>(g)</w:t>
      </w:r>
      <w:r w:rsidRPr="00832052">
        <w:tab/>
        <w:t>interpretation of the data produced is independent of the equipment;</w:t>
      </w:r>
    </w:p>
    <w:p w:rsidR="00DF1F17" w:rsidRPr="00832052" w:rsidRDefault="00DF1F17" w:rsidP="00DF1F17">
      <w:pPr>
        <w:ind w:left="1134" w:hanging="567"/>
      </w:pPr>
      <w:r w:rsidRPr="00832052">
        <w:t>(h)</w:t>
      </w:r>
      <w:r w:rsidRPr="00832052">
        <w:tab/>
        <w:t xml:space="preserve">sustainability of databases; </w:t>
      </w:r>
    </w:p>
    <w:p w:rsidR="00DF1F17" w:rsidRPr="00832052" w:rsidRDefault="00DF1F17" w:rsidP="00DF1F17">
      <w:pPr>
        <w:ind w:left="1134" w:hanging="567"/>
      </w:pPr>
      <w:r w:rsidRPr="00832052">
        <w:t>(i)</w:t>
      </w:r>
      <w:r w:rsidRPr="00832052">
        <w:tab/>
        <w:t>accessibility of methodology;</w:t>
      </w:r>
      <w:r w:rsidR="00116403" w:rsidRPr="00832052">
        <w:t xml:space="preserve"> </w:t>
      </w:r>
    </w:p>
    <w:p w:rsidR="00DF1F17" w:rsidRPr="00832052" w:rsidRDefault="00DF1F17" w:rsidP="00DF1F17">
      <w:pPr>
        <w:ind w:left="1134" w:hanging="567"/>
      </w:pPr>
      <w:r w:rsidRPr="00832052">
        <w:t>(j)</w:t>
      </w:r>
      <w:r w:rsidRPr="00832052">
        <w:tab/>
        <w:t>independence of a specific machine, specific chemistry, specific supplier, particular partners or products;</w:t>
      </w:r>
      <w:r w:rsidR="0049585B" w:rsidRPr="00832052">
        <w:t xml:space="preserve"> </w:t>
      </w:r>
    </w:p>
    <w:p w:rsidR="00DF1F17" w:rsidRPr="00832052" w:rsidRDefault="00DF1F17" w:rsidP="00DF1F17">
      <w:pPr>
        <w:ind w:left="1134" w:hanging="567"/>
      </w:pPr>
      <w:r w:rsidRPr="00832052">
        <w:t>(k)</w:t>
      </w:r>
      <w:r w:rsidRPr="00832052">
        <w:tab/>
        <w:t>suitable for automation;</w:t>
      </w:r>
    </w:p>
    <w:p w:rsidR="00DF1F17" w:rsidRPr="00832052" w:rsidRDefault="00DF1F17" w:rsidP="00DF1F17">
      <w:pPr>
        <w:ind w:left="1134" w:hanging="567"/>
      </w:pPr>
      <w:r w:rsidRPr="00832052">
        <w:t>(l)</w:t>
      </w:r>
      <w:r w:rsidRPr="00832052">
        <w:tab/>
        <w:t xml:space="preserve">suitable for multiplexing; and </w:t>
      </w:r>
    </w:p>
    <w:p w:rsidR="00DF1F17" w:rsidRPr="00832052" w:rsidRDefault="00DF1F17" w:rsidP="00DF1F17">
      <w:pPr>
        <w:ind w:left="1134" w:hanging="567"/>
      </w:pPr>
      <w:r w:rsidRPr="00832052">
        <w:t>(m)</w:t>
      </w:r>
      <w:r w:rsidRPr="00832052">
        <w:tab/>
        <w:t>cost effective (costs, number of samples and number of markers are in balance).</w:t>
      </w:r>
      <w:r w:rsidR="00116403" w:rsidRPr="00832052">
        <w:t xml:space="preserve"> </w:t>
      </w:r>
    </w:p>
    <w:p w:rsidR="00DF1F17" w:rsidRPr="00832052" w:rsidRDefault="00DF1F17" w:rsidP="00DF1F17"/>
    <w:p w:rsidR="00DF1F17" w:rsidRPr="00832052" w:rsidRDefault="00DF1F17" w:rsidP="00DF1F17">
      <w:pPr>
        <w:keepNext/>
        <w:keepLines/>
        <w:ind w:left="567" w:hanging="567"/>
        <w:outlineLvl w:val="2"/>
        <w:rPr>
          <w:i/>
          <w:snapToGrid w:val="0"/>
        </w:rPr>
      </w:pPr>
      <w:bookmarkStart w:id="15" w:name="_Toc50577345"/>
      <w:r w:rsidRPr="00832052">
        <w:rPr>
          <w:i/>
          <w:snapToGrid w:val="0"/>
        </w:rPr>
        <w:t>2.2.</w:t>
      </w:r>
      <w:r w:rsidRPr="00832052">
        <w:rPr>
          <w:i/>
          <w:snapToGrid w:val="0"/>
        </w:rPr>
        <w:tab/>
        <w:t>Access to the Technology</w:t>
      </w:r>
      <w:bookmarkEnd w:id="15"/>
    </w:p>
    <w:p w:rsidR="00DF1F17" w:rsidRPr="00832052" w:rsidRDefault="00DF1F17" w:rsidP="00DF1F17">
      <w:pPr>
        <w:keepNext/>
        <w:keepLines/>
      </w:pPr>
    </w:p>
    <w:p w:rsidR="00DF1F17" w:rsidRPr="003265BF" w:rsidRDefault="00DF1F17" w:rsidP="00DF1F17">
      <w:pPr>
        <w:keepNext/>
        <w:keepLines/>
      </w:pPr>
      <w:r w:rsidRPr="00832052">
        <w:t xml:space="preserve">Some molecular markers and materials are publicly available. However, a large investment is likely to be </w:t>
      </w:r>
      <w:r w:rsidRPr="003265BF">
        <w:t>necessary to obtain high quality markers, consequently markers and other methods and/or materials may be covered by intellectual property rights. UPOV has developed guidance for the use of products or methodologies which are the subject of intellectual property rights and these should be followed.  It is recommended that matters concerning intellectual property rights should be addressed at the start of any developmental work.</w:t>
      </w:r>
    </w:p>
    <w:p w:rsidR="00DF1F17" w:rsidRPr="003265BF" w:rsidRDefault="00DF1F17" w:rsidP="00DF1F17">
      <w:pPr>
        <w:keepNext/>
        <w:keepLines/>
      </w:pPr>
    </w:p>
    <w:p w:rsidR="00DF1F17" w:rsidRPr="003265BF" w:rsidRDefault="00DF1F17" w:rsidP="00DF1F17">
      <w:pPr>
        <w:keepNext/>
        <w:outlineLvl w:val="1"/>
      </w:pPr>
      <w:bookmarkStart w:id="16" w:name="_Toc50577346"/>
      <w:r w:rsidRPr="003265BF">
        <w:t>3.</w:t>
      </w:r>
      <w:r w:rsidRPr="003265BF">
        <w:tab/>
        <w:t>Validation and harmonization of a marker set and detection method</w:t>
      </w:r>
      <w:bookmarkEnd w:id="16"/>
    </w:p>
    <w:p w:rsidR="00DF1F17" w:rsidRPr="003265BF" w:rsidRDefault="00DF1F17" w:rsidP="00DF1F17"/>
    <w:p w:rsidR="00DF1F17" w:rsidRPr="003265BF" w:rsidRDefault="00DF1F17" w:rsidP="00DF1F17">
      <w:pPr>
        <w:keepNext/>
        <w:ind w:left="567" w:hanging="567"/>
        <w:outlineLvl w:val="2"/>
        <w:rPr>
          <w:i/>
          <w:snapToGrid w:val="0"/>
        </w:rPr>
      </w:pPr>
      <w:bookmarkStart w:id="17" w:name="_Toc50577347"/>
      <w:r w:rsidRPr="003265BF">
        <w:rPr>
          <w:i/>
          <w:snapToGrid w:val="0"/>
        </w:rPr>
        <w:t>3.1</w:t>
      </w:r>
      <w:r w:rsidRPr="003265BF">
        <w:rPr>
          <w:i/>
          <w:snapToGrid w:val="0"/>
        </w:rPr>
        <w:tab/>
        <w:t>Validation and harmonization – general considerations</w:t>
      </w:r>
      <w:bookmarkEnd w:id="17"/>
    </w:p>
    <w:p w:rsidR="00DF1F17" w:rsidRPr="003265BF" w:rsidRDefault="00DF1F17" w:rsidP="00DF1F17">
      <w:pPr>
        <w:rPr>
          <w:u w:val="single"/>
          <w:shd w:val="pct15" w:color="auto" w:fill="FFFFFF"/>
        </w:rPr>
      </w:pPr>
    </w:p>
    <w:p w:rsidR="00DF1F17" w:rsidRPr="003265BF" w:rsidRDefault="00DF1F17" w:rsidP="00DF1F17">
      <w:r w:rsidRPr="003265BF">
        <w:t>Molecular markers and detection methods should be robust and give rise to consistent DNA profiles. Performance of molecular markers and genotyping methods is evaluated in a validation process. In case of shared database, consistency of the DNA profiles in different laboratories is evaluated in the harmonization process using different equipment and chemistries. The usage of validated markers and methods will lead to harmonized results.</w:t>
      </w:r>
    </w:p>
    <w:p w:rsidR="00DF1F17" w:rsidRPr="003265BF" w:rsidRDefault="00DF1F17" w:rsidP="00DF1F17"/>
    <w:p w:rsidR="00DF1F17" w:rsidRPr="003265BF" w:rsidRDefault="00DF1F17" w:rsidP="00DF1F17">
      <w:pPr>
        <w:keepNext/>
        <w:ind w:left="567" w:hanging="567"/>
        <w:outlineLvl w:val="2"/>
        <w:rPr>
          <w:i/>
          <w:snapToGrid w:val="0"/>
        </w:rPr>
      </w:pPr>
      <w:bookmarkStart w:id="18" w:name="_Toc50577348"/>
      <w:r w:rsidRPr="003265BF">
        <w:rPr>
          <w:i/>
          <w:snapToGrid w:val="0"/>
        </w:rPr>
        <w:t>3.2</w:t>
      </w:r>
      <w:r w:rsidRPr="003265BF">
        <w:rPr>
          <w:i/>
          <w:snapToGrid w:val="0"/>
        </w:rPr>
        <w:tab/>
        <w:t>Performance considerations - validation of markers and methods</w:t>
      </w:r>
      <w:bookmarkEnd w:id="18"/>
      <w:r w:rsidRPr="003265BF">
        <w:rPr>
          <w:i/>
          <w:snapToGrid w:val="0"/>
          <w:shd w:val="pct15" w:color="auto" w:fill="FFFFFF"/>
        </w:rPr>
        <w:t xml:space="preserve"> </w:t>
      </w:r>
    </w:p>
    <w:p w:rsidR="00DF1F17" w:rsidRPr="003265BF" w:rsidRDefault="00DF1F17" w:rsidP="00DF1F17">
      <w:pPr>
        <w:rPr>
          <w:u w:val="single"/>
          <w:shd w:val="pct15" w:color="auto" w:fill="FFFFFF"/>
        </w:rPr>
      </w:pPr>
    </w:p>
    <w:p w:rsidR="00DF1F17" w:rsidRPr="003265BF" w:rsidRDefault="00DF1F17" w:rsidP="00DF1F17">
      <w:pPr>
        <w:rPr>
          <w:shd w:val="pct15" w:color="auto" w:fill="FFFFFF"/>
        </w:rPr>
      </w:pPr>
      <w:r w:rsidRPr="003265BF">
        <w:t>The selected marker set should be fit-for-purpose. The accuracy should be measured. To determine the suitability of a method and DNA marker set several points should be considered:</w:t>
      </w:r>
    </w:p>
    <w:p w:rsidR="00DF1F17" w:rsidRPr="003265BF" w:rsidRDefault="00DF1F17" w:rsidP="00DF1F17">
      <w:pPr>
        <w:rPr>
          <w:u w:val="single"/>
          <w:shd w:val="pct15" w:color="auto" w:fill="FFFFFF"/>
        </w:rPr>
      </w:pPr>
    </w:p>
    <w:p w:rsidR="00DF1F17" w:rsidRPr="00823D34" w:rsidRDefault="00DF1F17" w:rsidP="00DF1F17">
      <w:pPr>
        <w:ind w:firstLine="567"/>
      </w:pPr>
      <w:r w:rsidRPr="003265BF">
        <w:t>(a)</w:t>
      </w:r>
      <w:r w:rsidRPr="003265BF">
        <w:tab/>
        <w:t>Discriminative capacity/informativeness;</w:t>
      </w:r>
    </w:p>
    <w:p w:rsidR="00DF1F17" w:rsidRPr="00823D34" w:rsidRDefault="00DF1F17" w:rsidP="00823D34">
      <w:pPr>
        <w:ind w:firstLine="567"/>
      </w:pPr>
      <w:r w:rsidRPr="003265BF">
        <w:t>(b)</w:t>
      </w:r>
      <w:r w:rsidRPr="003265BF">
        <w:tab/>
        <w:t>Repeatability</w:t>
      </w:r>
      <w:r w:rsidRPr="00823D34">
        <w:t>; where identical test results are obtained with the same method, on identical test items, in the same laboratory, by the same operator, using the same equipment within short intervals of time.</w:t>
      </w:r>
    </w:p>
    <w:p w:rsidR="00DF1F17" w:rsidRPr="00823D34" w:rsidRDefault="00DF1F17" w:rsidP="00823D34">
      <w:pPr>
        <w:ind w:firstLine="567"/>
      </w:pPr>
      <w:r w:rsidRPr="00823D34">
        <w:t>(c)</w:t>
      </w:r>
      <w:r w:rsidRPr="00823D34">
        <w:tab/>
        <w:t>Reproducibility; where test results are obtained with the same method, on identical test items, within the same laboratory or between different laboratories, with different operators, using different equipment.</w:t>
      </w:r>
    </w:p>
    <w:p w:rsidR="00DF1F17" w:rsidRPr="00823D34" w:rsidRDefault="00DF1F17" w:rsidP="00823D34">
      <w:pPr>
        <w:ind w:firstLine="567"/>
      </w:pPr>
      <w:r w:rsidRPr="00823D34">
        <w:t>(d)</w:t>
      </w:r>
      <w:r w:rsidRPr="00823D34">
        <w:tab/>
        <w:t>Robustness; a measure of its capacity to remain unaffected by small, but deliberate deviations from the experimental conditions described in the procedure parameters and provides an indication of its reliability during normal usage; and</w:t>
      </w:r>
      <w:r w:rsidRPr="003265BF">
        <w:t xml:space="preserve"> </w:t>
      </w:r>
    </w:p>
    <w:p w:rsidR="00DF1F17" w:rsidRPr="00823D34" w:rsidRDefault="00DF1F17" w:rsidP="00DF1F17">
      <w:pPr>
        <w:ind w:firstLine="567"/>
      </w:pPr>
      <w:r w:rsidRPr="003265BF">
        <w:t>(e)</w:t>
      </w:r>
      <w:r w:rsidRPr="003265BF">
        <w:tab/>
        <w:t>Error-rate. </w:t>
      </w:r>
    </w:p>
    <w:p w:rsidR="00DF1F17" w:rsidRPr="003265BF" w:rsidRDefault="00DF1F17" w:rsidP="00DF1F17">
      <w:pPr>
        <w:jc w:val="left"/>
      </w:pPr>
    </w:p>
    <w:p w:rsidR="00DF1F17" w:rsidRPr="003265BF" w:rsidRDefault="00DF1F17" w:rsidP="00DF1F17">
      <w:pPr>
        <w:rPr>
          <w:rFonts w:cs="Arial"/>
        </w:rPr>
      </w:pPr>
      <w:r w:rsidRPr="003265BF">
        <w:rPr>
          <w:rFonts w:cs="Arial"/>
          <w:bCs/>
        </w:rPr>
        <w:t xml:space="preserve">Definitions of the performance characteristics are based on: </w:t>
      </w:r>
      <w:r w:rsidRPr="003265BF">
        <w:t>ISO 16 577:2016</w:t>
      </w:r>
    </w:p>
    <w:p w:rsidR="00DF1F17" w:rsidRPr="003265BF" w:rsidRDefault="00DF1F17" w:rsidP="00DF1F17"/>
    <w:p w:rsidR="00DF1F17" w:rsidRPr="003265BF" w:rsidRDefault="00DF1F17" w:rsidP="00DF1F17">
      <w:pPr>
        <w:keepNext/>
        <w:ind w:left="567" w:hanging="567"/>
        <w:outlineLvl w:val="2"/>
        <w:rPr>
          <w:i/>
          <w:snapToGrid w:val="0"/>
        </w:rPr>
      </w:pPr>
      <w:bookmarkStart w:id="19" w:name="_Toc50577349"/>
      <w:r w:rsidRPr="003265BF">
        <w:rPr>
          <w:i/>
          <w:snapToGrid w:val="0"/>
        </w:rPr>
        <w:t>3.3</w:t>
      </w:r>
      <w:r w:rsidRPr="003265BF">
        <w:rPr>
          <w:i/>
          <w:snapToGrid w:val="0"/>
        </w:rPr>
        <w:tab/>
        <w:t>Consistency considerations</w:t>
      </w:r>
    </w:p>
    <w:p w:rsidR="00DF1F17" w:rsidRPr="003265BF" w:rsidRDefault="00DF1F17" w:rsidP="00DF1F17">
      <w:pPr>
        <w:keepNext/>
        <w:ind w:left="567" w:hanging="567"/>
        <w:outlineLvl w:val="2"/>
        <w:rPr>
          <w:i/>
          <w:snapToGrid w:val="0"/>
        </w:rPr>
      </w:pPr>
    </w:p>
    <w:p w:rsidR="00DF1F17" w:rsidRPr="003265BF" w:rsidRDefault="00DF1F17" w:rsidP="00DF1F17">
      <w:pPr>
        <w:rPr>
          <w:snapToGrid w:val="0"/>
        </w:rPr>
      </w:pPr>
      <w:r w:rsidRPr="003265BF">
        <w:rPr>
          <w:snapToGrid w:val="0"/>
        </w:rPr>
        <w:t>To achieve consistency of results, the process of harmonization of markers and methods between different laboratories in the case of a shared database (ring test</w:t>
      </w:r>
      <w:bookmarkEnd w:id="19"/>
      <w:r w:rsidRPr="003265BF">
        <w:rPr>
          <w:snapToGrid w:val="0"/>
        </w:rPr>
        <w:t>) should consider:</w:t>
      </w:r>
      <w:r w:rsidR="00116403" w:rsidRPr="003265BF">
        <w:rPr>
          <w:snapToGrid w:val="0"/>
        </w:rPr>
        <w:t xml:space="preserve"> </w:t>
      </w:r>
    </w:p>
    <w:p w:rsidR="00DF1F17" w:rsidRPr="003265BF" w:rsidRDefault="00DF1F17" w:rsidP="00DF1F17">
      <w:pPr>
        <w:rPr>
          <w:u w:val="single"/>
          <w:shd w:val="pct15" w:color="auto" w:fill="FFFFFF"/>
        </w:rPr>
      </w:pPr>
    </w:p>
    <w:p w:rsidR="00DF1F17" w:rsidRPr="003265BF" w:rsidRDefault="00DF1F17" w:rsidP="00DF1F17">
      <w:pPr>
        <w:ind w:left="1134" w:hanging="567"/>
        <w:rPr>
          <w:shd w:val="pct15" w:color="auto" w:fill="FFFFFF"/>
        </w:rPr>
      </w:pPr>
      <w:r w:rsidRPr="003265BF">
        <w:t>(a)</w:t>
      </w:r>
      <w:r w:rsidRPr="003265BF">
        <w:tab/>
        <w:t>Use of a defined collection of varieties representing a wide range of alleles as a reference in all labs to test consistency between labs </w:t>
      </w:r>
    </w:p>
    <w:p w:rsidR="00DF1F17" w:rsidRPr="003265BF" w:rsidRDefault="00DF1F17" w:rsidP="00DF1F17">
      <w:pPr>
        <w:ind w:left="1134" w:hanging="567"/>
        <w:rPr>
          <w:shd w:val="pct15" w:color="auto" w:fill="FFFFFF"/>
        </w:rPr>
      </w:pPr>
      <w:r w:rsidRPr="003265BF">
        <w:rPr>
          <w:shd w:val="pct15" w:color="auto" w:fill="FFFFFF"/>
        </w:rPr>
        <w:t xml:space="preserve"> </w:t>
      </w:r>
    </w:p>
    <w:p w:rsidR="00DF1F17" w:rsidRPr="003265BF" w:rsidRDefault="00DF1F17" w:rsidP="00DF1F17">
      <w:pPr>
        <w:ind w:left="1134" w:hanging="567"/>
        <w:rPr>
          <w:shd w:val="pct15" w:color="auto" w:fill="FFFFFF"/>
        </w:rPr>
      </w:pPr>
      <w:r w:rsidRPr="003265BF">
        <w:t>(b)</w:t>
      </w:r>
      <w:r w:rsidRPr="003265BF">
        <w:tab/>
        <w:t>Inclusion of duplicates, sub-samples, individual plants of a variety to check the consistency of the DNA profiles and estimate the error-rate between labs </w:t>
      </w:r>
    </w:p>
    <w:p w:rsidR="00DF1F17" w:rsidRPr="003265BF" w:rsidRDefault="00DF1F17" w:rsidP="00DF1F17">
      <w:pPr>
        <w:ind w:left="1134" w:hanging="567"/>
        <w:rPr>
          <w:shd w:val="pct15" w:color="auto" w:fill="FFFFFF"/>
        </w:rPr>
      </w:pPr>
    </w:p>
    <w:p w:rsidR="00DF1F17" w:rsidRPr="003265BF" w:rsidRDefault="00DF1F17" w:rsidP="00DF1F17">
      <w:pPr>
        <w:ind w:left="1134" w:hanging="567"/>
      </w:pPr>
      <w:r w:rsidRPr="003265BF">
        <w:t>(c)</w:t>
      </w:r>
      <w:r w:rsidRPr="003265BF">
        <w:tab/>
        <w:t xml:space="preserve">Agreements on the scoring of molecular data. The necessity to develop a protocol for allele/band scoring between labs depends on the used marker type (e.g. essential for SSR).  The protocol could address how to score the following: </w:t>
      </w:r>
    </w:p>
    <w:p w:rsidR="00DF1F17" w:rsidRPr="003265BF" w:rsidRDefault="00DF1F17" w:rsidP="00DF1F17">
      <w:pPr>
        <w:ind w:firstLine="567"/>
        <w:rPr>
          <w:u w:val="single"/>
          <w:shd w:val="pct15" w:color="auto" w:fill="FFFFFF"/>
        </w:rPr>
      </w:pPr>
    </w:p>
    <w:p w:rsidR="00DF1F17" w:rsidRPr="00832052" w:rsidRDefault="00DF1F17" w:rsidP="00DF1F17">
      <w:pPr>
        <w:ind w:left="1701" w:hanging="567"/>
      </w:pPr>
      <w:r w:rsidRPr="003265BF">
        <w:t>i.</w:t>
      </w:r>
      <w:r w:rsidRPr="003265BF">
        <w:tab/>
        <w:t>rare alleles (i.e. those at a specific locus which appear with a frequency below an agreed threshold (commonly 5-10%) in a population);</w:t>
      </w:r>
    </w:p>
    <w:p w:rsidR="00DF1F17" w:rsidRPr="00832052" w:rsidRDefault="00DF1F17" w:rsidP="00DF1F17">
      <w:pPr>
        <w:ind w:left="1701" w:hanging="567"/>
      </w:pPr>
    </w:p>
    <w:p w:rsidR="00DF1F17" w:rsidRPr="00832052" w:rsidRDefault="00DF1F17" w:rsidP="00DF1F17">
      <w:pPr>
        <w:ind w:left="1701" w:hanging="567"/>
      </w:pPr>
      <w:r w:rsidRPr="00832052">
        <w:t>ii.</w:t>
      </w:r>
      <w:r w:rsidRPr="00832052">
        <w:tab/>
        <w:t>null alleles (an allele whose effect is an absence of PCR product at the molecular level);</w:t>
      </w:r>
    </w:p>
    <w:p w:rsidR="00DF1F17" w:rsidRPr="00832052" w:rsidRDefault="00DF1F17" w:rsidP="00DF1F17">
      <w:pPr>
        <w:ind w:left="1701" w:hanging="567"/>
      </w:pPr>
      <w:r w:rsidRPr="00832052">
        <w:t xml:space="preserve"> </w:t>
      </w:r>
    </w:p>
    <w:p w:rsidR="00DF1F17" w:rsidRPr="00832052" w:rsidRDefault="00DF1F17" w:rsidP="00DF1F17">
      <w:pPr>
        <w:ind w:left="1701" w:hanging="567"/>
      </w:pPr>
      <w:r w:rsidRPr="00832052">
        <w:t>iii.</w:t>
      </w:r>
      <w:r w:rsidRPr="00832052">
        <w:tab/>
        <w:t xml:space="preserve">“faint” bands (i.e. bands where the intensity falls below an agreed threshold of detection, set either empirically or automatically, and the scoring of which may be open to question); </w:t>
      </w:r>
    </w:p>
    <w:p w:rsidR="00DF1F17" w:rsidRPr="00832052" w:rsidRDefault="00DF1F17" w:rsidP="00DF1F17">
      <w:pPr>
        <w:ind w:left="1701" w:hanging="567"/>
      </w:pPr>
    </w:p>
    <w:p w:rsidR="00DF1F17" w:rsidRPr="00832052" w:rsidRDefault="00DF1F17" w:rsidP="00DF1F17">
      <w:pPr>
        <w:ind w:left="1701" w:hanging="567"/>
      </w:pPr>
      <w:r w:rsidRPr="00832052">
        <w:t>iv.</w:t>
      </w:r>
      <w:r w:rsidRPr="00832052">
        <w:tab/>
        <w:t xml:space="preserve">missing data (i.e. any locus for which there are no data recorded for whatever reason in a variety or varieties); and </w:t>
      </w:r>
    </w:p>
    <w:p w:rsidR="00DF1F17" w:rsidRPr="00832052" w:rsidRDefault="00DF1F17" w:rsidP="00DF1F17">
      <w:pPr>
        <w:ind w:left="1701" w:hanging="567"/>
      </w:pPr>
    </w:p>
    <w:p w:rsidR="00DF1F17" w:rsidRPr="00832052" w:rsidRDefault="00DF1F17" w:rsidP="00DF1F17">
      <w:pPr>
        <w:ind w:left="1701" w:hanging="567"/>
        <w:rPr>
          <w:u w:val="single"/>
          <w:shd w:val="pct15" w:color="auto" w:fill="FFFFFF"/>
        </w:rPr>
      </w:pPr>
      <w:r w:rsidRPr="00832052">
        <w:t>v.</w:t>
      </w:r>
      <w:r w:rsidRPr="00832052">
        <w:tab/>
        <w:t>monomorphic bands or non-informative allele scores (those alleles/bands which appear in every variety analyzed, i.e. are not polymorphic in a particular variety collection).</w:t>
      </w:r>
    </w:p>
    <w:p w:rsidR="00DF1F17" w:rsidRPr="00832052" w:rsidRDefault="00DF1F17" w:rsidP="00DF1F17">
      <w:pPr>
        <w:ind w:left="567" w:firstLine="567"/>
      </w:pPr>
    </w:p>
    <w:p w:rsidR="00DF1F17" w:rsidRPr="003265BF" w:rsidRDefault="00DF1F17" w:rsidP="00DF1F17">
      <w:pPr>
        <w:keepNext/>
        <w:outlineLvl w:val="1"/>
      </w:pPr>
      <w:bookmarkStart w:id="20" w:name="_Toc50577350"/>
      <w:r w:rsidRPr="003265BF">
        <w:t>4.</w:t>
      </w:r>
      <w:r w:rsidRPr="003265BF">
        <w:tab/>
        <w:t>Construction of a Species-Specific Database</w:t>
      </w:r>
      <w:bookmarkEnd w:id="20"/>
    </w:p>
    <w:p w:rsidR="00DF1F17" w:rsidRPr="003265BF" w:rsidRDefault="00DF1F17" w:rsidP="00DF1F17">
      <w:pPr>
        <w:rPr>
          <w:u w:val="single"/>
          <w:shd w:val="pct15" w:color="auto" w:fill="FFFFFF"/>
        </w:rPr>
      </w:pPr>
    </w:p>
    <w:p w:rsidR="00DF1F17" w:rsidRPr="00832052" w:rsidRDefault="00DF1F17" w:rsidP="00DF1F17">
      <w:pPr>
        <w:rPr>
          <w:shd w:val="pct15" w:color="auto" w:fill="FFFFFF"/>
        </w:rPr>
      </w:pPr>
      <w:r w:rsidRPr="003265BF">
        <w:rPr>
          <w:bCs/>
        </w:rPr>
        <w:t>The data that is stored in a database and how it is stored should reflect the process of producing the data. Therefore, database construction should consider different levels of data processing (</w:t>
      </w:r>
      <w:r w:rsidRPr="003265BF">
        <w:rPr>
          <w:bCs/>
          <w:i/>
        </w:rPr>
        <w:t>i.e.</w:t>
      </w:r>
      <w:r w:rsidRPr="003265BF">
        <w:rPr>
          <w:bCs/>
        </w:rPr>
        <w:t xml:space="preserve"> raw data, sequence data…). The database should store the end results, e.g. the DNA profile as well as how it was derived both in terms of laboratory method description and the computational steps.</w:t>
      </w:r>
      <w:r w:rsidR="00116403" w:rsidRPr="00832052">
        <w:rPr>
          <w:shd w:val="pct15" w:color="auto" w:fill="FFFFFF"/>
        </w:rPr>
        <w:t xml:space="preserve"> </w:t>
      </w:r>
    </w:p>
    <w:p w:rsidR="00DF1F17" w:rsidRPr="00832052" w:rsidRDefault="00DF1F17" w:rsidP="00DF1F17">
      <w:pPr>
        <w:keepNext/>
        <w:ind w:left="567" w:hanging="567"/>
        <w:outlineLvl w:val="2"/>
        <w:rPr>
          <w:i/>
          <w:snapToGrid w:val="0"/>
        </w:rPr>
      </w:pPr>
    </w:p>
    <w:p w:rsidR="00DF1F17" w:rsidRPr="00832052" w:rsidRDefault="00DF1F17" w:rsidP="00DF1F17">
      <w:pPr>
        <w:keepNext/>
        <w:ind w:left="567" w:hanging="567"/>
        <w:outlineLvl w:val="2"/>
        <w:rPr>
          <w:i/>
          <w:snapToGrid w:val="0"/>
          <w:shd w:val="pct15" w:color="auto" w:fill="FFFFFF"/>
        </w:rPr>
      </w:pPr>
      <w:bookmarkStart w:id="21" w:name="_Toc50577351"/>
      <w:r w:rsidRPr="00832052">
        <w:rPr>
          <w:i/>
          <w:snapToGrid w:val="0"/>
        </w:rPr>
        <w:t>4.1</w:t>
      </w:r>
      <w:r w:rsidRPr="00832052">
        <w:rPr>
          <w:i/>
          <w:snapToGrid w:val="0"/>
        </w:rPr>
        <w:tab/>
        <w:t>Recommendations for database design</w:t>
      </w:r>
      <w:bookmarkEnd w:id="21"/>
    </w:p>
    <w:p w:rsidR="00DF1F17" w:rsidRPr="00832052" w:rsidRDefault="00DF1F17" w:rsidP="00DF1F17"/>
    <w:p w:rsidR="00DF1F17" w:rsidRPr="00832052" w:rsidRDefault="00DF1F17" w:rsidP="00DF1F17">
      <w:r w:rsidRPr="00832052">
        <w:t>Design of databases could consider the following aspects:</w:t>
      </w:r>
    </w:p>
    <w:p w:rsidR="00DF1F17" w:rsidRPr="00832052" w:rsidRDefault="00DF1F17" w:rsidP="00DF1F17"/>
    <w:p w:rsidR="00DF1F17" w:rsidRPr="00832052" w:rsidRDefault="00DF1F17" w:rsidP="00DF1F17">
      <w:pPr>
        <w:ind w:firstLine="567"/>
        <w:rPr>
          <w:shd w:val="pct15" w:color="auto" w:fill="FFFFFF"/>
        </w:rPr>
      </w:pPr>
      <w:r w:rsidRPr="00832052">
        <w:t>(a)</w:t>
      </w:r>
      <w:r w:rsidRPr="00832052">
        <w:tab/>
        <w:t>The database architecture should be flexible, e.g. allow for storing both flat files as well as compressed archives.</w:t>
      </w:r>
    </w:p>
    <w:p w:rsidR="00DF1F17" w:rsidRPr="00832052" w:rsidRDefault="00DF1F17" w:rsidP="00DF1F17">
      <w:pPr>
        <w:ind w:firstLine="567"/>
        <w:rPr>
          <w:shd w:val="pct15" w:color="auto" w:fill="FFFFFF"/>
        </w:rPr>
      </w:pPr>
    </w:p>
    <w:p w:rsidR="00DF1F17" w:rsidRPr="00832052" w:rsidRDefault="00DF1F17" w:rsidP="00DF1F17">
      <w:pPr>
        <w:ind w:firstLine="567"/>
        <w:rPr>
          <w:shd w:val="pct15" w:color="auto" w:fill="FFFFFF"/>
        </w:rPr>
      </w:pPr>
      <w:r w:rsidRPr="00832052">
        <w:t>(b)</w:t>
      </w:r>
      <w:r w:rsidRPr="00832052">
        <w:tab/>
        <w:t>Separate tables and entries are required for laboratory experimental work, data processing and the allele scores.</w:t>
      </w:r>
    </w:p>
    <w:p w:rsidR="00DF1F17" w:rsidRPr="00832052" w:rsidRDefault="00DF1F17" w:rsidP="00DF1F17">
      <w:pPr>
        <w:ind w:firstLine="567"/>
        <w:rPr>
          <w:shd w:val="pct15" w:color="auto" w:fill="FFFFFF"/>
        </w:rPr>
      </w:pPr>
    </w:p>
    <w:p w:rsidR="00DF1F17" w:rsidRPr="00823D34" w:rsidRDefault="00DF1F17" w:rsidP="00DF1F17">
      <w:pPr>
        <w:ind w:firstLine="567"/>
      </w:pPr>
      <w:r w:rsidRPr="00823D34">
        <w:t>(c)</w:t>
      </w:r>
      <w:r w:rsidRPr="00823D34">
        <w:tab/>
        <w:t>Storage of information at different levels for example allele scores an</w:t>
      </w:r>
      <w:r w:rsidR="00116403">
        <w:t xml:space="preserve">d any rules for interpretation </w:t>
      </w:r>
      <w:r w:rsidRPr="00823D34">
        <w:t>behind the decision and links to the raw data (tiff files, bam files) that were produced. </w:t>
      </w:r>
    </w:p>
    <w:p w:rsidR="00DF1F17" w:rsidRPr="003265BF" w:rsidRDefault="00DF1F17" w:rsidP="00DF1F17">
      <w:pPr>
        <w:rPr>
          <w:shd w:val="pct15" w:color="auto" w:fill="FFFFFF"/>
        </w:rPr>
      </w:pPr>
    </w:p>
    <w:p w:rsidR="00DF1F17" w:rsidRPr="003265BF" w:rsidRDefault="00DF1F17" w:rsidP="00DF1F17">
      <w:pPr>
        <w:ind w:firstLine="567"/>
        <w:rPr>
          <w:shd w:val="pct15" w:color="auto" w:fill="FFFFFF"/>
        </w:rPr>
      </w:pPr>
      <w:r w:rsidRPr="003265BF">
        <w:t>(d)</w:t>
      </w:r>
      <w:r w:rsidRPr="003265BF">
        <w:tab/>
        <w:t>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w:t>
      </w:r>
    </w:p>
    <w:p w:rsidR="00DF1F17" w:rsidRPr="003265BF" w:rsidRDefault="00DF1F17" w:rsidP="00DF1F17">
      <w:pPr>
        <w:rPr>
          <w:shd w:val="pct15" w:color="auto" w:fill="FFFFFF"/>
        </w:rPr>
      </w:pPr>
    </w:p>
    <w:p w:rsidR="00DF1F17" w:rsidRPr="00832052" w:rsidRDefault="00DF1F17" w:rsidP="00DF1F17">
      <w:pPr>
        <w:ind w:firstLine="567"/>
        <w:rPr>
          <w:shd w:val="pct15" w:color="auto" w:fill="FFFFFF"/>
        </w:rPr>
      </w:pPr>
      <w:r w:rsidRPr="003265BF">
        <w:t>(e)</w:t>
      </w:r>
      <w:r w:rsidRPr="003265BF">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rsidR="00DF1F17" w:rsidRPr="00832052" w:rsidRDefault="00DF1F17" w:rsidP="00DF1F17">
      <w:pPr>
        <w:ind w:firstLine="567"/>
        <w:rPr>
          <w:shd w:val="pct15" w:color="auto" w:fill="FFFFFF"/>
        </w:rPr>
      </w:pPr>
    </w:p>
    <w:p w:rsidR="00DF1F17" w:rsidRPr="00832052" w:rsidRDefault="00DF1F17" w:rsidP="00DF1F17">
      <w:pPr>
        <w:ind w:firstLine="567"/>
        <w:rPr>
          <w:shd w:val="pct15" w:color="auto" w:fill="FFFFFF"/>
        </w:rPr>
      </w:pPr>
      <w:r w:rsidRPr="00832052">
        <w:t>(f)</w:t>
      </w:r>
      <w:r w:rsidRPr="00832052">
        <w:tab/>
        <w:t>Validation of the VCF and or BCF data against relevant specifications.</w:t>
      </w:r>
    </w:p>
    <w:p w:rsidR="00DF1F17" w:rsidRPr="00832052" w:rsidRDefault="00DF1F17" w:rsidP="00DF1F17">
      <w:pPr>
        <w:rPr>
          <w:shd w:val="pct15" w:color="auto" w:fill="FFFFFF"/>
        </w:rPr>
      </w:pPr>
    </w:p>
    <w:p w:rsidR="00DF1F17" w:rsidRPr="00832052" w:rsidRDefault="00DF1F17" w:rsidP="00DF1F17">
      <w:pPr>
        <w:ind w:firstLine="567"/>
        <w:rPr>
          <w:shd w:val="pct15" w:color="auto" w:fill="FFFFFF"/>
        </w:rPr>
      </w:pPr>
      <w:r w:rsidRPr="00832052">
        <w:t>(g)</w:t>
      </w:r>
      <w:r w:rsidRPr="00832052">
        <w:tab/>
        <w:t>Easy to share data, (e.g. API).</w:t>
      </w:r>
    </w:p>
    <w:p w:rsidR="00DF1F17" w:rsidRPr="00832052" w:rsidRDefault="00DF1F17" w:rsidP="00DF1F17"/>
    <w:p w:rsidR="00DF1F17" w:rsidRPr="00832052" w:rsidRDefault="00DF1F17" w:rsidP="00DF1F17">
      <w:pPr>
        <w:keepNext/>
        <w:ind w:left="567" w:hanging="567"/>
        <w:outlineLvl w:val="2"/>
        <w:rPr>
          <w:i/>
          <w:snapToGrid w:val="0"/>
        </w:rPr>
      </w:pPr>
      <w:bookmarkStart w:id="22" w:name="_Toc50577352"/>
      <w:r w:rsidRPr="00832052">
        <w:rPr>
          <w:i/>
          <w:snapToGrid w:val="0"/>
        </w:rPr>
        <w:t>4.2</w:t>
      </w:r>
      <w:r w:rsidRPr="00832052">
        <w:rPr>
          <w:i/>
          <w:snapToGrid w:val="0"/>
        </w:rPr>
        <w:tab/>
        <w:t>Requirements of the plant material</w:t>
      </w:r>
      <w:bookmarkEnd w:id="22"/>
    </w:p>
    <w:p w:rsidR="00DF1F17" w:rsidRPr="00832052" w:rsidRDefault="00DF1F17" w:rsidP="00DF1F17"/>
    <w:p w:rsidR="00DF1F17" w:rsidRPr="003265BF" w:rsidRDefault="00DF1F17" w:rsidP="00DF1F17">
      <w:pPr>
        <w:keepNext/>
      </w:pPr>
      <w:r w:rsidRPr="003265BF">
        <w:t>The source, type of the material and how many samples to be stored and shared in the database should be considered.</w:t>
      </w:r>
    </w:p>
    <w:p w:rsidR="00DF1F17" w:rsidRPr="003265BF" w:rsidRDefault="00DF1F17" w:rsidP="00DF1F17"/>
    <w:p w:rsidR="00DF1F17" w:rsidRPr="003265BF" w:rsidRDefault="00DF1F17" w:rsidP="00DF1F17">
      <w:pPr>
        <w:keepNext/>
        <w:ind w:left="1134" w:hanging="567"/>
        <w:outlineLvl w:val="3"/>
      </w:pPr>
      <w:r w:rsidRPr="003265BF">
        <w:t>4.2.1</w:t>
      </w:r>
      <w:r w:rsidRPr="003265BF">
        <w:tab/>
        <w:t>Source of plant material</w:t>
      </w:r>
    </w:p>
    <w:p w:rsidR="00DF1F17" w:rsidRPr="003265BF" w:rsidRDefault="00DF1F17" w:rsidP="00DF1F17"/>
    <w:p w:rsidR="00DF1F17" w:rsidRPr="00832052" w:rsidRDefault="00DF1F17" w:rsidP="00DF1F17">
      <w:r w:rsidRPr="003265BF">
        <w:t>The plant material to be analyzed should be an authentic, representative sample of the variety and, when possible, should be obtained from the sample of the variety used for examination for the purposes of Plant Breeders’ Rights or for official registration.  Use of these samples will require the permission of the relevant authority, breeder and/or maintainer, as appropriate.  The plant material from which the samples are taken should be traceable in case some of the samples subsequently prove not to be representative of the variety.</w:t>
      </w:r>
    </w:p>
    <w:p w:rsidR="00DF1F17" w:rsidRPr="00832052" w:rsidRDefault="00DF1F17" w:rsidP="00DF1F17"/>
    <w:p w:rsidR="00DF1F17" w:rsidRPr="00832052" w:rsidRDefault="00DF1F17" w:rsidP="00DF1F17">
      <w:pPr>
        <w:keepNext/>
        <w:keepLines/>
        <w:ind w:left="1134" w:hanging="567"/>
        <w:outlineLvl w:val="3"/>
      </w:pPr>
      <w:r w:rsidRPr="00832052">
        <w:t>4.2.2</w:t>
      </w:r>
      <w:r w:rsidRPr="00832052">
        <w:tab/>
        <w:t>Type of plant material</w:t>
      </w:r>
    </w:p>
    <w:p w:rsidR="00DF1F17" w:rsidRPr="00832052" w:rsidRDefault="00DF1F17" w:rsidP="00DF1F17">
      <w:pPr>
        <w:keepNext/>
        <w:keepLines/>
      </w:pPr>
    </w:p>
    <w:p w:rsidR="00DF1F17" w:rsidRPr="00832052" w:rsidRDefault="00DF1F17" w:rsidP="00DF1F17">
      <w:pPr>
        <w:keepNext/>
        <w:keepLines/>
      </w:pPr>
      <w:r w:rsidRPr="00832052">
        <w:t>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documented. Furthermore, it should be verified that the sampling and extraction methods produce consistent results by DNA analysis.</w:t>
      </w:r>
    </w:p>
    <w:p w:rsidR="00DF1F17" w:rsidRPr="00832052" w:rsidRDefault="00DF1F17" w:rsidP="00DF1F17"/>
    <w:p w:rsidR="00DF1F17" w:rsidRPr="00832052" w:rsidRDefault="00DF1F17" w:rsidP="00DF1F17">
      <w:pPr>
        <w:keepNext/>
        <w:ind w:left="1134" w:hanging="567"/>
        <w:outlineLvl w:val="3"/>
      </w:pPr>
      <w:r w:rsidRPr="00832052">
        <w:t>4.2.3</w:t>
      </w:r>
      <w:r w:rsidRPr="00832052">
        <w:tab/>
        <w:t>Sample size and type (bulk or individual samples)</w:t>
      </w:r>
    </w:p>
    <w:p w:rsidR="00DF1F17" w:rsidRPr="00832052" w:rsidRDefault="00DF1F17" w:rsidP="00DF1F17">
      <w:pPr>
        <w:keepNext/>
      </w:pPr>
    </w:p>
    <w:p w:rsidR="00DF1F17" w:rsidRPr="003265BF" w:rsidRDefault="00DF1F17" w:rsidP="00DF1F17">
      <w:r w:rsidRPr="003265BF">
        <w:t xml:space="preserve">It is essential that the samples taken for analysis are representative of the variety.  Consideration should be given to the features of propagation (see the General Introduction).  </w:t>
      </w:r>
    </w:p>
    <w:p w:rsidR="00DF1F17" w:rsidRPr="003265BF" w:rsidRDefault="00DF1F17" w:rsidP="00DF1F17"/>
    <w:p w:rsidR="00DF1F17" w:rsidRPr="003265BF" w:rsidRDefault="00DF1F17" w:rsidP="00DF1F17">
      <w:pPr>
        <w:keepNext/>
        <w:ind w:left="1134" w:hanging="567"/>
        <w:outlineLvl w:val="3"/>
      </w:pPr>
      <w:r w:rsidRPr="003265BF">
        <w:t>4.2.4</w:t>
      </w:r>
      <w:r w:rsidRPr="003265BF">
        <w:tab/>
        <w:t>DNA reference sample</w:t>
      </w:r>
    </w:p>
    <w:p w:rsidR="00DF1F17" w:rsidRPr="003265BF" w:rsidRDefault="00DF1F17" w:rsidP="00DF1F17"/>
    <w:p w:rsidR="00DF1F17" w:rsidRPr="003265BF" w:rsidRDefault="00DF1F17" w:rsidP="00DF1F17">
      <w:r w:rsidRPr="003265BF">
        <w:rPr>
          <w:spacing w:val="-2"/>
        </w:rPr>
        <w:t>A DNA reference collection may</w:t>
      </w:r>
      <w:r w:rsidRPr="003265BF">
        <w:t xml:space="preserve"> </w:t>
      </w:r>
      <w:r w:rsidRPr="003265BF">
        <w:rPr>
          <w:spacing w:val="-2"/>
        </w:rPr>
        <w:t xml:space="preserve">be created from the plant material sampled. </w:t>
      </w:r>
      <w:r w:rsidRPr="003265BF">
        <w:t>The method for sampling should follow recommended procedures and quality criteria for DNA extraction should be set. Both need to be documented.</w:t>
      </w:r>
    </w:p>
    <w:p w:rsidR="00DF1F17" w:rsidRPr="003265BF" w:rsidRDefault="00DF1F17" w:rsidP="00DF1F17"/>
    <w:p w:rsidR="00DF1F17" w:rsidRPr="00832052" w:rsidRDefault="00DF1F17" w:rsidP="00DF1F17">
      <w:pPr>
        <w:rPr>
          <w:spacing w:val="-2"/>
        </w:rPr>
      </w:pPr>
      <w:r w:rsidRPr="003265BF">
        <w:rPr>
          <w:spacing w:val="-2"/>
        </w:rPr>
        <w:t>The DNA samples should be stored in such a way as to prevent degradation (e.g. storing it at -80°C). The transfer</w:t>
      </w:r>
      <w:r w:rsidRPr="00832052">
        <w:rPr>
          <w:spacing w:val="-2"/>
        </w:rPr>
        <w:t xml:space="preserve"> of DNA reference samples is described in document TGP/5: section 1.</w:t>
      </w:r>
    </w:p>
    <w:p w:rsidR="00DF1F17" w:rsidRPr="00832052" w:rsidRDefault="00DF1F17" w:rsidP="00DF1F17"/>
    <w:p w:rsidR="00DF1F17" w:rsidRPr="00832052" w:rsidRDefault="00DF1F17" w:rsidP="00DF1F17">
      <w:pPr>
        <w:keepNext/>
        <w:ind w:left="567" w:hanging="567"/>
        <w:outlineLvl w:val="2"/>
        <w:rPr>
          <w:i/>
          <w:snapToGrid w:val="0"/>
          <w:shd w:val="pct15" w:color="auto" w:fill="FFFFFF"/>
        </w:rPr>
      </w:pPr>
      <w:bookmarkStart w:id="23" w:name="_Toc50577353"/>
      <w:r w:rsidRPr="00832052">
        <w:rPr>
          <w:i/>
          <w:snapToGrid w:val="0"/>
        </w:rPr>
        <w:t>4.3</w:t>
      </w:r>
      <w:r w:rsidRPr="00832052">
        <w:rPr>
          <w:i/>
          <w:snapToGrid w:val="0"/>
        </w:rPr>
        <w:tab/>
        <w:t>Processing of sequence data</w:t>
      </w:r>
      <w:bookmarkEnd w:id="23"/>
    </w:p>
    <w:p w:rsidR="00DF1F17" w:rsidRPr="00832052" w:rsidRDefault="00DF1F17" w:rsidP="00DF1F17">
      <w:pPr>
        <w:keepNext/>
        <w:rPr>
          <w:u w:val="single"/>
          <w:shd w:val="pct15" w:color="auto" w:fill="FFFFFF"/>
        </w:rPr>
      </w:pPr>
    </w:p>
    <w:p w:rsidR="00DF1F17" w:rsidRPr="00832052" w:rsidRDefault="00DF1F17" w:rsidP="00DF1F17">
      <w:pPr>
        <w:rPr>
          <w:shd w:val="pct15" w:color="auto" w:fill="FFFFFF"/>
        </w:rPr>
      </w:pPr>
      <w:r w:rsidRPr="00832052">
        <w:t>A detailed log of the data processing pipeline may include:</w:t>
      </w:r>
    </w:p>
    <w:p w:rsidR="00DF1F17" w:rsidRPr="00832052" w:rsidRDefault="00DF1F17" w:rsidP="00DF1F17">
      <w:pPr>
        <w:rPr>
          <w:u w:val="single"/>
          <w:shd w:val="pct15" w:color="auto" w:fill="FFFFFF"/>
        </w:rPr>
      </w:pPr>
    </w:p>
    <w:p w:rsidR="00DF1F17" w:rsidRPr="00832052" w:rsidRDefault="00DF1F17" w:rsidP="00DF1F17">
      <w:pPr>
        <w:ind w:left="1134" w:hanging="567"/>
        <w:rPr>
          <w:shd w:val="pct15" w:color="auto" w:fill="FFFFFF"/>
        </w:rPr>
      </w:pPr>
      <w:r w:rsidRPr="00832052">
        <w:t>(a)</w:t>
      </w:r>
      <w:r w:rsidRPr="00832052">
        <w:tab/>
        <w:t>type and versions of tools;</w:t>
      </w:r>
    </w:p>
    <w:p w:rsidR="00DF1F17" w:rsidRPr="00832052" w:rsidRDefault="00DF1F17" w:rsidP="00DF1F17">
      <w:pPr>
        <w:ind w:left="1134" w:hanging="567"/>
        <w:rPr>
          <w:shd w:val="pct15" w:color="auto" w:fill="FFFFFF"/>
        </w:rPr>
      </w:pPr>
      <w:r w:rsidRPr="00832052">
        <w:t>(b)</w:t>
      </w:r>
      <w:r w:rsidRPr="00832052">
        <w:tab/>
        <w:t>command line used for the tool including thresholds;</w:t>
      </w:r>
    </w:p>
    <w:p w:rsidR="00DF1F17" w:rsidRPr="00832052" w:rsidRDefault="00DF1F17" w:rsidP="00DF1F17">
      <w:pPr>
        <w:ind w:left="1134" w:hanging="567"/>
        <w:rPr>
          <w:shd w:val="pct15" w:color="auto" w:fill="FFFFFF"/>
        </w:rPr>
      </w:pPr>
      <w:r w:rsidRPr="00832052">
        <w:t>(c)</w:t>
      </w:r>
      <w:r w:rsidRPr="00832052">
        <w:tab/>
        <w:t>reproducibility counts:</w:t>
      </w:r>
    </w:p>
    <w:p w:rsidR="00DF1F17" w:rsidRPr="00832052" w:rsidRDefault="00DF1F17" w:rsidP="00DF1F17">
      <w:pPr>
        <w:ind w:left="1134" w:hanging="567"/>
        <w:rPr>
          <w:shd w:val="pct15" w:color="auto" w:fill="FFFFFF"/>
        </w:rPr>
      </w:pPr>
      <w:r w:rsidRPr="00832052">
        <w:t>(d)</w:t>
      </w:r>
      <w:r w:rsidRPr="00832052">
        <w:tab/>
        <w:t>possibility for sharing the data and process;</w:t>
      </w:r>
    </w:p>
    <w:p w:rsidR="00DF1F17" w:rsidRPr="00832052" w:rsidRDefault="00DF1F17" w:rsidP="00DF1F17">
      <w:pPr>
        <w:ind w:left="1134" w:hanging="567"/>
        <w:rPr>
          <w:shd w:val="pct15" w:color="auto" w:fill="FFFFFF"/>
        </w:rPr>
      </w:pPr>
      <w:r w:rsidRPr="00832052">
        <w:t>(e)</w:t>
      </w:r>
      <w:r w:rsidRPr="00832052">
        <w:tab/>
        <w:t>raw alignment data (BAM or CRAM files) should be stored where possible;</w:t>
      </w:r>
    </w:p>
    <w:p w:rsidR="00DF1F17" w:rsidRPr="00832052" w:rsidRDefault="00DF1F17" w:rsidP="00DF1F17">
      <w:pPr>
        <w:ind w:left="1134" w:hanging="567"/>
        <w:rPr>
          <w:shd w:val="pct15" w:color="auto" w:fill="FFFFFF"/>
        </w:rPr>
      </w:pPr>
      <w:r w:rsidRPr="00832052">
        <w:t>(f)</w:t>
      </w:r>
      <w:r w:rsidRPr="00832052">
        <w:tab/>
        <w:t>multi-sample VCF files are not suitable, one VCF file per variety must be present;</w:t>
      </w:r>
    </w:p>
    <w:p w:rsidR="00DF1F17" w:rsidRPr="00832052" w:rsidRDefault="00DF1F17" w:rsidP="00DF1F17">
      <w:pPr>
        <w:ind w:left="1134" w:hanging="567"/>
        <w:rPr>
          <w:shd w:val="pct15" w:color="auto" w:fill="FFFFFF"/>
        </w:rPr>
      </w:pPr>
      <w:r w:rsidRPr="00832052">
        <w:t>(g)</w:t>
      </w:r>
      <w:r w:rsidRPr="00832052">
        <w:tab/>
        <w:t>if VCF files are stored, all positions (both variants &amp; non-variants) and their depth should be stored;</w:t>
      </w:r>
    </w:p>
    <w:p w:rsidR="00DF1F17" w:rsidRPr="00832052" w:rsidRDefault="00DF1F17" w:rsidP="00DF1F17">
      <w:pPr>
        <w:ind w:left="1134" w:hanging="567"/>
        <w:rPr>
          <w:shd w:val="pct15" w:color="auto" w:fill="FFFFFF"/>
        </w:rPr>
      </w:pPr>
      <w:r w:rsidRPr="003265BF">
        <w:t>(h)</w:t>
      </w:r>
      <w:r w:rsidRPr="003265BF">
        <w:tab/>
        <w:t>both heuristic and probabilistic approaches should be considered and compared for detection</w:t>
      </w:r>
      <w:r w:rsidRPr="00832052">
        <w:t xml:space="preserve"> methods;</w:t>
      </w:r>
    </w:p>
    <w:p w:rsidR="00DF1F17" w:rsidRPr="00832052" w:rsidRDefault="00DF1F17" w:rsidP="00DF1F17">
      <w:pPr>
        <w:ind w:left="1134" w:hanging="567"/>
        <w:rPr>
          <w:shd w:val="pct15" w:color="auto" w:fill="FFFFFF"/>
        </w:rPr>
      </w:pPr>
      <w:r w:rsidRPr="00832052">
        <w:t>(i)</w:t>
      </w:r>
      <w:r w:rsidRPr="00832052">
        <w:tab/>
        <w:t>databases should facilitate input and output of variant call data in standardized format (VCF or BCF);</w:t>
      </w:r>
    </w:p>
    <w:p w:rsidR="00DF1F17" w:rsidRPr="00832052" w:rsidRDefault="00DF1F17" w:rsidP="00DF1F17">
      <w:pPr>
        <w:ind w:left="1134" w:hanging="567"/>
        <w:rPr>
          <w:shd w:val="pct15" w:color="auto" w:fill="FFFFFF"/>
        </w:rPr>
      </w:pPr>
      <w:r w:rsidRPr="00832052">
        <w:t>(j)</w:t>
      </w:r>
      <w:r w:rsidRPr="00832052">
        <w:tab/>
        <w:t>the data processing pipeline should result in a detailed log file which should be stored in conjunction to the variant call data;</w:t>
      </w:r>
    </w:p>
    <w:p w:rsidR="00DF1F17" w:rsidRPr="00832052" w:rsidRDefault="00DF1F17" w:rsidP="00DF1F17">
      <w:pPr>
        <w:ind w:left="1134" w:hanging="567"/>
        <w:rPr>
          <w:shd w:val="pct15" w:color="auto" w:fill="FFFFFF"/>
        </w:rPr>
      </w:pPr>
      <w:r w:rsidRPr="00832052">
        <w:t>(k)</w:t>
      </w:r>
      <w:r w:rsidRPr="00832052">
        <w:tab/>
        <w:t>if possible, raw data should be stored so that data processing can be repeated with new or updated tools; and</w:t>
      </w:r>
    </w:p>
    <w:p w:rsidR="00DF1F17" w:rsidRPr="00832052" w:rsidRDefault="00DF1F17" w:rsidP="00DF1F17">
      <w:pPr>
        <w:ind w:left="1134" w:hanging="567"/>
        <w:rPr>
          <w:shd w:val="pct15" w:color="auto" w:fill="FFFFFF"/>
        </w:rPr>
      </w:pPr>
      <w:r w:rsidRPr="00832052">
        <w:t>(l)</w:t>
      </w:r>
      <w:r w:rsidRPr="00832052">
        <w:tab/>
        <w:t>a p-value or uncertainty for a given allele should be stored.</w:t>
      </w:r>
    </w:p>
    <w:p w:rsidR="00DF1F17" w:rsidRPr="00832052" w:rsidRDefault="00DF1F17" w:rsidP="00DF1F17">
      <w:pPr>
        <w:rPr>
          <w:shd w:val="pct15" w:color="auto" w:fill="FFFFFF"/>
        </w:rPr>
      </w:pPr>
    </w:p>
    <w:p w:rsidR="00DF1F17" w:rsidRPr="00832052" w:rsidRDefault="00DF1F17" w:rsidP="00806AB4">
      <w:pPr>
        <w:keepNext/>
        <w:ind w:left="567" w:hanging="567"/>
        <w:outlineLvl w:val="2"/>
        <w:rPr>
          <w:i/>
          <w:snapToGrid w:val="0"/>
        </w:rPr>
      </w:pPr>
      <w:bookmarkStart w:id="24" w:name="_Toc50577354"/>
      <w:r w:rsidRPr="00832052">
        <w:rPr>
          <w:i/>
          <w:snapToGrid w:val="0"/>
        </w:rPr>
        <w:t xml:space="preserve">4.4 </w:t>
      </w:r>
      <w:r w:rsidRPr="00832052">
        <w:rPr>
          <w:i/>
          <w:snapToGrid w:val="0"/>
        </w:rPr>
        <w:tab/>
        <w:t>Type of database</w:t>
      </w:r>
      <w:bookmarkEnd w:id="24"/>
    </w:p>
    <w:p w:rsidR="00DF1F17" w:rsidRPr="00832052" w:rsidRDefault="00DF1F17" w:rsidP="00806AB4">
      <w:pPr>
        <w:keepNext/>
      </w:pPr>
    </w:p>
    <w:p w:rsidR="00DF1F17" w:rsidRPr="00832052" w:rsidRDefault="00DF1F17" w:rsidP="00DF1F17">
      <w:pPr>
        <w:keepNext/>
      </w:pPr>
      <w:r w:rsidRPr="00832052">
        <w:lastRenderedPageBreak/>
        <w:t xml:space="preserve">There are many ways in which molecular data can be stored, therefore, it is important that the database </w:t>
      </w:r>
      <w:r w:rsidRPr="003265BF">
        <w:t>structure is developed to be compatible with all intended uses of the data.</w:t>
      </w:r>
      <w:r w:rsidRPr="00832052">
        <w:t xml:space="preserve"> </w:t>
      </w:r>
    </w:p>
    <w:p w:rsidR="00DF1F17" w:rsidRPr="00832052" w:rsidRDefault="00DF1F17" w:rsidP="00DF1F17">
      <w:bookmarkStart w:id="25" w:name="_Toc110052498"/>
    </w:p>
    <w:p w:rsidR="00DF1F17" w:rsidRPr="00832052" w:rsidRDefault="00DF1F17" w:rsidP="00DF1F17">
      <w:pPr>
        <w:keepNext/>
        <w:ind w:left="567" w:hanging="567"/>
        <w:outlineLvl w:val="2"/>
        <w:rPr>
          <w:i/>
          <w:snapToGrid w:val="0"/>
        </w:rPr>
      </w:pPr>
      <w:bookmarkStart w:id="26" w:name="_Toc50577355"/>
      <w:r w:rsidRPr="00832052">
        <w:rPr>
          <w:i/>
          <w:snapToGrid w:val="0"/>
        </w:rPr>
        <w:t xml:space="preserve">4.5 </w:t>
      </w:r>
      <w:r w:rsidRPr="00832052">
        <w:rPr>
          <w:i/>
          <w:snapToGrid w:val="0"/>
        </w:rPr>
        <w:tab/>
        <w:t>Database</w:t>
      </w:r>
      <w:bookmarkEnd w:id="25"/>
      <w:r w:rsidRPr="00832052">
        <w:rPr>
          <w:i/>
          <w:snapToGrid w:val="0"/>
        </w:rPr>
        <w:t xml:space="preserve"> model</w:t>
      </w:r>
      <w:bookmarkEnd w:id="26"/>
    </w:p>
    <w:p w:rsidR="00DF1F17" w:rsidRPr="00832052" w:rsidRDefault="00DF1F17" w:rsidP="00DF1F17">
      <w:pPr>
        <w:rPr>
          <w:i/>
        </w:rPr>
      </w:pPr>
    </w:p>
    <w:p w:rsidR="00DF1F17" w:rsidRPr="00832052" w:rsidRDefault="00DF1F17" w:rsidP="00DF1F17">
      <w:r w:rsidRPr="00832052">
        <w:t>The database model should be defined by IT database experts in conjunction with the users of the database. As a minimum the database model should contain six core objects:  Species;  Variety;  Marker detection method;  Marker;  Locus;  and Allele. For variants obtained from sequencing data, VCF files can be stored in a relational or no SQL database. In this case, each database record for a variant has a defined genome version, chromosome, position, reference allele.</w:t>
      </w:r>
    </w:p>
    <w:p w:rsidR="00DF1F17" w:rsidRPr="00832052" w:rsidRDefault="00DF1F17" w:rsidP="00DF1F17"/>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F1F17" w:rsidRPr="00832052" w:rsidTr="00203B8B">
        <w:tc>
          <w:tcPr>
            <w:tcW w:w="9639" w:type="dxa"/>
          </w:tcPr>
          <w:p w:rsidR="00DF1F17" w:rsidRPr="00832052" w:rsidRDefault="00DF1F17" w:rsidP="00DF1F17">
            <w:r w:rsidRPr="00832052">
              <w:rPr>
                <w:noProof/>
              </w:rPr>
              <w:drawing>
                <wp:inline distT="0" distB="0" distL="0" distR="0" wp14:anchorId="18F14F3F" wp14:editId="7C79EDD6">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DF1F17" w:rsidRPr="00832052" w:rsidTr="00203B8B">
        <w:tc>
          <w:tcPr>
            <w:tcW w:w="9639" w:type="dxa"/>
          </w:tcPr>
          <w:p w:rsidR="00DF1F17" w:rsidRPr="00832052" w:rsidRDefault="00DF1F17" w:rsidP="00DF1F17">
            <w:pPr>
              <w:rPr>
                <w:noProof/>
                <w:lang w:eastAsia="es-ES_tradnl"/>
              </w:rPr>
            </w:pPr>
          </w:p>
        </w:tc>
      </w:tr>
    </w:tbl>
    <w:p w:rsidR="00DF1F17" w:rsidRPr="00832052" w:rsidRDefault="00DF1F17" w:rsidP="00DF1F17">
      <w:pPr>
        <w:keepNext/>
        <w:ind w:left="567" w:hanging="567"/>
        <w:outlineLvl w:val="2"/>
        <w:rPr>
          <w:i/>
          <w:snapToGrid w:val="0"/>
        </w:rPr>
      </w:pPr>
      <w:bookmarkStart w:id="27" w:name="_Toc50577356"/>
      <w:r w:rsidRPr="00832052">
        <w:rPr>
          <w:i/>
          <w:snapToGrid w:val="0"/>
        </w:rPr>
        <w:t>4.6</w:t>
      </w:r>
      <w:r w:rsidRPr="00832052">
        <w:rPr>
          <w:i/>
          <w:snapToGrid w:val="0"/>
        </w:rPr>
        <w:tab/>
        <w:t>Data Dictionary</w:t>
      </w:r>
      <w:bookmarkEnd w:id="27"/>
    </w:p>
    <w:p w:rsidR="00DF1F17" w:rsidRPr="00832052" w:rsidRDefault="00DF1F17" w:rsidP="00DF1F17">
      <w:pPr>
        <w:keepNext/>
      </w:pPr>
    </w:p>
    <w:p w:rsidR="00DF1F17" w:rsidRPr="00832052" w:rsidRDefault="00DF1F17" w:rsidP="00DF1F17">
      <w:pPr>
        <w:keepNext/>
      </w:pPr>
      <w:r w:rsidRPr="00832052">
        <w:t>4.6.1</w:t>
      </w:r>
      <w:r w:rsidRPr="00832052">
        <w:tab/>
        <w:t>In a database, each of the objects becomes a table in which fields are defined.  For example:</w:t>
      </w:r>
    </w:p>
    <w:p w:rsidR="00DF1F17" w:rsidRPr="00832052" w:rsidRDefault="00DF1F17" w:rsidP="00DF1F17"/>
    <w:p w:rsidR="00DF1F17" w:rsidRPr="00832052" w:rsidRDefault="00DF1F17" w:rsidP="00DF1F17">
      <w:pPr>
        <w:ind w:firstLine="567"/>
      </w:pPr>
      <w:r w:rsidRPr="00832052">
        <w:t>(a)</w:t>
      </w:r>
      <w:r w:rsidRPr="00832052">
        <w:tab/>
        <w:t>Marker type: indicates the code or name of the technique or type of marker used, e.g. SSR, SNP, etc.</w:t>
      </w:r>
    </w:p>
    <w:p w:rsidR="00DF1F17" w:rsidRPr="00832052" w:rsidRDefault="00DF1F17" w:rsidP="00DF1F17"/>
    <w:p w:rsidR="00DF1F17" w:rsidRPr="003265BF" w:rsidRDefault="00DF1F17" w:rsidP="00DF1F17">
      <w:pPr>
        <w:ind w:firstLine="567"/>
      </w:pPr>
      <w:r w:rsidRPr="003265BF">
        <w:t>(b)</w:t>
      </w:r>
      <w:r w:rsidRPr="003265BF">
        <w:tab/>
        <w:t xml:space="preserve">Reference genome position or Locus code: Preferably, a genome assembly version, chromosome and position should be provided if a reference genome is available for the species concerned, e.g. SL2.50ch05:63309763 for tomato </w:t>
      </w:r>
      <w:r w:rsidRPr="003265BF">
        <w:rPr>
          <w:i/>
        </w:rPr>
        <w:t>Solanum lycopersicum</w:t>
      </w:r>
      <w:r w:rsidRPr="003265BF">
        <w:t xml:space="preserve"> assembly version 2.50 on chromosome 5 position 63309763. If no reference genome is available or the location is unknown, a name or code of the locus for the species concerned can be used, e.g. gwm 149, A2, etc.</w:t>
      </w:r>
    </w:p>
    <w:p w:rsidR="00DF1F17" w:rsidRPr="003265BF" w:rsidRDefault="00DF1F17" w:rsidP="00DF1F17"/>
    <w:p w:rsidR="00DF1F17" w:rsidRPr="003265BF" w:rsidRDefault="00DF1F17" w:rsidP="00DF1F17">
      <w:pPr>
        <w:ind w:firstLine="567"/>
      </w:pPr>
      <w:r w:rsidRPr="003265BF">
        <w:t>(c)</w:t>
      </w:r>
      <w:r w:rsidRPr="003265BF">
        <w:tab/>
        <w:t>Genotype: For SNP profiles, the allele composition of the SNP or MNP should be given, e.g. A/T or A/A. For other techniques, genotype indicates the name or code of the allele of a given locus for the species concerned, e.g. 1, 123, etc.</w:t>
      </w:r>
    </w:p>
    <w:p w:rsidR="00DF1F17" w:rsidRPr="003265BF" w:rsidRDefault="00DF1F17" w:rsidP="00DF1F17"/>
    <w:p w:rsidR="00DF1F17" w:rsidRPr="003265BF" w:rsidRDefault="00DF1F17" w:rsidP="00DF1F17">
      <w:pPr>
        <w:ind w:firstLine="567"/>
      </w:pPr>
      <w:r w:rsidRPr="003265BF">
        <w:t>(d)</w:t>
      </w:r>
      <w:r w:rsidRPr="003265BF">
        <w:tab/>
        <w:t>Allele depths or Data value: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DF1F17" w:rsidRPr="003265BF" w:rsidRDefault="00DF1F17" w:rsidP="00DF1F17"/>
    <w:p w:rsidR="00DF1F17" w:rsidRPr="00832052" w:rsidRDefault="00DF1F17" w:rsidP="00DF1F17">
      <w:pPr>
        <w:ind w:firstLine="567"/>
        <w:rPr>
          <w:strike/>
        </w:rPr>
      </w:pPr>
      <w:r w:rsidRPr="003265BF">
        <w:t>(e)</w:t>
      </w:r>
      <w:r w:rsidRPr="003265BF">
        <w:tab/>
        <w:t>Variety: Variety denomination or breeder’s reference: the variety is the object for which the data have been obtained.</w:t>
      </w:r>
    </w:p>
    <w:p w:rsidR="00DF1F17" w:rsidRPr="00832052" w:rsidRDefault="00DF1F17" w:rsidP="00DF1F17">
      <w:pPr>
        <w:ind w:firstLine="567"/>
        <w:rPr>
          <w:strike/>
        </w:rPr>
      </w:pPr>
    </w:p>
    <w:p w:rsidR="00DF1F17" w:rsidRPr="003265BF" w:rsidRDefault="00DF1F17" w:rsidP="00DF1F17">
      <w:pPr>
        <w:ind w:firstLine="567"/>
      </w:pPr>
      <w:r w:rsidRPr="003265BF">
        <w:t>(f)</w:t>
      </w:r>
      <w:r w:rsidRPr="003265BF">
        <w:tab/>
        <w:t>Type of variety: e.g. Inbred Line or Hybrid</w:t>
      </w:r>
    </w:p>
    <w:p w:rsidR="00DF1F17" w:rsidRPr="003265BF" w:rsidRDefault="00DF1F17" w:rsidP="00DF1F17"/>
    <w:p w:rsidR="00DF1F17" w:rsidRPr="003265BF" w:rsidRDefault="00DF1F17" w:rsidP="00DF1F17">
      <w:pPr>
        <w:ind w:firstLine="567"/>
      </w:pPr>
      <w:r w:rsidRPr="003265BF">
        <w:t>(g)</w:t>
      </w:r>
      <w:r w:rsidRPr="003265BF">
        <w:tab/>
        <w:t>Species: the species is indicated by the botanical name or the national common name, which sometimes also refers to the type of variety (e.g. use, winter/spring type etc.).  The use of the UPOV code is recommended to avoid problems of synonyms.</w:t>
      </w:r>
    </w:p>
    <w:p w:rsidR="00DF1F17" w:rsidRPr="003265BF" w:rsidRDefault="00DF1F17" w:rsidP="00DF1F17"/>
    <w:p w:rsidR="00DF1F17" w:rsidRPr="003265BF" w:rsidRDefault="00DF1F17" w:rsidP="00DF1F17">
      <w:r w:rsidRPr="003265BF">
        <w:t>4.6.2</w:t>
      </w:r>
      <w:r w:rsidRPr="003265BF">
        <w:tab/>
        <w:t>In each table, the number of fields, their name and definition, the possible values and the rules to be followed, need to be defined in the “data dictionary”.</w:t>
      </w:r>
    </w:p>
    <w:p w:rsidR="00DF1F17" w:rsidRPr="003265BF" w:rsidRDefault="00DF1F17" w:rsidP="00DF1F17"/>
    <w:p w:rsidR="00DF1F17" w:rsidRPr="003265BF" w:rsidRDefault="00DF1F17" w:rsidP="00DF1F17">
      <w:pPr>
        <w:keepNext/>
        <w:ind w:left="567" w:hanging="567"/>
        <w:outlineLvl w:val="2"/>
        <w:rPr>
          <w:i/>
          <w:snapToGrid w:val="0"/>
        </w:rPr>
      </w:pPr>
      <w:bookmarkStart w:id="28" w:name="_Toc50577357"/>
      <w:r w:rsidRPr="003265BF">
        <w:rPr>
          <w:i/>
          <w:snapToGrid w:val="0"/>
        </w:rPr>
        <w:t>4.7</w:t>
      </w:r>
      <w:r w:rsidRPr="003265BF">
        <w:rPr>
          <w:i/>
          <w:snapToGrid w:val="0"/>
        </w:rPr>
        <w:tab/>
        <w:t>Data access – ownership</w:t>
      </w:r>
      <w:bookmarkEnd w:id="28"/>
    </w:p>
    <w:p w:rsidR="00DF1F17" w:rsidRPr="003265BF" w:rsidRDefault="00DF1F17" w:rsidP="00DF1F17">
      <w:pPr>
        <w:keepNext/>
      </w:pPr>
    </w:p>
    <w:p w:rsidR="00DF1F17" w:rsidRPr="003265BF" w:rsidRDefault="00DF1F17" w:rsidP="00DF1F17">
      <w:pPr>
        <w:rPr>
          <w:u w:val="double"/>
        </w:rPr>
      </w:pPr>
      <w:r w:rsidRPr="003265BF">
        <w:t>It is recommended that all matters concerning ownership of data and access to data in the database be addressed at the beginning of any work.</w:t>
      </w:r>
    </w:p>
    <w:p w:rsidR="00DF1F17" w:rsidRPr="003265BF" w:rsidRDefault="00DF1F17" w:rsidP="00DF1F17"/>
    <w:p w:rsidR="00DF1F17" w:rsidRPr="003265BF" w:rsidRDefault="00DF1F17" w:rsidP="00DF1F17">
      <w:pPr>
        <w:keepNext/>
        <w:outlineLvl w:val="1"/>
      </w:pPr>
      <w:bookmarkStart w:id="29" w:name="_Toc50577358"/>
      <w:r w:rsidRPr="003265BF">
        <w:t>5.</w:t>
      </w:r>
      <w:r w:rsidRPr="003265BF">
        <w:tab/>
        <w:t>Data Exchange</w:t>
      </w:r>
      <w:bookmarkEnd w:id="29"/>
    </w:p>
    <w:p w:rsidR="00DF1F17" w:rsidRPr="003265BF" w:rsidRDefault="00DF1F17" w:rsidP="00DF1F17">
      <w:pPr>
        <w:rPr>
          <w:u w:val="single"/>
        </w:rPr>
      </w:pPr>
    </w:p>
    <w:p w:rsidR="00DF1F17" w:rsidRPr="003265BF" w:rsidRDefault="00DF1F17" w:rsidP="00DF1F17">
      <w:pPr>
        <w:keepNext/>
        <w:ind w:left="567" w:hanging="567"/>
        <w:outlineLvl w:val="2"/>
        <w:rPr>
          <w:i/>
          <w:snapToGrid w:val="0"/>
        </w:rPr>
      </w:pPr>
      <w:bookmarkStart w:id="30" w:name="_Toc50577359"/>
      <w:r w:rsidRPr="003265BF">
        <w:rPr>
          <w:i/>
          <w:snapToGrid w:val="0"/>
        </w:rPr>
        <w:t>5.1</w:t>
      </w:r>
      <w:r w:rsidRPr="003265BF">
        <w:rPr>
          <w:i/>
          <w:snapToGrid w:val="0"/>
        </w:rPr>
        <w:tab/>
        <w:t>Data exchange scenarios</w:t>
      </w:r>
      <w:bookmarkEnd w:id="30"/>
    </w:p>
    <w:p w:rsidR="00DF1F17" w:rsidRPr="003265BF" w:rsidRDefault="00DF1F17" w:rsidP="00DF1F17">
      <w:pPr>
        <w:rPr>
          <w:u w:val="single"/>
        </w:rPr>
      </w:pPr>
    </w:p>
    <w:p w:rsidR="00DF1F17" w:rsidRPr="003265BF" w:rsidRDefault="00DF1F17" w:rsidP="00DF1F17">
      <w:pPr>
        <w:rPr>
          <w:u w:val="double"/>
        </w:rPr>
      </w:pPr>
      <w:r w:rsidRPr="003265BF">
        <w:t xml:space="preserve">For cooperation purposes, the data model should allow different types of scenarios including 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31" w:name="_Hlk39832837"/>
      <w:r w:rsidRPr="003265BF">
        <w:t>D</w:t>
      </w:r>
      <w:r w:rsidRPr="003265BF">
        <w:rPr>
          <w:iCs/>
        </w:rPr>
        <w:t>ata exchange scenarios and data transfer methods.</w:t>
      </w:r>
      <w:bookmarkEnd w:id="31"/>
    </w:p>
    <w:p w:rsidR="00DF1F17" w:rsidRPr="003265BF" w:rsidRDefault="00DF1F17" w:rsidP="00DF1F17"/>
    <w:p w:rsidR="00DF1F17" w:rsidRPr="003265BF" w:rsidRDefault="00DF1F17" w:rsidP="00DF1F17">
      <w:pPr>
        <w:keepNext/>
        <w:ind w:left="567" w:hanging="567"/>
        <w:outlineLvl w:val="2"/>
        <w:rPr>
          <w:rFonts w:eastAsia="Calibri"/>
          <w:i/>
          <w:snapToGrid w:val="0"/>
        </w:rPr>
      </w:pPr>
      <w:bookmarkStart w:id="32" w:name="_Toc50577360"/>
      <w:r w:rsidRPr="003265BF">
        <w:rPr>
          <w:rFonts w:eastAsia="Calibri"/>
          <w:i/>
          <w:snapToGrid w:val="0"/>
        </w:rPr>
        <w:t>5.2</w:t>
      </w:r>
      <w:r w:rsidRPr="003265BF">
        <w:rPr>
          <w:i/>
          <w:snapToGrid w:val="0"/>
        </w:rPr>
        <w:tab/>
      </w:r>
      <w:r w:rsidRPr="003265BF">
        <w:rPr>
          <w:rFonts w:eastAsia="Calibri"/>
          <w:i/>
          <w:snapToGrid w:val="0"/>
        </w:rPr>
        <w:t>Data exchange methods</w:t>
      </w:r>
      <w:bookmarkEnd w:id="32"/>
    </w:p>
    <w:p w:rsidR="00DF1F17" w:rsidRPr="003265BF" w:rsidRDefault="00DF1F17" w:rsidP="00DF1F17">
      <w:pPr>
        <w:rPr>
          <w:u w:val="double"/>
        </w:rPr>
      </w:pPr>
    </w:p>
    <w:p w:rsidR="00DF1F17" w:rsidRPr="003265BF" w:rsidRDefault="00DF1F17" w:rsidP="00DF1F17">
      <w:pPr>
        <w:rPr>
          <w:rFonts w:eastAsia="Calibri" w:cs="Arial"/>
          <w:color w:val="000000" w:themeColor="text1"/>
        </w:rPr>
      </w:pPr>
      <w:r w:rsidRPr="003265BF">
        <w:rPr>
          <w:rFonts w:eastAsia="Calibri" w:cs="Arial"/>
          <w:color w:val="000000" w:themeColor="text1"/>
        </w:rPr>
        <w:t>5.2.1 Fingerprint data transmission may contain a range of information, such as loci, samples, DNA, fingerprint data and fingerprint profiles.  Method of data transmission needs to be determined by the content to be transferred and should consider the following:</w:t>
      </w:r>
    </w:p>
    <w:p w:rsidR="00DF1F17" w:rsidRPr="003265BF" w:rsidRDefault="00DF1F17" w:rsidP="00DF1F17">
      <w:pPr>
        <w:ind w:firstLine="567"/>
        <w:rPr>
          <w:rFonts w:eastAsia="Calibri" w:cs="Arial"/>
          <w:color w:val="000000" w:themeColor="text1"/>
        </w:rPr>
      </w:pPr>
      <w:r w:rsidRPr="003265BF">
        <w:rPr>
          <w:rFonts w:eastAsia="Calibri" w:cs="Arial"/>
          <w:color w:val="000000" w:themeColor="text1"/>
        </w:rPr>
        <w:t>(a) amount of data</w:t>
      </w:r>
    </w:p>
    <w:p w:rsidR="00DF1F17" w:rsidRPr="003265BF" w:rsidRDefault="00DF1F17" w:rsidP="00DF1F17">
      <w:pPr>
        <w:ind w:firstLine="567"/>
        <w:rPr>
          <w:rFonts w:eastAsia="Calibri" w:cs="Arial"/>
          <w:color w:val="000000" w:themeColor="text1"/>
        </w:rPr>
      </w:pPr>
      <w:r w:rsidRPr="003265BF">
        <w:rPr>
          <w:rFonts w:eastAsia="Calibri" w:cs="Arial"/>
          <w:color w:val="000000" w:themeColor="text1"/>
        </w:rPr>
        <w:t xml:space="preserve">(b) complexity of data </w:t>
      </w:r>
    </w:p>
    <w:p w:rsidR="00DF1F17" w:rsidRPr="003265BF" w:rsidRDefault="00DF1F17" w:rsidP="00DF1F17">
      <w:pPr>
        <w:ind w:firstLine="567"/>
        <w:rPr>
          <w:rFonts w:eastAsia="Calibri" w:cs="Arial"/>
          <w:color w:val="000000" w:themeColor="text1"/>
        </w:rPr>
      </w:pPr>
      <w:r w:rsidRPr="003265BF">
        <w:rPr>
          <w:rFonts w:eastAsia="Calibri" w:cs="Arial"/>
          <w:color w:val="000000" w:themeColor="text1"/>
        </w:rPr>
        <w:t>(c) requirements for query or search functions</w:t>
      </w:r>
    </w:p>
    <w:p w:rsidR="00DF1F17" w:rsidRPr="003265BF" w:rsidRDefault="00DF1F17" w:rsidP="00DF1F17">
      <w:pPr>
        <w:ind w:firstLine="567"/>
        <w:rPr>
          <w:rFonts w:eastAsia="Calibri" w:cs="Arial"/>
          <w:color w:val="000000" w:themeColor="text1"/>
        </w:rPr>
      </w:pPr>
    </w:p>
    <w:p w:rsidR="00DF1F17" w:rsidRPr="003265BF" w:rsidRDefault="00DF1F17" w:rsidP="00DF1F17">
      <w:pPr>
        <w:rPr>
          <w:rFonts w:eastAsia="Calibri" w:cs="Arial"/>
          <w:color w:val="000000" w:themeColor="text1"/>
          <w:u w:val="single"/>
        </w:rPr>
      </w:pPr>
      <w:r w:rsidRPr="003265BF">
        <w:rPr>
          <w:rFonts w:eastAsia="Calibri" w:cs="Arial"/>
          <w:color w:val="000000" w:themeColor="text1"/>
        </w:rPr>
        <w:t>Technical details on data transfer methods are described in the Annex: Data exchange scenarios and data transfer methods.</w:t>
      </w:r>
    </w:p>
    <w:p w:rsidR="00DF1F17" w:rsidRPr="003265BF" w:rsidRDefault="00DF1F17" w:rsidP="00DF1F17">
      <w:pPr>
        <w:rPr>
          <w:rFonts w:eastAsia="Calibri" w:cs="Arial"/>
          <w:color w:val="000000" w:themeColor="text1"/>
        </w:rPr>
      </w:pPr>
    </w:p>
    <w:p w:rsidR="00DF1F17" w:rsidRPr="003265BF" w:rsidRDefault="00DF1F17" w:rsidP="00DF1F17">
      <w:pPr>
        <w:rPr>
          <w:rFonts w:eastAsia="Calibri" w:cs="Arial"/>
          <w:color w:val="000000" w:themeColor="text1"/>
        </w:rPr>
      </w:pPr>
      <w:r w:rsidRPr="003265BF">
        <w:rPr>
          <w:rFonts w:eastAsia="Calibri" w:cs="Arial"/>
          <w:color w:val="000000" w:themeColor="text1"/>
        </w:rPr>
        <w:t>5.2.2</w:t>
      </w:r>
      <w:r w:rsidRPr="003265BF">
        <w:rPr>
          <w:rFonts w:eastAsia="Calibri" w:cs="Arial"/>
          <w:color w:val="000000" w:themeColor="text1"/>
        </w:rPr>
        <w:tab/>
        <w:t>Commonly used data formats include: zip, csv, json and xml.  Their respective characteristics are as follows:</w:t>
      </w:r>
    </w:p>
    <w:p w:rsidR="00DF1F17" w:rsidRPr="003265BF" w:rsidRDefault="00DF1F17" w:rsidP="00DF1F17">
      <w:pPr>
        <w:rPr>
          <w:rFonts w:eastAsia="Calibri" w:cs="Arial"/>
          <w:color w:val="000000" w:themeColor="text1"/>
        </w:rPr>
      </w:pPr>
    </w:p>
    <w:p w:rsidR="00DF1F17" w:rsidRPr="003265BF" w:rsidRDefault="00DF1F17" w:rsidP="00DF1F17">
      <w:pPr>
        <w:ind w:firstLine="420"/>
        <w:rPr>
          <w:rFonts w:eastAsia="Calibri" w:cs="Arial"/>
          <w:color w:val="000000" w:themeColor="text1"/>
        </w:rPr>
      </w:pPr>
      <w:r w:rsidRPr="003265BF">
        <w:rPr>
          <w:rFonts w:eastAsia="Calibri" w:cs="Arial"/>
          <w:color w:val="000000" w:themeColor="text1"/>
        </w:rPr>
        <w:t>(1) The zip format allows a variety of data information files in the original format and due to its large data compression ratio and ease of transmission is suitable for large and complex data.</w:t>
      </w:r>
    </w:p>
    <w:p w:rsidR="00DF1F17" w:rsidRPr="003265BF" w:rsidRDefault="00DF1F17" w:rsidP="00DF1F17">
      <w:pPr>
        <w:ind w:firstLine="420"/>
        <w:rPr>
          <w:rFonts w:eastAsia="Calibri" w:cs="Arial"/>
          <w:color w:val="000000" w:themeColor="text1"/>
        </w:rPr>
      </w:pPr>
    </w:p>
    <w:p w:rsidR="00DF1F17" w:rsidRPr="003265BF" w:rsidRDefault="00DF1F17" w:rsidP="00DF1F17">
      <w:pPr>
        <w:ind w:firstLine="420"/>
        <w:rPr>
          <w:rFonts w:eastAsia="Calibri" w:cs="Arial"/>
          <w:color w:val="000000" w:themeColor="text1"/>
        </w:rPr>
      </w:pPr>
      <w:r w:rsidRPr="003265BF">
        <w:rPr>
          <w:rFonts w:eastAsia="Calibri" w:cs="Arial"/>
          <w:color w:val="000000" w:themeColor="text1"/>
        </w:rPr>
        <w:t>(2) The csv format is more suitable for data information in simple data format, which has the advantage of having less invalid data and faster processing speeds.</w:t>
      </w:r>
    </w:p>
    <w:p w:rsidR="00DF1F17" w:rsidRPr="003265BF" w:rsidRDefault="00DF1F17" w:rsidP="00DF1F17">
      <w:pPr>
        <w:ind w:firstLine="420"/>
        <w:rPr>
          <w:rFonts w:eastAsia="Calibri" w:cs="Arial"/>
          <w:color w:val="000000" w:themeColor="text1"/>
        </w:rPr>
      </w:pPr>
    </w:p>
    <w:p w:rsidR="00DF1F17" w:rsidRPr="00832052" w:rsidRDefault="00DF1F17" w:rsidP="00DF1F17">
      <w:pPr>
        <w:ind w:firstLine="420"/>
        <w:rPr>
          <w:rFonts w:eastAsia="Calibri" w:cs="Arial"/>
          <w:color w:val="000000" w:themeColor="text1"/>
        </w:rPr>
      </w:pPr>
      <w:r w:rsidRPr="003265BF">
        <w:rPr>
          <w:rFonts w:eastAsia="Calibri" w:cs="Arial"/>
          <w:color w:val="000000" w:themeColor="text1"/>
        </w:rPr>
        <w:t>(3) The json and xml formats can contain more complex character data information and more redundant information, but both offer good readability.</w:t>
      </w:r>
    </w:p>
    <w:p w:rsidR="00DF1F17" w:rsidRPr="00832052" w:rsidRDefault="00DF1F17" w:rsidP="00DF1F17">
      <w:bookmarkStart w:id="33" w:name="_GoBack"/>
      <w:bookmarkEnd w:id="33"/>
    </w:p>
    <w:p w:rsidR="00DF1F17" w:rsidRPr="00832052" w:rsidRDefault="00DF1F17" w:rsidP="00DF1F17">
      <w:pPr>
        <w:keepNext/>
        <w:outlineLvl w:val="1"/>
      </w:pPr>
      <w:bookmarkStart w:id="34" w:name="_Toc50577361"/>
      <w:r w:rsidRPr="00832052">
        <w:t xml:space="preserve">6. </w:t>
      </w:r>
      <w:r w:rsidRPr="00832052">
        <w:tab/>
        <w:t>Summary</w:t>
      </w:r>
      <w:bookmarkEnd w:id="34"/>
      <w:r w:rsidRPr="00832052">
        <w:rPr>
          <w:vertAlign w:val="superscript"/>
        </w:rPr>
        <w:t xml:space="preserve"> </w:t>
      </w:r>
    </w:p>
    <w:p w:rsidR="00DF1F17" w:rsidRPr="00832052" w:rsidRDefault="00DF1F17" w:rsidP="00DF1F17"/>
    <w:p w:rsidR="00DF1F17" w:rsidRPr="00832052" w:rsidRDefault="00DF1F17" w:rsidP="00DF1F17">
      <w:r w:rsidRPr="00832052">
        <w:t>The following is a summary of the approach recommended for high quality DNA profiling of varieties including</w:t>
      </w:r>
      <w:r w:rsidRPr="00832052">
        <w:rPr>
          <w:u w:val="double"/>
        </w:rPr>
        <w:t xml:space="preserve"> </w:t>
      </w:r>
      <w:r w:rsidRPr="00832052">
        <w:t xml:space="preserve">the selection and use of molecular markers as well as the construction of shared and sustainable molecular databases  (i.e. databases that can be populated in the future with data from a range of sources, independent of the technology used). </w:t>
      </w:r>
    </w:p>
    <w:p w:rsidR="00DF1F17" w:rsidRPr="00832052" w:rsidRDefault="00DF1F17" w:rsidP="00DF1F17"/>
    <w:p w:rsidR="00DF1F17" w:rsidRPr="00832052" w:rsidRDefault="00DF1F17" w:rsidP="00DF1F17">
      <w:pPr>
        <w:ind w:firstLine="567"/>
      </w:pPr>
      <w:r w:rsidRPr="00832052">
        <w:t>(a)</w:t>
      </w:r>
      <w:r w:rsidRPr="00832052">
        <w:tab/>
        <w:t>consider the approach on a crop-by-crop basis;</w:t>
      </w:r>
    </w:p>
    <w:p w:rsidR="00DF1F17" w:rsidRPr="00832052" w:rsidRDefault="00DF1F17" w:rsidP="00DF1F17">
      <w:pPr>
        <w:ind w:firstLine="567"/>
      </w:pPr>
      <w:r w:rsidRPr="00832052">
        <w:t>(b)</w:t>
      </w:r>
      <w:r w:rsidRPr="00832052">
        <w:tab/>
        <w:t>agree on an acceptable marker type and source;</w:t>
      </w:r>
    </w:p>
    <w:p w:rsidR="00DF1F17" w:rsidRPr="00832052" w:rsidRDefault="00DF1F17" w:rsidP="00DF1F17">
      <w:pPr>
        <w:ind w:firstLine="567"/>
      </w:pPr>
      <w:r w:rsidRPr="00832052">
        <w:t>(c)</w:t>
      </w:r>
      <w:r w:rsidRPr="00832052">
        <w:tab/>
        <w:t>agree on acceptable detection platforms/equipment;</w:t>
      </w:r>
    </w:p>
    <w:p w:rsidR="00DF1F17" w:rsidRPr="00832052" w:rsidRDefault="00DF1F17" w:rsidP="00DF1F17">
      <w:pPr>
        <w:ind w:firstLine="567"/>
      </w:pPr>
      <w:r w:rsidRPr="00832052">
        <w:t>(d)</w:t>
      </w:r>
      <w:r w:rsidRPr="00832052">
        <w:tab/>
        <w:t>agree on laboratories to be included in the test;</w:t>
      </w:r>
    </w:p>
    <w:p w:rsidR="00DF1F17" w:rsidRPr="00832052" w:rsidRDefault="00DF1F17" w:rsidP="00DF1F17">
      <w:pPr>
        <w:ind w:firstLine="567"/>
      </w:pPr>
      <w:r w:rsidRPr="00832052">
        <w:t>(e)</w:t>
      </w:r>
      <w:r w:rsidRPr="00832052">
        <w:tab/>
        <w:t>agree on quality issues ;</w:t>
      </w:r>
    </w:p>
    <w:p w:rsidR="00DF1F17" w:rsidRPr="00832052" w:rsidRDefault="00DF1F17" w:rsidP="00DF1F17">
      <w:pPr>
        <w:ind w:firstLine="567"/>
      </w:pPr>
      <w:r w:rsidRPr="00832052">
        <w:t>(f)</w:t>
      </w:r>
      <w:r w:rsidRPr="00832052">
        <w:tab/>
        <w:t>verify the source of the plant material used ;</w:t>
      </w:r>
    </w:p>
    <w:p w:rsidR="00DF1F17" w:rsidRPr="00832052" w:rsidRDefault="00DF1F17" w:rsidP="00DF1F17">
      <w:pPr>
        <w:ind w:left="1134" w:hanging="567"/>
      </w:pPr>
      <w:r w:rsidRPr="00832052">
        <w:lastRenderedPageBreak/>
        <w:t>(g)</w:t>
      </w:r>
      <w:r w:rsidRPr="00832052">
        <w:tab/>
        <w:t>agree which markers are to be used in a preliminary collaborative evaluation phase, involving more than one laboratory and different detection equipment ;</w:t>
      </w:r>
    </w:p>
    <w:p w:rsidR="00DF1F17" w:rsidRPr="003265BF" w:rsidRDefault="00DF1F17" w:rsidP="00DF1F17">
      <w:pPr>
        <w:ind w:firstLine="567"/>
      </w:pPr>
      <w:r w:rsidRPr="003265BF">
        <w:t>(h)</w:t>
      </w:r>
      <w:r w:rsidRPr="003265BF">
        <w:tab/>
        <w:t>conduct an evaluation ;</w:t>
      </w:r>
    </w:p>
    <w:p w:rsidR="00DF1F17" w:rsidRPr="003265BF" w:rsidRDefault="00DF1F17" w:rsidP="00DF1F17">
      <w:pPr>
        <w:ind w:firstLine="567"/>
      </w:pPr>
      <w:r w:rsidRPr="003265BF">
        <w:t>(i)</w:t>
      </w:r>
      <w:r w:rsidRPr="003265BF">
        <w:tab/>
        <w:t>develop and agree a protocol for scoring the molecular data ;</w:t>
      </w:r>
    </w:p>
    <w:p w:rsidR="00DF1F17" w:rsidRPr="003265BF" w:rsidRDefault="00DF1F17" w:rsidP="00DF1F17">
      <w:pPr>
        <w:ind w:firstLine="567"/>
      </w:pPr>
      <w:r w:rsidRPr="003265BF">
        <w:t>(j)</w:t>
      </w:r>
      <w:r w:rsidRPr="003265BF">
        <w:tab/>
        <w:t>agree on the plant material/reference set to be analyzed, and the source(s);</w:t>
      </w:r>
    </w:p>
    <w:p w:rsidR="00DF1F17" w:rsidRPr="003265BF" w:rsidRDefault="00DF1F17" w:rsidP="00DF1F17">
      <w:pPr>
        <w:ind w:left="1134" w:hanging="567"/>
      </w:pPr>
      <w:r w:rsidRPr="003265BF">
        <w:t>(k)</w:t>
      </w:r>
      <w:r w:rsidRPr="003265BF">
        <w:tab/>
        <w:t>analyze the agreed variety collection, in different laboratories/different detection equipment, using duplicate samples, and exchanging samples/DNA extracts if problems occur;</w:t>
      </w:r>
    </w:p>
    <w:p w:rsidR="00DF1F17" w:rsidRPr="003265BF" w:rsidRDefault="00DF1F17" w:rsidP="00DF1F17">
      <w:pPr>
        <w:ind w:firstLine="567"/>
      </w:pPr>
      <w:r w:rsidRPr="003265BF">
        <w:t>(l)</w:t>
      </w:r>
      <w:r w:rsidRPr="003265BF">
        <w:tab/>
        <w:t>use references (varieties, DNA samples and alleles, as appropriate) in all analyses;</w:t>
      </w:r>
    </w:p>
    <w:p w:rsidR="00DF1F17" w:rsidRPr="003265BF" w:rsidRDefault="00DF1F17" w:rsidP="00DF1F17">
      <w:pPr>
        <w:ind w:firstLine="567"/>
      </w:pPr>
      <w:r w:rsidRPr="003265BF">
        <w:t>(m)</w:t>
      </w:r>
      <w:r w:rsidRPr="003265BF">
        <w:tab/>
        <w:t>verify all stages (including data entry) – automate as much as possible;</w:t>
      </w:r>
    </w:p>
    <w:p w:rsidR="00DF1F17" w:rsidRPr="003265BF" w:rsidRDefault="00DF1F17" w:rsidP="00DF1F17">
      <w:pPr>
        <w:ind w:firstLine="567"/>
      </w:pPr>
      <w:r w:rsidRPr="003265BF">
        <w:t>(n)</w:t>
      </w:r>
      <w:r w:rsidRPr="003265BF">
        <w:tab/>
        <w:t>conduct a ‘blind test’ in different laboratories using the database;</w:t>
      </w:r>
    </w:p>
    <w:p w:rsidR="00DF1F17" w:rsidRPr="003265BF" w:rsidRDefault="00DF1F17" w:rsidP="00DF1F17">
      <w:pPr>
        <w:ind w:firstLine="567"/>
      </w:pPr>
      <w:r w:rsidRPr="003265BF">
        <w:t>(o)</w:t>
      </w:r>
      <w:r w:rsidRPr="003265BF">
        <w:tab/>
        <w:t>adopt procedures for adding new data.</w:t>
      </w:r>
    </w:p>
    <w:p w:rsidR="00DF1F17" w:rsidRPr="003265BF" w:rsidRDefault="00DF1F17" w:rsidP="00DF1F17"/>
    <w:p w:rsidR="00DF1F17" w:rsidRPr="003265BF" w:rsidRDefault="00DF1F17" w:rsidP="00DF1F17">
      <w:pPr>
        <w:keepNext/>
        <w:outlineLvl w:val="0"/>
        <w:rPr>
          <w:caps/>
          <w:shd w:val="pct15" w:color="auto" w:fill="FFFFFF"/>
        </w:rPr>
      </w:pPr>
      <w:bookmarkStart w:id="35" w:name="_Toc50577362"/>
      <w:r w:rsidRPr="003265BF">
        <w:rPr>
          <w:caps/>
        </w:rPr>
        <w:t>C.</w:t>
      </w:r>
      <w:r w:rsidRPr="003265BF">
        <w:rPr>
          <w:caps/>
        </w:rPr>
        <w:tab/>
        <w:t>LIST OF ACRONYMS</w:t>
      </w:r>
      <w:bookmarkEnd w:id="35"/>
      <w:r w:rsidRPr="003265BF">
        <w:rPr>
          <w:caps/>
          <w:vertAlign w:val="superscript"/>
        </w:rPr>
        <w:t> </w:t>
      </w:r>
    </w:p>
    <w:p w:rsidR="00DF1F17" w:rsidRPr="003265BF" w:rsidRDefault="00DF1F17" w:rsidP="00DF1F17"/>
    <w:p w:rsidR="00DF1F17" w:rsidRPr="003265BF" w:rsidRDefault="00DF1F17" w:rsidP="00DF1F17">
      <w:r w:rsidRPr="003265BF">
        <w:t>API</w:t>
      </w:r>
      <w:r w:rsidRPr="003265BF">
        <w:tab/>
      </w:r>
      <w:r w:rsidRPr="003265BF">
        <w:tab/>
        <w:t>Application Programming Interface</w:t>
      </w:r>
    </w:p>
    <w:p w:rsidR="00DF1F17" w:rsidRPr="003265BF" w:rsidRDefault="00DF1F17" w:rsidP="00DF1F17">
      <w:pPr>
        <w:rPr>
          <w:shd w:val="pct15" w:color="auto" w:fill="FFFFFF"/>
        </w:rPr>
      </w:pPr>
      <w:r w:rsidRPr="003265BF">
        <w:t>BAM</w:t>
      </w:r>
      <w:r w:rsidRPr="003265BF">
        <w:tab/>
      </w:r>
      <w:r w:rsidRPr="003265BF">
        <w:tab/>
        <w:t>Binary Alignment Map</w:t>
      </w:r>
    </w:p>
    <w:p w:rsidR="00DF1F17" w:rsidRPr="003265BF" w:rsidRDefault="00DF1F17" w:rsidP="00DF1F17">
      <w:pPr>
        <w:rPr>
          <w:shd w:val="pct15" w:color="auto" w:fill="FFFFFF"/>
        </w:rPr>
      </w:pPr>
      <w:r w:rsidRPr="003265BF">
        <w:t>BCF</w:t>
      </w:r>
      <w:r w:rsidRPr="003265BF">
        <w:tab/>
      </w:r>
      <w:r w:rsidRPr="003265BF">
        <w:tab/>
        <w:t>Binary Call Format</w:t>
      </w:r>
    </w:p>
    <w:p w:rsidR="00DF1F17" w:rsidRPr="003265BF" w:rsidRDefault="00DF1F17" w:rsidP="00DF1F17">
      <w:pPr>
        <w:rPr>
          <w:shd w:val="pct15" w:color="auto" w:fill="FFFFFF"/>
        </w:rPr>
      </w:pPr>
      <w:r w:rsidRPr="003265BF">
        <w:t>CRAM</w:t>
      </w:r>
      <w:r w:rsidRPr="003265BF">
        <w:tab/>
        <w:t>Compressed Reference-oriented Alignment Map</w:t>
      </w:r>
    </w:p>
    <w:p w:rsidR="00DF1F17" w:rsidRPr="003265BF" w:rsidRDefault="00DF1F17" w:rsidP="00DF1F17">
      <w:r w:rsidRPr="003265BF">
        <w:t>MNP</w:t>
      </w:r>
      <w:r w:rsidRPr="003265BF">
        <w:tab/>
      </w:r>
      <w:r w:rsidRPr="003265BF">
        <w:tab/>
        <w:t>Multiple Nucleotide Polymorphism</w:t>
      </w:r>
    </w:p>
    <w:p w:rsidR="00DF1F17" w:rsidRPr="003265BF" w:rsidRDefault="00DF1F17" w:rsidP="00DF1F17">
      <w:pPr>
        <w:rPr>
          <w:shd w:val="pct15" w:color="auto" w:fill="FFFFFF"/>
        </w:rPr>
      </w:pPr>
      <w:r w:rsidRPr="003265BF">
        <w:t>NGS</w:t>
      </w:r>
      <w:r w:rsidRPr="003265BF">
        <w:tab/>
      </w:r>
      <w:r w:rsidRPr="003265BF">
        <w:tab/>
        <w:t>Next Generation Sequencing</w:t>
      </w:r>
    </w:p>
    <w:p w:rsidR="00DF1F17" w:rsidRPr="003265BF" w:rsidRDefault="00DF1F17" w:rsidP="00DF1F17">
      <w:pPr>
        <w:rPr>
          <w:shd w:val="pct15" w:color="auto" w:fill="FFFFFF"/>
        </w:rPr>
      </w:pPr>
      <w:r w:rsidRPr="003265BF">
        <w:t>NIL</w:t>
      </w:r>
      <w:r w:rsidRPr="003265BF">
        <w:tab/>
      </w:r>
      <w:r w:rsidRPr="003265BF">
        <w:tab/>
        <w:t>Near Isogenic Line</w:t>
      </w:r>
    </w:p>
    <w:p w:rsidR="00DF1F17" w:rsidRPr="003265BF" w:rsidRDefault="00DF1F17" w:rsidP="00DF1F17">
      <w:pPr>
        <w:rPr>
          <w:shd w:val="pct15" w:color="auto" w:fill="FFFFFF"/>
        </w:rPr>
      </w:pPr>
      <w:r w:rsidRPr="003265BF">
        <w:t>RIL</w:t>
      </w:r>
      <w:r w:rsidRPr="003265BF">
        <w:tab/>
      </w:r>
      <w:r w:rsidRPr="003265BF">
        <w:tab/>
        <w:t>Recombinant Inbred Line</w:t>
      </w:r>
    </w:p>
    <w:p w:rsidR="00DF1F17" w:rsidRPr="003265BF" w:rsidRDefault="00DF1F17" w:rsidP="00DF1F17">
      <w:pPr>
        <w:rPr>
          <w:shd w:val="pct15" w:color="auto" w:fill="FFFFFF"/>
        </w:rPr>
      </w:pPr>
      <w:r w:rsidRPr="003265BF">
        <w:t>SAM</w:t>
      </w:r>
      <w:r w:rsidRPr="003265BF">
        <w:tab/>
      </w:r>
      <w:r w:rsidRPr="003265BF">
        <w:tab/>
        <w:t>Sequence Alignment Map</w:t>
      </w:r>
    </w:p>
    <w:p w:rsidR="00DF1F17" w:rsidRPr="003265BF" w:rsidRDefault="00DF1F17" w:rsidP="00DF1F17">
      <w:pPr>
        <w:rPr>
          <w:shd w:val="pct15" w:color="auto" w:fill="FFFFFF"/>
        </w:rPr>
      </w:pPr>
      <w:r w:rsidRPr="003265BF">
        <w:t>SNP</w:t>
      </w:r>
      <w:r w:rsidRPr="003265BF">
        <w:tab/>
      </w:r>
      <w:r w:rsidRPr="003265BF">
        <w:tab/>
        <w:t>Single Nucleotide Polymorphism</w:t>
      </w:r>
    </w:p>
    <w:p w:rsidR="00DF1F17" w:rsidRPr="003265BF" w:rsidRDefault="00DF1F17" w:rsidP="00DF1F17">
      <w:pPr>
        <w:rPr>
          <w:shd w:val="pct15" w:color="auto" w:fill="FFFFFF"/>
        </w:rPr>
      </w:pPr>
      <w:r w:rsidRPr="003265BF">
        <w:t>SQL</w:t>
      </w:r>
      <w:r w:rsidRPr="003265BF">
        <w:tab/>
      </w:r>
      <w:r w:rsidRPr="003265BF">
        <w:tab/>
        <w:t>Structured Query Language</w:t>
      </w:r>
    </w:p>
    <w:p w:rsidR="00DF1F17" w:rsidRPr="00832052" w:rsidRDefault="00DF1F17" w:rsidP="00DF1F17">
      <w:pPr>
        <w:rPr>
          <w:shd w:val="pct15" w:color="auto" w:fill="FFFFFF"/>
        </w:rPr>
      </w:pPr>
      <w:r w:rsidRPr="003265BF">
        <w:t>SSR</w:t>
      </w:r>
      <w:r w:rsidRPr="003265BF">
        <w:tab/>
      </w:r>
      <w:r w:rsidRPr="003265BF">
        <w:tab/>
        <w:t>Simple Sequence Repeats</w:t>
      </w:r>
    </w:p>
    <w:p w:rsidR="00DF1F17" w:rsidRPr="00832052" w:rsidRDefault="00DF1F17" w:rsidP="00DF1F17">
      <w:pPr>
        <w:rPr>
          <w:shd w:val="pct15" w:color="auto" w:fill="FFFFFF"/>
        </w:rPr>
      </w:pPr>
      <w:r w:rsidRPr="00832052">
        <w:t>TIFF</w:t>
      </w:r>
      <w:r w:rsidRPr="00832052">
        <w:tab/>
      </w:r>
      <w:r w:rsidRPr="00832052">
        <w:tab/>
        <w:t>Tagged Image File Format</w:t>
      </w:r>
    </w:p>
    <w:p w:rsidR="00DF1F17" w:rsidRPr="00832052" w:rsidRDefault="00DF1F17" w:rsidP="00DF1F17">
      <w:pPr>
        <w:rPr>
          <w:shd w:val="pct15" w:color="auto" w:fill="FFFFFF"/>
        </w:rPr>
      </w:pPr>
      <w:r w:rsidRPr="00832052">
        <w:t>VCF</w:t>
      </w:r>
      <w:r w:rsidRPr="00832052">
        <w:tab/>
      </w:r>
      <w:r w:rsidRPr="00832052">
        <w:tab/>
        <w:t>Variant Call Format</w:t>
      </w:r>
    </w:p>
    <w:p w:rsidR="00DF1F17" w:rsidRPr="00832052" w:rsidRDefault="00DF1F17" w:rsidP="00DF1F17">
      <w:pPr>
        <w:jc w:val="left"/>
      </w:pPr>
    </w:p>
    <w:p w:rsidR="00DF1F17" w:rsidRPr="00832052" w:rsidRDefault="00DF1F17" w:rsidP="00DF1F17">
      <w:pPr>
        <w:jc w:val="left"/>
      </w:pPr>
    </w:p>
    <w:p w:rsidR="00DF1F17" w:rsidRPr="00832052" w:rsidRDefault="00DF1F17" w:rsidP="00DF1F17">
      <w:pPr>
        <w:jc w:val="left"/>
      </w:pPr>
    </w:p>
    <w:p w:rsidR="00DF1F17" w:rsidRPr="00832052" w:rsidRDefault="00DF1F17" w:rsidP="00DF1F17">
      <w:pPr>
        <w:jc w:val="right"/>
      </w:pPr>
      <w:r w:rsidRPr="00832052">
        <w:t>[Appendix to Annex follows]</w:t>
      </w:r>
    </w:p>
    <w:p w:rsidR="00DF1F17" w:rsidRPr="00832052" w:rsidRDefault="00DF1F17" w:rsidP="00DF1F17"/>
    <w:p w:rsidR="00DF1F17" w:rsidRPr="00832052" w:rsidRDefault="00DF1F17" w:rsidP="00DF1F17">
      <w:pPr>
        <w:jc w:val="center"/>
        <w:rPr>
          <w:rFonts w:cs="Maiandra GD"/>
          <w:lang w:eastAsia="nl-NL"/>
        </w:rPr>
        <w:sectPr w:rsidR="00DF1F17" w:rsidRPr="00832052" w:rsidSect="00DF1F17">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992" w:left="1134" w:header="510" w:footer="680" w:gutter="0"/>
          <w:pgNumType w:start="1"/>
          <w:cols w:space="720"/>
          <w:titlePg/>
        </w:sectPr>
      </w:pPr>
    </w:p>
    <w:p w:rsidR="00DF1F17" w:rsidRPr="003265BF" w:rsidRDefault="00DF1F17" w:rsidP="00DF1F17">
      <w:pPr>
        <w:jc w:val="center"/>
        <w:rPr>
          <w:rFonts w:cs="Maiandra GD"/>
          <w:lang w:eastAsia="nl-NL"/>
        </w:rPr>
      </w:pPr>
    </w:p>
    <w:p w:rsidR="00DF1F17" w:rsidRPr="003265BF" w:rsidRDefault="00DF1F17" w:rsidP="00DF1F17">
      <w:pPr>
        <w:jc w:val="center"/>
        <w:rPr>
          <w:rFonts w:eastAsia="Calibri"/>
        </w:rPr>
      </w:pPr>
      <w:r w:rsidRPr="003265BF">
        <w:rPr>
          <w:rFonts w:eastAsia="Calibri"/>
        </w:rPr>
        <w:t>DATA EXCHANGE SCENARIOS AND TRANSFER METHODS</w:t>
      </w:r>
    </w:p>
    <w:p w:rsidR="00DF1F17" w:rsidRPr="003265BF" w:rsidRDefault="00DF1F17" w:rsidP="00DF1F17">
      <w:pPr>
        <w:rPr>
          <w:rFonts w:cs="Maiandra GD"/>
          <w:szCs w:val="18"/>
          <w:lang w:eastAsia="nl-NL"/>
        </w:rPr>
      </w:pPr>
    </w:p>
    <w:p w:rsidR="00DF1F17" w:rsidRPr="003265BF" w:rsidRDefault="00DF1F17" w:rsidP="00DF1F17">
      <w:pPr>
        <w:rPr>
          <w:rFonts w:eastAsia="Calibri"/>
          <w:b/>
        </w:rPr>
      </w:pPr>
      <w:r w:rsidRPr="003265BF">
        <w:rPr>
          <w:rFonts w:cs="Maiandra GD"/>
          <w:b/>
          <w:szCs w:val="18"/>
          <w:lang w:eastAsia="nl-NL"/>
        </w:rPr>
        <w:t xml:space="preserve">A: </w:t>
      </w:r>
      <w:r w:rsidRPr="003265BF">
        <w:rPr>
          <w:rFonts w:eastAsia="Calibri"/>
          <w:b/>
        </w:rPr>
        <w:t>Data exchange scenarios</w:t>
      </w:r>
    </w:p>
    <w:p w:rsidR="00DF1F17" w:rsidRPr="003265BF" w:rsidRDefault="00DF1F17" w:rsidP="00DF1F17">
      <w:pPr>
        <w:rPr>
          <w:lang w:eastAsia="nl-NL"/>
        </w:rPr>
      </w:pPr>
    </w:p>
    <w:p w:rsidR="00DF1F17" w:rsidRPr="003265BF" w:rsidRDefault="00DF1F17" w:rsidP="00DF1F17">
      <w:pPr>
        <w:rPr>
          <w:rFonts w:eastAsia="Calibri"/>
          <w:i/>
        </w:rPr>
      </w:pPr>
      <w:r w:rsidRPr="003265BF">
        <w:rPr>
          <w:rFonts w:eastAsia="Calibri"/>
          <w:i/>
        </w:rPr>
        <w:t>Scenario 1: exchange of data produced from a standardized set of markers for a specific crop</w:t>
      </w:r>
    </w:p>
    <w:p w:rsidR="00DF1F17" w:rsidRPr="003265BF" w:rsidRDefault="00DF1F17" w:rsidP="00DF1F17">
      <w:pPr>
        <w:rPr>
          <w:rFonts w:eastAsia="Calibri"/>
        </w:rPr>
      </w:pPr>
    </w:p>
    <w:p w:rsidR="00DF1F17" w:rsidRPr="003265BF" w:rsidRDefault="00DF1F17" w:rsidP="00DF1F17">
      <w:pPr>
        <w:rPr>
          <w:rFonts w:eastAsia="Calibri"/>
        </w:rPr>
      </w:pPr>
      <w:r w:rsidRPr="003265BF">
        <w:rPr>
          <w:rFonts w:eastAsia="Calibri"/>
        </w:rPr>
        <w:t xml:space="preserve">In order to exchange data about the marker set used for a specific crop, the following web service can be used:  </w:t>
      </w:r>
    </w:p>
    <w:p w:rsidR="00DF1F17" w:rsidRPr="003265BF" w:rsidRDefault="00DF1F17" w:rsidP="00DF1F17">
      <w:pPr>
        <w:rPr>
          <w:rFonts w:eastAsia="Calibri"/>
        </w:rPr>
      </w:pPr>
      <w:r w:rsidRPr="003265BF">
        <w:rPr>
          <w:rFonts w:eastAsia="Calibri"/>
        </w:rPr>
        <w:t xml:space="preserve">https://office.org/locus?upov_code={upovcode}&amp;type={marker type}&amp;method={observation method} </w:t>
      </w:r>
    </w:p>
    <w:p w:rsidR="00DF1F17" w:rsidRPr="003265BF" w:rsidRDefault="00DF1F17" w:rsidP="00DF1F17">
      <w:pPr>
        <w:rPr>
          <w:rFonts w:eastAsia="Calibri"/>
        </w:rPr>
      </w:pPr>
    </w:p>
    <w:p w:rsidR="00DF1F17" w:rsidRPr="003265BF" w:rsidRDefault="00DF1F17" w:rsidP="00DF1F17">
      <w:pPr>
        <w:rPr>
          <w:rFonts w:eastAsia="Calibri"/>
        </w:rPr>
      </w:pPr>
      <w:r w:rsidRPr="003265BF">
        <w:rPr>
          <w:rFonts w:eastAsia="Calibri"/>
        </w:rPr>
        <w:t xml:space="preserve">For example, to obtain marker set information for maize using SSR and CE method, the following URL should be accessed: </w:t>
      </w:r>
    </w:p>
    <w:p w:rsidR="00DF1F17" w:rsidRPr="003265BF" w:rsidRDefault="00DF1F17" w:rsidP="00DF1F17">
      <w:pPr>
        <w:rPr>
          <w:rFonts w:eastAsia="Calibri"/>
        </w:rPr>
      </w:pPr>
      <w:r w:rsidRPr="003265BF">
        <w:rPr>
          <w:rFonts w:eastAsia="Calibri"/>
        </w:rPr>
        <w:t xml:space="preserve">https://office.org/locus?upov_code=ZEAAA_MAY&amp;type=SSR&amp;method=CE </w:t>
      </w:r>
    </w:p>
    <w:p w:rsidR="00DF1F17" w:rsidRPr="003265BF" w:rsidRDefault="00DF1F17" w:rsidP="00DF1F17">
      <w:pPr>
        <w:spacing w:line="240" w:lineRule="atLeast"/>
        <w:jc w:val="left"/>
        <w:rPr>
          <w:rFonts w:ascii="Calibri" w:eastAsia="Calibri" w:hAnsi="Calibri"/>
          <w:color w:val="000000"/>
          <w:sz w:val="23"/>
          <w:szCs w:val="23"/>
        </w:rPr>
      </w:pPr>
    </w:p>
    <w:p w:rsidR="00DF1F17" w:rsidRPr="003265BF" w:rsidRDefault="00DF1F17" w:rsidP="00DF1F17">
      <w:pPr>
        <w:rPr>
          <w:rFonts w:eastAsia="Calibri"/>
        </w:rPr>
      </w:pPr>
      <w:r w:rsidRPr="003265BF">
        <w:rPr>
          <w:rFonts w:eastAsia="Calibri"/>
        </w:rPr>
        <w:t xml:space="preserve">The result would be: </w:t>
      </w:r>
    </w:p>
    <w:p w:rsidR="00DF1F17" w:rsidRPr="003265BF" w:rsidRDefault="00DF1F17" w:rsidP="00DF1F17">
      <w:pPr>
        <w:spacing w:line="240" w:lineRule="atLeast"/>
        <w:jc w:val="left"/>
        <w:rPr>
          <w:rFonts w:eastAsia="Calibri" w:cs="Arial"/>
          <w:color w:val="000000"/>
        </w:rPr>
      </w:pPr>
    </w:p>
    <w:p w:rsidR="00DF1F17" w:rsidRPr="003265BF" w:rsidRDefault="00DF1F17" w:rsidP="00DF1F17">
      <w:pPr>
        <w:rPr>
          <w:rFonts w:eastAsia="Calibri" w:cs="Arial"/>
          <w:color w:val="000000"/>
        </w:rPr>
        <w:sectPr w:rsidR="00DF1F17" w:rsidRPr="003265BF" w:rsidSect="00203B8B">
          <w:headerReference w:type="first" r:id="rId17"/>
          <w:pgSz w:w="11907" w:h="16840" w:code="9"/>
          <w:pgMar w:top="510" w:right="1134" w:bottom="992" w:left="1134" w:header="510" w:footer="680" w:gutter="0"/>
          <w:pgNumType w:start="1"/>
          <w:cols w:space="720"/>
          <w:titlePg/>
        </w:sectPr>
      </w:pPr>
    </w:p>
    <w:p w:rsidR="00DF1F17" w:rsidRPr="003265BF" w:rsidRDefault="00DF1F17" w:rsidP="00DF1F17">
      <w:pPr>
        <w:rPr>
          <w:rFonts w:eastAsia="Calibri" w:cs="Arial"/>
          <w:color w:val="000000"/>
        </w:rPr>
      </w:pPr>
      <w:r w:rsidRPr="003265BF">
        <w:rPr>
          <w:rFonts w:eastAsia="Calibri" w:cs="Arial"/>
          <w:color w:val="000000"/>
        </w:rPr>
        <w:t>{"techniqueid": "CN_SSR_ZEAA_MAY_CE_V_1",</w:t>
      </w:r>
    </w:p>
    <w:p w:rsidR="00DF1F17" w:rsidRPr="003265BF" w:rsidRDefault="00DF1F17" w:rsidP="00DF1F17">
      <w:pPr>
        <w:rPr>
          <w:rFonts w:eastAsia="Calibri" w:cs="Arial"/>
          <w:color w:val="000000"/>
        </w:rPr>
      </w:pPr>
      <w:r w:rsidRPr="003265BF">
        <w:rPr>
          <w:rFonts w:eastAsia="Calibri" w:cs="Arial"/>
          <w:color w:val="000000"/>
        </w:rPr>
        <w:t>"description": "Laboratory method description"</w:t>
      </w:r>
    </w:p>
    <w:p w:rsidR="00DF1F17" w:rsidRPr="00832052" w:rsidRDefault="00DF1F17" w:rsidP="00DF1F17">
      <w:pPr>
        <w:rPr>
          <w:rFonts w:eastAsia="Calibri" w:cs="Arial"/>
          <w:color w:val="000000"/>
        </w:rPr>
      </w:pPr>
      <w:r w:rsidRPr="003265BF">
        <w:rPr>
          <w:rFonts w:eastAsia="Calibri" w:cs="Arial"/>
          <w:color w:val="000000"/>
        </w:rPr>
        <w:t>["locusid": "M01",</w:t>
      </w:r>
    </w:p>
    <w:p w:rsidR="00DF1F17" w:rsidRPr="00832052" w:rsidRDefault="00DF1F17" w:rsidP="00DF1F17">
      <w:pPr>
        <w:rPr>
          <w:rFonts w:eastAsia="Calibri" w:cs="Arial"/>
          <w:color w:val="000000"/>
        </w:rPr>
      </w:pPr>
      <w:r w:rsidRPr="00832052">
        <w:rPr>
          <w:rFonts w:eastAsia="Calibri" w:cs="Arial"/>
          <w:color w:val="000000"/>
        </w:rPr>
        <w:t>"alleles":</w:t>
      </w:r>
    </w:p>
    <w:p w:rsidR="00DF1F17" w:rsidRPr="00832052" w:rsidRDefault="00DF1F17" w:rsidP="00DF1F17">
      <w:pPr>
        <w:rPr>
          <w:rFonts w:eastAsia="Calibri" w:cs="Arial"/>
          <w:color w:val="000000"/>
        </w:rPr>
      </w:pPr>
      <w:r w:rsidRPr="00832052">
        <w:rPr>
          <w:rFonts w:eastAsia="Calibri" w:cs="Arial"/>
          <w:color w:val="000000"/>
        </w:rPr>
        <w:t>["alleleid": "238/256",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"238/271",</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"246/246",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"246/248",</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"246/250",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"246/254",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"246/260",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"246/277",</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"246/284",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"246/288",</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"248/250",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"248/256",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"248/271",</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"248/290",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"250/250",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"250/252",</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"250/256",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"250/275",</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"252/256",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"252/260",</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"252/271",</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"252/273",</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"252/282",</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"254/254",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"254/271",</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"254/284",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"254/286",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"256/256",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"256/264",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"256/266",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"256/271",</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"256/284",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"256/286",</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"258/258",</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"264/284",</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["alleleid": "271/292",</w:t>
      </w:r>
    </w:p>
    <w:p w:rsidR="00DF1F17" w:rsidRPr="00832052" w:rsidRDefault="00DF1F17" w:rsidP="00DF1F17">
      <w:pPr>
        <w:rPr>
          <w:rFonts w:eastAsia="Calibri" w:cs="Arial"/>
          <w:color w:val="000000"/>
        </w:rPr>
      </w:pPr>
      <w:r w:rsidRPr="00832052">
        <w:rPr>
          <w:rFonts w:eastAsia="Calibri" w:cs="Arial"/>
          <w:color w:val="000000"/>
        </w:rPr>
        <w:t>"examplevariety":</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r w:rsidRPr="00832052">
        <w:rPr>
          <w:rFonts w:eastAsia="Calibri" w:cs="Arial"/>
          <w:color w:val="000000"/>
        </w:rPr>
        <w:t>],</w:t>
      </w:r>
    </w:p>
    <w:p w:rsidR="00DF1F17" w:rsidRPr="00832052" w:rsidRDefault="00DF1F17" w:rsidP="00DF1F17">
      <w:pPr>
        <w:rPr>
          <w:rFonts w:eastAsia="Calibri" w:cs="Arial"/>
          <w:color w:val="000000"/>
        </w:rPr>
      </w:pPr>
    </w:p>
    <w:p w:rsidR="00DF1F17" w:rsidRPr="00832052" w:rsidRDefault="00DF1F17" w:rsidP="00DF1F17">
      <w:pPr>
        <w:rPr>
          <w:rFonts w:eastAsia="Calibri" w:cs="Arial"/>
          <w:color w:val="000000"/>
        </w:rPr>
      </w:pPr>
      <w:r w:rsidRPr="00832052">
        <w:rPr>
          <w:rFonts w:eastAsia="Calibri" w:cs="Arial"/>
          <w:color w:val="000000"/>
        </w:rPr>
        <w:t>["locusid"="M02”.</w:t>
      </w:r>
    </w:p>
    <w:p w:rsidR="00DF1F17" w:rsidRPr="00832052" w:rsidRDefault="00DF1F17" w:rsidP="00DF1F17">
      <w:pPr>
        <w:rPr>
          <w:rFonts w:eastAsia="Calibri" w:cs="Arial"/>
          <w:color w:val="000000"/>
        </w:rPr>
      </w:pPr>
      <w:r w:rsidRPr="00832052">
        <w:rPr>
          <w:rFonts w:eastAsia="Calibri" w:cs="Arial"/>
          <w:color w:val="000000"/>
        </w:rPr>
        <w:t>"alleles": […]</w:t>
      </w:r>
    </w:p>
    <w:p w:rsidR="00DF1F17" w:rsidRPr="00832052" w:rsidRDefault="00DF1F17" w:rsidP="00DF1F17">
      <w:pPr>
        <w:rPr>
          <w:rFonts w:eastAsia="Calibri" w:cs="Arial"/>
          <w:color w:val="000000"/>
        </w:rPr>
      </w:pPr>
      <w:r w:rsidRPr="00832052">
        <w:rPr>
          <w:rFonts w:eastAsia="Calibri" w:cs="Arial"/>
          <w:color w:val="000000"/>
        </w:rPr>
        <w:t>]} vi</w:t>
      </w:r>
    </w:p>
    <w:p w:rsidR="00DF1F17" w:rsidRPr="00832052" w:rsidRDefault="00DF1F17" w:rsidP="00DF1F17">
      <w:pPr>
        <w:spacing w:line="240" w:lineRule="atLeast"/>
        <w:jc w:val="left"/>
        <w:rPr>
          <w:rFonts w:ascii="Calibri" w:eastAsia="Calibri" w:hAnsi="Calibri"/>
          <w:color w:val="000000"/>
          <w:szCs w:val="23"/>
        </w:rPr>
        <w:sectPr w:rsidR="00DF1F17" w:rsidRPr="00832052" w:rsidSect="00203B8B">
          <w:headerReference w:type="default" r:id="rId18"/>
          <w:type w:val="continuous"/>
          <w:pgSz w:w="11907" w:h="16840" w:code="9"/>
          <w:pgMar w:top="510" w:right="1134" w:bottom="992" w:left="1134" w:header="510" w:footer="680" w:gutter="0"/>
          <w:pgNumType w:start="1"/>
          <w:cols w:num="3" w:space="720"/>
          <w:titlePg/>
        </w:sectPr>
      </w:pPr>
    </w:p>
    <w:p w:rsidR="00DF1F17" w:rsidRPr="00832052" w:rsidRDefault="00DF1F17" w:rsidP="00DF1F17">
      <w:pPr>
        <w:rPr>
          <w:rFonts w:eastAsia="Calibri"/>
          <w:i/>
        </w:rPr>
      </w:pPr>
    </w:p>
    <w:p w:rsidR="00DF1F17" w:rsidRPr="00832052" w:rsidRDefault="00DF1F17" w:rsidP="00DF1F17">
      <w:pPr>
        <w:keepNext/>
        <w:rPr>
          <w:rFonts w:eastAsia="Calibri"/>
          <w:i/>
        </w:rPr>
      </w:pPr>
      <w:r w:rsidRPr="00832052">
        <w:rPr>
          <w:rFonts w:eastAsia="Calibri"/>
          <w:i/>
        </w:rPr>
        <w:lastRenderedPageBreak/>
        <w:t>Scenario 2: search and view data of selected varieties generated from the same standardized set of markers</w:t>
      </w:r>
    </w:p>
    <w:p w:rsidR="00DF1F17" w:rsidRPr="00832052" w:rsidRDefault="00DF1F17" w:rsidP="00DF1F17">
      <w:pPr>
        <w:keepNext/>
        <w:rPr>
          <w:rFonts w:eastAsia="Calibri"/>
        </w:rPr>
      </w:pPr>
    </w:p>
    <w:p w:rsidR="00DF1F17" w:rsidRPr="00832052" w:rsidRDefault="00DF1F17" w:rsidP="00DF1F17">
      <w:pPr>
        <w:rPr>
          <w:rFonts w:eastAsia="Calibri"/>
        </w:rPr>
      </w:pPr>
      <w:r w:rsidRPr="00832052">
        <w:rPr>
          <w:rFonts w:eastAsia="Calibri"/>
        </w:rPr>
        <w:t>In order to search and view molecular data of a variety, the following web service can be used:</w:t>
      </w:r>
    </w:p>
    <w:p w:rsidR="00DF1F17" w:rsidRPr="00806AB4" w:rsidRDefault="00DF1F17" w:rsidP="00DF1F17">
      <w:pPr>
        <w:rPr>
          <w:rFonts w:eastAsia="Calibri"/>
          <w:lang w:val="fr-CH"/>
        </w:rPr>
      </w:pPr>
      <w:r w:rsidRPr="00806AB4">
        <w:rPr>
          <w:rFonts w:eastAsia="Calibri"/>
          <w:lang w:val="fr-CH"/>
        </w:rPr>
        <w:t>https://office.org/variety?id={irn}&amp;techniqueid={technique_code} vi</w:t>
      </w:r>
    </w:p>
    <w:p w:rsidR="00DF1F17" w:rsidRPr="00806AB4" w:rsidRDefault="00DF1F17" w:rsidP="00DF1F17">
      <w:pPr>
        <w:rPr>
          <w:rFonts w:eastAsia="Calibri"/>
          <w:lang w:val="fr-CH"/>
        </w:rPr>
      </w:pPr>
    </w:p>
    <w:p w:rsidR="00DF1F17" w:rsidRPr="00832052" w:rsidRDefault="00DF1F17" w:rsidP="00DF1F17">
      <w:pPr>
        <w:rPr>
          <w:rFonts w:eastAsia="Calibri"/>
        </w:rPr>
      </w:pPr>
      <w:r w:rsidRPr="00832052">
        <w:rPr>
          <w:rFonts w:eastAsia="Calibri"/>
        </w:rPr>
        <w:t xml:space="preserve">For example, </w:t>
      </w:r>
    </w:p>
    <w:p w:rsidR="00DF1F17" w:rsidRPr="00806AB4" w:rsidRDefault="00DF1F17" w:rsidP="00DF1F17">
      <w:pPr>
        <w:rPr>
          <w:rFonts w:eastAsia="Calibri"/>
        </w:rPr>
      </w:pPr>
      <w:r w:rsidRPr="00806AB4">
        <w:rPr>
          <w:rFonts w:eastAsia="Calibri"/>
        </w:rPr>
        <w:t>https://office.org/variety?id=XU_30201800000140 &amp;techniqueid= CN_SSR_ZEAA_MAY_CE_V_1 vi</w:t>
      </w:r>
    </w:p>
    <w:p w:rsidR="00DF1F17" w:rsidRPr="00806AB4" w:rsidRDefault="00DF1F17" w:rsidP="00DF1F17">
      <w:pPr>
        <w:rPr>
          <w:rFonts w:eastAsia="Calibri"/>
        </w:rPr>
      </w:pPr>
    </w:p>
    <w:p w:rsidR="00DF1F17" w:rsidRPr="00832052" w:rsidRDefault="00DF1F17" w:rsidP="00DF1F17">
      <w:pPr>
        <w:rPr>
          <w:rFonts w:eastAsia="Calibri"/>
        </w:rPr>
      </w:pPr>
      <w:r w:rsidRPr="00832052">
        <w:rPr>
          <w:rFonts w:eastAsia="Calibri"/>
        </w:rPr>
        <w:t>The result would be:</w:t>
      </w:r>
    </w:p>
    <w:p w:rsidR="00DF1F17" w:rsidRPr="00832052" w:rsidRDefault="00DF1F17" w:rsidP="00DF1F17">
      <w:pPr>
        <w:rPr>
          <w:rFonts w:eastAsia="Calibri" w:cs="Arial"/>
        </w:rPr>
      </w:pP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{"techniqueid": "CN_SSR_ZEAA_MAY_PAGE ",</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"varietyid": " XU_30201800000140 ",</w:t>
      </w:r>
    </w:p>
    <w:p w:rsidR="00DF1F17" w:rsidRPr="00832052" w:rsidRDefault="00DF1F17" w:rsidP="00DF1F17">
      <w:pPr>
        <w:spacing w:line="240" w:lineRule="atLeast"/>
        <w:ind w:left="567"/>
        <w:jc w:val="left"/>
        <w:rPr>
          <w:rFonts w:eastAsia="Calibri" w:cs="Arial"/>
          <w:color w:val="000000"/>
        </w:rPr>
      </w:pPr>
      <w:r w:rsidRPr="003265BF">
        <w:rPr>
          <w:rFonts w:eastAsia="Calibri" w:cs="Arial"/>
          <w:color w:val="000000"/>
        </w:rPr>
        <w:t>"computationalsteps": "xxxxxxxxxxxx"</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"data":</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"id": "M01",</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"value" : "254/254"</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"id": "M02",</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"value" : "347/347"</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"id": "M03",</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"value" : "292/292"</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"id": "M04",</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"value" : "361/361"</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w:t>
      </w:r>
    </w:p>
    <w:p w:rsidR="00DF1F17" w:rsidRPr="00832052" w:rsidRDefault="00DF1F17" w:rsidP="00DF1F17">
      <w:pPr>
        <w:spacing w:line="240" w:lineRule="atLeast"/>
        <w:ind w:left="567"/>
        <w:jc w:val="left"/>
        <w:rPr>
          <w:rFonts w:eastAsia="Calibri" w:cs="Arial"/>
          <w:color w:val="000000"/>
        </w:rPr>
      </w:pPr>
      <w:r w:rsidRPr="00832052">
        <w:rPr>
          <w:rFonts w:eastAsia="Calibri" w:cs="Arial"/>
          <w:color w:val="000000"/>
        </w:rPr>
        <w:t>} vi</w:t>
      </w:r>
    </w:p>
    <w:p w:rsidR="00DF1F17" w:rsidRPr="00832052" w:rsidRDefault="00DF1F17" w:rsidP="00DF1F17">
      <w:pPr>
        <w:rPr>
          <w:lang w:eastAsia="nl-NL"/>
        </w:rPr>
      </w:pPr>
    </w:p>
    <w:p w:rsidR="00DF1F17" w:rsidRPr="00832052" w:rsidRDefault="00DF1F17" w:rsidP="00DF1F17">
      <w:pPr>
        <w:rPr>
          <w:rFonts w:eastAsia="Calibri"/>
          <w:b/>
        </w:rPr>
      </w:pPr>
      <w:r w:rsidRPr="00832052">
        <w:rPr>
          <w:rFonts w:cs="Maiandra GD"/>
          <w:b/>
          <w:szCs w:val="18"/>
          <w:lang w:eastAsia="nl-NL"/>
        </w:rPr>
        <w:t xml:space="preserve">B: </w:t>
      </w:r>
      <w:r w:rsidRPr="00832052">
        <w:rPr>
          <w:rFonts w:eastAsia="Calibri"/>
          <w:b/>
        </w:rPr>
        <w:t>Data transfer methods</w:t>
      </w:r>
    </w:p>
    <w:p w:rsidR="00DF1F17" w:rsidRPr="00832052" w:rsidRDefault="00DF1F17" w:rsidP="00DF1F17">
      <w:pPr>
        <w:rPr>
          <w:rFonts w:eastAsia="Calibri"/>
        </w:rPr>
      </w:pPr>
    </w:p>
    <w:p w:rsidR="00DF1F17" w:rsidRPr="00832052" w:rsidRDefault="00DF1F17" w:rsidP="00DF1F17">
      <w:pPr>
        <w:rPr>
          <w:color w:val="000000" w:themeColor="text1"/>
        </w:rPr>
      </w:pPr>
      <w:r w:rsidRPr="00832052">
        <w:rPr>
          <w:color w:val="000000" w:themeColor="text1"/>
        </w:rPr>
        <w:t xml:space="preserve">The following provides an example of constructing a fingerprint packet in a zip format for data transmission. This method first needs to use independent IDs to identify samples, DNA, fingerprint data and fingerprint atlas. After that, the json format data file contains all the loci, samples and DNA information. Each fingerprint data is stored independently in its own json format file. The fingerprint ID will be bound to the corresponding </w:t>
      </w:r>
      <w:r w:rsidRPr="00832052">
        <w:rPr>
          <w:color w:val="000000" w:themeColor="text1"/>
          <w:lang w:eastAsia="zh-CN"/>
        </w:rPr>
        <w:t xml:space="preserve">locus </w:t>
      </w:r>
      <w:r w:rsidRPr="00832052">
        <w:rPr>
          <w:color w:val="000000" w:themeColor="text1"/>
        </w:rPr>
        <w:t xml:space="preserve">of the fingerprint data, and all fingerprint data files and fingerprint </w:t>
      </w:r>
      <w:r w:rsidRPr="00832052">
        <w:rPr>
          <w:color w:val="000000" w:themeColor="text1"/>
          <w:lang w:eastAsia="zh-CN"/>
        </w:rPr>
        <w:t xml:space="preserve">spectrum </w:t>
      </w:r>
      <w:r w:rsidRPr="00832052">
        <w:rPr>
          <w:color w:val="000000" w:themeColor="text1"/>
        </w:rPr>
        <w:t>files will be stored independently in the corresponding directory. So the format structure of the fingerprint data packet is as follows:</w:t>
      </w:r>
    </w:p>
    <w:p w:rsidR="00DF1F17" w:rsidRPr="00832052" w:rsidRDefault="00DF1F17" w:rsidP="00DF1F17">
      <w:pPr>
        <w:rPr>
          <w:color w:val="000000" w:themeColor="text1"/>
        </w:rPr>
      </w:pPr>
    </w:p>
    <w:p w:rsidR="00DF1F17" w:rsidRPr="00832052" w:rsidRDefault="00DF1F17" w:rsidP="00DF1F17">
      <w:pPr>
        <w:ind w:firstLine="420"/>
        <w:rPr>
          <w:color w:val="000000" w:themeColor="text1"/>
        </w:rPr>
      </w:pPr>
      <w:r w:rsidRPr="00832052">
        <w:rPr>
          <w:color w:val="000000" w:themeColor="text1"/>
        </w:rPr>
        <w:t>zip/markers.json</w:t>
      </w:r>
    </w:p>
    <w:p w:rsidR="00DF1F17" w:rsidRPr="00832052" w:rsidRDefault="00DF1F17" w:rsidP="00DF1F17">
      <w:pPr>
        <w:ind w:firstLine="420"/>
        <w:rPr>
          <w:color w:val="000000" w:themeColor="text1"/>
        </w:rPr>
      </w:pPr>
      <w:r w:rsidRPr="00832052">
        <w:rPr>
          <w:color w:val="000000" w:themeColor="text1"/>
        </w:rPr>
        <w:t>zip/samples.json</w:t>
      </w:r>
    </w:p>
    <w:p w:rsidR="00DF1F17" w:rsidRPr="007037B5" w:rsidRDefault="00DF1F17" w:rsidP="00DF1F17">
      <w:pPr>
        <w:ind w:firstLine="420"/>
        <w:rPr>
          <w:color w:val="000000" w:themeColor="text1"/>
          <w:lang w:val="de-DE"/>
        </w:rPr>
      </w:pPr>
      <w:r w:rsidRPr="007037B5">
        <w:rPr>
          <w:color w:val="000000" w:themeColor="text1"/>
          <w:lang w:val="de-DE"/>
        </w:rPr>
        <w:t>zip/dnas.json</w:t>
      </w:r>
    </w:p>
    <w:p w:rsidR="00DF1F17" w:rsidRPr="007037B5" w:rsidRDefault="00DF1F17" w:rsidP="00DF1F17">
      <w:pPr>
        <w:ind w:firstLine="420"/>
        <w:rPr>
          <w:color w:val="000000" w:themeColor="text1"/>
          <w:lang w:val="de-DE"/>
        </w:rPr>
      </w:pPr>
      <w:r w:rsidRPr="007037B5">
        <w:rPr>
          <w:color w:val="000000" w:themeColor="text1"/>
          <w:lang w:val="de-DE"/>
        </w:rPr>
        <w:t>zip/genes/gene_id_1.json</w:t>
      </w:r>
    </w:p>
    <w:p w:rsidR="00DF1F17" w:rsidRPr="007037B5" w:rsidRDefault="00DF1F17" w:rsidP="00DF1F17">
      <w:pPr>
        <w:ind w:firstLine="420"/>
        <w:rPr>
          <w:color w:val="000000" w:themeColor="text1"/>
          <w:lang w:val="de-DE"/>
        </w:rPr>
      </w:pPr>
      <w:r w:rsidRPr="007037B5">
        <w:rPr>
          <w:color w:val="000000" w:themeColor="text1"/>
          <w:lang w:val="de-DE"/>
        </w:rPr>
        <w:t>zip/genes/gene_id_2.json</w:t>
      </w:r>
    </w:p>
    <w:p w:rsidR="00DF1F17" w:rsidRPr="007037B5" w:rsidRDefault="00DF1F17" w:rsidP="00DF1F17">
      <w:pPr>
        <w:ind w:firstLine="420"/>
        <w:rPr>
          <w:color w:val="000000" w:themeColor="text1"/>
          <w:lang w:val="de-DE"/>
        </w:rPr>
      </w:pPr>
      <w:r w:rsidRPr="007037B5">
        <w:rPr>
          <w:color w:val="000000" w:themeColor="text1"/>
          <w:lang w:val="de-DE"/>
        </w:rPr>
        <w:t>......</w:t>
      </w:r>
    </w:p>
    <w:p w:rsidR="00DF1F17" w:rsidRPr="007037B5" w:rsidRDefault="00DF1F17" w:rsidP="00DF1F17">
      <w:pPr>
        <w:ind w:firstLine="420"/>
        <w:rPr>
          <w:color w:val="000000" w:themeColor="text1"/>
          <w:lang w:val="de-DE"/>
        </w:rPr>
      </w:pPr>
      <w:r w:rsidRPr="007037B5">
        <w:rPr>
          <w:color w:val="000000" w:themeColor="text1"/>
          <w:lang w:val="de-DE"/>
        </w:rPr>
        <w:t>zip/genes/gene_id_n.json</w:t>
      </w:r>
    </w:p>
    <w:p w:rsidR="00DF1F17" w:rsidRPr="007037B5" w:rsidRDefault="00DF1F17" w:rsidP="00DF1F17">
      <w:pPr>
        <w:ind w:firstLine="420"/>
        <w:rPr>
          <w:color w:val="000000" w:themeColor="text1"/>
          <w:lang w:val="de-DE"/>
        </w:rPr>
      </w:pPr>
      <w:r w:rsidRPr="007037B5">
        <w:rPr>
          <w:color w:val="000000" w:themeColor="text1"/>
          <w:lang w:val="de-DE"/>
        </w:rPr>
        <w:t>zip/maps/map_id_1.png</w:t>
      </w:r>
    </w:p>
    <w:p w:rsidR="00DF1F17" w:rsidRPr="007037B5" w:rsidRDefault="00DF1F17" w:rsidP="00DF1F17">
      <w:pPr>
        <w:ind w:firstLine="420"/>
        <w:rPr>
          <w:color w:val="000000" w:themeColor="text1"/>
          <w:lang w:val="de-DE"/>
        </w:rPr>
      </w:pPr>
      <w:r w:rsidRPr="007037B5">
        <w:rPr>
          <w:color w:val="000000" w:themeColor="text1"/>
          <w:lang w:val="de-DE"/>
        </w:rPr>
        <w:t>zip/maps/map_id_2.png</w:t>
      </w:r>
    </w:p>
    <w:p w:rsidR="00DF1F17" w:rsidRPr="00832052" w:rsidRDefault="00DF1F17" w:rsidP="00DF1F17">
      <w:pPr>
        <w:ind w:firstLine="420"/>
        <w:rPr>
          <w:color w:val="000000" w:themeColor="text1"/>
        </w:rPr>
      </w:pPr>
      <w:r w:rsidRPr="00832052">
        <w:rPr>
          <w:color w:val="000000" w:themeColor="text1"/>
        </w:rPr>
        <w:t>......</w:t>
      </w:r>
    </w:p>
    <w:p w:rsidR="00DF1F17" w:rsidRPr="00832052" w:rsidRDefault="00DF1F17" w:rsidP="00DF1F17">
      <w:pPr>
        <w:ind w:firstLine="420"/>
        <w:rPr>
          <w:color w:val="000000" w:themeColor="text1"/>
        </w:rPr>
      </w:pPr>
      <w:r w:rsidRPr="00832052">
        <w:rPr>
          <w:color w:val="000000" w:themeColor="text1"/>
        </w:rPr>
        <w:t>zip/maps/map_id_m.png</w:t>
      </w:r>
    </w:p>
    <w:p w:rsidR="00DF1F17" w:rsidRPr="00832052" w:rsidRDefault="00DF1F17" w:rsidP="00DF1F17">
      <w:pPr>
        <w:ind w:firstLine="420"/>
        <w:rPr>
          <w:color w:val="000000" w:themeColor="text1"/>
        </w:rPr>
      </w:pPr>
    </w:p>
    <w:p w:rsidR="00DF1F17" w:rsidRPr="00832052" w:rsidRDefault="00DF1F17" w:rsidP="00DF1F17">
      <w:pPr>
        <w:rPr>
          <w:color w:val="000000" w:themeColor="text1"/>
        </w:rPr>
      </w:pPr>
      <w:r w:rsidRPr="00832052">
        <w:rPr>
          <w:color w:val="000000" w:themeColor="text1"/>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DF1F17" w:rsidRDefault="00DF1F17" w:rsidP="00DF1F17"/>
    <w:p w:rsidR="00806AB4" w:rsidRPr="00832052" w:rsidRDefault="00806AB4" w:rsidP="00DF1F17"/>
    <w:p w:rsidR="00DF1F17" w:rsidRPr="00832052" w:rsidRDefault="00DF1F17" w:rsidP="00050E16">
      <w:pPr>
        <w:jc w:val="right"/>
      </w:pPr>
    </w:p>
    <w:p w:rsidR="00485380" w:rsidRPr="00832052" w:rsidRDefault="003265BF" w:rsidP="00050E16">
      <w:pPr>
        <w:jc w:val="right"/>
      </w:pPr>
      <w:r>
        <w:t>[End of Appendix to Annex and of document]</w:t>
      </w:r>
    </w:p>
    <w:sectPr w:rsidR="00485380" w:rsidRPr="00832052"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DA" w:rsidRDefault="005544DA" w:rsidP="006655D3">
      <w:r>
        <w:separator/>
      </w:r>
    </w:p>
    <w:p w:rsidR="005544DA" w:rsidRDefault="005544DA" w:rsidP="006655D3"/>
    <w:p w:rsidR="005544DA" w:rsidRDefault="005544DA" w:rsidP="006655D3"/>
  </w:endnote>
  <w:endnote w:type="continuationSeparator" w:id="0">
    <w:p w:rsidR="005544DA" w:rsidRDefault="005544DA" w:rsidP="006655D3">
      <w:r>
        <w:separator/>
      </w:r>
    </w:p>
    <w:p w:rsidR="005544DA" w:rsidRPr="00294751" w:rsidRDefault="005544DA">
      <w:pPr>
        <w:pStyle w:val="Footer"/>
        <w:spacing w:after="60"/>
        <w:rPr>
          <w:sz w:val="18"/>
          <w:lang w:val="fr-FR"/>
        </w:rPr>
      </w:pPr>
      <w:r w:rsidRPr="00294751">
        <w:rPr>
          <w:sz w:val="18"/>
          <w:lang w:val="fr-FR"/>
        </w:rPr>
        <w:t>[Suite de la note de la page précédente]</w:t>
      </w:r>
    </w:p>
    <w:p w:rsidR="005544DA" w:rsidRPr="00294751" w:rsidRDefault="005544DA" w:rsidP="006655D3">
      <w:pPr>
        <w:rPr>
          <w:lang w:val="fr-FR"/>
        </w:rPr>
      </w:pPr>
    </w:p>
    <w:p w:rsidR="005544DA" w:rsidRPr="00294751" w:rsidRDefault="005544DA" w:rsidP="006655D3">
      <w:pPr>
        <w:rPr>
          <w:lang w:val="fr-FR"/>
        </w:rPr>
      </w:pPr>
    </w:p>
  </w:endnote>
  <w:endnote w:type="continuationNotice" w:id="1">
    <w:p w:rsidR="005544DA" w:rsidRPr="00294751" w:rsidRDefault="005544DA" w:rsidP="006655D3">
      <w:pPr>
        <w:rPr>
          <w:lang w:val="fr-FR"/>
        </w:rPr>
      </w:pPr>
      <w:r w:rsidRPr="00294751">
        <w:rPr>
          <w:lang w:val="fr-FR"/>
        </w:rPr>
        <w:t>[Suite de la note page suivante]</w:t>
      </w:r>
    </w:p>
    <w:p w:rsidR="005544DA" w:rsidRPr="00294751" w:rsidRDefault="005544DA" w:rsidP="006655D3">
      <w:pPr>
        <w:rPr>
          <w:lang w:val="fr-FR"/>
        </w:rPr>
      </w:pPr>
    </w:p>
    <w:p w:rsidR="005544DA" w:rsidRPr="00294751" w:rsidRDefault="005544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Default="00554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Default="00554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Default="0055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DA" w:rsidRDefault="005544DA" w:rsidP="006655D3">
      <w:r>
        <w:separator/>
      </w:r>
    </w:p>
  </w:footnote>
  <w:footnote w:type="continuationSeparator" w:id="0">
    <w:p w:rsidR="005544DA" w:rsidRDefault="005544DA" w:rsidP="006655D3">
      <w:r>
        <w:separator/>
      </w:r>
    </w:p>
  </w:footnote>
  <w:footnote w:type="continuationNotice" w:id="1">
    <w:p w:rsidR="005544DA" w:rsidRPr="00AB530F" w:rsidRDefault="005544DA" w:rsidP="00AB530F">
      <w:pPr>
        <w:pStyle w:val="Footer"/>
      </w:pPr>
    </w:p>
  </w:footnote>
  <w:footnote w:id="2">
    <w:p w:rsidR="005544DA" w:rsidRDefault="005544DA">
      <w:pPr>
        <w:pStyle w:val="FootnoteText"/>
      </w:pPr>
      <w:r>
        <w:rPr>
          <w:rStyle w:val="FootnoteReference"/>
        </w:rPr>
        <w:footnoteRef/>
      </w:r>
      <w:r>
        <w:t xml:space="preserve"> Held in Geneva on October 28 and 29, 20</w:t>
      </w:r>
      <w:r w:rsidR="00360D66">
        <w:t>19</w:t>
      </w:r>
    </w:p>
  </w:footnote>
  <w:footnote w:id="3">
    <w:p w:rsidR="005544DA" w:rsidRDefault="005544DA">
      <w:pPr>
        <w:pStyle w:val="FootnoteText"/>
      </w:pPr>
      <w:r>
        <w:rPr>
          <w:rStyle w:val="FootnoteReference"/>
        </w:rPr>
        <w:footnoteRef/>
      </w:r>
      <w:r>
        <w:t xml:space="preserve"> Held in Hangzhou, China, from October 16 to 18, 20</w:t>
      </w:r>
      <w:r w:rsidR="00360D66">
        <w:t>19</w:t>
      </w:r>
    </w:p>
  </w:footnote>
  <w:footnote w:id="4">
    <w:p w:rsidR="005544DA" w:rsidRPr="00705CF5" w:rsidRDefault="005544DA">
      <w:pPr>
        <w:pStyle w:val="FootnoteText"/>
      </w:pPr>
      <w:r>
        <w:rPr>
          <w:rStyle w:val="FootnoteReference"/>
        </w:rPr>
        <w:footnoteRef/>
      </w:r>
      <w:r>
        <w:t xml:space="preserve"> </w:t>
      </w:r>
      <w:r w:rsidRPr="00705CF5">
        <w:t>Hosted by the United States of America and held via electronic means from September 23 to 25,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485380">
    <w:pPr>
      <w:pStyle w:val="Header"/>
      <w:rPr>
        <w:rStyle w:val="PageNumber"/>
        <w:lang w:val="en-US"/>
      </w:rPr>
    </w:pPr>
    <w:r>
      <w:rPr>
        <w:rStyle w:val="PageNumber"/>
        <w:lang w:val="en-US"/>
      </w:rPr>
      <w:t>TC/56/13</w:t>
    </w:r>
  </w:p>
  <w:p w:rsidR="005544DA" w:rsidRPr="00C5280D" w:rsidRDefault="005544DA" w:rsidP="0048538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4C2E">
      <w:rPr>
        <w:rStyle w:val="PageNumber"/>
        <w:noProof/>
        <w:lang w:val="en-US"/>
      </w:rPr>
      <w:t>2</w:t>
    </w:r>
    <w:r w:rsidRPr="00C5280D">
      <w:rPr>
        <w:rStyle w:val="PageNumber"/>
        <w:lang w:val="en-US"/>
      </w:rPr>
      <w:fldChar w:fldCharType="end"/>
    </w:r>
  </w:p>
  <w:p w:rsidR="005544DA" w:rsidRDefault="00554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Default="00554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B443BB">
    <w:pPr>
      <w:pStyle w:val="Header"/>
      <w:rPr>
        <w:rStyle w:val="PageNumber"/>
        <w:lang w:val="en-US"/>
      </w:rPr>
    </w:pPr>
    <w:r>
      <w:rPr>
        <w:rStyle w:val="PageNumber"/>
        <w:lang w:val="en-US"/>
      </w:rPr>
      <w:t>TC/56/13</w:t>
    </w:r>
  </w:p>
  <w:p w:rsidR="005544DA" w:rsidRPr="00C5280D" w:rsidRDefault="005544DA" w:rsidP="00B443BB">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4C2E">
      <w:rPr>
        <w:rStyle w:val="PageNumber"/>
        <w:noProof/>
        <w:lang w:val="en-US"/>
      </w:rPr>
      <w:t>8</w:t>
    </w:r>
    <w:r w:rsidRPr="00C5280D">
      <w:rPr>
        <w:rStyle w:val="PageNumber"/>
        <w:lang w:val="en-US"/>
      </w:rPr>
      <w:fldChar w:fldCharType="end"/>
    </w:r>
  </w:p>
  <w:p w:rsidR="005544DA" w:rsidRPr="00837733" w:rsidRDefault="005544DA" w:rsidP="00B443BB">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B443BB">
    <w:pPr>
      <w:pStyle w:val="Header"/>
      <w:rPr>
        <w:rStyle w:val="PageNumber"/>
        <w:lang w:val="en-US"/>
      </w:rPr>
    </w:pPr>
    <w:r>
      <w:rPr>
        <w:rStyle w:val="PageNumber"/>
        <w:lang w:val="en-US"/>
      </w:rPr>
      <w:t>TC/56/13</w:t>
    </w:r>
  </w:p>
  <w:p w:rsidR="005544DA" w:rsidRDefault="005544DA" w:rsidP="00203B8B">
    <w:pPr>
      <w:pStyle w:val="Header"/>
      <w:rPr>
        <w:lang w:val="en-US"/>
      </w:rPr>
    </w:pPr>
  </w:p>
  <w:p w:rsidR="005544DA" w:rsidRPr="00801DE9" w:rsidRDefault="005544DA" w:rsidP="00203B8B">
    <w:pPr>
      <w:pStyle w:val="Header"/>
    </w:pPr>
    <w:r>
      <w:rPr>
        <w:lang w:val="en-US"/>
      </w:rPr>
      <w:t>ANNEX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B443BB">
    <w:pPr>
      <w:pStyle w:val="Header"/>
      <w:rPr>
        <w:rStyle w:val="PageNumber"/>
        <w:lang w:val="en-US"/>
      </w:rPr>
    </w:pPr>
    <w:r>
      <w:rPr>
        <w:rStyle w:val="PageNumber"/>
        <w:lang w:val="en-US"/>
      </w:rPr>
      <w:t>TC/56/13</w:t>
    </w:r>
  </w:p>
  <w:p w:rsidR="005544DA" w:rsidRDefault="005544DA">
    <w:pPr>
      <w:pStyle w:val="Header"/>
      <w:rPr>
        <w:lang w:val="en-US"/>
      </w:rPr>
    </w:pPr>
  </w:p>
  <w:p w:rsidR="005544DA" w:rsidRPr="00C20A57" w:rsidRDefault="005544DA">
    <w:pPr>
      <w:pStyle w:val="Header"/>
      <w:rPr>
        <w:lang w:val="en-US"/>
      </w:rPr>
    </w:pPr>
    <w:r>
      <w:rPr>
        <w:lang w:val="en-US"/>
      </w:rPr>
      <w:t>APPENDIX TO ANNEX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801DE9" w:rsidRDefault="005544DA" w:rsidP="00203B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B443BB">
    <w:pPr>
      <w:pStyle w:val="Header"/>
      <w:rPr>
        <w:rStyle w:val="PageNumber"/>
        <w:lang w:val="en-US"/>
      </w:rPr>
    </w:pPr>
    <w:r>
      <w:rPr>
        <w:rStyle w:val="PageNumber"/>
        <w:lang w:val="en-US"/>
      </w:rPr>
      <w:t>TC/56/13</w:t>
    </w:r>
  </w:p>
  <w:p w:rsidR="005544DA" w:rsidRPr="00C5280D" w:rsidRDefault="005544DA" w:rsidP="00B443BB">
    <w:pPr>
      <w:pStyle w:val="Header"/>
      <w:rPr>
        <w:lang w:val="en-US"/>
      </w:rPr>
    </w:pPr>
    <w:r>
      <w:rPr>
        <w:lang w:val="en-US"/>
      </w:rPr>
      <w:t xml:space="preserve">Appendix to 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5544DA" w:rsidRPr="00801DE9" w:rsidRDefault="005544DA" w:rsidP="00203B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4DA" w:rsidRPr="00C5280D" w:rsidRDefault="005544DA" w:rsidP="00B443BB">
    <w:pPr>
      <w:pStyle w:val="Header"/>
      <w:rPr>
        <w:rStyle w:val="PageNumber"/>
        <w:lang w:val="en-US"/>
      </w:rPr>
    </w:pPr>
    <w:r>
      <w:rPr>
        <w:rStyle w:val="PageNumber"/>
        <w:lang w:val="en-US"/>
      </w:rPr>
      <w:t>TC/56/13</w:t>
    </w:r>
  </w:p>
  <w:p w:rsidR="005544DA" w:rsidRPr="00C5280D" w:rsidRDefault="005544DA" w:rsidP="00B443BB">
    <w:pPr>
      <w:pStyle w:val="Header"/>
      <w:rPr>
        <w:lang w:val="en-US"/>
      </w:rPr>
    </w:pPr>
    <w:r>
      <w:rPr>
        <w:lang w:val="en-US"/>
      </w:rPr>
      <w:t xml:space="preserve">Appendix to 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4C2E">
      <w:rPr>
        <w:rStyle w:val="PageNumber"/>
        <w:noProof/>
        <w:lang w:val="en-US"/>
      </w:rPr>
      <w:t>2</w:t>
    </w:r>
    <w:r w:rsidRPr="00C5280D">
      <w:rPr>
        <w:rStyle w:val="PageNumber"/>
        <w:lang w:val="en-US"/>
      </w:rPr>
      <w:fldChar w:fldCharType="end"/>
    </w:r>
  </w:p>
  <w:p w:rsidR="005544DA" w:rsidRPr="00C20A57" w:rsidRDefault="005544D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6AC"/>
    <w:multiLevelType w:val="hybridMultilevel"/>
    <w:tmpl w:val="7988F85C"/>
    <w:lvl w:ilvl="0" w:tplc="9F6A0B92">
      <w:start w:val="1"/>
      <w:numFmt w:val="lowerLetter"/>
      <w:lvlText w:val="(%1)"/>
      <w:lvlJc w:val="left"/>
      <w:pPr>
        <w:ind w:left="1284" w:hanging="360"/>
      </w:pPr>
      <w:rPr>
        <w:rFonts w:hint="default"/>
      </w:rPr>
    </w:lvl>
    <w:lvl w:ilvl="1" w:tplc="9F6A0B92">
      <w:start w:val="1"/>
      <w:numFmt w:val="lowerLetter"/>
      <w:lvlText w:val="(%2)"/>
      <w:lvlJc w:val="left"/>
      <w:pPr>
        <w:ind w:left="2004" w:hanging="360"/>
      </w:pPr>
      <w:rPr>
        <w:rFonts w:hint="default"/>
      </w:r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0"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51E4C"/>
    <w:multiLevelType w:val="hybridMultilevel"/>
    <w:tmpl w:val="3DDEEA28"/>
    <w:lvl w:ilvl="0" w:tplc="9F6A0B92">
      <w:start w:val="1"/>
      <w:numFmt w:val="lowerLetter"/>
      <w:lvlText w:val="(%1)"/>
      <w:lvlJc w:val="left"/>
      <w:pPr>
        <w:ind w:left="720" w:hanging="360"/>
      </w:pPr>
      <w:rPr>
        <w:rFonts w:hint="default"/>
      </w:rPr>
    </w:lvl>
    <w:lvl w:ilvl="1" w:tplc="9F6A0B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16243"/>
    <w:multiLevelType w:val="hybridMultilevel"/>
    <w:tmpl w:val="BEA0B5F2"/>
    <w:lvl w:ilvl="0" w:tplc="9F6A0B92">
      <w:start w:val="1"/>
      <w:numFmt w:val="lowerLetter"/>
      <w:lvlText w:val="(%1)"/>
      <w:lvlJc w:val="left"/>
      <w:pPr>
        <w:ind w:left="720" w:hanging="360"/>
      </w:pPr>
      <w:rPr>
        <w:rFonts w:hint="default"/>
      </w:rPr>
    </w:lvl>
    <w:lvl w:ilvl="1" w:tplc="9F6A0B9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DC047CA"/>
    <w:multiLevelType w:val="hybridMultilevel"/>
    <w:tmpl w:val="99828B3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344B5"/>
    <w:multiLevelType w:val="hybridMultilevel"/>
    <w:tmpl w:val="3436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B79"/>
    <w:multiLevelType w:val="hybridMultilevel"/>
    <w:tmpl w:val="46800CFE"/>
    <w:lvl w:ilvl="0" w:tplc="9F6A0B92">
      <w:start w:val="1"/>
      <w:numFmt w:val="lowerLetter"/>
      <w:lvlText w:val="(%1)"/>
      <w:lvlJc w:val="left"/>
      <w:pPr>
        <w:ind w:left="720" w:hanging="360"/>
      </w:pPr>
      <w:rPr>
        <w:rFonts w:hint="default"/>
      </w:rPr>
    </w:lvl>
    <w:lvl w:ilvl="1" w:tplc="ACE2C7D0">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B712D7E"/>
    <w:multiLevelType w:val="hybridMultilevel"/>
    <w:tmpl w:val="9CB2FD90"/>
    <w:lvl w:ilvl="0" w:tplc="38A80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22"/>
  </w:num>
  <w:num w:numId="3">
    <w:abstractNumId w:val="16"/>
  </w:num>
  <w:num w:numId="4">
    <w:abstractNumId w:val="12"/>
  </w:num>
  <w:num w:numId="5">
    <w:abstractNumId w:val="9"/>
  </w:num>
  <w:num w:numId="6">
    <w:abstractNumId w:val="30"/>
  </w:num>
  <w:num w:numId="7">
    <w:abstractNumId w:val="26"/>
  </w:num>
  <w:num w:numId="8">
    <w:abstractNumId w:val="19"/>
  </w:num>
  <w:num w:numId="9">
    <w:abstractNumId w:val="15"/>
  </w:num>
  <w:num w:numId="10">
    <w:abstractNumId w:val="0"/>
  </w:num>
  <w:num w:numId="11">
    <w:abstractNumId w:val="17"/>
  </w:num>
  <w:num w:numId="12">
    <w:abstractNumId w:val="6"/>
  </w:num>
  <w:num w:numId="13">
    <w:abstractNumId w:val="10"/>
  </w:num>
  <w:num w:numId="14">
    <w:abstractNumId w:val="25"/>
  </w:num>
  <w:num w:numId="15">
    <w:abstractNumId w:val="29"/>
  </w:num>
  <w:num w:numId="16">
    <w:abstractNumId w:val="18"/>
  </w:num>
  <w:num w:numId="17">
    <w:abstractNumId w:val="3"/>
  </w:num>
  <w:num w:numId="18">
    <w:abstractNumId w:val="1"/>
  </w:num>
  <w:num w:numId="19">
    <w:abstractNumId w:val="27"/>
  </w:num>
  <w:num w:numId="20">
    <w:abstractNumId w:val="14"/>
  </w:num>
  <w:num w:numId="21">
    <w:abstractNumId w:val="4"/>
  </w:num>
  <w:num w:numId="22">
    <w:abstractNumId w:val="11"/>
  </w:num>
  <w:num w:numId="23">
    <w:abstractNumId w:val="7"/>
  </w:num>
  <w:num w:numId="24">
    <w:abstractNumId w:val="24"/>
  </w:num>
  <w:num w:numId="25">
    <w:abstractNumId w:val="21"/>
  </w:num>
  <w:num w:numId="26">
    <w:abstractNumId w:val="23"/>
  </w:num>
  <w:num w:numId="27">
    <w:abstractNumId w:val="8"/>
  </w:num>
  <w:num w:numId="28">
    <w:abstractNumId w:val="28"/>
  </w:num>
  <w:num w:numId="29">
    <w:abstractNumId w:val="13"/>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4ED1"/>
    <w:rsid w:val="00010CF3"/>
    <w:rsid w:val="00011E27"/>
    <w:rsid w:val="000148BC"/>
    <w:rsid w:val="00021B34"/>
    <w:rsid w:val="00024AB8"/>
    <w:rsid w:val="00030854"/>
    <w:rsid w:val="00036028"/>
    <w:rsid w:val="00036D11"/>
    <w:rsid w:val="00044642"/>
    <w:rsid w:val="000446B9"/>
    <w:rsid w:val="00047E21"/>
    <w:rsid w:val="00050E16"/>
    <w:rsid w:val="000741A2"/>
    <w:rsid w:val="00074AE7"/>
    <w:rsid w:val="00085505"/>
    <w:rsid w:val="000B29B6"/>
    <w:rsid w:val="000C4E25"/>
    <w:rsid w:val="000C7021"/>
    <w:rsid w:val="000D6BBC"/>
    <w:rsid w:val="000D7780"/>
    <w:rsid w:val="000E636A"/>
    <w:rsid w:val="000F2F11"/>
    <w:rsid w:val="00105929"/>
    <w:rsid w:val="00110C36"/>
    <w:rsid w:val="001131D5"/>
    <w:rsid w:val="00116403"/>
    <w:rsid w:val="0013222A"/>
    <w:rsid w:val="00141DB8"/>
    <w:rsid w:val="00172084"/>
    <w:rsid w:val="0017474A"/>
    <w:rsid w:val="001758C6"/>
    <w:rsid w:val="00182B99"/>
    <w:rsid w:val="001833F7"/>
    <w:rsid w:val="0018589F"/>
    <w:rsid w:val="001D1213"/>
    <w:rsid w:val="001F1497"/>
    <w:rsid w:val="0020054C"/>
    <w:rsid w:val="00203B8B"/>
    <w:rsid w:val="00204ACA"/>
    <w:rsid w:val="0021332C"/>
    <w:rsid w:val="00213982"/>
    <w:rsid w:val="00225BAA"/>
    <w:rsid w:val="0024416D"/>
    <w:rsid w:val="00252944"/>
    <w:rsid w:val="00271911"/>
    <w:rsid w:val="002800A0"/>
    <w:rsid w:val="002801B3"/>
    <w:rsid w:val="00281060"/>
    <w:rsid w:val="002940E8"/>
    <w:rsid w:val="00294751"/>
    <w:rsid w:val="002A6E50"/>
    <w:rsid w:val="002B2810"/>
    <w:rsid w:val="002B4298"/>
    <w:rsid w:val="002C256A"/>
    <w:rsid w:val="0030317F"/>
    <w:rsid w:val="00304827"/>
    <w:rsid w:val="00305A7F"/>
    <w:rsid w:val="003152FE"/>
    <w:rsid w:val="003265BF"/>
    <w:rsid w:val="00327436"/>
    <w:rsid w:val="00340D10"/>
    <w:rsid w:val="00344BD6"/>
    <w:rsid w:val="0035528D"/>
    <w:rsid w:val="00357E26"/>
    <w:rsid w:val="00360D66"/>
    <w:rsid w:val="00361821"/>
    <w:rsid w:val="00361E9E"/>
    <w:rsid w:val="003A10BA"/>
    <w:rsid w:val="003A27EF"/>
    <w:rsid w:val="003C7FBE"/>
    <w:rsid w:val="003D227C"/>
    <w:rsid w:val="003D2B4D"/>
    <w:rsid w:val="00403992"/>
    <w:rsid w:val="00444A88"/>
    <w:rsid w:val="00474DA4"/>
    <w:rsid w:val="00476B4D"/>
    <w:rsid w:val="004805FA"/>
    <w:rsid w:val="00485380"/>
    <w:rsid w:val="004935D2"/>
    <w:rsid w:val="0049585B"/>
    <w:rsid w:val="00496DBB"/>
    <w:rsid w:val="004B1215"/>
    <w:rsid w:val="004D047D"/>
    <w:rsid w:val="004F1E9E"/>
    <w:rsid w:val="004F305A"/>
    <w:rsid w:val="00512164"/>
    <w:rsid w:val="00513711"/>
    <w:rsid w:val="00515F7C"/>
    <w:rsid w:val="00520297"/>
    <w:rsid w:val="00525544"/>
    <w:rsid w:val="005338F9"/>
    <w:rsid w:val="0054281C"/>
    <w:rsid w:val="00544581"/>
    <w:rsid w:val="00545708"/>
    <w:rsid w:val="005467D6"/>
    <w:rsid w:val="0055268D"/>
    <w:rsid w:val="005544DA"/>
    <w:rsid w:val="0056678B"/>
    <w:rsid w:val="00576BE4"/>
    <w:rsid w:val="005817D9"/>
    <w:rsid w:val="005A400A"/>
    <w:rsid w:val="005A5553"/>
    <w:rsid w:val="005D1380"/>
    <w:rsid w:val="005F7B92"/>
    <w:rsid w:val="00612379"/>
    <w:rsid w:val="006153B6"/>
    <w:rsid w:val="0061555F"/>
    <w:rsid w:val="00636CA6"/>
    <w:rsid w:val="00641200"/>
    <w:rsid w:val="00645CA8"/>
    <w:rsid w:val="006655D3"/>
    <w:rsid w:val="00667404"/>
    <w:rsid w:val="00673520"/>
    <w:rsid w:val="00674772"/>
    <w:rsid w:val="00682D2D"/>
    <w:rsid w:val="0068485D"/>
    <w:rsid w:val="00686841"/>
    <w:rsid w:val="00687EB4"/>
    <w:rsid w:val="00695C56"/>
    <w:rsid w:val="006A5CDE"/>
    <w:rsid w:val="006A644A"/>
    <w:rsid w:val="006B17D2"/>
    <w:rsid w:val="006C224E"/>
    <w:rsid w:val="006D1444"/>
    <w:rsid w:val="006D3FF6"/>
    <w:rsid w:val="006D7435"/>
    <w:rsid w:val="006D780A"/>
    <w:rsid w:val="006F3E80"/>
    <w:rsid w:val="00700599"/>
    <w:rsid w:val="007037B5"/>
    <w:rsid w:val="00705CF5"/>
    <w:rsid w:val="0071271E"/>
    <w:rsid w:val="00732DEC"/>
    <w:rsid w:val="00735BD5"/>
    <w:rsid w:val="00751613"/>
    <w:rsid w:val="007556F6"/>
    <w:rsid w:val="00760EEF"/>
    <w:rsid w:val="007645F2"/>
    <w:rsid w:val="00777EE5"/>
    <w:rsid w:val="00784836"/>
    <w:rsid w:val="0079023E"/>
    <w:rsid w:val="007A1CCA"/>
    <w:rsid w:val="007A2854"/>
    <w:rsid w:val="007B4D86"/>
    <w:rsid w:val="007C1D92"/>
    <w:rsid w:val="007C49D4"/>
    <w:rsid w:val="007C4CB9"/>
    <w:rsid w:val="007D0B9D"/>
    <w:rsid w:val="007D19B0"/>
    <w:rsid w:val="007F498F"/>
    <w:rsid w:val="0080679D"/>
    <w:rsid w:val="00806AB4"/>
    <w:rsid w:val="008108B0"/>
    <w:rsid w:val="00811B20"/>
    <w:rsid w:val="008211B5"/>
    <w:rsid w:val="00822657"/>
    <w:rsid w:val="0082296E"/>
    <w:rsid w:val="00823D34"/>
    <w:rsid w:val="00824099"/>
    <w:rsid w:val="00832052"/>
    <w:rsid w:val="008326A0"/>
    <w:rsid w:val="00846D7C"/>
    <w:rsid w:val="008619BE"/>
    <w:rsid w:val="00867AC1"/>
    <w:rsid w:val="00882C6F"/>
    <w:rsid w:val="00890DF8"/>
    <w:rsid w:val="008A743F"/>
    <w:rsid w:val="008B6E60"/>
    <w:rsid w:val="008C0970"/>
    <w:rsid w:val="008D0BC5"/>
    <w:rsid w:val="008D2A77"/>
    <w:rsid w:val="008D2CF7"/>
    <w:rsid w:val="008D7E86"/>
    <w:rsid w:val="00900C26"/>
    <w:rsid w:val="0090197F"/>
    <w:rsid w:val="00906DDC"/>
    <w:rsid w:val="00912F53"/>
    <w:rsid w:val="0091714B"/>
    <w:rsid w:val="00934E09"/>
    <w:rsid w:val="00935115"/>
    <w:rsid w:val="00936253"/>
    <w:rsid w:val="009369B8"/>
    <w:rsid w:val="00940D46"/>
    <w:rsid w:val="00942748"/>
    <w:rsid w:val="00952DD4"/>
    <w:rsid w:val="00960A2C"/>
    <w:rsid w:val="00965AE7"/>
    <w:rsid w:val="00970FED"/>
    <w:rsid w:val="00974047"/>
    <w:rsid w:val="00992D82"/>
    <w:rsid w:val="00997029"/>
    <w:rsid w:val="009A50B8"/>
    <w:rsid w:val="009A7339"/>
    <w:rsid w:val="009B1FBE"/>
    <w:rsid w:val="009B440E"/>
    <w:rsid w:val="009D690D"/>
    <w:rsid w:val="009E65B6"/>
    <w:rsid w:val="00A24C10"/>
    <w:rsid w:val="00A308C3"/>
    <w:rsid w:val="00A37C2B"/>
    <w:rsid w:val="00A42AC3"/>
    <w:rsid w:val="00A430CF"/>
    <w:rsid w:val="00A54309"/>
    <w:rsid w:val="00A57E83"/>
    <w:rsid w:val="00AA18B2"/>
    <w:rsid w:val="00AB2B93"/>
    <w:rsid w:val="00AB530F"/>
    <w:rsid w:val="00AB7E5B"/>
    <w:rsid w:val="00AC2883"/>
    <w:rsid w:val="00AD7632"/>
    <w:rsid w:val="00AE0EF1"/>
    <w:rsid w:val="00AE2937"/>
    <w:rsid w:val="00AE7FDE"/>
    <w:rsid w:val="00B07301"/>
    <w:rsid w:val="00B104FC"/>
    <w:rsid w:val="00B11F3E"/>
    <w:rsid w:val="00B224DE"/>
    <w:rsid w:val="00B31E8A"/>
    <w:rsid w:val="00B324D4"/>
    <w:rsid w:val="00B443BB"/>
    <w:rsid w:val="00B46575"/>
    <w:rsid w:val="00B61777"/>
    <w:rsid w:val="00B80A6D"/>
    <w:rsid w:val="00B82D78"/>
    <w:rsid w:val="00B84BBD"/>
    <w:rsid w:val="00B97F2C"/>
    <w:rsid w:val="00BA43FB"/>
    <w:rsid w:val="00BC127D"/>
    <w:rsid w:val="00BC1FE6"/>
    <w:rsid w:val="00BE6608"/>
    <w:rsid w:val="00C061B6"/>
    <w:rsid w:val="00C13FE6"/>
    <w:rsid w:val="00C239B5"/>
    <w:rsid w:val="00C2446C"/>
    <w:rsid w:val="00C36AE5"/>
    <w:rsid w:val="00C41F17"/>
    <w:rsid w:val="00C527FA"/>
    <w:rsid w:val="00C5280D"/>
    <w:rsid w:val="00C53EB3"/>
    <w:rsid w:val="00C5791C"/>
    <w:rsid w:val="00C66290"/>
    <w:rsid w:val="00C72B7A"/>
    <w:rsid w:val="00C973F2"/>
    <w:rsid w:val="00CA304C"/>
    <w:rsid w:val="00CA55DF"/>
    <w:rsid w:val="00CA774A"/>
    <w:rsid w:val="00CB6220"/>
    <w:rsid w:val="00CC11B0"/>
    <w:rsid w:val="00CC2841"/>
    <w:rsid w:val="00CF1330"/>
    <w:rsid w:val="00CF7E36"/>
    <w:rsid w:val="00D24C2E"/>
    <w:rsid w:val="00D3708D"/>
    <w:rsid w:val="00D40426"/>
    <w:rsid w:val="00D57C96"/>
    <w:rsid w:val="00D57D18"/>
    <w:rsid w:val="00D91203"/>
    <w:rsid w:val="00D95174"/>
    <w:rsid w:val="00DA4973"/>
    <w:rsid w:val="00DA6F36"/>
    <w:rsid w:val="00DB596E"/>
    <w:rsid w:val="00DB7773"/>
    <w:rsid w:val="00DC00EA"/>
    <w:rsid w:val="00DC3802"/>
    <w:rsid w:val="00DD7591"/>
    <w:rsid w:val="00DF1F17"/>
    <w:rsid w:val="00E07D87"/>
    <w:rsid w:val="00E167AF"/>
    <w:rsid w:val="00E32F7E"/>
    <w:rsid w:val="00E47493"/>
    <w:rsid w:val="00E5267B"/>
    <w:rsid w:val="00E63C0E"/>
    <w:rsid w:val="00E72D49"/>
    <w:rsid w:val="00E75233"/>
    <w:rsid w:val="00E7593C"/>
    <w:rsid w:val="00E7678A"/>
    <w:rsid w:val="00E92AA7"/>
    <w:rsid w:val="00E935F1"/>
    <w:rsid w:val="00E94A81"/>
    <w:rsid w:val="00EA1FFB"/>
    <w:rsid w:val="00EB048E"/>
    <w:rsid w:val="00EB4E9C"/>
    <w:rsid w:val="00EC4A49"/>
    <w:rsid w:val="00EE34DF"/>
    <w:rsid w:val="00EF2F89"/>
    <w:rsid w:val="00F03E98"/>
    <w:rsid w:val="00F101A0"/>
    <w:rsid w:val="00F1237A"/>
    <w:rsid w:val="00F12DE3"/>
    <w:rsid w:val="00F22CBD"/>
    <w:rsid w:val="00F24EE7"/>
    <w:rsid w:val="00F272F1"/>
    <w:rsid w:val="00F30951"/>
    <w:rsid w:val="00F345F0"/>
    <w:rsid w:val="00F362DD"/>
    <w:rsid w:val="00F45372"/>
    <w:rsid w:val="00F560F7"/>
    <w:rsid w:val="00F6334D"/>
    <w:rsid w:val="00F913DA"/>
    <w:rsid w:val="00F94ED8"/>
    <w:rsid w:val="00FA49AB"/>
    <w:rsid w:val="00FD3E42"/>
    <w:rsid w:val="00FE39C7"/>
    <w:rsid w:val="00FE70C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B2D750"/>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12DE3"/>
    <w:pPr>
      <w:outlineLvl w:val="5"/>
    </w:pPr>
    <w:rPr>
      <w:lang w:val="es-ES_tradnl"/>
    </w:rPr>
  </w:style>
  <w:style w:type="paragraph" w:styleId="Heading7">
    <w:name w:val="heading 7"/>
    <w:basedOn w:val="Normal"/>
    <w:next w:val="Normal"/>
    <w:link w:val="Heading7Char"/>
    <w:qFormat/>
    <w:rsid w:val="00F12DE3"/>
    <w:pPr>
      <w:spacing w:before="240" w:after="60"/>
      <w:outlineLvl w:val="6"/>
    </w:pPr>
    <w:rPr>
      <w:szCs w:val="24"/>
    </w:rPr>
  </w:style>
  <w:style w:type="paragraph" w:styleId="Heading8">
    <w:name w:val="heading 8"/>
    <w:basedOn w:val="Normal"/>
    <w:next w:val="Normal"/>
    <w:link w:val="Heading8Char"/>
    <w:qFormat/>
    <w:rsid w:val="00F12DE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F12DE3"/>
    <w:rPr>
      <w:rFonts w:ascii="Arial" w:hAnsi="Arial"/>
      <w:lang w:val="es-ES_tradnl"/>
    </w:rPr>
  </w:style>
  <w:style w:type="character" w:customStyle="1" w:styleId="Heading7Char">
    <w:name w:val="Heading 7 Char"/>
    <w:basedOn w:val="DefaultParagraphFont"/>
    <w:link w:val="Heading7"/>
    <w:rsid w:val="00F12DE3"/>
    <w:rPr>
      <w:rFonts w:ascii="Arial" w:hAnsi="Arial"/>
      <w:szCs w:val="24"/>
    </w:rPr>
  </w:style>
  <w:style w:type="character" w:customStyle="1" w:styleId="Heading8Char">
    <w:name w:val="Heading 8 Char"/>
    <w:basedOn w:val="DefaultParagraphFont"/>
    <w:link w:val="Heading8"/>
    <w:rsid w:val="00F12DE3"/>
    <w:rPr>
      <w:rFonts w:ascii="Arial" w:hAnsi="Arial"/>
      <w:u w:val="single"/>
    </w:rPr>
  </w:style>
  <w:style w:type="character" w:customStyle="1" w:styleId="FootnoteTextChar">
    <w:name w:val="Footnote Text Char"/>
    <w:basedOn w:val="DefaultParagraphFont"/>
    <w:link w:val="FootnoteText"/>
    <w:rsid w:val="00F12DE3"/>
    <w:rPr>
      <w:rFonts w:ascii="Arial" w:hAnsi="Arial"/>
      <w:sz w:val="16"/>
    </w:rPr>
  </w:style>
  <w:style w:type="paragraph" w:styleId="ListParagraph">
    <w:name w:val="List Paragraph"/>
    <w:basedOn w:val="Normal"/>
    <w:uiPriority w:val="34"/>
    <w:qFormat/>
    <w:rsid w:val="00F12DE3"/>
    <w:pPr>
      <w:ind w:left="720"/>
      <w:contextualSpacing/>
    </w:pPr>
  </w:style>
  <w:style w:type="paragraph" w:styleId="BodyTextIndent">
    <w:name w:val="Body Text Indent"/>
    <w:basedOn w:val="Normal"/>
    <w:link w:val="BodyTextIndentChar"/>
    <w:rsid w:val="00F12DE3"/>
    <w:pPr>
      <w:spacing w:after="120"/>
      <w:ind w:left="360"/>
    </w:pPr>
    <w:rPr>
      <w:rFonts w:eastAsiaTheme="minorEastAsia"/>
    </w:rPr>
  </w:style>
  <w:style w:type="character" w:customStyle="1" w:styleId="BodyTextIndentChar">
    <w:name w:val="Body Text Indent Char"/>
    <w:basedOn w:val="DefaultParagraphFont"/>
    <w:link w:val="BodyTextIndent"/>
    <w:rsid w:val="00F12DE3"/>
    <w:rPr>
      <w:rFonts w:ascii="Arial" w:eastAsiaTheme="minorEastAsia" w:hAnsi="Arial"/>
    </w:rPr>
  </w:style>
  <w:style w:type="character" w:customStyle="1" w:styleId="Heading3Char">
    <w:name w:val="Heading 3 Char"/>
    <w:basedOn w:val="DefaultParagraphFont"/>
    <w:link w:val="Heading3"/>
    <w:rsid w:val="00F12DE3"/>
    <w:rPr>
      <w:rFonts w:ascii="Arial" w:hAnsi="Arial"/>
      <w:i/>
    </w:rPr>
  </w:style>
  <w:style w:type="character" w:customStyle="1" w:styleId="plcountryChar">
    <w:name w:val="plcountry Char"/>
    <w:basedOn w:val="DefaultParagraphFont"/>
    <w:link w:val="plcountry"/>
    <w:rsid w:val="00F12DE3"/>
    <w:rPr>
      <w:rFonts w:ascii="Arial" w:hAnsi="Arial"/>
      <w:caps/>
      <w:noProof/>
      <w:snapToGrid w:val="0"/>
      <w:u w:val="single"/>
    </w:rPr>
  </w:style>
  <w:style w:type="character" w:customStyle="1" w:styleId="pldetailsChar">
    <w:name w:val="pldetails Char"/>
    <w:link w:val="pldetails"/>
    <w:locked/>
    <w:rsid w:val="00F12DE3"/>
    <w:rPr>
      <w:rFonts w:ascii="Arial" w:hAnsi="Arial"/>
      <w:noProof/>
      <w:snapToGrid w:val="0"/>
    </w:rPr>
  </w:style>
  <w:style w:type="character" w:customStyle="1" w:styleId="Heading1Char">
    <w:name w:val="Heading 1 Char"/>
    <w:basedOn w:val="DefaultParagraphFont"/>
    <w:link w:val="Heading1"/>
    <w:rsid w:val="00F12DE3"/>
    <w:rPr>
      <w:rFonts w:ascii="Arial" w:hAnsi="Arial"/>
      <w:caps/>
    </w:rPr>
  </w:style>
  <w:style w:type="numbering" w:customStyle="1" w:styleId="NoList1">
    <w:name w:val="No List1"/>
    <w:next w:val="NoList"/>
    <w:uiPriority w:val="99"/>
    <w:semiHidden/>
    <w:unhideWhenUsed/>
    <w:rsid w:val="00F12DE3"/>
  </w:style>
  <w:style w:type="paragraph" w:styleId="NormalWeb">
    <w:name w:val="Normal (Web)"/>
    <w:basedOn w:val="Normal"/>
    <w:rsid w:val="00F12DE3"/>
    <w:pPr>
      <w:spacing w:before="100" w:beforeAutospacing="1" w:after="100" w:afterAutospacing="1"/>
      <w:jc w:val="left"/>
    </w:pPr>
    <w:rPr>
      <w:szCs w:val="24"/>
    </w:rPr>
  </w:style>
  <w:style w:type="paragraph" w:customStyle="1" w:styleId="pdflink">
    <w:name w:val="pdflink"/>
    <w:basedOn w:val="Normal"/>
    <w:next w:val="Normal"/>
    <w:rsid w:val="00F12DE3"/>
    <w:rPr>
      <w:color w:val="800000"/>
      <w:u w:val="words"/>
    </w:rPr>
  </w:style>
  <w:style w:type="paragraph" w:customStyle="1" w:styleId="Draft">
    <w:name w:val="Draft"/>
    <w:basedOn w:val="Normal"/>
    <w:next w:val="preparedby"/>
    <w:rsid w:val="00F12DE3"/>
    <w:pPr>
      <w:spacing w:before="720" w:after="480"/>
      <w:jc w:val="center"/>
    </w:pPr>
    <w:rPr>
      <w:caps/>
      <w:sz w:val="28"/>
    </w:rPr>
  </w:style>
  <w:style w:type="paragraph" w:customStyle="1" w:styleId="quote1">
    <w:name w:val="quote1"/>
    <w:basedOn w:val="Normal"/>
    <w:semiHidden/>
    <w:rsid w:val="00F12DE3"/>
    <w:pPr>
      <w:ind w:left="567" w:right="565" w:firstLine="567"/>
    </w:pPr>
    <w:rPr>
      <w:snapToGrid w:val="0"/>
      <w:sz w:val="22"/>
      <w:szCs w:val="22"/>
    </w:rPr>
  </w:style>
  <w:style w:type="paragraph" w:customStyle="1" w:styleId="tqparabox">
    <w:name w:val="tqparabox"/>
    <w:basedOn w:val="Normal"/>
    <w:rsid w:val="00F12DE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12DE3"/>
    <w:pPr>
      <w:ind w:left="1200"/>
    </w:pPr>
  </w:style>
  <w:style w:type="character" w:customStyle="1" w:styleId="EndnoteTextChar">
    <w:name w:val="Endnote Text Char"/>
    <w:basedOn w:val="DefaultParagraphFont"/>
    <w:link w:val="EndnoteText"/>
    <w:rsid w:val="00F12DE3"/>
    <w:rPr>
      <w:rFonts w:ascii="Arial" w:hAnsi="Arial"/>
    </w:rPr>
  </w:style>
  <w:style w:type="paragraph" w:customStyle="1" w:styleId="twpcheck">
    <w:name w:val="twpcheck"/>
    <w:basedOn w:val="Normal"/>
    <w:rsid w:val="00F12DE3"/>
    <w:pPr>
      <w:spacing w:before="80" w:after="80"/>
      <w:jc w:val="left"/>
    </w:pPr>
    <w:rPr>
      <w:snapToGrid w:val="0"/>
      <w:sz w:val="16"/>
      <w:szCs w:val="16"/>
    </w:rPr>
  </w:style>
  <w:style w:type="paragraph" w:customStyle="1" w:styleId="DecisionInvitingPara">
    <w:name w:val="Decision Inviting Para."/>
    <w:basedOn w:val="Normal"/>
    <w:rsid w:val="00F12DE3"/>
    <w:pPr>
      <w:ind w:left="4536"/>
    </w:pPr>
    <w:rPr>
      <w:i/>
      <w:lang w:val="es-ES_tradnl"/>
    </w:rPr>
  </w:style>
  <w:style w:type="paragraph" w:customStyle="1" w:styleId="Enttepair">
    <w:name w:val="Entête_pair"/>
    <w:basedOn w:val="Normal"/>
    <w:next w:val="Normal"/>
    <w:rsid w:val="00F12DE3"/>
    <w:pPr>
      <w:pBdr>
        <w:bottom w:val="single" w:sz="4" w:space="1" w:color="auto"/>
      </w:pBdr>
      <w:jc w:val="left"/>
    </w:pPr>
    <w:rPr>
      <w:szCs w:val="24"/>
    </w:rPr>
  </w:style>
  <w:style w:type="paragraph" w:customStyle="1" w:styleId="Entteimpair">
    <w:name w:val="Entête_impair"/>
    <w:basedOn w:val="Normal"/>
    <w:next w:val="Normal"/>
    <w:rsid w:val="00F12DE3"/>
    <w:pPr>
      <w:pBdr>
        <w:bottom w:val="single" w:sz="4" w:space="1" w:color="auto"/>
      </w:pBdr>
      <w:jc w:val="right"/>
    </w:pPr>
  </w:style>
  <w:style w:type="table" w:styleId="TableGrid">
    <w:name w:val="Table Grid"/>
    <w:basedOn w:val="TableNormal"/>
    <w:rsid w:val="00F12DE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12DE3"/>
    <w:rPr>
      <w:rFonts w:ascii="Arial" w:hAnsi="Arial"/>
    </w:rPr>
  </w:style>
  <w:style w:type="paragraph" w:styleId="E-mailSignature">
    <w:name w:val="E-mail Signature"/>
    <w:basedOn w:val="Normal"/>
    <w:link w:val="E-mailSignatureChar"/>
    <w:rsid w:val="00F12DE3"/>
  </w:style>
  <w:style w:type="character" w:customStyle="1" w:styleId="E-mailSignatureChar">
    <w:name w:val="E-mail Signature Char"/>
    <w:basedOn w:val="DefaultParagraphFont"/>
    <w:link w:val="E-mailSignature"/>
    <w:rsid w:val="00F12DE3"/>
    <w:rPr>
      <w:rFonts w:ascii="Arial" w:hAnsi="Arial"/>
    </w:rPr>
  </w:style>
  <w:style w:type="character" w:styleId="Emphasis">
    <w:name w:val="Emphasis"/>
    <w:basedOn w:val="DefaultParagraphFont"/>
    <w:qFormat/>
    <w:rsid w:val="00F12DE3"/>
    <w:rPr>
      <w:i/>
      <w:iCs/>
    </w:rPr>
  </w:style>
  <w:style w:type="paragraph" w:styleId="EnvelopeAddress">
    <w:name w:val="envelope address"/>
    <w:basedOn w:val="Normal"/>
    <w:rsid w:val="00F12DE3"/>
    <w:pPr>
      <w:framePr w:w="7920" w:h="1980" w:hRule="exact" w:hSpace="180" w:wrap="auto" w:hAnchor="page" w:xAlign="center" w:yAlign="bottom"/>
      <w:ind w:left="2880"/>
    </w:pPr>
    <w:rPr>
      <w:szCs w:val="24"/>
    </w:rPr>
  </w:style>
  <w:style w:type="paragraph" w:styleId="EnvelopeReturn">
    <w:name w:val="envelope return"/>
    <w:basedOn w:val="Normal"/>
    <w:rsid w:val="00F12DE3"/>
  </w:style>
  <w:style w:type="character" w:styleId="HTMLAcronym">
    <w:name w:val="HTML Acronym"/>
    <w:basedOn w:val="DefaultParagraphFont"/>
    <w:rsid w:val="00F12DE3"/>
  </w:style>
  <w:style w:type="paragraph" w:styleId="HTMLAddress">
    <w:name w:val="HTML Address"/>
    <w:basedOn w:val="Normal"/>
    <w:link w:val="HTMLAddressChar"/>
    <w:rsid w:val="00F12DE3"/>
    <w:rPr>
      <w:i/>
      <w:iCs/>
    </w:rPr>
  </w:style>
  <w:style w:type="character" w:customStyle="1" w:styleId="HTMLAddressChar">
    <w:name w:val="HTML Address Char"/>
    <w:basedOn w:val="DefaultParagraphFont"/>
    <w:link w:val="HTMLAddress"/>
    <w:rsid w:val="00F12DE3"/>
    <w:rPr>
      <w:rFonts w:ascii="Arial" w:hAnsi="Arial"/>
      <w:i/>
      <w:iCs/>
    </w:rPr>
  </w:style>
  <w:style w:type="character" w:styleId="HTMLCite">
    <w:name w:val="HTML Cite"/>
    <w:basedOn w:val="DefaultParagraphFont"/>
    <w:rsid w:val="00F12DE3"/>
    <w:rPr>
      <w:i/>
      <w:iCs/>
    </w:rPr>
  </w:style>
  <w:style w:type="character" w:styleId="HTMLCode">
    <w:name w:val="HTML Code"/>
    <w:basedOn w:val="DefaultParagraphFont"/>
    <w:rsid w:val="00F12DE3"/>
    <w:rPr>
      <w:rFonts w:ascii="Courier New" w:hAnsi="Courier New" w:cs="Courier New"/>
      <w:sz w:val="20"/>
      <w:szCs w:val="20"/>
    </w:rPr>
  </w:style>
  <w:style w:type="character" w:styleId="HTMLDefinition">
    <w:name w:val="HTML Definition"/>
    <w:basedOn w:val="DefaultParagraphFont"/>
    <w:rsid w:val="00F12DE3"/>
    <w:rPr>
      <w:i/>
      <w:iCs/>
    </w:rPr>
  </w:style>
  <w:style w:type="character" w:styleId="HTMLKeyboard">
    <w:name w:val="HTML Keyboard"/>
    <w:basedOn w:val="DefaultParagraphFont"/>
    <w:rsid w:val="00F12DE3"/>
    <w:rPr>
      <w:rFonts w:ascii="Courier New" w:hAnsi="Courier New" w:cs="Courier New"/>
      <w:sz w:val="20"/>
      <w:szCs w:val="20"/>
    </w:rPr>
  </w:style>
  <w:style w:type="paragraph" w:styleId="HTMLPreformatted">
    <w:name w:val="HTML Preformatted"/>
    <w:basedOn w:val="Normal"/>
    <w:link w:val="HTMLPreformattedChar"/>
    <w:rsid w:val="00F12DE3"/>
    <w:rPr>
      <w:rFonts w:ascii="Courier New" w:hAnsi="Courier New" w:cs="Courier New"/>
    </w:rPr>
  </w:style>
  <w:style w:type="character" w:customStyle="1" w:styleId="HTMLPreformattedChar">
    <w:name w:val="HTML Preformatted Char"/>
    <w:basedOn w:val="DefaultParagraphFont"/>
    <w:link w:val="HTMLPreformatted"/>
    <w:rsid w:val="00F12DE3"/>
    <w:rPr>
      <w:rFonts w:ascii="Courier New" w:hAnsi="Courier New" w:cs="Courier New"/>
    </w:rPr>
  </w:style>
  <w:style w:type="character" w:styleId="HTMLSample">
    <w:name w:val="HTML Sample"/>
    <w:basedOn w:val="DefaultParagraphFont"/>
    <w:rsid w:val="00F12DE3"/>
    <w:rPr>
      <w:rFonts w:ascii="Courier New" w:hAnsi="Courier New" w:cs="Courier New"/>
    </w:rPr>
  </w:style>
  <w:style w:type="character" w:styleId="HTMLTypewriter">
    <w:name w:val="HTML Typewriter"/>
    <w:basedOn w:val="DefaultParagraphFont"/>
    <w:rsid w:val="00F12DE3"/>
    <w:rPr>
      <w:rFonts w:ascii="Courier New" w:hAnsi="Courier New" w:cs="Courier New"/>
      <w:sz w:val="20"/>
      <w:szCs w:val="20"/>
    </w:rPr>
  </w:style>
  <w:style w:type="character" w:styleId="HTMLVariable">
    <w:name w:val="HTML Variable"/>
    <w:basedOn w:val="DefaultParagraphFont"/>
    <w:rsid w:val="00F12DE3"/>
    <w:rPr>
      <w:i/>
      <w:iCs/>
    </w:rPr>
  </w:style>
  <w:style w:type="character" w:styleId="LineNumber">
    <w:name w:val="line number"/>
    <w:basedOn w:val="DefaultParagraphFont"/>
    <w:rsid w:val="00F12DE3"/>
  </w:style>
  <w:style w:type="paragraph" w:styleId="List">
    <w:name w:val="List"/>
    <w:basedOn w:val="Normal"/>
    <w:rsid w:val="00F12DE3"/>
    <w:pPr>
      <w:ind w:left="360" w:hanging="360"/>
    </w:pPr>
  </w:style>
  <w:style w:type="paragraph" w:styleId="List2">
    <w:name w:val="List 2"/>
    <w:basedOn w:val="Normal"/>
    <w:rsid w:val="00F12DE3"/>
    <w:pPr>
      <w:ind w:left="720" w:hanging="360"/>
    </w:pPr>
  </w:style>
  <w:style w:type="paragraph" w:styleId="List3">
    <w:name w:val="List 3"/>
    <w:basedOn w:val="Normal"/>
    <w:rsid w:val="00F12DE3"/>
    <w:pPr>
      <w:ind w:left="1080" w:hanging="360"/>
    </w:pPr>
  </w:style>
  <w:style w:type="paragraph" w:styleId="List4">
    <w:name w:val="List 4"/>
    <w:basedOn w:val="Normal"/>
    <w:rsid w:val="00F12DE3"/>
    <w:pPr>
      <w:ind w:left="1440" w:hanging="360"/>
    </w:pPr>
  </w:style>
  <w:style w:type="paragraph" w:styleId="List5">
    <w:name w:val="List 5"/>
    <w:basedOn w:val="Normal"/>
    <w:rsid w:val="00F12DE3"/>
    <w:pPr>
      <w:ind w:left="1800" w:hanging="360"/>
    </w:pPr>
  </w:style>
  <w:style w:type="paragraph" w:styleId="ListBullet">
    <w:name w:val="List Bullet"/>
    <w:basedOn w:val="Normal"/>
    <w:autoRedefine/>
    <w:rsid w:val="00F12DE3"/>
    <w:pPr>
      <w:tabs>
        <w:tab w:val="num" w:pos="360"/>
      </w:tabs>
      <w:ind w:left="360" w:hanging="360"/>
    </w:pPr>
    <w:rPr>
      <w:bCs/>
      <w:szCs w:val="24"/>
      <w:lang w:val="es-ES" w:eastAsia="zh-CN"/>
    </w:rPr>
  </w:style>
  <w:style w:type="paragraph" w:styleId="ListBullet2">
    <w:name w:val="List Bullet 2"/>
    <w:basedOn w:val="Normal"/>
    <w:rsid w:val="00F12DE3"/>
    <w:pPr>
      <w:tabs>
        <w:tab w:val="num" w:pos="720"/>
      </w:tabs>
      <w:ind w:left="720" w:hanging="360"/>
    </w:pPr>
  </w:style>
  <w:style w:type="paragraph" w:styleId="ListBullet3">
    <w:name w:val="List Bullet 3"/>
    <w:basedOn w:val="Normal"/>
    <w:rsid w:val="00F12DE3"/>
    <w:pPr>
      <w:tabs>
        <w:tab w:val="num" w:pos="1080"/>
      </w:tabs>
      <w:ind w:left="1080" w:hanging="360"/>
    </w:pPr>
  </w:style>
  <w:style w:type="paragraph" w:styleId="ListBullet4">
    <w:name w:val="List Bullet 4"/>
    <w:basedOn w:val="Normal"/>
    <w:rsid w:val="00F12DE3"/>
    <w:pPr>
      <w:tabs>
        <w:tab w:val="num" w:pos="1440"/>
      </w:tabs>
      <w:ind w:left="1440" w:hanging="360"/>
    </w:pPr>
  </w:style>
  <w:style w:type="paragraph" w:styleId="ListBullet5">
    <w:name w:val="List Bullet 5"/>
    <w:basedOn w:val="Normal"/>
    <w:rsid w:val="00F12DE3"/>
    <w:pPr>
      <w:tabs>
        <w:tab w:val="num" w:pos="1800"/>
      </w:tabs>
      <w:ind w:left="1800" w:hanging="360"/>
    </w:pPr>
  </w:style>
  <w:style w:type="paragraph" w:styleId="ListContinue">
    <w:name w:val="List Continue"/>
    <w:basedOn w:val="Normal"/>
    <w:rsid w:val="00F12DE3"/>
    <w:pPr>
      <w:spacing w:after="120"/>
      <w:ind w:left="360"/>
    </w:pPr>
  </w:style>
  <w:style w:type="paragraph" w:styleId="ListContinue2">
    <w:name w:val="List Continue 2"/>
    <w:basedOn w:val="Normal"/>
    <w:rsid w:val="00F12DE3"/>
    <w:pPr>
      <w:spacing w:after="120"/>
      <w:ind w:left="720"/>
    </w:pPr>
  </w:style>
  <w:style w:type="paragraph" w:styleId="ListContinue3">
    <w:name w:val="List Continue 3"/>
    <w:basedOn w:val="Normal"/>
    <w:rsid w:val="00F12DE3"/>
    <w:pPr>
      <w:spacing w:after="120"/>
      <w:ind w:left="1080"/>
    </w:pPr>
  </w:style>
  <w:style w:type="paragraph" w:styleId="ListContinue4">
    <w:name w:val="List Continue 4"/>
    <w:basedOn w:val="Normal"/>
    <w:rsid w:val="00F12DE3"/>
    <w:pPr>
      <w:spacing w:after="120"/>
      <w:ind w:left="1440"/>
    </w:pPr>
  </w:style>
  <w:style w:type="paragraph" w:styleId="ListContinue5">
    <w:name w:val="List Continue 5"/>
    <w:basedOn w:val="Normal"/>
    <w:rsid w:val="00F12DE3"/>
    <w:pPr>
      <w:spacing w:after="120"/>
      <w:ind w:left="1800"/>
    </w:pPr>
  </w:style>
  <w:style w:type="paragraph" w:styleId="ListNumber">
    <w:name w:val="List Number"/>
    <w:basedOn w:val="Normal"/>
    <w:rsid w:val="00F12DE3"/>
    <w:pPr>
      <w:tabs>
        <w:tab w:val="num" w:pos="360"/>
      </w:tabs>
      <w:ind w:left="360" w:hanging="360"/>
    </w:pPr>
  </w:style>
  <w:style w:type="paragraph" w:styleId="ListNumber2">
    <w:name w:val="List Number 2"/>
    <w:basedOn w:val="Normal"/>
    <w:rsid w:val="00F12DE3"/>
    <w:pPr>
      <w:tabs>
        <w:tab w:val="num" w:pos="720"/>
      </w:tabs>
      <w:ind w:left="720" w:hanging="360"/>
    </w:pPr>
  </w:style>
  <w:style w:type="paragraph" w:styleId="ListNumber3">
    <w:name w:val="List Number 3"/>
    <w:basedOn w:val="Normal"/>
    <w:rsid w:val="00F12DE3"/>
    <w:pPr>
      <w:tabs>
        <w:tab w:val="num" w:pos="1080"/>
      </w:tabs>
      <w:ind w:left="1080" w:hanging="360"/>
    </w:pPr>
  </w:style>
  <w:style w:type="paragraph" w:styleId="ListNumber4">
    <w:name w:val="List Number 4"/>
    <w:basedOn w:val="Normal"/>
    <w:rsid w:val="00F12DE3"/>
    <w:pPr>
      <w:tabs>
        <w:tab w:val="num" w:pos="1440"/>
      </w:tabs>
      <w:ind w:left="1440" w:hanging="360"/>
    </w:pPr>
  </w:style>
  <w:style w:type="paragraph" w:styleId="ListNumber5">
    <w:name w:val="List Number 5"/>
    <w:basedOn w:val="Normal"/>
    <w:rsid w:val="00F12DE3"/>
    <w:pPr>
      <w:tabs>
        <w:tab w:val="num" w:pos="1800"/>
      </w:tabs>
      <w:ind w:left="1800" w:hanging="360"/>
    </w:pPr>
  </w:style>
  <w:style w:type="paragraph" w:styleId="MessageHeader">
    <w:name w:val="Message Header"/>
    <w:basedOn w:val="Normal"/>
    <w:link w:val="MessageHeaderChar"/>
    <w:rsid w:val="00F12DE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12DE3"/>
    <w:rPr>
      <w:rFonts w:ascii="Arial" w:hAnsi="Arial"/>
      <w:szCs w:val="24"/>
      <w:shd w:val="pct20" w:color="auto" w:fill="auto"/>
    </w:rPr>
  </w:style>
  <w:style w:type="paragraph" w:styleId="NoteHeading">
    <w:name w:val="Note Heading"/>
    <w:basedOn w:val="Normal"/>
    <w:next w:val="Normal"/>
    <w:link w:val="NoteHeadingChar"/>
    <w:rsid w:val="00F12DE3"/>
  </w:style>
  <w:style w:type="character" w:customStyle="1" w:styleId="NoteHeadingChar">
    <w:name w:val="Note Heading Char"/>
    <w:basedOn w:val="DefaultParagraphFont"/>
    <w:link w:val="NoteHeading"/>
    <w:rsid w:val="00F12DE3"/>
    <w:rPr>
      <w:rFonts w:ascii="Arial" w:hAnsi="Arial"/>
    </w:rPr>
  </w:style>
  <w:style w:type="paragraph" w:styleId="Salutation">
    <w:name w:val="Salutation"/>
    <w:basedOn w:val="Normal"/>
    <w:next w:val="Normal"/>
    <w:link w:val="SalutationChar"/>
    <w:rsid w:val="00F12DE3"/>
  </w:style>
  <w:style w:type="character" w:customStyle="1" w:styleId="SalutationChar">
    <w:name w:val="Salutation Char"/>
    <w:basedOn w:val="DefaultParagraphFont"/>
    <w:link w:val="Salutation"/>
    <w:rsid w:val="00F12DE3"/>
    <w:rPr>
      <w:rFonts w:ascii="Arial" w:hAnsi="Arial"/>
    </w:rPr>
  </w:style>
  <w:style w:type="character" w:styleId="Strong">
    <w:name w:val="Strong"/>
    <w:basedOn w:val="DefaultParagraphFont"/>
    <w:qFormat/>
    <w:rsid w:val="00F12DE3"/>
    <w:rPr>
      <w:b/>
      <w:bCs/>
    </w:rPr>
  </w:style>
  <w:style w:type="paragraph" w:styleId="Subtitle">
    <w:name w:val="Subtitle"/>
    <w:basedOn w:val="Normal"/>
    <w:link w:val="SubtitleChar"/>
    <w:qFormat/>
    <w:rsid w:val="00F12DE3"/>
    <w:pPr>
      <w:spacing w:after="60"/>
      <w:jc w:val="center"/>
      <w:outlineLvl w:val="1"/>
    </w:pPr>
    <w:rPr>
      <w:szCs w:val="24"/>
    </w:rPr>
  </w:style>
  <w:style w:type="character" w:customStyle="1" w:styleId="SubtitleChar">
    <w:name w:val="Subtitle Char"/>
    <w:basedOn w:val="DefaultParagraphFont"/>
    <w:link w:val="Subtitle"/>
    <w:rsid w:val="00F12DE3"/>
    <w:rPr>
      <w:rFonts w:ascii="Arial" w:hAnsi="Arial"/>
      <w:szCs w:val="24"/>
    </w:rPr>
  </w:style>
  <w:style w:type="table" w:styleId="Table3Deffects1">
    <w:name w:val="Table 3D effects 1"/>
    <w:basedOn w:val="TableNormal"/>
    <w:rsid w:val="00F12DE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2DE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2DE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2DE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2DE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2DE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2DE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2DE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2DE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2DE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2DE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2DE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2DE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2DE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2DE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2DE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2DE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2DE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2DE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2DE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2DE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2DE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2DE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2DE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2DE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2DE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2DE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2DE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2DE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DE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2DE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2DE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2DE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2DE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2DE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2DE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12DE3"/>
    <w:pPr>
      <w:ind w:left="1440"/>
    </w:pPr>
  </w:style>
  <w:style w:type="paragraph" w:styleId="TOC8">
    <w:name w:val="toc 8"/>
    <w:basedOn w:val="Normal"/>
    <w:next w:val="Normal"/>
    <w:autoRedefine/>
    <w:rsid w:val="00F12DE3"/>
    <w:pPr>
      <w:ind w:left="1680"/>
    </w:pPr>
  </w:style>
  <w:style w:type="paragraph" w:styleId="TOC9">
    <w:name w:val="toc 9"/>
    <w:basedOn w:val="Normal"/>
    <w:next w:val="Normal"/>
    <w:autoRedefine/>
    <w:rsid w:val="00F12DE3"/>
    <w:pPr>
      <w:ind w:left="1920"/>
    </w:pPr>
  </w:style>
  <w:style w:type="character" w:styleId="FollowedHyperlink">
    <w:name w:val="FollowedHyperlink"/>
    <w:basedOn w:val="DefaultParagraphFont"/>
    <w:rsid w:val="00F12DE3"/>
    <w:rPr>
      <w:color w:val="606420"/>
      <w:u w:val="single"/>
    </w:rPr>
  </w:style>
  <w:style w:type="paragraph" w:styleId="BlockText">
    <w:name w:val="Block Text"/>
    <w:basedOn w:val="Normal"/>
    <w:rsid w:val="00F12DE3"/>
    <w:pPr>
      <w:ind w:left="567" w:right="566"/>
    </w:pPr>
    <w:rPr>
      <w:sz w:val="22"/>
    </w:rPr>
  </w:style>
  <w:style w:type="paragraph" w:styleId="Caption">
    <w:name w:val="caption"/>
    <w:basedOn w:val="Normal"/>
    <w:next w:val="Normal"/>
    <w:qFormat/>
    <w:rsid w:val="00F12DE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12DE3"/>
    <w:rPr>
      <w:sz w:val="22"/>
      <w:lang w:val="es-ES_tradnl"/>
    </w:rPr>
  </w:style>
  <w:style w:type="character" w:customStyle="1" w:styleId="CommentTextChar">
    <w:name w:val="Comment Text Char"/>
    <w:basedOn w:val="DefaultParagraphFont"/>
    <w:link w:val="CommentText"/>
    <w:rsid w:val="00F12DE3"/>
    <w:rPr>
      <w:rFonts w:ascii="Arial" w:hAnsi="Arial"/>
      <w:sz w:val="22"/>
      <w:lang w:val="es-ES_tradnl"/>
    </w:rPr>
  </w:style>
  <w:style w:type="paragraph" w:customStyle="1" w:styleId="Committee">
    <w:name w:val="Committee"/>
    <w:basedOn w:val="Title"/>
    <w:rsid w:val="00F12DE3"/>
    <w:rPr>
      <w:caps w:val="0"/>
      <w:lang w:val="es-ES_tradnl"/>
    </w:rPr>
  </w:style>
  <w:style w:type="paragraph" w:customStyle="1" w:styleId="n">
    <w:name w:val="n"/>
    <w:basedOn w:val="Header"/>
    <w:rsid w:val="00F12DE3"/>
  </w:style>
  <w:style w:type="paragraph" w:customStyle="1" w:styleId="TitleofSection">
    <w:name w:val="Title of Section"/>
    <w:basedOn w:val="TitleofDoc"/>
    <w:rsid w:val="00F12DE3"/>
    <w:pPr>
      <w:spacing w:before="120" w:after="120"/>
    </w:pPr>
    <w:rPr>
      <w:b/>
      <w:caps w:val="0"/>
      <w:lang w:val="es-ES_tradnl" w:eastAsia="de-DE"/>
    </w:rPr>
  </w:style>
  <w:style w:type="paragraph" w:customStyle="1" w:styleId="TOCAnnex">
    <w:name w:val="TOC Annex"/>
    <w:basedOn w:val="Normal"/>
    <w:rsid w:val="00F12DE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12DE3"/>
    <w:pPr>
      <w:jc w:val="center"/>
    </w:pPr>
    <w:rPr>
      <w:b/>
      <w:caps/>
      <w:szCs w:val="24"/>
    </w:rPr>
  </w:style>
  <w:style w:type="paragraph" w:customStyle="1" w:styleId="Notetoarticle">
    <w:name w:val="Note to article"/>
    <w:basedOn w:val="Normal"/>
    <w:semiHidden/>
    <w:rsid w:val="00F12DE3"/>
  </w:style>
  <w:style w:type="paragraph" w:styleId="PlainText">
    <w:name w:val="Plain Text"/>
    <w:basedOn w:val="Normal"/>
    <w:link w:val="PlainTextChar"/>
    <w:rsid w:val="00F12DE3"/>
    <w:rPr>
      <w:rFonts w:ascii="Courier New" w:hAnsi="Courier New" w:cs="Courier New"/>
      <w:lang w:eastAsia="fr-FR"/>
    </w:rPr>
  </w:style>
  <w:style w:type="character" w:customStyle="1" w:styleId="PlainTextChar">
    <w:name w:val="Plain Text Char"/>
    <w:basedOn w:val="DefaultParagraphFont"/>
    <w:link w:val="PlainText"/>
    <w:rsid w:val="00F12DE3"/>
    <w:rPr>
      <w:rFonts w:ascii="Courier New" w:hAnsi="Courier New" w:cs="Courier New"/>
      <w:lang w:eastAsia="fr-FR"/>
    </w:rPr>
  </w:style>
  <w:style w:type="paragraph" w:customStyle="1" w:styleId="Inf6Titre4">
    <w:name w:val="Inf6_Titre4"/>
    <w:basedOn w:val="Normal"/>
    <w:next w:val="Normal"/>
    <w:rsid w:val="00F12DE3"/>
    <w:pPr>
      <w:spacing w:after="360"/>
      <w:jc w:val="center"/>
    </w:pPr>
    <w:rPr>
      <w:rFonts w:cs="Arial"/>
      <w:caps/>
    </w:rPr>
  </w:style>
  <w:style w:type="paragraph" w:customStyle="1" w:styleId="Inf6Titre1">
    <w:name w:val="Inf6_Titre1"/>
    <w:basedOn w:val="Heading1"/>
    <w:next w:val="Normal"/>
    <w:rsid w:val="00F12DE3"/>
    <w:pPr>
      <w:ind w:firstLine="284"/>
    </w:pPr>
    <w:rPr>
      <w:b/>
    </w:rPr>
  </w:style>
  <w:style w:type="paragraph" w:customStyle="1" w:styleId="Inf6Titre2">
    <w:name w:val="Inf6_Titre2"/>
    <w:basedOn w:val="Inf6Titre1"/>
    <w:next w:val="Normal"/>
    <w:rsid w:val="00F12DE3"/>
    <w:pPr>
      <w:spacing w:after="360" w:line="360" w:lineRule="auto"/>
      <w:ind w:firstLine="0"/>
    </w:pPr>
    <w:rPr>
      <w:rFonts w:cs="Arial"/>
      <w:b w:val="0"/>
    </w:rPr>
  </w:style>
  <w:style w:type="paragraph" w:customStyle="1" w:styleId="Inf6Titre3">
    <w:name w:val="Inf6_Titre3"/>
    <w:basedOn w:val="Inf6Titre2"/>
    <w:next w:val="Normal"/>
    <w:rsid w:val="00F12DE3"/>
    <w:pPr>
      <w:keepNext w:val="0"/>
      <w:spacing w:after="240" w:line="240" w:lineRule="auto"/>
    </w:pPr>
    <w:rPr>
      <w:b/>
      <w:caps w:val="0"/>
    </w:rPr>
  </w:style>
  <w:style w:type="paragraph" w:customStyle="1" w:styleId="Style1">
    <w:name w:val="Style1"/>
    <w:basedOn w:val="Normal"/>
    <w:rsid w:val="00F12DE3"/>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12DE3"/>
    <w:pPr>
      <w:spacing w:after="120"/>
      <w:ind w:left="283"/>
    </w:pPr>
    <w:rPr>
      <w:sz w:val="16"/>
      <w:szCs w:val="16"/>
    </w:rPr>
  </w:style>
  <w:style w:type="character" w:customStyle="1" w:styleId="BodyTextIndent3Char">
    <w:name w:val="Body Text Indent 3 Char"/>
    <w:basedOn w:val="DefaultParagraphFont"/>
    <w:link w:val="BodyTextIndent3"/>
    <w:rsid w:val="00F12DE3"/>
    <w:rPr>
      <w:rFonts w:ascii="Arial" w:hAnsi="Arial"/>
      <w:sz w:val="16"/>
      <w:szCs w:val="16"/>
    </w:rPr>
  </w:style>
  <w:style w:type="paragraph" w:customStyle="1" w:styleId="BasistekstNaktuinbouw">
    <w:name w:val="Basistekst Naktuinbouw"/>
    <w:basedOn w:val="Normal"/>
    <w:qFormat/>
    <w:rsid w:val="00F12DE3"/>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F12DE3"/>
    <w:rPr>
      <w:sz w:val="16"/>
      <w:szCs w:val="16"/>
    </w:rPr>
  </w:style>
  <w:style w:type="paragraph" w:styleId="Revision">
    <w:name w:val="Revision"/>
    <w:hidden/>
    <w:uiPriority w:val="99"/>
    <w:semiHidden/>
    <w:rsid w:val="00F12DE3"/>
    <w:rPr>
      <w:rFonts w:ascii="Arial" w:hAnsi="Arial"/>
    </w:rPr>
  </w:style>
  <w:style w:type="table" w:customStyle="1" w:styleId="TableGrid10">
    <w:name w:val="Table Grid1"/>
    <w:basedOn w:val="TableNormal"/>
    <w:next w:val="TableGrid"/>
    <w:rsid w:val="00DF1F1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5664-103B-4767-B283-2DEF9061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32</TotalTime>
  <Pages>13</Pages>
  <Words>4754</Words>
  <Characters>28184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TC/56/13</vt:lpstr>
    </vt:vector>
  </TitlesOfParts>
  <Company>UPOV</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TC/56/13</dc:title>
  <dc:creator>MAY Jessica</dc:creator>
  <cp:lastModifiedBy>Romy Oertel</cp:lastModifiedBy>
  <cp:revision>16</cp:revision>
  <cp:lastPrinted>2020-10-09T07:44:00Z</cp:lastPrinted>
  <dcterms:created xsi:type="dcterms:W3CDTF">2020-10-08T15:21:00Z</dcterms:created>
  <dcterms:modified xsi:type="dcterms:W3CDTF">2020-10-09T07:46:00Z</dcterms:modified>
</cp:coreProperties>
</file>