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3D41CD">
              <w:t>55/9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C41BDE">
            <w:pPr>
              <w:pStyle w:val="Docoriginal"/>
            </w:pPr>
            <w:r w:rsidRPr="00AC2883">
              <w:t>Date:</w:t>
            </w:r>
            <w:r w:rsidR="008B6E60">
              <w:rPr>
                <w:b w:val="0"/>
                <w:spacing w:val="0"/>
              </w:rPr>
              <w:t xml:space="preserve">  </w:t>
            </w:r>
            <w:bookmarkStart w:id="0" w:name="_GoBack"/>
            <w:bookmarkEnd w:id="0"/>
            <w:r w:rsidR="0027101D" w:rsidRPr="00687D35">
              <w:rPr>
                <w:b w:val="0"/>
                <w:spacing w:val="0"/>
              </w:rPr>
              <w:t xml:space="preserve">October </w:t>
            </w:r>
            <w:r w:rsidR="00553B11" w:rsidRPr="00687D35">
              <w:rPr>
                <w:b w:val="0"/>
                <w:spacing w:val="0"/>
              </w:rPr>
              <w:t>1</w:t>
            </w:r>
            <w:r w:rsidR="00C41BDE" w:rsidRPr="00687D35">
              <w:rPr>
                <w:b w:val="0"/>
                <w:spacing w:val="0"/>
              </w:rPr>
              <w:t>2</w:t>
            </w:r>
            <w:r w:rsidR="008B6E60" w:rsidRPr="00687D35">
              <w:rPr>
                <w:b w:val="0"/>
                <w:spacing w:val="0"/>
              </w:rPr>
              <w:t>, 201</w:t>
            </w:r>
            <w:r w:rsidR="006D7435" w:rsidRPr="00687D35">
              <w:rPr>
                <w:b w:val="0"/>
                <w:spacing w:val="0"/>
              </w:rPr>
              <w:t>9</w:t>
            </w:r>
          </w:p>
        </w:tc>
      </w:tr>
    </w:tbl>
    <w:p w:rsidR="000D7780" w:rsidRPr="006A644A" w:rsidRDefault="003D41CD" w:rsidP="006A644A">
      <w:pPr>
        <w:pStyle w:val="Titleofdoc0"/>
      </w:pPr>
      <w:bookmarkStart w:id="1" w:name="TitleOfDoc"/>
      <w:bookmarkEnd w:id="1"/>
      <w:r w:rsidRPr="003D41CD">
        <w:t>Preparatory workshops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814CDC" w:rsidRDefault="00814CDC" w:rsidP="00D4673F"/>
    <w:p w:rsidR="00814CDC" w:rsidRPr="006532B1" w:rsidRDefault="00814CDC" w:rsidP="00814CDC">
      <w:pPr>
        <w:pStyle w:val="Heading1"/>
      </w:pPr>
      <w:bookmarkStart w:id="3" w:name="_Toc475955714"/>
      <w:bookmarkStart w:id="4" w:name="_Toc21677254"/>
      <w:r w:rsidRPr="006532B1">
        <w:t>EXECUTIVE SUMMARY</w:t>
      </w:r>
      <w:bookmarkEnd w:id="3"/>
      <w:bookmarkEnd w:id="4"/>
    </w:p>
    <w:p w:rsidR="00814CDC" w:rsidRDefault="00814CDC" w:rsidP="00814CDC">
      <w:pPr>
        <w:autoSpaceDE w:val="0"/>
        <w:autoSpaceDN w:val="0"/>
        <w:adjustRightInd w:val="0"/>
        <w:rPr>
          <w:rFonts w:cs="Arial"/>
        </w:rPr>
      </w:pPr>
    </w:p>
    <w:p w:rsidR="00814CDC" w:rsidRPr="00AE62FF" w:rsidRDefault="00814CDC" w:rsidP="00814CDC">
      <w:pPr>
        <w:rPr>
          <w:rFonts w:cs="Arial"/>
        </w:rPr>
      </w:pPr>
      <w:r w:rsidRPr="00AE62FF">
        <w:rPr>
          <w:rFonts w:cs="Arial"/>
        </w:rPr>
        <w:fldChar w:fldCharType="begin"/>
      </w:r>
      <w:r w:rsidRPr="00AE62FF">
        <w:rPr>
          <w:rFonts w:cs="Arial"/>
        </w:rPr>
        <w:instrText xml:space="preserve"> AUTONUM  </w:instrText>
      </w:r>
      <w:r w:rsidRPr="00AE62FF">
        <w:rPr>
          <w:rFonts w:cs="Arial"/>
        </w:rPr>
        <w:fldChar w:fldCharType="end"/>
      </w:r>
      <w:r w:rsidRPr="00AE62FF">
        <w:rPr>
          <w:rFonts w:cs="Arial"/>
        </w:rPr>
        <w:tab/>
        <w:t xml:space="preserve">The purpose of this document is to provide a report on the preparatory workshops held in </w:t>
      </w:r>
      <w:r w:rsidR="00AE62FF" w:rsidRPr="00AE62FF">
        <w:rPr>
          <w:rFonts w:cs="Arial"/>
        </w:rPr>
        <w:t>2019</w:t>
      </w:r>
      <w:r w:rsidRPr="00AE62FF">
        <w:rPr>
          <w:rFonts w:cs="Arial"/>
        </w:rPr>
        <w:t xml:space="preserve"> and to present proposals for </w:t>
      </w:r>
      <w:r w:rsidR="00AE62FF" w:rsidRPr="00AE62FF">
        <w:rPr>
          <w:rFonts w:cs="Arial"/>
        </w:rPr>
        <w:t>2020</w:t>
      </w:r>
      <w:r w:rsidRPr="00AE62FF">
        <w:rPr>
          <w:rFonts w:cs="Arial"/>
        </w:rPr>
        <w:t>.</w:t>
      </w:r>
    </w:p>
    <w:p w:rsidR="00814CDC" w:rsidRPr="00AE62FF" w:rsidRDefault="00814CDC" w:rsidP="00814CDC">
      <w:pPr>
        <w:autoSpaceDE w:val="0"/>
        <w:autoSpaceDN w:val="0"/>
        <w:adjustRightInd w:val="0"/>
        <w:rPr>
          <w:rFonts w:cs="Arial"/>
        </w:rPr>
      </w:pPr>
    </w:p>
    <w:p w:rsidR="00AC69BE" w:rsidRPr="00AE62FF" w:rsidRDefault="00AC69BE" w:rsidP="00AC69BE">
      <w:pPr>
        <w:pStyle w:val="DecisionParagraphs"/>
        <w:tabs>
          <w:tab w:val="left" w:pos="567"/>
          <w:tab w:val="left" w:pos="1134"/>
        </w:tabs>
        <w:ind w:left="0"/>
        <w:rPr>
          <w:rFonts w:cs="Arial"/>
          <w:i w:val="0"/>
        </w:rPr>
      </w:pPr>
      <w:r w:rsidRPr="00AE62FF">
        <w:rPr>
          <w:rFonts w:cs="Arial"/>
          <w:i w:val="0"/>
        </w:rPr>
        <w:fldChar w:fldCharType="begin"/>
      </w:r>
      <w:r w:rsidRPr="00AE62FF">
        <w:rPr>
          <w:rFonts w:cs="Arial"/>
          <w:i w:val="0"/>
        </w:rPr>
        <w:instrText xml:space="preserve"> AUTONUM  </w:instrText>
      </w:r>
      <w:r w:rsidRPr="00AE62FF">
        <w:rPr>
          <w:rFonts w:cs="Arial"/>
          <w:i w:val="0"/>
        </w:rPr>
        <w:fldChar w:fldCharType="end"/>
      </w:r>
      <w:r w:rsidRPr="00AE62FF">
        <w:rPr>
          <w:rFonts w:cs="Arial"/>
          <w:i w:val="0"/>
        </w:rPr>
        <w:tab/>
        <w:t>The TC is invited to:</w:t>
      </w:r>
    </w:p>
    <w:p w:rsidR="00AC69BE" w:rsidRPr="00AE62FF" w:rsidRDefault="00AC69BE" w:rsidP="00AC69BE">
      <w:pPr>
        <w:pStyle w:val="DecisionParagraphs"/>
        <w:tabs>
          <w:tab w:val="left" w:pos="567"/>
          <w:tab w:val="left" w:pos="1134"/>
        </w:tabs>
        <w:ind w:left="0"/>
        <w:rPr>
          <w:rFonts w:cs="Arial"/>
          <w:i w:val="0"/>
        </w:rPr>
      </w:pPr>
    </w:p>
    <w:p w:rsidR="00D917FD" w:rsidRPr="00D917FD" w:rsidRDefault="00D917FD" w:rsidP="00D917FD">
      <w:pPr>
        <w:tabs>
          <w:tab w:val="left" w:pos="567"/>
          <w:tab w:val="left" w:pos="1134"/>
        </w:tabs>
        <w:ind w:firstLine="567"/>
        <w:rPr>
          <w:rFonts w:cs="Arial"/>
        </w:rPr>
      </w:pPr>
      <w:r>
        <w:rPr>
          <w:rFonts w:cs="Arial"/>
        </w:rPr>
        <w:t>(a)</w:t>
      </w:r>
      <w:r>
        <w:rPr>
          <w:rFonts w:cs="Arial"/>
        </w:rPr>
        <w:tab/>
      </w:r>
      <w:proofErr w:type="gramStart"/>
      <w:r w:rsidRPr="00D917FD">
        <w:rPr>
          <w:rFonts w:cs="Arial"/>
        </w:rPr>
        <w:t>note</w:t>
      </w:r>
      <w:proofErr w:type="gramEnd"/>
      <w:r w:rsidRPr="00D917FD">
        <w:rPr>
          <w:rFonts w:cs="Arial"/>
        </w:rPr>
        <w:t xml:space="preserve"> the report of the preparatory workshop held by the TWO in 2019; </w:t>
      </w:r>
    </w:p>
    <w:p w:rsidR="00D917FD" w:rsidRPr="00D917FD" w:rsidRDefault="00D917FD" w:rsidP="00D917FD">
      <w:pPr>
        <w:tabs>
          <w:tab w:val="left" w:pos="567"/>
          <w:tab w:val="left" w:pos="1134"/>
        </w:tabs>
        <w:ind w:firstLine="567"/>
        <w:rPr>
          <w:rFonts w:cs="Arial"/>
        </w:rPr>
      </w:pPr>
    </w:p>
    <w:p w:rsidR="00D917FD" w:rsidRPr="00D917FD" w:rsidRDefault="00D917FD" w:rsidP="00D917FD">
      <w:pPr>
        <w:tabs>
          <w:tab w:val="left" w:pos="567"/>
          <w:tab w:val="left" w:pos="1134"/>
        </w:tabs>
        <w:ind w:firstLine="567"/>
        <w:rPr>
          <w:rFonts w:cs="Arial"/>
        </w:rPr>
      </w:pPr>
      <w:r>
        <w:rPr>
          <w:rFonts w:cs="Arial"/>
        </w:rPr>
        <w:t>(b)</w:t>
      </w:r>
      <w:r>
        <w:rPr>
          <w:rFonts w:cs="Arial"/>
        </w:rPr>
        <w:tab/>
      </w:r>
      <w:r w:rsidRPr="00D917FD">
        <w:rPr>
          <w:rFonts w:cs="Arial"/>
        </w:rPr>
        <w:t xml:space="preserve">note that the elements to be discussed during the preparatory workshops for the TWA, TWC, TWF, TWV and BMT were presented as an introduction to the respective agenda items during the normal program for the sessions; </w:t>
      </w:r>
    </w:p>
    <w:p w:rsidR="00D917FD" w:rsidRPr="00D917FD" w:rsidRDefault="00D917FD" w:rsidP="00D917FD">
      <w:pPr>
        <w:tabs>
          <w:tab w:val="left" w:pos="567"/>
          <w:tab w:val="left" w:pos="1134"/>
        </w:tabs>
        <w:ind w:firstLine="567"/>
        <w:rPr>
          <w:rFonts w:cs="Arial"/>
        </w:rPr>
      </w:pPr>
    </w:p>
    <w:p w:rsidR="00D917FD" w:rsidRPr="00D917FD" w:rsidRDefault="00D917FD" w:rsidP="00D917FD">
      <w:pPr>
        <w:tabs>
          <w:tab w:val="left" w:pos="567"/>
          <w:tab w:val="left" w:pos="1134"/>
        </w:tabs>
        <w:ind w:firstLine="567"/>
        <w:rPr>
          <w:rFonts w:cs="Arial"/>
        </w:rPr>
      </w:pPr>
      <w:r>
        <w:rPr>
          <w:rFonts w:cs="Arial"/>
        </w:rPr>
        <w:t>(c)</w:t>
      </w:r>
      <w:r>
        <w:rPr>
          <w:rFonts w:cs="Arial"/>
        </w:rPr>
        <w:tab/>
      </w:r>
      <w:proofErr w:type="gramStart"/>
      <w:r w:rsidRPr="00D917FD">
        <w:rPr>
          <w:rFonts w:cs="Arial"/>
        </w:rPr>
        <w:t>consider</w:t>
      </w:r>
      <w:proofErr w:type="gramEnd"/>
      <w:r w:rsidRPr="00D917FD">
        <w:rPr>
          <w:rFonts w:cs="Arial"/>
        </w:rPr>
        <w:t xml:space="preserve"> the proposed program for preparatory work for 2020, as set out </w:t>
      </w:r>
      <w:r w:rsidRPr="00C41BDE">
        <w:rPr>
          <w:rFonts w:cs="Arial"/>
        </w:rPr>
        <w:t>in paragraphs 11 and 12 of this document; and</w:t>
      </w:r>
    </w:p>
    <w:p w:rsidR="00D917FD" w:rsidRPr="00D917FD" w:rsidRDefault="00D917FD" w:rsidP="00D917FD">
      <w:pPr>
        <w:tabs>
          <w:tab w:val="left" w:pos="567"/>
          <w:tab w:val="left" w:pos="1134"/>
        </w:tabs>
        <w:ind w:firstLine="567"/>
        <w:rPr>
          <w:rFonts w:cs="Arial"/>
        </w:rPr>
      </w:pPr>
    </w:p>
    <w:p w:rsidR="00D917FD" w:rsidRPr="00D917FD" w:rsidRDefault="00D917FD" w:rsidP="00D917FD">
      <w:pPr>
        <w:tabs>
          <w:tab w:val="left" w:pos="567"/>
          <w:tab w:val="left" w:pos="1134"/>
        </w:tabs>
        <w:ind w:firstLine="567"/>
        <w:rPr>
          <w:rFonts w:cs="Arial"/>
        </w:rPr>
      </w:pPr>
      <w:r>
        <w:rPr>
          <w:rFonts w:cs="Arial"/>
        </w:rPr>
        <w:t>(d)</w:t>
      </w:r>
      <w:r>
        <w:rPr>
          <w:rFonts w:cs="Arial"/>
        </w:rPr>
        <w:tab/>
      </w:r>
      <w:proofErr w:type="gramStart"/>
      <w:r w:rsidR="00CA1405">
        <w:rPr>
          <w:rFonts w:cs="Arial"/>
        </w:rPr>
        <w:t>request</w:t>
      </w:r>
      <w:proofErr w:type="gramEnd"/>
      <w:r w:rsidR="00CA1405">
        <w:rPr>
          <w:rFonts w:cs="Arial"/>
        </w:rPr>
        <w:t xml:space="preserve"> the Office of the Union to present proposals on how to plan and report on preparatory work at the TWPs for the future, at the fifty-sixth session of the TC</w:t>
      </w:r>
      <w:r w:rsidRPr="00D917FD">
        <w:rPr>
          <w:rFonts w:cs="Arial"/>
        </w:rPr>
        <w:t xml:space="preserve">. </w:t>
      </w:r>
    </w:p>
    <w:p w:rsidR="00814CDC" w:rsidRPr="00AC69BE" w:rsidRDefault="00814CDC" w:rsidP="00AC69BE">
      <w:pPr>
        <w:tabs>
          <w:tab w:val="left" w:pos="567"/>
          <w:tab w:val="left" w:pos="1134"/>
        </w:tabs>
        <w:rPr>
          <w:rFonts w:cs="Arial"/>
        </w:rPr>
      </w:pPr>
    </w:p>
    <w:p w:rsidR="00814CDC" w:rsidRPr="004A69D5" w:rsidRDefault="00814CDC" w:rsidP="00814CDC">
      <w:pPr>
        <w:rPr>
          <w:rFonts w:cs="Arial"/>
          <w:color w:val="000000"/>
        </w:rPr>
      </w:pPr>
      <w:r w:rsidRPr="004A69D5">
        <w:rPr>
          <w:rFonts w:cs="Arial"/>
          <w:color w:val="000000"/>
        </w:rPr>
        <w:fldChar w:fldCharType="begin"/>
      </w:r>
      <w:r w:rsidRPr="004A69D5">
        <w:rPr>
          <w:rFonts w:cs="Arial"/>
          <w:color w:val="000000"/>
        </w:rPr>
        <w:instrText xml:space="preserve"> AUTONUM  </w:instrText>
      </w:r>
      <w:r w:rsidRPr="004A69D5">
        <w:rPr>
          <w:rFonts w:cs="Arial"/>
          <w:color w:val="000000"/>
        </w:rPr>
        <w:fldChar w:fldCharType="end"/>
      </w:r>
      <w:r w:rsidRPr="004A69D5">
        <w:rPr>
          <w:rFonts w:cs="Arial"/>
          <w:color w:val="000000"/>
        </w:rPr>
        <w:tab/>
        <w:t>The following abbreviations are used in this document:</w:t>
      </w:r>
    </w:p>
    <w:p w:rsidR="00814CDC" w:rsidRPr="004A69D5" w:rsidRDefault="00814CDC" w:rsidP="00814CDC">
      <w:pPr>
        <w:rPr>
          <w:rFonts w:cs="Arial"/>
          <w:color w:val="000000"/>
        </w:rPr>
      </w:pPr>
    </w:p>
    <w:p w:rsidR="00814CDC" w:rsidRPr="004A69D5" w:rsidRDefault="00814CDC" w:rsidP="00814CDC">
      <w:pPr>
        <w:tabs>
          <w:tab w:val="left" w:pos="567"/>
        </w:tabs>
        <w:spacing w:after="60"/>
        <w:ind w:left="1418" w:hanging="851"/>
        <w:rPr>
          <w:rFonts w:cs="Arial"/>
          <w:color w:val="000000"/>
        </w:rPr>
      </w:pPr>
      <w:r w:rsidRPr="004A69D5">
        <w:rPr>
          <w:rFonts w:cs="Arial"/>
          <w:color w:val="000000"/>
        </w:rPr>
        <w:t>TC:</w:t>
      </w:r>
      <w:r w:rsidRPr="004A69D5">
        <w:rPr>
          <w:rFonts w:cs="Arial"/>
          <w:color w:val="000000"/>
        </w:rPr>
        <w:tab/>
        <w:t>Technical Committee</w:t>
      </w:r>
    </w:p>
    <w:p w:rsidR="00814CDC" w:rsidRPr="004A69D5" w:rsidRDefault="00814CDC" w:rsidP="00814CDC">
      <w:pPr>
        <w:tabs>
          <w:tab w:val="left" w:pos="567"/>
        </w:tabs>
        <w:spacing w:after="60"/>
        <w:ind w:left="1418" w:hanging="851"/>
        <w:rPr>
          <w:rFonts w:cs="Arial"/>
          <w:color w:val="000000"/>
        </w:rPr>
      </w:pPr>
      <w:r w:rsidRPr="004A69D5">
        <w:rPr>
          <w:rFonts w:cs="Arial"/>
          <w:color w:val="000000"/>
        </w:rPr>
        <w:t>TWA:</w:t>
      </w:r>
      <w:r w:rsidRPr="004A69D5">
        <w:rPr>
          <w:rFonts w:cs="Arial"/>
          <w:color w:val="000000"/>
        </w:rPr>
        <w:tab/>
        <w:t>Technical Working Party for Agricultural Crops</w:t>
      </w:r>
    </w:p>
    <w:p w:rsidR="00814CDC" w:rsidRPr="004A69D5" w:rsidRDefault="00814CDC" w:rsidP="00814CDC">
      <w:pPr>
        <w:spacing w:after="60"/>
        <w:ind w:left="1418" w:hanging="851"/>
        <w:rPr>
          <w:rFonts w:cs="Arial"/>
          <w:color w:val="000000"/>
        </w:rPr>
      </w:pPr>
      <w:r w:rsidRPr="004A69D5">
        <w:rPr>
          <w:rFonts w:cs="Arial"/>
          <w:color w:val="000000"/>
        </w:rPr>
        <w:t>TWC:</w:t>
      </w:r>
      <w:r w:rsidRPr="004A69D5">
        <w:rPr>
          <w:rFonts w:cs="Arial"/>
          <w:color w:val="000000"/>
        </w:rPr>
        <w:tab/>
        <w:t>Technical Working Party on Automation and Computer Programs</w:t>
      </w:r>
    </w:p>
    <w:p w:rsidR="00814CDC" w:rsidRPr="004A69D5" w:rsidRDefault="00814CDC" w:rsidP="00814CDC">
      <w:pPr>
        <w:spacing w:after="60"/>
        <w:ind w:left="1418" w:hanging="851"/>
        <w:rPr>
          <w:rFonts w:cs="Arial"/>
          <w:color w:val="000000"/>
        </w:rPr>
      </w:pPr>
      <w:r w:rsidRPr="004A69D5">
        <w:rPr>
          <w:rFonts w:cs="Arial"/>
          <w:color w:val="000000"/>
        </w:rPr>
        <w:t xml:space="preserve">TWF: </w:t>
      </w:r>
      <w:r w:rsidRPr="004A69D5">
        <w:rPr>
          <w:rFonts w:cs="Arial"/>
          <w:color w:val="000000"/>
        </w:rPr>
        <w:tab/>
        <w:t>Technical Working Party for Fruit Crops</w:t>
      </w:r>
    </w:p>
    <w:p w:rsidR="00814CDC" w:rsidRPr="004A69D5" w:rsidRDefault="00814CDC" w:rsidP="00814CDC">
      <w:pPr>
        <w:spacing w:after="60"/>
        <w:ind w:left="1418" w:hanging="851"/>
        <w:rPr>
          <w:rFonts w:cs="Arial"/>
          <w:color w:val="000000"/>
        </w:rPr>
      </w:pPr>
      <w:r w:rsidRPr="004A69D5">
        <w:rPr>
          <w:rFonts w:cs="Arial"/>
          <w:color w:val="000000"/>
        </w:rPr>
        <w:t>TWO:</w:t>
      </w:r>
      <w:r w:rsidRPr="004A69D5">
        <w:rPr>
          <w:rFonts w:cs="Arial"/>
          <w:color w:val="000000"/>
        </w:rPr>
        <w:tab/>
        <w:t>Technical Working Party for Ornamental Plants and Forest Trees</w:t>
      </w:r>
    </w:p>
    <w:p w:rsidR="00814CDC" w:rsidRPr="004A69D5" w:rsidRDefault="00814CDC" w:rsidP="00814CDC">
      <w:pPr>
        <w:spacing w:after="60"/>
        <w:ind w:left="1418" w:hanging="851"/>
        <w:rPr>
          <w:rFonts w:cs="Arial"/>
          <w:color w:val="000000"/>
        </w:rPr>
      </w:pPr>
      <w:r w:rsidRPr="004A69D5">
        <w:rPr>
          <w:rFonts w:cs="Arial"/>
          <w:color w:val="000000"/>
        </w:rPr>
        <w:t>TWV:</w:t>
      </w:r>
      <w:r w:rsidRPr="004A69D5">
        <w:rPr>
          <w:rFonts w:cs="Arial"/>
          <w:color w:val="000000"/>
        </w:rPr>
        <w:tab/>
        <w:t>Technical Working Party for Vegetables</w:t>
      </w:r>
    </w:p>
    <w:p w:rsidR="00814CDC" w:rsidRPr="004A69D5" w:rsidRDefault="00814CDC" w:rsidP="00814CDC">
      <w:pPr>
        <w:pStyle w:val="BodyTextIndent3"/>
        <w:tabs>
          <w:tab w:val="left" w:pos="567"/>
        </w:tabs>
        <w:spacing w:after="60"/>
        <w:ind w:left="1418" w:hanging="851"/>
        <w:rPr>
          <w:rFonts w:ascii="Arial" w:hAnsi="Arial" w:cs="Arial"/>
          <w:sz w:val="20"/>
          <w:szCs w:val="20"/>
        </w:rPr>
      </w:pPr>
      <w:r w:rsidRPr="004A69D5">
        <w:rPr>
          <w:rFonts w:ascii="Arial" w:hAnsi="Arial" w:cs="Arial"/>
          <w:sz w:val="20"/>
          <w:szCs w:val="20"/>
        </w:rPr>
        <w:t>BMT:</w:t>
      </w:r>
      <w:r w:rsidRPr="004A69D5">
        <w:rPr>
          <w:rFonts w:ascii="Arial" w:hAnsi="Arial" w:cs="Arial"/>
          <w:sz w:val="20"/>
          <w:szCs w:val="20"/>
        </w:rPr>
        <w:tab/>
        <w:t>Working Group on Biochemical and Molecular Techniques, and DNA</w:t>
      </w:r>
      <w:r w:rsidRPr="004A69D5">
        <w:rPr>
          <w:rFonts w:ascii="Arial" w:hAnsi="Arial" w:cs="Arial"/>
          <w:sz w:val="20"/>
          <w:szCs w:val="20"/>
        </w:rPr>
        <w:noBreakHyphen/>
        <w:t>Profiling in Particular</w:t>
      </w:r>
    </w:p>
    <w:p w:rsidR="00814CDC" w:rsidRPr="004A69D5" w:rsidRDefault="00814CDC" w:rsidP="00814CDC">
      <w:pPr>
        <w:pStyle w:val="BodyTextIndent3"/>
        <w:tabs>
          <w:tab w:val="left" w:pos="567"/>
        </w:tabs>
        <w:ind w:left="1418" w:hanging="851"/>
        <w:rPr>
          <w:rFonts w:ascii="Arial" w:hAnsi="Arial" w:cs="Arial"/>
          <w:sz w:val="20"/>
          <w:szCs w:val="20"/>
        </w:rPr>
      </w:pPr>
      <w:r w:rsidRPr="004A69D5">
        <w:rPr>
          <w:rFonts w:ascii="Arial" w:hAnsi="Arial" w:cs="Arial"/>
          <w:sz w:val="20"/>
          <w:szCs w:val="20"/>
        </w:rPr>
        <w:t>TWP</w:t>
      </w:r>
      <w:r>
        <w:rPr>
          <w:rFonts w:ascii="Arial" w:hAnsi="Arial" w:cs="Arial"/>
          <w:sz w:val="20"/>
          <w:szCs w:val="20"/>
        </w:rPr>
        <w:t>s</w:t>
      </w:r>
      <w:r w:rsidRPr="004A69D5">
        <w:rPr>
          <w:rFonts w:ascii="Arial" w:hAnsi="Arial" w:cs="Arial"/>
          <w:sz w:val="20"/>
          <w:szCs w:val="20"/>
        </w:rPr>
        <w:t>:</w:t>
      </w:r>
      <w:r w:rsidRPr="004A69D5">
        <w:rPr>
          <w:rFonts w:ascii="Arial" w:hAnsi="Arial" w:cs="Arial"/>
          <w:sz w:val="20"/>
          <w:szCs w:val="20"/>
        </w:rPr>
        <w:tab/>
        <w:t>Technical Working Part</w:t>
      </w:r>
      <w:r>
        <w:rPr>
          <w:rFonts w:ascii="Arial" w:hAnsi="Arial" w:cs="Arial"/>
          <w:sz w:val="20"/>
          <w:szCs w:val="20"/>
        </w:rPr>
        <w:t>ies</w:t>
      </w:r>
    </w:p>
    <w:p w:rsidR="00FE593E" w:rsidRDefault="00FE593E" w:rsidP="00FE593E">
      <w:pPr>
        <w:autoSpaceDE w:val="0"/>
        <w:autoSpaceDN w:val="0"/>
        <w:adjustRightInd w:val="0"/>
        <w:rPr>
          <w:rFonts w:cs="Arial"/>
          <w:snapToGrid w:val="0"/>
        </w:rPr>
      </w:pPr>
    </w:p>
    <w:p w:rsidR="00FE593E" w:rsidRDefault="00FE593E" w:rsidP="00FE593E">
      <w:pPr>
        <w:autoSpaceDE w:val="0"/>
        <w:autoSpaceDN w:val="0"/>
        <w:adjustRightInd w:val="0"/>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FE593E" w:rsidRDefault="00FE593E" w:rsidP="00FE593E">
      <w:pPr>
        <w:autoSpaceDE w:val="0"/>
        <w:autoSpaceDN w:val="0"/>
        <w:adjustRightInd w:val="0"/>
        <w:rPr>
          <w:rFonts w:cs="Arial"/>
          <w:snapToGrid w:val="0"/>
          <w:lang w:eastAsia="ja-JP"/>
        </w:rPr>
      </w:pPr>
    </w:p>
    <w:p w:rsidR="00553B11" w:rsidRDefault="00FE593E" w:rsidP="00DC018F">
      <w:pPr>
        <w:pStyle w:val="TOC1"/>
        <w:rPr>
          <w:rFonts w:asciiTheme="minorHAnsi" w:eastAsiaTheme="minorEastAsia" w:hAnsiTheme="minorHAnsi" w:cstheme="minorBidi"/>
          <w:noProof/>
          <w:sz w:val="22"/>
          <w:szCs w:val="22"/>
        </w:rPr>
      </w:pPr>
      <w:r>
        <w:rPr>
          <w:rFonts w:eastAsiaTheme="minorEastAsia"/>
          <w:bCs/>
          <w:noProof/>
          <w:snapToGrid w:val="0"/>
          <w:lang w:eastAsia="ja-JP"/>
        </w:rPr>
        <w:fldChar w:fldCharType="begin"/>
      </w:r>
      <w:r>
        <w:rPr>
          <w:snapToGrid w:val="0"/>
        </w:rPr>
        <w:instrText xml:space="preserve"> TOC \o "1-3" \h \z \u </w:instrText>
      </w:r>
      <w:r>
        <w:rPr>
          <w:rFonts w:eastAsiaTheme="minorEastAsia"/>
          <w:bCs/>
          <w:noProof/>
          <w:snapToGrid w:val="0"/>
          <w:lang w:eastAsia="ja-JP"/>
        </w:rPr>
        <w:fldChar w:fldCharType="separate"/>
      </w:r>
      <w:hyperlink w:anchor="_Toc21677254" w:history="1">
        <w:r w:rsidR="00553B11" w:rsidRPr="00FA4F98">
          <w:rPr>
            <w:rStyle w:val="Hyperlink"/>
            <w:noProof/>
          </w:rPr>
          <w:t>EXECUTIVE SUMMARY</w:t>
        </w:r>
        <w:r w:rsidR="00553B11">
          <w:rPr>
            <w:noProof/>
            <w:webHidden/>
          </w:rPr>
          <w:tab/>
        </w:r>
        <w:r w:rsidR="00553B11">
          <w:rPr>
            <w:noProof/>
            <w:webHidden/>
          </w:rPr>
          <w:fldChar w:fldCharType="begin"/>
        </w:r>
        <w:r w:rsidR="00553B11">
          <w:rPr>
            <w:noProof/>
            <w:webHidden/>
          </w:rPr>
          <w:instrText xml:space="preserve"> PAGEREF _Toc21677254 \h </w:instrText>
        </w:r>
        <w:r w:rsidR="00553B11">
          <w:rPr>
            <w:noProof/>
            <w:webHidden/>
          </w:rPr>
        </w:r>
        <w:r w:rsidR="00553B11">
          <w:rPr>
            <w:noProof/>
            <w:webHidden/>
          </w:rPr>
          <w:fldChar w:fldCharType="separate"/>
        </w:r>
        <w:r w:rsidR="00553B11">
          <w:rPr>
            <w:noProof/>
            <w:webHidden/>
          </w:rPr>
          <w:t>1</w:t>
        </w:r>
        <w:r w:rsidR="00553B11">
          <w:rPr>
            <w:noProof/>
            <w:webHidden/>
          </w:rPr>
          <w:fldChar w:fldCharType="end"/>
        </w:r>
      </w:hyperlink>
    </w:p>
    <w:p w:rsidR="00553B11" w:rsidRDefault="00687D35" w:rsidP="00DC018F">
      <w:pPr>
        <w:pStyle w:val="TOC1"/>
        <w:rPr>
          <w:rFonts w:asciiTheme="minorHAnsi" w:eastAsiaTheme="minorEastAsia" w:hAnsiTheme="minorHAnsi" w:cstheme="minorBidi"/>
          <w:noProof/>
          <w:sz w:val="22"/>
          <w:szCs w:val="22"/>
        </w:rPr>
      </w:pPr>
      <w:hyperlink w:anchor="_Toc21677255" w:history="1">
        <w:r w:rsidR="00553B11" w:rsidRPr="00FA4F98">
          <w:rPr>
            <w:rStyle w:val="Hyperlink"/>
            <w:noProof/>
          </w:rPr>
          <w:t>BACKGROUND</w:t>
        </w:r>
        <w:r w:rsidR="00553B11">
          <w:rPr>
            <w:noProof/>
            <w:webHidden/>
          </w:rPr>
          <w:tab/>
        </w:r>
        <w:r w:rsidR="00553B11">
          <w:rPr>
            <w:noProof/>
            <w:webHidden/>
          </w:rPr>
          <w:fldChar w:fldCharType="begin"/>
        </w:r>
        <w:r w:rsidR="00553B11">
          <w:rPr>
            <w:noProof/>
            <w:webHidden/>
          </w:rPr>
          <w:instrText xml:space="preserve"> PAGEREF _Toc21677255 \h </w:instrText>
        </w:r>
        <w:r w:rsidR="00553B11">
          <w:rPr>
            <w:noProof/>
            <w:webHidden/>
          </w:rPr>
        </w:r>
        <w:r w:rsidR="00553B11">
          <w:rPr>
            <w:noProof/>
            <w:webHidden/>
          </w:rPr>
          <w:fldChar w:fldCharType="separate"/>
        </w:r>
        <w:r w:rsidR="00553B11">
          <w:rPr>
            <w:noProof/>
            <w:webHidden/>
          </w:rPr>
          <w:t>1</w:t>
        </w:r>
        <w:r w:rsidR="00553B11">
          <w:rPr>
            <w:noProof/>
            <w:webHidden/>
          </w:rPr>
          <w:fldChar w:fldCharType="end"/>
        </w:r>
      </w:hyperlink>
    </w:p>
    <w:p w:rsidR="00553B11" w:rsidRDefault="00687D35" w:rsidP="00DC018F">
      <w:pPr>
        <w:pStyle w:val="TOC1"/>
        <w:rPr>
          <w:rFonts w:asciiTheme="minorHAnsi" w:eastAsiaTheme="minorEastAsia" w:hAnsiTheme="minorHAnsi" w:cstheme="minorBidi"/>
          <w:noProof/>
          <w:sz w:val="22"/>
          <w:szCs w:val="22"/>
        </w:rPr>
      </w:pPr>
      <w:hyperlink w:anchor="_Toc21677256" w:history="1">
        <w:r w:rsidR="00553B11" w:rsidRPr="00FA4F98">
          <w:rPr>
            <w:rStyle w:val="Hyperlink"/>
            <w:noProof/>
          </w:rPr>
          <w:t>Report on Preparatory Workshops held in 2019</w:t>
        </w:r>
        <w:r w:rsidR="00553B11">
          <w:rPr>
            <w:noProof/>
            <w:webHidden/>
          </w:rPr>
          <w:tab/>
        </w:r>
        <w:r w:rsidR="00553B11">
          <w:rPr>
            <w:noProof/>
            <w:webHidden/>
          </w:rPr>
          <w:fldChar w:fldCharType="begin"/>
        </w:r>
        <w:r w:rsidR="00553B11">
          <w:rPr>
            <w:noProof/>
            <w:webHidden/>
          </w:rPr>
          <w:instrText xml:space="preserve"> PAGEREF _Toc21677256 \h </w:instrText>
        </w:r>
        <w:r w:rsidR="00553B11">
          <w:rPr>
            <w:noProof/>
            <w:webHidden/>
          </w:rPr>
        </w:r>
        <w:r w:rsidR="00553B11">
          <w:rPr>
            <w:noProof/>
            <w:webHidden/>
          </w:rPr>
          <w:fldChar w:fldCharType="separate"/>
        </w:r>
        <w:r w:rsidR="00553B11">
          <w:rPr>
            <w:noProof/>
            <w:webHidden/>
          </w:rPr>
          <w:t>2</w:t>
        </w:r>
        <w:r w:rsidR="00553B11">
          <w:rPr>
            <w:noProof/>
            <w:webHidden/>
          </w:rPr>
          <w:fldChar w:fldCharType="end"/>
        </w:r>
      </w:hyperlink>
    </w:p>
    <w:p w:rsidR="00553B11" w:rsidRDefault="00687D35" w:rsidP="00DC018F">
      <w:pPr>
        <w:pStyle w:val="TOC1"/>
        <w:rPr>
          <w:rFonts w:asciiTheme="minorHAnsi" w:eastAsiaTheme="minorEastAsia" w:hAnsiTheme="minorHAnsi" w:cstheme="minorBidi"/>
          <w:noProof/>
          <w:sz w:val="22"/>
          <w:szCs w:val="22"/>
        </w:rPr>
      </w:pPr>
      <w:hyperlink w:anchor="_Toc21677257" w:history="1">
        <w:r w:rsidR="00553B11" w:rsidRPr="00FA4F98">
          <w:rPr>
            <w:rStyle w:val="Hyperlink"/>
            <w:noProof/>
          </w:rPr>
          <w:t>Program for Preparatory Work in 2020</w:t>
        </w:r>
        <w:r w:rsidR="00553B11">
          <w:rPr>
            <w:noProof/>
            <w:webHidden/>
          </w:rPr>
          <w:tab/>
        </w:r>
        <w:r w:rsidR="00553B11">
          <w:rPr>
            <w:noProof/>
            <w:webHidden/>
          </w:rPr>
          <w:fldChar w:fldCharType="begin"/>
        </w:r>
        <w:r w:rsidR="00553B11">
          <w:rPr>
            <w:noProof/>
            <w:webHidden/>
          </w:rPr>
          <w:instrText xml:space="preserve"> PAGEREF _Toc21677257 \h </w:instrText>
        </w:r>
        <w:r w:rsidR="00553B11">
          <w:rPr>
            <w:noProof/>
            <w:webHidden/>
          </w:rPr>
        </w:r>
        <w:r w:rsidR="00553B11">
          <w:rPr>
            <w:noProof/>
            <w:webHidden/>
          </w:rPr>
          <w:fldChar w:fldCharType="separate"/>
        </w:r>
        <w:r w:rsidR="00553B11">
          <w:rPr>
            <w:noProof/>
            <w:webHidden/>
          </w:rPr>
          <w:t>2</w:t>
        </w:r>
        <w:r w:rsidR="00553B11">
          <w:rPr>
            <w:noProof/>
            <w:webHidden/>
          </w:rPr>
          <w:fldChar w:fldCharType="end"/>
        </w:r>
      </w:hyperlink>
    </w:p>
    <w:p w:rsidR="00814CDC" w:rsidRPr="00DC018F" w:rsidRDefault="00FE593E" w:rsidP="00814CDC">
      <w:pPr>
        <w:rPr>
          <w:rFonts w:cs="Arial"/>
          <w:snapToGrid w:val="0"/>
          <w:sz w:val="18"/>
        </w:rPr>
      </w:pPr>
      <w:r>
        <w:rPr>
          <w:rFonts w:cs="Arial"/>
          <w:snapToGrid w:val="0"/>
        </w:rPr>
        <w:fldChar w:fldCharType="end"/>
      </w:r>
      <w:r w:rsidR="00BA0FB4" w:rsidRPr="00DC018F">
        <w:rPr>
          <w:rFonts w:cs="Arial"/>
          <w:snapToGrid w:val="0"/>
          <w:sz w:val="18"/>
        </w:rPr>
        <w:t>ANNEX</w:t>
      </w:r>
      <w:r w:rsidR="00BA0FB4" w:rsidRPr="00DC018F">
        <w:rPr>
          <w:rFonts w:cs="Arial"/>
          <w:snapToGrid w:val="0"/>
          <w:sz w:val="18"/>
        </w:rPr>
        <w:tab/>
        <w:t>Program for the preparatory workshops in 2019</w:t>
      </w:r>
    </w:p>
    <w:p w:rsidR="00BA0FB4" w:rsidRDefault="00BA0FB4" w:rsidP="00814CDC">
      <w:pPr>
        <w:rPr>
          <w:rFonts w:cs="Arial"/>
          <w:snapToGrid w:val="0"/>
        </w:rPr>
      </w:pPr>
    </w:p>
    <w:p w:rsidR="00BA0FB4" w:rsidRDefault="00BA0FB4" w:rsidP="00814CDC"/>
    <w:p w:rsidR="00D917FD" w:rsidRDefault="00D917FD" w:rsidP="00814CDC"/>
    <w:p w:rsidR="00D917FD" w:rsidRPr="00B472F6" w:rsidRDefault="00D917FD" w:rsidP="00814CDC"/>
    <w:p w:rsidR="00814CDC" w:rsidRDefault="00814CDC" w:rsidP="00814CDC">
      <w:pPr>
        <w:pStyle w:val="Heading1"/>
      </w:pPr>
      <w:bookmarkStart w:id="5" w:name="_Toc21677255"/>
      <w:r>
        <w:lastRenderedPageBreak/>
        <w:t>BACKGROUND</w:t>
      </w:r>
      <w:bookmarkEnd w:id="5"/>
    </w:p>
    <w:p w:rsidR="00814CDC" w:rsidRPr="0068427F" w:rsidRDefault="00814CDC" w:rsidP="00814CDC"/>
    <w:p w:rsidR="00814CDC" w:rsidRDefault="00814CDC" w:rsidP="00814CDC">
      <w:pPr>
        <w:autoSpaceDE w:val="0"/>
        <w:autoSpaceDN w:val="0"/>
        <w:adjustRightInd w:val="0"/>
        <w:rPr>
          <w:rFonts w:cs="Arial"/>
          <w:snapToGrid w:val="0"/>
        </w:rPr>
      </w:pPr>
      <w:r w:rsidRPr="004A69D5">
        <w:rPr>
          <w:rFonts w:cs="Arial"/>
        </w:rPr>
        <w:fldChar w:fldCharType="begin"/>
      </w:r>
      <w:r w:rsidRPr="004A69D5">
        <w:rPr>
          <w:rFonts w:cs="Arial"/>
        </w:rPr>
        <w:instrText xml:space="preserve"> AUTONUM  </w:instrText>
      </w:r>
      <w:r w:rsidRPr="004A69D5">
        <w:rPr>
          <w:rFonts w:cs="Arial"/>
        </w:rPr>
        <w:fldChar w:fldCharType="end"/>
      </w:r>
      <w:r w:rsidRPr="004A69D5">
        <w:rPr>
          <w:rFonts w:cs="Arial"/>
        </w:rPr>
        <w:tab/>
      </w:r>
      <w:r w:rsidR="003512F2">
        <w:rPr>
          <w:rFonts w:cs="Arial"/>
        </w:rPr>
        <w:t>T</w:t>
      </w:r>
      <w:r w:rsidR="003512F2" w:rsidRPr="004A69D5">
        <w:rPr>
          <w:rFonts w:cs="Arial"/>
        </w:rPr>
        <w:t>he Technical Committee (TC)</w:t>
      </w:r>
      <w:r w:rsidR="003512F2">
        <w:rPr>
          <w:rFonts w:cs="Arial"/>
        </w:rPr>
        <w:t>, a</w:t>
      </w:r>
      <w:r w:rsidRPr="004A69D5">
        <w:rPr>
          <w:rFonts w:cs="Arial"/>
        </w:rPr>
        <w:t>t its thirty-eighth session, held in Geneva from April 15 to 17, 2002, agreed, on the basis of document TC/38/12, to the holding of a preparatory workshop before each Technical</w:t>
      </w:r>
      <w:r w:rsidR="003512F2">
        <w:rPr>
          <w:rFonts w:cs="Arial"/>
        </w:rPr>
        <w:t> </w:t>
      </w:r>
      <w:r w:rsidRPr="004A69D5">
        <w:rPr>
          <w:rFonts w:cs="Arial"/>
        </w:rPr>
        <w:t>Working Party (TWP) meeting, with the aim of helping some of the delegates to participate more actively at the meeting</w:t>
      </w:r>
      <w:r w:rsidR="00C73775">
        <w:rPr>
          <w:rFonts w:cs="Arial"/>
        </w:rPr>
        <w:t xml:space="preserve"> (see document TC/38/16 “Report”, paragraphs 215 to 218)</w:t>
      </w:r>
      <w:r w:rsidRPr="004A69D5">
        <w:rPr>
          <w:rFonts w:cs="Arial"/>
        </w:rPr>
        <w:t>.</w:t>
      </w:r>
    </w:p>
    <w:p w:rsidR="00F03BC7" w:rsidRDefault="00F03BC7" w:rsidP="00F03BC7">
      <w:pPr>
        <w:ind w:left="567" w:hanging="567"/>
        <w:rPr>
          <w:rFonts w:cs="Arial"/>
          <w:snapToGrid w:val="0"/>
        </w:rPr>
      </w:pPr>
    </w:p>
    <w:p w:rsidR="00F03BC7" w:rsidRPr="00C41BDE" w:rsidRDefault="00F03BC7" w:rsidP="003512F2">
      <w:pPr>
        <w:keepNext/>
        <w:keepLines/>
        <w:rPr>
          <w:rFonts w:cs="Arial"/>
        </w:rPr>
      </w:pPr>
      <w:r>
        <w:rPr>
          <w:snapToGrid w:val="0"/>
        </w:rPr>
        <w:fldChar w:fldCharType="begin"/>
      </w:r>
      <w:r>
        <w:rPr>
          <w:snapToGrid w:val="0"/>
        </w:rPr>
        <w:instrText xml:space="preserve"> AUTONUM  </w:instrText>
      </w:r>
      <w:r>
        <w:rPr>
          <w:snapToGrid w:val="0"/>
        </w:rPr>
        <w:fldChar w:fldCharType="end"/>
      </w:r>
      <w:r w:rsidR="00AC7873">
        <w:rPr>
          <w:snapToGrid w:val="0"/>
        </w:rPr>
        <w:tab/>
      </w:r>
      <w:r w:rsidR="00AC7873" w:rsidRPr="0027101D">
        <w:rPr>
          <w:snapToGrid w:val="0"/>
        </w:rPr>
        <w:t xml:space="preserve">The </w:t>
      </w:r>
      <w:r w:rsidR="00AC7873">
        <w:rPr>
          <w:snapToGrid w:val="0"/>
        </w:rPr>
        <w:t xml:space="preserve">TC, at its fifty-fourth session, held in Geneva on October 29 and 30, 2019, </w:t>
      </w:r>
      <w:r w:rsidR="00AC7873">
        <w:t>agreed the</w:t>
      </w:r>
      <w:r>
        <w:t xml:space="preserve"> program for preparatory workshops for 2019, as presented in </w:t>
      </w:r>
      <w:r w:rsidRPr="00C41BDE">
        <w:t>the Annex to this document</w:t>
      </w:r>
      <w:r w:rsidRPr="00C41BDE">
        <w:rPr>
          <w:rFonts w:cs="Arial"/>
        </w:rPr>
        <w:t>.  The TC agreed that the following contents should be added to the preparatory workshops</w:t>
      </w:r>
      <w:r w:rsidR="00AC7873" w:rsidRPr="00C41BDE">
        <w:rPr>
          <w:rFonts w:cs="Arial"/>
        </w:rPr>
        <w:t xml:space="preserve"> </w:t>
      </w:r>
      <w:r w:rsidR="00AC7873" w:rsidRPr="00C41BDE">
        <w:t>(see document TC/54/31 “Report”, paragraphs 323 to 327)</w:t>
      </w:r>
      <w:r w:rsidRPr="00C41BDE">
        <w:rPr>
          <w:rFonts w:cs="Arial"/>
        </w:rPr>
        <w:t>:</w:t>
      </w:r>
    </w:p>
    <w:p w:rsidR="00F03BC7" w:rsidRPr="00C41BDE" w:rsidRDefault="00F03BC7" w:rsidP="003512F2">
      <w:pPr>
        <w:keepNext/>
        <w:keepLines/>
        <w:rPr>
          <w:rFonts w:cs="Arial"/>
        </w:rPr>
      </w:pPr>
    </w:p>
    <w:p w:rsidR="00F03BC7" w:rsidRPr="00C41BDE" w:rsidRDefault="00F03BC7" w:rsidP="003512F2">
      <w:pPr>
        <w:pStyle w:val="ListParagraph"/>
        <w:keepNext/>
        <w:keepLines/>
        <w:numPr>
          <w:ilvl w:val="0"/>
          <w:numId w:val="1"/>
        </w:numPr>
        <w:rPr>
          <w:rFonts w:cs="Arial"/>
        </w:rPr>
      </w:pPr>
      <w:r w:rsidRPr="00C41BDE">
        <w:rPr>
          <w:rFonts w:cs="Arial"/>
        </w:rPr>
        <w:t>Procedure for the adoption of Test Guidelines by correspondence;</w:t>
      </w:r>
    </w:p>
    <w:p w:rsidR="00F03BC7" w:rsidRPr="00C41BDE" w:rsidRDefault="00F03BC7" w:rsidP="003512F2">
      <w:pPr>
        <w:pStyle w:val="ListParagraph"/>
        <w:keepNext/>
        <w:keepLines/>
        <w:numPr>
          <w:ilvl w:val="0"/>
          <w:numId w:val="1"/>
        </w:numPr>
        <w:rPr>
          <w:rFonts w:cs="Arial"/>
        </w:rPr>
      </w:pPr>
      <w:r w:rsidRPr="00C41BDE">
        <w:rPr>
          <w:rFonts w:cs="Arial"/>
        </w:rPr>
        <w:t>Role of the leading expert drafting Test Guidelines and how to participate as an interested expert</w:t>
      </w:r>
    </w:p>
    <w:p w:rsidR="00F03BC7" w:rsidRPr="00C41BDE" w:rsidRDefault="00F03BC7" w:rsidP="003512F2">
      <w:pPr>
        <w:pStyle w:val="ListParagraph"/>
        <w:keepNext/>
        <w:keepLines/>
        <w:numPr>
          <w:ilvl w:val="0"/>
          <w:numId w:val="1"/>
        </w:numPr>
        <w:rPr>
          <w:rFonts w:cs="Arial"/>
        </w:rPr>
      </w:pPr>
      <w:r w:rsidRPr="00C41BDE">
        <w:rPr>
          <w:rFonts w:cs="Arial"/>
        </w:rPr>
        <w:t>Possibilities for international cooperation in DUS examination</w:t>
      </w:r>
    </w:p>
    <w:p w:rsidR="00F03BC7" w:rsidRPr="00C41BDE" w:rsidRDefault="00F03BC7" w:rsidP="00F03BC7">
      <w:pPr>
        <w:rPr>
          <w:rFonts w:cs="Arial"/>
        </w:rPr>
      </w:pPr>
    </w:p>
    <w:p w:rsidR="00F03BC7" w:rsidRPr="00C41BDE" w:rsidRDefault="00F03BC7" w:rsidP="00F03BC7">
      <w:pPr>
        <w:rPr>
          <w:snapToGrid w:val="0"/>
        </w:rPr>
      </w:pPr>
      <w:r w:rsidRPr="00C41BDE">
        <w:rPr>
          <w:snapToGrid w:val="0"/>
        </w:rPr>
        <w:fldChar w:fldCharType="begin"/>
      </w:r>
      <w:r w:rsidRPr="00C41BDE">
        <w:rPr>
          <w:snapToGrid w:val="0"/>
        </w:rPr>
        <w:instrText xml:space="preserve"> AUTONUM  </w:instrText>
      </w:r>
      <w:r w:rsidRPr="00C41BDE">
        <w:rPr>
          <w:snapToGrid w:val="0"/>
        </w:rPr>
        <w:fldChar w:fldCharType="end"/>
      </w:r>
      <w:r w:rsidRPr="00C41BDE">
        <w:rPr>
          <w:snapToGrid w:val="0"/>
        </w:rPr>
        <w:tab/>
        <w:t>The TC agreed that the elements to be discussed during the preparatory workshop could be presented as an introduction to the respective agenda items during the normal program for the TWPs and BMT sessions.  It further agreed that the group exercises should continue to take place and that a national workshop could take place on the day before the TWP sessions for local experts.</w:t>
      </w:r>
    </w:p>
    <w:p w:rsidR="00F03BC7" w:rsidRPr="00C41BDE" w:rsidRDefault="00F03BC7" w:rsidP="00F03BC7">
      <w:pPr>
        <w:rPr>
          <w:snapToGrid w:val="0"/>
        </w:rPr>
      </w:pPr>
    </w:p>
    <w:p w:rsidR="00F03BC7" w:rsidRPr="00C41BDE" w:rsidRDefault="00F03BC7" w:rsidP="00F03BC7">
      <w:pPr>
        <w:rPr>
          <w:snapToGrid w:val="0"/>
        </w:rPr>
      </w:pPr>
      <w:r w:rsidRPr="00C41BDE">
        <w:rPr>
          <w:snapToGrid w:val="0"/>
        </w:rPr>
        <w:fldChar w:fldCharType="begin"/>
      </w:r>
      <w:r w:rsidRPr="00C41BDE">
        <w:rPr>
          <w:snapToGrid w:val="0"/>
        </w:rPr>
        <w:instrText xml:space="preserve"> AUTONUM  </w:instrText>
      </w:r>
      <w:r w:rsidRPr="00C41BDE">
        <w:rPr>
          <w:snapToGrid w:val="0"/>
        </w:rPr>
        <w:fldChar w:fldCharType="end"/>
      </w:r>
      <w:r w:rsidRPr="00C41BDE">
        <w:rPr>
          <w:snapToGrid w:val="0"/>
        </w:rPr>
        <w:tab/>
        <w:t>The TC agreed that the Chairpersons of the TWPs should discuss in conjunction with the organizers, the Chairperson of the TC and the UPOV Office on the procedure for individual cases.</w:t>
      </w:r>
    </w:p>
    <w:p w:rsidR="00F03BC7" w:rsidRPr="00C41BDE" w:rsidRDefault="00F03BC7" w:rsidP="00F03BC7"/>
    <w:p w:rsidR="00C428E1" w:rsidRPr="00C41BDE" w:rsidRDefault="00C428E1" w:rsidP="00C428E1">
      <w:pPr>
        <w:pStyle w:val="Heading1"/>
        <w:rPr>
          <w:i/>
        </w:rPr>
      </w:pPr>
      <w:bookmarkStart w:id="6" w:name="_Toc524688361"/>
      <w:bookmarkStart w:id="7" w:name="_Toc21677256"/>
      <w:r w:rsidRPr="00C41BDE">
        <w:t>Report on Preparatory Workshop</w:t>
      </w:r>
      <w:r w:rsidR="00553B11" w:rsidRPr="00C41BDE">
        <w:t>s</w:t>
      </w:r>
      <w:r w:rsidRPr="00C41BDE">
        <w:t xml:space="preserve"> held in 201</w:t>
      </w:r>
      <w:bookmarkEnd w:id="6"/>
      <w:r w:rsidRPr="00C41BDE">
        <w:t>9</w:t>
      </w:r>
      <w:bookmarkEnd w:id="7"/>
    </w:p>
    <w:p w:rsidR="00C428E1" w:rsidRPr="00C41BDE" w:rsidRDefault="00C428E1" w:rsidP="00C428E1">
      <w:pPr>
        <w:rPr>
          <w:rFonts w:cs="Arial"/>
          <w:i/>
        </w:rPr>
      </w:pPr>
    </w:p>
    <w:p w:rsidR="00C428E1" w:rsidRDefault="00C428E1" w:rsidP="00C428E1">
      <w:pPr>
        <w:rPr>
          <w:rFonts w:cs="Arial"/>
        </w:rPr>
      </w:pPr>
      <w:r w:rsidRPr="00C41BDE">
        <w:rPr>
          <w:rFonts w:cs="Arial"/>
        </w:rPr>
        <w:fldChar w:fldCharType="begin"/>
      </w:r>
      <w:r w:rsidRPr="00C41BDE">
        <w:rPr>
          <w:rFonts w:cs="Arial"/>
        </w:rPr>
        <w:instrText xml:space="preserve"> AUTONUM  </w:instrText>
      </w:r>
      <w:r w:rsidRPr="00C41BDE">
        <w:rPr>
          <w:rFonts w:cs="Arial"/>
        </w:rPr>
        <w:fldChar w:fldCharType="end"/>
      </w:r>
      <w:r w:rsidRPr="00C41BDE">
        <w:rPr>
          <w:rFonts w:cs="Arial"/>
        </w:rPr>
        <w:tab/>
      </w:r>
      <w:r w:rsidR="008B3448" w:rsidRPr="00C41BDE">
        <w:rPr>
          <w:rFonts w:cs="Arial"/>
        </w:rPr>
        <w:t>The TWO held its fifty-first session in Christchurch, New Zealand, from February 18 to 22, 2</w:t>
      </w:r>
      <w:r w:rsidRPr="00C41BDE">
        <w:rPr>
          <w:rFonts w:cs="Arial"/>
        </w:rPr>
        <w:t>01</w:t>
      </w:r>
      <w:r w:rsidR="00322B1F" w:rsidRPr="00C41BDE">
        <w:rPr>
          <w:rFonts w:cs="Arial"/>
        </w:rPr>
        <w:t>9</w:t>
      </w:r>
      <w:r w:rsidR="008B3448" w:rsidRPr="00C41BDE">
        <w:rPr>
          <w:rFonts w:cs="Arial"/>
        </w:rPr>
        <w:t>.  T</w:t>
      </w:r>
      <w:r w:rsidRPr="00C41BDE">
        <w:rPr>
          <w:rFonts w:cs="Arial"/>
        </w:rPr>
        <w:t xml:space="preserve">he TWO held a </w:t>
      </w:r>
      <w:r w:rsidR="00322B1F" w:rsidRPr="00C41BDE">
        <w:rPr>
          <w:rFonts w:cs="Arial"/>
        </w:rPr>
        <w:t xml:space="preserve">half-day </w:t>
      </w:r>
      <w:r w:rsidRPr="00C41BDE">
        <w:rPr>
          <w:rFonts w:cs="Arial"/>
        </w:rPr>
        <w:t>preparatory workshop on the day preceding the first day of session</w:t>
      </w:r>
      <w:r w:rsidR="00322B1F" w:rsidRPr="00C41BDE">
        <w:rPr>
          <w:rFonts w:cs="Arial"/>
        </w:rPr>
        <w:t xml:space="preserve">. </w:t>
      </w:r>
      <w:r w:rsidR="0002258B" w:rsidRPr="00C41BDE">
        <w:rPr>
          <w:rFonts w:cs="Arial"/>
        </w:rPr>
        <w:t xml:space="preserve"> </w:t>
      </w:r>
      <w:r w:rsidR="007B1D57" w:rsidRPr="00C41BDE">
        <w:rPr>
          <w:rFonts w:cs="Arial"/>
        </w:rPr>
        <w:t xml:space="preserve">The preparatory workshop was attended by 18 participants from 10 members of the Union and 1 observer organization.  </w:t>
      </w:r>
      <w:r w:rsidR="00322B1F" w:rsidRPr="00C41BDE">
        <w:rPr>
          <w:rFonts w:cs="Arial"/>
        </w:rPr>
        <w:t>The items covered</w:t>
      </w:r>
      <w:r w:rsidR="0002258B" w:rsidRPr="00C41BDE">
        <w:rPr>
          <w:rFonts w:cs="Arial"/>
        </w:rPr>
        <w:t xml:space="preserve"> are reproduced in the Annex to this document</w:t>
      </w:r>
      <w:r w:rsidR="0002258B">
        <w:rPr>
          <w:rFonts w:cs="Arial"/>
        </w:rPr>
        <w:t xml:space="preserve">. </w:t>
      </w:r>
    </w:p>
    <w:p w:rsidR="00050E16" w:rsidRDefault="00050E16" w:rsidP="00050E16">
      <w:pPr>
        <w:rPr>
          <w:snapToGrid w:val="0"/>
        </w:rPr>
      </w:pPr>
    </w:p>
    <w:p w:rsidR="00814CDC" w:rsidRDefault="008B3448" w:rsidP="00050E16">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TWA, TWC, TWF, TWV and BMT did not hold a preparatory workshop at their sessions in 2019.  The elements to be discussed during the preparatory workshops were presented as an introduction to the respective agenda items during the normal program for the sessions.</w:t>
      </w:r>
    </w:p>
    <w:p w:rsidR="008B3448" w:rsidRPr="00BA0F53" w:rsidRDefault="008B3448" w:rsidP="008B3448"/>
    <w:p w:rsidR="008B3448" w:rsidRPr="00362D68" w:rsidRDefault="008B3448" w:rsidP="008B3448">
      <w:pPr>
        <w:pStyle w:val="Heading1"/>
        <w:rPr>
          <w:i/>
        </w:rPr>
      </w:pPr>
      <w:bookmarkStart w:id="8" w:name="_Toc524688363"/>
      <w:bookmarkStart w:id="9" w:name="_Toc21677257"/>
      <w:r w:rsidRPr="00362D68">
        <w:t>Program for Preparatory Work in 20</w:t>
      </w:r>
      <w:bookmarkEnd w:id="8"/>
      <w:r>
        <w:t>20</w:t>
      </w:r>
      <w:bookmarkEnd w:id="9"/>
    </w:p>
    <w:p w:rsidR="008B3448" w:rsidRDefault="008B3448" w:rsidP="008B3448">
      <w:pPr>
        <w:rPr>
          <w:rFonts w:cs="Arial"/>
        </w:rPr>
      </w:pPr>
    </w:p>
    <w:p w:rsidR="008B3448" w:rsidRDefault="008B3448" w:rsidP="008B3448">
      <w:pPr>
        <w:rPr>
          <w:rFonts w:cs="Arial"/>
        </w:rPr>
      </w:pPr>
      <w:r w:rsidRPr="004A69D5">
        <w:rPr>
          <w:rFonts w:cs="Arial"/>
        </w:rPr>
        <w:fldChar w:fldCharType="begin"/>
      </w:r>
      <w:r w:rsidRPr="004A69D5">
        <w:rPr>
          <w:rFonts w:cs="Arial"/>
        </w:rPr>
        <w:instrText xml:space="preserve"> AUTONUM  </w:instrText>
      </w:r>
      <w:r w:rsidRPr="004A69D5">
        <w:rPr>
          <w:rFonts w:cs="Arial"/>
        </w:rPr>
        <w:fldChar w:fldCharType="end"/>
      </w:r>
      <w:r w:rsidRPr="004A69D5">
        <w:rPr>
          <w:rFonts w:cs="Arial"/>
        </w:rPr>
        <w:tab/>
        <w:t xml:space="preserve">It is proposed </w:t>
      </w:r>
      <w:r>
        <w:rPr>
          <w:rFonts w:cs="Arial"/>
        </w:rPr>
        <w:t xml:space="preserve">that the following content is presented </w:t>
      </w:r>
      <w:r>
        <w:rPr>
          <w:snapToGrid w:val="0"/>
        </w:rPr>
        <w:t xml:space="preserve">as an introduction to the respective agenda items during the normal program for the sessions of the </w:t>
      </w:r>
      <w:r>
        <w:rPr>
          <w:rFonts w:cs="Arial"/>
        </w:rPr>
        <w:t xml:space="preserve">TWA, TWF, TWO and TWV </w:t>
      </w:r>
      <w:r w:rsidRPr="004A69D5">
        <w:rPr>
          <w:rFonts w:cs="Arial"/>
        </w:rPr>
        <w:t>in 20</w:t>
      </w:r>
      <w:r>
        <w:rPr>
          <w:rFonts w:cs="Arial"/>
        </w:rPr>
        <w:t xml:space="preserve">20: </w:t>
      </w:r>
    </w:p>
    <w:p w:rsidR="008B3448" w:rsidRPr="004A69D5" w:rsidRDefault="008B3448" w:rsidP="008B3448">
      <w:pPr>
        <w:rPr>
          <w:rFonts w:cs="Arial"/>
        </w:rPr>
      </w:pPr>
      <w:r w:rsidRPr="004A69D5">
        <w:rPr>
          <w:rFonts w:cs="Arial"/>
        </w:rPr>
        <w:t xml:space="preserve">  </w:t>
      </w:r>
    </w:p>
    <w:p w:rsidR="005A322A" w:rsidRPr="00F03BC7" w:rsidRDefault="005A322A" w:rsidP="00D917FD">
      <w:pPr>
        <w:numPr>
          <w:ilvl w:val="0"/>
          <w:numId w:val="13"/>
        </w:numPr>
        <w:spacing w:line="276" w:lineRule="auto"/>
        <w:rPr>
          <w:rFonts w:cs="Arial"/>
        </w:rPr>
      </w:pPr>
      <w:r w:rsidRPr="00F03BC7">
        <w:rPr>
          <w:rFonts w:cs="Arial"/>
        </w:rPr>
        <w:t>Introduction to UPOV and the role of UPOV Technical Working Parties (TWPs)</w:t>
      </w:r>
    </w:p>
    <w:p w:rsidR="005A322A" w:rsidRPr="00F03BC7" w:rsidRDefault="005A322A" w:rsidP="00D917FD">
      <w:pPr>
        <w:numPr>
          <w:ilvl w:val="0"/>
          <w:numId w:val="13"/>
        </w:numPr>
        <w:spacing w:line="276" w:lineRule="auto"/>
        <w:rPr>
          <w:rFonts w:cs="Arial"/>
        </w:rPr>
      </w:pPr>
      <w:r w:rsidRPr="00F03BC7">
        <w:rPr>
          <w:rFonts w:cs="Arial"/>
        </w:rPr>
        <w:t>Overview of the General Introduction (document TG/1/3 and TGP documents)</w:t>
      </w:r>
    </w:p>
    <w:p w:rsidR="005A322A" w:rsidRPr="00F03BC7" w:rsidRDefault="005A322A" w:rsidP="00D917FD">
      <w:pPr>
        <w:numPr>
          <w:ilvl w:val="0"/>
          <w:numId w:val="3"/>
        </w:numPr>
        <w:spacing w:line="276" w:lineRule="auto"/>
        <w:rPr>
          <w:rFonts w:cs="Arial"/>
        </w:rPr>
      </w:pPr>
      <w:r w:rsidRPr="00F03BC7">
        <w:rPr>
          <w:rFonts w:cs="Arial"/>
        </w:rPr>
        <w:t>Characteristics as the Basis for DUS Examination and Selection of Characteristics.</w:t>
      </w:r>
    </w:p>
    <w:p w:rsidR="005A322A" w:rsidRPr="00F03BC7" w:rsidRDefault="005A322A" w:rsidP="00D917FD">
      <w:pPr>
        <w:numPr>
          <w:ilvl w:val="0"/>
          <w:numId w:val="13"/>
        </w:numPr>
        <w:spacing w:line="276" w:lineRule="auto"/>
        <w:rPr>
          <w:rFonts w:cs="Arial"/>
        </w:rPr>
      </w:pPr>
      <w:r w:rsidRPr="00F03BC7">
        <w:rPr>
          <w:rFonts w:cs="Arial"/>
        </w:rPr>
        <w:t xml:space="preserve">Guidance on drafting Test Guidelines (document TGP/7) </w:t>
      </w:r>
    </w:p>
    <w:p w:rsidR="005A322A" w:rsidRPr="00F03BC7" w:rsidRDefault="005A322A" w:rsidP="00D917FD">
      <w:pPr>
        <w:numPr>
          <w:ilvl w:val="0"/>
          <w:numId w:val="14"/>
        </w:numPr>
        <w:spacing w:line="276" w:lineRule="auto"/>
        <w:rPr>
          <w:rFonts w:cs="Arial"/>
        </w:rPr>
      </w:pPr>
      <w:r w:rsidRPr="00F03BC7">
        <w:rPr>
          <w:rFonts w:cs="Arial"/>
        </w:rPr>
        <w:t>Subject of the Test Guidelines, Material Required and Method of Examination;</w:t>
      </w:r>
    </w:p>
    <w:p w:rsidR="005A322A" w:rsidRPr="00F03BC7" w:rsidRDefault="005A322A" w:rsidP="00D917FD">
      <w:pPr>
        <w:numPr>
          <w:ilvl w:val="0"/>
          <w:numId w:val="14"/>
        </w:numPr>
        <w:spacing w:line="276" w:lineRule="auto"/>
        <w:rPr>
          <w:rFonts w:cs="Arial"/>
        </w:rPr>
      </w:pPr>
      <w:r w:rsidRPr="00F03BC7">
        <w:rPr>
          <w:rFonts w:cs="Arial"/>
        </w:rPr>
        <w:t>Method of Observation (MS, MG, VS, VG);</w:t>
      </w:r>
    </w:p>
    <w:p w:rsidR="005A322A" w:rsidRPr="00F03BC7" w:rsidRDefault="005A322A" w:rsidP="00D917FD">
      <w:pPr>
        <w:numPr>
          <w:ilvl w:val="0"/>
          <w:numId w:val="14"/>
        </w:numPr>
        <w:tabs>
          <w:tab w:val="left" w:pos="567"/>
          <w:tab w:val="left" w:pos="1134"/>
          <w:tab w:val="left" w:pos="2268"/>
          <w:tab w:val="left" w:pos="2835"/>
          <w:tab w:val="left" w:pos="3402"/>
          <w:tab w:val="left" w:pos="3969"/>
          <w:tab w:val="left" w:pos="4536"/>
          <w:tab w:val="center" w:pos="5386"/>
        </w:tabs>
        <w:spacing w:line="276" w:lineRule="auto"/>
        <w:rPr>
          <w:rFonts w:cs="Arial"/>
        </w:rPr>
      </w:pPr>
      <w:r w:rsidRPr="00F03BC7">
        <w:rPr>
          <w:rFonts w:cs="Arial"/>
        </w:rPr>
        <w:t>Types of Expression (QL, PQ, QN), notes and distinctness;</w:t>
      </w:r>
    </w:p>
    <w:p w:rsidR="005A322A" w:rsidRPr="00F03BC7" w:rsidRDefault="005A322A" w:rsidP="00D917FD">
      <w:pPr>
        <w:numPr>
          <w:ilvl w:val="0"/>
          <w:numId w:val="14"/>
        </w:numPr>
        <w:spacing w:line="276" w:lineRule="auto"/>
        <w:rPr>
          <w:rFonts w:cs="Arial"/>
        </w:rPr>
      </w:pPr>
      <w:r w:rsidRPr="00F03BC7">
        <w:rPr>
          <w:rFonts w:cs="Arial"/>
        </w:rPr>
        <w:t>Shape and Color Characteristics;</w:t>
      </w:r>
    </w:p>
    <w:p w:rsidR="005A322A" w:rsidRPr="00F03BC7" w:rsidRDefault="005A322A" w:rsidP="00D917FD">
      <w:pPr>
        <w:numPr>
          <w:ilvl w:val="0"/>
          <w:numId w:val="14"/>
        </w:numPr>
        <w:spacing w:line="276" w:lineRule="auto"/>
        <w:rPr>
          <w:rFonts w:cs="Arial"/>
        </w:rPr>
      </w:pPr>
      <w:r w:rsidRPr="00F03BC7">
        <w:rPr>
          <w:rFonts w:cs="Arial"/>
        </w:rPr>
        <w:t>Example Varieties;</w:t>
      </w:r>
    </w:p>
    <w:p w:rsidR="005A322A" w:rsidRDefault="005A322A" w:rsidP="00D917FD">
      <w:pPr>
        <w:numPr>
          <w:ilvl w:val="0"/>
          <w:numId w:val="14"/>
        </w:numPr>
        <w:spacing w:line="276" w:lineRule="auto"/>
        <w:rPr>
          <w:rFonts w:cs="Arial"/>
        </w:rPr>
      </w:pPr>
      <w:r w:rsidRPr="00F03BC7">
        <w:rPr>
          <w:rFonts w:cs="Arial"/>
          <w:snapToGrid w:val="0"/>
          <w:color w:val="000000"/>
        </w:rPr>
        <w:t xml:space="preserve">The process for developing UPOV Test Guidelines, including: </w:t>
      </w:r>
      <w:r w:rsidRPr="00F03BC7">
        <w:rPr>
          <w:rFonts w:cs="Arial"/>
        </w:rPr>
        <w:t>Web-based</w:t>
      </w:r>
      <w:r w:rsidRPr="00F03BC7">
        <w:rPr>
          <w:rFonts w:cs="Arial"/>
          <w:snapToGrid w:val="0"/>
          <w:color w:val="000000"/>
        </w:rPr>
        <w:t xml:space="preserve"> T</w:t>
      </w:r>
      <w:r w:rsidRPr="00F03BC7">
        <w:rPr>
          <w:rFonts w:cs="Arial"/>
        </w:rPr>
        <w:t>G Template; Additional Standard Wording; and Guidance Notes;</w:t>
      </w:r>
    </w:p>
    <w:p w:rsidR="005A322A" w:rsidRDefault="005A322A" w:rsidP="00D917FD">
      <w:pPr>
        <w:numPr>
          <w:ilvl w:val="0"/>
          <w:numId w:val="13"/>
        </w:numPr>
        <w:spacing w:line="276" w:lineRule="auto"/>
        <w:rPr>
          <w:rFonts w:cs="Arial"/>
        </w:rPr>
      </w:pPr>
      <w:r>
        <w:rPr>
          <w:rFonts w:cs="Arial"/>
        </w:rPr>
        <w:t>Procedure for the adoption of Test Guidelines by correspondence;</w:t>
      </w:r>
    </w:p>
    <w:p w:rsidR="005A322A" w:rsidRDefault="005A322A" w:rsidP="00D917FD">
      <w:pPr>
        <w:numPr>
          <w:ilvl w:val="0"/>
          <w:numId w:val="13"/>
        </w:numPr>
        <w:spacing w:line="276" w:lineRule="auto"/>
        <w:rPr>
          <w:rFonts w:cs="Arial"/>
        </w:rPr>
      </w:pPr>
      <w:r>
        <w:rPr>
          <w:rFonts w:cs="Arial"/>
        </w:rPr>
        <w:t>Role of the leading expert drafting Test Guidelines and how to participate as an interested expert</w:t>
      </w:r>
    </w:p>
    <w:p w:rsidR="005A322A" w:rsidRDefault="005A322A" w:rsidP="00D917FD">
      <w:pPr>
        <w:numPr>
          <w:ilvl w:val="0"/>
          <w:numId w:val="13"/>
        </w:numPr>
        <w:spacing w:line="276" w:lineRule="auto"/>
        <w:rPr>
          <w:rFonts w:cs="Arial"/>
        </w:rPr>
      </w:pPr>
      <w:r>
        <w:rPr>
          <w:rFonts w:cs="Arial"/>
        </w:rPr>
        <w:t>Possibilities for international cooperation in DUS examination</w:t>
      </w:r>
    </w:p>
    <w:p w:rsidR="005A322A" w:rsidRPr="00F03BC7" w:rsidRDefault="005A322A" w:rsidP="00D917FD">
      <w:pPr>
        <w:numPr>
          <w:ilvl w:val="0"/>
          <w:numId w:val="13"/>
        </w:numPr>
        <w:spacing w:line="276" w:lineRule="auto"/>
        <w:rPr>
          <w:rFonts w:cs="Arial"/>
        </w:rPr>
      </w:pPr>
      <w:r w:rsidRPr="00F03BC7">
        <w:rPr>
          <w:rFonts w:cs="Arial"/>
        </w:rPr>
        <w:t>Agenda for the TWP Session</w:t>
      </w:r>
    </w:p>
    <w:p w:rsidR="005A322A" w:rsidRPr="00F03BC7" w:rsidRDefault="005A322A" w:rsidP="00D917FD">
      <w:pPr>
        <w:numPr>
          <w:ilvl w:val="0"/>
          <w:numId w:val="13"/>
        </w:numPr>
        <w:spacing w:line="276" w:lineRule="auto"/>
        <w:rPr>
          <w:rFonts w:cs="Arial"/>
        </w:rPr>
      </w:pPr>
      <w:r w:rsidRPr="00F03BC7">
        <w:rPr>
          <w:rFonts w:cs="Arial"/>
        </w:rPr>
        <w:t>Feedback from participants</w:t>
      </w:r>
    </w:p>
    <w:p w:rsidR="008B3448" w:rsidRDefault="008B3448" w:rsidP="008B3448">
      <w:pPr>
        <w:rPr>
          <w:rFonts w:cs="Arial"/>
        </w:rPr>
      </w:pPr>
    </w:p>
    <w:p w:rsidR="005A322A" w:rsidRDefault="008B3448" w:rsidP="00271E0A">
      <w:pPr>
        <w:keepNext/>
        <w:keepLines/>
        <w:rPr>
          <w:rFonts w:cs="Arial"/>
        </w:rPr>
      </w:pPr>
      <w:r w:rsidRPr="00F51858">
        <w:rPr>
          <w:rFonts w:cs="Arial"/>
        </w:rPr>
        <w:lastRenderedPageBreak/>
        <w:fldChar w:fldCharType="begin"/>
      </w:r>
      <w:r w:rsidRPr="00F51858">
        <w:rPr>
          <w:rFonts w:cs="Arial"/>
        </w:rPr>
        <w:instrText xml:space="preserve"> AUTONUM  </w:instrText>
      </w:r>
      <w:r w:rsidRPr="00F51858">
        <w:rPr>
          <w:rFonts w:cs="Arial"/>
        </w:rPr>
        <w:fldChar w:fldCharType="end"/>
      </w:r>
      <w:r w:rsidRPr="00F51858">
        <w:rPr>
          <w:rFonts w:cs="Arial"/>
        </w:rPr>
        <w:tab/>
      </w:r>
      <w:r w:rsidR="005A322A" w:rsidRPr="004A69D5">
        <w:rPr>
          <w:rFonts w:cs="Arial"/>
        </w:rPr>
        <w:t xml:space="preserve">It is proposed </w:t>
      </w:r>
      <w:r w:rsidR="005A322A">
        <w:rPr>
          <w:rFonts w:cs="Arial"/>
        </w:rPr>
        <w:t xml:space="preserve">that the following content is presented </w:t>
      </w:r>
      <w:r w:rsidR="005A322A">
        <w:rPr>
          <w:snapToGrid w:val="0"/>
        </w:rPr>
        <w:t>as an introduction to the respective agenda items during the normal program for the 2020 sessions of the TWC and BMT:</w:t>
      </w:r>
    </w:p>
    <w:p w:rsidR="008B3448" w:rsidRPr="00F51858" w:rsidRDefault="008B3448" w:rsidP="00271E0A">
      <w:pPr>
        <w:keepNext/>
        <w:keepLines/>
        <w:rPr>
          <w:rFonts w:cs="Arial"/>
        </w:rPr>
      </w:pPr>
    </w:p>
    <w:p w:rsidR="008B3448" w:rsidRPr="00595F05" w:rsidRDefault="008B3448" w:rsidP="00D917FD">
      <w:pPr>
        <w:keepNext/>
        <w:keepLines/>
        <w:numPr>
          <w:ilvl w:val="0"/>
          <w:numId w:val="11"/>
        </w:numPr>
        <w:spacing w:line="276" w:lineRule="auto"/>
        <w:rPr>
          <w:rFonts w:cs="Arial"/>
        </w:rPr>
      </w:pPr>
      <w:r w:rsidRPr="00595F05">
        <w:rPr>
          <w:rFonts w:cs="Arial"/>
        </w:rPr>
        <w:t xml:space="preserve">Introduction to UPOV and the role of </w:t>
      </w:r>
      <w:r>
        <w:rPr>
          <w:rFonts w:cs="Arial"/>
        </w:rPr>
        <w:t xml:space="preserve">the </w:t>
      </w:r>
      <w:r w:rsidRPr="00595F05">
        <w:rPr>
          <w:rFonts w:cs="Arial"/>
        </w:rPr>
        <w:t>TWPs</w:t>
      </w:r>
      <w:r>
        <w:rPr>
          <w:rFonts w:cs="Arial"/>
        </w:rPr>
        <w:t xml:space="preserve"> and BMT</w:t>
      </w:r>
      <w:r w:rsidRPr="00595F05">
        <w:rPr>
          <w:rFonts w:cs="Arial"/>
        </w:rPr>
        <w:t>;</w:t>
      </w:r>
    </w:p>
    <w:p w:rsidR="008B3448" w:rsidRPr="00595F05" w:rsidRDefault="008B3448" w:rsidP="00D917FD">
      <w:pPr>
        <w:keepNext/>
        <w:keepLines/>
        <w:numPr>
          <w:ilvl w:val="0"/>
          <w:numId w:val="11"/>
        </w:numPr>
        <w:spacing w:line="276" w:lineRule="auto"/>
        <w:ind w:left="1134" w:hanging="567"/>
        <w:rPr>
          <w:rFonts w:cs="Arial"/>
        </w:rPr>
      </w:pPr>
      <w:r w:rsidRPr="00595F05">
        <w:rPr>
          <w:rFonts w:cs="Arial"/>
        </w:rPr>
        <w:t>Overview of the General Introduction (document TG/1/3 and TGP documents)</w:t>
      </w:r>
    </w:p>
    <w:p w:rsidR="008B3448" w:rsidRPr="00595F05" w:rsidRDefault="008B3448" w:rsidP="00D917FD">
      <w:pPr>
        <w:keepNext/>
        <w:keepLines/>
        <w:numPr>
          <w:ilvl w:val="0"/>
          <w:numId w:val="11"/>
        </w:numPr>
        <w:spacing w:line="276" w:lineRule="auto"/>
        <w:ind w:left="1134" w:hanging="567"/>
        <w:rPr>
          <w:rFonts w:cs="Arial"/>
        </w:rPr>
      </w:pPr>
      <w:r w:rsidRPr="00595F05">
        <w:rPr>
          <w:rFonts w:cs="Arial"/>
        </w:rPr>
        <w:t>Overview of DUS trials and Test Guidelines;</w:t>
      </w:r>
    </w:p>
    <w:p w:rsidR="008B3448" w:rsidRPr="00595F05" w:rsidRDefault="008B3448" w:rsidP="00D917FD">
      <w:pPr>
        <w:keepNext/>
        <w:keepLines/>
        <w:numPr>
          <w:ilvl w:val="0"/>
          <w:numId w:val="11"/>
        </w:numPr>
        <w:spacing w:line="276" w:lineRule="auto"/>
        <w:ind w:left="1134" w:hanging="567"/>
        <w:rPr>
          <w:rFonts w:cs="Arial"/>
        </w:rPr>
      </w:pPr>
      <w:r w:rsidRPr="00595F05">
        <w:rPr>
          <w:rFonts w:cs="Arial"/>
        </w:rPr>
        <w:t>UPOV online resources</w:t>
      </w:r>
    </w:p>
    <w:p w:rsidR="008B3448" w:rsidRPr="00595F05" w:rsidRDefault="008B3448" w:rsidP="00D917FD">
      <w:pPr>
        <w:numPr>
          <w:ilvl w:val="2"/>
          <w:numId w:val="12"/>
        </w:numPr>
        <w:spacing w:line="276" w:lineRule="auto"/>
        <w:ind w:left="1701" w:hanging="567"/>
        <w:rPr>
          <w:rFonts w:cs="Arial"/>
        </w:rPr>
      </w:pPr>
      <w:r>
        <w:rPr>
          <w:rFonts w:cs="Arial"/>
        </w:rPr>
        <w:t>UPOV member laws:  UPOV Lex, GENIE database</w:t>
      </w:r>
    </w:p>
    <w:p w:rsidR="008B3448" w:rsidRPr="00E479F5" w:rsidRDefault="008B3448" w:rsidP="00D917FD">
      <w:pPr>
        <w:numPr>
          <w:ilvl w:val="2"/>
          <w:numId w:val="12"/>
        </w:numPr>
        <w:spacing w:line="276" w:lineRule="auto"/>
        <w:ind w:left="1701" w:hanging="567"/>
        <w:rPr>
          <w:rFonts w:cs="Arial"/>
          <w:spacing w:val="-2"/>
          <w:lang w:val="fr-CH"/>
        </w:rPr>
      </w:pPr>
      <w:r w:rsidRPr="00E479F5">
        <w:rPr>
          <w:rFonts w:cs="Arial"/>
          <w:spacing w:val="-2"/>
          <w:lang w:val="fr-CH"/>
        </w:rPr>
        <w:t xml:space="preserve">PBR Applications:  </w:t>
      </w:r>
      <w:r>
        <w:rPr>
          <w:rFonts w:cs="Arial"/>
          <w:spacing w:val="-2"/>
          <w:lang w:val="fr-CH"/>
        </w:rPr>
        <w:t xml:space="preserve">UPOV </w:t>
      </w:r>
      <w:r w:rsidRPr="00E479F5">
        <w:rPr>
          <w:rFonts w:cs="Arial"/>
          <w:spacing w:val="-2"/>
          <w:lang w:val="fr-CH"/>
        </w:rPr>
        <w:t xml:space="preserve">PRISMA PBR Application </w:t>
      </w:r>
      <w:proofErr w:type="spellStart"/>
      <w:r w:rsidRPr="00E479F5">
        <w:rPr>
          <w:rFonts w:cs="Arial"/>
          <w:spacing w:val="-2"/>
          <w:lang w:val="fr-CH"/>
        </w:rPr>
        <w:t>Tool</w:t>
      </w:r>
      <w:proofErr w:type="spellEnd"/>
    </w:p>
    <w:p w:rsidR="008B3448" w:rsidRDefault="008B3448" w:rsidP="00D917FD">
      <w:pPr>
        <w:numPr>
          <w:ilvl w:val="2"/>
          <w:numId w:val="12"/>
        </w:numPr>
        <w:spacing w:line="276" w:lineRule="auto"/>
        <w:ind w:left="1701" w:hanging="567"/>
        <w:rPr>
          <w:rFonts w:cs="Arial"/>
          <w:spacing w:val="-2"/>
        </w:rPr>
      </w:pPr>
      <w:r w:rsidRPr="00E479F5">
        <w:rPr>
          <w:rFonts w:cs="Arial"/>
          <w:spacing w:val="-2"/>
        </w:rPr>
        <w:t xml:space="preserve">DUS Examination: </w:t>
      </w:r>
      <w:r>
        <w:rPr>
          <w:rFonts w:cs="Arial"/>
          <w:spacing w:val="-2"/>
        </w:rPr>
        <w:t xml:space="preserve"> GENIE database, </w:t>
      </w:r>
      <w:r w:rsidRPr="00B472F6">
        <w:rPr>
          <w:rFonts w:cs="Arial"/>
          <w:spacing w:val="-2"/>
        </w:rPr>
        <w:t>Web-based Test Guidelines Template</w:t>
      </w:r>
      <w:r>
        <w:rPr>
          <w:rFonts w:cs="Arial"/>
          <w:spacing w:val="-2"/>
        </w:rPr>
        <w:t>, UPOV Code</w:t>
      </w:r>
    </w:p>
    <w:p w:rsidR="008B3448" w:rsidRDefault="008B3448" w:rsidP="00D917FD">
      <w:pPr>
        <w:numPr>
          <w:ilvl w:val="2"/>
          <w:numId w:val="12"/>
        </w:numPr>
        <w:spacing w:line="276" w:lineRule="auto"/>
        <w:ind w:left="1701" w:hanging="567"/>
        <w:rPr>
          <w:rFonts w:cs="Arial"/>
          <w:spacing w:val="-2"/>
        </w:rPr>
      </w:pPr>
      <w:r>
        <w:rPr>
          <w:rFonts w:cs="Arial"/>
          <w:spacing w:val="-2"/>
        </w:rPr>
        <w:t>Variety denomination/novelty:  PLUTO database</w:t>
      </w:r>
    </w:p>
    <w:p w:rsidR="008B3448" w:rsidRDefault="008B3448" w:rsidP="00D917FD">
      <w:pPr>
        <w:keepNext/>
        <w:numPr>
          <w:ilvl w:val="0"/>
          <w:numId w:val="11"/>
        </w:numPr>
        <w:spacing w:line="276" w:lineRule="auto"/>
        <w:rPr>
          <w:rFonts w:cs="Arial"/>
        </w:rPr>
      </w:pPr>
      <w:r w:rsidRPr="00595F05">
        <w:rPr>
          <w:rFonts w:cs="Arial"/>
        </w:rPr>
        <w:t>Situation in UPOV Concerning the Possible Use of Molecular Techniques in DUS</w:t>
      </w:r>
      <w:r>
        <w:rPr>
          <w:rFonts w:cs="Arial"/>
        </w:rPr>
        <w:t> </w:t>
      </w:r>
      <w:r w:rsidRPr="00595F05">
        <w:rPr>
          <w:rFonts w:cs="Arial"/>
        </w:rPr>
        <w:t>Examination</w:t>
      </w:r>
    </w:p>
    <w:p w:rsidR="008B3448" w:rsidRDefault="008B3448" w:rsidP="00D917FD">
      <w:pPr>
        <w:keepNext/>
        <w:numPr>
          <w:ilvl w:val="0"/>
          <w:numId w:val="11"/>
        </w:numPr>
        <w:spacing w:line="276" w:lineRule="auto"/>
        <w:rPr>
          <w:rFonts w:cs="Arial"/>
        </w:rPr>
      </w:pPr>
      <w:r w:rsidRPr="00595F05">
        <w:rPr>
          <w:rFonts w:cs="Arial"/>
        </w:rPr>
        <w:t>The Concept of Essentially Derived Varieties</w:t>
      </w:r>
    </w:p>
    <w:p w:rsidR="008B3448" w:rsidRPr="00595F05" w:rsidRDefault="008B3448" w:rsidP="00D917FD">
      <w:pPr>
        <w:keepNext/>
        <w:numPr>
          <w:ilvl w:val="0"/>
          <w:numId w:val="11"/>
        </w:numPr>
        <w:spacing w:line="276" w:lineRule="auto"/>
        <w:rPr>
          <w:rFonts w:cs="Arial"/>
        </w:rPr>
      </w:pPr>
      <w:r w:rsidRPr="00595F05">
        <w:rPr>
          <w:rFonts w:cs="Arial"/>
        </w:rPr>
        <w:t>The Role of UPOV in Variety Identification</w:t>
      </w:r>
    </w:p>
    <w:p w:rsidR="008B3448" w:rsidRPr="00595F05" w:rsidRDefault="008B3448" w:rsidP="00D917FD">
      <w:pPr>
        <w:numPr>
          <w:ilvl w:val="0"/>
          <w:numId w:val="11"/>
        </w:numPr>
        <w:spacing w:line="276" w:lineRule="auto"/>
        <w:rPr>
          <w:rFonts w:cs="Arial"/>
        </w:rPr>
      </w:pPr>
      <w:r w:rsidRPr="00595F05">
        <w:rPr>
          <w:rFonts w:cs="Arial"/>
        </w:rPr>
        <w:t xml:space="preserve">Agenda for the TWC </w:t>
      </w:r>
      <w:r>
        <w:rPr>
          <w:rFonts w:cs="Arial"/>
        </w:rPr>
        <w:t>and BMT</w:t>
      </w:r>
    </w:p>
    <w:p w:rsidR="008B3448" w:rsidRPr="00595F05" w:rsidRDefault="008B3448" w:rsidP="008B3448">
      <w:pPr>
        <w:rPr>
          <w:rFonts w:cs="Arial"/>
        </w:rPr>
      </w:pPr>
    </w:p>
    <w:p w:rsidR="008B3448" w:rsidRPr="007953E6" w:rsidRDefault="008B3448" w:rsidP="008B3448">
      <w:pPr>
        <w:pStyle w:val="DecisionParagraphs"/>
        <w:rPr>
          <w:rFonts w:cs="Arial"/>
        </w:rPr>
      </w:pPr>
      <w:r w:rsidRPr="00960E3D">
        <w:rPr>
          <w:rFonts w:cs="Arial"/>
        </w:rPr>
        <w:fldChar w:fldCharType="begin"/>
      </w:r>
      <w:r w:rsidRPr="00960E3D">
        <w:rPr>
          <w:rFonts w:cs="Arial"/>
        </w:rPr>
        <w:instrText xml:space="preserve"> AUTONUM  </w:instrText>
      </w:r>
      <w:r w:rsidRPr="00960E3D">
        <w:rPr>
          <w:rFonts w:cs="Arial"/>
        </w:rPr>
        <w:fldChar w:fldCharType="end"/>
      </w:r>
      <w:r w:rsidRPr="007953E6">
        <w:rPr>
          <w:rFonts w:cs="Arial"/>
        </w:rPr>
        <w:tab/>
        <w:t>The TC is invited to:</w:t>
      </w:r>
    </w:p>
    <w:p w:rsidR="008B3448" w:rsidRPr="007953E6" w:rsidRDefault="008B3448" w:rsidP="008B3448">
      <w:pPr>
        <w:pStyle w:val="DecisionParagraphs"/>
        <w:rPr>
          <w:rFonts w:cs="Arial"/>
        </w:rPr>
      </w:pPr>
    </w:p>
    <w:p w:rsidR="00DE7048" w:rsidRDefault="008B3448" w:rsidP="00553B11">
      <w:pPr>
        <w:pStyle w:val="DecisionParagraphs"/>
        <w:numPr>
          <w:ilvl w:val="0"/>
          <w:numId w:val="15"/>
        </w:numPr>
        <w:tabs>
          <w:tab w:val="clear" w:pos="5387"/>
          <w:tab w:val="clear" w:pos="5960"/>
          <w:tab w:val="num" w:pos="5954"/>
        </w:tabs>
        <w:ind w:left="4820" w:firstLine="567"/>
        <w:rPr>
          <w:rFonts w:cs="Arial"/>
        </w:rPr>
      </w:pPr>
      <w:r w:rsidRPr="007953E6">
        <w:rPr>
          <w:rFonts w:cs="Arial"/>
        </w:rPr>
        <w:t>note the report of the preparatory workshop held</w:t>
      </w:r>
      <w:r w:rsidR="00DE7048">
        <w:rPr>
          <w:rFonts w:cs="Arial"/>
        </w:rPr>
        <w:t xml:space="preserve"> by the TWO</w:t>
      </w:r>
      <w:r w:rsidRPr="007953E6">
        <w:rPr>
          <w:rFonts w:cs="Arial"/>
        </w:rPr>
        <w:t xml:space="preserve"> in </w:t>
      </w:r>
      <w:r>
        <w:rPr>
          <w:rFonts w:cs="Arial"/>
        </w:rPr>
        <w:t>201</w:t>
      </w:r>
      <w:r w:rsidR="00DE7048">
        <w:rPr>
          <w:rFonts w:cs="Arial"/>
        </w:rPr>
        <w:t>9</w:t>
      </w:r>
      <w:r w:rsidRPr="007953E6">
        <w:rPr>
          <w:rFonts w:cs="Arial"/>
        </w:rPr>
        <w:t>;</w:t>
      </w:r>
      <w:r>
        <w:rPr>
          <w:rFonts w:cs="Arial"/>
        </w:rPr>
        <w:t xml:space="preserve"> </w:t>
      </w:r>
    </w:p>
    <w:p w:rsidR="00DE7048" w:rsidRDefault="00DE7048" w:rsidP="00DE7048">
      <w:pPr>
        <w:pStyle w:val="DecisionParagraphs"/>
        <w:tabs>
          <w:tab w:val="clear" w:pos="5387"/>
        </w:tabs>
        <w:ind w:left="5387"/>
        <w:rPr>
          <w:rFonts w:cs="Arial"/>
        </w:rPr>
      </w:pPr>
    </w:p>
    <w:p w:rsidR="008B3448" w:rsidRDefault="00AC69BE" w:rsidP="00AC69BE">
      <w:pPr>
        <w:pStyle w:val="DecisionParagraphs"/>
        <w:numPr>
          <w:ilvl w:val="0"/>
          <w:numId w:val="15"/>
        </w:numPr>
        <w:tabs>
          <w:tab w:val="clear" w:pos="5387"/>
          <w:tab w:val="clear" w:pos="5960"/>
          <w:tab w:val="num" w:pos="4820"/>
          <w:tab w:val="left" w:pos="5954"/>
        </w:tabs>
        <w:ind w:left="4820" w:firstLine="567"/>
        <w:rPr>
          <w:rFonts w:cs="Arial"/>
        </w:rPr>
      </w:pPr>
      <w:r>
        <w:rPr>
          <w:snapToGrid w:val="0"/>
        </w:rPr>
        <w:t xml:space="preserve">note that the elements to be discussed during the preparatory workshops for the TWA, TWC, TWF, TWV and BMT were presented as an introduction to the respective agenda items during the normal program for the sessions; </w:t>
      </w:r>
    </w:p>
    <w:p w:rsidR="008B3448" w:rsidRDefault="008B3448" w:rsidP="008B3448">
      <w:pPr>
        <w:pStyle w:val="DecisionParagraphs"/>
        <w:tabs>
          <w:tab w:val="clear" w:pos="5387"/>
          <w:tab w:val="left" w:pos="5954"/>
        </w:tabs>
        <w:rPr>
          <w:rFonts w:cs="Arial"/>
        </w:rPr>
      </w:pPr>
    </w:p>
    <w:p w:rsidR="008B3448" w:rsidRPr="00C41BDE" w:rsidRDefault="008B3448" w:rsidP="00AC69BE">
      <w:pPr>
        <w:pStyle w:val="DecisionParagraphs"/>
        <w:numPr>
          <w:ilvl w:val="0"/>
          <w:numId w:val="15"/>
        </w:numPr>
        <w:tabs>
          <w:tab w:val="clear" w:pos="5960"/>
          <w:tab w:val="num" w:pos="4820"/>
          <w:tab w:val="num" w:pos="5387"/>
          <w:tab w:val="left" w:pos="5954"/>
        </w:tabs>
        <w:ind w:left="4820" w:firstLine="567"/>
        <w:rPr>
          <w:rFonts w:cs="Arial"/>
        </w:rPr>
      </w:pPr>
      <w:r w:rsidRPr="007953E6">
        <w:rPr>
          <w:rFonts w:cs="Arial"/>
        </w:rPr>
        <w:t xml:space="preserve">consider the proposed program for preparatory work for </w:t>
      </w:r>
      <w:r>
        <w:rPr>
          <w:rFonts w:cs="Arial"/>
        </w:rPr>
        <w:t>20</w:t>
      </w:r>
      <w:r w:rsidR="00D917FD">
        <w:rPr>
          <w:rFonts w:cs="Arial"/>
        </w:rPr>
        <w:t>20</w:t>
      </w:r>
      <w:r w:rsidRPr="007953E6">
        <w:rPr>
          <w:rFonts w:cs="Arial"/>
        </w:rPr>
        <w:t xml:space="preserve">, as set </w:t>
      </w:r>
      <w:r w:rsidRPr="00C41BDE">
        <w:rPr>
          <w:rFonts w:cs="Arial"/>
        </w:rPr>
        <w:t xml:space="preserve">out in paragraphs </w:t>
      </w:r>
      <w:r w:rsidR="00AC69BE" w:rsidRPr="00C41BDE">
        <w:rPr>
          <w:rFonts w:cs="Arial"/>
        </w:rPr>
        <w:t>11</w:t>
      </w:r>
      <w:r w:rsidRPr="00C41BDE">
        <w:rPr>
          <w:rFonts w:cs="Arial"/>
        </w:rPr>
        <w:t xml:space="preserve"> and </w:t>
      </w:r>
      <w:r w:rsidR="00AC69BE" w:rsidRPr="00C41BDE">
        <w:rPr>
          <w:rFonts w:cs="Arial"/>
        </w:rPr>
        <w:t>12</w:t>
      </w:r>
      <w:r w:rsidRPr="00C41BDE">
        <w:rPr>
          <w:rFonts w:cs="Arial"/>
        </w:rPr>
        <w:t xml:space="preserve"> of this document</w:t>
      </w:r>
      <w:r w:rsidR="00D917FD" w:rsidRPr="00C41BDE">
        <w:rPr>
          <w:rFonts w:cs="Arial"/>
        </w:rPr>
        <w:t>; and</w:t>
      </w:r>
    </w:p>
    <w:p w:rsidR="00D917FD" w:rsidRDefault="00D917FD" w:rsidP="00D917FD">
      <w:pPr>
        <w:pStyle w:val="DecisionParagraphs"/>
        <w:tabs>
          <w:tab w:val="clear" w:pos="5387"/>
          <w:tab w:val="num" w:pos="5960"/>
        </w:tabs>
        <w:ind w:left="5387"/>
        <w:rPr>
          <w:rFonts w:cs="Arial"/>
        </w:rPr>
      </w:pPr>
    </w:p>
    <w:p w:rsidR="00D917FD" w:rsidRDefault="00D917FD" w:rsidP="00AC69BE">
      <w:pPr>
        <w:pStyle w:val="DecisionParagraphs"/>
        <w:numPr>
          <w:ilvl w:val="0"/>
          <w:numId w:val="15"/>
        </w:numPr>
        <w:tabs>
          <w:tab w:val="clear" w:pos="5960"/>
          <w:tab w:val="num" w:pos="4820"/>
          <w:tab w:val="num" w:pos="5387"/>
          <w:tab w:val="left" w:pos="5954"/>
        </w:tabs>
        <w:ind w:left="4820" w:firstLine="567"/>
        <w:rPr>
          <w:rFonts w:cs="Arial"/>
        </w:rPr>
      </w:pPr>
      <w:proofErr w:type="gramStart"/>
      <w:r>
        <w:rPr>
          <w:rFonts w:cs="Arial"/>
        </w:rPr>
        <w:t>request</w:t>
      </w:r>
      <w:proofErr w:type="gramEnd"/>
      <w:r>
        <w:rPr>
          <w:rFonts w:cs="Arial"/>
        </w:rPr>
        <w:t xml:space="preserve"> the Office of the Union to present proposals on how to plan and report </w:t>
      </w:r>
      <w:r w:rsidR="00CA1405">
        <w:rPr>
          <w:rFonts w:cs="Arial"/>
        </w:rPr>
        <w:t>on</w:t>
      </w:r>
      <w:r>
        <w:rPr>
          <w:rFonts w:cs="Arial"/>
        </w:rPr>
        <w:t xml:space="preserve"> preparatory work at the TWPs </w:t>
      </w:r>
      <w:r w:rsidR="00CA1405">
        <w:rPr>
          <w:rFonts w:cs="Arial"/>
        </w:rPr>
        <w:t xml:space="preserve">for the future, </w:t>
      </w:r>
      <w:r>
        <w:rPr>
          <w:rFonts w:cs="Arial"/>
        </w:rPr>
        <w:t xml:space="preserve">at the fifty-sixth session of the TC. </w:t>
      </w:r>
    </w:p>
    <w:p w:rsidR="00D917FD" w:rsidRPr="007953E6" w:rsidRDefault="00D917FD" w:rsidP="00D917FD">
      <w:pPr>
        <w:pStyle w:val="DecisionParagraphs"/>
        <w:tabs>
          <w:tab w:val="clear" w:pos="5387"/>
          <w:tab w:val="num" w:pos="5960"/>
        </w:tabs>
        <w:rPr>
          <w:rFonts w:cs="Arial"/>
        </w:rPr>
      </w:pPr>
    </w:p>
    <w:p w:rsidR="00814CDC" w:rsidRDefault="00814CDC" w:rsidP="00050E16">
      <w:pPr>
        <w:rPr>
          <w:snapToGrid w:val="0"/>
        </w:rPr>
      </w:pPr>
    </w:p>
    <w:p w:rsidR="00814CDC" w:rsidRDefault="00814CDC" w:rsidP="00050E16">
      <w:pPr>
        <w:rPr>
          <w:snapToGrid w:val="0"/>
        </w:rPr>
      </w:pPr>
    </w:p>
    <w:p w:rsidR="00814CDC" w:rsidRDefault="00814CDC" w:rsidP="00050E16">
      <w:pPr>
        <w:rPr>
          <w:snapToGrid w:val="0"/>
        </w:rPr>
      </w:pPr>
    </w:p>
    <w:p w:rsidR="00814CDC" w:rsidRDefault="00814CDC" w:rsidP="00050E16"/>
    <w:p w:rsidR="00544581" w:rsidRDefault="00544581">
      <w:pPr>
        <w:jc w:val="left"/>
      </w:pPr>
    </w:p>
    <w:p w:rsidR="00F03BC7" w:rsidRDefault="00F03BC7" w:rsidP="00050E16">
      <w:pPr>
        <w:sectPr w:rsidR="00F03BC7" w:rsidSect="00906DDC">
          <w:headerReference w:type="default" r:id="rId8"/>
          <w:pgSz w:w="11907" w:h="16840" w:code="9"/>
          <w:pgMar w:top="510" w:right="1134" w:bottom="1134" w:left="1134" w:header="510" w:footer="680" w:gutter="0"/>
          <w:cols w:space="720"/>
          <w:titlePg/>
        </w:sectPr>
      </w:pPr>
    </w:p>
    <w:p w:rsidR="00050E16" w:rsidRDefault="00050E16" w:rsidP="00050E16"/>
    <w:p w:rsidR="00F03BC7" w:rsidRDefault="00F03BC7" w:rsidP="00050E16"/>
    <w:p w:rsidR="00F03BC7" w:rsidRPr="00F03BC7" w:rsidRDefault="00F03BC7" w:rsidP="00F03BC7">
      <w:pPr>
        <w:jc w:val="center"/>
        <w:rPr>
          <w:rFonts w:eastAsia="MS Mincho"/>
          <w:i/>
          <w:caps/>
        </w:rPr>
      </w:pPr>
      <w:r w:rsidRPr="00F03BC7">
        <w:rPr>
          <w:rFonts w:eastAsia="MS Mincho"/>
          <w:caps/>
        </w:rPr>
        <w:t>Program for the Preparatory Workshops in 2019</w:t>
      </w:r>
    </w:p>
    <w:p w:rsidR="00F03BC7" w:rsidRDefault="00F03BC7" w:rsidP="00F03BC7">
      <w:pPr>
        <w:rPr>
          <w:rFonts w:cs="Arial"/>
        </w:rPr>
      </w:pPr>
    </w:p>
    <w:p w:rsidR="00F03BC7" w:rsidRPr="00F03BC7" w:rsidRDefault="00F03BC7" w:rsidP="00F03BC7">
      <w:pPr>
        <w:rPr>
          <w:rFonts w:cs="Arial"/>
        </w:rPr>
      </w:pPr>
      <w:r>
        <w:rPr>
          <w:rFonts w:cs="Arial"/>
        </w:rPr>
        <w:t xml:space="preserve">Content </w:t>
      </w:r>
      <w:r w:rsidR="00270DA4">
        <w:rPr>
          <w:rFonts w:cs="Arial"/>
        </w:rPr>
        <w:t>provided to</w:t>
      </w:r>
      <w:r>
        <w:rPr>
          <w:rFonts w:cs="Arial"/>
        </w:rPr>
        <w:t xml:space="preserve"> the </w:t>
      </w:r>
      <w:r w:rsidRPr="00F03BC7">
        <w:rPr>
          <w:rFonts w:cs="Arial"/>
        </w:rPr>
        <w:t>TWA, TWF, TWO and TWV:</w:t>
      </w:r>
    </w:p>
    <w:p w:rsidR="00F03BC7" w:rsidRPr="00F03BC7" w:rsidRDefault="00F03BC7" w:rsidP="00F03BC7">
      <w:pPr>
        <w:rPr>
          <w:rFonts w:cs="Arial"/>
        </w:rPr>
      </w:pPr>
      <w:r w:rsidRPr="00F03BC7">
        <w:rPr>
          <w:rFonts w:cs="Arial"/>
        </w:rPr>
        <w:t xml:space="preserve">  </w:t>
      </w:r>
    </w:p>
    <w:p w:rsidR="00F03BC7" w:rsidRPr="00F03BC7" w:rsidRDefault="00F03BC7" w:rsidP="00AE62FF">
      <w:pPr>
        <w:numPr>
          <w:ilvl w:val="0"/>
          <w:numId w:val="16"/>
        </w:numPr>
        <w:spacing w:after="120"/>
        <w:rPr>
          <w:rFonts w:cs="Arial"/>
        </w:rPr>
      </w:pPr>
      <w:r w:rsidRPr="00F03BC7">
        <w:rPr>
          <w:rFonts w:cs="Arial"/>
        </w:rPr>
        <w:t>Introduction to UPOV and the role of UPOV Technical Working Parties (TWPs)</w:t>
      </w:r>
    </w:p>
    <w:p w:rsidR="00F03BC7" w:rsidRPr="00F03BC7" w:rsidRDefault="00F03BC7" w:rsidP="00AE62FF">
      <w:pPr>
        <w:numPr>
          <w:ilvl w:val="0"/>
          <w:numId w:val="16"/>
        </w:numPr>
        <w:spacing w:after="120"/>
        <w:rPr>
          <w:rFonts w:cs="Arial"/>
        </w:rPr>
      </w:pPr>
      <w:r w:rsidRPr="00F03BC7">
        <w:rPr>
          <w:rFonts w:cs="Arial"/>
        </w:rPr>
        <w:t>Overview of the General Introduction (document TG/1/3 and TGP documents)</w:t>
      </w:r>
    </w:p>
    <w:p w:rsidR="00F03BC7" w:rsidRPr="00F03BC7" w:rsidRDefault="00F03BC7" w:rsidP="00F03BC7">
      <w:pPr>
        <w:numPr>
          <w:ilvl w:val="0"/>
          <w:numId w:val="3"/>
        </w:numPr>
        <w:spacing w:after="120"/>
        <w:rPr>
          <w:rFonts w:cs="Arial"/>
        </w:rPr>
      </w:pPr>
      <w:r w:rsidRPr="00F03BC7">
        <w:rPr>
          <w:rFonts w:cs="Arial"/>
        </w:rPr>
        <w:t>Characteristics as the Basis for DUS Examination and Selection of Characteristics.</w:t>
      </w:r>
    </w:p>
    <w:p w:rsidR="00F03BC7" w:rsidRPr="00F03BC7" w:rsidRDefault="00F03BC7" w:rsidP="00AE62FF">
      <w:pPr>
        <w:numPr>
          <w:ilvl w:val="0"/>
          <w:numId w:val="16"/>
        </w:numPr>
        <w:spacing w:after="120"/>
        <w:rPr>
          <w:rFonts w:cs="Arial"/>
        </w:rPr>
      </w:pPr>
      <w:r w:rsidRPr="00F03BC7">
        <w:rPr>
          <w:rFonts w:cs="Arial"/>
        </w:rPr>
        <w:t xml:space="preserve">Guidance on drafting Test Guidelines (document TGP/7) </w:t>
      </w:r>
    </w:p>
    <w:p w:rsidR="00F03BC7" w:rsidRPr="00F03BC7" w:rsidRDefault="00F03BC7" w:rsidP="00AE62FF">
      <w:pPr>
        <w:numPr>
          <w:ilvl w:val="0"/>
          <w:numId w:val="17"/>
        </w:numPr>
        <w:spacing w:before="60" w:after="60"/>
        <w:rPr>
          <w:rFonts w:cs="Arial"/>
        </w:rPr>
      </w:pPr>
      <w:r w:rsidRPr="00F03BC7">
        <w:rPr>
          <w:rFonts w:cs="Arial"/>
        </w:rPr>
        <w:t>Subject of the Test Guidelines, Material Required and Method of Examination;</w:t>
      </w:r>
    </w:p>
    <w:p w:rsidR="00F03BC7" w:rsidRPr="00F03BC7" w:rsidRDefault="00F03BC7" w:rsidP="00AE62FF">
      <w:pPr>
        <w:numPr>
          <w:ilvl w:val="0"/>
          <w:numId w:val="17"/>
        </w:numPr>
        <w:spacing w:before="60" w:after="60"/>
        <w:rPr>
          <w:rFonts w:cs="Arial"/>
        </w:rPr>
      </w:pPr>
      <w:r w:rsidRPr="00F03BC7">
        <w:rPr>
          <w:rFonts w:cs="Arial"/>
        </w:rPr>
        <w:t>Method of Observation (MS, MG, VS, VG);</w:t>
      </w:r>
    </w:p>
    <w:p w:rsidR="00F03BC7" w:rsidRPr="00F03BC7" w:rsidRDefault="00F03BC7" w:rsidP="00AE62FF">
      <w:pPr>
        <w:numPr>
          <w:ilvl w:val="0"/>
          <w:numId w:val="17"/>
        </w:numPr>
        <w:tabs>
          <w:tab w:val="left" w:pos="567"/>
          <w:tab w:val="left" w:pos="1134"/>
          <w:tab w:val="left" w:pos="2268"/>
          <w:tab w:val="left" w:pos="2835"/>
          <w:tab w:val="left" w:pos="3402"/>
          <w:tab w:val="left" w:pos="3969"/>
          <w:tab w:val="left" w:pos="4536"/>
          <w:tab w:val="center" w:pos="5386"/>
        </w:tabs>
        <w:spacing w:before="60" w:after="60"/>
        <w:rPr>
          <w:rFonts w:cs="Arial"/>
        </w:rPr>
      </w:pPr>
      <w:r w:rsidRPr="00F03BC7">
        <w:rPr>
          <w:rFonts w:cs="Arial"/>
        </w:rPr>
        <w:t>Types of Expression (QL, PQ, QN), notes and distinctness;</w:t>
      </w:r>
    </w:p>
    <w:p w:rsidR="00F03BC7" w:rsidRPr="00F03BC7" w:rsidRDefault="00F03BC7" w:rsidP="00AE62FF">
      <w:pPr>
        <w:numPr>
          <w:ilvl w:val="0"/>
          <w:numId w:val="17"/>
        </w:numPr>
        <w:spacing w:before="60" w:after="60"/>
        <w:rPr>
          <w:rFonts w:cs="Arial"/>
        </w:rPr>
      </w:pPr>
      <w:r w:rsidRPr="00F03BC7">
        <w:rPr>
          <w:rFonts w:cs="Arial"/>
        </w:rPr>
        <w:t>Shape and Color Characteristics;</w:t>
      </w:r>
    </w:p>
    <w:p w:rsidR="00F03BC7" w:rsidRPr="00F03BC7" w:rsidRDefault="00F03BC7" w:rsidP="00AE62FF">
      <w:pPr>
        <w:numPr>
          <w:ilvl w:val="0"/>
          <w:numId w:val="17"/>
        </w:numPr>
        <w:spacing w:before="60" w:after="60"/>
        <w:rPr>
          <w:rFonts w:cs="Arial"/>
        </w:rPr>
      </w:pPr>
      <w:r w:rsidRPr="00F03BC7">
        <w:rPr>
          <w:rFonts w:cs="Arial"/>
        </w:rPr>
        <w:t>Example Varieties;</w:t>
      </w:r>
    </w:p>
    <w:p w:rsidR="00F03BC7" w:rsidRDefault="00F03BC7" w:rsidP="00AE62FF">
      <w:pPr>
        <w:numPr>
          <w:ilvl w:val="0"/>
          <w:numId w:val="17"/>
        </w:numPr>
        <w:spacing w:before="60" w:after="60"/>
        <w:rPr>
          <w:rFonts w:cs="Arial"/>
        </w:rPr>
      </w:pPr>
      <w:r w:rsidRPr="00F03BC7">
        <w:rPr>
          <w:rFonts w:cs="Arial"/>
          <w:snapToGrid w:val="0"/>
          <w:color w:val="000000"/>
        </w:rPr>
        <w:t xml:space="preserve">The process for developing UPOV Test Guidelines, including: </w:t>
      </w:r>
      <w:r w:rsidRPr="00F03BC7">
        <w:rPr>
          <w:rFonts w:cs="Arial"/>
        </w:rPr>
        <w:t>Web-based</w:t>
      </w:r>
      <w:r w:rsidRPr="00F03BC7">
        <w:rPr>
          <w:rFonts w:cs="Arial"/>
          <w:snapToGrid w:val="0"/>
          <w:color w:val="000000"/>
        </w:rPr>
        <w:t xml:space="preserve"> T</w:t>
      </w:r>
      <w:r w:rsidRPr="00F03BC7">
        <w:rPr>
          <w:rFonts w:cs="Arial"/>
        </w:rPr>
        <w:t>G Template; Additional Standard Wording; and Guidance Notes;</w:t>
      </w:r>
    </w:p>
    <w:p w:rsidR="00814CDC" w:rsidRDefault="00814CDC" w:rsidP="00AE62FF">
      <w:pPr>
        <w:numPr>
          <w:ilvl w:val="0"/>
          <w:numId w:val="16"/>
        </w:numPr>
        <w:spacing w:after="120"/>
        <w:rPr>
          <w:rFonts w:cs="Arial"/>
        </w:rPr>
      </w:pPr>
      <w:r>
        <w:rPr>
          <w:rFonts w:cs="Arial"/>
        </w:rPr>
        <w:t>Procedure for the adoption of Test Guidelines by correspondence;</w:t>
      </w:r>
    </w:p>
    <w:p w:rsidR="00814CDC" w:rsidRDefault="00814CDC" w:rsidP="00AE62FF">
      <w:pPr>
        <w:numPr>
          <w:ilvl w:val="0"/>
          <w:numId w:val="16"/>
        </w:numPr>
        <w:spacing w:after="120"/>
        <w:rPr>
          <w:rFonts w:cs="Arial"/>
        </w:rPr>
      </w:pPr>
      <w:r>
        <w:rPr>
          <w:rFonts w:cs="Arial"/>
        </w:rPr>
        <w:t>Role of the leading expert drafting Test Guidelines and how to participate as an interested expert</w:t>
      </w:r>
    </w:p>
    <w:p w:rsidR="00814CDC" w:rsidRDefault="00814CDC" w:rsidP="00AE62FF">
      <w:pPr>
        <w:numPr>
          <w:ilvl w:val="0"/>
          <w:numId w:val="16"/>
        </w:numPr>
        <w:spacing w:after="120"/>
        <w:rPr>
          <w:rFonts w:cs="Arial"/>
        </w:rPr>
      </w:pPr>
      <w:r>
        <w:rPr>
          <w:rFonts w:cs="Arial"/>
        </w:rPr>
        <w:t>Possibilities for international cooperation in DUS examination</w:t>
      </w:r>
    </w:p>
    <w:p w:rsidR="00F03BC7" w:rsidRPr="00F03BC7" w:rsidRDefault="00F03BC7" w:rsidP="00AE62FF">
      <w:pPr>
        <w:numPr>
          <w:ilvl w:val="0"/>
          <w:numId w:val="16"/>
        </w:numPr>
        <w:spacing w:after="120"/>
        <w:rPr>
          <w:rFonts w:cs="Arial"/>
        </w:rPr>
      </w:pPr>
      <w:r w:rsidRPr="00F03BC7">
        <w:rPr>
          <w:rFonts w:cs="Arial"/>
        </w:rPr>
        <w:t>Agenda for the TWP Session</w:t>
      </w:r>
    </w:p>
    <w:p w:rsidR="00F03BC7" w:rsidRPr="00F03BC7" w:rsidRDefault="00F03BC7" w:rsidP="00AE62FF">
      <w:pPr>
        <w:numPr>
          <w:ilvl w:val="0"/>
          <w:numId w:val="16"/>
        </w:numPr>
        <w:rPr>
          <w:rFonts w:cs="Arial"/>
        </w:rPr>
      </w:pPr>
      <w:r w:rsidRPr="00F03BC7">
        <w:rPr>
          <w:rFonts w:cs="Arial"/>
        </w:rPr>
        <w:t>Feedback from participants</w:t>
      </w:r>
    </w:p>
    <w:p w:rsidR="00F03BC7" w:rsidRPr="00F03BC7" w:rsidRDefault="00F03BC7" w:rsidP="00F03BC7">
      <w:pPr>
        <w:rPr>
          <w:rFonts w:cs="Arial"/>
        </w:rPr>
      </w:pPr>
    </w:p>
    <w:p w:rsidR="00F03BC7" w:rsidRPr="00F03BC7" w:rsidRDefault="00F03BC7" w:rsidP="00F03BC7">
      <w:pPr>
        <w:keepNext/>
        <w:rPr>
          <w:rFonts w:cs="Arial"/>
        </w:rPr>
      </w:pPr>
      <w:r>
        <w:rPr>
          <w:rFonts w:cs="Arial"/>
        </w:rPr>
        <w:t xml:space="preserve">Content </w:t>
      </w:r>
      <w:r w:rsidR="00270DA4">
        <w:rPr>
          <w:rFonts w:cs="Arial"/>
        </w:rPr>
        <w:t>provided to the TWC/BMT</w:t>
      </w:r>
      <w:r w:rsidRPr="00F03BC7">
        <w:rPr>
          <w:rFonts w:cs="Arial"/>
        </w:rPr>
        <w:t>:</w:t>
      </w:r>
    </w:p>
    <w:p w:rsidR="00F03BC7" w:rsidRPr="00F03BC7" w:rsidRDefault="00F03BC7" w:rsidP="00F03BC7">
      <w:pPr>
        <w:keepNext/>
        <w:rPr>
          <w:rFonts w:cs="Arial"/>
        </w:rPr>
      </w:pPr>
    </w:p>
    <w:p w:rsidR="00F03BC7" w:rsidRPr="00F03BC7" w:rsidRDefault="00F03BC7" w:rsidP="00F03BC7">
      <w:pPr>
        <w:keepNext/>
        <w:numPr>
          <w:ilvl w:val="0"/>
          <w:numId w:val="5"/>
        </w:numPr>
        <w:spacing w:after="120"/>
        <w:rPr>
          <w:rFonts w:cs="Arial"/>
        </w:rPr>
      </w:pPr>
      <w:r w:rsidRPr="00F03BC7">
        <w:rPr>
          <w:rFonts w:cs="Arial"/>
        </w:rPr>
        <w:t>Introduction to UPOV and the role of the TWPs and BMT;</w:t>
      </w:r>
    </w:p>
    <w:p w:rsidR="00F03BC7" w:rsidRPr="00F03BC7" w:rsidRDefault="00F03BC7" w:rsidP="00F03BC7">
      <w:pPr>
        <w:keepNext/>
        <w:numPr>
          <w:ilvl w:val="0"/>
          <w:numId w:val="5"/>
        </w:numPr>
        <w:spacing w:after="120"/>
        <w:ind w:left="1134" w:hanging="567"/>
        <w:rPr>
          <w:rFonts w:cs="Arial"/>
        </w:rPr>
      </w:pPr>
      <w:r w:rsidRPr="00F03BC7">
        <w:rPr>
          <w:rFonts w:cs="Arial"/>
        </w:rPr>
        <w:t>Overview of the General Introduction (document TG/1/3 and TGP documents)</w:t>
      </w:r>
    </w:p>
    <w:p w:rsidR="00F03BC7" w:rsidRPr="00F03BC7" w:rsidRDefault="00F03BC7" w:rsidP="00F03BC7">
      <w:pPr>
        <w:numPr>
          <w:ilvl w:val="0"/>
          <w:numId w:val="5"/>
        </w:numPr>
        <w:spacing w:after="120"/>
        <w:ind w:left="1134" w:hanging="567"/>
        <w:rPr>
          <w:rFonts w:cs="Arial"/>
        </w:rPr>
      </w:pPr>
      <w:r w:rsidRPr="00F03BC7">
        <w:rPr>
          <w:rFonts w:cs="Arial"/>
        </w:rPr>
        <w:t>Overview of DUS trials and Test Guidelines;</w:t>
      </w:r>
    </w:p>
    <w:p w:rsidR="00F03BC7" w:rsidRPr="00F03BC7" w:rsidRDefault="00F03BC7" w:rsidP="00F03BC7">
      <w:pPr>
        <w:numPr>
          <w:ilvl w:val="0"/>
          <w:numId w:val="5"/>
        </w:numPr>
        <w:spacing w:after="120"/>
        <w:ind w:left="1134" w:hanging="567"/>
        <w:rPr>
          <w:rFonts w:cs="Arial"/>
        </w:rPr>
      </w:pPr>
      <w:r w:rsidRPr="00F03BC7">
        <w:rPr>
          <w:rFonts w:cs="Arial"/>
        </w:rPr>
        <w:t>UPOV online resources</w:t>
      </w:r>
    </w:p>
    <w:p w:rsidR="00F03BC7" w:rsidRPr="00F03BC7" w:rsidRDefault="00F03BC7" w:rsidP="00AE62FF">
      <w:pPr>
        <w:numPr>
          <w:ilvl w:val="2"/>
          <w:numId w:val="16"/>
        </w:numPr>
        <w:spacing w:after="120"/>
        <w:ind w:left="1701" w:hanging="567"/>
        <w:rPr>
          <w:rFonts w:cs="Arial"/>
        </w:rPr>
      </w:pPr>
      <w:r w:rsidRPr="00F03BC7">
        <w:rPr>
          <w:rFonts w:cs="Arial"/>
        </w:rPr>
        <w:t>UPOV member laws:  UPOV Lex, GENIE database</w:t>
      </w:r>
    </w:p>
    <w:p w:rsidR="00F03BC7" w:rsidRPr="00F03BC7" w:rsidRDefault="00F03BC7" w:rsidP="00AE62FF">
      <w:pPr>
        <w:numPr>
          <w:ilvl w:val="2"/>
          <w:numId w:val="16"/>
        </w:numPr>
        <w:spacing w:after="120"/>
        <w:ind w:left="1701" w:hanging="567"/>
        <w:rPr>
          <w:rFonts w:cs="Arial"/>
          <w:spacing w:val="-2"/>
          <w:lang w:val="fr-CH"/>
        </w:rPr>
      </w:pPr>
      <w:r w:rsidRPr="00F03BC7">
        <w:rPr>
          <w:rFonts w:cs="Arial"/>
          <w:spacing w:val="-2"/>
          <w:lang w:val="fr-CH"/>
        </w:rPr>
        <w:t xml:space="preserve">PBR Applications:  UPOV PRISMA PBR Application </w:t>
      </w:r>
      <w:proofErr w:type="spellStart"/>
      <w:r w:rsidRPr="00F03BC7">
        <w:rPr>
          <w:rFonts w:cs="Arial"/>
          <w:spacing w:val="-2"/>
          <w:lang w:val="fr-CH"/>
        </w:rPr>
        <w:t>Tool</w:t>
      </w:r>
      <w:proofErr w:type="spellEnd"/>
    </w:p>
    <w:p w:rsidR="00F03BC7" w:rsidRPr="00F03BC7" w:rsidRDefault="00F03BC7" w:rsidP="00AE62FF">
      <w:pPr>
        <w:numPr>
          <w:ilvl w:val="2"/>
          <w:numId w:val="16"/>
        </w:numPr>
        <w:spacing w:after="120"/>
        <w:ind w:left="1701" w:hanging="567"/>
        <w:rPr>
          <w:rFonts w:cs="Arial"/>
          <w:spacing w:val="-2"/>
        </w:rPr>
      </w:pPr>
      <w:r w:rsidRPr="00F03BC7">
        <w:rPr>
          <w:rFonts w:cs="Arial"/>
          <w:spacing w:val="-2"/>
        </w:rPr>
        <w:t>DUS Examination:  GENIE database, Web-based Test Guidelines Template, UPOV Code</w:t>
      </w:r>
    </w:p>
    <w:p w:rsidR="00F03BC7" w:rsidRPr="00F03BC7" w:rsidRDefault="00F03BC7" w:rsidP="00AE62FF">
      <w:pPr>
        <w:numPr>
          <w:ilvl w:val="2"/>
          <w:numId w:val="16"/>
        </w:numPr>
        <w:spacing w:after="120"/>
        <w:ind w:left="1701" w:hanging="567"/>
        <w:rPr>
          <w:rFonts w:cs="Arial"/>
          <w:spacing w:val="-2"/>
        </w:rPr>
      </w:pPr>
      <w:r w:rsidRPr="00F03BC7">
        <w:rPr>
          <w:rFonts w:cs="Arial"/>
          <w:spacing w:val="-2"/>
        </w:rPr>
        <w:t>Variety denomination/novelty:  PLUTO database</w:t>
      </w:r>
    </w:p>
    <w:p w:rsidR="00F03BC7" w:rsidRPr="00F03BC7" w:rsidRDefault="00F03BC7" w:rsidP="00F03BC7">
      <w:pPr>
        <w:keepNext/>
        <w:numPr>
          <w:ilvl w:val="0"/>
          <w:numId w:val="5"/>
        </w:numPr>
        <w:spacing w:after="120"/>
        <w:rPr>
          <w:rFonts w:cs="Arial"/>
        </w:rPr>
      </w:pPr>
      <w:r w:rsidRPr="00F03BC7">
        <w:rPr>
          <w:rFonts w:cs="Arial"/>
        </w:rPr>
        <w:t>Situation in UPOV Concerning the Possible Use of Molecular Techniques in DUS Examination</w:t>
      </w:r>
    </w:p>
    <w:p w:rsidR="00F03BC7" w:rsidRPr="00F03BC7" w:rsidRDefault="00F03BC7" w:rsidP="00F03BC7">
      <w:pPr>
        <w:keepNext/>
        <w:numPr>
          <w:ilvl w:val="0"/>
          <w:numId w:val="5"/>
        </w:numPr>
        <w:spacing w:after="120"/>
        <w:rPr>
          <w:rFonts w:cs="Arial"/>
        </w:rPr>
      </w:pPr>
      <w:r w:rsidRPr="00F03BC7">
        <w:rPr>
          <w:rFonts w:cs="Arial"/>
        </w:rPr>
        <w:t>The Concept of Essentially Derived Varieties</w:t>
      </w:r>
    </w:p>
    <w:p w:rsidR="00F03BC7" w:rsidRPr="00F03BC7" w:rsidRDefault="00F03BC7" w:rsidP="00F03BC7">
      <w:pPr>
        <w:keepNext/>
        <w:numPr>
          <w:ilvl w:val="0"/>
          <w:numId w:val="5"/>
        </w:numPr>
        <w:spacing w:after="120"/>
        <w:rPr>
          <w:rFonts w:cs="Arial"/>
        </w:rPr>
      </w:pPr>
      <w:r w:rsidRPr="00F03BC7">
        <w:rPr>
          <w:rFonts w:cs="Arial"/>
        </w:rPr>
        <w:t>The Role of UPOV in Variety Identification</w:t>
      </w:r>
    </w:p>
    <w:p w:rsidR="00F03BC7" w:rsidRPr="00F03BC7" w:rsidRDefault="00F03BC7" w:rsidP="00F03BC7">
      <w:pPr>
        <w:numPr>
          <w:ilvl w:val="0"/>
          <w:numId w:val="5"/>
        </w:numPr>
        <w:spacing w:after="120"/>
        <w:rPr>
          <w:rFonts w:cs="Arial"/>
        </w:rPr>
      </w:pPr>
      <w:r w:rsidRPr="00F03BC7">
        <w:rPr>
          <w:rFonts w:cs="Arial"/>
        </w:rPr>
        <w:t>Agenda for the TWC and BMT</w:t>
      </w:r>
    </w:p>
    <w:p w:rsidR="00F03BC7" w:rsidRDefault="00F03BC7" w:rsidP="00F03BC7">
      <w:pPr>
        <w:rPr>
          <w:rFonts w:cs="Arial"/>
        </w:rPr>
      </w:pPr>
    </w:p>
    <w:p w:rsidR="00DC018F" w:rsidRPr="00F03BC7" w:rsidRDefault="00DC018F" w:rsidP="00F03BC7">
      <w:pPr>
        <w:rPr>
          <w:rFonts w:cs="Arial"/>
        </w:rPr>
      </w:pPr>
    </w:p>
    <w:p w:rsidR="00F03BC7" w:rsidRPr="00C651CE" w:rsidRDefault="00F03BC7"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firs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26" w:rsidRDefault="00A04A26" w:rsidP="006655D3">
      <w:r>
        <w:separator/>
      </w:r>
    </w:p>
    <w:p w:rsidR="00A04A26" w:rsidRDefault="00A04A26" w:rsidP="006655D3"/>
    <w:p w:rsidR="00A04A26" w:rsidRDefault="00A04A26" w:rsidP="006655D3"/>
  </w:endnote>
  <w:endnote w:type="continuationSeparator" w:id="0">
    <w:p w:rsidR="00A04A26" w:rsidRDefault="00A04A26" w:rsidP="006655D3">
      <w:r>
        <w:separator/>
      </w:r>
    </w:p>
    <w:p w:rsidR="00A04A26" w:rsidRPr="00294751" w:rsidRDefault="00A04A26">
      <w:pPr>
        <w:pStyle w:val="Footer"/>
        <w:spacing w:after="60"/>
        <w:rPr>
          <w:sz w:val="18"/>
          <w:lang w:val="fr-FR"/>
        </w:rPr>
      </w:pPr>
      <w:r w:rsidRPr="00294751">
        <w:rPr>
          <w:sz w:val="18"/>
          <w:lang w:val="fr-FR"/>
        </w:rPr>
        <w:t>[Suite de la note de la page précédente]</w:t>
      </w:r>
    </w:p>
    <w:p w:rsidR="00A04A26" w:rsidRPr="00294751" w:rsidRDefault="00A04A26" w:rsidP="006655D3">
      <w:pPr>
        <w:rPr>
          <w:lang w:val="fr-FR"/>
        </w:rPr>
      </w:pPr>
    </w:p>
    <w:p w:rsidR="00A04A26" w:rsidRPr="00294751" w:rsidRDefault="00A04A26" w:rsidP="006655D3">
      <w:pPr>
        <w:rPr>
          <w:lang w:val="fr-FR"/>
        </w:rPr>
      </w:pPr>
    </w:p>
  </w:endnote>
  <w:endnote w:type="continuationNotice" w:id="1">
    <w:p w:rsidR="00A04A26" w:rsidRPr="00294751" w:rsidRDefault="00A04A26" w:rsidP="006655D3">
      <w:pPr>
        <w:rPr>
          <w:lang w:val="fr-FR"/>
        </w:rPr>
      </w:pPr>
      <w:r w:rsidRPr="00294751">
        <w:rPr>
          <w:lang w:val="fr-FR"/>
        </w:rPr>
        <w:t>[Suite de la note page suivante]</w:t>
      </w:r>
    </w:p>
    <w:p w:rsidR="00A04A26" w:rsidRPr="00294751" w:rsidRDefault="00A04A26" w:rsidP="006655D3">
      <w:pPr>
        <w:rPr>
          <w:lang w:val="fr-FR"/>
        </w:rPr>
      </w:pPr>
    </w:p>
    <w:p w:rsidR="00A04A26" w:rsidRPr="00294751" w:rsidRDefault="00A04A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26" w:rsidRDefault="00A04A26" w:rsidP="006655D3">
      <w:r>
        <w:separator/>
      </w:r>
    </w:p>
  </w:footnote>
  <w:footnote w:type="continuationSeparator" w:id="0">
    <w:p w:rsidR="00A04A26" w:rsidRDefault="00A04A26" w:rsidP="006655D3">
      <w:r>
        <w:separator/>
      </w:r>
    </w:p>
  </w:footnote>
  <w:footnote w:type="continuationNotice" w:id="1">
    <w:p w:rsidR="00A04A26" w:rsidRPr="00AB530F" w:rsidRDefault="00A04A2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3D41CD">
      <w:rPr>
        <w:rStyle w:val="PageNumber"/>
        <w:lang w:val="en-US"/>
      </w:rPr>
      <w:t>55/9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87D35">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2E4" w:rsidRDefault="002402E4">
    <w:pPr>
      <w:pStyle w:val="Header"/>
      <w:rPr>
        <w:lang w:val="en-US"/>
      </w:rPr>
    </w:pPr>
    <w:r>
      <w:rPr>
        <w:lang w:val="en-US"/>
      </w:rPr>
      <w:t>TC/55/9</w:t>
    </w:r>
  </w:p>
  <w:p w:rsidR="002402E4" w:rsidRDefault="002402E4">
    <w:pPr>
      <w:pStyle w:val="Header"/>
      <w:rPr>
        <w:lang w:val="en-US"/>
      </w:rPr>
    </w:pPr>
  </w:p>
  <w:p w:rsidR="002402E4" w:rsidRPr="002402E4" w:rsidRDefault="002402E4">
    <w:pPr>
      <w:pStyle w:val="Header"/>
      <w:rPr>
        <w:lang w:val="en-US"/>
      </w:rP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DE7"/>
    <w:multiLevelType w:val="hybridMultilevel"/>
    <w:tmpl w:val="BDEA3952"/>
    <w:lvl w:ilvl="0" w:tplc="66FC4678">
      <w:start w:val="1"/>
      <w:numFmt w:val="decimal"/>
      <w:lvlText w:val="%1."/>
      <w:lvlJc w:val="left"/>
      <w:pPr>
        <w:tabs>
          <w:tab w:val="num" w:pos="1137"/>
        </w:tabs>
        <w:ind w:left="1137" w:hanging="570"/>
      </w:pPr>
    </w:lvl>
    <w:lvl w:ilvl="1" w:tplc="04090019">
      <w:start w:val="1"/>
      <w:numFmt w:val="lowerLetter"/>
      <w:lvlText w:val="%2."/>
      <w:lvlJc w:val="left"/>
      <w:pPr>
        <w:tabs>
          <w:tab w:val="num" w:pos="1353"/>
        </w:tabs>
        <w:ind w:left="1353" w:hanging="360"/>
      </w:pPr>
    </w:lvl>
    <w:lvl w:ilvl="2" w:tplc="18B05CE6">
      <w:start w:val="1"/>
      <w:numFmt w:val="low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CEC63A5"/>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 w15:restartNumberingAfterBreak="0">
    <w:nsid w:val="10C45FFF"/>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3" w15:restartNumberingAfterBreak="0">
    <w:nsid w:val="176124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4" w15:restartNumberingAfterBreak="0">
    <w:nsid w:val="212C5DC7"/>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C0151A4"/>
    <w:multiLevelType w:val="hybridMultilevel"/>
    <w:tmpl w:val="7308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FB5F12"/>
    <w:multiLevelType w:val="hybridMultilevel"/>
    <w:tmpl w:val="E9E82AF4"/>
    <w:lvl w:ilvl="0" w:tplc="66FC4678">
      <w:start w:val="1"/>
      <w:numFmt w:val="decimal"/>
      <w:lvlText w:val="%1."/>
      <w:lvlJc w:val="left"/>
      <w:pPr>
        <w:tabs>
          <w:tab w:val="num" w:pos="1137"/>
        </w:tabs>
        <w:ind w:left="1137"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7" w15:restartNumberingAfterBreak="0">
    <w:nsid w:val="5EEB339F"/>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8" w15:restartNumberingAfterBreak="0">
    <w:nsid w:val="65972C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9" w15:restartNumberingAfterBreak="0">
    <w:nsid w:val="670B63C3"/>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99D0B31"/>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7FCB6BCF"/>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0"/>
  </w:num>
  <w:num w:numId="12">
    <w:abstractNumId w:val="3"/>
  </w:num>
  <w:num w:numId="13">
    <w:abstractNumId w:val="8"/>
  </w:num>
  <w:num w:numId="14">
    <w:abstractNumId w:val="10"/>
  </w:num>
  <w:num w:numId="15">
    <w:abstractNumId w:val="7"/>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258B"/>
    <w:rsid w:val="00024AB8"/>
    <w:rsid w:val="00030854"/>
    <w:rsid w:val="00036028"/>
    <w:rsid w:val="00044642"/>
    <w:rsid w:val="000446B9"/>
    <w:rsid w:val="00047E21"/>
    <w:rsid w:val="00050E16"/>
    <w:rsid w:val="00085505"/>
    <w:rsid w:val="000C4E25"/>
    <w:rsid w:val="000C7021"/>
    <w:rsid w:val="000D6AFA"/>
    <w:rsid w:val="000D6BBC"/>
    <w:rsid w:val="000D7780"/>
    <w:rsid w:val="000E636A"/>
    <w:rsid w:val="000F2F11"/>
    <w:rsid w:val="00105929"/>
    <w:rsid w:val="00110C36"/>
    <w:rsid w:val="001131D5"/>
    <w:rsid w:val="00141DB8"/>
    <w:rsid w:val="00172084"/>
    <w:rsid w:val="0017474A"/>
    <w:rsid w:val="001758C6"/>
    <w:rsid w:val="00182B99"/>
    <w:rsid w:val="001A473A"/>
    <w:rsid w:val="001D36AC"/>
    <w:rsid w:val="0021332C"/>
    <w:rsid w:val="00213982"/>
    <w:rsid w:val="002402E4"/>
    <w:rsid w:val="0024416D"/>
    <w:rsid w:val="00270DA4"/>
    <w:rsid w:val="0027101D"/>
    <w:rsid w:val="00271911"/>
    <w:rsid w:val="00271E0A"/>
    <w:rsid w:val="002800A0"/>
    <w:rsid w:val="002801B3"/>
    <w:rsid w:val="00281060"/>
    <w:rsid w:val="002940E8"/>
    <w:rsid w:val="00294751"/>
    <w:rsid w:val="002A6E50"/>
    <w:rsid w:val="002B4298"/>
    <w:rsid w:val="002C256A"/>
    <w:rsid w:val="00304827"/>
    <w:rsid w:val="00305A7F"/>
    <w:rsid w:val="003152FE"/>
    <w:rsid w:val="00321EDE"/>
    <w:rsid w:val="00322B1F"/>
    <w:rsid w:val="00327436"/>
    <w:rsid w:val="00331935"/>
    <w:rsid w:val="00344BD6"/>
    <w:rsid w:val="003512F2"/>
    <w:rsid w:val="0035528D"/>
    <w:rsid w:val="00361821"/>
    <w:rsid w:val="00361E9E"/>
    <w:rsid w:val="00382007"/>
    <w:rsid w:val="003C1E17"/>
    <w:rsid w:val="003C7FBE"/>
    <w:rsid w:val="003D227C"/>
    <w:rsid w:val="003D2B4D"/>
    <w:rsid w:val="003D41CD"/>
    <w:rsid w:val="003E646B"/>
    <w:rsid w:val="00444A88"/>
    <w:rsid w:val="00474DA4"/>
    <w:rsid w:val="00476B4D"/>
    <w:rsid w:val="004805FA"/>
    <w:rsid w:val="004935D2"/>
    <w:rsid w:val="004B1215"/>
    <w:rsid w:val="004D047D"/>
    <w:rsid w:val="004F1E9E"/>
    <w:rsid w:val="004F305A"/>
    <w:rsid w:val="00512164"/>
    <w:rsid w:val="00520297"/>
    <w:rsid w:val="005338F9"/>
    <w:rsid w:val="00536FFD"/>
    <w:rsid w:val="0054281C"/>
    <w:rsid w:val="00544581"/>
    <w:rsid w:val="0055268D"/>
    <w:rsid w:val="00553B11"/>
    <w:rsid w:val="00576BE4"/>
    <w:rsid w:val="005A322A"/>
    <w:rsid w:val="005A400A"/>
    <w:rsid w:val="005B46E9"/>
    <w:rsid w:val="005C6ED2"/>
    <w:rsid w:val="005F7B92"/>
    <w:rsid w:val="00612379"/>
    <w:rsid w:val="006153B6"/>
    <w:rsid w:val="0061555F"/>
    <w:rsid w:val="00636CA6"/>
    <w:rsid w:val="00641200"/>
    <w:rsid w:val="00645CA8"/>
    <w:rsid w:val="006655D3"/>
    <w:rsid w:val="00667404"/>
    <w:rsid w:val="00687D35"/>
    <w:rsid w:val="00687EB4"/>
    <w:rsid w:val="00695669"/>
    <w:rsid w:val="00695C56"/>
    <w:rsid w:val="006A5CDE"/>
    <w:rsid w:val="006A644A"/>
    <w:rsid w:val="006B17D2"/>
    <w:rsid w:val="006C224E"/>
    <w:rsid w:val="006D7435"/>
    <w:rsid w:val="006D780A"/>
    <w:rsid w:val="0071271E"/>
    <w:rsid w:val="00732DEC"/>
    <w:rsid w:val="00735BD5"/>
    <w:rsid w:val="00751613"/>
    <w:rsid w:val="007556F6"/>
    <w:rsid w:val="00760EEF"/>
    <w:rsid w:val="00777EE5"/>
    <w:rsid w:val="00784836"/>
    <w:rsid w:val="0079023E"/>
    <w:rsid w:val="007A2854"/>
    <w:rsid w:val="007B1D57"/>
    <w:rsid w:val="007C1D92"/>
    <w:rsid w:val="007C4CB9"/>
    <w:rsid w:val="007D0B9D"/>
    <w:rsid w:val="007D19B0"/>
    <w:rsid w:val="007F498F"/>
    <w:rsid w:val="0080679D"/>
    <w:rsid w:val="008108B0"/>
    <w:rsid w:val="00811B20"/>
    <w:rsid w:val="00814CDC"/>
    <w:rsid w:val="008211B5"/>
    <w:rsid w:val="0082296E"/>
    <w:rsid w:val="00824099"/>
    <w:rsid w:val="00846D7C"/>
    <w:rsid w:val="00867AC1"/>
    <w:rsid w:val="00890DF8"/>
    <w:rsid w:val="008A31C9"/>
    <w:rsid w:val="008A743F"/>
    <w:rsid w:val="008B3448"/>
    <w:rsid w:val="008B6E60"/>
    <w:rsid w:val="008C0970"/>
    <w:rsid w:val="008D0BC5"/>
    <w:rsid w:val="008D2CF7"/>
    <w:rsid w:val="008D7E86"/>
    <w:rsid w:val="00900C26"/>
    <w:rsid w:val="00900C6F"/>
    <w:rsid w:val="0090197F"/>
    <w:rsid w:val="00906DDC"/>
    <w:rsid w:val="00934E09"/>
    <w:rsid w:val="00936253"/>
    <w:rsid w:val="00940D46"/>
    <w:rsid w:val="00952DD4"/>
    <w:rsid w:val="00965AE7"/>
    <w:rsid w:val="00970FED"/>
    <w:rsid w:val="00983ED6"/>
    <w:rsid w:val="00992D82"/>
    <w:rsid w:val="00997029"/>
    <w:rsid w:val="009A7339"/>
    <w:rsid w:val="009B440E"/>
    <w:rsid w:val="009D690D"/>
    <w:rsid w:val="009E65B6"/>
    <w:rsid w:val="00A04A26"/>
    <w:rsid w:val="00A24C10"/>
    <w:rsid w:val="00A37C2B"/>
    <w:rsid w:val="00A42AC3"/>
    <w:rsid w:val="00A430CF"/>
    <w:rsid w:val="00A54309"/>
    <w:rsid w:val="00AB2B93"/>
    <w:rsid w:val="00AB530F"/>
    <w:rsid w:val="00AB7E5B"/>
    <w:rsid w:val="00AC2883"/>
    <w:rsid w:val="00AC69BE"/>
    <w:rsid w:val="00AC7873"/>
    <w:rsid w:val="00AE0EF1"/>
    <w:rsid w:val="00AE2937"/>
    <w:rsid w:val="00AE62FF"/>
    <w:rsid w:val="00B07301"/>
    <w:rsid w:val="00B11F3E"/>
    <w:rsid w:val="00B224DE"/>
    <w:rsid w:val="00B324D4"/>
    <w:rsid w:val="00B435FA"/>
    <w:rsid w:val="00B46575"/>
    <w:rsid w:val="00B61777"/>
    <w:rsid w:val="00B84BBD"/>
    <w:rsid w:val="00BA0FB4"/>
    <w:rsid w:val="00BA43FB"/>
    <w:rsid w:val="00BC127D"/>
    <w:rsid w:val="00BC1FE6"/>
    <w:rsid w:val="00C061B6"/>
    <w:rsid w:val="00C2446C"/>
    <w:rsid w:val="00C36AE5"/>
    <w:rsid w:val="00C41BDE"/>
    <w:rsid w:val="00C41F17"/>
    <w:rsid w:val="00C428E1"/>
    <w:rsid w:val="00C527FA"/>
    <w:rsid w:val="00C5280D"/>
    <w:rsid w:val="00C53EB3"/>
    <w:rsid w:val="00C5791C"/>
    <w:rsid w:val="00C66290"/>
    <w:rsid w:val="00C72B7A"/>
    <w:rsid w:val="00C73775"/>
    <w:rsid w:val="00C973F2"/>
    <w:rsid w:val="00CA1405"/>
    <w:rsid w:val="00CA304C"/>
    <w:rsid w:val="00CA774A"/>
    <w:rsid w:val="00CC11B0"/>
    <w:rsid w:val="00CC2841"/>
    <w:rsid w:val="00CF1330"/>
    <w:rsid w:val="00CF7E36"/>
    <w:rsid w:val="00D326F9"/>
    <w:rsid w:val="00D3708D"/>
    <w:rsid w:val="00D40426"/>
    <w:rsid w:val="00D4673F"/>
    <w:rsid w:val="00D57C96"/>
    <w:rsid w:val="00D57D18"/>
    <w:rsid w:val="00D91203"/>
    <w:rsid w:val="00D917FD"/>
    <w:rsid w:val="00D95174"/>
    <w:rsid w:val="00DA4973"/>
    <w:rsid w:val="00DA6F36"/>
    <w:rsid w:val="00DB596E"/>
    <w:rsid w:val="00DB7773"/>
    <w:rsid w:val="00DC00EA"/>
    <w:rsid w:val="00DC018F"/>
    <w:rsid w:val="00DC3802"/>
    <w:rsid w:val="00DE7048"/>
    <w:rsid w:val="00E07D87"/>
    <w:rsid w:val="00E2109F"/>
    <w:rsid w:val="00E32F7E"/>
    <w:rsid w:val="00E5267B"/>
    <w:rsid w:val="00E63C0E"/>
    <w:rsid w:val="00E72D49"/>
    <w:rsid w:val="00E7593C"/>
    <w:rsid w:val="00E7678A"/>
    <w:rsid w:val="00E935F1"/>
    <w:rsid w:val="00E94A81"/>
    <w:rsid w:val="00EA1FFB"/>
    <w:rsid w:val="00EB048E"/>
    <w:rsid w:val="00EB4E9C"/>
    <w:rsid w:val="00EE34DF"/>
    <w:rsid w:val="00EF2F89"/>
    <w:rsid w:val="00F03BC7"/>
    <w:rsid w:val="00F03E98"/>
    <w:rsid w:val="00F1237A"/>
    <w:rsid w:val="00F22CBD"/>
    <w:rsid w:val="00F272F1"/>
    <w:rsid w:val="00F45372"/>
    <w:rsid w:val="00F560F7"/>
    <w:rsid w:val="00F6334D"/>
    <w:rsid w:val="00FA49AB"/>
    <w:rsid w:val="00FB6BDA"/>
    <w:rsid w:val="00FE39C7"/>
    <w:rsid w:val="00FE593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DC018F"/>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F03BC7"/>
    <w:pPr>
      <w:ind w:left="720"/>
      <w:contextualSpacing/>
    </w:pPr>
  </w:style>
  <w:style w:type="paragraph" w:styleId="BodyTextIndent3">
    <w:name w:val="Body Text Indent 3"/>
    <w:basedOn w:val="Normal"/>
    <w:link w:val="BodyTextIndent3Char"/>
    <w:rsid w:val="00814CDC"/>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814CDC"/>
    <w:rPr>
      <w:rFonts w:cs="Angsana New"/>
      <w:color w:val="000000"/>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6940">
      <w:bodyDiv w:val="1"/>
      <w:marLeft w:val="0"/>
      <w:marRight w:val="0"/>
      <w:marTop w:val="0"/>
      <w:marBottom w:val="0"/>
      <w:divBdr>
        <w:top w:val="none" w:sz="0" w:space="0" w:color="auto"/>
        <w:left w:val="none" w:sz="0" w:space="0" w:color="auto"/>
        <w:bottom w:val="none" w:sz="0" w:space="0" w:color="auto"/>
        <w:right w:val="none" w:sz="0" w:space="0" w:color="auto"/>
      </w:divBdr>
    </w:div>
    <w:div w:id="442305899">
      <w:bodyDiv w:val="1"/>
      <w:marLeft w:val="0"/>
      <w:marRight w:val="0"/>
      <w:marTop w:val="0"/>
      <w:marBottom w:val="0"/>
      <w:divBdr>
        <w:top w:val="none" w:sz="0" w:space="0" w:color="auto"/>
        <w:left w:val="none" w:sz="0" w:space="0" w:color="auto"/>
        <w:bottom w:val="none" w:sz="0" w:space="0" w:color="auto"/>
        <w:right w:val="none" w:sz="0" w:space="0" w:color="auto"/>
      </w:divBdr>
    </w:div>
    <w:div w:id="800538823">
      <w:bodyDiv w:val="1"/>
      <w:marLeft w:val="0"/>
      <w:marRight w:val="0"/>
      <w:marTop w:val="0"/>
      <w:marBottom w:val="0"/>
      <w:divBdr>
        <w:top w:val="none" w:sz="0" w:space="0" w:color="auto"/>
        <w:left w:val="none" w:sz="0" w:space="0" w:color="auto"/>
        <w:bottom w:val="none" w:sz="0" w:space="0" w:color="auto"/>
        <w:right w:val="none" w:sz="0" w:space="0" w:color="auto"/>
      </w:divBdr>
    </w:div>
    <w:div w:id="212468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4</Pages>
  <Words>1352</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TC/55/9</vt:lpstr>
    </vt:vector>
  </TitlesOfParts>
  <Company>UPOV</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TC/55/9</dc:title>
  <dc:creator>SANCHEZ VIZCAINO GOMEZ Rosa Maria</dc:creator>
  <cp:lastModifiedBy>MAY Jessica</cp:lastModifiedBy>
  <cp:revision>28</cp:revision>
  <cp:lastPrinted>2016-11-22T15:41:00Z</cp:lastPrinted>
  <dcterms:created xsi:type="dcterms:W3CDTF">2019-04-16T10:24:00Z</dcterms:created>
  <dcterms:modified xsi:type="dcterms:W3CDTF">2019-10-17T16:46:00Z</dcterms:modified>
</cp:coreProperties>
</file>