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6D7435">
            <w:pPr>
              <w:pStyle w:val="Sessiontcplacedate"/>
              <w:rPr>
                <w:sz w:val="22"/>
              </w:rPr>
            </w:pPr>
            <w:r w:rsidRPr="00DA4973">
              <w:t>Fifty-</w:t>
            </w:r>
            <w:r w:rsidR="008B6E60">
              <w:t>F</w:t>
            </w:r>
            <w:r w:rsidR="006D7435">
              <w:t>ifth</w:t>
            </w:r>
            <w:r w:rsidRPr="00DA4973">
              <w:t xml:space="preserve"> Session</w:t>
            </w:r>
            <w:r w:rsidRPr="00DA4973">
              <w:br/>
              <w:t xml:space="preserve">Geneva, </w:t>
            </w:r>
            <w:r w:rsidR="008B6E60">
              <w:t>October 2</w:t>
            </w:r>
            <w:r w:rsidR="006D7435">
              <w:t>8</w:t>
            </w:r>
            <w:r w:rsidR="008B6E60">
              <w:t xml:space="preserve"> and </w:t>
            </w:r>
            <w:r w:rsidR="006D7435">
              <w:t>29, 2019</w:t>
            </w:r>
          </w:p>
        </w:tc>
        <w:tc>
          <w:tcPr>
            <w:tcW w:w="3127" w:type="dxa"/>
          </w:tcPr>
          <w:p w:rsidR="00EB4E9C" w:rsidRPr="003C7FBE" w:rsidRDefault="006D7435" w:rsidP="003C7FBE">
            <w:pPr>
              <w:pStyle w:val="Doccode"/>
            </w:pPr>
            <w:r>
              <w:t>TC/</w:t>
            </w:r>
            <w:r w:rsidR="00A04A26">
              <w:t>55</w:t>
            </w:r>
            <w:r w:rsidR="005B46E9">
              <w:t>/4</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FF18C5">
            <w:pPr>
              <w:pStyle w:val="Docoriginal"/>
            </w:pPr>
            <w:r w:rsidRPr="00AC2883">
              <w:t>Date:</w:t>
            </w:r>
            <w:r w:rsidR="008B6E60">
              <w:rPr>
                <w:b w:val="0"/>
                <w:spacing w:val="0"/>
              </w:rPr>
              <w:t xml:space="preserve">  </w:t>
            </w:r>
            <w:r w:rsidR="00134CDD" w:rsidRPr="00FF18C5">
              <w:rPr>
                <w:b w:val="0"/>
                <w:spacing w:val="0"/>
              </w:rPr>
              <w:t>October</w:t>
            </w:r>
            <w:r w:rsidR="009956BC" w:rsidRPr="00FF18C5">
              <w:rPr>
                <w:b w:val="0"/>
                <w:spacing w:val="0"/>
              </w:rPr>
              <w:t xml:space="preserve"> </w:t>
            </w:r>
            <w:r w:rsidR="00FF18C5" w:rsidRPr="00FF18C5">
              <w:rPr>
                <w:b w:val="0"/>
                <w:spacing w:val="0"/>
              </w:rPr>
              <w:t>10</w:t>
            </w:r>
            <w:r w:rsidR="008B6E60" w:rsidRPr="00FF18C5">
              <w:rPr>
                <w:b w:val="0"/>
                <w:spacing w:val="0"/>
              </w:rPr>
              <w:t>, 201</w:t>
            </w:r>
            <w:r w:rsidR="006D7435" w:rsidRPr="00FF18C5">
              <w:rPr>
                <w:b w:val="0"/>
                <w:spacing w:val="0"/>
              </w:rPr>
              <w:t>9</w:t>
            </w:r>
          </w:p>
        </w:tc>
      </w:tr>
    </w:tbl>
    <w:p w:rsidR="000D7780" w:rsidRPr="006A644A" w:rsidRDefault="005B46E9" w:rsidP="006A644A">
      <w:pPr>
        <w:pStyle w:val="Titleofdoc0"/>
      </w:pPr>
      <w:bookmarkStart w:id="0" w:name="TitleOfDoc"/>
      <w:bookmarkEnd w:id="0"/>
      <w:r w:rsidRPr="005B46E9">
        <w:t>TGP documents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9956BC" w:rsidRPr="009956BC" w:rsidRDefault="009956BC" w:rsidP="009956BC">
      <w:pPr>
        <w:keepNext/>
        <w:outlineLvl w:val="0"/>
        <w:rPr>
          <w:caps/>
          <w:snapToGrid w:val="0"/>
        </w:rPr>
      </w:pPr>
      <w:bookmarkStart w:id="2" w:name="_Toc481744310"/>
      <w:bookmarkStart w:id="3" w:name="_Toc21683344"/>
      <w:r w:rsidRPr="009956BC">
        <w:rPr>
          <w:caps/>
          <w:snapToGrid w:val="0"/>
        </w:rPr>
        <w:t>EXECUTIVE SUMMARY</w:t>
      </w:r>
      <w:bookmarkEnd w:id="2"/>
      <w:bookmarkEnd w:id="3"/>
    </w:p>
    <w:p w:rsidR="009956BC" w:rsidRPr="009956BC" w:rsidRDefault="009956BC" w:rsidP="009956BC">
      <w:pPr>
        <w:rPr>
          <w:snapToGrid w:val="0"/>
        </w:rPr>
      </w:pPr>
    </w:p>
    <w:p w:rsidR="009956BC" w:rsidRPr="009956BC" w:rsidRDefault="009956BC" w:rsidP="009956BC">
      <w:pPr>
        <w:rPr>
          <w:rFonts w:cs="Arial"/>
        </w:rPr>
      </w:pPr>
      <w:r w:rsidRPr="009956BC">
        <w:rPr>
          <w:snapToGrid w:val="0"/>
        </w:rPr>
        <w:fldChar w:fldCharType="begin"/>
      </w:r>
      <w:r w:rsidRPr="009956BC">
        <w:rPr>
          <w:snapToGrid w:val="0"/>
        </w:rPr>
        <w:instrText xml:space="preserve"> AUTONUM  </w:instrText>
      </w:r>
      <w:r w:rsidRPr="009956BC">
        <w:rPr>
          <w:snapToGrid w:val="0"/>
        </w:rPr>
        <w:fldChar w:fldCharType="end"/>
      </w:r>
      <w:r w:rsidRPr="009956BC">
        <w:rPr>
          <w:snapToGrid w:val="0"/>
        </w:rPr>
        <w:tab/>
      </w:r>
      <w:r w:rsidRPr="009956BC">
        <w:t xml:space="preserve">The purpose of this document is to provide an overview of revisions of </w:t>
      </w:r>
      <w:r w:rsidRPr="009956BC">
        <w:rPr>
          <w:rFonts w:cs="Arial"/>
        </w:rPr>
        <w:t xml:space="preserve">TGP documents. </w:t>
      </w:r>
    </w:p>
    <w:p w:rsidR="009956BC" w:rsidRPr="009956BC" w:rsidRDefault="009956BC" w:rsidP="009956BC">
      <w:pPr>
        <w:tabs>
          <w:tab w:val="left" w:pos="567"/>
          <w:tab w:val="left" w:pos="1134"/>
          <w:tab w:val="left" w:pos="5387"/>
        </w:tabs>
        <w:rPr>
          <w:highlight w:val="yellow"/>
        </w:rPr>
      </w:pPr>
    </w:p>
    <w:p w:rsidR="009956BC" w:rsidRPr="009956BC" w:rsidRDefault="009956BC" w:rsidP="009956BC">
      <w:pPr>
        <w:tabs>
          <w:tab w:val="left" w:pos="567"/>
          <w:tab w:val="left" w:pos="1134"/>
          <w:tab w:val="left" w:pos="5387"/>
        </w:tabs>
        <w:rPr>
          <w:u w:val="single"/>
        </w:rPr>
      </w:pPr>
      <w:r w:rsidRPr="009956BC">
        <w:rPr>
          <w:u w:val="single"/>
        </w:rPr>
        <w:t>Matters for adoption by the Council in 2019</w:t>
      </w:r>
    </w:p>
    <w:p w:rsidR="009956BC" w:rsidRPr="009956BC" w:rsidRDefault="009956BC" w:rsidP="009956BC">
      <w:pPr>
        <w:tabs>
          <w:tab w:val="left" w:pos="567"/>
          <w:tab w:val="left" w:pos="1134"/>
          <w:tab w:val="left" w:pos="5387"/>
        </w:tabs>
      </w:pPr>
    </w:p>
    <w:p w:rsidR="00020BA0" w:rsidRDefault="009956BC" w:rsidP="009956BC">
      <w:pPr>
        <w:tabs>
          <w:tab w:val="left" w:pos="567"/>
          <w:tab w:val="left" w:pos="1134"/>
          <w:tab w:val="left" w:pos="5387"/>
        </w:tabs>
      </w:pPr>
      <w:r w:rsidRPr="009956BC">
        <w:fldChar w:fldCharType="begin"/>
      </w:r>
      <w:r w:rsidRPr="009956BC">
        <w:instrText xml:space="preserve"> AUTONUM  </w:instrText>
      </w:r>
      <w:r w:rsidRPr="009956BC">
        <w:fldChar w:fldCharType="end"/>
      </w:r>
      <w:r w:rsidRPr="009956BC">
        <w:tab/>
        <w:t xml:space="preserve">The </w:t>
      </w:r>
      <w:r w:rsidR="00020BA0" w:rsidRPr="00ED3E46">
        <w:t xml:space="preserve">TC </w:t>
      </w:r>
      <w:proofErr w:type="gramStart"/>
      <w:r w:rsidR="00020BA0" w:rsidRPr="00ED3E46">
        <w:t>is</w:t>
      </w:r>
      <w:r w:rsidRPr="009956BC">
        <w:t xml:space="preserve"> invited</w:t>
      </w:r>
      <w:proofErr w:type="gramEnd"/>
      <w:r w:rsidRPr="009956BC">
        <w:t xml:space="preserve"> to</w:t>
      </w:r>
      <w:r w:rsidR="00020BA0" w:rsidRPr="00ED3E46">
        <w:t>:</w:t>
      </w:r>
    </w:p>
    <w:p w:rsidR="00020BA0" w:rsidRPr="0096021B" w:rsidRDefault="00020BA0" w:rsidP="00020BA0"/>
    <w:p w:rsidR="00020BA0" w:rsidRPr="0096021B" w:rsidRDefault="00020BA0" w:rsidP="00020BA0">
      <w:pPr>
        <w:tabs>
          <w:tab w:val="left" w:pos="1134"/>
        </w:tabs>
        <w:ind w:firstLine="567"/>
      </w:pPr>
      <w:r w:rsidRPr="0096021B">
        <w:t>(a)</w:t>
      </w:r>
      <w:r w:rsidRPr="0096021B">
        <w:tab/>
      </w:r>
      <w:proofErr w:type="gramStart"/>
      <w:r>
        <w:t>consider</w:t>
      </w:r>
      <w:proofErr w:type="gramEnd"/>
      <w:r>
        <w:t xml:space="preserve"> the </w:t>
      </w:r>
      <w:r w:rsidRPr="00254FA7">
        <w:t>revision of document TGP/7 “Development of Test Guidelines”</w:t>
      </w:r>
      <w:r>
        <w:t xml:space="preserve"> </w:t>
      </w:r>
      <w:r w:rsidRPr="00E11CE2">
        <w:t>(document TGP/7/7)</w:t>
      </w:r>
      <w:r w:rsidRPr="00254FA7">
        <w:t>, on the bas</w:t>
      </w:r>
      <w:r>
        <w:t>is of document TGP/7/7 Draft 1</w:t>
      </w:r>
      <w:r w:rsidR="00B96335">
        <w:t xml:space="preserve"> Rev.</w:t>
      </w:r>
      <w:r w:rsidRPr="0096021B">
        <w:t>;</w:t>
      </w:r>
    </w:p>
    <w:p w:rsidR="00020BA0" w:rsidRPr="0096021B" w:rsidRDefault="00020BA0" w:rsidP="00020BA0">
      <w:pPr>
        <w:tabs>
          <w:tab w:val="left" w:pos="1134"/>
        </w:tabs>
        <w:ind w:firstLine="567"/>
      </w:pPr>
    </w:p>
    <w:p w:rsidR="00020BA0" w:rsidRPr="0096021B" w:rsidRDefault="00020BA0" w:rsidP="00020BA0">
      <w:pPr>
        <w:tabs>
          <w:tab w:val="left" w:pos="1134"/>
        </w:tabs>
        <w:ind w:firstLine="567"/>
      </w:pPr>
      <w:r w:rsidRPr="0096021B">
        <w:t>(b)</w:t>
      </w:r>
      <w:r w:rsidRPr="0096021B">
        <w:tab/>
      </w:r>
      <w:proofErr w:type="gramStart"/>
      <w:r>
        <w:t>consider</w:t>
      </w:r>
      <w:proofErr w:type="gramEnd"/>
      <w:r>
        <w:t xml:space="preserve"> the </w:t>
      </w:r>
      <w:r w:rsidRPr="00254FA7">
        <w:t xml:space="preserve">revision of document </w:t>
      </w:r>
      <w:r>
        <w:t>TGP/8 “</w:t>
      </w:r>
      <w:r w:rsidRPr="003E7167">
        <w:t>Trial Design and Techniques Used in the Examination of Distinctness, Uniformity and Stability</w:t>
      </w:r>
      <w:r>
        <w:t>” (</w:t>
      </w:r>
      <w:r w:rsidRPr="00254FA7">
        <w:t xml:space="preserve">document </w:t>
      </w:r>
      <w:r>
        <w:t>TGP/8/3)</w:t>
      </w:r>
      <w:r w:rsidRPr="00254FA7">
        <w:t>, on the bas</w:t>
      </w:r>
      <w:r>
        <w:t>is of document TGP/8/4 Draft 1</w:t>
      </w:r>
      <w:r w:rsidRPr="0096021B">
        <w:t>;</w:t>
      </w:r>
    </w:p>
    <w:p w:rsidR="00020BA0" w:rsidRPr="0096021B" w:rsidRDefault="00020BA0" w:rsidP="00020BA0">
      <w:pPr>
        <w:tabs>
          <w:tab w:val="left" w:pos="1134"/>
        </w:tabs>
        <w:ind w:firstLine="567"/>
      </w:pPr>
    </w:p>
    <w:p w:rsidR="00020BA0" w:rsidRPr="0096021B" w:rsidRDefault="00020BA0" w:rsidP="00020BA0">
      <w:pPr>
        <w:tabs>
          <w:tab w:val="left" w:pos="1134"/>
        </w:tabs>
        <w:ind w:firstLine="567"/>
      </w:pPr>
      <w:r w:rsidRPr="0096021B">
        <w:t>(</w:t>
      </w:r>
      <w:r>
        <w:t>c</w:t>
      </w:r>
      <w:r w:rsidRPr="0096021B">
        <w:t>)</w:t>
      </w:r>
      <w:r w:rsidRPr="0096021B">
        <w:tab/>
      </w:r>
      <w:proofErr w:type="gramStart"/>
      <w:r>
        <w:t>consider</w:t>
      </w:r>
      <w:proofErr w:type="gramEnd"/>
      <w:r>
        <w:t xml:space="preserve"> the </w:t>
      </w:r>
      <w:r w:rsidRPr="00254FA7">
        <w:t xml:space="preserve">revision of document </w:t>
      </w:r>
      <w:r>
        <w:t>TGP/10 “</w:t>
      </w:r>
      <w:r w:rsidRPr="003E7167">
        <w:t>Examin</w:t>
      </w:r>
      <w:r>
        <w:t>ing</w:t>
      </w:r>
      <w:r w:rsidRPr="003E7167">
        <w:t xml:space="preserve"> Uniformity</w:t>
      </w:r>
      <w:r>
        <w:t>” (document TGP/10/1</w:t>
      </w:r>
      <w:r w:rsidRPr="00254FA7">
        <w:t>,</w:t>
      </w:r>
      <w:r>
        <w:t>)</w:t>
      </w:r>
      <w:r w:rsidRPr="00254FA7">
        <w:t xml:space="preserve"> on the bas</w:t>
      </w:r>
      <w:r>
        <w:t>is of document TGP/10/2 Draft 1</w:t>
      </w:r>
      <w:r w:rsidRPr="0096021B">
        <w:t>;</w:t>
      </w:r>
    </w:p>
    <w:p w:rsidR="00020BA0" w:rsidRPr="0096021B" w:rsidRDefault="00020BA0" w:rsidP="00020BA0">
      <w:pPr>
        <w:tabs>
          <w:tab w:val="left" w:pos="1134"/>
        </w:tabs>
        <w:ind w:firstLine="567"/>
      </w:pPr>
    </w:p>
    <w:p w:rsidR="00020BA0" w:rsidRPr="0096021B" w:rsidRDefault="00020BA0" w:rsidP="00020BA0">
      <w:pPr>
        <w:tabs>
          <w:tab w:val="left" w:pos="1134"/>
        </w:tabs>
        <w:ind w:firstLine="567"/>
      </w:pPr>
      <w:r w:rsidRPr="0096021B">
        <w:t>(</w:t>
      </w:r>
      <w:r>
        <w:t>d</w:t>
      </w:r>
      <w:r w:rsidRPr="0096021B">
        <w:t>)</w:t>
      </w:r>
      <w:r w:rsidRPr="0096021B">
        <w:tab/>
      </w:r>
      <w:proofErr w:type="gramStart"/>
      <w:r>
        <w:t>consider</w:t>
      </w:r>
      <w:proofErr w:type="gramEnd"/>
      <w:r>
        <w:t xml:space="preserve"> the </w:t>
      </w:r>
      <w:r w:rsidRPr="00254FA7">
        <w:t xml:space="preserve">revision of document </w:t>
      </w:r>
      <w:r>
        <w:t>TGP/14 “</w:t>
      </w:r>
      <w:r w:rsidRPr="003650DF">
        <w:t>Glossary of Terms Used in UPOV Documents</w:t>
      </w:r>
      <w:r>
        <w:t>” (document TGP/14/3)</w:t>
      </w:r>
      <w:r w:rsidRPr="00254FA7">
        <w:t>, on the bas</w:t>
      </w:r>
      <w:r>
        <w:t>is of document TGP/14/4 Draft 1</w:t>
      </w:r>
      <w:r w:rsidRPr="0096021B">
        <w:t>;</w:t>
      </w:r>
    </w:p>
    <w:p w:rsidR="00020BA0" w:rsidRPr="0096021B" w:rsidRDefault="00020BA0" w:rsidP="00020BA0">
      <w:pPr>
        <w:tabs>
          <w:tab w:val="left" w:pos="1134"/>
        </w:tabs>
        <w:ind w:firstLine="567"/>
      </w:pPr>
    </w:p>
    <w:p w:rsidR="00020BA0" w:rsidRPr="0096021B" w:rsidRDefault="00020BA0" w:rsidP="00020BA0">
      <w:pPr>
        <w:tabs>
          <w:tab w:val="left" w:pos="1134"/>
        </w:tabs>
        <w:ind w:firstLine="567"/>
      </w:pPr>
      <w:r w:rsidRPr="0096021B">
        <w:t>(</w:t>
      </w:r>
      <w:r>
        <w:t>e</w:t>
      </w:r>
      <w:r w:rsidRPr="0096021B">
        <w:t>)</w:t>
      </w:r>
      <w:r w:rsidRPr="0096021B">
        <w:tab/>
      </w:r>
      <w:proofErr w:type="gramStart"/>
      <w:r>
        <w:t>consider</w:t>
      </w:r>
      <w:proofErr w:type="gramEnd"/>
      <w:r>
        <w:t xml:space="preserve"> the </w:t>
      </w:r>
      <w:r w:rsidRPr="00254FA7">
        <w:t xml:space="preserve">revision of document </w:t>
      </w:r>
      <w:r>
        <w:t xml:space="preserve">TGP/15 </w:t>
      </w:r>
      <w:r w:rsidRPr="001239A8">
        <w:rPr>
          <w:caps/>
        </w:rPr>
        <w:t>“</w:t>
      </w:r>
      <w:r w:rsidRPr="003E7167">
        <w:t>Guidance on the use of Biochemical and Molecular Markers in the examination of Distinctness, Uniformity and Stability (DUS)”</w:t>
      </w:r>
      <w:r>
        <w:t xml:space="preserve"> (document TGP/15/1)</w:t>
      </w:r>
      <w:r w:rsidRPr="00254FA7">
        <w:t>, on the bas</w:t>
      </w:r>
      <w:r>
        <w:t>is of document TGP/15/2 Draft 2</w:t>
      </w:r>
      <w:r w:rsidRPr="0096021B">
        <w:t>;</w:t>
      </w:r>
      <w:r>
        <w:t xml:space="preserve"> and</w:t>
      </w:r>
    </w:p>
    <w:p w:rsidR="00020BA0" w:rsidRPr="0096021B" w:rsidRDefault="00020BA0" w:rsidP="00020BA0">
      <w:pPr>
        <w:tabs>
          <w:tab w:val="left" w:pos="1134"/>
        </w:tabs>
        <w:ind w:firstLine="567"/>
      </w:pPr>
    </w:p>
    <w:p w:rsidR="00020BA0" w:rsidRPr="0096021B" w:rsidRDefault="00020BA0" w:rsidP="00020BA0">
      <w:pPr>
        <w:tabs>
          <w:tab w:val="left" w:pos="1134"/>
        </w:tabs>
        <w:ind w:firstLine="567"/>
        <w:rPr>
          <w:rFonts w:cs="Arial"/>
        </w:rPr>
      </w:pPr>
      <w:r w:rsidRPr="0096021B">
        <w:t>(</w:t>
      </w:r>
      <w:r>
        <w:t>f</w:t>
      </w:r>
      <w:r w:rsidRPr="0096021B">
        <w:t>)</w:t>
      </w:r>
      <w:r w:rsidRPr="0096021B">
        <w:tab/>
        <w:t xml:space="preserve">note </w:t>
      </w:r>
      <w:r w:rsidRPr="0096021B">
        <w:rPr>
          <w:rFonts w:cs="Arial"/>
        </w:rPr>
        <w:t>that</w:t>
      </w:r>
      <w:r>
        <w:rPr>
          <w:rFonts w:cs="Arial"/>
        </w:rPr>
        <w:t>,</w:t>
      </w:r>
      <w:r w:rsidRPr="0096021B">
        <w:rPr>
          <w:rFonts w:cs="Arial"/>
        </w:rPr>
        <w:t xml:space="preserve"> in conjunction with the adoption of the revised TGP documents at the fift</w:t>
      </w:r>
      <w:r>
        <w:rPr>
          <w:rFonts w:cs="Arial"/>
        </w:rPr>
        <w:t>y</w:t>
      </w:r>
      <w:r>
        <w:rPr>
          <w:rFonts w:cs="Arial"/>
        </w:rPr>
        <w:noBreakHyphen/>
        <w:t>third </w:t>
      </w:r>
      <w:r w:rsidRPr="0096021B">
        <w:rPr>
          <w:rFonts w:cs="Arial"/>
        </w:rPr>
        <w:t xml:space="preserve">ordinary session of the Council, the Council will be invited </w:t>
      </w:r>
      <w:r>
        <w:rPr>
          <w:rFonts w:cs="Arial"/>
        </w:rPr>
        <w:t>to adopt a revision of document TGP/0 </w:t>
      </w:r>
      <w:r w:rsidRPr="0096021B">
        <w:rPr>
          <w:rFonts w:cs="Arial"/>
        </w:rPr>
        <w:t>“List of TGP documents and latest issue dates”</w:t>
      </w:r>
      <w:r>
        <w:rPr>
          <w:rFonts w:cs="Arial"/>
        </w:rPr>
        <w:t xml:space="preserve"> </w:t>
      </w:r>
      <w:r w:rsidRPr="00230C3B">
        <w:rPr>
          <w:rFonts w:cs="Arial"/>
        </w:rPr>
        <w:t>(document TGP/0/10),</w:t>
      </w:r>
      <w:r w:rsidRPr="0096021B">
        <w:rPr>
          <w:rFonts w:cs="Arial"/>
        </w:rPr>
        <w:t xml:space="preserve"> on the basis of document TGP/0/1</w:t>
      </w:r>
      <w:r>
        <w:rPr>
          <w:rFonts w:cs="Arial"/>
        </w:rPr>
        <w:t>1 Draft 1.</w:t>
      </w:r>
    </w:p>
    <w:p w:rsidR="009956BC" w:rsidRPr="009956BC" w:rsidRDefault="009956BC" w:rsidP="009956BC">
      <w:pPr>
        <w:tabs>
          <w:tab w:val="left" w:pos="1134"/>
          <w:tab w:val="left" w:pos="5387"/>
          <w:tab w:val="left" w:pos="5954"/>
        </w:tabs>
        <w:ind w:left="570"/>
        <w:contextualSpacing/>
      </w:pPr>
    </w:p>
    <w:p w:rsidR="009956BC" w:rsidRPr="009956BC" w:rsidRDefault="009956BC" w:rsidP="009956BC">
      <w:pPr>
        <w:tabs>
          <w:tab w:val="left" w:pos="1134"/>
          <w:tab w:val="left" w:pos="5387"/>
          <w:tab w:val="left" w:pos="5954"/>
        </w:tabs>
        <w:contextualSpacing/>
        <w:rPr>
          <w:u w:val="single"/>
        </w:rPr>
      </w:pPr>
      <w:r w:rsidRPr="009956BC">
        <w:rPr>
          <w:u w:val="single"/>
        </w:rPr>
        <w:t>Possible future revisions of TGP documents</w:t>
      </w:r>
    </w:p>
    <w:p w:rsidR="009956BC" w:rsidRPr="009956BC" w:rsidRDefault="009956BC" w:rsidP="009956BC">
      <w:pPr>
        <w:tabs>
          <w:tab w:val="left" w:pos="1134"/>
          <w:tab w:val="left" w:pos="5387"/>
          <w:tab w:val="left" w:pos="5954"/>
        </w:tabs>
        <w:ind w:left="570"/>
        <w:contextualSpacing/>
      </w:pPr>
    </w:p>
    <w:p w:rsidR="009956BC" w:rsidRPr="009956BC" w:rsidRDefault="009956BC" w:rsidP="009956BC">
      <w:pPr>
        <w:tabs>
          <w:tab w:val="left" w:pos="567"/>
          <w:tab w:val="left" w:pos="1134"/>
          <w:tab w:val="left" w:pos="5387"/>
        </w:tabs>
      </w:pPr>
      <w:r w:rsidRPr="009956BC">
        <w:fldChar w:fldCharType="begin"/>
      </w:r>
      <w:r w:rsidRPr="009956BC">
        <w:instrText xml:space="preserve"> AUTONUM  </w:instrText>
      </w:r>
      <w:r w:rsidRPr="009956BC">
        <w:fldChar w:fldCharType="end"/>
      </w:r>
      <w:r w:rsidRPr="009956BC">
        <w:tab/>
        <w:t xml:space="preserve">The </w:t>
      </w:r>
      <w:r w:rsidR="0004024C">
        <w:t xml:space="preserve">TC </w:t>
      </w:r>
      <w:proofErr w:type="gramStart"/>
      <w:r w:rsidR="0004024C">
        <w:t>is</w:t>
      </w:r>
      <w:r w:rsidRPr="009956BC">
        <w:t xml:space="preserve"> invited</w:t>
      </w:r>
      <w:proofErr w:type="gramEnd"/>
      <w:r w:rsidRPr="009956BC">
        <w:t xml:space="preserve"> to note:</w:t>
      </w:r>
    </w:p>
    <w:p w:rsidR="009956BC" w:rsidRPr="009956BC" w:rsidRDefault="009956BC" w:rsidP="009956BC">
      <w:pPr>
        <w:tabs>
          <w:tab w:val="left" w:pos="1134"/>
          <w:tab w:val="left" w:pos="5387"/>
          <w:tab w:val="left" w:pos="5954"/>
        </w:tabs>
        <w:ind w:left="570"/>
        <w:contextualSpacing/>
      </w:pPr>
    </w:p>
    <w:p w:rsidR="009956BC" w:rsidRPr="009956BC" w:rsidRDefault="0074544B" w:rsidP="0074544B">
      <w:pPr>
        <w:tabs>
          <w:tab w:val="left" w:pos="567"/>
          <w:tab w:val="left" w:pos="1134"/>
          <w:tab w:val="left" w:pos="5387"/>
          <w:tab w:val="left" w:pos="5954"/>
        </w:tabs>
        <w:contextualSpacing/>
      </w:pPr>
      <w:r>
        <w:tab/>
        <w:t>(g)</w:t>
      </w:r>
      <w:r>
        <w:tab/>
      </w:r>
      <w:proofErr w:type="gramStart"/>
      <w:r w:rsidR="009956BC" w:rsidRPr="009956BC">
        <w:t>the</w:t>
      </w:r>
      <w:proofErr w:type="gramEnd"/>
      <w:r w:rsidR="009956BC" w:rsidRPr="009956BC">
        <w:t xml:space="preserve"> matters for possible future revision of documents TGP/7, TGP/8, TGP/14 and TGP/15 which will be considered under separate documents; </w:t>
      </w:r>
    </w:p>
    <w:p w:rsidR="009956BC" w:rsidRPr="009956BC" w:rsidRDefault="009956BC" w:rsidP="009956BC">
      <w:pPr>
        <w:tabs>
          <w:tab w:val="left" w:pos="567"/>
          <w:tab w:val="left" w:pos="1134"/>
          <w:tab w:val="left" w:pos="5387"/>
          <w:tab w:val="left" w:pos="5954"/>
        </w:tabs>
        <w:ind w:firstLine="567"/>
      </w:pPr>
    </w:p>
    <w:p w:rsidR="009956BC" w:rsidRPr="009956BC" w:rsidRDefault="0074544B" w:rsidP="0074544B">
      <w:pPr>
        <w:tabs>
          <w:tab w:val="left" w:pos="567"/>
          <w:tab w:val="left" w:pos="1134"/>
          <w:tab w:val="left" w:pos="5387"/>
          <w:tab w:val="left" w:pos="5954"/>
        </w:tabs>
        <w:contextualSpacing/>
      </w:pPr>
      <w:r>
        <w:tab/>
        <w:t>(h)</w:t>
      </w:r>
      <w:r>
        <w:tab/>
      </w:r>
      <w:proofErr w:type="gramStart"/>
      <w:r w:rsidR="009956BC" w:rsidRPr="009956BC">
        <w:t>the</w:t>
      </w:r>
      <w:proofErr w:type="gramEnd"/>
      <w:r w:rsidR="009956BC" w:rsidRPr="009956BC">
        <w:t xml:space="preserve"> invitation by the United Kingdom for interested experts to get in contact for testing the new software containing the improved method of calculation of COYU;</w:t>
      </w:r>
    </w:p>
    <w:p w:rsidR="009956BC" w:rsidRPr="009956BC" w:rsidRDefault="009956BC" w:rsidP="009956BC">
      <w:pPr>
        <w:tabs>
          <w:tab w:val="left" w:pos="567"/>
          <w:tab w:val="left" w:pos="1134"/>
          <w:tab w:val="left" w:pos="5387"/>
          <w:tab w:val="left" w:pos="5954"/>
        </w:tabs>
        <w:ind w:firstLine="567"/>
        <w:contextualSpacing/>
      </w:pPr>
    </w:p>
    <w:p w:rsidR="009956BC" w:rsidRPr="0078234B" w:rsidRDefault="0074544B" w:rsidP="0074544B">
      <w:pPr>
        <w:tabs>
          <w:tab w:val="left" w:pos="567"/>
          <w:tab w:val="left" w:pos="1134"/>
          <w:tab w:val="left" w:pos="5387"/>
          <w:tab w:val="left" w:pos="5954"/>
        </w:tabs>
        <w:contextualSpacing/>
      </w:pPr>
      <w:r>
        <w:tab/>
        <w:t>(</w:t>
      </w:r>
      <w:proofErr w:type="spellStart"/>
      <w:r>
        <w:t>i</w:t>
      </w:r>
      <w:proofErr w:type="spellEnd"/>
      <w:r>
        <w:t>)</w:t>
      </w:r>
      <w:r>
        <w:tab/>
      </w:r>
      <w:r w:rsidR="0078234B" w:rsidRPr="0078234B">
        <w:t xml:space="preserve">that the </w:t>
      </w:r>
      <w:proofErr w:type="spellStart"/>
      <w:r w:rsidR="0078234B" w:rsidRPr="0078234B">
        <w:t>TWC</w:t>
      </w:r>
      <w:proofErr w:type="spellEnd"/>
      <w:r w:rsidR="0078234B" w:rsidRPr="0078234B">
        <w:t>, at its thirty-seventh session, will consider a draft replacement section for document TGP/8 on the method of calculation of COYU, and developments on this matter will be reported as an addendum to this document</w:t>
      </w:r>
      <w:r w:rsidR="009956BC" w:rsidRPr="0078234B">
        <w:t>;</w:t>
      </w:r>
    </w:p>
    <w:p w:rsidR="009956BC" w:rsidRPr="009956BC" w:rsidRDefault="009956BC" w:rsidP="009956BC">
      <w:pPr>
        <w:tabs>
          <w:tab w:val="left" w:pos="1134"/>
          <w:tab w:val="left" w:pos="5387"/>
          <w:tab w:val="left" w:pos="5954"/>
        </w:tabs>
        <w:ind w:left="570"/>
        <w:contextualSpacing/>
      </w:pPr>
    </w:p>
    <w:p w:rsidR="009956BC" w:rsidRPr="009956BC" w:rsidRDefault="009956BC" w:rsidP="009956BC">
      <w:pPr>
        <w:keepNext/>
        <w:tabs>
          <w:tab w:val="left" w:pos="1134"/>
          <w:tab w:val="left" w:pos="5387"/>
          <w:tab w:val="left" w:pos="5954"/>
        </w:tabs>
        <w:contextualSpacing/>
        <w:rPr>
          <w:u w:val="single"/>
        </w:rPr>
      </w:pPr>
      <w:r w:rsidRPr="009956BC">
        <w:rPr>
          <w:u w:val="single"/>
        </w:rPr>
        <w:lastRenderedPageBreak/>
        <w:t>New proposals for revisions of TGP documents</w:t>
      </w:r>
    </w:p>
    <w:p w:rsidR="009956BC" w:rsidRPr="009956BC" w:rsidRDefault="009956BC" w:rsidP="009956BC">
      <w:pPr>
        <w:keepNext/>
        <w:tabs>
          <w:tab w:val="left" w:pos="1134"/>
          <w:tab w:val="left" w:pos="5387"/>
          <w:tab w:val="left" w:pos="5954"/>
        </w:tabs>
        <w:ind w:left="570"/>
        <w:contextualSpacing/>
      </w:pPr>
    </w:p>
    <w:p w:rsidR="009956BC" w:rsidRPr="009956BC" w:rsidRDefault="009956BC" w:rsidP="009956BC">
      <w:pPr>
        <w:keepNext/>
        <w:tabs>
          <w:tab w:val="left" w:pos="567"/>
          <w:tab w:val="left" w:pos="1134"/>
          <w:tab w:val="left" w:pos="5387"/>
        </w:tabs>
      </w:pPr>
      <w:r w:rsidRPr="009956BC">
        <w:fldChar w:fldCharType="begin"/>
      </w:r>
      <w:r w:rsidRPr="009956BC">
        <w:instrText xml:space="preserve"> AUTONUM  </w:instrText>
      </w:r>
      <w:r w:rsidRPr="009956BC">
        <w:fldChar w:fldCharType="end"/>
      </w:r>
      <w:r w:rsidRPr="009956BC">
        <w:tab/>
        <w:t xml:space="preserve">The </w:t>
      </w:r>
      <w:r w:rsidR="00ED3E46">
        <w:t xml:space="preserve">TC </w:t>
      </w:r>
      <w:proofErr w:type="gramStart"/>
      <w:r w:rsidR="00ED3E46">
        <w:t>is</w:t>
      </w:r>
      <w:r w:rsidRPr="009956BC">
        <w:t xml:space="preserve"> invited</w:t>
      </w:r>
      <w:proofErr w:type="gramEnd"/>
      <w:r w:rsidRPr="009956BC">
        <w:t xml:space="preserve"> to:</w:t>
      </w:r>
    </w:p>
    <w:p w:rsidR="0074544B" w:rsidRPr="009956BC" w:rsidRDefault="0074544B" w:rsidP="0074544B">
      <w:pPr>
        <w:rPr>
          <w:snapToGrid w:val="0"/>
        </w:rPr>
      </w:pPr>
    </w:p>
    <w:p w:rsidR="0074544B" w:rsidRPr="0074544B" w:rsidRDefault="0074544B" w:rsidP="0074544B">
      <w:r w:rsidRPr="0074544B">
        <w:rPr>
          <w:snapToGrid w:val="0"/>
        </w:rPr>
        <w:tab/>
        <w:t>(j)</w:t>
      </w:r>
      <w:r w:rsidRPr="0074544B">
        <w:rPr>
          <w:snapToGrid w:val="0"/>
        </w:rPr>
        <w:tab/>
      </w:r>
      <w:proofErr w:type="gramStart"/>
      <w:r w:rsidR="009A3859">
        <w:t>consider</w:t>
      </w:r>
      <w:proofErr w:type="gramEnd"/>
      <w:r w:rsidR="009A3859" w:rsidRPr="0074544B">
        <w:t xml:space="preserve"> </w:t>
      </w:r>
      <w:r w:rsidRPr="0074544B">
        <w:t>the proposals by the TWF on the circumstances where changes could and could not be implemented to UPOV Test Guidelines at short notice;</w:t>
      </w:r>
    </w:p>
    <w:p w:rsidR="0074544B" w:rsidRPr="0074544B" w:rsidRDefault="0074544B" w:rsidP="0074544B"/>
    <w:p w:rsidR="0074544B" w:rsidRPr="00FF18C5" w:rsidRDefault="0074544B" w:rsidP="0074544B">
      <w:pPr>
        <w:ind w:firstLine="567"/>
      </w:pPr>
      <w:r>
        <w:t>(k)</w:t>
      </w:r>
      <w:r>
        <w:tab/>
      </w:r>
      <w:proofErr w:type="gramStart"/>
      <w:r w:rsidR="009A3859">
        <w:t>consider</w:t>
      </w:r>
      <w:proofErr w:type="gramEnd"/>
      <w:r w:rsidR="009A3859" w:rsidRPr="0074544B">
        <w:t xml:space="preserve"> </w:t>
      </w:r>
      <w:r w:rsidRPr="00FF18C5">
        <w:t>whether to revise the procedure for partial revisions of Test Guidelines, on the basis of the proposal by the TWF, as set out in paragraphs 45 to 47 of this document</w:t>
      </w:r>
      <w:r w:rsidR="00F20BA5" w:rsidRPr="00FF18C5">
        <w:t>;</w:t>
      </w:r>
      <w:r w:rsidRPr="00FF18C5">
        <w:t>.</w:t>
      </w:r>
    </w:p>
    <w:p w:rsidR="0074544B" w:rsidRPr="00FF18C5" w:rsidRDefault="0074544B" w:rsidP="009956BC">
      <w:pPr>
        <w:keepNext/>
        <w:tabs>
          <w:tab w:val="left" w:pos="1134"/>
          <w:tab w:val="left" w:pos="5387"/>
          <w:tab w:val="left" w:pos="5954"/>
        </w:tabs>
        <w:ind w:left="570"/>
        <w:contextualSpacing/>
      </w:pPr>
    </w:p>
    <w:p w:rsidR="009956BC" w:rsidRPr="00FF18C5" w:rsidRDefault="0074544B" w:rsidP="009956BC">
      <w:pPr>
        <w:tabs>
          <w:tab w:val="left" w:pos="567"/>
          <w:tab w:val="left" w:pos="1134"/>
          <w:tab w:val="left" w:pos="5387"/>
          <w:tab w:val="left" w:pos="5954"/>
        </w:tabs>
      </w:pPr>
      <w:r w:rsidRPr="00FF18C5">
        <w:tab/>
        <w:t>(l)</w:t>
      </w:r>
      <w:r w:rsidRPr="00FF18C5">
        <w:tab/>
      </w:r>
      <w:r w:rsidR="009A3859" w:rsidRPr="00FF18C5">
        <w:t xml:space="preserve">consider </w:t>
      </w:r>
      <w:r w:rsidR="00A02FB5" w:rsidRPr="00FF18C5">
        <w:t>the proposal to revise document TGP/7 to present all states of expression for quantitative characteristics in Test Guidelines, taking into account the comments by the TWPs, at their sessions in 2019, as presented in paragraphs 53 to 60</w:t>
      </w:r>
      <w:r w:rsidR="0035588A" w:rsidRPr="00FF18C5">
        <w:t xml:space="preserve"> of this document;</w:t>
      </w:r>
      <w:r w:rsidR="009A3859" w:rsidRPr="00FF18C5">
        <w:rPr>
          <w:rFonts w:cs="Arial"/>
          <w:bCs/>
          <w:snapToGrid w:val="0"/>
        </w:rPr>
        <w:t xml:space="preserve"> and</w:t>
      </w:r>
    </w:p>
    <w:p w:rsidR="0035588A" w:rsidRPr="00FF18C5" w:rsidRDefault="0035588A" w:rsidP="009956BC">
      <w:pPr>
        <w:tabs>
          <w:tab w:val="left" w:pos="567"/>
          <w:tab w:val="left" w:pos="1134"/>
          <w:tab w:val="left" w:pos="5387"/>
          <w:tab w:val="left" w:pos="5954"/>
        </w:tabs>
      </w:pPr>
    </w:p>
    <w:p w:rsidR="0035588A" w:rsidRPr="009A3859" w:rsidRDefault="0035588A" w:rsidP="009956BC">
      <w:pPr>
        <w:tabs>
          <w:tab w:val="left" w:pos="567"/>
          <w:tab w:val="left" w:pos="1134"/>
          <w:tab w:val="left" w:pos="5387"/>
          <w:tab w:val="left" w:pos="5954"/>
        </w:tabs>
      </w:pPr>
      <w:r w:rsidRPr="00FF18C5">
        <w:rPr>
          <w:rFonts w:cs="Arial"/>
          <w:bCs/>
          <w:snapToGrid w:val="0"/>
        </w:rPr>
        <w:tab/>
        <w:t>(m)</w:t>
      </w:r>
      <w:r w:rsidRPr="00FF18C5">
        <w:rPr>
          <w:rFonts w:cs="Arial"/>
          <w:bCs/>
          <w:snapToGrid w:val="0"/>
        </w:rPr>
        <w:tab/>
      </w:r>
      <w:proofErr w:type="gramStart"/>
      <w:r w:rsidR="009A3859" w:rsidRPr="00FF18C5">
        <w:rPr>
          <w:rFonts w:cs="Arial"/>
          <w:bCs/>
          <w:snapToGrid w:val="0"/>
        </w:rPr>
        <w:t>note</w:t>
      </w:r>
      <w:proofErr w:type="gramEnd"/>
      <w:r w:rsidR="009A3859" w:rsidRPr="00FF18C5">
        <w:rPr>
          <w:rFonts w:cs="Arial"/>
          <w:bCs/>
          <w:snapToGrid w:val="0"/>
        </w:rPr>
        <w:t xml:space="preserve"> that the TWV agreed that the current guidance provided in UPOV documents in relation to the use of disease resistance characteristics in Test Guidelines and in DUS examination was clear and sufficient for the time being, as set out in paragraph 65 of this document</w:t>
      </w:r>
      <w:r w:rsidR="009A3859" w:rsidRPr="009A3859">
        <w:rPr>
          <w:rFonts w:cs="Arial"/>
          <w:bCs/>
          <w:snapToGrid w:val="0"/>
        </w:rPr>
        <w:t>.</w:t>
      </w:r>
    </w:p>
    <w:p w:rsidR="00A02FB5" w:rsidRPr="009956BC" w:rsidRDefault="00A02FB5" w:rsidP="009956BC">
      <w:pPr>
        <w:tabs>
          <w:tab w:val="left" w:pos="567"/>
          <w:tab w:val="left" w:pos="1134"/>
          <w:tab w:val="left" w:pos="5387"/>
          <w:tab w:val="left" w:pos="5954"/>
        </w:tabs>
      </w:pPr>
    </w:p>
    <w:p w:rsidR="009956BC" w:rsidRPr="009956BC" w:rsidRDefault="009956BC" w:rsidP="009956BC">
      <w:pPr>
        <w:tabs>
          <w:tab w:val="left" w:pos="567"/>
          <w:tab w:val="left" w:pos="1134"/>
          <w:tab w:val="left" w:pos="5387"/>
          <w:tab w:val="left" w:pos="5954"/>
        </w:tabs>
        <w:rPr>
          <w:u w:val="single"/>
        </w:rPr>
      </w:pPr>
      <w:r w:rsidRPr="009956BC">
        <w:rPr>
          <w:u w:val="single"/>
        </w:rPr>
        <w:t>Program for the development of TGP documents</w:t>
      </w:r>
    </w:p>
    <w:p w:rsidR="009956BC" w:rsidRPr="009956BC" w:rsidRDefault="009956BC" w:rsidP="009956BC">
      <w:pPr>
        <w:tabs>
          <w:tab w:val="left" w:pos="567"/>
          <w:tab w:val="left" w:pos="1134"/>
          <w:tab w:val="left" w:pos="5387"/>
          <w:tab w:val="left" w:pos="5954"/>
        </w:tabs>
      </w:pPr>
    </w:p>
    <w:p w:rsidR="00E8341C" w:rsidRPr="00E8341C" w:rsidRDefault="009956BC" w:rsidP="00E8341C">
      <w:pPr>
        <w:tabs>
          <w:tab w:val="left" w:pos="567"/>
          <w:tab w:val="left" w:pos="1134"/>
          <w:tab w:val="left" w:pos="5387"/>
        </w:tabs>
      </w:pPr>
      <w:r w:rsidRPr="00E8341C">
        <w:fldChar w:fldCharType="begin"/>
      </w:r>
      <w:r w:rsidRPr="00E8341C">
        <w:instrText xml:space="preserve"> AUTONUM  </w:instrText>
      </w:r>
      <w:r w:rsidRPr="00E8341C">
        <w:fldChar w:fldCharType="end"/>
      </w:r>
      <w:r w:rsidRPr="00E8341C">
        <w:tab/>
      </w:r>
      <w:r w:rsidR="00E8341C" w:rsidRPr="00E8341C">
        <w:t xml:space="preserve">The TC </w:t>
      </w:r>
      <w:proofErr w:type="gramStart"/>
      <w:r w:rsidR="00E8341C" w:rsidRPr="00E8341C">
        <w:t>is invited</w:t>
      </w:r>
      <w:proofErr w:type="gramEnd"/>
      <w:r w:rsidR="00E8341C" w:rsidRPr="00E8341C">
        <w:t xml:space="preserve"> to consider:</w:t>
      </w:r>
    </w:p>
    <w:p w:rsidR="00E8341C" w:rsidRPr="00E8341C" w:rsidRDefault="00E8341C" w:rsidP="00E8341C">
      <w:pPr>
        <w:tabs>
          <w:tab w:val="left" w:pos="567"/>
          <w:tab w:val="left" w:pos="1134"/>
          <w:tab w:val="left" w:pos="5387"/>
        </w:tabs>
      </w:pPr>
    </w:p>
    <w:p w:rsidR="00E8341C" w:rsidRPr="00E8341C" w:rsidRDefault="00E8341C" w:rsidP="00E8341C">
      <w:pPr>
        <w:tabs>
          <w:tab w:val="left" w:pos="567"/>
          <w:tab w:val="left" w:pos="1134"/>
          <w:tab w:val="left" w:pos="5387"/>
          <w:tab w:val="left" w:pos="5954"/>
        </w:tabs>
      </w:pPr>
      <w:r w:rsidRPr="00E8341C">
        <w:tab/>
        <w:t>(</w:t>
      </w:r>
      <w:r>
        <w:t>o</w:t>
      </w:r>
      <w:r w:rsidRPr="00E8341C">
        <w:t>)</w:t>
      </w:r>
      <w:r w:rsidRPr="00E8341C">
        <w:tab/>
      </w:r>
      <w:proofErr w:type="gramStart"/>
      <w:r w:rsidRPr="00E8341C">
        <w:t>the</w:t>
      </w:r>
      <w:proofErr w:type="gramEnd"/>
      <w:r w:rsidRPr="00E8341C">
        <w:t xml:space="preserve"> program for the development of TGP documents, as set </w:t>
      </w:r>
      <w:r w:rsidRPr="00FF18C5">
        <w:t>out in Annex VI to this document; and</w:t>
      </w:r>
    </w:p>
    <w:p w:rsidR="00E8341C" w:rsidRPr="00E8341C" w:rsidRDefault="00E8341C" w:rsidP="00E8341C">
      <w:pPr>
        <w:tabs>
          <w:tab w:val="left" w:pos="567"/>
          <w:tab w:val="left" w:pos="1134"/>
          <w:tab w:val="left" w:pos="5387"/>
          <w:tab w:val="left" w:pos="5954"/>
        </w:tabs>
      </w:pPr>
    </w:p>
    <w:p w:rsidR="009956BC" w:rsidRPr="00E8341C" w:rsidRDefault="00E8341C" w:rsidP="00E8341C">
      <w:pPr>
        <w:tabs>
          <w:tab w:val="left" w:pos="567"/>
          <w:tab w:val="left" w:pos="1134"/>
          <w:tab w:val="left" w:pos="5387"/>
        </w:tabs>
      </w:pPr>
      <w:r w:rsidRPr="00E8341C">
        <w:tab/>
        <w:t>(</w:t>
      </w:r>
      <w:r>
        <w:t>p</w:t>
      </w:r>
      <w:r w:rsidRPr="00E8341C">
        <w:t>)</w:t>
      </w:r>
      <w:r w:rsidRPr="00E8341C">
        <w:tab/>
      </w:r>
      <w:proofErr w:type="gramStart"/>
      <w:r w:rsidRPr="00E8341C">
        <w:t>the</w:t>
      </w:r>
      <w:proofErr w:type="gramEnd"/>
      <w:r w:rsidRPr="00E8341C">
        <w:t xml:space="preserve"> proposal to extend the coverage of this document to cover all information materials, for future sessions of the Technical Committee.</w:t>
      </w:r>
    </w:p>
    <w:p w:rsidR="009956BC" w:rsidRDefault="009956BC" w:rsidP="009956BC">
      <w:pPr>
        <w:rPr>
          <w:rFonts w:cs="Arial"/>
        </w:rPr>
      </w:pPr>
    </w:p>
    <w:p w:rsidR="00F20BA5" w:rsidRPr="009956BC" w:rsidRDefault="00F20BA5" w:rsidP="009956BC">
      <w:pPr>
        <w:rPr>
          <w:rFonts w:cs="Arial"/>
        </w:rPr>
      </w:pPr>
    </w:p>
    <w:p w:rsidR="009956BC" w:rsidRDefault="009956BC" w:rsidP="009956BC">
      <w:pPr>
        <w:rPr>
          <w:rFonts w:cs="Arial"/>
        </w:rPr>
      </w:pPr>
      <w:r w:rsidRPr="009956BC">
        <w:rPr>
          <w:rFonts w:cs="Arial"/>
        </w:rPr>
        <w:fldChar w:fldCharType="begin"/>
      </w:r>
      <w:r w:rsidRPr="009956BC">
        <w:rPr>
          <w:rFonts w:cs="Arial"/>
        </w:rPr>
        <w:instrText xml:space="preserve"> AUTONUM  </w:instrText>
      </w:r>
      <w:r w:rsidRPr="009956BC">
        <w:rPr>
          <w:rFonts w:cs="Arial"/>
        </w:rPr>
        <w:fldChar w:fldCharType="end"/>
      </w:r>
      <w:r w:rsidRPr="009956BC">
        <w:rPr>
          <w:rFonts w:cs="Arial"/>
        </w:rPr>
        <w:tab/>
        <w:t>The structure of this document is as follows:</w:t>
      </w:r>
    </w:p>
    <w:p w:rsidR="00F20BA5" w:rsidRPr="009956BC" w:rsidRDefault="00F20BA5" w:rsidP="009956BC">
      <w:pPr>
        <w:rPr>
          <w:rFonts w:cs="Arial"/>
        </w:rPr>
      </w:pPr>
    </w:p>
    <w:p w:rsidR="00B96335" w:rsidRDefault="009956BC">
      <w:pPr>
        <w:pStyle w:val="TOC1"/>
        <w:rPr>
          <w:rFonts w:asciiTheme="minorHAnsi" w:eastAsiaTheme="minorEastAsia" w:hAnsiTheme="minorHAnsi" w:cstheme="minorBidi"/>
          <w:caps w:val="0"/>
          <w:noProof/>
          <w:sz w:val="22"/>
          <w:szCs w:val="22"/>
        </w:rPr>
      </w:pPr>
      <w:r w:rsidRPr="009956BC">
        <w:rPr>
          <w:rFonts w:cs="Arial"/>
          <w:bCs/>
          <w:noProof/>
          <w:snapToGrid w:val="0"/>
          <w:highlight w:val="cyan"/>
        </w:rPr>
        <w:fldChar w:fldCharType="begin"/>
      </w:r>
      <w:r w:rsidRPr="009956BC">
        <w:rPr>
          <w:rFonts w:cs="Arial"/>
          <w:bCs/>
          <w:noProof/>
          <w:snapToGrid w:val="0"/>
          <w:highlight w:val="cyan"/>
        </w:rPr>
        <w:instrText xml:space="preserve"> TOC \o "1-4" \h \z \u </w:instrText>
      </w:r>
      <w:r w:rsidRPr="009956BC">
        <w:rPr>
          <w:rFonts w:cs="Arial"/>
          <w:bCs/>
          <w:noProof/>
          <w:snapToGrid w:val="0"/>
          <w:highlight w:val="cyan"/>
        </w:rPr>
        <w:fldChar w:fldCharType="separate"/>
      </w:r>
      <w:hyperlink w:anchor="_Toc21683344" w:history="1">
        <w:r w:rsidR="00B96335" w:rsidRPr="003406EA">
          <w:rPr>
            <w:rStyle w:val="Hyperlink"/>
            <w:noProof/>
            <w:snapToGrid w:val="0"/>
          </w:rPr>
          <w:t>EXECUTIVE SUMMARY</w:t>
        </w:r>
        <w:r w:rsidR="00B96335">
          <w:rPr>
            <w:noProof/>
            <w:webHidden/>
          </w:rPr>
          <w:tab/>
        </w:r>
        <w:r w:rsidR="00B96335">
          <w:rPr>
            <w:noProof/>
            <w:webHidden/>
          </w:rPr>
          <w:fldChar w:fldCharType="begin"/>
        </w:r>
        <w:r w:rsidR="00B96335">
          <w:rPr>
            <w:noProof/>
            <w:webHidden/>
          </w:rPr>
          <w:instrText xml:space="preserve"> PAGEREF _Toc21683344 \h </w:instrText>
        </w:r>
        <w:r w:rsidR="00B96335">
          <w:rPr>
            <w:noProof/>
            <w:webHidden/>
          </w:rPr>
        </w:r>
        <w:r w:rsidR="00B96335">
          <w:rPr>
            <w:noProof/>
            <w:webHidden/>
          </w:rPr>
          <w:fldChar w:fldCharType="separate"/>
        </w:r>
        <w:r w:rsidR="00CE2445">
          <w:rPr>
            <w:noProof/>
            <w:webHidden/>
          </w:rPr>
          <w:t>1</w:t>
        </w:r>
        <w:r w:rsidR="00B96335">
          <w:rPr>
            <w:noProof/>
            <w:webHidden/>
          </w:rPr>
          <w:fldChar w:fldCharType="end"/>
        </w:r>
      </w:hyperlink>
    </w:p>
    <w:p w:rsidR="00B96335" w:rsidRDefault="00CE2445">
      <w:pPr>
        <w:pStyle w:val="TOC1"/>
        <w:rPr>
          <w:rFonts w:asciiTheme="minorHAnsi" w:eastAsiaTheme="minorEastAsia" w:hAnsiTheme="minorHAnsi" w:cstheme="minorBidi"/>
          <w:caps w:val="0"/>
          <w:noProof/>
          <w:sz w:val="22"/>
          <w:szCs w:val="22"/>
        </w:rPr>
      </w:pPr>
      <w:hyperlink w:anchor="_Toc21683345" w:history="1">
        <w:r w:rsidR="00B96335" w:rsidRPr="003406EA">
          <w:rPr>
            <w:rStyle w:val="Hyperlink"/>
            <w:noProof/>
          </w:rPr>
          <w:t>BACKGROUND</w:t>
        </w:r>
        <w:r w:rsidR="00B96335">
          <w:rPr>
            <w:noProof/>
            <w:webHidden/>
          </w:rPr>
          <w:tab/>
        </w:r>
        <w:r w:rsidR="00B96335">
          <w:rPr>
            <w:noProof/>
            <w:webHidden/>
          </w:rPr>
          <w:fldChar w:fldCharType="begin"/>
        </w:r>
        <w:r w:rsidR="00B96335">
          <w:rPr>
            <w:noProof/>
            <w:webHidden/>
          </w:rPr>
          <w:instrText xml:space="preserve"> PAGEREF _Toc21683345 \h </w:instrText>
        </w:r>
        <w:r w:rsidR="00B96335">
          <w:rPr>
            <w:noProof/>
            <w:webHidden/>
          </w:rPr>
        </w:r>
        <w:r w:rsidR="00B96335">
          <w:rPr>
            <w:noProof/>
            <w:webHidden/>
          </w:rPr>
          <w:fldChar w:fldCharType="separate"/>
        </w:r>
        <w:r>
          <w:rPr>
            <w:noProof/>
            <w:webHidden/>
          </w:rPr>
          <w:t>3</w:t>
        </w:r>
        <w:r w:rsidR="00B96335">
          <w:rPr>
            <w:noProof/>
            <w:webHidden/>
          </w:rPr>
          <w:fldChar w:fldCharType="end"/>
        </w:r>
      </w:hyperlink>
    </w:p>
    <w:p w:rsidR="00B96335" w:rsidRDefault="00CE2445">
      <w:pPr>
        <w:pStyle w:val="TOC1"/>
        <w:rPr>
          <w:rFonts w:asciiTheme="minorHAnsi" w:eastAsiaTheme="minorEastAsia" w:hAnsiTheme="minorHAnsi" w:cstheme="minorBidi"/>
          <w:caps w:val="0"/>
          <w:noProof/>
          <w:sz w:val="22"/>
          <w:szCs w:val="22"/>
        </w:rPr>
      </w:pPr>
      <w:hyperlink w:anchor="_Toc21683346" w:history="1">
        <w:r w:rsidR="00B96335" w:rsidRPr="003406EA">
          <w:rPr>
            <w:rStyle w:val="Hyperlink"/>
            <w:noProof/>
          </w:rPr>
          <w:t>Matters for adoption by the Council in 2019</w:t>
        </w:r>
        <w:r w:rsidR="00B96335">
          <w:rPr>
            <w:noProof/>
            <w:webHidden/>
          </w:rPr>
          <w:tab/>
        </w:r>
        <w:r w:rsidR="00B96335">
          <w:rPr>
            <w:noProof/>
            <w:webHidden/>
          </w:rPr>
          <w:fldChar w:fldCharType="begin"/>
        </w:r>
        <w:r w:rsidR="00B96335">
          <w:rPr>
            <w:noProof/>
            <w:webHidden/>
          </w:rPr>
          <w:instrText xml:space="preserve"> PAGEREF _Toc21683346 \h </w:instrText>
        </w:r>
        <w:r w:rsidR="00B96335">
          <w:rPr>
            <w:noProof/>
            <w:webHidden/>
          </w:rPr>
        </w:r>
        <w:r w:rsidR="00B96335">
          <w:rPr>
            <w:noProof/>
            <w:webHidden/>
          </w:rPr>
          <w:fldChar w:fldCharType="separate"/>
        </w:r>
        <w:r>
          <w:rPr>
            <w:noProof/>
            <w:webHidden/>
          </w:rPr>
          <w:t>3</w:t>
        </w:r>
        <w:r w:rsidR="00B96335">
          <w:rPr>
            <w:noProof/>
            <w:webHidden/>
          </w:rPr>
          <w:fldChar w:fldCharType="end"/>
        </w:r>
      </w:hyperlink>
    </w:p>
    <w:p w:rsidR="00B96335" w:rsidRDefault="00CE2445" w:rsidP="00FF18C5">
      <w:pPr>
        <w:pStyle w:val="TOC2"/>
        <w:rPr>
          <w:rFonts w:asciiTheme="minorHAnsi" w:eastAsiaTheme="minorEastAsia" w:hAnsiTheme="minorHAnsi" w:cstheme="minorBidi"/>
          <w:noProof/>
          <w:sz w:val="22"/>
          <w:szCs w:val="22"/>
        </w:rPr>
      </w:pPr>
      <w:hyperlink w:anchor="_Toc21683347" w:history="1">
        <w:r w:rsidR="00B96335" w:rsidRPr="003406EA">
          <w:rPr>
            <w:rStyle w:val="Hyperlink"/>
            <w:noProof/>
          </w:rPr>
          <w:t>Document TGP/7: Development of Test Guidelines (Revision) (document TGP/7/7 Draft 1 Rev.)</w:t>
        </w:r>
        <w:r w:rsidR="00B96335">
          <w:rPr>
            <w:noProof/>
            <w:webHidden/>
          </w:rPr>
          <w:tab/>
        </w:r>
        <w:r w:rsidR="00B96335">
          <w:rPr>
            <w:noProof/>
            <w:webHidden/>
          </w:rPr>
          <w:fldChar w:fldCharType="begin"/>
        </w:r>
        <w:r w:rsidR="00B96335">
          <w:rPr>
            <w:noProof/>
            <w:webHidden/>
          </w:rPr>
          <w:instrText xml:space="preserve"> PAGEREF _Toc21683347 \h </w:instrText>
        </w:r>
        <w:r w:rsidR="00B96335">
          <w:rPr>
            <w:noProof/>
            <w:webHidden/>
          </w:rPr>
        </w:r>
        <w:r w:rsidR="00B96335">
          <w:rPr>
            <w:noProof/>
            <w:webHidden/>
          </w:rPr>
          <w:fldChar w:fldCharType="separate"/>
        </w:r>
        <w:r>
          <w:rPr>
            <w:noProof/>
            <w:webHidden/>
          </w:rPr>
          <w:t>3</w:t>
        </w:r>
        <w:r w:rsidR="00B96335">
          <w:rPr>
            <w:noProof/>
            <w:webHidden/>
          </w:rPr>
          <w:fldChar w:fldCharType="end"/>
        </w:r>
      </w:hyperlink>
    </w:p>
    <w:p w:rsidR="00B96335" w:rsidRDefault="00CE2445" w:rsidP="00FF18C5">
      <w:pPr>
        <w:pStyle w:val="TOC2"/>
        <w:rPr>
          <w:rFonts w:asciiTheme="minorHAnsi" w:eastAsiaTheme="minorEastAsia" w:hAnsiTheme="minorHAnsi" w:cstheme="minorBidi"/>
          <w:noProof/>
          <w:sz w:val="22"/>
          <w:szCs w:val="22"/>
        </w:rPr>
      </w:pPr>
      <w:hyperlink w:anchor="_Toc21683348" w:history="1">
        <w:r w:rsidR="00B96335" w:rsidRPr="003406EA">
          <w:rPr>
            <w:rStyle w:val="Hyperlink"/>
            <w:noProof/>
          </w:rPr>
          <w:t>Document TGP/8: Trial Design and Techniques Used in the Examination of Distinctness, Uniformity and Stability (Revision) (document TGP/8/4 Draft 1)</w:t>
        </w:r>
        <w:r w:rsidR="00B96335">
          <w:rPr>
            <w:noProof/>
            <w:webHidden/>
          </w:rPr>
          <w:tab/>
        </w:r>
        <w:r w:rsidR="00B96335">
          <w:rPr>
            <w:noProof/>
            <w:webHidden/>
          </w:rPr>
          <w:fldChar w:fldCharType="begin"/>
        </w:r>
        <w:r w:rsidR="00B96335">
          <w:rPr>
            <w:noProof/>
            <w:webHidden/>
          </w:rPr>
          <w:instrText xml:space="preserve"> PAGEREF _Toc21683348 \h </w:instrText>
        </w:r>
        <w:r w:rsidR="00B96335">
          <w:rPr>
            <w:noProof/>
            <w:webHidden/>
          </w:rPr>
        </w:r>
        <w:r w:rsidR="00B96335">
          <w:rPr>
            <w:noProof/>
            <w:webHidden/>
          </w:rPr>
          <w:fldChar w:fldCharType="separate"/>
        </w:r>
        <w:r>
          <w:rPr>
            <w:noProof/>
            <w:webHidden/>
          </w:rPr>
          <w:t>4</w:t>
        </w:r>
        <w:r w:rsidR="00B96335">
          <w:rPr>
            <w:noProof/>
            <w:webHidden/>
          </w:rPr>
          <w:fldChar w:fldCharType="end"/>
        </w:r>
      </w:hyperlink>
    </w:p>
    <w:p w:rsidR="00B96335" w:rsidRDefault="00CE2445" w:rsidP="00FF18C5">
      <w:pPr>
        <w:pStyle w:val="TOC2"/>
        <w:rPr>
          <w:rFonts w:asciiTheme="minorHAnsi" w:eastAsiaTheme="minorEastAsia" w:hAnsiTheme="minorHAnsi" w:cstheme="minorBidi"/>
          <w:noProof/>
          <w:sz w:val="22"/>
          <w:szCs w:val="22"/>
        </w:rPr>
      </w:pPr>
      <w:hyperlink w:anchor="_Toc21683349" w:history="1">
        <w:r w:rsidR="00B96335" w:rsidRPr="003406EA">
          <w:rPr>
            <w:rStyle w:val="Hyperlink"/>
            <w:noProof/>
          </w:rPr>
          <w:t>Document TGP/10: Examining uniformity (Revision) (document TGP/10/2 Draft 1)</w:t>
        </w:r>
        <w:r w:rsidR="00B96335">
          <w:rPr>
            <w:noProof/>
            <w:webHidden/>
          </w:rPr>
          <w:tab/>
        </w:r>
        <w:r w:rsidR="00B96335">
          <w:rPr>
            <w:noProof/>
            <w:webHidden/>
          </w:rPr>
          <w:fldChar w:fldCharType="begin"/>
        </w:r>
        <w:r w:rsidR="00B96335">
          <w:rPr>
            <w:noProof/>
            <w:webHidden/>
          </w:rPr>
          <w:instrText xml:space="preserve"> PAGEREF _Toc21683349 \h </w:instrText>
        </w:r>
        <w:r w:rsidR="00B96335">
          <w:rPr>
            <w:noProof/>
            <w:webHidden/>
          </w:rPr>
        </w:r>
        <w:r w:rsidR="00B96335">
          <w:rPr>
            <w:noProof/>
            <w:webHidden/>
          </w:rPr>
          <w:fldChar w:fldCharType="separate"/>
        </w:r>
        <w:r>
          <w:rPr>
            <w:noProof/>
            <w:webHidden/>
          </w:rPr>
          <w:t>4</w:t>
        </w:r>
        <w:r w:rsidR="00B96335">
          <w:rPr>
            <w:noProof/>
            <w:webHidden/>
          </w:rPr>
          <w:fldChar w:fldCharType="end"/>
        </w:r>
      </w:hyperlink>
    </w:p>
    <w:p w:rsidR="00B96335" w:rsidRDefault="00CE2445" w:rsidP="00FF18C5">
      <w:pPr>
        <w:pStyle w:val="TOC2"/>
        <w:rPr>
          <w:rFonts w:asciiTheme="minorHAnsi" w:eastAsiaTheme="minorEastAsia" w:hAnsiTheme="minorHAnsi" w:cstheme="minorBidi"/>
          <w:noProof/>
          <w:sz w:val="22"/>
          <w:szCs w:val="22"/>
        </w:rPr>
      </w:pPr>
      <w:hyperlink w:anchor="_Toc21683350" w:history="1">
        <w:r w:rsidR="00B96335" w:rsidRPr="003406EA">
          <w:rPr>
            <w:rStyle w:val="Hyperlink"/>
            <w:noProof/>
          </w:rPr>
          <w:t>Document TGP/14: Glossary of Terms Used in UPOV Documents (document TGP/14/4 Draft 1)</w:t>
        </w:r>
        <w:r w:rsidR="00B96335">
          <w:rPr>
            <w:noProof/>
            <w:webHidden/>
          </w:rPr>
          <w:tab/>
        </w:r>
        <w:r w:rsidR="00B96335">
          <w:rPr>
            <w:noProof/>
            <w:webHidden/>
          </w:rPr>
          <w:fldChar w:fldCharType="begin"/>
        </w:r>
        <w:r w:rsidR="00B96335">
          <w:rPr>
            <w:noProof/>
            <w:webHidden/>
          </w:rPr>
          <w:instrText xml:space="preserve"> PAGEREF _Toc21683350 \h </w:instrText>
        </w:r>
        <w:r w:rsidR="00B96335">
          <w:rPr>
            <w:noProof/>
            <w:webHidden/>
          </w:rPr>
        </w:r>
        <w:r w:rsidR="00B96335">
          <w:rPr>
            <w:noProof/>
            <w:webHidden/>
          </w:rPr>
          <w:fldChar w:fldCharType="separate"/>
        </w:r>
        <w:r>
          <w:rPr>
            <w:noProof/>
            <w:webHidden/>
          </w:rPr>
          <w:t>5</w:t>
        </w:r>
        <w:r w:rsidR="00B96335">
          <w:rPr>
            <w:noProof/>
            <w:webHidden/>
          </w:rPr>
          <w:fldChar w:fldCharType="end"/>
        </w:r>
      </w:hyperlink>
    </w:p>
    <w:p w:rsidR="00B96335" w:rsidRDefault="00CE2445" w:rsidP="00FF18C5">
      <w:pPr>
        <w:pStyle w:val="TOC2"/>
        <w:rPr>
          <w:rFonts w:asciiTheme="minorHAnsi" w:eastAsiaTheme="minorEastAsia" w:hAnsiTheme="minorHAnsi" w:cstheme="minorBidi"/>
          <w:noProof/>
          <w:sz w:val="22"/>
          <w:szCs w:val="22"/>
        </w:rPr>
      </w:pPr>
      <w:hyperlink w:anchor="_Toc21683351" w:history="1">
        <w:r w:rsidR="00B96335" w:rsidRPr="003406EA">
          <w:rPr>
            <w:rStyle w:val="Hyperlink"/>
            <w:noProof/>
          </w:rPr>
          <w:t xml:space="preserve">Document TGP/15 </w:t>
        </w:r>
        <w:r w:rsidR="00B96335" w:rsidRPr="003406EA">
          <w:rPr>
            <w:rStyle w:val="Hyperlink"/>
            <w:caps/>
            <w:noProof/>
          </w:rPr>
          <w:t>“</w:t>
        </w:r>
        <w:r w:rsidR="00B96335" w:rsidRPr="003406EA">
          <w:rPr>
            <w:rStyle w:val="Hyperlink"/>
            <w:noProof/>
          </w:rPr>
          <w:t>Guidance on the use of Biochemical and Molecular Markers in the examination of Distinctness, Uniformity and Stability (DUS)” (Revision) (document TGP/15/2 Draft 2)</w:t>
        </w:r>
        <w:r w:rsidR="00B96335">
          <w:rPr>
            <w:noProof/>
            <w:webHidden/>
          </w:rPr>
          <w:tab/>
        </w:r>
        <w:r w:rsidR="00B96335">
          <w:rPr>
            <w:noProof/>
            <w:webHidden/>
          </w:rPr>
          <w:fldChar w:fldCharType="begin"/>
        </w:r>
        <w:r w:rsidR="00B96335">
          <w:rPr>
            <w:noProof/>
            <w:webHidden/>
          </w:rPr>
          <w:instrText xml:space="preserve"> PAGEREF _Toc21683351 \h </w:instrText>
        </w:r>
        <w:r w:rsidR="00B96335">
          <w:rPr>
            <w:noProof/>
            <w:webHidden/>
          </w:rPr>
        </w:r>
        <w:r w:rsidR="00B96335">
          <w:rPr>
            <w:noProof/>
            <w:webHidden/>
          </w:rPr>
          <w:fldChar w:fldCharType="separate"/>
        </w:r>
        <w:r>
          <w:rPr>
            <w:noProof/>
            <w:webHidden/>
          </w:rPr>
          <w:t>5</w:t>
        </w:r>
        <w:r w:rsidR="00B96335">
          <w:rPr>
            <w:noProof/>
            <w:webHidden/>
          </w:rPr>
          <w:fldChar w:fldCharType="end"/>
        </w:r>
      </w:hyperlink>
    </w:p>
    <w:p w:rsidR="00B96335" w:rsidRDefault="00CE2445" w:rsidP="00FF18C5">
      <w:pPr>
        <w:pStyle w:val="TOC2"/>
        <w:rPr>
          <w:rFonts w:asciiTheme="minorHAnsi" w:eastAsiaTheme="minorEastAsia" w:hAnsiTheme="minorHAnsi" w:cstheme="minorBidi"/>
          <w:noProof/>
          <w:sz w:val="22"/>
          <w:szCs w:val="22"/>
        </w:rPr>
      </w:pPr>
      <w:hyperlink w:anchor="_Toc21683352" w:history="1">
        <w:r w:rsidR="00B96335" w:rsidRPr="003406EA">
          <w:rPr>
            <w:rStyle w:val="Hyperlink"/>
            <w:noProof/>
            <w:snapToGrid w:val="0"/>
          </w:rPr>
          <w:t>Document TGP/0:  List of TGP documents and latest issue dates (Revision) (document TGP/0/11 Draft 1)</w:t>
        </w:r>
        <w:r w:rsidR="00B96335">
          <w:rPr>
            <w:noProof/>
            <w:webHidden/>
          </w:rPr>
          <w:tab/>
        </w:r>
        <w:r w:rsidR="00B96335">
          <w:rPr>
            <w:noProof/>
            <w:webHidden/>
          </w:rPr>
          <w:fldChar w:fldCharType="begin"/>
        </w:r>
        <w:r w:rsidR="00B96335">
          <w:rPr>
            <w:noProof/>
            <w:webHidden/>
          </w:rPr>
          <w:instrText xml:space="preserve"> PAGEREF _Toc21683352 \h </w:instrText>
        </w:r>
        <w:r w:rsidR="00B96335">
          <w:rPr>
            <w:noProof/>
            <w:webHidden/>
          </w:rPr>
        </w:r>
        <w:r w:rsidR="00B96335">
          <w:rPr>
            <w:noProof/>
            <w:webHidden/>
          </w:rPr>
          <w:fldChar w:fldCharType="separate"/>
        </w:r>
        <w:r>
          <w:rPr>
            <w:noProof/>
            <w:webHidden/>
          </w:rPr>
          <w:t>6</w:t>
        </w:r>
        <w:r w:rsidR="00B96335">
          <w:rPr>
            <w:noProof/>
            <w:webHidden/>
          </w:rPr>
          <w:fldChar w:fldCharType="end"/>
        </w:r>
      </w:hyperlink>
    </w:p>
    <w:p w:rsidR="00B96335" w:rsidRDefault="00CE2445">
      <w:pPr>
        <w:pStyle w:val="TOC1"/>
        <w:rPr>
          <w:rFonts w:asciiTheme="minorHAnsi" w:eastAsiaTheme="minorEastAsia" w:hAnsiTheme="minorHAnsi" w:cstheme="minorBidi"/>
          <w:caps w:val="0"/>
          <w:noProof/>
          <w:sz w:val="22"/>
          <w:szCs w:val="22"/>
        </w:rPr>
      </w:pPr>
      <w:hyperlink w:anchor="_Toc21683353" w:history="1">
        <w:r w:rsidR="00B96335" w:rsidRPr="003406EA">
          <w:rPr>
            <w:rStyle w:val="Hyperlink"/>
            <w:noProof/>
          </w:rPr>
          <w:t>possible future revisions of tgp documents</w:t>
        </w:r>
        <w:r w:rsidR="00B96335">
          <w:rPr>
            <w:noProof/>
            <w:webHidden/>
          </w:rPr>
          <w:tab/>
        </w:r>
        <w:r w:rsidR="00B96335">
          <w:rPr>
            <w:noProof/>
            <w:webHidden/>
          </w:rPr>
          <w:fldChar w:fldCharType="begin"/>
        </w:r>
        <w:r w:rsidR="00B96335">
          <w:rPr>
            <w:noProof/>
            <w:webHidden/>
          </w:rPr>
          <w:instrText xml:space="preserve"> PAGEREF _Toc21683353 \h </w:instrText>
        </w:r>
        <w:r w:rsidR="00B96335">
          <w:rPr>
            <w:noProof/>
            <w:webHidden/>
          </w:rPr>
        </w:r>
        <w:r w:rsidR="00B96335">
          <w:rPr>
            <w:noProof/>
            <w:webHidden/>
          </w:rPr>
          <w:fldChar w:fldCharType="separate"/>
        </w:r>
        <w:r>
          <w:rPr>
            <w:noProof/>
            <w:webHidden/>
          </w:rPr>
          <w:t>6</w:t>
        </w:r>
        <w:r w:rsidR="00B96335">
          <w:rPr>
            <w:noProof/>
            <w:webHidden/>
          </w:rPr>
          <w:fldChar w:fldCharType="end"/>
        </w:r>
      </w:hyperlink>
    </w:p>
    <w:p w:rsidR="00B96335" w:rsidRDefault="00CE2445" w:rsidP="00FF18C5">
      <w:pPr>
        <w:pStyle w:val="TOC2"/>
        <w:rPr>
          <w:rFonts w:asciiTheme="minorHAnsi" w:eastAsiaTheme="minorEastAsia" w:hAnsiTheme="minorHAnsi" w:cstheme="minorBidi"/>
          <w:noProof/>
          <w:sz w:val="22"/>
          <w:szCs w:val="22"/>
        </w:rPr>
      </w:pPr>
      <w:hyperlink w:anchor="_Toc21683354" w:history="1">
        <w:r w:rsidR="00B96335" w:rsidRPr="003406EA">
          <w:rPr>
            <w:rStyle w:val="Hyperlink"/>
            <w:noProof/>
          </w:rPr>
          <w:t>Matters to be considered by the Technical Committee</w:t>
        </w:r>
        <w:r w:rsidR="00B96335">
          <w:rPr>
            <w:noProof/>
            <w:webHidden/>
          </w:rPr>
          <w:tab/>
        </w:r>
        <w:r w:rsidR="00B96335">
          <w:rPr>
            <w:noProof/>
            <w:webHidden/>
          </w:rPr>
          <w:fldChar w:fldCharType="begin"/>
        </w:r>
        <w:r w:rsidR="00B96335">
          <w:rPr>
            <w:noProof/>
            <w:webHidden/>
          </w:rPr>
          <w:instrText xml:space="preserve"> PAGEREF _Toc21683354 \h </w:instrText>
        </w:r>
        <w:r w:rsidR="00B96335">
          <w:rPr>
            <w:noProof/>
            <w:webHidden/>
          </w:rPr>
        </w:r>
        <w:r w:rsidR="00B96335">
          <w:rPr>
            <w:noProof/>
            <w:webHidden/>
          </w:rPr>
          <w:fldChar w:fldCharType="separate"/>
        </w:r>
        <w:r>
          <w:rPr>
            <w:noProof/>
            <w:webHidden/>
          </w:rPr>
          <w:t>6</w:t>
        </w:r>
        <w:r w:rsidR="00B96335">
          <w:rPr>
            <w:noProof/>
            <w:webHidden/>
          </w:rPr>
          <w:fldChar w:fldCharType="end"/>
        </w:r>
      </w:hyperlink>
    </w:p>
    <w:p w:rsidR="00B96335" w:rsidRDefault="00CE2445" w:rsidP="00547C92">
      <w:pPr>
        <w:pStyle w:val="TOC3"/>
        <w:rPr>
          <w:rFonts w:asciiTheme="minorHAnsi" w:eastAsiaTheme="minorEastAsia" w:hAnsiTheme="minorHAnsi" w:cstheme="minorBidi"/>
          <w:noProof/>
          <w:sz w:val="22"/>
          <w:szCs w:val="22"/>
          <w:lang w:val="en-US"/>
        </w:rPr>
      </w:pPr>
      <w:hyperlink w:anchor="_Toc21683355" w:history="1">
        <w:r w:rsidR="00B96335" w:rsidRPr="003406EA">
          <w:rPr>
            <w:rStyle w:val="Hyperlink"/>
            <w:noProof/>
          </w:rPr>
          <w:t>TGP/7: Development of Test Guidelines</w:t>
        </w:r>
        <w:r w:rsidR="00B96335">
          <w:rPr>
            <w:noProof/>
            <w:webHidden/>
          </w:rPr>
          <w:tab/>
        </w:r>
        <w:r w:rsidR="00B96335">
          <w:rPr>
            <w:noProof/>
            <w:webHidden/>
          </w:rPr>
          <w:fldChar w:fldCharType="begin"/>
        </w:r>
        <w:r w:rsidR="00B96335">
          <w:rPr>
            <w:noProof/>
            <w:webHidden/>
          </w:rPr>
          <w:instrText xml:space="preserve"> PAGEREF _Toc21683355 \h </w:instrText>
        </w:r>
        <w:r w:rsidR="00B96335">
          <w:rPr>
            <w:noProof/>
            <w:webHidden/>
          </w:rPr>
        </w:r>
        <w:r w:rsidR="00B96335">
          <w:rPr>
            <w:noProof/>
            <w:webHidden/>
          </w:rPr>
          <w:fldChar w:fldCharType="separate"/>
        </w:r>
        <w:r>
          <w:rPr>
            <w:noProof/>
            <w:webHidden/>
          </w:rPr>
          <w:t>6</w:t>
        </w:r>
        <w:r w:rsidR="00B96335">
          <w:rPr>
            <w:noProof/>
            <w:webHidden/>
          </w:rPr>
          <w:fldChar w:fldCharType="end"/>
        </w:r>
      </w:hyperlink>
    </w:p>
    <w:p w:rsidR="00B96335" w:rsidRDefault="00CE2445">
      <w:pPr>
        <w:pStyle w:val="TOC4"/>
        <w:rPr>
          <w:rFonts w:asciiTheme="minorHAnsi" w:eastAsiaTheme="minorEastAsia" w:hAnsiTheme="minorHAnsi" w:cstheme="minorBidi"/>
          <w:i w:val="0"/>
          <w:noProof/>
          <w:sz w:val="22"/>
          <w:szCs w:val="22"/>
          <w:lang w:val="en-US"/>
        </w:rPr>
      </w:pPr>
      <w:hyperlink w:anchor="_Toc21683356" w:history="1">
        <w:r w:rsidR="00B96335" w:rsidRPr="003406EA">
          <w:rPr>
            <w:rStyle w:val="Hyperlink"/>
            <w:rFonts w:eastAsia="MS Mincho"/>
            <w:noProof/>
            <w:lang w:val="en-US"/>
          </w:rPr>
          <w:t>Characteristics which only apply to certain varieties</w:t>
        </w:r>
        <w:r w:rsidR="00B96335">
          <w:rPr>
            <w:noProof/>
            <w:webHidden/>
          </w:rPr>
          <w:tab/>
        </w:r>
        <w:r w:rsidR="00B96335">
          <w:rPr>
            <w:noProof/>
            <w:webHidden/>
          </w:rPr>
          <w:fldChar w:fldCharType="begin"/>
        </w:r>
        <w:r w:rsidR="00B96335">
          <w:rPr>
            <w:noProof/>
            <w:webHidden/>
          </w:rPr>
          <w:instrText xml:space="preserve"> PAGEREF _Toc21683356 \h </w:instrText>
        </w:r>
        <w:r w:rsidR="00B96335">
          <w:rPr>
            <w:noProof/>
            <w:webHidden/>
          </w:rPr>
        </w:r>
        <w:r w:rsidR="00B96335">
          <w:rPr>
            <w:noProof/>
            <w:webHidden/>
          </w:rPr>
          <w:fldChar w:fldCharType="separate"/>
        </w:r>
        <w:r>
          <w:rPr>
            <w:noProof/>
            <w:webHidden/>
          </w:rPr>
          <w:t>6</w:t>
        </w:r>
        <w:r w:rsidR="00B96335">
          <w:rPr>
            <w:noProof/>
            <w:webHidden/>
          </w:rPr>
          <w:fldChar w:fldCharType="end"/>
        </w:r>
      </w:hyperlink>
    </w:p>
    <w:p w:rsidR="00B96335" w:rsidRDefault="00CE2445" w:rsidP="00547C92">
      <w:pPr>
        <w:pStyle w:val="TOC3"/>
        <w:rPr>
          <w:rFonts w:asciiTheme="minorHAnsi" w:eastAsiaTheme="minorEastAsia" w:hAnsiTheme="minorHAnsi" w:cstheme="minorBidi"/>
          <w:noProof/>
          <w:sz w:val="22"/>
          <w:szCs w:val="22"/>
          <w:lang w:val="en-US"/>
        </w:rPr>
      </w:pPr>
      <w:hyperlink w:anchor="_Toc21683357" w:history="1">
        <w:r w:rsidR="00B96335" w:rsidRPr="003406EA">
          <w:rPr>
            <w:rStyle w:val="Hyperlink"/>
            <w:noProof/>
          </w:rPr>
          <w:t xml:space="preserve">TGP/8: Trial Design and Techniques Used in the Examination of Distinctness, </w:t>
        </w:r>
        <w:bookmarkStart w:id="4" w:name="_GoBack"/>
        <w:bookmarkEnd w:id="4"/>
        <w:r w:rsidR="00B96335" w:rsidRPr="003406EA">
          <w:rPr>
            <w:rStyle w:val="Hyperlink"/>
            <w:noProof/>
          </w:rPr>
          <w:t>Uniformity and Stability</w:t>
        </w:r>
        <w:r w:rsidR="00B96335">
          <w:rPr>
            <w:noProof/>
            <w:webHidden/>
          </w:rPr>
          <w:tab/>
        </w:r>
        <w:r w:rsidR="00B96335">
          <w:rPr>
            <w:noProof/>
            <w:webHidden/>
          </w:rPr>
          <w:fldChar w:fldCharType="begin"/>
        </w:r>
        <w:r w:rsidR="00B96335">
          <w:rPr>
            <w:noProof/>
            <w:webHidden/>
          </w:rPr>
          <w:instrText xml:space="preserve"> PAGEREF _Toc21683357 \h </w:instrText>
        </w:r>
        <w:r w:rsidR="00B96335">
          <w:rPr>
            <w:noProof/>
            <w:webHidden/>
          </w:rPr>
        </w:r>
        <w:r w:rsidR="00B96335">
          <w:rPr>
            <w:noProof/>
            <w:webHidden/>
          </w:rPr>
          <w:fldChar w:fldCharType="separate"/>
        </w:r>
        <w:r>
          <w:rPr>
            <w:noProof/>
            <w:webHidden/>
          </w:rPr>
          <w:t>6</w:t>
        </w:r>
        <w:r w:rsidR="00B96335">
          <w:rPr>
            <w:noProof/>
            <w:webHidden/>
          </w:rPr>
          <w:fldChar w:fldCharType="end"/>
        </w:r>
      </w:hyperlink>
    </w:p>
    <w:p w:rsidR="00B96335" w:rsidRDefault="00CE2445">
      <w:pPr>
        <w:pStyle w:val="TOC4"/>
        <w:rPr>
          <w:rFonts w:asciiTheme="minorHAnsi" w:eastAsiaTheme="minorEastAsia" w:hAnsiTheme="minorHAnsi" w:cstheme="minorBidi"/>
          <w:i w:val="0"/>
          <w:noProof/>
          <w:sz w:val="22"/>
          <w:szCs w:val="22"/>
          <w:lang w:val="en-US"/>
        </w:rPr>
      </w:pPr>
      <w:hyperlink w:anchor="_Toc21683358" w:history="1">
        <w:r w:rsidR="00B96335" w:rsidRPr="003406EA">
          <w:rPr>
            <w:rStyle w:val="Hyperlink"/>
            <w:rFonts w:eastAsia="MS Mincho"/>
            <w:noProof/>
            <w:lang w:val="en-US"/>
          </w:rPr>
          <w:t>The Combined-Over-Years Uniformity Criterion (COYU)</w:t>
        </w:r>
        <w:r w:rsidR="00B96335">
          <w:rPr>
            <w:noProof/>
            <w:webHidden/>
          </w:rPr>
          <w:tab/>
        </w:r>
        <w:r w:rsidR="00B96335">
          <w:rPr>
            <w:noProof/>
            <w:webHidden/>
          </w:rPr>
          <w:fldChar w:fldCharType="begin"/>
        </w:r>
        <w:r w:rsidR="00B96335">
          <w:rPr>
            <w:noProof/>
            <w:webHidden/>
          </w:rPr>
          <w:instrText xml:space="preserve"> PAGEREF _Toc21683358 \h </w:instrText>
        </w:r>
        <w:r w:rsidR="00B96335">
          <w:rPr>
            <w:noProof/>
            <w:webHidden/>
          </w:rPr>
        </w:r>
        <w:r w:rsidR="00B96335">
          <w:rPr>
            <w:noProof/>
            <w:webHidden/>
          </w:rPr>
          <w:fldChar w:fldCharType="separate"/>
        </w:r>
        <w:r>
          <w:rPr>
            <w:noProof/>
            <w:webHidden/>
          </w:rPr>
          <w:t>6</w:t>
        </w:r>
        <w:r w:rsidR="00B96335">
          <w:rPr>
            <w:noProof/>
            <w:webHidden/>
          </w:rPr>
          <w:fldChar w:fldCharType="end"/>
        </w:r>
      </w:hyperlink>
    </w:p>
    <w:p w:rsidR="00B96335" w:rsidRDefault="00CE2445">
      <w:pPr>
        <w:pStyle w:val="TOC4"/>
        <w:rPr>
          <w:rFonts w:asciiTheme="minorHAnsi" w:eastAsiaTheme="minorEastAsia" w:hAnsiTheme="minorHAnsi" w:cstheme="minorBidi"/>
          <w:i w:val="0"/>
          <w:noProof/>
          <w:sz w:val="22"/>
          <w:szCs w:val="22"/>
          <w:lang w:val="en-US"/>
        </w:rPr>
      </w:pPr>
      <w:hyperlink w:anchor="_Toc21683359" w:history="1">
        <w:r w:rsidR="00B96335" w:rsidRPr="003406EA">
          <w:rPr>
            <w:rStyle w:val="Hyperlink"/>
            <w:rFonts w:eastAsia="MS Mincho"/>
            <w:noProof/>
            <w:lang w:val="en-US"/>
          </w:rPr>
          <w:t>Data Processing for the Assessment of Distinctness and for Producing Variety Descriptions</w:t>
        </w:r>
        <w:r w:rsidR="00B96335">
          <w:rPr>
            <w:noProof/>
            <w:webHidden/>
          </w:rPr>
          <w:tab/>
        </w:r>
        <w:r w:rsidR="00B96335">
          <w:rPr>
            <w:noProof/>
            <w:webHidden/>
          </w:rPr>
          <w:fldChar w:fldCharType="begin"/>
        </w:r>
        <w:r w:rsidR="00B96335">
          <w:rPr>
            <w:noProof/>
            <w:webHidden/>
          </w:rPr>
          <w:instrText xml:space="preserve"> PAGEREF _Toc21683359 \h </w:instrText>
        </w:r>
        <w:r w:rsidR="00B96335">
          <w:rPr>
            <w:noProof/>
            <w:webHidden/>
          </w:rPr>
        </w:r>
        <w:r w:rsidR="00B96335">
          <w:rPr>
            <w:noProof/>
            <w:webHidden/>
          </w:rPr>
          <w:fldChar w:fldCharType="separate"/>
        </w:r>
        <w:r>
          <w:rPr>
            <w:noProof/>
            <w:webHidden/>
          </w:rPr>
          <w:t>7</w:t>
        </w:r>
        <w:r w:rsidR="00B96335">
          <w:rPr>
            <w:noProof/>
            <w:webHidden/>
          </w:rPr>
          <w:fldChar w:fldCharType="end"/>
        </w:r>
      </w:hyperlink>
    </w:p>
    <w:p w:rsidR="00B96335" w:rsidRDefault="00CE2445" w:rsidP="00547C92">
      <w:pPr>
        <w:pStyle w:val="TOC3"/>
        <w:rPr>
          <w:rFonts w:asciiTheme="minorHAnsi" w:eastAsiaTheme="minorEastAsia" w:hAnsiTheme="minorHAnsi" w:cstheme="minorBidi"/>
          <w:noProof/>
          <w:sz w:val="22"/>
          <w:szCs w:val="22"/>
          <w:lang w:val="en-US"/>
        </w:rPr>
      </w:pPr>
      <w:hyperlink w:anchor="_Toc21683360" w:history="1">
        <w:r w:rsidR="00B96335" w:rsidRPr="003406EA">
          <w:rPr>
            <w:rStyle w:val="Hyperlink"/>
            <w:noProof/>
          </w:rPr>
          <w:t>TGP/14: Glossary of Terms Used in UPOV Documents</w:t>
        </w:r>
        <w:r w:rsidR="00B96335">
          <w:rPr>
            <w:noProof/>
            <w:webHidden/>
          </w:rPr>
          <w:tab/>
        </w:r>
        <w:r w:rsidR="00B96335">
          <w:rPr>
            <w:noProof/>
            <w:webHidden/>
          </w:rPr>
          <w:fldChar w:fldCharType="begin"/>
        </w:r>
        <w:r w:rsidR="00B96335">
          <w:rPr>
            <w:noProof/>
            <w:webHidden/>
          </w:rPr>
          <w:instrText xml:space="preserve"> PAGEREF _Toc21683360 \h </w:instrText>
        </w:r>
        <w:r w:rsidR="00B96335">
          <w:rPr>
            <w:noProof/>
            <w:webHidden/>
          </w:rPr>
        </w:r>
        <w:r w:rsidR="00B96335">
          <w:rPr>
            <w:noProof/>
            <w:webHidden/>
          </w:rPr>
          <w:fldChar w:fldCharType="separate"/>
        </w:r>
        <w:r>
          <w:rPr>
            <w:noProof/>
            <w:webHidden/>
          </w:rPr>
          <w:t>7</w:t>
        </w:r>
        <w:r w:rsidR="00B96335">
          <w:rPr>
            <w:noProof/>
            <w:webHidden/>
          </w:rPr>
          <w:fldChar w:fldCharType="end"/>
        </w:r>
      </w:hyperlink>
    </w:p>
    <w:p w:rsidR="00B96335" w:rsidRDefault="00CE2445">
      <w:pPr>
        <w:pStyle w:val="TOC4"/>
        <w:rPr>
          <w:rFonts w:asciiTheme="minorHAnsi" w:eastAsiaTheme="minorEastAsia" w:hAnsiTheme="minorHAnsi" w:cstheme="minorBidi"/>
          <w:i w:val="0"/>
          <w:noProof/>
          <w:sz w:val="22"/>
          <w:szCs w:val="22"/>
          <w:lang w:val="en-US"/>
        </w:rPr>
      </w:pPr>
      <w:hyperlink w:anchor="_Toc21683361" w:history="1">
        <w:r w:rsidR="00B96335" w:rsidRPr="003406EA">
          <w:rPr>
            <w:rStyle w:val="Hyperlink"/>
            <w:rFonts w:eastAsia="MS Mincho"/>
            <w:noProof/>
            <w:lang w:val="en-US"/>
          </w:rPr>
          <w:t>Color names for the RHS Colour Chart</w:t>
        </w:r>
        <w:r w:rsidR="00B96335">
          <w:rPr>
            <w:noProof/>
            <w:webHidden/>
          </w:rPr>
          <w:tab/>
        </w:r>
        <w:r w:rsidR="00B96335">
          <w:rPr>
            <w:noProof/>
            <w:webHidden/>
          </w:rPr>
          <w:fldChar w:fldCharType="begin"/>
        </w:r>
        <w:r w:rsidR="00B96335">
          <w:rPr>
            <w:noProof/>
            <w:webHidden/>
          </w:rPr>
          <w:instrText xml:space="preserve"> PAGEREF _Toc21683361 \h </w:instrText>
        </w:r>
        <w:r w:rsidR="00B96335">
          <w:rPr>
            <w:noProof/>
            <w:webHidden/>
          </w:rPr>
        </w:r>
        <w:r w:rsidR="00B96335">
          <w:rPr>
            <w:noProof/>
            <w:webHidden/>
          </w:rPr>
          <w:fldChar w:fldCharType="separate"/>
        </w:r>
        <w:r>
          <w:rPr>
            <w:noProof/>
            <w:webHidden/>
          </w:rPr>
          <w:t>7</w:t>
        </w:r>
        <w:r w:rsidR="00B96335">
          <w:rPr>
            <w:noProof/>
            <w:webHidden/>
          </w:rPr>
          <w:fldChar w:fldCharType="end"/>
        </w:r>
      </w:hyperlink>
    </w:p>
    <w:p w:rsidR="00B96335" w:rsidRDefault="00CE2445" w:rsidP="00547C92">
      <w:pPr>
        <w:pStyle w:val="TOC3"/>
        <w:rPr>
          <w:rFonts w:asciiTheme="minorHAnsi" w:eastAsiaTheme="minorEastAsia" w:hAnsiTheme="minorHAnsi" w:cstheme="minorBidi"/>
          <w:noProof/>
          <w:sz w:val="22"/>
          <w:szCs w:val="22"/>
          <w:lang w:val="en-US"/>
        </w:rPr>
      </w:pPr>
      <w:hyperlink w:anchor="_Toc21683362" w:history="1">
        <w:r w:rsidR="00B96335" w:rsidRPr="003406EA">
          <w:rPr>
            <w:rStyle w:val="Hyperlink"/>
            <w:noProof/>
          </w:rPr>
          <w:t>TGP/15: Guidance on the Use of Biochemical and Molecular Markers in the Examination of Distinctness, Uniformity and Stability (DUS)</w:t>
        </w:r>
        <w:r w:rsidR="00B96335">
          <w:rPr>
            <w:noProof/>
            <w:webHidden/>
          </w:rPr>
          <w:tab/>
        </w:r>
        <w:r w:rsidR="00B96335">
          <w:rPr>
            <w:noProof/>
            <w:webHidden/>
          </w:rPr>
          <w:fldChar w:fldCharType="begin"/>
        </w:r>
        <w:r w:rsidR="00B96335">
          <w:rPr>
            <w:noProof/>
            <w:webHidden/>
          </w:rPr>
          <w:instrText xml:space="preserve"> PAGEREF _Toc21683362 \h </w:instrText>
        </w:r>
        <w:r w:rsidR="00B96335">
          <w:rPr>
            <w:noProof/>
            <w:webHidden/>
          </w:rPr>
        </w:r>
        <w:r w:rsidR="00B96335">
          <w:rPr>
            <w:noProof/>
            <w:webHidden/>
          </w:rPr>
          <w:fldChar w:fldCharType="separate"/>
        </w:r>
        <w:r>
          <w:rPr>
            <w:noProof/>
            <w:webHidden/>
          </w:rPr>
          <w:t>7</w:t>
        </w:r>
        <w:r w:rsidR="00B96335">
          <w:rPr>
            <w:noProof/>
            <w:webHidden/>
          </w:rPr>
          <w:fldChar w:fldCharType="end"/>
        </w:r>
      </w:hyperlink>
    </w:p>
    <w:p w:rsidR="00B96335" w:rsidRDefault="00CE2445">
      <w:pPr>
        <w:pStyle w:val="TOC4"/>
        <w:rPr>
          <w:rFonts w:asciiTheme="minorHAnsi" w:eastAsiaTheme="minorEastAsia" w:hAnsiTheme="minorHAnsi" w:cstheme="minorBidi"/>
          <w:i w:val="0"/>
          <w:noProof/>
          <w:sz w:val="22"/>
          <w:szCs w:val="22"/>
          <w:lang w:val="en-US"/>
        </w:rPr>
      </w:pPr>
      <w:hyperlink w:anchor="_Toc21683363" w:history="1">
        <w:r w:rsidR="00B96335" w:rsidRPr="003406EA">
          <w:rPr>
            <w:rStyle w:val="Hyperlink"/>
            <w:rFonts w:eastAsia="MS Mincho"/>
            <w:noProof/>
            <w:lang w:val="en-US"/>
          </w:rPr>
          <w:t>New example: Characteristic-specific marker with incomplete information on state of expression</w:t>
        </w:r>
        <w:r w:rsidR="00B96335">
          <w:rPr>
            <w:noProof/>
            <w:webHidden/>
          </w:rPr>
          <w:tab/>
        </w:r>
        <w:r w:rsidR="00B96335">
          <w:rPr>
            <w:noProof/>
            <w:webHidden/>
          </w:rPr>
          <w:fldChar w:fldCharType="begin"/>
        </w:r>
        <w:r w:rsidR="00B96335">
          <w:rPr>
            <w:noProof/>
            <w:webHidden/>
          </w:rPr>
          <w:instrText xml:space="preserve"> PAGEREF _Toc21683363 \h </w:instrText>
        </w:r>
        <w:r w:rsidR="00B96335">
          <w:rPr>
            <w:noProof/>
            <w:webHidden/>
          </w:rPr>
        </w:r>
        <w:r w:rsidR="00B96335">
          <w:rPr>
            <w:noProof/>
            <w:webHidden/>
          </w:rPr>
          <w:fldChar w:fldCharType="separate"/>
        </w:r>
        <w:r>
          <w:rPr>
            <w:noProof/>
            <w:webHidden/>
          </w:rPr>
          <w:t>7</w:t>
        </w:r>
        <w:r w:rsidR="00B96335">
          <w:rPr>
            <w:noProof/>
            <w:webHidden/>
          </w:rPr>
          <w:fldChar w:fldCharType="end"/>
        </w:r>
      </w:hyperlink>
    </w:p>
    <w:p w:rsidR="00B96335" w:rsidRDefault="00CE2445">
      <w:pPr>
        <w:pStyle w:val="TOC1"/>
        <w:rPr>
          <w:rFonts w:asciiTheme="minorHAnsi" w:eastAsiaTheme="minorEastAsia" w:hAnsiTheme="minorHAnsi" w:cstheme="minorBidi"/>
          <w:caps w:val="0"/>
          <w:noProof/>
          <w:sz w:val="22"/>
          <w:szCs w:val="22"/>
        </w:rPr>
      </w:pPr>
      <w:hyperlink w:anchor="_Toc21683364" w:history="1">
        <w:r w:rsidR="00B96335" w:rsidRPr="003406EA">
          <w:rPr>
            <w:rStyle w:val="Hyperlink"/>
            <w:noProof/>
          </w:rPr>
          <w:t>new proposals for revisions of TGP documents</w:t>
        </w:r>
        <w:r w:rsidR="00B96335">
          <w:rPr>
            <w:noProof/>
            <w:webHidden/>
          </w:rPr>
          <w:tab/>
        </w:r>
        <w:r w:rsidR="00B96335">
          <w:rPr>
            <w:noProof/>
            <w:webHidden/>
          </w:rPr>
          <w:fldChar w:fldCharType="begin"/>
        </w:r>
        <w:r w:rsidR="00B96335">
          <w:rPr>
            <w:noProof/>
            <w:webHidden/>
          </w:rPr>
          <w:instrText xml:space="preserve"> PAGEREF _Toc21683364 \h </w:instrText>
        </w:r>
        <w:r w:rsidR="00B96335">
          <w:rPr>
            <w:noProof/>
            <w:webHidden/>
          </w:rPr>
        </w:r>
        <w:r w:rsidR="00B96335">
          <w:rPr>
            <w:noProof/>
            <w:webHidden/>
          </w:rPr>
          <w:fldChar w:fldCharType="separate"/>
        </w:r>
        <w:r>
          <w:rPr>
            <w:noProof/>
            <w:webHidden/>
          </w:rPr>
          <w:t>7</w:t>
        </w:r>
        <w:r w:rsidR="00B96335">
          <w:rPr>
            <w:noProof/>
            <w:webHidden/>
          </w:rPr>
          <w:fldChar w:fldCharType="end"/>
        </w:r>
      </w:hyperlink>
    </w:p>
    <w:p w:rsidR="00B96335" w:rsidRDefault="00CE2445" w:rsidP="00547C92">
      <w:pPr>
        <w:pStyle w:val="TOC2"/>
        <w:rPr>
          <w:rFonts w:asciiTheme="minorHAnsi" w:eastAsiaTheme="minorEastAsia" w:hAnsiTheme="minorHAnsi" w:cstheme="minorBidi"/>
          <w:noProof/>
          <w:sz w:val="22"/>
          <w:szCs w:val="22"/>
        </w:rPr>
      </w:pPr>
      <w:hyperlink w:anchor="_Toc21683365" w:history="1">
        <w:r w:rsidR="00B96335" w:rsidRPr="003406EA">
          <w:rPr>
            <w:rStyle w:val="Hyperlink"/>
            <w:noProof/>
          </w:rPr>
          <w:t>TGP/7: Development of Test Guidelines</w:t>
        </w:r>
        <w:r w:rsidR="00B96335">
          <w:rPr>
            <w:noProof/>
            <w:webHidden/>
          </w:rPr>
          <w:tab/>
        </w:r>
        <w:r w:rsidR="00B96335">
          <w:rPr>
            <w:noProof/>
            <w:webHidden/>
          </w:rPr>
          <w:fldChar w:fldCharType="begin"/>
        </w:r>
        <w:r w:rsidR="00B96335">
          <w:rPr>
            <w:noProof/>
            <w:webHidden/>
          </w:rPr>
          <w:instrText xml:space="preserve"> PAGEREF _Toc21683365 \h </w:instrText>
        </w:r>
        <w:r w:rsidR="00B96335">
          <w:rPr>
            <w:noProof/>
            <w:webHidden/>
          </w:rPr>
        </w:r>
        <w:r w:rsidR="00B96335">
          <w:rPr>
            <w:noProof/>
            <w:webHidden/>
          </w:rPr>
          <w:fldChar w:fldCharType="separate"/>
        </w:r>
        <w:r>
          <w:rPr>
            <w:noProof/>
            <w:webHidden/>
          </w:rPr>
          <w:t>7</w:t>
        </w:r>
        <w:r w:rsidR="00B96335">
          <w:rPr>
            <w:noProof/>
            <w:webHidden/>
          </w:rPr>
          <w:fldChar w:fldCharType="end"/>
        </w:r>
      </w:hyperlink>
    </w:p>
    <w:p w:rsidR="00B96335" w:rsidRDefault="00CE2445" w:rsidP="00547C92">
      <w:pPr>
        <w:pStyle w:val="TOC3"/>
        <w:rPr>
          <w:rFonts w:asciiTheme="minorHAnsi" w:eastAsiaTheme="minorEastAsia" w:hAnsiTheme="minorHAnsi" w:cstheme="minorBidi"/>
          <w:noProof/>
          <w:sz w:val="22"/>
          <w:szCs w:val="22"/>
          <w:lang w:val="en-US"/>
        </w:rPr>
      </w:pPr>
      <w:hyperlink w:anchor="_Toc21683366" w:history="1">
        <w:r w:rsidR="00B96335" w:rsidRPr="003406EA">
          <w:rPr>
            <w:rStyle w:val="Hyperlink"/>
            <w:rFonts w:eastAsia="MS Mincho"/>
            <w:noProof/>
          </w:rPr>
          <w:t>Procedure for partial revision of UPOV Test Guidelines</w:t>
        </w:r>
        <w:r w:rsidR="00B96335">
          <w:rPr>
            <w:noProof/>
            <w:webHidden/>
          </w:rPr>
          <w:tab/>
        </w:r>
        <w:r w:rsidR="00B96335">
          <w:rPr>
            <w:noProof/>
            <w:webHidden/>
          </w:rPr>
          <w:fldChar w:fldCharType="begin"/>
        </w:r>
        <w:r w:rsidR="00B96335">
          <w:rPr>
            <w:noProof/>
            <w:webHidden/>
          </w:rPr>
          <w:instrText xml:space="preserve"> PAGEREF _Toc21683366 \h </w:instrText>
        </w:r>
        <w:r w:rsidR="00B96335">
          <w:rPr>
            <w:noProof/>
            <w:webHidden/>
          </w:rPr>
        </w:r>
        <w:r w:rsidR="00B96335">
          <w:rPr>
            <w:noProof/>
            <w:webHidden/>
          </w:rPr>
          <w:fldChar w:fldCharType="separate"/>
        </w:r>
        <w:r>
          <w:rPr>
            <w:noProof/>
            <w:webHidden/>
          </w:rPr>
          <w:t>7</w:t>
        </w:r>
        <w:r w:rsidR="00B96335">
          <w:rPr>
            <w:noProof/>
            <w:webHidden/>
          </w:rPr>
          <w:fldChar w:fldCharType="end"/>
        </w:r>
      </w:hyperlink>
    </w:p>
    <w:p w:rsidR="00B96335" w:rsidRDefault="00CE2445">
      <w:pPr>
        <w:pStyle w:val="TOC4"/>
        <w:rPr>
          <w:rFonts w:asciiTheme="minorHAnsi" w:eastAsiaTheme="minorEastAsia" w:hAnsiTheme="minorHAnsi" w:cstheme="minorBidi"/>
          <w:i w:val="0"/>
          <w:noProof/>
          <w:sz w:val="22"/>
          <w:szCs w:val="22"/>
          <w:lang w:val="en-US"/>
        </w:rPr>
      </w:pPr>
      <w:hyperlink w:anchor="_Toc21683367" w:history="1">
        <w:r w:rsidR="00B96335" w:rsidRPr="003406EA">
          <w:rPr>
            <w:rStyle w:val="Hyperlink"/>
            <w:noProof/>
            <w:lang w:val="en-US"/>
          </w:rPr>
          <w:t>Comments by the Technical Working Party for Fruit Crops</w:t>
        </w:r>
        <w:r w:rsidR="00B96335">
          <w:rPr>
            <w:noProof/>
            <w:webHidden/>
          </w:rPr>
          <w:tab/>
        </w:r>
        <w:r w:rsidR="00B96335">
          <w:rPr>
            <w:noProof/>
            <w:webHidden/>
          </w:rPr>
          <w:fldChar w:fldCharType="begin"/>
        </w:r>
        <w:r w:rsidR="00B96335">
          <w:rPr>
            <w:noProof/>
            <w:webHidden/>
          </w:rPr>
          <w:instrText xml:space="preserve"> PAGEREF _Toc21683367 \h </w:instrText>
        </w:r>
        <w:r w:rsidR="00B96335">
          <w:rPr>
            <w:noProof/>
            <w:webHidden/>
          </w:rPr>
        </w:r>
        <w:r w:rsidR="00B96335">
          <w:rPr>
            <w:noProof/>
            <w:webHidden/>
          </w:rPr>
          <w:fldChar w:fldCharType="separate"/>
        </w:r>
        <w:r>
          <w:rPr>
            <w:noProof/>
            <w:webHidden/>
          </w:rPr>
          <w:t>8</w:t>
        </w:r>
        <w:r w:rsidR="00B96335">
          <w:rPr>
            <w:noProof/>
            <w:webHidden/>
          </w:rPr>
          <w:fldChar w:fldCharType="end"/>
        </w:r>
      </w:hyperlink>
    </w:p>
    <w:p w:rsidR="00B96335" w:rsidRDefault="00CE2445" w:rsidP="00547C92">
      <w:pPr>
        <w:pStyle w:val="TOC3"/>
        <w:rPr>
          <w:rFonts w:asciiTheme="minorHAnsi" w:eastAsiaTheme="minorEastAsia" w:hAnsiTheme="minorHAnsi" w:cstheme="minorBidi"/>
          <w:noProof/>
          <w:sz w:val="22"/>
          <w:szCs w:val="22"/>
          <w:lang w:val="en-US"/>
        </w:rPr>
      </w:pPr>
      <w:hyperlink w:anchor="_Toc21683368" w:history="1">
        <w:r w:rsidR="00B96335" w:rsidRPr="003406EA">
          <w:rPr>
            <w:rStyle w:val="Hyperlink"/>
            <w:rFonts w:eastAsia="MS Mincho"/>
            <w:noProof/>
          </w:rPr>
          <w:t>Presentation of full scale of notes for quantitative characteristics in Test Guidelines</w:t>
        </w:r>
        <w:r w:rsidR="00B96335">
          <w:rPr>
            <w:noProof/>
            <w:webHidden/>
          </w:rPr>
          <w:tab/>
        </w:r>
        <w:r w:rsidR="00B96335">
          <w:rPr>
            <w:noProof/>
            <w:webHidden/>
          </w:rPr>
          <w:fldChar w:fldCharType="begin"/>
        </w:r>
        <w:r w:rsidR="00B96335">
          <w:rPr>
            <w:noProof/>
            <w:webHidden/>
          </w:rPr>
          <w:instrText xml:space="preserve"> PAGEREF _Toc21683368 \h </w:instrText>
        </w:r>
        <w:r w:rsidR="00B96335">
          <w:rPr>
            <w:noProof/>
            <w:webHidden/>
          </w:rPr>
        </w:r>
        <w:r w:rsidR="00B96335">
          <w:rPr>
            <w:noProof/>
            <w:webHidden/>
          </w:rPr>
          <w:fldChar w:fldCharType="separate"/>
        </w:r>
        <w:r>
          <w:rPr>
            <w:noProof/>
            <w:webHidden/>
          </w:rPr>
          <w:t>8</w:t>
        </w:r>
        <w:r w:rsidR="00B96335">
          <w:rPr>
            <w:noProof/>
            <w:webHidden/>
          </w:rPr>
          <w:fldChar w:fldCharType="end"/>
        </w:r>
      </w:hyperlink>
    </w:p>
    <w:p w:rsidR="00B96335" w:rsidRDefault="00CE2445">
      <w:pPr>
        <w:pStyle w:val="TOC4"/>
        <w:rPr>
          <w:rFonts w:asciiTheme="minorHAnsi" w:eastAsiaTheme="minorEastAsia" w:hAnsiTheme="minorHAnsi" w:cstheme="minorBidi"/>
          <w:i w:val="0"/>
          <w:noProof/>
          <w:sz w:val="22"/>
          <w:szCs w:val="22"/>
          <w:lang w:val="en-US"/>
        </w:rPr>
      </w:pPr>
      <w:hyperlink w:anchor="_Toc21683369" w:history="1">
        <w:r w:rsidR="00B96335" w:rsidRPr="003406EA">
          <w:rPr>
            <w:rStyle w:val="Hyperlink"/>
            <w:rFonts w:eastAsia="Arial"/>
            <w:noProof/>
            <w:lang w:val="en-US"/>
          </w:rPr>
          <w:t>Comments by the TWPs at their sessions in 2019</w:t>
        </w:r>
        <w:r w:rsidR="00B96335">
          <w:rPr>
            <w:noProof/>
            <w:webHidden/>
          </w:rPr>
          <w:tab/>
        </w:r>
        <w:r w:rsidR="00B96335">
          <w:rPr>
            <w:noProof/>
            <w:webHidden/>
          </w:rPr>
          <w:fldChar w:fldCharType="begin"/>
        </w:r>
        <w:r w:rsidR="00B96335">
          <w:rPr>
            <w:noProof/>
            <w:webHidden/>
          </w:rPr>
          <w:instrText xml:space="preserve"> PAGEREF _Toc21683369 \h </w:instrText>
        </w:r>
        <w:r w:rsidR="00B96335">
          <w:rPr>
            <w:noProof/>
            <w:webHidden/>
          </w:rPr>
        </w:r>
        <w:r w:rsidR="00B96335">
          <w:rPr>
            <w:noProof/>
            <w:webHidden/>
          </w:rPr>
          <w:fldChar w:fldCharType="separate"/>
        </w:r>
        <w:r>
          <w:rPr>
            <w:noProof/>
            <w:webHidden/>
          </w:rPr>
          <w:t>9</w:t>
        </w:r>
        <w:r w:rsidR="00B96335">
          <w:rPr>
            <w:noProof/>
            <w:webHidden/>
          </w:rPr>
          <w:fldChar w:fldCharType="end"/>
        </w:r>
      </w:hyperlink>
    </w:p>
    <w:p w:rsidR="00B96335" w:rsidRDefault="00CE2445" w:rsidP="00FF18C5">
      <w:pPr>
        <w:pStyle w:val="TOC2"/>
        <w:rPr>
          <w:rFonts w:asciiTheme="minorHAnsi" w:eastAsiaTheme="minorEastAsia" w:hAnsiTheme="minorHAnsi" w:cstheme="minorBidi"/>
          <w:noProof/>
          <w:sz w:val="22"/>
          <w:szCs w:val="22"/>
        </w:rPr>
      </w:pPr>
      <w:hyperlink w:anchor="_Toc21683370" w:history="1">
        <w:r w:rsidR="00B96335" w:rsidRPr="003406EA">
          <w:rPr>
            <w:rStyle w:val="Hyperlink"/>
            <w:noProof/>
            <w:snapToGrid w:val="0"/>
          </w:rPr>
          <w:t>TGP/12: Guidance on Certain Physiological Characteristics</w:t>
        </w:r>
        <w:r w:rsidR="00B96335">
          <w:rPr>
            <w:noProof/>
            <w:webHidden/>
          </w:rPr>
          <w:tab/>
        </w:r>
        <w:r w:rsidR="00B96335">
          <w:rPr>
            <w:noProof/>
            <w:webHidden/>
          </w:rPr>
          <w:fldChar w:fldCharType="begin"/>
        </w:r>
        <w:r w:rsidR="00B96335">
          <w:rPr>
            <w:noProof/>
            <w:webHidden/>
          </w:rPr>
          <w:instrText xml:space="preserve"> PAGEREF _Toc21683370 \h </w:instrText>
        </w:r>
        <w:r w:rsidR="00B96335">
          <w:rPr>
            <w:noProof/>
            <w:webHidden/>
          </w:rPr>
        </w:r>
        <w:r w:rsidR="00B96335">
          <w:rPr>
            <w:noProof/>
            <w:webHidden/>
          </w:rPr>
          <w:fldChar w:fldCharType="separate"/>
        </w:r>
        <w:r>
          <w:rPr>
            <w:noProof/>
            <w:webHidden/>
          </w:rPr>
          <w:t>10</w:t>
        </w:r>
        <w:r w:rsidR="00B96335">
          <w:rPr>
            <w:noProof/>
            <w:webHidden/>
          </w:rPr>
          <w:fldChar w:fldCharType="end"/>
        </w:r>
      </w:hyperlink>
    </w:p>
    <w:p w:rsidR="00B96335" w:rsidRDefault="00CE2445" w:rsidP="00547C92">
      <w:pPr>
        <w:pStyle w:val="TOC3"/>
        <w:rPr>
          <w:rFonts w:asciiTheme="minorHAnsi" w:eastAsiaTheme="minorEastAsia" w:hAnsiTheme="minorHAnsi" w:cstheme="minorBidi"/>
          <w:noProof/>
          <w:sz w:val="22"/>
          <w:szCs w:val="22"/>
          <w:lang w:val="en-US"/>
        </w:rPr>
      </w:pPr>
      <w:hyperlink w:anchor="_Toc21683371" w:history="1">
        <w:r w:rsidR="00B96335" w:rsidRPr="003406EA">
          <w:rPr>
            <w:rStyle w:val="Hyperlink"/>
            <w:rFonts w:eastAsia="MS Mincho"/>
            <w:noProof/>
          </w:rPr>
          <w:t>Explanations on disease resistance characteristics</w:t>
        </w:r>
        <w:r w:rsidR="00B96335">
          <w:rPr>
            <w:noProof/>
            <w:webHidden/>
          </w:rPr>
          <w:tab/>
        </w:r>
        <w:r w:rsidR="00B96335">
          <w:rPr>
            <w:noProof/>
            <w:webHidden/>
          </w:rPr>
          <w:fldChar w:fldCharType="begin"/>
        </w:r>
        <w:r w:rsidR="00B96335">
          <w:rPr>
            <w:noProof/>
            <w:webHidden/>
          </w:rPr>
          <w:instrText xml:space="preserve"> PAGEREF _Toc21683371 \h </w:instrText>
        </w:r>
        <w:r w:rsidR="00B96335">
          <w:rPr>
            <w:noProof/>
            <w:webHidden/>
          </w:rPr>
        </w:r>
        <w:r w:rsidR="00B96335">
          <w:rPr>
            <w:noProof/>
            <w:webHidden/>
          </w:rPr>
          <w:fldChar w:fldCharType="separate"/>
        </w:r>
        <w:r>
          <w:rPr>
            <w:noProof/>
            <w:webHidden/>
          </w:rPr>
          <w:t>10</w:t>
        </w:r>
        <w:r w:rsidR="00B96335">
          <w:rPr>
            <w:noProof/>
            <w:webHidden/>
          </w:rPr>
          <w:fldChar w:fldCharType="end"/>
        </w:r>
      </w:hyperlink>
    </w:p>
    <w:p w:rsidR="00B96335" w:rsidRDefault="00CE2445">
      <w:pPr>
        <w:pStyle w:val="TOC4"/>
        <w:rPr>
          <w:rFonts w:asciiTheme="minorHAnsi" w:eastAsiaTheme="minorEastAsia" w:hAnsiTheme="minorHAnsi" w:cstheme="minorBidi"/>
          <w:i w:val="0"/>
          <w:noProof/>
          <w:sz w:val="22"/>
          <w:szCs w:val="22"/>
          <w:lang w:val="en-US"/>
        </w:rPr>
      </w:pPr>
      <w:hyperlink w:anchor="_Toc21683372" w:history="1">
        <w:r w:rsidR="00B96335" w:rsidRPr="003406EA">
          <w:rPr>
            <w:rStyle w:val="Hyperlink"/>
            <w:noProof/>
            <w:lang w:val="en-US"/>
          </w:rPr>
          <w:t>Consideration by the Technical Working Party for Vegetables</w:t>
        </w:r>
        <w:r w:rsidR="00B96335">
          <w:rPr>
            <w:noProof/>
            <w:webHidden/>
          </w:rPr>
          <w:tab/>
        </w:r>
        <w:r w:rsidR="00B96335">
          <w:rPr>
            <w:noProof/>
            <w:webHidden/>
          </w:rPr>
          <w:fldChar w:fldCharType="begin"/>
        </w:r>
        <w:r w:rsidR="00B96335">
          <w:rPr>
            <w:noProof/>
            <w:webHidden/>
          </w:rPr>
          <w:instrText xml:space="preserve"> PAGEREF _Toc21683372 \h </w:instrText>
        </w:r>
        <w:r w:rsidR="00B96335">
          <w:rPr>
            <w:noProof/>
            <w:webHidden/>
          </w:rPr>
        </w:r>
        <w:r w:rsidR="00B96335">
          <w:rPr>
            <w:noProof/>
            <w:webHidden/>
          </w:rPr>
          <w:fldChar w:fldCharType="separate"/>
        </w:r>
        <w:r>
          <w:rPr>
            <w:noProof/>
            <w:webHidden/>
          </w:rPr>
          <w:t>10</w:t>
        </w:r>
        <w:r w:rsidR="00B96335">
          <w:rPr>
            <w:noProof/>
            <w:webHidden/>
          </w:rPr>
          <w:fldChar w:fldCharType="end"/>
        </w:r>
      </w:hyperlink>
    </w:p>
    <w:p w:rsidR="00B96335" w:rsidRDefault="00CE2445">
      <w:pPr>
        <w:pStyle w:val="TOC1"/>
        <w:rPr>
          <w:rFonts w:asciiTheme="minorHAnsi" w:eastAsiaTheme="minorEastAsia" w:hAnsiTheme="minorHAnsi" w:cstheme="minorBidi"/>
          <w:caps w:val="0"/>
          <w:noProof/>
          <w:sz w:val="22"/>
          <w:szCs w:val="22"/>
        </w:rPr>
      </w:pPr>
      <w:hyperlink w:anchor="_Toc21683373" w:history="1">
        <w:r w:rsidR="00B96335" w:rsidRPr="003406EA">
          <w:rPr>
            <w:rStyle w:val="Hyperlink"/>
            <w:noProof/>
          </w:rPr>
          <w:t>Program for the development of TGP documents</w:t>
        </w:r>
        <w:r w:rsidR="00B96335">
          <w:rPr>
            <w:noProof/>
            <w:webHidden/>
          </w:rPr>
          <w:tab/>
        </w:r>
        <w:r w:rsidR="00B96335">
          <w:rPr>
            <w:noProof/>
            <w:webHidden/>
          </w:rPr>
          <w:fldChar w:fldCharType="begin"/>
        </w:r>
        <w:r w:rsidR="00B96335">
          <w:rPr>
            <w:noProof/>
            <w:webHidden/>
          </w:rPr>
          <w:instrText xml:space="preserve"> PAGEREF _Toc21683373 \h </w:instrText>
        </w:r>
        <w:r w:rsidR="00B96335">
          <w:rPr>
            <w:noProof/>
            <w:webHidden/>
          </w:rPr>
        </w:r>
        <w:r w:rsidR="00B96335">
          <w:rPr>
            <w:noProof/>
            <w:webHidden/>
          </w:rPr>
          <w:fldChar w:fldCharType="separate"/>
        </w:r>
        <w:r>
          <w:rPr>
            <w:noProof/>
            <w:webHidden/>
          </w:rPr>
          <w:t>11</w:t>
        </w:r>
        <w:r w:rsidR="00B96335">
          <w:rPr>
            <w:noProof/>
            <w:webHidden/>
          </w:rPr>
          <w:fldChar w:fldCharType="end"/>
        </w:r>
      </w:hyperlink>
    </w:p>
    <w:p w:rsidR="009956BC" w:rsidRPr="009956BC" w:rsidRDefault="009956BC" w:rsidP="009956BC">
      <w:pPr>
        <w:rPr>
          <w:noProof/>
          <w:snapToGrid w:val="0"/>
        </w:rPr>
      </w:pPr>
      <w:r w:rsidRPr="009956BC">
        <w:rPr>
          <w:noProof/>
          <w:snapToGrid w:val="0"/>
          <w:highlight w:val="cyan"/>
        </w:rPr>
        <w:fldChar w:fldCharType="end"/>
      </w:r>
    </w:p>
    <w:p w:rsidR="009956BC" w:rsidRPr="009956BC" w:rsidRDefault="009956BC" w:rsidP="009956BC">
      <w:pPr>
        <w:rPr>
          <w:sz w:val="18"/>
        </w:rPr>
      </w:pPr>
      <w:r w:rsidRPr="009956BC">
        <w:rPr>
          <w:sz w:val="18"/>
        </w:rPr>
        <w:t xml:space="preserve">ANNEX </w:t>
      </w:r>
      <w:proofErr w:type="gramStart"/>
      <w:r w:rsidRPr="009956BC">
        <w:rPr>
          <w:sz w:val="18"/>
        </w:rPr>
        <w:t>I</w:t>
      </w:r>
      <w:proofErr w:type="gramEnd"/>
      <w:r w:rsidRPr="009956BC">
        <w:rPr>
          <w:sz w:val="18"/>
        </w:rPr>
        <w:t>:</w:t>
      </w:r>
      <w:r w:rsidRPr="009956BC">
        <w:rPr>
          <w:sz w:val="18"/>
        </w:rPr>
        <w:tab/>
        <w:t xml:space="preserve">Matters for adoption by the Council in 2019: Revisions to document TGP/7 </w:t>
      </w:r>
    </w:p>
    <w:p w:rsidR="009956BC" w:rsidRPr="009956BC" w:rsidRDefault="009956BC" w:rsidP="009956BC">
      <w:pPr>
        <w:rPr>
          <w:sz w:val="18"/>
        </w:rPr>
      </w:pPr>
      <w:r w:rsidRPr="009956BC">
        <w:rPr>
          <w:sz w:val="18"/>
        </w:rPr>
        <w:t>ANNEX II:</w:t>
      </w:r>
      <w:r w:rsidRPr="009956BC">
        <w:rPr>
          <w:sz w:val="18"/>
        </w:rPr>
        <w:tab/>
        <w:t>Matters for adoption by the Council in 2019: New section to document TGP/8</w:t>
      </w:r>
    </w:p>
    <w:p w:rsidR="009956BC" w:rsidRPr="009956BC" w:rsidRDefault="009956BC" w:rsidP="009956BC">
      <w:pPr>
        <w:rPr>
          <w:sz w:val="18"/>
        </w:rPr>
      </w:pPr>
      <w:bookmarkStart w:id="5" w:name="_Toc386185971"/>
      <w:bookmarkStart w:id="6" w:name="_Toc419124859"/>
      <w:r w:rsidRPr="009956BC">
        <w:rPr>
          <w:sz w:val="18"/>
        </w:rPr>
        <w:t>ANNEX III:</w:t>
      </w:r>
      <w:r w:rsidRPr="009956BC">
        <w:rPr>
          <w:sz w:val="18"/>
        </w:rPr>
        <w:tab/>
        <w:t>Matters for adoption by the Council in 2019: New sections to document TGP/10</w:t>
      </w:r>
    </w:p>
    <w:p w:rsidR="009956BC" w:rsidRPr="009956BC" w:rsidRDefault="009956BC" w:rsidP="009956BC">
      <w:pPr>
        <w:ind w:left="1134" w:hanging="1134"/>
        <w:rPr>
          <w:sz w:val="18"/>
        </w:rPr>
      </w:pPr>
      <w:r w:rsidRPr="009956BC">
        <w:rPr>
          <w:sz w:val="18"/>
        </w:rPr>
        <w:t>ANNEX IV:</w:t>
      </w:r>
      <w:r w:rsidRPr="009956BC">
        <w:rPr>
          <w:sz w:val="18"/>
        </w:rPr>
        <w:tab/>
        <w:t>Matters for adoption by the Council in 2019: Revisions to document TGP/14</w:t>
      </w:r>
    </w:p>
    <w:p w:rsidR="009956BC" w:rsidRPr="009956BC" w:rsidRDefault="009956BC" w:rsidP="009956BC">
      <w:pPr>
        <w:ind w:left="1134" w:hanging="1134"/>
        <w:rPr>
          <w:sz w:val="18"/>
        </w:rPr>
      </w:pPr>
      <w:r w:rsidRPr="009956BC">
        <w:rPr>
          <w:sz w:val="18"/>
        </w:rPr>
        <w:t>ANNEX V:</w:t>
      </w:r>
      <w:r w:rsidRPr="009956BC">
        <w:rPr>
          <w:sz w:val="18"/>
        </w:rPr>
        <w:tab/>
        <w:t>Matters for adoption by the Council in 2019: New model to document TGP/15</w:t>
      </w:r>
    </w:p>
    <w:p w:rsidR="009956BC" w:rsidRPr="009956BC" w:rsidRDefault="009956BC" w:rsidP="009956BC">
      <w:pPr>
        <w:ind w:left="1134" w:hanging="1134"/>
        <w:rPr>
          <w:sz w:val="18"/>
        </w:rPr>
      </w:pPr>
      <w:r w:rsidRPr="009956BC">
        <w:rPr>
          <w:sz w:val="18"/>
        </w:rPr>
        <w:t>ANNEX VI:</w:t>
      </w:r>
      <w:r w:rsidRPr="009956BC">
        <w:rPr>
          <w:sz w:val="18"/>
        </w:rPr>
        <w:tab/>
        <w:t xml:space="preserve">Program for the development of TGP documents </w:t>
      </w:r>
    </w:p>
    <w:p w:rsidR="009956BC" w:rsidRPr="009956BC" w:rsidRDefault="009956BC" w:rsidP="009956BC">
      <w:pPr>
        <w:ind w:left="1134" w:hanging="1134"/>
        <w:rPr>
          <w:sz w:val="18"/>
        </w:rPr>
      </w:pPr>
    </w:p>
    <w:p w:rsidR="009956BC" w:rsidRPr="009956BC" w:rsidRDefault="009956BC" w:rsidP="009956BC">
      <w:pPr>
        <w:rPr>
          <w:rFonts w:cs="Arial"/>
        </w:rPr>
      </w:pPr>
      <w:r w:rsidRPr="009956BC">
        <w:rPr>
          <w:rFonts w:cs="Arial"/>
        </w:rPr>
        <w:fldChar w:fldCharType="begin"/>
      </w:r>
      <w:r w:rsidRPr="009956BC">
        <w:rPr>
          <w:rFonts w:cs="Arial"/>
        </w:rPr>
        <w:instrText xml:space="preserve"> AUTONUM  </w:instrText>
      </w:r>
      <w:r w:rsidRPr="009956BC">
        <w:rPr>
          <w:rFonts w:cs="Arial"/>
        </w:rPr>
        <w:fldChar w:fldCharType="end"/>
      </w:r>
      <w:r w:rsidRPr="009956BC">
        <w:rPr>
          <w:rFonts w:cs="Arial"/>
        </w:rPr>
        <w:tab/>
        <w:t xml:space="preserve">The following abbreviations </w:t>
      </w:r>
      <w:proofErr w:type="gramStart"/>
      <w:r w:rsidRPr="009956BC">
        <w:rPr>
          <w:rFonts w:cs="Arial"/>
        </w:rPr>
        <w:t>are used</w:t>
      </w:r>
      <w:proofErr w:type="gramEnd"/>
      <w:r w:rsidRPr="009956BC">
        <w:rPr>
          <w:rFonts w:cs="Arial"/>
        </w:rPr>
        <w:t xml:space="preserve"> in this document:</w:t>
      </w:r>
    </w:p>
    <w:p w:rsidR="009956BC" w:rsidRPr="009956BC" w:rsidRDefault="009956BC" w:rsidP="009956BC">
      <w:pPr>
        <w:ind w:left="1701" w:hanging="1134"/>
        <w:rPr>
          <w:rFonts w:cs="Arial"/>
        </w:rPr>
      </w:pPr>
    </w:p>
    <w:p w:rsidR="009956BC" w:rsidRPr="009956BC" w:rsidRDefault="009956BC" w:rsidP="009956BC">
      <w:pPr>
        <w:ind w:left="1701" w:hanging="1134"/>
        <w:rPr>
          <w:rFonts w:cs="Arial"/>
        </w:rPr>
      </w:pPr>
      <w:r w:rsidRPr="009956BC">
        <w:rPr>
          <w:rFonts w:cs="Arial"/>
        </w:rPr>
        <w:t>BMT</w:t>
      </w:r>
      <w:r w:rsidRPr="009956BC">
        <w:rPr>
          <w:rFonts w:cs="Arial"/>
        </w:rPr>
        <w:tab/>
        <w:t>Working Group on Biochemical and Molecular Techniques and DNA-Profiling in Particular</w:t>
      </w:r>
    </w:p>
    <w:p w:rsidR="009956BC" w:rsidRPr="009956BC" w:rsidRDefault="009956BC" w:rsidP="009956BC">
      <w:pPr>
        <w:ind w:left="1701" w:hanging="1134"/>
        <w:rPr>
          <w:rFonts w:cs="Arial"/>
        </w:rPr>
      </w:pPr>
      <w:r w:rsidRPr="009956BC">
        <w:rPr>
          <w:rFonts w:cs="Arial"/>
        </w:rPr>
        <w:t xml:space="preserve">TC:  </w:t>
      </w:r>
      <w:r w:rsidRPr="009956BC">
        <w:rPr>
          <w:rFonts w:cs="Arial"/>
        </w:rPr>
        <w:tab/>
        <w:t>Technical Committee</w:t>
      </w:r>
    </w:p>
    <w:p w:rsidR="009956BC" w:rsidRPr="009956BC" w:rsidRDefault="009956BC" w:rsidP="009956BC">
      <w:pPr>
        <w:ind w:left="1701" w:hanging="1134"/>
        <w:rPr>
          <w:rFonts w:cs="Arial"/>
        </w:rPr>
      </w:pPr>
      <w:r w:rsidRPr="009956BC">
        <w:rPr>
          <w:rFonts w:cs="Arial"/>
        </w:rPr>
        <w:t xml:space="preserve">TC-EDC:  </w:t>
      </w:r>
      <w:r w:rsidRPr="009956BC">
        <w:rPr>
          <w:rFonts w:cs="Arial"/>
        </w:rPr>
        <w:tab/>
        <w:t>Enlarged Editorial Committee</w:t>
      </w:r>
    </w:p>
    <w:p w:rsidR="009956BC" w:rsidRPr="009956BC" w:rsidRDefault="009956BC" w:rsidP="009956BC">
      <w:pPr>
        <w:ind w:left="1701" w:hanging="1134"/>
        <w:rPr>
          <w:rFonts w:cs="Arial"/>
        </w:rPr>
      </w:pPr>
      <w:r w:rsidRPr="009956BC">
        <w:rPr>
          <w:rFonts w:cs="Arial"/>
        </w:rPr>
        <w:t xml:space="preserve">TWA:  </w:t>
      </w:r>
      <w:r w:rsidRPr="009956BC">
        <w:rPr>
          <w:rFonts w:cs="Arial"/>
        </w:rPr>
        <w:tab/>
        <w:t>Technical Working Party for Agricultural Crops</w:t>
      </w:r>
    </w:p>
    <w:p w:rsidR="009956BC" w:rsidRPr="009956BC" w:rsidRDefault="009956BC" w:rsidP="009956BC">
      <w:pPr>
        <w:ind w:left="1701" w:hanging="1134"/>
        <w:rPr>
          <w:rFonts w:cs="Arial"/>
        </w:rPr>
      </w:pPr>
      <w:r w:rsidRPr="009956BC">
        <w:rPr>
          <w:rFonts w:cs="Arial"/>
        </w:rPr>
        <w:t xml:space="preserve">TWC:  </w:t>
      </w:r>
      <w:r w:rsidRPr="009956BC">
        <w:rPr>
          <w:rFonts w:cs="Arial"/>
        </w:rPr>
        <w:tab/>
        <w:t>Technical Working Party on Automation and Computer Programs</w:t>
      </w:r>
    </w:p>
    <w:p w:rsidR="009956BC" w:rsidRPr="009956BC" w:rsidRDefault="009956BC" w:rsidP="009956BC">
      <w:pPr>
        <w:ind w:left="1701" w:hanging="1134"/>
        <w:rPr>
          <w:rFonts w:cs="Arial"/>
        </w:rPr>
      </w:pPr>
      <w:r w:rsidRPr="009956BC">
        <w:rPr>
          <w:rFonts w:cs="Arial"/>
        </w:rPr>
        <w:t xml:space="preserve">TWF:  </w:t>
      </w:r>
      <w:r w:rsidRPr="009956BC">
        <w:rPr>
          <w:rFonts w:cs="Arial"/>
        </w:rPr>
        <w:tab/>
        <w:t xml:space="preserve">Technical Working Party for Fruit Crops </w:t>
      </w:r>
    </w:p>
    <w:p w:rsidR="009956BC" w:rsidRPr="009956BC" w:rsidRDefault="009956BC" w:rsidP="009956BC">
      <w:pPr>
        <w:ind w:left="1701" w:hanging="1134"/>
        <w:rPr>
          <w:rFonts w:cs="Arial"/>
        </w:rPr>
      </w:pPr>
      <w:r w:rsidRPr="009956BC">
        <w:rPr>
          <w:rFonts w:cs="Arial"/>
        </w:rPr>
        <w:t xml:space="preserve">TWO:  </w:t>
      </w:r>
      <w:r w:rsidRPr="009956BC">
        <w:rPr>
          <w:rFonts w:cs="Arial"/>
        </w:rPr>
        <w:tab/>
        <w:t xml:space="preserve">Technical Working Party for Ornamental Plants and Forest Trees </w:t>
      </w:r>
    </w:p>
    <w:p w:rsidR="009956BC" w:rsidRPr="009956BC" w:rsidRDefault="009956BC" w:rsidP="009956BC">
      <w:pPr>
        <w:ind w:left="1701" w:hanging="1134"/>
        <w:rPr>
          <w:rFonts w:cs="Arial"/>
        </w:rPr>
      </w:pPr>
      <w:r w:rsidRPr="009956BC">
        <w:rPr>
          <w:rFonts w:cs="Arial"/>
        </w:rPr>
        <w:t xml:space="preserve">TWV:  </w:t>
      </w:r>
      <w:r w:rsidRPr="009956BC">
        <w:rPr>
          <w:rFonts w:cs="Arial"/>
        </w:rPr>
        <w:tab/>
        <w:t>Technical Working Party for Vegetables</w:t>
      </w:r>
    </w:p>
    <w:p w:rsidR="009956BC" w:rsidRPr="009956BC" w:rsidRDefault="009956BC" w:rsidP="009956BC">
      <w:pPr>
        <w:ind w:left="1701" w:hanging="1134"/>
        <w:rPr>
          <w:caps/>
        </w:rPr>
      </w:pPr>
      <w:r w:rsidRPr="009956BC">
        <w:rPr>
          <w:rFonts w:cs="Arial"/>
          <w:color w:val="000000"/>
        </w:rPr>
        <w:t>TWPs:</w:t>
      </w:r>
      <w:r w:rsidRPr="009956BC">
        <w:rPr>
          <w:rFonts w:cs="Arial"/>
          <w:color w:val="000000"/>
        </w:rPr>
        <w:tab/>
        <w:t xml:space="preserve">Technical Working Parties </w:t>
      </w:r>
      <w:bookmarkStart w:id="7" w:name="_Toc352678045"/>
      <w:bookmarkStart w:id="8" w:name="_Toc353797725"/>
      <w:bookmarkStart w:id="9" w:name="_Toc386185970"/>
      <w:bookmarkStart w:id="10" w:name="_Toc419124858"/>
    </w:p>
    <w:p w:rsidR="009956BC" w:rsidRDefault="009956BC" w:rsidP="009956BC">
      <w:pPr>
        <w:keepNext/>
        <w:keepLines/>
        <w:outlineLvl w:val="0"/>
        <w:rPr>
          <w:caps/>
        </w:rPr>
      </w:pPr>
    </w:p>
    <w:p w:rsidR="00193892" w:rsidRDefault="00193892" w:rsidP="009956BC">
      <w:pPr>
        <w:keepNext/>
        <w:keepLines/>
        <w:outlineLvl w:val="0"/>
        <w:rPr>
          <w:caps/>
        </w:rPr>
      </w:pPr>
    </w:p>
    <w:p w:rsidR="00986672" w:rsidRDefault="00986672" w:rsidP="009956BC">
      <w:pPr>
        <w:keepNext/>
        <w:keepLines/>
        <w:outlineLvl w:val="0"/>
        <w:rPr>
          <w:caps/>
        </w:rPr>
      </w:pPr>
    </w:p>
    <w:p w:rsidR="009956BC" w:rsidRPr="009956BC" w:rsidRDefault="009956BC" w:rsidP="009956BC">
      <w:pPr>
        <w:keepNext/>
        <w:keepLines/>
        <w:outlineLvl w:val="0"/>
        <w:rPr>
          <w:caps/>
        </w:rPr>
      </w:pPr>
      <w:bookmarkStart w:id="11" w:name="_Toc21683345"/>
      <w:r w:rsidRPr="009956BC">
        <w:rPr>
          <w:caps/>
        </w:rPr>
        <w:t>BACKGROUND</w:t>
      </w:r>
      <w:bookmarkEnd w:id="7"/>
      <w:bookmarkEnd w:id="8"/>
      <w:bookmarkEnd w:id="9"/>
      <w:bookmarkEnd w:id="10"/>
      <w:bookmarkEnd w:id="11"/>
    </w:p>
    <w:p w:rsidR="009956BC" w:rsidRPr="009956BC" w:rsidRDefault="009956BC" w:rsidP="009956BC">
      <w:pPr>
        <w:keepNext/>
        <w:keepLines/>
        <w:rPr>
          <w:rFonts w:cs="Arial"/>
        </w:rPr>
      </w:pPr>
    </w:p>
    <w:p w:rsidR="009956BC" w:rsidRPr="009956BC" w:rsidRDefault="009956BC" w:rsidP="009956BC">
      <w:pPr>
        <w:keepNext/>
        <w:keepLines/>
        <w:rPr>
          <w:rFonts w:cs="Arial"/>
        </w:rPr>
      </w:pPr>
      <w:r w:rsidRPr="009956BC">
        <w:rPr>
          <w:rFonts w:cs="Arial"/>
        </w:rPr>
        <w:fldChar w:fldCharType="begin"/>
      </w:r>
      <w:r w:rsidRPr="009956BC">
        <w:rPr>
          <w:rFonts w:cs="Arial"/>
        </w:rPr>
        <w:instrText xml:space="preserve"> AUTONUM  </w:instrText>
      </w:r>
      <w:r w:rsidRPr="009956BC">
        <w:rPr>
          <w:rFonts w:cs="Arial"/>
        </w:rPr>
        <w:fldChar w:fldCharType="end"/>
      </w:r>
      <w:r w:rsidRPr="009956BC">
        <w:rPr>
          <w:rFonts w:cs="Arial"/>
        </w:rPr>
        <w:tab/>
      </w:r>
      <w:r w:rsidRPr="009956BC">
        <w:t>The TC, at its fifty-fourth session, held in Geneva on October 28 and 29, 2018, and the CAJ, at its seventy-fifth session, held in Geneva on October 30, 2018, approved the program for the development of TGP documents, as set out in the Annex to documents TC/54/5 Rev. and CAJ/75/13, respectively, subject to the conclusions at their sessions (see document TC/54/31 “Report”, paragraph 251, and document CAJ/75/14 “Report”, paragraph 13).</w:t>
      </w:r>
    </w:p>
    <w:p w:rsidR="009956BC" w:rsidRPr="009956BC" w:rsidRDefault="009956BC" w:rsidP="009956BC">
      <w:pPr>
        <w:keepNext/>
        <w:rPr>
          <w:rFonts w:cs="Arial"/>
        </w:rPr>
      </w:pPr>
    </w:p>
    <w:p w:rsidR="009956BC" w:rsidRPr="009956BC" w:rsidRDefault="009956BC" w:rsidP="009956BC">
      <w:pPr>
        <w:rPr>
          <w:rFonts w:cs="Arial"/>
        </w:rPr>
      </w:pPr>
      <w:r w:rsidRPr="009956BC">
        <w:rPr>
          <w:rFonts w:cs="Arial"/>
        </w:rPr>
        <w:fldChar w:fldCharType="begin"/>
      </w:r>
      <w:r w:rsidRPr="009956BC">
        <w:rPr>
          <w:rFonts w:cs="Arial"/>
        </w:rPr>
        <w:instrText xml:space="preserve"> AUTONUM  </w:instrText>
      </w:r>
      <w:r w:rsidRPr="009956BC">
        <w:rPr>
          <w:rFonts w:cs="Arial"/>
        </w:rPr>
        <w:fldChar w:fldCharType="end"/>
      </w:r>
      <w:r w:rsidRPr="009956BC">
        <w:rPr>
          <w:rFonts w:cs="Arial"/>
          <w:color w:val="000000"/>
        </w:rPr>
        <w:tab/>
      </w:r>
      <w:r w:rsidRPr="009956BC">
        <w:rPr>
          <w:rFonts w:cs="Arial"/>
          <w:spacing w:val="-2"/>
        </w:rPr>
        <w:t xml:space="preserve">The approved TGP documents </w:t>
      </w:r>
      <w:proofErr w:type="gramStart"/>
      <w:r w:rsidRPr="009956BC">
        <w:rPr>
          <w:rFonts w:cs="Arial"/>
          <w:spacing w:val="-2"/>
        </w:rPr>
        <w:t>are published</w:t>
      </w:r>
      <w:proofErr w:type="gramEnd"/>
      <w:r w:rsidRPr="009956BC">
        <w:rPr>
          <w:rFonts w:cs="Arial"/>
          <w:spacing w:val="-2"/>
        </w:rPr>
        <w:t xml:space="preserve"> on the UPOV website at</w:t>
      </w:r>
      <w:r w:rsidRPr="009956BC">
        <w:rPr>
          <w:rFonts w:cs="Arial"/>
        </w:rPr>
        <w:t xml:space="preserve"> </w:t>
      </w:r>
      <w:hyperlink r:id="rId8" w:history="1">
        <w:r w:rsidRPr="009956BC">
          <w:rPr>
            <w:rFonts w:cs="Arial"/>
            <w:color w:val="0000FF"/>
            <w:u w:val="single"/>
          </w:rPr>
          <w:t>http://www.upov.int/upov_collection/en/</w:t>
        </w:r>
      </w:hyperlink>
      <w:r w:rsidRPr="009956BC">
        <w:rPr>
          <w:rFonts w:cs="Arial"/>
        </w:rPr>
        <w:t>.</w:t>
      </w:r>
    </w:p>
    <w:p w:rsidR="009956BC" w:rsidRPr="009956BC" w:rsidRDefault="009956BC" w:rsidP="009956BC">
      <w:bookmarkStart w:id="12" w:name="_Toc386185983"/>
      <w:bookmarkStart w:id="13" w:name="_Toc419124871"/>
      <w:bookmarkStart w:id="14" w:name="_Toc378251517"/>
      <w:bookmarkStart w:id="15" w:name="_Toc381279978"/>
      <w:bookmarkEnd w:id="5"/>
      <w:bookmarkEnd w:id="6"/>
    </w:p>
    <w:p w:rsidR="009956BC" w:rsidRPr="009956BC" w:rsidRDefault="009956BC" w:rsidP="009956BC"/>
    <w:p w:rsidR="009956BC" w:rsidRPr="009956BC" w:rsidRDefault="009956BC" w:rsidP="009956BC">
      <w:pPr>
        <w:keepNext/>
        <w:outlineLvl w:val="0"/>
        <w:rPr>
          <w:caps/>
        </w:rPr>
      </w:pPr>
      <w:bookmarkStart w:id="16" w:name="_Toc21683346"/>
      <w:r w:rsidRPr="009956BC">
        <w:rPr>
          <w:caps/>
        </w:rPr>
        <w:t>Matters for adoption by the Council in 2019</w:t>
      </w:r>
      <w:bookmarkEnd w:id="16"/>
    </w:p>
    <w:p w:rsidR="009956BC" w:rsidRPr="009956BC" w:rsidRDefault="009956BC" w:rsidP="009956BC">
      <w:pPr>
        <w:rPr>
          <w:highlight w:val="yellow"/>
        </w:rPr>
      </w:pPr>
    </w:p>
    <w:p w:rsidR="009956BC" w:rsidRPr="009956BC" w:rsidRDefault="009956BC" w:rsidP="009956BC">
      <w:r w:rsidRPr="009956BC">
        <w:fldChar w:fldCharType="begin"/>
      </w:r>
      <w:r w:rsidRPr="009956BC">
        <w:instrText xml:space="preserve"> AUTONUM  </w:instrText>
      </w:r>
      <w:r w:rsidRPr="009956BC">
        <w:fldChar w:fldCharType="end"/>
      </w:r>
      <w:r w:rsidRPr="009956BC">
        <w:tab/>
        <w:t xml:space="preserve">The following revisions of TGP documents </w:t>
      </w:r>
      <w:proofErr w:type="gramStart"/>
      <w:r w:rsidRPr="009956BC">
        <w:t>were agreed</w:t>
      </w:r>
      <w:proofErr w:type="gramEnd"/>
      <w:r w:rsidRPr="009956BC">
        <w:t xml:space="preserve"> by the Technical Committee to be proposed for adoption by the Council at its fifty-third ordinary session, to be held in Geneva on November 1, 2019, subject to approval by the CAJ, at its seventy</w:t>
      </w:r>
      <w:r w:rsidRPr="009956BC">
        <w:noBreakHyphen/>
        <w:t>sixth session, to be held in Geneva on October 30, 2019:</w:t>
      </w:r>
    </w:p>
    <w:p w:rsidR="0044336B" w:rsidRDefault="0044336B" w:rsidP="0044336B">
      <w:pPr>
        <w:keepNext/>
      </w:pPr>
    </w:p>
    <w:p w:rsidR="00986672" w:rsidRPr="00273B07" w:rsidRDefault="00986672" w:rsidP="0044336B">
      <w:pPr>
        <w:keepNext/>
      </w:pPr>
    </w:p>
    <w:p w:rsidR="0044336B" w:rsidRPr="00273B07" w:rsidRDefault="0044336B" w:rsidP="0044336B">
      <w:pPr>
        <w:keepNext/>
        <w:outlineLvl w:val="1"/>
        <w:rPr>
          <w:u w:val="single"/>
        </w:rPr>
      </w:pPr>
      <w:bookmarkStart w:id="17" w:name="_Toc15566517"/>
      <w:bookmarkStart w:id="18" w:name="_Toc21683347"/>
      <w:r w:rsidRPr="00FE42F1">
        <w:rPr>
          <w:u w:val="single"/>
        </w:rPr>
        <w:t>Document TGP/7: Development of Test Guidelines</w:t>
      </w:r>
      <w:r>
        <w:rPr>
          <w:u w:val="single"/>
        </w:rPr>
        <w:t xml:space="preserve"> (Revision) (document TGP/7/7 Draft 1</w:t>
      </w:r>
      <w:r w:rsidR="00B96335">
        <w:rPr>
          <w:u w:val="single"/>
        </w:rPr>
        <w:t xml:space="preserve"> Rev.</w:t>
      </w:r>
      <w:r>
        <w:rPr>
          <w:u w:val="single"/>
        </w:rPr>
        <w:t>)</w:t>
      </w:r>
      <w:bookmarkEnd w:id="17"/>
      <w:bookmarkEnd w:id="18"/>
    </w:p>
    <w:p w:rsidR="0044336B" w:rsidRPr="00273B07" w:rsidRDefault="0044336B" w:rsidP="0044336B">
      <w:pPr>
        <w:keepNext/>
        <w:rPr>
          <w:highlight w:val="yellow"/>
        </w:rPr>
      </w:pPr>
    </w:p>
    <w:p w:rsidR="0044336B" w:rsidRPr="00986672" w:rsidRDefault="0044336B" w:rsidP="0044336B">
      <w:pPr>
        <w:keepNext/>
        <w:rPr>
          <w:spacing w:val="-2"/>
        </w:rPr>
      </w:pPr>
      <w:r w:rsidRPr="00986672">
        <w:rPr>
          <w:spacing w:val="-2"/>
        </w:rPr>
        <w:fldChar w:fldCharType="begin"/>
      </w:r>
      <w:r w:rsidRPr="00986672">
        <w:rPr>
          <w:spacing w:val="-2"/>
        </w:rPr>
        <w:instrText xml:space="preserve"> AUTONUM  </w:instrText>
      </w:r>
      <w:r w:rsidRPr="00986672">
        <w:rPr>
          <w:spacing w:val="-2"/>
        </w:rPr>
        <w:fldChar w:fldCharType="end"/>
      </w:r>
      <w:r w:rsidRPr="00986672">
        <w:rPr>
          <w:spacing w:val="-2"/>
        </w:rPr>
        <w:tab/>
        <w:t>The TC, at its fifty-fourth session, agreed the proposals for guidance on “Duration of DUS tests” and “Procedure for the introduction of Test Guidelines” to be included in a revision of document TGP/7 “Development of Test Guidelines</w:t>
      </w:r>
      <w:proofErr w:type="gramStart"/>
      <w:r w:rsidRPr="00986672">
        <w:rPr>
          <w:spacing w:val="-2"/>
        </w:rPr>
        <w:t>”</w:t>
      </w:r>
      <w:proofErr w:type="gramEnd"/>
      <w:r w:rsidR="00154024" w:rsidRPr="00986672">
        <w:rPr>
          <w:rStyle w:val="FootnoteReference"/>
          <w:spacing w:val="-2"/>
        </w:rPr>
        <w:t xml:space="preserve"> </w:t>
      </w:r>
      <w:r w:rsidR="00154024" w:rsidRPr="00986672">
        <w:rPr>
          <w:spacing w:val="-2"/>
        </w:rPr>
        <w:t>(see document </w:t>
      </w:r>
      <w:hyperlink r:id="rId9" w:history="1">
        <w:r w:rsidR="00154024" w:rsidRPr="00986672">
          <w:rPr>
            <w:spacing w:val="-2"/>
          </w:rPr>
          <w:t>TC/54/31 Corr.</w:t>
        </w:r>
      </w:hyperlink>
      <w:r w:rsidR="00154024" w:rsidRPr="00986672">
        <w:rPr>
          <w:spacing w:val="-2"/>
        </w:rPr>
        <w:t xml:space="preserve"> “Report”, paragraphs 210 to 212 and 217 to 220)</w:t>
      </w:r>
      <w:r w:rsidRPr="00986672">
        <w:rPr>
          <w:spacing w:val="-2"/>
        </w:rPr>
        <w:t>.</w:t>
      </w:r>
    </w:p>
    <w:p w:rsidR="0044336B" w:rsidRDefault="0044336B" w:rsidP="0044336B"/>
    <w:p w:rsidR="0044336B" w:rsidRDefault="0044336B" w:rsidP="0044336B">
      <w:pPr>
        <w:rPr>
          <w:spacing w:val="-2"/>
        </w:rPr>
      </w:pPr>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Pr>
          <w:spacing w:val="-2"/>
        </w:rPr>
        <w:t xml:space="preserve">On the above basis, the TC agreed that </w:t>
      </w:r>
      <w:proofErr w:type="gramStart"/>
      <w:r>
        <w:rPr>
          <w:spacing w:val="-2"/>
        </w:rPr>
        <w:t>a revision of document TGP/7/6 (document TGP/7/7 Draft 1</w:t>
      </w:r>
      <w:r w:rsidR="00B96335">
        <w:rPr>
          <w:spacing w:val="-2"/>
        </w:rPr>
        <w:t> Rev.</w:t>
      </w:r>
      <w:r>
        <w:rPr>
          <w:spacing w:val="-2"/>
        </w:rPr>
        <w:t>) should be put forward for adoption by the Council</w:t>
      </w:r>
      <w:proofErr w:type="gramEnd"/>
      <w:r>
        <w:rPr>
          <w:spacing w:val="-2"/>
        </w:rPr>
        <w:t xml:space="preserve"> at its fifty-third ordinary session, subject to the approval of the CAJ at its seventy-sixth session.</w:t>
      </w:r>
    </w:p>
    <w:p w:rsidR="0044336B" w:rsidRDefault="0044336B" w:rsidP="0044336B">
      <w:pPr>
        <w:rPr>
          <w:spacing w:val="-2"/>
        </w:rPr>
      </w:pPr>
    </w:p>
    <w:p w:rsidR="0044336B" w:rsidRDefault="0044336B" w:rsidP="0044336B">
      <w:pPr>
        <w:rPr>
          <w:bCs/>
          <w:snapToGrid w:val="0"/>
          <w:szCs w:val="24"/>
        </w:rPr>
      </w:pPr>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Pr>
          <w:spacing w:val="-2"/>
        </w:rPr>
        <w:t xml:space="preserve">The </w:t>
      </w:r>
      <w:proofErr w:type="gramStart"/>
      <w:r>
        <w:rPr>
          <w:spacing w:val="-2"/>
        </w:rPr>
        <w:t>French, German and Spanish translations of the original English text have been checked by the relevant members of the Editorial Committee</w:t>
      </w:r>
      <w:proofErr w:type="gramEnd"/>
      <w:r>
        <w:rPr>
          <w:spacing w:val="-2"/>
        </w:rPr>
        <w:t xml:space="preserve"> prior to submission of the draft of document TGP/7/7 to the Council.  Document TGP/7/7 Draft 1 </w:t>
      </w:r>
      <w:r w:rsidR="00B96335">
        <w:rPr>
          <w:spacing w:val="-2"/>
        </w:rPr>
        <w:t xml:space="preserve">Rev. </w:t>
      </w:r>
      <w:r>
        <w:rPr>
          <w:spacing w:val="-2"/>
        </w:rPr>
        <w:t>incorporates the amendments agreed by the TC, as presented in Annex I to this document (in revision mode), and the linguistic changes made by the re</w:t>
      </w:r>
      <w:r w:rsidR="00986672">
        <w:rPr>
          <w:spacing w:val="-2"/>
        </w:rPr>
        <w:t>levant members of the Editorial </w:t>
      </w:r>
      <w:r>
        <w:rPr>
          <w:spacing w:val="-2"/>
        </w:rPr>
        <w:t>Committee.</w:t>
      </w:r>
    </w:p>
    <w:p w:rsidR="0044336B" w:rsidRDefault="0044336B" w:rsidP="0044336B"/>
    <w:p w:rsidR="0044336B" w:rsidRPr="00294914" w:rsidRDefault="0044336B" w:rsidP="00986672">
      <w:pPr>
        <w:pStyle w:val="DecisionParagraphs"/>
        <w:keepLines/>
      </w:pPr>
      <w:r w:rsidRPr="00254FA7">
        <w:lastRenderedPageBreak/>
        <w:fldChar w:fldCharType="begin"/>
      </w:r>
      <w:r w:rsidRPr="00254FA7">
        <w:instrText xml:space="preserve"> AUTONUM  </w:instrText>
      </w:r>
      <w:r w:rsidRPr="00254FA7">
        <w:fldChar w:fldCharType="end"/>
      </w:r>
      <w:r w:rsidRPr="00254FA7">
        <w:tab/>
        <w:t xml:space="preserve">The </w:t>
      </w:r>
      <w:r w:rsidR="001270B2">
        <w:t>TC</w:t>
      </w:r>
      <w:r w:rsidRPr="00254FA7">
        <w:t xml:space="preserve"> is invited to </w:t>
      </w:r>
      <w:r w:rsidR="00193975">
        <w:t>note</w:t>
      </w:r>
      <w:r>
        <w:t xml:space="preserve"> the </w:t>
      </w:r>
      <w:r w:rsidRPr="00254FA7">
        <w:t>revision of document TGP/7 “Development of Test Guidelines”</w:t>
      </w:r>
      <w:r>
        <w:t xml:space="preserve"> </w:t>
      </w:r>
      <w:r w:rsidRPr="00E11CE2">
        <w:t>(document TGP/7/7)</w:t>
      </w:r>
      <w:r w:rsidRPr="00254FA7">
        <w:t xml:space="preserve">, </w:t>
      </w:r>
      <w:r w:rsidR="00193975">
        <w:t xml:space="preserve">to </w:t>
      </w:r>
      <w:r w:rsidR="00193975">
        <w:rPr>
          <w:spacing w:val="-2"/>
        </w:rPr>
        <w:t>be put forward for adoption by the Council at its fifty-third ordinary session, subject to the approval of the CAJ at its seventy-sixth session,</w:t>
      </w:r>
      <w:r w:rsidR="00193975" w:rsidRPr="00254FA7">
        <w:t xml:space="preserve"> </w:t>
      </w:r>
      <w:proofErr w:type="gramStart"/>
      <w:r w:rsidRPr="00254FA7">
        <w:t>on the bas</w:t>
      </w:r>
      <w:r>
        <w:t>is of</w:t>
      </w:r>
      <w:proofErr w:type="gramEnd"/>
      <w:r>
        <w:t xml:space="preserve"> document TGP/7/7 Draft 1</w:t>
      </w:r>
      <w:r w:rsidR="00B96335">
        <w:t xml:space="preserve"> Rev.</w:t>
      </w:r>
    </w:p>
    <w:p w:rsidR="0044336B" w:rsidRDefault="0044336B" w:rsidP="0044336B">
      <w:pPr>
        <w:rPr>
          <w:rFonts w:eastAsia="MS Mincho"/>
        </w:rPr>
      </w:pPr>
    </w:p>
    <w:p w:rsidR="00986672" w:rsidRDefault="00986672" w:rsidP="0044336B">
      <w:pPr>
        <w:rPr>
          <w:rFonts w:eastAsia="MS Mincho"/>
        </w:rPr>
      </w:pPr>
    </w:p>
    <w:p w:rsidR="0044336B" w:rsidRPr="00685AE9" w:rsidRDefault="0044336B" w:rsidP="00524DB4">
      <w:pPr>
        <w:pStyle w:val="Heading2"/>
      </w:pPr>
      <w:bookmarkStart w:id="19" w:name="_Toc15566518"/>
      <w:bookmarkStart w:id="20" w:name="_Toc21683348"/>
      <w:r w:rsidRPr="00685AE9">
        <w:t>Document TGP/8: Trial Design and Techniques Used in the Examination of Distinctness, Uniformity and Stability</w:t>
      </w:r>
      <w:r>
        <w:t xml:space="preserve"> (Revision) (document </w:t>
      </w:r>
      <w:r w:rsidRPr="00A32BED">
        <w:t>TGP/</w:t>
      </w:r>
      <w:r>
        <w:t>8</w:t>
      </w:r>
      <w:r w:rsidRPr="00A32BED">
        <w:t>/</w:t>
      </w:r>
      <w:r>
        <w:t>4</w:t>
      </w:r>
      <w:r w:rsidRPr="00A32BED">
        <w:t xml:space="preserve"> Draft </w:t>
      </w:r>
      <w:r>
        <w:t>1)</w:t>
      </w:r>
      <w:bookmarkEnd w:id="19"/>
      <w:bookmarkEnd w:id="20"/>
    </w:p>
    <w:p w:rsidR="0044336B" w:rsidRDefault="0044336B" w:rsidP="00524DB4">
      <w:pPr>
        <w:keepNext/>
      </w:pPr>
    </w:p>
    <w:p w:rsidR="0044336B" w:rsidRDefault="0044336B" w:rsidP="00524DB4">
      <w:pPr>
        <w:keepNext/>
      </w:pPr>
      <w:r w:rsidRPr="00273B07">
        <w:fldChar w:fldCharType="begin"/>
      </w:r>
      <w:r w:rsidRPr="00273B07">
        <w:instrText xml:space="preserve"> AUTONUM  </w:instrText>
      </w:r>
      <w:r w:rsidRPr="00273B07">
        <w:fldChar w:fldCharType="end"/>
      </w:r>
      <w:r w:rsidRPr="00273B07">
        <w:tab/>
      </w:r>
      <w:proofErr w:type="gramStart"/>
      <w:r>
        <w:t>The TC, at its fifty-third session</w:t>
      </w:r>
      <w:bookmarkStart w:id="21" w:name="_Ref12539616"/>
      <w:r w:rsidR="00524DB4">
        <w:t>, held in Geneva from April 3 to 5, 2017</w:t>
      </w:r>
      <w:bookmarkEnd w:id="21"/>
      <w:r>
        <w:t>, agreed the proposal for guidance on “</w:t>
      </w:r>
      <w:r w:rsidRPr="0091141B">
        <w:t>Examining characteristics on the basis of bulk samples</w:t>
      </w:r>
      <w:r>
        <w:t>” to be included in a revision of document TGP/8 “</w:t>
      </w:r>
      <w:r w:rsidRPr="00685AE9">
        <w:t>Trial Design and Techniques Used in the Examination of Distinctness, Uniformity and Stability</w:t>
      </w:r>
      <w:r>
        <w:t>”</w:t>
      </w:r>
      <w:r w:rsidR="00524DB4" w:rsidRPr="00524DB4">
        <w:t xml:space="preserve"> </w:t>
      </w:r>
      <w:r w:rsidR="00524DB4">
        <w:t>(s</w:t>
      </w:r>
      <w:r w:rsidR="00986672">
        <w:t>ee </w:t>
      </w:r>
      <w:r w:rsidR="00524DB4" w:rsidRPr="000279A4">
        <w:t>document </w:t>
      </w:r>
      <w:r w:rsidR="00524DB4" w:rsidRPr="00524DB4">
        <w:t>TC/53/31</w:t>
      </w:r>
      <w:r w:rsidR="00524DB4" w:rsidRPr="000279A4">
        <w:t xml:space="preserve"> “</w:t>
      </w:r>
      <w:r w:rsidR="00524DB4">
        <w:t>Report”, paragraphs 113 to 116).</w:t>
      </w:r>
      <w:proofErr w:type="gramEnd"/>
      <w:r>
        <w:t xml:space="preserve"> </w:t>
      </w:r>
    </w:p>
    <w:p w:rsidR="0044336B" w:rsidRDefault="0044336B" w:rsidP="0044336B"/>
    <w:p w:rsidR="0044336B" w:rsidRDefault="0044336B" w:rsidP="0044336B">
      <w:r>
        <w:fldChar w:fldCharType="begin"/>
      </w:r>
      <w:r>
        <w:instrText xml:space="preserve"> AUTONUM  </w:instrText>
      </w:r>
      <w:r>
        <w:fldChar w:fldCharType="end"/>
      </w:r>
      <w:r>
        <w:tab/>
      </w:r>
      <w:proofErr w:type="gramStart"/>
      <w:r w:rsidRPr="00273B07">
        <w:t>The TC, at its fifty-fourth session</w:t>
      </w:r>
      <w:r>
        <w:t xml:space="preserve">, agreed </w:t>
      </w:r>
      <w:r w:rsidRPr="00273B07">
        <w:t xml:space="preserve">that the guidance in document </w:t>
      </w:r>
      <w:proofErr w:type="spellStart"/>
      <w:r w:rsidRPr="00273B07">
        <w:t>TGP</w:t>
      </w:r>
      <w:proofErr w:type="spellEnd"/>
      <w:r w:rsidRPr="00273B07">
        <w:t xml:space="preserve">/8/2: Part II: </w:t>
      </w:r>
      <w:r w:rsidR="00986672">
        <w:t xml:space="preserve"> </w:t>
      </w:r>
      <w:r w:rsidRPr="00273B07">
        <w:t xml:space="preserve">Section 8: </w:t>
      </w:r>
      <w:r w:rsidR="00986672">
        <w:t xml:space="preserve"> </w:t>
      </w:r>
      <w:r w:rsidRPr="00273B07">
        <w:t>Subsection 8.1.7 should be replaced by a cross-reference to</w:t>
      </w:r>
      <w:r>
        <w:t xml:space="preserve"> the new guidance on “Assessing </w:t>
      </w:r>
      <w:r w:rsidRPr="00273B07">
        <w:t>uniformity by off-types on the basis of more than one growing cycle or on the basis of sub-samples” to be included in document TGP/10 “Examining Uniformity”</w:t>
      </w:r>
      <w:r w:rsidR="00524DB4" w:rsidRPr="00524DB4">
        <w:t xml:space="preserve"> </w:t>
      </w:r>
      <w:r w:rsidR="00524DB4">
        <w:t>(s</w:t>
      </w:r>
      <w:r w:rsidR="00524DB4" w:rsidRPr="001F64D8">
        <w:t xml:space="preserve">ee </w:t>
      </w:r>
      <w:r w:rsidR="00524DB4" w:rsidRPr="000279A4">
        <w:t>document</w:t>
      </w:r>
      <w:r w:rsidR="00524DB4">
        <w:t> </w:t>
      </w:r>
      <w:hyperlink r:id="rId10" w:history="1">
        <w:hyperlink r:id="rId11" w:history="1">
          <w:r w:rsidR="00524DB4">
            <w:rPr>
              <w:rStyle w:val="Hyperlink"/>
            </w:rPr>
            <w:t>TC/54/31 Corr.</w:t>
          </w:r>
        </w:hyperlink>
      </w:hyperlink>
      <w:r w:rsidR="00524DB4">
        <w:t xml:space="preserve"> “Report”, paragraphs 231 and 232)</w:t>
      </w:r>
      <w:r>
        <w:t>.</w:t>
      </w:r>
      <w:proofErr w:type="gramEnd"/>
    </w:p>
    <w:p w:rsidR="0044336B" w:rsidRDefault="0044336B" w:rsidP="0044336B"/>
    <w:p w:rsidR="0044336B" w:rsidRDefault="0044336B" w:rsidP="0044336B">
      <w:pPr>
        <w:rPr>
          <w:spacing w:val="-2"/>
        </w:rPr>
      </w:pPr>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Pr>
          <w:spacing w:val="-2"/>
        </w:rPr>
        <w:t>On the above basis, the TC agreed that a revision of document TGP/8/3 (document TGP/8/4 Draft 1) should be put forward for adoption by the Council at its fifty-third ordinary session, subject to the approval of the CAJ at its seventy-sixth session</w:t>
      </w:r>
      <w:r w:rsidR="00193975">
        <w:rPr>
          <w:spacing w:val="-2"/>
        </w:rPr>
        <w:t>.</w:t>
      </w:r>
    </w:p>
    <w:p w:rsidR="0044336B" w:rsidRDefault="0044336B" w:rsidP="0044336B">
      <w:pPr>
        <w:rPr>
          <w:spacing w:val="-2"/>
        </w:rPr>
      </w:pPr>
    </w:p>
    <w:p w:rsidR="0044336B" w:rsidRDefault="0044336B" w:rsidP="0044336B">
      <w:pPr>
        <w:rPr>
          <w:bCs/>
          <w:snapToGrid w:val="0"/>
          <w:szCs w:val="24"/>
        </w:rPr>
      </w:pPr>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Pr>
          <w:spacing w:val="-2"/>
        </w:rPr>
        <w:t>The French, German and Spanish translations of the original English text have been checked by the relevant members of the Editorial Committee prior to submission of the draft of document TGP/8/4 to the Council.  Document TGP/8/4 Draft 1 incorporates the amendments agreed by the TC, as presented in Annex II to this document (in revision mode), and the linguistic changes made by the relevant members of the Editorial Committee.</w:t>
      </w:r>
    </w:p>
    <w:p w:rsidR="0044336B" w:rsidRDefault="0044336B" w:rsidP="0044336B">
      <w:pPr>
        <w:rPr>
          <w:bCs/>
          <w:snapToGrid w:val="0"/>
          <w:szCs w:val="24"/>
        </w:rPr>
      </w:pPr>
    </w:p>
    <w:p w:rsidR="0044336B" w:rsidRDefault="0044336B" w:rsidP="0044336B">
      <w:pPr>
        <w:pStyle w:val="DecisionParagraphs"/>
      </w:pPr>
      <w:r w:rsidRPr="00254FA7">
        <w:fldChar w:fldCharType="begin"/>
      </w:r>
      <w:r w:rsidRPr="00254FA7">
        <w:instrText xml:space="preserve"> AUTONUM  </w:instrText>
      </w:r>
      <w:r w:rsidRPr="00254FA7">
        <w:fldChar w:fldCharType="end"/>
      </w:r>
      <w:r w:rsidRPr="00254FA7">
        <w:tab/>
        <w:t xml:space="preserve">The </w:t>
      </w:r>
      <w:r w:rsidR="00524DB4">
        <w:t>TC</w:t>
      </w:r>
      <w:r w:rsidRPr="00254FA7">
        <w:t xml:space="preserve"> is invited to </w:t>
      </w:r>
      <w:r w:rsidR="00193975">
        <w:t>note</w:t>
      </w:r>
      <w:r>
        <w:t xml:space="preserve"> the </w:t>
      </w:r>
      <w:r w:rsidRPr="00254FA7">
        <w:t xml:space="preserve">revision of document </w:t>
      </w:r>
      <w:r>
        <w:t>TGP/8 “</w:t>
      </w:r>
      <w:r w:rsidRPr="003E7167">
        <w:t>Trial Design and Techniques Used in the Examination of Distinctness, Uniformity and Stability</w:t>
      </w:r>
      <w:r>
        <w:t>” (</w:t>
      </w:r>
      <w:r w:rsidRPr="00254FA7">
        <w:t xml:space="preserve">document </w:t>
      </w:r>
      <w:r>
        <w:t>TGP/8/3)</w:t>
      </w:r>
      <w:r w:rsidRPr="00254FA7">
        <w:t xml:space="preserve">, </w:t>
      </w:r>
      <w:r w:rsidR="00193975">
        <w:t xml:space="preserve">to </w:t>
      </w:r>
      <w:r w:rsidR="00193975">
        <w:rPr>
          <w:spacing w:val="-2"/>
        </w:rPr>
        <w:t>be put forward for adoption by the Council at its fifty-third ordinary session, subject to the approval of the CAJ at its seventy-sixth session,</w:t>
      </w:r>
      <w:r w:rsidR="00193975" w:rsidRPr="00254FA7">
        <w:t xml:space="preserve"> </w:t>
      </w:r>
      <w:r w:rsidRPr="00254FA7">
        <w:t>on the bas</w:t>
      </w:r>
      <w:r w:rsidR="00524DB4">
        <w:t>is of document TGP/8/4 Draft 1</w:t>
      </w:r>
      <w:r>
        <w:t xml:space="preserve">. </w:t>
      </w:r>
    </w:p>
    <w:p w:rsidR="00524DB4" w:rsidRDefault="00524DB4" w:rsidP="0044336B">
      <w:pPr>
        <w:pStyle w:val="DecisionParagraphs"/>
      </w:pPr>
    </w:p>
    <w:p w:rsidR="00986672" w:rsidRPr="00294914" w:rsidRDefault="00986672" w:rsidP="0044336B">
      <w:pPr>
        <w:pStyle w:val="DecisionParagraphs"/>
      </w:pPr>
    </w:p>
    <w:p w:rsidR="0044336B" w:rsidRDefault="0044336B" w:rsidP="0044336B">
      <w:pPr>
        <w:pStyle w:val="Heading2"/>
      </w:pPr>
      <w:bookmarkStart w:id="22" w:name="_Toc519608630"/>
      <w:bookmarkStart w:id="23" w:name="_Toc15566519"/>
      <w:bookmarkStart w:id="24" w:name="_Toc21683349"/>
      <w:r w:rsidRPr="00C33E97">
        <w:t>Document TGP/10: Examining uniformity</w:t>
      </w:r>
      <w:bookmarkEnd w:id="22"/>
      <w:r>
        <w:t xml:space="preserve"> (Revision) (document </w:t>
      </w:r>
      <w:r w:rsidRPr="00A32BED">
        <w:t>TGP/</w:t>
      </w:r>
      <w:r>
        <w:t>10</w:t>
      </w:r>
      <w:r w:rsidRPr="00A32BED">
        <w:t>/</w:t>
      </w:r>
      <w:r>
        <w:t>2</w:t>
      </w:r>
      <w:r w:rsidRPr="00A32BED">
        <w:t xml:space="preserve"> Draft </w:t>
      </w:r>
      <w:r>
        <w:t>1)</w:t>
      </w:r>
      <w:bookmarkEnd w:id="23"/>
      <w:bookmarkEnd w:id="24"/>
    </w:p>
    <w:p w:rsidR="0044336B" w:rsidRDefault="0044336B" w:rsidP="0044336B">
      <w:pPr>
        <w:keepNext/>
        <w:rPr>
          <w:rFonts w:eastAsia="MS Mincho"/>
          <w:i/>
        </w:rPr>
      </w:pPr>
    </w:p>
    <w:p w:rsidR="0044336B" w:rsidRPr="00DB522D" w:rsidRDefault="0044336B" w:rsidP="0044336B">
      <w:pPr>
        <w:keepNext/>
      </w:pPr>
      <w:r>
        <w:fldChar w:fldCharType="begin"/>
      </w:r>
      <w:r>
        <w:instrText xml:space="preserve"> AUTONUM  </w:instrText>
      </w:r>
      <w:r>
        <w:fldChar w:fldCharType="end"/>
      </w:r>
      <w:r>
        <w:tab/>
      </w:r>
      <w:r w:rsidRPr="00DB522D">
        <w:t>The TC</w:t>
      </w:r>
      <w:r>
        <w:t xml:space="preserve">, at its fifty-fourth session, </w:t>
      </w:r>
      <w:r w:rsidRPr="00DB522D">
        <w:t xml:space="preserve">agreed that the draft guidance </w:t>
      </w:r>
      <w:r w:rsidRPr="0021251E">
        <w:rPr>
          <w:rFonts w:eastAsia="MS Mincho"/>
          <w:color w:val="000000"/>
          <w:szCs w:val="24"/>
          <w:lang w:eastAsia="ja-JP"/>
        </w:rPr>
        <w:t xml:space="preserve">on </w:t>
      </w:r>
      <w:r>
        <w:rPr>
          <w:rFonts w:eastAsia="MS Mincho"/>
          <w:color w:val="000000"/>
          <w:szCs w:val="24"/>
          <w:lang w:eastAsia="ja-JP"/>
        </w:rPr>
        <w:t>“A</w:t>
      </w:r>
      <w:r w:rsidRPr="0021251E">
        <w:rPr>
          <w:rFonts w:eastAsia="MS Mincho"/>
          <w:color w:val="000000"/>
          <w:szCs w:val="24"/>
          <w:lang w:eastAsia="ja-JP"/>
        </w:rPr>
        <w:t>ssessing uniformity by off-types on the basis of more than one growing cycle or on the basis of sub-samples</w:t>
      </w:r>
      <w:r>
        <w:rPr>
          <w:rFonts w:eastAsia="MS Mincho"/>
          <w:color w:val="000000"/>
          <w:szCs w:val="24"/>
          <w:lang w:eastAsia="ja-JP"/>
        </w:rPr>
        <w:t>”</w:t>
      </w:r>
      <w:r>
        <w:t xml:space="preserve"> </w:t>
      </w:r>
      <w:r w:rsidRPr="00DB522D">
        <w:t>should be put forward for adoption by the Council for inclusion in a future revision of docume</w:t>
      </w:r>
      <w:r>
        <w:t>nt TGP/10 “Examining Uniformity</w:t>
      </w:r>
      <w:r w:rsidRPr="00DB522D">
        <w:t>”</w:t>
      </w:r>
      <w:r w:rsidR="00524DB4" w:rsidRPr="00524DB4">
        <w:t xml:space="preserve"> </w:t>
      </w:r>
      <w:r w:rsidR="00524DB4">
        <w:t>(see document </w:t>
      </w:r>
      <w:hyperlink r:id="rId12" w:history="1">
        <w:r w:rsidR="00524DB4" w:rsidRPr="00524DB4">
          <w:t>TC/54/31 Corr.</w:t>
        </w:r>
      </w:hyperlink>
      <w:r w:rsidR="00524DB4">
        <w:t xml:space="preserve"> “Report”, paragraphs 233 and 234)</w:t>
      </w:r>
      <w:r w:rsidRPr="0021251E">
        <w:rPr>
          <w:rFonts w:eastAsia="MS Mincho"/>
          <w:color w:val="000000"/>
          <w:szCs w:val="24"/>
          <w:lang w:eastAsia="ja-JP"/>
        </w:rPr>
        <w:t xml:space="preserve">.  </w:t>
      </w:r>
    </w:p>
    <w:p w:rsidR="0044336B" w:rsidRDefault="0044336B" w:rsidP="0044336B"/>
    <w:p w:rsidR="0044336B" w:rsidRPr="00986672" w:rsidRDefault="0044336B" w:rsidP="0044336B">
      <w:pPr>
        <w:rPr>
          <w:bCs/>
          <w:snapToGrid w:val="0"/>
          <w:szCs w:val="24"/>
        </w:rPr>
      </w:pPr>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Pr>
          <w:spacing w:val="-2"/>
        </w:rPr>
        <w:t xml:space="preserve">The </w:t>
      </w:r>
      <w:proofErr w:type="gramStart"/>
      <w:r>
        <w:rPr>
          <w:spacing w:val="-2"/>
        </w:rPr>
        <w:t>French, German and Spanish translations of the original English text have been checked by the relevant members of the Editorial Committee</w:t>
      </w:r>
      <w:proofErr w:type="gramEnd"/>
      <w:r>
        <w:rPr>
          <w:spacing w:val="-2"/>
        </w:rPr>
        <w:t xml:space="preserve"> prior to submission of the draft of document TGP/10/2 to the Council.  Document TGP/10/2 Draft 1 incorporates the amendments agreed by the TC, as </w:t>
      </w:r>
      <w:r w:rsidRPr="00986672">
        <w:rPr>
          <w:spacing w:val="-2"/>
        </w:rPr>
        <w:t>presented in Annex III to this document, and the linguistic changes made by the relevant members of the Editorial Committee.</w:t>
      </w:r>
    </w:p>
    <w:p w:rsidR="0044336B" w:rsidRPr="00986672" w:rsidRDefault="0044336B" w:rsidP="0044336B">
      <w:pPr>
        <w:rPr>
          <w:bCs/>
          <w:snapToGrid w:val="0"/>
          <w:szCs w:val="24"/>
        </w:rPr>
      </w:pPr>
    </w:p>
    <w:p w:rsidR="0044336B" w:rsidRPr="00294914" w:rsidRDefault="0044336B" w:rsidP="0044336B">
      <w:pPr>
        <w:pStyle w:val="DecisionParagraphs"/>
      </w:pPr>
      <w:r w:rsidRPr="00986672">
        <w:fldChar w:fldCharType="begin"/>
      </w:r>
      <w:r w:rsidRPr="00986672">
        <w:instrText xml:space="preserve"> AUTONUM  </w:instrText>
      </w:r>
      <w:r w:rsidRPr="00986672">
        <w:fldChar w:fldCharType="end"/>
      </w:r>
      <w:r w:rsidRPr="00986672">
        <w:tab/>
        <w:t xml:space="preserve">The </w:t>
      </w:r>
      <w:r w:rsidR="00524DB4" w:rsidRPr="00986672">
        <w:t>TC</w:t>
      </w:r>
      <w:r w:rsidRPr="00986672">
        <w:t xml:space="preserve"> is invited to </w:t>
      </w:r>
      <w:r w:rsidR="00193975" w:rsidRPr="00986672">
        <w:t>note</w:t>
      </w:r>
      <w:r w:rsidRPr="00986672">
        <w:t xml:space="preserve"> the revision</w:t>
      </w:r>
      <w:r w:rsidRPr="00254FA7">
        <w:t xml:space="preserve"> of document </w:t>
      </w:r>
      <w:r>
        <w:t>TGP/10 “</w:t>
      </w:r>
      <w:r w:rsidRPr="003E7167">
        <w:t>Examin</w:t>
      </w:r>
      <w:r>
        <w:t>ing</w:t>
      </w:r>
      <w:r w:rsidRPr="003E7167">
        <w:t xml:space="preserve"> Uniformity</w:t>
      </w:r>
      <w:r>
        <w:t>” (document TGP/10/1)</w:t>
      </w:r>
      <w:r w:rsidR="00193975">
        <w:t>, to</w:t>
      </w:r>
      <w:r w:rsidRPr="00254FA7">
        <w:t xml:space="preserve"> </w:t>
      </w:r>
      <w:r w:rsidR="00193975">
        <w:rPr>
          <w:spacing w:val="-2"/>
        </w:rPr>
        <w:t>be put forward for adoption by the Council at its fifty-third ordinary session, subject to the approval of the CAJ at its seventy-sixth session,</w:t>
      </w:r>
      <w:r w:rsidR="00193975" w:rsidRPr="00254FA7">
        <w:t xml:space="preserve"> </w:t>
      </w:r>
      <w:proofErr w:type="gramStart"/>
      <w:r w:rsidRPr="00254FA7">
        <w:t>on the bas</w:t>
      </w:r>
      <w:r>
        <w:t>is of</w:t>
      </w:r>
      <w:proofErr w:type="gramEnd"/>
      <w:r>
        <w:t xml:space="preserve"> document TGP/1</w:t>
      </w:r>
      <w:r w:rsidR="00524DB4">
        <w:t>0/2 Draft 1</w:t>
      </w:r>
      <w:r>
        <w:t xml:space="preserve">. </w:t>
      </w:r>
    </w:p>
    <w:p w:rsidR="0044336B" w:rsidRDefault="0044336B" w:rsidP="0044336B"/>
    <w:p w:rsidR="002D1193" w:rsidRDefault="002D1193" w:rsidP="0044336B"/>
    <w:p w:rsidR="002D1193" w:rsidRPr="00C33E97" w:rsidRDefault="002D1193" w:rsidP="0044336B"/>
    <w:p w:rsidR="0044336B" w:rsidRPr="00C33E97" w:rsidRDefault="0044336B" w:rsidP="00986672">
      <w:pPr>
        <w:keepNext/>
        <w:outlineLvl w:val="1"/>
        <w:rPr>
          <w:u w:val="single"/>
        </w:rPr>
      </w:pPr>
      <w:bookmarkStart w:id="25" w:name="_Toc519608632"/>
      <w:bookmarkStart w:id="26" w:name="_Toc15566520"/>
      <w:bookmarkStart w:id="27" w:name="_Toc21683350"/>
      <w:r w:rsidRPr="00C33E97">
        <w:rPr>
          <w:u w:val="single"/>
        </w:rPr>
        <w:lastRenderedPageBreak/>
        <w:t>Document TGP/14: Glossary of Terms Used in UPOV Documents</w:t>
      </w:r>
      <w:bookmarkEnd w:id="25"/>
      <w:r>
        <w:rPr>
          <w:u w:val="single"/>
        </w:rPr>
        <w:t xml:space="preserve"> (document TGP/14/4 Draft </w:t>
      </w:r>
      <w:r w:rsidRPr="007355B8">
        <w:rPr>
          <w:u w:val="single"/>
        </w:rPr>
        <w:t>1</w:t>
      </w:r>
      <w:r>
        <w:rPr>
          <w:u w:val="single"/>
        </w:rPr>
        <w:t>)</w:t>
      </w:r>
      <w:bookmarkEnd w:id="26"/>
      <w:bookmarkEnd w:id="27"/>
    </w:p>
    <w:p w:rsidR="0044336B" w:rsidRDefault="0044336B" w:rsidP="00986672">
      <w:pPr>
        <w:keepNext/>
        <w:rPr>
          <w:i/>
        </w:rPr>
      </w:pPr>
    </w:p>
    <w:p w:rsidR="0044336B" w:rsidRPr="00824EE7" w:rsidRDefault="0044336B" w:rsidP="0044336B">
      <w:r w:rsidRPr="000279A4">
        <w:fldChar w:fldCharType="begin"/>
      </w:r>
      <w:r w:rsidRPr="000279A4">
        <w:instrText xml:space="preserve"> AUTONUM  </w:instrText>
      </w:r>
      <w:r w:rsidRPr="000279A4">
        <w:fldChar w:fldCharType="end"/>
      </w:r>
      <w:r w:rsidRPr="000279A4">
        <w:tab/>
        <w:t>The TC, at its fifty-third session</w:t>
      </w:r>
      <w:r>
        <w:t>,</w:t>
      </w:r>
      <w:r w:rsidRPr="000279A4">
        <w:t xml:space="preserve"> agreed to revise document </w:t>
      </w:r>
      <w:proofErr w:type="spellStart"/>
      <w:r w:rsidRPr="000279A4">
        <w:t>TGP</w:t>
      </w:r>
      <w:proofErr w:type="spellEnd"/>
      <w:r w:rsidRPr="000279A4">
        <w:t xml:space="preserve">/14: </w:t>
      </w:r>
      <w:r w:rsidR="00986672">
        <w:t xml:space="preserve"> </w:t>
      </w:r>
      <w:r w:rsidRPr="000279A4">
        <w:t xml:space="preserve">Section 2: </w:t>
      </w:r>
      <w:r w:rsidR="00986672">
        <w:t xml:space="preserve"> </w:t>
      </w:r>
      <w:r w:rsidRPr="000279A4">
        <w:t xml:space="preserve">Subsection 2: </w:t>
      </w:r>
      <w:r w:rsidR="00986672">
        <w:t xml:space="preserve"> </w:t>
      </w:r>
      <w:r>
        <w:t>“</w:t>
      </w:r>
      <w:r w:rsidRPr="000279A4">
        <w:t xml:space="preserve">Shapes </w:t>
      </w:r>
      <w:r w:rsidRPr="00824EE7">
        <w:t xml:space="preserve">and structures” to amend the grid in Example 5, Alternative 2, as presented in </w:t>
      </w:r>
      <w:r w:rsidRPr="0083066D">
        <w:t>Annex IV</w:t>
      </w:r>
      <w:r w:rsidRPr="00824EE7">
        <w:t xml:space="preserve"> to this document</w:t>
      </w:r>
      <w:r w:rsidR="00A35379">
        <w:t xml:space="preserve"> (s</w:t>
      </w:r>
      <w:r w:rsidR="00986672">
        <w:t>ee </w:t>
      </w:r>
      <w:r w:rsidR="00A35379" w:rsidRPr="00685185">
        <w:t xml:space="preserve">document </w:t>
      </w:r>
      <w:r w:rsidR="00A35379" w:rsidRPr="00A35379">
        <w:t>TC/53/31</w:t>
      </w:r>
      <w:r w:rsidR="00A35379">
        <w:t xml:space="preserve"> </w:t>
      </w:r>
      <w:r w:rsidR="00A35379" w:rsidRPr="00685185">
        <w:t>“Report”, paragraph 141</w:t>
      </w:r>
      <w:r w:rsidR="00A35379">
        <w:t>)</w:t>
      </w:r>
      <w:r w:rsidRPr="00824EE7">
        <w:t>.</w:t>
      </w:r>
    </w:p>
    <w:p w:rsidR="0044336B" w:rsidRPr="00824EE7" w:rsidRDefault="0044336B" w:rsidP="0044336B">
      <w:pPr>
        <w:keepNext/>
        <w:outlineLvl w:val="2"/>
        <w:rPr>
          <w:rFonts w:eastAsia="MS Mincho"/>
          <w:i/>
        </w:rPr>
      </w:pPr>
    </w:p>
    <w:p w:rsidR="0044336B" w:rsidRPr="00824EE7" w:rsidRDefault="0044336B" w:rsidP="0044336B">
      <w:r w:rsidRPr="0083066D">
        <w:fldChar w:fldCharType="begin"/>
      </w:r>
      <w:r w:rsidRPr="00824EE7">
        <w:instrText xml:space="preserve"> AUTONUM  </w:instrText>
      </w:r>
      <w:r w:rsidRPr="0083066D">
        <w:fldChar w:fldCharType="end"/>
      </w:r>
      <w:r w:rsidRPr="00824EE7">
        <w:tab/>
        <w:t xml:space="preserve">The TC, at its fifty-fourth session, agreed </w:t>
      </w:r>
      <w:r w:rsidRPr="00256CA0">
        <w:t xml:space="preserve">the proposed revisions </w:t>
      </w:r>
      <w:r w:rsidRPr="00824EE7">
        <w:t xml:space="preserve">of document TGP/14 </w:t>
      </w:r>
      <w:r>
        <w:t xml:space="preserve">“Glossary of terms used in UPOV documents” </w:t>
      </w:r>
      <w:r w:rsidRPr="00824EE7">
        <w:t>to i</w:t>
      </w:r>
      <w:r w:rsidRPr="007C2FEB">
        <w:t>nclude g</w:t>
      </w:r>
      <w:r w:rsidRPr="00824EE7">
        <w:t>uidance on the factors to be considered for creating color groups for grouping of va</w:t>
      </w:r>
      <w:r w:rsidRPr="007C2FEB">
        <w:t xml:space="preserve">rieties and organizing the </w:t>
      </w:r>
      <w:r w:rsidRPr="00824EE7">
        <w:t>growing trial</w:t>
      </w:r>
      <w:r w:rsidR="00A35379" w:rsidRPr="00A35379">
        <w:t xml:space="preserve"> </w:t>
      </w:r>
      <w:r w:rsidR="00A35379">
        <w:t>(s</w:t>
      </w:r>
      <w:r w:rsidR="00A35379" w:rsidRPr="00685185">
        <w:t xml:space="preserve">ee document </w:t>
      </w:r>
      <w:hyperlink r:id="rId13" w:history="1">
        <w:r w:rsidR="00A35379" w:rsidRPr="00A35379">
          <w:t>TC/54/31 Corr.</w:t>
        </w:r>
      </w:hyperlink>
      <w:r w:rsidR="00986672">
        <w:t xml:space="preserve"> “Report”, paragraph </w:t>
      </w:r>
      <w:r w:rsidR="00A35379">
        <w:t>244)</w:t>
      </w:r>
      <w:r w:rsidRPr="00824EE7">
        <w:t xml:space="preserve">.  </w:t>
      </w:r>
    </w:p>
    <w:p w:rsidR="0044336B" w:rsidRPr="00824EE7" w:rsidRDefault="0044336B" w:rsidP="0044336B"/>
    <w:p w:rsidR="0044336B" w:rsidRDefault="0044336B" w:rsidP="0044336B">
      <w:pPr>
        <w:rPr>
          <w:spacing w:val="-2"/>
        </w:rPr>
      </w:pPr>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Pr>
          <w:spacing w:val="-2"/>
        </w:rPr>
        <w:t xml:space="preserve">On the above basis, the TC agreed that </w:t>
      </w:r>
      <w:proofErr w:type="gramStart"/>
      <w:r>
        <w:rPr>
          <w:spacing w:val="-2"/>
        </w:rPr>
        <w:t>a revision of document TGP/14/3 (document TGP/14/4 Draft 1) should be put forward for adoption by the Council</w:t>
      </w:r>
      <w:proofErr w:type="gramEnd"/>
      <w:r>
        <w:rPr>
          <w:spacing w:val="-2"/>
        </w:rPr>
        <w:t xml:space="preserve"> at its fifty-third ordinary session, subject to the approval of the CAJ at its seventy-sixth session.  </w:t>
      </w:r>
    </w:p>
    <w:p w:rsidR="0044336B" w:rsidRDefault="0044336B" w:rsidP="0044336B">
      <w:pPr>
        <w:rPr>
          <w:spacing w:val="-2"/>
        </w:rPr>
      </w:pPr>
    </w:p>
    <w:p w:rsidR="0044336B" w:rsidRDefault="0044336B" w:rsidP="0044336B">
      <w:pPr>
        <w:rPr>
          <w:bCs/>
          <w:snapToGrid w:val="0"/>
          <w:szCs w:val="24"/>
        </w:rPr>
      </w:pPr>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Pr>
          <w:spacing w:val="-2"/>
        </w:rPr>
        <w:t xml:space="preserve">The </w:t>
      </w:r>
      <w:proofErr w:type="gramStart"/>
      <w:r>
        <w:rPr>
          <w:spacing w:val="-2"/>
        </w:rPr>
        <w:t xml:space="preserve">French, German and Spanish translations of the original English text have been checked by the relevant </w:t>
      </w:r>
      <w:r w:rsidRPr="00986672">
        <w:rPr>
          <w:spacing w:val="-2"/>
        </w:rPr>
        <w:t>members of the Editorial Committee</w:t>
      </w:r>
      <w:proofErr w:type="gramEnd"/>
      <w:r w:rsidRPr="00986672">
        <w:rPr>
          <w:spacing w:val="-2"/>
        </w:rPr>
        <w:t xml:space="preserve"> prior to submission of the draft of document TGP/14/4 to the Council.  Document TGP/14/4 Draft 1 incorporates the amendments agreed by the TC, as presented in Annex IV to this document, and the linguistic changes</w:t>
      </w:r>
      <w:r>
        <w:rPr>
          <w:spacing w:val="-2"/>
        </w:rPr>
        <w:t xml:space="preserve"> made by the relevant members of the Editorial Committee.</w:t>
      </w:r>
    </w:p>
    <w:p w:rsidR="0044336B" w:rsidRDefault="0044336B" w:rsidP="0044336B"/>
    <w:p w:rsidR="0044336B" w:rsidRPr="00294914" w:rsidRDefault="0044336B" w:rsidP="00A35379">
      <w:pPr>
        <w:pStyle w:val="DecisionParagraphs"/>
        <w:keepLines/>
      </w:pPr>
      <w:r w:rsidRPr="00254FA7">
        <w:fldChar w:fldCharType="begin"/>
      </w:r>
      <w:r w:rsidRPr="00254FA7">
        <w:instrText xml:space="preserve"> AUTONUM  </w:instrText>
      </w:r>
      <w:r w:rsidRPr="00254FA7">
        <w:fldChar w:fldCharType="end"/>
      </w:r>
      <w:r w:rsidRPr="00254FA7">
        <w:tab/>
        <w:t xml:space="preserve">The </w:t>
      </w:r>
      <w:r w:rsidR="00A35379">
        <w:t>TC</w:t>
      </w:r>
      <w:r w:rsidRPr="00254FA7">
        <w:t xml:space="preserve"> is invited to </w:t>
      </w:r>
      <w:r w:rsidR="005E6B99">
        <w:t xml:space="preserve">note the revision </w:t>
      </w:r>
      <w:r w:rsidRPr="00254FA7">
        <w:t xml:space="preserve">of document </w:t>
      </w:r>
      <w:r>
        <w:t>TGP/14 “Glossary of Terms Used in UPOV </w:t>
      </w:r>
      <w:r w:rsidRPr="003650DF">
        <w:t>Documents</w:t>
      </w:r>
      <w:r>
        <w:t>” (document TGP/14/3)</w:t>
      </w:r>
      <w:r w:rsidRPr="00254FA7">
        <w:t xml:space="preserve">, </w:t>
      </w:r>
      <w:r w:rsidR="005E6B99">
        <w:rPr>
          <w:spacing w:val="-2"/>
        </w:rPr>
        <w:t>be put forward for adoption by the Council at its fifty-third ordinary session, subject to the approval of the CAJ at its seventy-sixth session,</w:t>
      </w:r>
      <w:r w:rsidR="005E6B99" w:rsidRPr="00254FA7">
        <w:t xml:space="preserve"> </w:t>
      </w:r>
      <w:proofErr w:type="gramStart"/>
      <w:r w:rsidRPr="00254FA7">
        <w:t>on the bas</w:t>
      </w:r>
      <w:r>
        <w:t>is of</w:t>
      </w:r>
      <w:proofErr w:type="gramEnd"/>
      <w:r>
        <w:t xml:space="preserve"> document TGP/14/4 Draft 1.</w:t>
      </w:r>
    </w:p>
    <w:p w:rsidR="0044336B" w:rsidRDefault="0044336B" w:rsidP="0044336B"/>
    <w:p w:rsidR="0044336B" w:rsidRPr="00C33E97" w:rsidRDefault="0044336B" w:rsidP="0044336B"/>
    <w:p w:rsidR="0044336B" w:rsidRPr="00C33E97" w:rsidRDefault="0044336B" w:rsidP="0044336B">
      <w:pPr>
        <w:pStyle w:val="Heading2"/>
      </w:pPr>
      <w:bookmarkStart w:id="28" w:name="_Toc15566521"/>
      <w:bookmarkStart w:id="29" w:name="_Toc21683351"/>
      <w:r w:rsidRPr="00C33E97">
        <w:t xml:space="preserve">Document TGP/15 </w:t>
      </w:r>
      <w:r w:rsidRPr="00C33E97">
        <w:rPr>
          <w:caps/>
        </w:rPr>
        <w:t>“</w:t>
      </w:r>
      <w:r w:rsidRPr="00C33E97">
        <w:t>Guidance on the use of Biochemical and Molecular Markers in the examination of Distinctness, Uniformity and Stability (DUS)</w:t>
      </w:r>
      <w:r>
        <w:t>” (Revision) (document TGP/15/2 </w:t>
      </w:r>
      <w:r w:rsidRPr="00635DA0">
        <w:t>Draft </w:t>
      </w:r>
      <w:r>
        <w:t>2)</w:t>
      </w:r>
      <w:bookmarkEnd w:id="28"/>
      <w:bookmarkEnd w:id="29"/>
      <w:r>
        <w:t xml:space="preserve"> </w:t>
      </w:r>
    </w:p>
    <w:p w:rsidR="0044336B" w:rsidRDefault="0044336B" w:rsidP="0044336B">
      <w:pPr>
        <w:ind w:left="567" w:hanging="567"/>
        <w:rPr>
          <w:rFonts w:cs="Arial"/>
        </w:rPr>
      </w:pPr>
    </w:p>
    <w:p w:rsidR="0044336B" w:rsidRPr="00B642D5" w:rsidRDefault="0044336B" w:rsidP="0044336B">
      <w:r w:rsidRPr="00B642D5">
        <w:rPr>
          <w:rFonts w:cs="Arial"/>
        </w:rPr>
        <w:fldChar w:fldCharType="begin"/>
      </w:r>
      <w:r w:rsidRPr="00B642D5">
        <w:rPr>
          <w:rFonts w:cs="Arial"/>
        </w:rPr>
        <w:instrText xml:space="preserve"> AUTONUM  </w:instrText>
      </w:r>
      <w:r w:rsidRPr="00B642D5">
        <w:rPr>
          <w:rFonts w:cs="Arial"/>
        </w:rPr>
        <w:fldChar w:fldCharType="end"/>
      </w:r>
      <w:r w:rsidRPr="00B642D5">
        <w:rPr>
          <w:rFonts w:cs="Arial"/>
        </w:rPr>
        <w:tab/>
        <w:t>The TC, at its fifty-fourth session, agreed</w:t>
      </w:r>
      <w:r w:rsidRPr="00B642D5">
        <w:t xml:space="preserve"> that the following text from document UPOV/INF/18/1 “Possible use of Molecular Markers in the Examination of Distinctness, Uniformity and Stability (DUS)” should be introduced in document TGP/15 “Guidance on the Use of Biochemical and Molecular Markers in the Examination of Distinctness, Uniformity and Stability (DUS)” to clarify that it was the responsibility of the authority to decide on the reliability of the link between the gene and the expression of the characteristic</w:t>
      </w:r>
      <w:r w:rsidR="00C55CB8">
        <w:rPr>
          <w:rStyle w:val="FootnoteReference"/>
        </w:rPr>
        <w:t xml:space="preserve"> </w:t>
      </w:r>
      <w:r w:rsidR="00C55CB8">
        <w:t>(s</w:t>
      </w:r>
      <w:r w:rsidR="00986672">
        <w:t>ee </w:t>
      </w:r>
      <w:r w:rsidR="00C55CB8" w:rsidRPr="008F7048">
        <w:t xml:space="preserve">document </w:t>
      </w:r>
      <w:hyperlink r:id="rId14" w:history="1">
        <w:r w:rsidR="00C55CB8" w:rsidRPr="00C55CB8">
          <w:t>TC/54/31 Corr.</w:t>
        </w:r>
      </w:hyperlink>
      <w:r w:rsidR="00C55CB8">
        <w:t xml:space="preserve"> “Report”, paragraphs 272 and 273)</w:t>
      </w:r>
      <w:r w:rsidRPr="00B642D5">
        <w:t>:</w:t>
      </w:r>
    </w:p>
    <w:p w:rsidR="0044336B" w:rsidRPr="00B642D5" w:rsidRDefault="0044336B" w:rsidP="0044336B">
      <w:pPr>
        <w:rPr>
          <w:rFonts w:cs="Arial"/>
        </w:rPr>
      </w:pPr>
    </w:p>
    <w:p w:rsidR="0044336B" w:rsidRPr="00B642D5" w:rsidRDefault="0044336B" w:rsidP="0044336B">
      <w:pPr>
        <w:autoSpaceDE w:val="0"/>
        <w:autoSpaceDN w:val="0"/>
        <w:adjustRightInd w:val="0"/>
        <w:ind w:left="567" w:right="567"/>
        <w:rPr>
          <w:sz w:val="18"/>
          <w:lang w:eastAsia="ja-JP"/>
        </w:rPr>
      </w:pPr>
      <w:r w:rsidRPr="00B642D5">
        <w:rPr>
          <w:sz w:val="18"/>
          <w:szCs w:val="18"/>
          <w:lang w:eastAsia="ja-JP"/>
        </w:rPr>
        <w:t>“3.1.4   In considering the model and example, as presented in Annex 1 of this document, the TC emphasized the importance of meeting the assumptions. In that regard, it clarified that it is a matter for the relevant authority to consider if the assumptions are met (see document TC/45/16 “Report”, paragraph 152).</w:t>
      </w:r>
      <w:r w:rsidRPr="00B642D5">
        <w:rPr>
          <w:sz w:val="18"/>
          <w:lang w:eastAsia="ja-JP"/>
        </w:rPr>
        <w:t xml:space="preserve">” </w:t>
      </w:r>
    </w:p>
    <w:p w:rsidR="0044336B" w:rsidRPr="00B642D5" w:rsidRDefault="0044336B" w:rsidP="0044336B">
      <w:pPr>
        <w:pStyle w:val="EndnoteText"/>
      </w:pPr>
    </w:p>
    <w:p w:rsidR="0044336B" w:rsidRDefault="0044336B" w:rsidP="0044336B">
      <w:r w:rsidRPr="00B642D5">
        <w:rPr>
          <w:rFonts w:cs="Arial"/>
        </w:rPr>
        <w:fldChar w:fldCharType="begin"/>
      </w:r>
      <w:r w:rsidRPr="00B642D5">
        <w:rPr>
          <w:rFonts w:cs="Arial"/>
        </w:rPr>
        <w:instrText xml:space="preserve"> AUTONUM  </w:instrText>
      </w:r>
      <w:r w:rsidRPr="00B642D5">
        <w:rPr>
          <w:rFonts w:cs="Arial"/>
        </w:rPr>
        <w:fldChar w:fldCharType="end"/>
      </w:r>
      <w:r w:rsidRPr="00B642D5">
        <w:rPr>
          <w:rFonts w:cs="Arial"/>
        </w:rPr>
        <w:tab/>
        <w:t xml:space="preserve">The TC, at its fifty-fourth session, considered the proposal by the BMT and agreed </w:t>
      </w:r>
      <w:r w:rsidRPr="00B642D5">
        <w:t>to include an explanation in document TGP/15 that it would be the responsibility of the respective TWP and the TC to assess whether the reliability of the link between the gene and the expression of the characteristic was satisfied in order to include a method in the Test Guidelines.</w:t>
      </w:r>
    </w:p>
    <w:p w:rsidR="0044336B" w:rsidRDefault="0044336B" w:rsidP="0044336B"/>
    <w:p w:rsidR="0044336B" w:rsidRDefault="0044336B" w:rsidP="0044336B">
      <w:r>
        <w:fldChar w:fldCharType="begin"/>
      </w:r>
      <w:r>
        <w:instrText xml:space="preserve"> AUTONUM  </w:instrText>
      </w:r>
      <w:r>
        <w:fldChar w:fldCharType="end"/>
      </w:r>
      <w:r>
        <w:tab/>
        <w:t>The TC, at its fifty-fourth session, further agreed with the inclusion of a new model “Genetic selection of similar varieties for the first growing cycle: example French Bean” in document TGP/15 for using biochemical and molecular markers in the examination of Distinctness, Uniformity and Stability (DUS)</w:t>
      </w:r>
      <w:r w:rsidRPr="00A8721B">
        <w:t xml:space="preserve"> </w:t>
      </w:r>
      <w:r>
        <w:t xml:space="preserve">on the basis of document TGP/15/2 Draft 1 revised by the TC-EDC, as set out in Annex III to document </w:t>
      </w:r>
      <w:r w:rsidRPr="00C55CB8">
        <w:t>TC/54/31 Corr.</w:t>
      </w:r>
      <w:r>
        <w:t xml:space="preserve"> “Report”</w:t>
      </w:r>
      <w:r w:rsidR="00C55CB8" w:rsidRPr="00C55CB8">
        <w:t xml:space="preserve"> </w:t>
      </w:r>
      <w:r w:rsidR="00C55CB8">
        <w:t>(s</w:t>
      </w:r>
      <w:r w:rsidR="00C55CB8" w:rsidRPr="008F7048">
        <w:t xml:space="preserve">ee document </w:t>
      </w:r>
      <w:r w:rsidR="00C55CB8" w:rsidRPr="00C55CB8">
        <w:t>TC/54/31 Corr.</w:t>
      </w:r>
      <w:r w:rsidR="00C55CB8">
        <w:t xml:space="preserve"> “Report”, paragraphs 290 and 291)</w:t>
      </w:r>
      <w:r>
        <w:t>.</w:t>
      </w:r>
    </w:p>
    <w:p w:rsidR="0044336B" w:rsidRDefault="0044336B" w:rsidP="0044336B"/>
    <w:p w:rsidR="0044336B" w:rsidRDefault="0044336B" w:rsidP="0044336B">
      <w:pPr>
        <w:rPr>
          <w:spacing w:val="-2"/>
        </w:rPr>
      </w:pPr>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Pr>
          <w:spacing w:val="-2"/>
        </w:rPr>
        <w:t xml:space="preserve">On the above basis, the TC agreed that </w:t>
      </w:r>
      <w:proofErr w:type="gramStart"/>
      <w:r>
        <w:rPr>
          <w:spacing w:val="-2"/>
        </w:rPr>
        <w:t>a revision of document TGP/15/1 (document TGP/15/2 Draft 2) should be put forward for adoption by the Council</w:t>
      </w:r>
      <w:proofErr w:type="gramEnd"/>
      <w:r>
        <w:rPr>
          <w:spacing w:val="-2"/>
        </w:rPr>
        <w:t xml:space="preserve"> at its fifty-third ordinary session, subject to the approval of the CAJ at its seventy-sixth session.</w:t>
      </w:r>
    </w:p>
    <w:p w:rsidR="0044336B" w:rsidRDefault="0044336B" w:rsidP="0044336B">
      <w:pPr>
        <w:rPr>
          <w:spacing w:val="-2"/>
        </w:rPr>
      </w:pPr>
    </w:p>
    <w:p w:rsidR="0044336B" w:rsidRDefault="0044336B" w:rsidP="0044336B">
      <w:pPr>
        <w:rPr>
          <w:bCs/>
          <w:snapToGrid w:val="0"/>
          <w:szCs w:val="24"/>
        </w:rPr>
      </w:pPr>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Pr>
          <w:spacing w:val="-2"/>
        </w:rPr>
        <w:t xml:space="preserve">The </w:t>
      </w:r>
      <w:proofErr w:type="gramStart"/>
      <w:r>
        <w:rPr>
          <w:spacing w:val="-2"/>
        </w:rPr>
        <w:t>French, German and Spanish translations of the original English text have been checked by the relevant members of the Editorial Committee</w:t>
      </w:r>
      <w:proofErr w:type="gramEnd"/>
      <w:r>
        <w:rPr>
          <w:spacing w:val="-2"/>
        </w:rPr>
        <w:t xml:space="preserve"> prior to submission of the draft of document TGP/15/2 to the Council.  Document TGP/15/2 Draft 2 incorporates the amendments agreed by the TC, as presented in Annex V to this document, and the linguistic changes made by the relevant members of the Editorial Committee.</w:t>
      </w:r>
    </w:p>
    <w:p w:rsidR="0044336B" w:rsidRDefault="0044336B" w:rsidP="0044336B"/>
    <w:p w:rsidR="0044336B" w:rsidRPr="00294914" w:rsidRDefault="0044336B" w:rsidP="0044336B">
      <w:pPr>
        <w:pStyle w:val="DecisionParagraphs"/>
        <w:keepNext/>
        <w:keepLines/>
      </w:pPr>
      <w:r w:rsidRPr="00254FA7">
        <w:lastRenderedPageBreak/>
        <w:fldChar w:fldCharType="begin"/>
      </w:r>
      <w:r w:rsidRPr="00254FA7">
        <w:instrText xml:space="preserve"> AUTONUM  </w:instrText>
      </w:r>
      <w:r w:rsidRPr="00254FA7">
        <w:fldChar w:fldCharType="end"/>
      </w:r>
      <w:r w:rsidRPr="00254FA7">
        <w:tab/>
        <w:t xml:space="preserve">The </w:t>
      </w:r>
      <w:r w:rsidR="00C40ED8">
        <w:t>TC</w:t>
      </w:r>
      <w:r w:rsidRPr="00254FA7">
        <w:t xml:space="preserve"> is invited to </w:t>
      </w:r>
      <w:r w:rsidR="00764773">
        <w:t>note</w:t>
      </w:r>
      <w:r>
        <w:t xml:space="preserve"> the </w:t>
      </w:r>
      <w:r w:rsidRPr="00254FA7">
        <w:t xml:space="preserve">revision of document </w:t>
      </w:r>
      <w:r>
        <w:t xml:space="preserve">TGP/15 </w:t>
      </w:r>
      <w:r w:rsidRPr="001239A8">
        <w:rPr>
          <w:caps/>
        </w:rPr>
        <w:t>“</w:t>
      </w:r>
      <w:r w:rsidRPr="003E7167">
        <w:t>Guidance on the use of Biochemical and Molecular Markers in the examination of Distinctness, Uniformity and Stability (DUS)”</w:t>
      </w:r>
      <w:r>
        <w:t xml:space="preserve"> (document TGP/15/1)</w:t>
      </w:r>
      <w:r w:rsidRPr="00254FA7">
        <w:t xml:space="preserve">, </w:t>
      </w:r>
      <w:r w:rsidR="00764773">
        <w:rPr>
          <w:spacing w:val="-2"/>
        </w:rPr>
        <w:t>be put forward for adoption by the Council at its fifty-third ordinary session, subject to the approval of the CAJ at its seventy-sixth session,</w:t>
      </w:r>
      <w:r w:rsidR="00764773" w:rsidRPr="00254FA7">
        <w:t xml:space="preserve"> </w:t>
      </w:r>
      <w:r w:rsidRPr="00254FA7">
        <w:t>on the bas</w:t>
      </w:r>
      <w:r w:rsidR="00C40ED8">
        <w:t>is of document TGP/15/2 Draft 2</w:t>
      </w:r>
      <w:r>
        <w:t xml:space="preserve">. </w:t>
      </w:r>
    </w:p>
    <w:p w:rsidR="0044336B" w:rsidRDefault="0044336B" w:rsidP="0044336B">
      <w:pPr>
        <w:tabs>
          <w:tab w:val="left" w:pos="5387"/>
        </w:tabs>
      </w:pPr>
    </w:p>
    <w:p w:rsidR="0044336B" w:rsidRDefault="0044336B" w:rsidP="0044336B">
      <w:pPr>
        <w:tabs>
          <w:tab w:val="left" w:pos="5387"/>
        </w:tabs>
      </w:pPr>
    </w:p>
    <w:p w:rsidR="0044336B" w:rsidRPr="003D0EB7" w:rsidRDefault="0044336B" w:rsidP="0044336B">
      <w:pPr>
        <w:pStyle w:val="Heading2"/>
        <w:rPr>
          <w:snapToGrid w:val="0"/>
        </w:rPr>
      </w:pPr>
      <w:bookmarkStart w:id="30" w:name="_Toc15566522"/>
      <w:bookmarkStart w:id="31" w:name="_Toc21683352"/>
      <w:r>
        <w:rPr>
          <w:snapToGrid w:val="0"/>
        </w:rPr>
        <w:t xml:space="preserve">Document TGP/0:  </w:t>
      </w:r>
      <w:r w:rsidRPr="003D0EB7">
        <w:rPr>
          <w:snapToGrid w:val="0"/>
        </w:rPr>
        <w:t>List of TGP documents and latest issue dates (Revision) (document TGP/0/11 Draft 1)</w:t>
      </w:r>
      <w:bookmarkEnd w:id="30"/>
      <w:bookmarkEnd w:id="31"/>
      <w:r w:rsidRPr="003D0EB7">
        <w:rPr>
          <w:snapToGrid w:val="0"/>
        </w:rPr>
        <w:t xml:space="preserve"> </w:t>
      </w:r>
    </w:p>
    <w:p w:rsidR="0044336B" w:rsidRDefault="0044336B" w:rsidP="0044336B">
      <w:pPr>
        <w:keepNext/>
      </w:pPr>
    </w:p>
    <w:p w:rsidR="0044336B" w:rsidRPr="0015114A" w:rsidRDefault="0044336B" w:rsidP="0044336B">
      <w:pPr>
        <w:keepNext/>
        <w:rPr>
          <w:rFonts w:cs="Arial"/>
        </w:rPr>
      </w:pPr>
      <w:r w:rsidRPr="00A06E76">
        <w:fldChar w:fldCharType="begin"/>
      </w:r>
      <w:r w:rsidRPr="00A06E76">
        <w:instrText xml:space="preserve"> AUTONUM  </w:instrText>
      </w:r>
      <w:r w:rsidRPr="00A06E76">
        <w:fldChar w:fldCharType="end"/>
      </w:r>
      <w:r w:rsidRPr="00A06E76">
        <w:tab/>
      </w:r>
      <w:r w:rsidRPr="00027ED8">
        <w:t xml:space="preserve">The </w:t>
      </w:r>
      <w:r w:rsidR="000317FB">
        <w:t>TC</w:t>
      </w:r>
      <w:r w:rsidRPr="00027ED8">
        <w:t xml:space="preserve"> is invited to note that</w:t>
      </w:r>
      <w:r>
        <w:t>,</w:t>
      </w:r>
      <w:r w:rsidRPr="00027ED8">
        <w:t xml:space="preserve"> </w:t>
      </w:r>
      <w:r>
        <w:t>i</w:t>
      </w:r>
      <w:r w:rsidRPr="00A06E76">
        <w:t>n conjunction with</w:t>
      </w:r>
      <w:r w:rsidRPr="0015114A">
        <w:t xml:space="preserve"> the adoption of the revised TGP documents </w:t>
      </w:r>
      <w:r w:rsidRPr="0015114A">
        <w:rPr>
          <w:lang w:eastAsia="zh-CN"/>
        </w:rPr>
        <w:t xml:space="preserve">at the </w:t>
      </w:r>
      <w:r w:rsidRPr="0015114A">
        <w:t>fifty</w:t>
      </w:r>
      <w:r w:rsidRPr="0015114A">
        <w:noBreakHyphen/>
      </w:r>
      <w:r>
        <w:t>third</w:t>
      </w:r>
      <w:r w:rsidRPr="0015114A">
        <w:t> </w:t>
      </w:r>
      <w:r w:rsidRPr="0015114A">
        <w:rPr>
          <w:lang w:eastAsia="zh-CN"/>
        </w:rPr>
        <w:t>ordinary session of the</w:t>
      </w:r>
      <w:r>
        <w:rPr>
          <w:lang w:eastAsia="zh-CN"/>
        </w:rPr>
        <w:t> </w:t>
      </w:r>
      <w:r w:rsidRPr="0015114A">
        <w:rPr>
          <w:lang w:eastAsia="zh-CN"/>
        </w:rPr>
        <w:t>Council</w:t>
      </w:r>
      <w:r w:rsidRPr="0015114A">
        <w:t xml:space="preserve">, </w:t>
      </w:r>
      <w:r>
        <w:t xml:space="preserve">the Council will be invited </w:t>
      </w:r>
      <w:r w:rsidRPr="0015114A">
        <w:t>to adop</w:t>
      </w:r>
      <w:r>
        <w:t>t a revision of document TGP/0 </w:t>
      </w:r>
      <w:r w:rsidRPr="0015114A">
        <w:rPr>
          <w:lang w:eastAsia="zh-CN"/>
        </w:rPr>
        <w:t>“List of TGP documents and latest</w:t>
      </w:r>
      <w:r>
        <w:rPr>
          <w:lang w:eastAsia="zh-CN"/>
        </w:rPr>
        <w:t xml:space="preserve"> issue dates” (document TGP/0/10</w:t>
      </w:r>
      <w:r w:rsidRPr="0015114A">
        <w:rPr>
          <w:lang w:eastAsia="zh-CN"/>
        </w:rPr>
        <w:t xml:space="preserve">) </w:t>
      </w:r>
      <w:r w:rsidRPr="0015114A">
        <w:t>o</w:t>
      </w:r>
      <w:r>
        <w:t>n the basis of document TGP/0/11</w:t>
      </w:r>
      <w:r w:rsidRPr="0015114A">
        <w:t> Draft 1</w:t>
      </w:r>
      <w:r w:rsidRPr="0015114A">
        <w:rPr>
          <w:rFonts w:cs="Arial"/>
        </w:rPr>
        <w:t>.</w:t>
      </w:r>
    </w:p>
    <w:p w:rsidR="0044336B" w:rsidRPr="0015114A" w:rsidRDefault="0044336B" w:rsidP="0044336B"/>
    <w:p w:rsidR="0044336B" w:rsidRDefault="0044336B" w:rsidP="0044336B">
      <w:pPr>
        <w:tabs>
          <w:tab w:val="left" w:pos="5387"/>
          <w:tab w:val="left" w:pos="5954"/>
        </w:tabs>
        <w:ind w:left="4820"/>
      </w:pPr>
      <w:r w:rsidRPr="0015114A">
        <w:rPr>
          <w:i/>
        </w:rPr>
        <w:fldChar w:fldCharType="begin"/>
      </w:r>
      <w:r w:rsidRPr="0015114A">
        <w:rPr>
          <w:i/>
        </w:rPr>
        <w:instrText xml:space="preserve"> AUTONUM  </w:instrText>
      </w:r>
      <w:r w:rsidRPr="0015114A">
        <w:rPr>
          <w:i/>
        </w:rPr>
        <w:fldChar w:fldCharType="end"/>
      </w:r>
      <w:r w:rsidRPr="0015114A">
        <w:rPr>
          <w:i/>
        </w:rPr>
        <w:tab/>
        <w:t xml:space="preserve">The </w:t>
      </w:r>
      <w:r w:rsidR="000317FB">
        <w:rPr>
          <w:i/>
        </w:rPr>
        <w:t>TC</w:t>
      </w:r>
      <w:r>
        <w:rPr>
          <w:i/>
        </w:rPr>
        <w:t xml:space="preserve"> is invited to note that, </w:t>
      </w:r>
      <w:r w:rsidRPr="00027ED8">
        <w:rPr>
          <w:i/>
        </w:rPr>
        <w:t>in conjunction with the adoption of the rev</w:t>
      </w:r>
      <w:r>
        <w:rPr>
          <w:i/>
        </w:rPr>
        <w:t xml:space="preserve">ised TGP documents </w:t>
      </w:r>
      <w:r>
        <w:rPr>
          <w:i/>
        </w:rPr>
        <w:br/>
        <w:t>at the fifty-</w:t>
      </w:r>
      <w:r w:rsidRPr="00027ED8">
        <w:rPr>
          <w:i/>
        </w:rPr>
        <w:t xml:space="preserve">third ordinary session of the Council, </w:t>
      </w:r>
      <w:r>
        <w:rPr>
          <w:i/>
        </w:rPr>
        <w:br/>
      </w:r>
      <w:r w:rsidRPr="00027ED8">
        <w:rPr>
          <w:i/>
        </w:rPr>
        <w:t>the Council will be invited to adopt a revision of document TGP</w:t>
      </w:r>
      <w:r>
        <w:rPr>
          <w:i/>
        </w:rPr>
        <w:t>/</w:t>
      </w:r>
      <w:r w:rsidRPr="00027ED8">
        <w:rPr>
          <w:i/>
        </w:rPr>
        <w:t>0 “List of TGP documents and latest issue dates” (document TGP/0/1</w:t>
      </w:r>
      <w:r>
        <w:rPr>
          <w:i/>
        </w:rPr>
        <w:t>0</w:t>
      </w:r>
      <w:r w:rsidRPr="00027ED8">
        <w:rPr>
          <w:i/>
        </w:rPr>
        <w:t>)</w:t>
      </w:r>
      <w:r>
        <w:rPr>
          <w:i/>
        </w:rPr>
        <w:t>,</w:t>
      </w:r>
      <w:r w:rsidRPr="00027ED8">
        <w:rPr>
          <w:i/>
        </w:rPr>
        <w:t xml:space="preserve"> on the</w:t>
      </w:r>
      <w:r>
        <w:rPr>
          <w:i/>
        </w:rPr>
        <w:t xml:space="preserve"> basis of document </w:t>
      </w:r>
      <w:r w:rsidRPr="00027ED8">
        <w:rPr>
          <w:i/>
        </w:rPr>
        <w:t>TGP/0/11 Draft 1.</w:t>
      </w:r>
      <w:r>
        <w:t xml:space="preserve"> </w:t>
      </w:r>
    </w:p>
    <w:p w:rsidR="0044336B" w:rsidRPr="009956BC" w:rsidRDefault="0044336B" w:rsidP="009956BC"/>
    <w:p w:rsidR="009956BC" w:rsidRDefault="009956BC" w:rsidP="009956BC"/>
    <w:p w:rsidR="00986672" w:rsidRPr="009956BC" w:rsidRDefault="00986672" w:rsidP="009956BC"/>
    <w:p w:rsidR="009956BC" w:rsidRPr="009956BC" w:rsidRDefault="009956BC" w:rsidP="009956BC">
      <w:pPr>
        <w:keepNext/>
        <w:outlineLvl w:val="0"/>
        <w:rPr>
          <w:caps/>
        </w:rPr>
      </w:pPr>
      <w:bookmarkStart w:id="32" w:name="_Toc21683353"/>
      <w:r w:rsidRPr="009956BC">
        <w:rPr>
          <w:caps/>
        </w:rPr>
        <w:t>possible future revisions of tgp documents</w:t>
      </w:r>
      <w:bookmarkEnd w:id="32"/>
    </w:p>
    <w:p w:rsidR="009956BC" w:rsidRPr="009956BC" w:rsidRDefault="009956BC" w:rsidP="009956BC"/>
    <w:p w:rsidR="009956BC" w:rsidRPr="009956BC" w:rsidRDefault="000F1B8F" w:rsidP="000F1B8F">
      <w:pPr>
        <w:pStyle w:val="Heading2"/>
      </w:pPr>
      <w:bookmarkStart w:id="33" w:name="_Toc21683354"/>
      <w:r>
        <w:t>Matters to be considered by the Technical Committee</w:t>
      </w:r>
      <w:bookmarkEnd w:id="33"/>
    </w:p>
    <w:p w:rsidR="009956BC" w:rsidRPr="009956BC" w:rsidRDefault="009956BC" w:rsidP="009956BC"/>
    <w:p w:rsidR="009956BC" w:rsidRPr="009956BC" w:rsidRDefault="009956BC" w:rsidP="000F1B8F">
      <w:pPr>
        <w:pStyle w:val="Heading3"/>
      </w:pPr>
      <w:bookmarkStart w:id="34" w:name="_Toc512250116"/>
      <w:bookmarkStart w:id="35" w:name="_Toc21683355"/>
      <w:r w:rsidRPr="009956BC">
        <w:t>TGP/7: Development of Test Guidelines</w:t>
      </w:r>
      <w:bookmarkEnd w:id="34"/>
      <w:bookmarkEnd w:id="35"/>
    </w:p>
    <w:p w:rsidR="009956BC" w:rsidRPr="009956BC" w:rsidRDefault="009956BC" w:rsidP="009956BC">
      <w:pPr>
        <w:keepNext/>
        <w:keepLines/>
      </w:pPr>
    </w:p>
    <w:p w:rsidR="009956BC" w:rsidRPr="00134CDD" w:rsidRDefault="009956BC" w:rsidP="000F1B8F">
      <w:pPr>
        <w:pStyle w:val="Heading4"/>
        <w:rPr>
          <w:rFonts w:eastAsia="MS Mincho"/>
          <w:lang w:val="en-US"/>
        </w:rPr>
      </w:pPr>
      <w:bookmarkStart w:id="36" w:name="_Toc21683356"/>
      <w:r w:rsidRPr="00134CDD">
        <w:rPr>
          <w:rFonts w:eastAsia="MS Mincho"/>
          <w:lang w:val="en-US"/>
        </w:rPr>
        <w:t>Characteristics which only apply to certain varieties</w:t>
      </w:r>
      <w:bookmarkEnd w:id="36"/>
    </w:p>
    <w:p w:rsidR="009956BC" w:rsidRPr="009956BC" w:rsidRDefault="009956BC" w:rsidP="009956BC">
      <w:pPr>
        <w:keepNext/>
        <w:keepLines/>
        <w:ind w:left="1134" w:firstLine="567"/>
      </w:pPr>
      <w:r w:rsidRPr="009956BC">
        <w:t xml:space="preserve">See document </w:t>
      </w:r>
      <w:r w:rsidR="000F1B8F">
        <w:t>TC/55/12</w:t>
      </w:r>
    </w:p>
    <w:p w:rsidR="009956BC" w:rsidRPr="009956BC" w:rsidRDefault="009956BC" w:rsidP="009956BC">
      <w:pPr>
        <w:keepNext/>
        <w:keepLines/>
        <w:ind w:left="1134"/>
      </w:pPr>
    </w:p>
    <w:p w:rsidR="009956BC" w:rsidRPr="009956BC" w:rsidRDefault="009956BC" w:rsidP="000F1B8F">
      <w:pPr>
        <w:pStyle w:val="Heading3"/>
      </w:pPr>
      <w:bookmarkStart w:id="37" w:name="_Toc21683357"/>
      <w:r w:rsidRPr="009956BC">
        <w:t>TGP/8: Trial Design and Techniques Used in the Examination of Distinctness, Uniformity and Stability</w:t>
      </w:r>
      <w:bookmarkEnd w:id="37"/>
    </w:p>
    <w:p w:rsidR="009956BC" w:rsidRPr="009956BC" w:rsidRDefault="009956BC" w:rsidP="009956BC"/>
    <w:p w:rsidR="009956BC" w:rsidRPr="00134CDD" w:rsidRDefault="009956BC" w:rsidP="000F1B8F">
      <w:pPr>
        <w:pStyle w:val="Heading4"/>
        <w:rPr>
          <w:rFonts w:eastAsia="MS Mincho"/>
          <w:lang w:val="en-US"/>
        </w:rPr>
      </w:pPr>
      <w:bookmarkStart w:id="38" w:name="_Toc21683358"/>
      <w:r w:rsidRPr="00134CDD">
        <w:rPr>
          <w:rFonts w:eastAsia="MS Mincho"/>
          <w:lang w:val="en-US"/>
        </w:rPr>
        <w:t>The Combined-Over-Years Uniformity Criterion (COYU)</w:t>
      </w:r>
      <w:bookmarkEnd w:id="38"/>
    </w:p>
    <w:p w:rsidR="009956BC" w:rsidRPr="009956BC" w:rsidRDefault="009956BC" w:rsidP="009956BC">
      <w:pPr>
        <w:keepNext/>
      </w:pPr>
    </w:p>
    <w:p w:rsidR="009956BC" w:rsidRPr="009956BC" w:rsidRDefault="009956BC" w:rsidP="009956BC">
      <w:pPr>
        <w:keepNext/>
      </w:pPr>
      <w:r w:rsidRPr="009956BC">
        <w:fldChar w:fldCharType="begin"/>
      </w:r>
      <w:r w:rsidRPr="009956BC">
        <w:instrText xml:space="preserve"> AUTONUM  </w:instrText>
      </w:r>
      <w:r w:rsidRPr="009956BC">
        <w:fldChar w:fldCharType="end"/>
      </w:r>
      <w:r w:rsidRPr="009956BC">
        <w:tab/>
        <w:t>The TC</w:t>
      </w:r>
      <w:r w:rsidR="00D35BC0">
        <w:t>, at its fifty-fourth session,</w:t>
      </w:r>
      <w:r w:rsidRPr="009956BC">
        <w:t xml:space="preserve"> considered document TC/54/17 “The combined-over-years uniformity criterion (COYU)” (see document TC/54/31 “Report”, paragraphs 221 to 224).</w:t>
      </w:r>
    </w:p>
    <w:p w:rsidR="009956BC" w:rsidRPr="009956BC" w:rsidRDefault="009956BC" w:rsidP="009956BC"/>
    <w:p w:rsidR="009956BC" w:rsidRPr="009956BC" w:rsidRDefault="009956BC" w:rsidP="009956BC">
      <w:pPr>
        <w:rPr>
          <w:bCs/>
        </w:rPr>
      </w:pPr>
      <w:r w:rsidRPr="009956BC">
        <w:fldChar w:fldCharType="begin"/>
      </w:r>
      <w:r w:rsidRPr="009956BC">
        <w:instrText xml:space="preserve"> AUTONUM  </w:instrText>
      </w:r>
      <w:r w:rsidRPr="009956BC">
        <w:fldChar w:fldCharType="end"/>
      </w:r>
      <w:r w:rsidRPr="009956BC">
        <w:tab/>
        <w:t xml:space="preserve">The TC noted that the statistical development of the new method of calculation of COYU </w:t>
      </w:r>
      <w:proofErr w:type="gramStart"/>
      <w:r w:rsidRPr="009956BC">
        <w:t>had been completed</w:t>
      </w:r>
      <w:proofErr w:type="gramEnd"/>
      <w:r w:rsidRPr="009956BC">
        <w:t xml:space="preserve">, including the establishment of the probability levels required </w:t>
      </w:r>
      <w:r w:rsidRPr="009956BC">
        <w:rPr>
          <w:bCs/>
        </w:rPr>
        <w:t xml:space="preserve">to most closely match decisions using the current method for calculation of COYU.  </w:t>
      </w:r>
    </w:p>
    <w:p w:rsidR="009956BC" w:rsidRPr="009956BC" w:rsidRDefault="009956BC" w:rsidP="009956BC"/>
    <w:p w:rsidR="009956BC" w:rsidRPr="009956BC" w:rsidRDefault="009956BC" w:rsidP="009956BC">
      <w:r w:rsidRPr="009956BC">
        <w:fldChar w:fldCharType="begin"/>
      </w:r>
      <w:r w:rsidRPr="009956BC">
        <w:instrText xml:space="preserve"> AUTONUM  </w:instrText>
      </w:r>
      <w:r w:rsidRPr="009956BC">
        <w:fldChar w:fldCharType="end"/>
      </w:r>
      <w:r w:rsidRPr="009956BC">
        <w:tab/>
        <w:t>The TC noted the invitation by the United Kingdom for interested experts to get in contact for testing the new software containing the improved method of calculation of COYU.</w:t>
      </w:r>
    </w:p>
    <w:p w:rsidR="009956BC" w:rsidRPr="009956BC" w:rsidRDefault="009956BC" w:rsidP="009956BC"/>
    <w:p w:rsidR="009956BC" w:rsidRDefault="009956BC" w:rsidP="009956BC">
      <w:pPr>
        <w:rPr>
          <w:iCs/>
        </w:rPr>
      </w:pPr>
      <w:r w:rsidRPr="009956BC">
        <w:fldChar w:fldCharType="begin"/>
      </w:r>
      <w:r w:rsidRPr="009956BC">
        <w:instrText xml:space="preserve"> AUTONUM  </w:instrText>
      </w:r>
      <w:r w:rsidRPr="009956BC">
        <w:fldChar w:fldCharType="end"/>
      </w:r>
      <w:r w:rsidRPr="009956BC">
        <w:tab/>
        <w:t>The TC noted the invitation by the</w:t>
      </w:r>
      <w:r w:rsidRPr="009956BC">
        <w:rPr>
          <w:iCs/>
        </w:rPr>
        <w:t xml:space="preserve"> TWC for the expert from the United Kingdom to draft a replacement section for document TGP/8 on the method of calculation of COYU.</w:t>
      </w:r>
    </w:p>
    <w:p w:rsidR="00B725AE" w:rsidRDefault="00B725AE" w:rsidP="009956BC">
      <w:pPr>
        <w:rPr>
          <w:iCs/>
        </w:rPr>
      </w:pPr>
    </w:p>
    <w:p w:rsidR="00B725AE" w:rsidRPr="009956BC" w:rsidRDefault="00B725AE" w:rsidP="009956BC">
      <w:r>
        <w:fldChar w:fldCharType="begin"/>
      </w:r>
      <w:r>
        <w:instrText xml:space="preserve"> AUTONUM  </w:instrText>
      </w:r>
      <w:r>
        <w:fldChar w:fldCharType="end"/>
      </w:r>
      <w:r>
        <w:tab/>
        <w:t>The TWC, at its thirty-sevent</w:t>
      </w:r>
      <w:r w:rsidR="00151149">
        <w:t>h</w:t>
      </w:r>
      <w:r>
        <w:t xml:space="preserve"> session, to be held in Hangzhou, China, from October 14 to 16, 2019, will consider a </w:t>
      </w:r>
      <w:r w:rsidRPr="009956BC">
        <w:rPr>
          <w:iCs/>
        </w:rPr>
        <w:t>draft replacement section for document TGP/8 on the method of calculation of COYU</w:t>
      </w:r>
      <w:r>
        <w:rPr>
          <w:iCs/>
        </w:rPr>
        <w:t xml:space="preserve">, </w:t>
      </w:r>
      <w:proofErr w:type="gramStart"/>
      <w:r>
        <w:rPr>
          <w:iCs/>
        </w:rPr>
        <w:t>on the basis of</w:t>
      </w:r>
      <w:proofErr w:type="gramEnd"/>
      <w:r>
        <w:rPr>
          <w:iCs/>
        </w:rPr>
        <w:t xml:space="preserve"> a document prepared by an expert from the United Kingdom.  Developments </w:t>
      </w:r>
      <w:r w:rsidR="00151149">
        <w:rPr>
          <w:iCs/>
        </w:rPr>
        <w:t xml:space="preserve">on this matter </w:t>
      </w:r>
      <w:r>
        <w:rPr>
          <w:iCs/>
        </w:rPr>
        <w:t>at the thirty</w:t>
      </w:r>
      <w:r w:rsidR="00151149">
        <w:rPr>
          <w:iCs/>
        </w:rPr>
        <w:noBreakHyphen/>
      </w:r>
      <w:r>
        <w:rPr>
          <w:iCs/>
        </w:rPr>
        <w:t>sevent</w:t>
      </w:r>
      <w:r w:rsidR="00151149">
        <w:rPr>
          <w:iCs/>
        </w:rPr>
        <w:t>h</w:t>
      </w:r>
      <w:r>
        <w:rPr>
          <w:iCs/>
        </w:rPr>
        <w:t xml:space="preserve"> session of the TWC </w:t>
      </w:r>
      <w:proofErr w:type="gramStart"/>
      <w:r>
        <w:rPr>
          <w:iCs/>
        </w:rPr>
        <w:t xml:space="preserve">will </w:t>
      </w:r>
      <w:r w:rsidR="00151149">
        <w:rPr>
          <w:iCs/>
        </w:rPr>
        <w:t xml:space="preserve">be </w:t>
      </w:r>
      <w:r>
        <w:rPr>
          <w:iCs/>
        </w:rPr>
        <w:t>reported</w:t>
      </w:r>
      <w:proofErr w:type="gramEnd"/>
      <w:r>
        <w:rPr>
          <w:iCs/>
        </w:rPr>
        <w:t xml:space="preserve"> to the TC as an addendum to this document.</w:t>
      </w:r>
    </w:p>
    <w:p w:rsidR="009956BC" w:rsidRDefault="009956BC" w:rsidP="009956BC">
      <w:pPr>
        <w:ind w:left="567"/>
      </w:pPr>
    </w:p>
    <w:p w:rsidR="009956BC" w:rsidRPr="00020BA0" w:rsidRDefault="009956BC" w:rsidP="00986672">
      <w:pPr>
        <w:pStyle w:val="Heading4"/>
        <w:rPr>
          <w:rFonts w:eastAsia="MS Mincho"/>
          <w:lang w:val="en-US"/>
        </w:rPr>
      </w:pPr>
      <w:bookmarkStart w:id="39" w:name="_Toc21683359"/>
      <w:r w:rsidRPr="00020BA0">
        <w:rPr>
          <w:rFonts w:eastAsia="MS Mincho"/>
          <w:lang w:val="en-US"/>
        </w:rPr>
        <w:lastRenderedPageBreak/>
        <w:t>Data Processing for the Assessment of Distinctness and for Producing Variety Descriptions</w:t>
      </w:r>
      <w:bookmarkEnd w:id="39"/>
    </w:p>
    <w:p w:rsidR="009956BC" w:rsidRPr="009956BC" w:rsidRDefault="009956BC" w:rsidP="00986672">
      <w:pPr>
        <w:keepNext/>
        <w:keepLines/>
        <w:ind w:left="1134" w:firstLine="567"/>
      </w:pPr>
      <w:r w:rsidRPr="009956BC">
        <w:t xml:space="preserve">See document </w:t>
      </w:r>
      <w:r w:rsidR="000F1B8F">
        <w:t>TC/55/13</w:t>
      </w:r>
    </w:p>
    <w:p w:rsidR="009956BC" w:rsidRDefault="009956BC" w:rsidP="00986672">
      <w:pPr>
        <w:keepNext/>
      </w:pPr>
    </w:p>
    <w:p w:rsidR="002D1193" w:rsidRDefault="002D1193" w:rsidP="00986672">
      <w:pPr>
        <w:keepNext/>
      </w:pPr>
    </w:p>
    <w:p w:rsidR="009956BC" w:rsidRPr="009956BC" w:rsidRDefault="009956BC" w:rsidP="00986672">
      <w:pPr>
        <w:pStyle w:val="Heading3"/>
      </w:pPr>
      <w:bookmarkStart w:id="40" w:name="_Toc21683360"/>
      <w:proofErr w:type="spellStart"/>
      <w:r w:rsidRPr="009956BC">
        <w:t>TGP</w:t>
      </w:r>
      <w:proofErr w:type="spellEnd"/>
      <w:r w:rsidRPr="009956BC">
        <w:t>/14: Glossary of Terms Used in UPOV Documents</w:t>
      </w:r>
      <w:bookmarkEnd w:id="40"/>
    </w:p>
    <w:p w:rsidR="009956BC" w:rsidRPr="009956BC" w:rsidRDefault="009956BC" w:rsidP="00986672">
      <w:pPr>
        <w:keepNext/>
      </w:pPr>
    </w:p>
    <w:p w:rsidR="009956BC" w:rsidRPr="00134CDD" w:rsidRDefault="009956BC" w:rsidP="00986672">
      <w:pPr>
        <w:pStyle w:val="Heading4"/>
        <w:rPr>
          <w:rFonts w:eastAsia="MS Mincho"/>
          <w:lang w:val="en-US"/>
        </w:rPr>
      </w:pPr>
      <w:bookmarkStart w:id="41" w:name="_Toc21683361"/>
      <w:r w:rsidRPr="00134CDD">
        <w:rPr>
          <w:rFonts w:eastAsia="MS Mincho"/>
          <w:lang w:val="en-US"/>
        </w:rPr>
        <w:t xml:space="preserve">Color names for the </w:t>
      </w:r>
      <w:proofErr w:type="spellStart"/>
      <w:r w:rsidRPr="00134CDD">
        <w:rPr>
          <w:rFonts w:eastAsia="MS Mincho"/>
          <w:lang w:val="en-US"/>
        </w:rPr>
        <w:t>RHS</w:t>
      </w:r>
      <w:proofErr w:type="spellEnd"/>
      <w:r w:rsidRPr="00134CDD">
        <w:rPr>
          <w:rFonts w:eastAsia="MS Mincho"/>
          <w:lang w:val="en-US"/>
        </w:rPr>
        <w:t xml:space="preserve"> </w:t>
      </w:r>
      <w:proofErr w:type="spellStart"/>
      <w:r w:rsidRPr="00134CDD">
        <w:rPr>
          <w:rFonts w:eastAsia="MS Mincho"/>
          <w:lang w:val="en-US"/>
        </w:rPr>
        <w:t>Colour</w:t>
      </w:r>
      <w:proofErr w:type="spellEnd"/>
      <w:r w:rsidRPr="00134CDD">
        <w:rPr>
          <w:rFonts w:eastAsia="MS Mincho"/>
          <w:lang w:val="en-US"/>
        </w:rPr>
        <w:t xml:space="preserve"> Chart</w:t>
      </w:r>
      <w:bookmarkEnd w:id="41"/>
    </w:p>
    <w:p w:rsidR="009956BC" w:rsidRPr="009956BC" w:rsidRDefault="009956BC" w:rsidP="00986672">
      <w:pPr>
        <w:keepNext/>
        <w:keepLines/>
        <w:ind w:left="1134" w:firstLine="567"/>
      </w:pPr>
      <w:r w:rsidRPr="009956BC">
        <w:t xml:space="preserve">See document </w:t>
      </w:r>
      <w:r w:rsidR="000F1B8F">
        <w:t>TC/55/14</w:t>
      </w:r>
    </w:p>
    <w:p w:rsidR="009956BC" w:rsidRPr="009956BC" w:rsidRDefault="009956BC" w:rsidP="009956BC">
      <w:pPr>
        <w:tabs>
          <w:tab w:val="left" w:pos="5387"/>
        </w:tabs>
      </w:pPr>
    </w:p>
    <w:p w:rsidR="009956BC" w:rsidRPr="009956BC" w:rsidRDefault="009956BC" w:rsidP="000F1B8F">
      <w:pPr>
        <w:pStyle w:val="Heading3"/>
      </w:pPr>
      <w:bookmarkStart w:id="42" w:name="_Toc21683362"/>
      <w:r w:rsidRPr="009956BC">
        <w:t>TGP/15: Guidance on the Use of Biochemical and Molecular Markers in the Examination of Distinctness, Uniformity and Stability (DUS)</w:t>
      </w:r>
      <w:bookmarkEnd w:id="42"/>
      <w:r w:rsidRPr="009956BC">
        <w:t xml:space="preserve"> </w:t>
      </w:r>
    </w:p>
    <w:p w:rsidR="009956BC" w:rsidRPr="009956BC" w:rsidRDefault="009956BC" w:rsidP="009956BC"/>
    <w:p w:rsidR="009956BC" w:rsidRPr="00134CDD" w:rsidRDefault="009956BC" w:rsidP="000F1B8F">
      <w:pPr>
        <w:pStyle w:val="Heading4"/>
        <w:rPr>
          <w:rFonts w:eastAsia="MS Mincho"/>
          <w:lang w:val="en-US"/>
        </w:rPr>
      </w:pPr>
      <w:bookmarkStart w:id="43" w:name="_Toc21683363"/>
      <w:r w:rsidRPr="00134CDD">
        <w:rPr>
          <w:rFonts w:eastAsia="MS Mincho"/>
          <w:lang w:val="en-US"/>
        </w:rPr>
        <w:t>New example: Characteristic-specific marker with incomplete information on state of expression</w:t>
      </w:r>
      <w:bookmarkEnd w:id="43"/>
    </w:p>
    <w:p w:rsidR="009956BC" w:rsidRPr="009956BC" w:rsidRDefault="009956BC" w:rsidP="009956BC">
      <w:pPr>
        <w:keepNext/>
        <w:keepLines/>
        <w:ind w:left="1134" w:firstLine="567"/>
      </w:pPr>
      <w:r w:rsidRPr="009956BC">
        <w:t xml:space="preserve">See document </w:t>
      </w:r>
      <w:r w:rsidR="000F1B8F">
        <w:t>TC/55/15</w:t>
      </w:r>
    </w:p>
    <w:p w:rsidR="009956BC" w:rsidRPr="009956BC" w:rsidRDefault="009956BC" w:rsidP="009956BC">
      <w:pPr>
        <w:tabs>
          <w:tab w:val="left" w:pos="5387"/>
        </w:tabs>
        <w:rPr>
          <w:highlight w:val="yellow"/>
        </w:rPr>
      </w:pPr>
    </w:p>
    <w:p w:rsidR="009956BC" w:rsidRPr="009956BC" w:rsidRDefault="009956BC" w:rsidP="009956BC">
      <w:pPr>
        <w:tabs>
          <w:tab w:val="left" w:pos="5387"/>
          <w:tab w:val="left" w:pos="5954"/>
        </w:tabs>
        <w:ind w:left="4820"/>
        <w:rPr>
          <w:i/>
        </w:rPr>
      </w:pPr>
      <w:r w:rsidRPr="002D1193">
        <w:rPr>
          <w:i/>
        </w:rPr>
        <w:fldChar w:fldCharType="begin"/>
      </w:r>
      <w:r w:rsidRPr="002D1193">
        <w:rPr>
          <w:i/>
        </w:rPr>
        <w:instrText xml:space="preserve"> AUTONUM  </w:instrText>
      </w:r>
      <w:r w:rsidRPr="002D1193">
        <w:rPr>
          <w:i/>
        </w:rPr>
        <w:fldChar w:fldCharType="end"/>
      </w:r>
      <w:r w:rsidRPr="002D1193">
        <w:rPr>
          <w:i/>
        </w:rPr>
        <w:tab/>
        <w:t xml:space="preserve">The </w:t>
      </w:r>
      <w:r w:rsidR="00B264B1" w:rsidRPr="002D1193">
        <w:rPr>
          <w:i/>
        </w:rPr>
        <w:t xml:space="preserve">TC </w:t>
      </w:r>
      <w:proofErr w:type="gramStart"/>
      <w:r w:rsidR="00B264B1" w:rsidRPr="002D1193">
        <w:rPr>
          <w:i/>
        </w:rPr>
        <w:t>is</w:t>
      </w:r>
      <w:r w:rsidRPr="002D1193">
        <w:rPr>
          <w:i/>
        </w:rPr>
        <w:t xml:space="preserve"> invited</w:t>
      </w:r>
      <w:proofErr w:type="gramEnd"/>
      <w:r w:rsidRPr="002D1193">
        <w:rPr>
          <w:i/>
        </w:rPr>
        <w:t xml:space="preserve"> to note:</w:t>
      </w:r>
    </w:p>
    <w:p w:rsidR="009956BC" w:rsidRPr="009956BC" w:rsidRDefault="009956BC" w:rsidP="009956BC">
      <w:pPr>
        <w:tabs>
          <w:tab w:val="left" w:pos="5387"/>
          <w:tab w:val="left" w:pos="5954"/>
        </w:tabs>
        <w:ind w:left="4820"/>
        <w:rPr>
          <w:i/>
        </w:rPr>
      </w:pPr>
    </w:p>
    <w:p w:rsidR="009956BC" w:rsidRPr="009956BC" w:rsidRDefault="009956BC" w:rsidP="009956BC">
      <w:pPr>
        <w:numPr>
          <w:ilvl w:val="0"/>
          <w:numId w:val="11"/>
        </w:numPr>
        <w:tabs>
          <w:tab w:val="left" w:pos="5387"/>
          <w:tab w:val="left" w:pos="5954"/>
        </w:tabs>
        <w:ind w:left="4820" w:firstLine="567"/>
        <w:contextualSpacing/>
        <w:rPr>
          <w:i/>
        </w:rPr>
      </w:pPr>
      <w:r w:rsidRPr="009956BC">
        <w:rPr>
          <w:i/>
        </w:rPr>
        <w:t>the matters for possible future revision of documents TGP/7, TGP/8, TGP/14 and TGP/15 which will be considered under separate documents;</w:t>
      </w:r>
    </w:p>
    <w:p w:rsidR="009956BC" w:rsidRPr="009956BC" w:rsidRDefault="009956BC" w:rsidP="009956BC">
      <w:pPr>
        <w:tabs>
          <w:tab w:val="left" w:pos="5387"/>
          <w:tab w:val="left" w:pos="5954"/>
        </w:tabs>
        <w:ind w:left="4820" w:firstLine="570"/>
        <w:rPr>
          <w:i/>
        </w:rPr>
      </w:pPr>
    </w:p>
    <w:p w:rsidR="009956BC" w:rsidRPr="009956BC" w:rsidRDefault="009956BC" w:rsidP="009956BC">
      <w:pPr>
        <w:tabs>
          <w:tab w:val="left" w:pos="5387"/>
          <w:tab w:val="left" w:pos="5954"/>
        </w:tabs>
        <w:ind w:left="4820" w:firstLine="570"/>
        <w:rPr>
          <w:i/>
        </w:rPr>
      </w:pPr>
      <w:r w:rsidRPr="009956BC">
        <w:rPr>
          <w:i/>
        </w:rPr>
        <w:t>(b)</w:t>
      </w:r>
      <w:r w:rsidRPr="009956BC">
        <w:rPr>
          <w:i/>
        </w:rPr>
        <w:tab/>
      </w:r>
      <w:proofErr w:type="gramStart"/>
      <w:r w:rsidRPr="009956BC">
        <w:rPr>
          <w:i/>
        </w:rPr>
        <w:t>the</w:t>
      </w:r>
      <w:proofErr w:type="gramEnd"/>
      <w:r w:rsidRPr="009956BC">
        <w:rPr>
          <w:i/>
        </w:rPr>
        <w:t xml:space="preserve"> invitation by the United Kingdom for interested experts to get in contact for testing the new software containing the improved method of calculation of COYU; and</w:t>
      </w:r>
    </w:p>
    <w:p w:rsidR="009956BC" w:rsidRPr="009956BC" w:rsidRDefault="009956BC" w:rsidP="009956BC">
      <w:pPr>
        <w:tabs>
          <w:tab w:val="left" w:pos="5387"/>
          <w:tab w:val="left" w:pos="5954"/>
        </w:tabs>
        <w:ind w:left="4820" w:firstLine="570"/>
        <w:rPr>
          <w:i/>
        </w:rPr>
      </w:pPr>
    </w:p>
    <w:p w:rsidR="009956BC" w:rsidRPr="009956BC" w:rsidRDefault="009956BC" w:rsidP="00151149">
      <w:pPr>
        <w:tabs>
          <w:tab w:val="left" w:pos="5387"/>
          <w:tab w:val="left" w:pos="5954"/>
        </w:tabs>
        <w:ind w:left="4820" w:firstLine="570"/>
        <w:rPr>
          <w:i/>
        </w:rPr>
      </w:pPr>
      <w:r w:rsidRPr="009956BC">
        <w:rPr>
          <w:i/>
        </w:rPr>
        <w:t>(c)</w:t>
      </w:r>
      <w:r w:rsidRPr="009956BC">
        <w:rPr>
          <w:i/>
        </w:rPr>
        <w:tab/>
      </w:r>
      <w:proofErr w:type="gramStart"/>
      <w:r w:rsidR="00151149">
        <w:rPr>
          <w:i/>
        </w:rPr>
        <w:t>that</w:t>
      </w:r>
      <w:proofErr w:type="gramEnd"/>
      <w:r w:rsidR="00151149">
        <w:rPr>
          <w:i/>
        </w:rPr>
        <w:t xml:space="preserve"> t</w:t>
      </w:r>
      <w:r w:rsidR="00151149" w:rsidRPr="00151149">
        <w:rPr>
          <w:i/>
        </w:rPr>
        <w:t>he TWC, at its thirty-sevent</w:t>
      </w:r>
      <w:r w:rsidR="00151149">
        <w:rPr>
          <w:i/>
        </w:rPr>
        <w:t>h</w:t>
      </w:r>
      <w:r w:rsidR="00151149" w:rsidRPr="00151149">
        <w:rPr>
          <w:i/>
        </w:rPr>
        <w:t xml:space="preserve"> session, will consider a draft replacement section for document</w:t>
      </w:r>
      <w:r w:rsidR="00151149">
        <w:rPr>
          <w:i/>
        </w:rPr>
        <w:t> </w:t>
      </w:r>
      <w:r w:rsidR="00151149" w:rsidRPr="00151149">
        <w:rPr>
          <w:i/>
        </w:rPr>
        <w:t xml:space="preserve">TGP/8 on the method of calculation of COYU, </w:t>
      </w:r>
      <w:r w:rsidR="00151149">
        <w:rPr>
          <w:i/>
        </w:rPr>
        <w:t>and d</w:t>
      </w:r>
      <w:r w:rsidR="00151149" w:rsidRPr="00151149">
        <w:rPr>
          <w:i/>
        </w:rPr>
        <w:t xml:space="preserve">evelopments on this matter will </w:t>
      </w:r>
      <w:r w:rsidR="00151149">
        <w:rPr>
          <w:i/>
        </w:rPr>
        <w:t xml:space="preserve">be </w:t>
      </w:r>
      <w:r w:rsidR="00151149" w:rsidRPr="00151149">
        <w:rPr>
          <w:i/>
        </w:rPr>
        <w:t>reported as an addendum to this document</w:t>
      </w:r>
      <w:r w:rsidRPr="009956BC">
        <w:rPr>
          <w:i/>
        </w:rPr>
        <w:t>.</w:t>
      </w:r>
    </w:p>
    <w:p w:rsidR="009956BC" w:rsidRDefault="009956BC" w:rsidP="009956BC"/>
    <w:p w:rsidR="00986672" w:rsidRPr="009956BC" w:rsidRDefault="00986672" w:rsidP="009956BC"/>
    <w:p w:rsidR="009956BC" w:rsidRPr="009956BC" w:rsidRDefault="009956BC" w:rsidP="009956BC"/>
    <w:p w:rsidR="009956BC" w:rsidRPr="009956BC" w:rsidRDefault="009956BC" w:rsidP="009956BC">
      <w:pPr>
        <w:keepNext/>
        <w:outlineLvl w:val="0"/>
        <w:rPr>
          <w:caps/>
        </w:rPr>
      </w:pPr>
      <w:bookmarkStart w:id="44" w:name="_Toc21683364"/>
      <w:r w:rsidRPr="009956BC">
        <w:rPr>
          <w:caps/>
        </w:rPr>
        <w:t>new proposals for revisions of TGP documents</w:t>
      </w:r>
      <w:bookmarkEnd w:id="44"/>
    </w:p>
    <w:p w:rsidR="009956BC" w:rsidRPr="009956BC" w:rsidRDefault="009956BC" w:rsidP="009956BC"/>
    <w:p w:rsidR="009956BC" w:rsidRPr="009956BC" w:rsidRDefault="009956BC" w:rsidP="009956BC">
      <w:pPr>
        <w:keepNext/>
        <w:outlineLvl w:val="1"/>
        <w:rPr>
          <w:u w:val="single"/>
        </w:rPr>
      </w:pPr>
      <w:bookmarkStart w:id="45" w:name="_Toc21683365"/>
      <w:r w:rsidRPr="009956BC">
        <w:rPr>
          <w:u w:val="single"/>
        </w:rPr>
        <w:t>TGP/7: Development of Test Guidelines</w:t>
      </w:r>
      <w:bookmarkEnd w:id="45"/>
    </w:p>
    <w:p w:rsidR="009956BC" w:rsidRPr="009956BC" w:rsidRDefault="009956BC" w:rsidP="009956BC">
      <w:bookmarkStart w:id="46" w:name="_Toc352678076"/>
      <w:bookmarkStart w:id="47" w:name="_Toc353797757"/>
      <w:bookmarkStart w:id="48" w:name="_Toc386185988"/>
      <w:bookmarkStart w:id="49" w:name="_Toc419124879"/>
      <w:bookmarkEnd w:id="12"/>
      <w:bookmarkEnd w:id="13"/>
      <w:bookmarkEnd w:id="14"/>
      <w:bookmarkEnd w:id="15"/>
    </w:p>
    <w:p w:rsidR="009956BC" w:rsidRPr="009956BC" w:rsidRDefault="009956BC" w:rsidP="00E84B03">
      <w:pPr>
        <w:pStyle w:val="Heading3"/>
        <w:rPr>
          <w:rFonts w:eastAsia="MS Mincho"/>
        </w:rPr>
      </w:pPr>
      <w:bookmarkStart w:id="50" w:name="_Toc527377896"/>
      <w:bookmarkStart w:id="51" w:name="_Toc21683366"/>
      <w:r w:rsidRPr="009956BC">
        <w:rPr>
          <w:rFonts w:eastAsia="MS Mincho"/>
        </w:rPr>
        <w:t>Procedure for partial revision of UPOV Test Guidelines</w:t>
      </w:r>
      <w:bookmarkEnd w:id="50"/>
      <w:bookmarkEnd w:id="51"/>
    </w:p>
    <w:p w:rsidR="009956BC" w:rsidRPr="009956BC" w:rsidRDefault="009956BC" w:rsidP="009956BC"/>
    <w:p w:rsidR="009956BC" w:rsidRPr="009956BC" w:rsidRDefault="009956BC" w:rsidP="009956BC">
      <w:r w:rsidRPr="009956BC">
        <w:fldChar w:fldCharType="begin"/>
      </w:r>
      <w:r w:rsidRPr="009956BC">
        <w:instrText xml:space="preserve"> AUTONUM  </w:instrText>
      </w:r>
      <w:r w:rsidRPr="009956BC">
        <w:fldChar w:fldCharType="end"/>
      </w:r>
      <w:r w:rsidRPr="009956BC">
        <w:tab/>
        <w:t xml:space="preserve">The TC, at its fifty-fourth session, considered whether to revise the procedure for partial revisions of Test Guidelines, on the basis of the following proposal by the TWF, as set out in </w:t>
      </w:r>
      <w:r w:rsidRPr="009956BC">
        <w:rPr>
          <w:rFonts w:cs="Arial"/>
        </w:rPr>
        <w:t>document TC/54/3,</w:t>
      </w:r>
      <w:r w:rsidRPr="009956BC">
        <w:t xml:space="preserve"> paragraph 24 (see document TC/54/31 “Report”, paragraphs 221 to 224)</w:t>
      </w:r>
      <w:r w:rsidRPr="009956BC">
        <w:rPr>
          <w:rFonts w:cs="Arial"/>
        </w:rPr>
        <w:t>:</w:t>
      </w:r>
    </w:p>
    <w:p w:rsidR="009956BC" w:rsidRPr="009956BC" w:rsidRDefault="009956BC" w:rsidP="009956BC"/>
    <w:p w:rsidR="009956BC" w:rsidRPr="009956BC" w:rsidRDefault="009956BC" w:rsidP="009956BC">
      <w:pPr>
        <w:numPr>
          <w:ilvl w:val="0"/>
          <w:numId w:val="1"/>
        </w:numPr>
        <w:ind w:left="1134" w:right="567" w:hanging="567"/>
        <w:contextualSpacing/>
        <w:rPr>
          <w:sz w:val="18"/>
        </w:rPr>
      </w:pPr>
      <w:r w:rsidRPr="009956BC">
        <w:rPr>
          <w:sz w:val="18"/>
        </w:rPr>
        <w:t>to accept any new proposal for partial revision of TGs by correspondence during the course of the year between two TWP sessions, with a deadline of 2 months before the session in order to prepare the document and circulate to the experts;</w:t>
      </w:r>
    </w:p>
    <w:p w:rsidR="009956BC" w:rsidRPr="009956BC" w:rsidRDefault="009956BC" w:rsidP="009956BC">
      <w:pPr>
        <w:numPr>
          <w:ilvl w:val="0"/>
          <w:numId w:val="1"/>
        </w:numPr>
        <w:ind w:left="1134" w:right="567" w:hanging="567"/>
        <w:contextualSpacing/>
        <w:rPr>
          <w:sz w:val="18"/>
        </w:rPr>
      </w:pPr>
      <w:r w:rsidRPr="009956BC">
        <w:rPr>
          <w:sz w:val="18"/>
        </w:rPr>
        <w:t>to approve the addition of partial revision of Test guidelines by correspondence, giving 4 weeks for any objections;</w:t>
      </w:r>
    </w:p>
    <w:p w:rsidR="009956BC" w:rsidRPr="009956BC" w:rsidRDefault="009956BC" w:rsidP="009956BC">
      <w:pPr>
        <w:numPr>
          <w:ilvl w:val="0"/>
          <w:numId w:val="1"/>
        </w:numPr>
        <w:ind w:left="1134" w:right="567" w:hanging="567"/>
        <w:contextualSpacing/>
        <w:rPr>
          <w:sz w:val="18"/>
        </w:rPr>
      </w:pPr>
      <w:r w:rsidRPr="009956BC">
        <w:rPr>
          <w:sz w:val="18"/>
        </w:rPr>
        <w:t>as the interested experts will not have been listed during the adoption of the report under agenda item “Proposals for partial revision of Test Guidelines”, it is proposed to send the document for comments to all relevant TWP experts;</w:t>
      </w:r>
    </w:p>
    <w:p w:rsidR="009956BC" w:rsidRPr="009956BC" w:rsidRDefault="009956BC" w:rsidP="009956BC">
      <w:pPr>
        <w:numPr>
          <w:ilvl w:val="0"/>
          <w:numId w:val="1"/>
        </w:numPr>
        <w:ind w:left="1134" w:right="567" w:hanging="567"/>
        <w:contextualSpacing/>
        <w:rPr>
          <w:sz w:val="18"/>
        </w:rPr>
      </w:pPr>
      <w:proofErr w:type="gramStart"/>
      <w:r w:rsidRPr="009956BC">
        <w:rPr>
          <w:sz w:val="18"/>
        </w:rPr>
        <w:t>to</w:t>
      </w:r>
      <w:proofErr w:type="gramEnd"/>
      <w:r w:rsidRPr="009956BC">
        <w:rPr>
          <w:sz w:val="18"/>
        </w:rPr>
        <w:t xml:space="preserve"> restrict this rule only to partial revisions.</w:t>
      </w:r>
    </w:p>
    <w:p w:rsidR="009956BC" w:rsidRPr="009956BC" w:rsidRDefault="009956BC" w:rsidP="009956BC"/>
    <w:p w:rsidR="009956BC" w:rsidRPr="009956BC" w:rsidRDefault="009956BC" w:rsidP="009956BC">
      <w:r w:rsidRPr="009956BC">
        <w:fldChar w:fldCharType="begin"/>
      </w:r>
      <w:r w:rsidRPr="009956BC">
        <w:instrText xml:space="preserve"> AUTONUM  </w:instrText>
      </w:r>
      <w:r w:rsidRPr="009956BC">
        <w:fldChar w:fldCharType="end"/>
      </w:r>
      <w:r w:rsidRPr="009956BC">
        <w:tab/>
        <w:t xml:space="preserve">The TC recalled that a similar proposal had been considered at its previous session and further recalled that UPOV members could amend their own test guidelines before changes </w:t>
      </w:r>
      <w:proofErr w:type="gramStart"/>
      <w:r w:rsidRPr="009956BC">
        <w:t>were made</w:t>
      </w:r>
      <w:proofErr w:type="gramEnd"/>
      <w:r w:rsidRPr="009956BC">
        <w:t xml:space="preserve"> to UPOV Test Guidelines.  </w:t>
      </w:r>
    </w:p>
    <w:p w:rsidR="009956BC" w:rsidRPr="009956BC" w:rsidRDefault="009956BC" w:rsidP="009956BC"/>
    <w:p w:rsidR="009956BC" w:rsidRPr="009956BC" w:rsidRDefault="009956BC" w:rsidP="009956BC">
      <w:r w:rsidRPr="009956BC">
        <w:fldChar w:fldCharType="begin"/>
      </w:r>
      <w:r w:rsidRPr="009956BC">
        <w:instrText xml:space="preserve"> AUTONUM  </w:instrText>
      </w:r>
      <w:r w:rsidRPr="009956BC">
        <w:fldChar w:fldCharType="end"/>
      </w:r>
      <w:r w:rsidRPr="009956BC">
        <w:tab/>
        <w:t xml:space="preserve">The TC agreed to request the TWF to clarify under which circumstances changes would need to </w:t>
      </w:r>
      <w:proofErr w:type="gramStart"/>
      <w:r w:rsidRPr="009956BC">
        <w:t>be implemented</w:t>
      </w:r>
      <w:proofErr w:type="gramEnd"/>
      <w:r w:rsidRPr="009956BC">
        <w:t xml:space="preserve"> to UPOV Test Guidelines on short notice.  In particular, the TC agreed to request clarification on the type of changes that </w:t>
      </w:r>
      <w:proofErr w:type="gramStart"/>
      <w:r w:rsidRPr="009956BC">
        <w:t>were intended</w:t>
      </w:r>
      <w:proofErr w:type="gramEnd"/>
      <w:r w:rsidRPr="009956BC">
        <w:t xml:space="preserve"> to be covered by the proposed procedure and to provide specific examples.  </w:t>
      </w:r>
    </w:p>
    <w:p w:rsidR="009956BC" w:rsidRPr="009956BC" w:rsidRDefault="009956BC" w:rsidP="009956BC"/>
    <w:p w:rsidR="009956BC" w:rsidRPr="009956BC" w:rsidRDefault="009956BC" w:rsidP="009956BC">
      <w:r w:rsidRPr="009956BC">
        <w:lastRenderedPageBreak/>
        <w:fldChar w:fldCharType="begin"/>
      </w:r>
      <w:r w:rsidRPr="009956BC">
        <w:instrText xml:space="preserve"> AUTONUM  </w:instrText>
      </w:r>
      <w:r w:rsidRPr="009956BC">
        <w:fldChar w:fldCharType="end"/>
      </w:r>
      <w:r w:rsidRPr="009956BC">
        <w:tab/>
        <w:t xml:space="preserve">The TC agreed that, if an accelerated procedure were to be accepted, proposals for partial revisions of Test Guidelines would need to </w:t>
      </w:r>
      <w:proofErr w:type="gramStart"/>
      <w:r w:rsidRPr="009956BC">
        <w:t>be published</w:t>
      </w:r>
      <w:proofErr w:type="gramEnd"/>
      <w:r w:rsidRPr="009956BC">
        <w:t xml:space="preserve"> at least two months before the session to allow sufficient time for consideration by members.  </w:t>
      </w:r>
    </w:p>
    <w:p w:rsidR="002D1193" w:rsidRDefault="002D1193" w:rsidP="009956BC">
      <w:pPr>
        <w:rPr>
          <w:rFonts w:cs="Arial"/>
          <w:bCs/>
          <w:i/>
          <w:snapToGrid w:val="0"/>
        </w:rPr>
      </w:pPr>
    </w:p>
    <w:p w:rsidR="00E84B03" w:rsidRPr="00134CDD" w:rsidRDefault="00E84B03" w:rsidP="00E84B03">
      <w:pPr>
        <w:pStyle w:val="Heading4"/>
        <w:rPr>
          <w:lang w:val="en-US"/>
        </w:rPr>
      </w:pPr>
      <w:bookmarkStart w:id="52" w:name="_Toc21683367"/>
      <w:r w:rsidRPr="00134CDD">
        <w:rPr>
          <w:lang w:val="en-US"/>
        </w:rPr>
        <w:t>Comments by the Technical Working Party for Fruit Crops</w:t>
      </w:r>
      <w:bookmarkEnd w:id="52"/>
    </w:p>
    <w:p w:rsidR="00E84B03" w:rsidRPr="00134CDD" w:rsidRDefault="00E84B03" w:rsidP="00E84B03"/>
    <w:p w:rsidR="00E84B03" w:rsidRDefault="00E84B03" w:rsidP="00E84B03">
      <w:pPr>
        <w:keepNext/>
      </w:pPr>
      <w:r w:rsidRPr="00D25332">
        <w:fldChar w:fldCharType="begin"/>
      </w:r>
      <w:r w:rsidRPr="00D25332">
        <w:instrText xml:space="preserve"> AUTONUM  </w:instrText>
      </w:r>
      <w:r w:rsidRPr="00D25332">
        <w:fldChar w:fldCharType="end"/>
      </w:r>
      <w:r w:rsidRPr="00D25332">
        <w:tab/>
        <w:t>The TWF</w:t>
      </w:r>
      <w:r>
        <w:t xml:space="preserve">, at its fiftieth session, held in </w:t>
      </w:r>
      <w:r w:rsidRPr="00D25332">
        <w:t>Budapest, Hungary, from June 24 to 28, 2019</w:t>
      </w:r>
      <w:r>
        <w:t>, welcomed the possibility to revise the procedure for partial revisions of Test Guidelines, allowing the possibility for experts to make new proposals in the course of the year and encouraging international harmonization of current practice for DUS examination. As requested by the TC, the TWF agreed the accelera</w:t>
      </w:r>
      <w:r w:rsidR="00986672">
        <w:t>ted procedure should apply (see </w:t>
      </w:r>
      <w:r>
        <w:t xml:space="preserve">document </w:t>
      </w:r>
      <w:proofErr w:type="spellStart"/>
      <w:r>
        <w:t>TWF</w:t>
      </w:r>
      <w:proofErr w:type="spellEnd"/>
      <w:r>
        <w:t>/50/13 “Report”, paragraphs 30 to 33):</w:t>
      </w:r>
    </w:p>
    <w:p w:rsidR="00E84B03" w:rsidRDefault="00E84B03" w:rsidP="00E84B03">
      <w:pPr>
        <w:keepNext/>
      </w:pPr>
    </w:p>
    <w:p w:rsidR="00E84B03" w:rsidRDefault="00E84B03" w:rsidP="00E84B03">
      <w:pPr>
        <w:pStyle w:val="ListParagraph"/>
        <w:keepNext/>
        <w:numPr>
          <w:ilvl w:val="0"/>
          <w:numId w:val="16"/>
        </w:numPr>
      </w:pPr>
      <w:r>
        <w:t>For proposals to delete a characteristic</w:t>
      </w:r>
    </w:p>
    <w:p w:rsidR="00E84B03" w:rsidRDefault="00E84B03" w:rsidP="00E84B03">
      <w:pPr>
        <w:pStyle w:val="ListParagraph"/>
        <w:keepNext/>
        <w:numPr>
          <w:ilvl w:val="0"/>
          <w:numId w:val="16"/>
        </w:numPr>
      </w:pPr>
      <w:r>
        <w:t>For proposals to add a new state of expression and/or add a new illustration</w:t>
      </w:r>
    </w:p>
    <w:p w:rsidR="00E84B03" w:rsidRDefault="00E84B03" w:rsidP="00E84B03">
      <w:pPr>
        <w:pStyle w:val="ListParagraph"/>
        <w:keepNext/>
        <w:numPr>
          <w:ilvl w:val="0"/>
          <w:numId w:val="16"/>
        </w:numPr>
      </w:pPr>
      <w:r>
        <w:t>For proposals to add new example varieties</w:t>
      </w:r>
    </w:p>
    <w:p w:rsidR="00E84B03" w:rsidRDefault="00E84B03" w:rsidP="00E84B03">
      <w:pPr>
        <w:keepNext/>
      </w:pPr>
    </w:p>
    <w:p w:rsidR="00E84B03" w:rsidRDefault="00E84B03" w:rsidP="00E84B03">
      <w:pPr>
        <w:keepNext/>
      </w:pPr>
      <w:r w:rsidRPr="00D25332">
        <w:fldChar w:fldCharType="begin"/>
      </w:r>
      <w:r w:rsidRPr="00D25332">
        <w:instrText xml:space="preserve"> AUTONUM  </w:instrText>
      </w:r>
      <w:r w:rsidRPr="00D25332">
        <w:fldChar w:fldCharType="end"/>
      </w:r>
      <w:r w:rsidRPr="00D25332">
        <w:tab/>
        <w:t>The TWF</w:t>
      </w:r>
      <w:r>
        <w:t xml:space="preserve"> agreed that this accelerated procedure </w:t>
      </w:r>
      <w:proofErr w:type="gramStart"/>
      <w:r>
        <w:t>should not be applied</w:t>
      </w:r>
      <w:proofErr w:type="gramEnd"/>
      <w:r>
        <w:t>:</w:t>
      </w:r>
    </w:p>
    <w:p w:rsidR="00E84B03" w:rsidRDefault="00E84B03" w:rsidP="00E84B03">
      <w:pPr>
        <w:keepNext/>
      </w:pPr>
    </w:p>
    <w:p w:rsidR="00E84B03" w:rsidRDefault="00E84B03" w:rsidP="00E84B03">
      <w:pPr>
        <w:pStyle w:val="ListParagraph"/>
        <w:keepNext/>
        <w:numPr>
          <w:ilvl w:val="0"/>
          <w:numId w:val="17"/>
        </w:numPr>
      </w:pPr>
      <w:r>
        <w:t>For proposals for grouping characteristics</w:t>
      </w:r>
    </w:p>
    <w:p w:rsidR="00E84B03" w:rsidRDefault="00E84B03" w:rsidP="00E84B03">
      <w:pPr>
        <w:pStyle w:val="ListParagraph"/>
        <w:keepNext/>
        <w:numPr>
          <w:ilvl w:val="0"/>
          <w:numId w:val="17"/>
        </w:numPr>
      </w:pPr>
      <w:r>
        <w:t>For proposals to add new characteristics</w:t>
      </w:r>
    </w:p>
    <w:p w:rsidR="00E84B03" w:rsidRDefault="00E84B03" w:rsidP="00E84B03">
      <w:pPr>
        <w:keepNext/>
      </w:pPr>
    </w:p>
    <w:p w:rsidR="00E84B03" w:rsidRDefault="00E84B03" w:rsidP="00E84B03">
      <w:pPr>
        <w:keepNext/>
      </w:pPr>
      <w:r w:rsidRPr="008C5149">
        <w:fldChar w:fldCharType="begin"/>
      </w:r>
      <w:r w:rsidRPr="008C5149">
        <w:instrText xml:space="preserve"> AUTONUM  </w:instrText>
      </w:r>
      <w:r w:rsidRPr="008C5149">
        <w:fldChar w:fldCharType="end"/>
      </w:r>
      <w:r w:rsidRPr="008C5149">
        <w:tab/>
        <w:t xml:space="preserve">The </w:t>
      </w:r>
      <w:r w:rsidRPr="003575C0">
        <w:t xml:space="preserve">TWF </w:t>
      </w:r>
      <w:r>
        <w:t xml:space="preserve">agreed that the accelerated procedure for </w:t>
      </w:r>
      <w:r w:rsidRPr="008C5149">
        <w:t>partial revisions of</w:t>
      </w:r>
      <w:r>
        <w:t xml:space="preserve"> Test </w:t>
      </w:r>
      <w:r w:rsidRPr="008C5149">
        <w:t>Guidelines</w:t>
      </w:r>
      <w:r>
        <w:t xml:space="preserve"> should respect the agreed timetable </w:t>
      </w:r>
      <w:r w:rsidRPr="00AC1BE9">
        <w:t>to prepare and circulate document</w:t>
      </w:r>
      <w:r>
        <w:t>s</w:t>
      </w:r>
      <w:r w:rsidRPr="00AC1BE9">
        <w:t xml:space="preserve"> before the session, to allow sufficient time for consideration by members of the Union.</w:t>
      </w:r>
      <w:r>
        <w:t xml:space="preserve"> It further highlighted the importance for all relevant TWP experts to be invited to comment on any proposal for new partial revisions of Test Guidelines in the forthcoming session and suggested, in that regard, to include all participants of the previous TWP session in the communication.</w:t>
      </w:r>
    </w:p>
    <w:p w:rsidR="00E84B03" w:rsidRPr="009956BC" w:rsidRDefault="00E84B03" w:rsidP="009956BC">
      <w:pPr>
        <w:rPr>
          <w:rFonts w:cs="Arial"/>
          <w:bCs/>
          <w:i/>
          <w:snapToGrid w:val="0"/>
        </w:rPr>
      </w:pPr>
    </w:p>
    <w:p w:rsidR="009956BC" w:rsidRPr="009956BC" w:rsidRDefault="009956BC" w:rsidP="00E84B03">
      <w:pPr>
        <w:tabs>
          <w:tab w:val="left" w:pos="5387"/>
          <w:tab w:val="left" w:pos="5954"/>
        </w:tabs>
        <w:ind w:left="4820"/>
        <w:rPr>
          <w:rFonts w:cs="Arial"/>
          <w:bCs/>
          <w:i/>
          <w:snapToGrid w:val="0"/>
        </w:rPr>
      </w:pPr>
      <w:r w:rsidRPr="009956BC">
        <w:rPr>
          <w:rFonts w:cs="Arial"/>
          <w:bCs/>
          <w:i/>
          <w:snapToGrid w:val="0"/>
        </w:rPr>
        <w:fldChar w:fldCharType="begin"/>
      </w:r>
      <w:r w:rsidRPr="009956BC">
        <w:rPr>
          <w:rFonts w:cs="Arial"/>
          <w:bCs/>
          <w:i/>
          <w:snapToGrid w:val="0"/>
        </w:rPr>
        <w:instrText xml:space="preserve"> AUTONUM  </w:instrText>
      </w:r>
      <w:r w:rsidRPr="009956BC">
        <w:rPr>
          <w:rFonts w:cs="Arial"/>
          <w:bCs/>
          <w:i/>
          <w:snapToGrid w:val="0"/>
        </w:rPr>
        <w:fldChar w:fldCharType="end"/>
      </w:r>
      <w:r w:rsidRPr="009956BC">
        <w:rPr>
          <w:rFonts w:cs="Arial"/>
          <w:bCs/>
          <w:i/>
          <w:snapToGrid w:val="0"/>
        </w:rPr>
        <w:tab/>
        <w:t xml:space="preserve">The </w:t>
      </w:r>
      <w:r w:rsidR="00E84B03">
        <w:rPr>
          <w:rFonts w:cs="Arial"/>
          <w:bCs/>
          <w:i/>
          <w:snapToGrid w:val="0"/>
        </w:rPr>
        <w:t xml:space="preserve">TC </w:t>
      </w:r>
      <w:proofErr w:type="gramStart"/>
      <w:r w:rsidR="00E84B03">
        <w:rPr>
          <w:rFonts w:cs="Arial"/>
          <w:bCs/>
          <w:i/>
          <w:snapToGrid w:val="0"/>
        </w:rPr>
        <w:t>is</w:t>
      </w:r>
      <w:r w:rsidRPr="009956BC">
        <w:rPr>
          <w:rFonts w:cs="Arial"/>
          <w:bCs/>
          <w:i/>
          <w:snapToGrid w:val="0"/>
        </w:rPr>
        <w:t xml:space="preserve"> invited</w:t>
      </w:r>
      <w:proofErr w:type="gramEnd"/>
      <w:r w:rsidRPr="009956BC">
        <w:rPr>
          <w:rFonts w:cs="Arial"/>
          <w:bCs/>
          <w:i/>
          <w:snapToGrid w:val="0"/>
        </w:rPr>
        <w:t xml:space="preserve"> to </w:t>
      </w:r>
      <w:r w:rsidR="00E84B03">
        <w:rPr>
          <w:rFonts w:cs="Arial"/>
          <w:bCs/>
          <w:i/>
          <w:snapToGrid w:val="0"/>
        </w:rPr>
        <w:t>consider</w:t>
      </w:r>
      <w:r w:rsidRPr="009956BC">
        <w:rPr>
          <w:rFonts w:cs="Arial"/>
          <w:bCs/>
          <w:i/>
          <w:snapToGrid w:val="0"/>
        </w:rPr>
        <w:t>:</w:t>
      </w:r>
    </w:p>
    <w:p w:rsidR="009956BC" w:rsidRPr="009956BC" w:rsidRDefault="009956BC" w:rsidP="009956BC">
      <w:pPr>
        <w:keepNext/>
        <w:tabs>
          <w:tab w:val="left" w:pos="5387"/>
          <w:tab w:val="left" w:pos="5954"/>
        </w:tabs>
        <w:ind w:left="4820"/>
        <w:rPr>
          <w:rFonts w:cs="Arial"/>
          <w:bCs/>
          <w:i/>
          <w:snapToGrid w:val="0"/>
        </w:rPr>
      </w:pPr>
    </w:p>
    <w:p w:rsidR="009956BC" w:rsidRPr="009956BC" w:rsidRDefault="009956BC" w:rsidP="009956BC">
      <w:pPr>
        <w:keepNext/>
        <w:tabs>
          <w:tab w:val="left" w:pos="5387"/>
          <w:tab w:val="left" w:pos="5954"/>
        </w:tabs>
        <w:ind w:left="4820"/>
        <w:rPr>
          <w:i/>
        </w:rPr>
      </w:pPr>
      <w:r w:rsidRPr="009956BC">
        <w:rPr>
          <w:rFonts w:cs="Arial"/>
          <w:bCs/>
          <w:i/>
          <w:snapToGrid w:val="0"/>
        </w:rPr>
        <w:tab/>
        <w:t>(a)</w:t>
      </w:r>
      <w:r w:rsidRPr="009956BC">
        <w:rPr>
          <w:rFonts w:cs="Arial"/>
          <w:bCs/>
          <w:i/>
          <w:snapToGrid w:val="0"/>
        </w:rPr>
        <w:tab/>
      </w:r>
      <w:proofErr w:type="gramStart"/>
      <w:r w:rsidR="00E84B03">
        <w:rPr>
          <w:i/>
        </w:rPr>
        <w:t>the</w:t>
      </w:r>
      <w:proofErr w:type="gramEnd"/>
      <w:r w:rsidR="00E84B03">
        <w:rPr>
          <w:i/>
        </w:rPr>
        <w:t xml:space="preserve"> proposals by the TWF on the </w:t>
      </w:r>
      <w:r w:rsidRPr="009956BC">
        <w:rPr>
          <w:i/>
        </w:rPr>
        <w:t xml:space="preserve">circumstances </w:t>
      </w:r>
      <w:r w:rsidR="00E84B03">
        <w:rPr>
          <w:i/>
        </w:rPr>
        <w:t xml:space="preserve">where </w:t>
      </w:r>
      <w:r w:rsidRPr="009956BC">
        <w:rPr>
          <w:i/>
        </w:rPr>
        <w:t xml:space="preserve">changes </w:t>
      </w:r>
      <w:r w:rsidR="00E84B03">
        <w:rPr>
          <w:i/>
        </w:rPr>
        <w:t>could and could not be</w:t>
      </w:r>
      <w:r w:rsidRPr="009956BC">
        <w:rPr>
          <w:i/>
        </w:rPr>
        <w:t xml:space="preserve"> implemented to UPOV Test Guidelines at short notice;</w:t>
      </w:r>
    </w:p>
    <w:p w:rsidR="009956BC" w:rsidRPr="009956BC" w:rsidRDefault="009956BC" w:rsidP="009956BC">
      <w:pPr>
        <w:tabs>
          <w:tab w:val="left" w:pos="5387"/>
          <w:tab w:val="left" w:pos="5954"/>
        </w:tabs>
        <w:ind w:left="4820"/>
        <w:rPr>
          <w:i/>
        </w:rPr>
      </w:pPr>
    </w:p>
    <w:p w:rsidR="009956BC" w:rsidRPr="009956BC" w:rsidRDefault="00E84B03" w:rsidP="009956BC">
      <w:pPr>
        <w:numPr>
          <w:ilvl w:val="0"/>
          <w:numId w:val="11"/>
        </w:numPr>
        <w:tabs>
          <w:tab w:val="left" w:pos="5387"/>
          <w:tab w:val="left" w:pos="5954"/>
        </w:tabs>
        <w:ind w:left="4820" w:firstLine="570"/>
        <w:contextualSpacing/>
        <w:rPr>
          <w:rFonts w:cs="Arial"/>
          <w:bCs/>
          <w:i/>
          <w:snapToGrid w:val="0"/>
        </w:rPr>
      </w:pPr>
      <w:proofErr w:type="gramStart"/>
      <w:r w:rsidRPr="00E84B03">
        <w:rPr>
          <w:i/>
        </w:rPr>
        <w:t>considered</w:t>
      </w:r>
      <w:proofErr w:type="gramEnd"/>
      <w:r w:rsidRPr="00E84B03">
        <w:rPr>
          <w:i/>
        </w:rPr>
        <w:t xml:space="preserve"> whether to revise the procedure for </w:t>
      </w:r>
      <w:r w:rsidRPr="00986672">
        <w:rPr>
          <w:i/>
        </w:rPr>
        <w:t>partial revisions of Test Guidelines, on the basis of the proposal by the TWF, as set out in paragraphs 45 to 47 of this document</w:t>
      </w:r>
      <w:r w:rsidR="009956BC" w:rsidRPr="009956BC">
        <w:rPr>
          <w:i/>
        </w:rPr>
        <w:t>.</w:t>
      </w:r>
    </w:p>
    <w:p w:rsidR="009956BC" w:rsidRPr="009956BC" w:rsidRDefault="009956BC" w:rsidP="009956BC"/>
    <w:p w:rsidR="009956BC" w:rsidRPr="009956BC" w:rsidRDefault="009956BC" w:rsidP="009956BC">
      <w:pPr>
        <w:keepNext/>
        <w:outlineLvl w:val="2"/>
        <w:rPr>
          <w:rFonts w:eastAsia="MS Mincho"/>
          <w:i/>
        </w:rPr>
      </w:pPr>
      <w:bookmarkStart w:id="53" w:name="_Toc21683368"/>
      <w:r w:rsidRPr="009956BC">
        <w:rPr>
          <w:rFonts w:eastAsia="MS Mincho"/>
          <w:i/>
        </w:rPr>
        <w:t>Presentation of full scale of notes for quantitative characteristics in Test Guidelines</w:t>
      </w:r>
      <w:bookmarkEnd w:id="53"/>
    </w:p>
    <w:p w:rsidR="009956BC" w:rsidRPr="009956BC" w:rsidRDefault="009956BC" w:rsidP="009956BC"/>
    <w:p w:rsidR="009956BC" w:rsidRPr="009956BC" w:rsidRDefault="009956BC" w:rsidP="009956BC">
      <w:r w:rsidRPr="009956BC">
        <w:fldChar w:fldCharType="begin"/>
      </w:r>
      <w:r w:rsidRPr="009956BC">
        <w:instrText xml:space="preserve"> AUTONUM  </w:instrText>
      </w:r>
      <w:r w:rsidRPr="009956BC">
        <w:fldChar w:fldCharType="end"/>
      </w:r>
      <w:r w:rsidRPr="009956BC">
        <w:tab/>
        <w:t>All UPOV Test Guidelines contain the following explanation of the presentation of states of expression for quantitative characteristics (see document TGP/7 “Development of Test Guidelines”, Annex I “TG Structure and Universal Standard Wording”).</w:t>
      </w:r>
    </w:p>
    <w:p w:rsidR="009956BC" w:rsidRPr="009956BC" w:rsidRDefault="009956BC" w:rsidP="009956BC"/>
    <w:p w:rsidR="009956BC" w:rsidRPr="009956BC" w:rsidRDefault="009956BC" w:rsidP="009956BC">
      <w:pPr>
        <w:ind w:left="567" w:right="567"/>
      </w:pPr>
      <w:r w:rsidRPr="009956BC">
        <w:rPr>
          <w:rFonts w:eastAsia="Arial" w:cs="Arial"/>
          <w:color w:val="000000"/>
        </w:rPr>
        <w:t xml:space="preserve">“In the case of qualitative and pseudo-qualitative characteristics (see Chapter 6.3), all relevant states of expression are presented in the characteristic.  However, in the case of quantitative characteristics with </w:t>
      </w:r>
      <w:proofErr w:type="gramStart"/>
      <w:r w:rsidRPr="009956BC">
        <w:rPr>
          <w:rFonts w:eastAsia="Arial" w:cs="Arial"/>
          <w:color w:val="000000"/>
        </w:rPr>
        <w:t>5</w:t>
      </w:r>
      <w:proofErr w:type="gramEnd"/>
      <w:r w:rsidRPr="009956BC">
        <w:rPr>
          <w:rFonts w:eastAsia="Arial" w:cs="Arial"/>
          <w:color w:val="000000"/>
        </w:rPr>
        <w:t xml:space="preserve"> or more states, an abbreviated scale may be used to minimize the size of the Table of Characteristics.  For example, in the case of a quantitative characteristic with </w:t>
      </w:r>
      <w:proofErr w:type="gramStart"/>
      <w:r w:rsidRPr="009956BC">
        <w:rPr>
          <w:rFonts w:eastAsia="Arial" w:cs="Arial"/>
          <w:color w:val="000000"/>
        </w:rPr>
        <w:t>9</w:t>
      </w:r>
      <w:proofErr w:type="gramEnd"/>
      <w:r w:rsidRPr="009956BC">
        <w:rPr>
          <w:rFonts w:eastAsia="Arial" w:cs="Arial"/>
          <w:color w:val="000000"/>
        </w:rPr>
        <w:t xml:space="preserve"> states, the presentation of states of expression in the Test Guidelines may be abbreviated as follows:</w:t>
      </w:r>
    </w:p>
    <w:p w:rsidR="009956BC" w:rsidRPr="009956BC" w:rsidRDefault="009956BC" w:rsidP="009956BC"/>
    <w:tbl>
      <w:tblPr>
        <w:tblOverlap w:val="never"/>
        <w:tblW w:w="9630" w:type="dxa"/>
        <w:tblLayout w:type="fixed"/>
        <w:tblLook w:val="01E0" w:firstRow="1" w:lastRow="1" w:firstColumn="1" w:lastColumn="1" w:noHBand="0" w:noVBand="0"/>
      </w:tblPr>
      <w:tblGrid>
        <w:gridCol w:w="9630"/>
      </w:tblGrid>
      <w:tr w:rsidR="009956BC" w:rsidRPr="009956BC" w:rsidTr="001270B2">
        <w:tc>
          <w:tcPr>
            <w:tcW w:w="8820" w:type="dxa"/>
            <w:tcMar>
              <w:top w:w="0" w:type="dxa"/>
              <w:left w:w="0" w:type="dxa"/>
              <w:bottom w:w="0" w:type="dxa"/>
              <w:right w:w="0" w:type="dxa"/>
            </w:tcMar>
          </w:tcPr>
          <w:tbl>
            <w:tblPr>
              <w:tblOverlap w:val="never"/>
              <w:tblW w:w="3585" w:type="dxa"/>
              <w:jc w:val="center"/>
              <w:tblLayout w:type="fixed"/>
              <w:tblLook w:val="01E0" w:firstRow="1" w:lastRow="1" w:firstColumn="1" w:lastColumn="1" w:noHBand="0" w:noVBand="0"/>
            </w:tblPr>
            <w:tblGrid>
              <w:gridCol w:w="2595"/>
              <w:gridCol w:w="990"/>
            </w:tblGrid>
            <w:tr w:rsidR="009956BC" w:rsidRPr="009956BC" w:rsidTr="001270B2">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9956BC" w:rsidRDefault="009956BC" w:rsidP="009956BC">
                  <w:pPr>
                    <w:jc w:val="center"/>
                    <w:rPr>
                      <w:rFonts w:eastAsia="Arial" w:cs="Arial"/>
                      <w:i/>
                      <w:iCs/>
                      <w:color w:val="000000"/>
                      <w:sz w:val="16"/>
                      <w:szCs w:val="16"/>
                    </w:rPr>
                  </w:pPr>
                  <w:r w:rsidRPr="009956BC">
                    <w:rPr>
                      <w:rFonts w:eastAsia="Arial" w:cs="Arial"/>
                      <w:i/>
                      <w:iCs/>
                      <w:color w:val="000000"/>
                      <w:sz w:val="16"/>
                      <w:szCs w:val="16"/>
                    </w:rPr>
                    <w:t>State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9956BC" w:rsidRDefault="009956BC" w:rsidP="009956BC">
                  <w:pPr>
                    <w:jc w:val="center"/>
                    <w:rPr>
                      <w:rFonts w:eastAsia="Arial" w:cs="Arial"/>
                      <w:i/>
                      <w:iCs/>
                      <w:color w:val="000000"/>
                      <w:sz w:val="16"/>
                      <w:szCs w:val="16"/>
                    </w:rPr>
                  </w:pPr>
                  <w:r w:rsidRPr="009956BC">
                    <w:rPr>
                      <w:rFonts w:eastAsia="Arial" w:cs="Arial"/>
                      <w:i/>
                      <w:iCs/>
                      <w:color w:val="000000"/>
                      <w:sz w:val="16"/>
                      <w:szCs w:val="16"/>
                    </w:rPr>
                    <w:t>Note</w:t>
                  </w:r>
                </w:p>
              </w:tc>
            </w:tr>
            <w:tr w:rsidR="009956BC" w:rsidRPr="009956BC" w:rsidTr="001270B2">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9956BC" w:rsidRDefault="009956BC" w:rsidP="009956BC">
                  <w:pPr>
                    <w:rPr>
                      <w:rFonts w:eastAsia="Arial" w:cs="Arial"/>
                      <w:color w:val="000000"/>
                      <w:sz w:val="16"/>
                      <w:szCs w:val="16"/>
                    </w:rPr>
                  </w:pPr>
                  <w:r w:rsidRPr="009956BC">
                    <w:rPr>
                      <w:rFonts w:eastAsia="Arial" w:cs="Arial"/>
                      <w:color w:val="000000"/>
                      <w:sz w:val="16"/>
                      <w:szCs w:val="16"/>
                    </w:rPr>
                    <w:t>small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9956BC" w:rsidRDefault="009956BC" w:rsidP="009956BC">
                  <w:pPr>
                    <w:jc w:val="center"/>
                    <w:rPr>
                      <w:rFonts w:eastAsia="Arial" w:cs="Arial"/>
                      <w:color w:val="000000"/>
                      <w:sz w:val="16"/>
                      <w:szCs w:val="16"/>
                    </w:rPr>
                  </w:pPr>
                  <w:r w:rsidRPr="009956BC">
                    <w:rPr>
                      <w:rFonts w:eastAsia="Arial" w:cs="Arial"/>
                      <w:color w:val="000000"/>
                      <w:sz w:val="16"/>
                      <w:szCs w:val="16"/>
                    </w:rPr>
                    <w:t>3</w:t>
                  </w:r>
                </w:p>
              </w:tc>
            </w:tr>
            <w:tr w:rsidR="009956BC" w:rsidRPr="009956BC" w:rsidTr="001270B2">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9956BC" w:rsidRDefault="009956BC" w:rsidP="009956BC">
                  <w:pPr>
                    <w:rPr>
                      <w:rFonts w:eastAsia="Arial" w:cs="Arial"/>
                      <w:color w:val="000000"/>
                      <w:sz w:val="16"/>
                      <w:szCs w:val="16"/>
                    </w:rPr>
                  </w:pPr>
                  <w:r w:rsidRPr="009956BC">
                    <w:rPr>
                      <w:rFonts w:eastAsia="Arial" w:cs="Arial"/>
                      <w:color w:val="000000"/>
                      <w:sz w:val="16"/>
                      <w:szCs w:val="16"/>
                    </w:rPr>
                    <w:t>medium</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9956BC" w:rsidRDefault="009956BC" w:rsidP="009956BC">
                  <w:pPr>
                    <w:jc w:val="center"/>
                    <w:rPr>
                      <w:rFonts w:eastAsia="Arial" w:cs="Arial"/>
                      <w:color w:val="000000"/>
                      <w:sz w:val="16"/>
                      <w:szCs w:val="16"/>
                    </w:rPr>
                  </w:pPr>
                  <w:r w:rsidRPr="009956BC">
                    <w:rPr>
                      <w:rFonts w:eastAsia="Arial" w:cs="Arial"/>
                      <w:color w:val="000000"/>
                      <w:sz w:val="16"/>
                      <w:szCs w:val="16"/>
                    </w:rPr>
                    <w:t>5</w:t>
                  </w:r>
                </w:p>
              </w:tc>
            </w:tr>
            <w:tr w:rsidR="009956BC" w:rsidRPr="009956BC" w:rsidTr="001270B2">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9956BC" w:rsidRDefault="009956BC" w:rsidP="009956BC">
                  <w:pPr>
                    <w:rPr>
                      <w:rFonts w:eastAsia="Arial" w:cs="Arial"/>
                      <w:color w:val="000000"/>
                      <w:sz w:val="16"/>
                      <w:szCs w:val="16"/>
                    </w:rPr>
                  </w:pPr>
                  <w:r w:rsidRPr="009956BC">
                    <w:rPr>
                      <w:rFonts w:eastAsia="Arial" w:cs="Arial"/>
                      <w:color w:val="000000"/>
                      <w:sz w:val="16"/>
                      <w:szCs w:val="16"/>
                    </w:rPr>
                    <w:t>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9956BC" w:rsidRDefault="009956BC" w:rsidP="009956BC">
                  <w:pPr>
                    <w:jc w:val="center"/>
                    <w:rPr>
                      <w:rFonts w:eastAsia="Arial" w:cs="Arial"/>
                      <w:color w:val="000000"/>
                      <w:sz w:val="16"/>
                      <w:szCs w:val="16"/>
                    </w:rPr>
                  </w:pPr>
                  <w:r w:rsidRPr="009956BC">
                    <w:rPr>
                      <w:rFonts w:eastAsia="Arial" w:cs="Arial"/>
                      <w:color w:val="000000"/>
                      <w:sz w:val="16"/>
                      <w:szCs w:val="16"/>
                    </w:rPr>
                    <w:t>7</w:t>
                  </w:r>
                </w:p>
              </w:tc>
            </w:tr>
          </w:tbl>
          <w:p w:rsidR="009956BC" w:rsidRPr="009956BC" w:rsidRDefault="009956BC" w:rsidP="009956BC">
            <w:pPr>
              <w:spacing w:line="1" w:lineRule="auto"/>
            </w:pPr>
          </w:p>
        </w:tc>
      </w:tr>
    </w:tbl>
    <w:p w:rsidR="009956BC" w:rsidRPr="009956BC" w:rsidRDefault="009956BC" w:rsidP="009956BC"/>
    <w:p w:rsidR="009956BC" w:rsidRPr="009956BC" w:rsidRDefault="009956BC" w:rsidP="00986672">
      <w:pPr>
        <w:keepNext/>
        <w:ind w:left="567" w:right="567"/>
      </w:pPr>
      <w:r w:rsidRPr="009956BC">
        <w:rPr>
          <w:rFonts w:eastAsia="Arial" w:cs="Arial"/>
          <w:color w:val="000000"/>
        </w:rPr>
        <w:lastRenderedPageBreak/>
        <w:t>“However, it should be noted that all of the following 9 states of expression exist to describe varieties and should be used as appropriate:</w:t>
      </w:r>
    </w:p>
    <w:p w:rsidR="009956BC" w:rsidRPr="009956BC" w:rsidRDefault="009956BC" w:rsidP="00986672">
      <w:pPr>
        <w:keepNext/>
      </w:pPr>
    </w:p>
    <w:tbl>
      <w:tblPr>
        <w:tblOverlap w:val="never"/>
        <w:tblW w:w="3585" w:type="dxa"/>
        <w:jc w:val="center"/>
        <w:tblLayout w:type="fixed"/>
        <w:tblLook w:val="01E0" w:firstRow="1" w:lastRow="1" w:firstColumn="1" w:lastColumn="1" w:noHBand="0" w:noVBand="0"/>
      </w:tblPr>
      <w:tblGrid>
        <w:gridCol w:w="2595"/>
        <w:gridCol w:w="990"/>
      </w:tblGrid>
      <w:tr w:rsidR="009956BC" w:rsidRPr="009956BC" w:rsidTr="001270B2">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9956BC" w:rsidRDefault="009956BC" w:rsidP="009956BC">
            <w:pPr>
              <w:keepNext/>
              <w:jc w:val="center"/>
              <w:rPr>
                <w:rFonts w:eastAsia="Arial" w:cs="Arial"/>
                <w:i/>
                <w:iCs/>
                <w:color w:val="000000"/>
                <w:sz w:val="16"/>
                <w:szCs w:val="16"/>
              </w:rPr>
            </w:pPr>
            <w:r w:rsidRPr="009956BC">
              <w:rPr>
                <w:rFonts w:eastAsia="Arial" w:cs="Arial"/>
                <w:i/>
                <w:iCs/>
                <w:color w:val="000000"/>
                <w:sz w:val="16"/>
                <w:szCs w:val="16"/>
              </w:rPr>
              <w:t>State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9956BC" w:rsidRDefault="009956BC" w:rsidP="009956BC">
            <w:pPr>
              <w:keepNext/>
              <w:jc w:val="center"/>
              <w:rPr>
                <w:rFonts w:eastAsia="Arial" w:cs="Arial"/>
                <w:i/>
                <w:iCs/>
                <w:color w:val="000000"/>
                <w:sz w:val="16"/>
                <w:szCs w:val="16"/>
              </w:rPr>
            </w:pPr>
            <w:r w:rsidRPr="009956BC">
              <w:rPr>
                <w:rFonts w:eastAsia="Arial" w:cs="Arial"/>
                <w:i/>
                <w:iCs/>
                <w:color w:val="000000"/>
                <w:sz w:val="16"/>
                <w:szCs w:val="16"/>
              </w:rPr>
              <w:t>Note</w:t>
            </w:r>
          </w:p>
        </w:tc>
      </w:tr>
      <w:tr w:rsidR="009956BC" w:rsidRPr="009956BC" w:rsidTr="001270B2">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9956BC" w:rsidRDefault="009956BC" w:rsidP="009956BC">
            <w:pPr>
              <w:keepNext/>
              <w:rPr>
                <w:rFonts w:eastAsia="Arial" w:cs="Arial"/>
                <w:color w:val="000000"/>
                <w:sz w:val="16"/>
                <w:szCs w:val="16"/>
              </w:rPr>
            </w:pPr>
            <w:r w:rsidRPr="009956BC">
              <w:rPr>
                <w:rFonts w:eastAsia="Arial" w:cs="Arial"/>
                <w:color w:val="000000"/>
                <w:sz w:val="16"/>
                <w:szCs w:val="16"/>
              </w:rPr>
              <w:t>very small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9956BC" w:rsidRDefault="009956BC" w:rsidP="009956BC">
            <w:pPr>
              <w:keepNext/>
              <w:jc w:val="center"/>
              <w:rPr>
                <w:rFonts w:eastAsia="Arial" w:cs="Arial"/>
                <w:color w:val="000000"/>
                <w:sz w:val="16"/>
                <w:szCs w:val="16"/>
              </w:rPr>
            </w:pPr>
            <w:r w:rsidRPr="009956BC">
              <w:rPr>
                <w:rFonts w:eastAsia="Arial" w:cs="Arial"/>
                <w:color w:val="000000"/>
                <w:sz w:val="16"/>
                <w:szCs w:val="16"/>
              </w:rPr>
              <w:t>1</w:t>
            </w:r>
          </w:p>
        </w:tc>
      </w:tr>
      <w:tr w:rsidR="009956BC" w:rsidRPr="009956BC" w:rsidTr="001270B2">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9956BC" w:rsidRDefault="009956BC" w:rsidP="009956BC">
            <w:pPr>
              <w:keepNext/>
              <w:rPr>
                <w:rFonts w:eastAsia="Arial" w:cs="Arial"/>
                <w:color w:val="000000"/>
                <w:sz w:val="16"/>
                <w:szCs w:val="16"/>
              </w:rPr>
            </w:pPr>
            <w:r w:rsidRPr="009956BC">
              <w:rPr>
                <w:rFonts w:eastAsia="Arial" w:cs="Arial"/>
                <w:color w:val="000000"/>
                <w:sz w:val="16"/>
                <w:szCs w:val="16"/>
              </w:rPr>
              <w:t>very small to small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9956BC" w:rsidRDefault="009956BC" w:rsidP="009956BC">
            <w:pPr>
              <w:keepNext/>
              <w:jc w:val="center"/>
              <w:rPr>
                <w:rFonts w:eastAsia="Arial" w:cs="Arial"/>
                <w:color w:val="000000"/>
                <w:sz w:val="16"/>
                <w:szCs w:val="16"/>
              </w:rPr>
            </w:pPr>
            <w:r w:rsidRPr="009956BC">
              <w:rPr>
                <w:rFonts w:eastAsia="Arial" w:cs="Arial"/>
                <w:color w:val="000000"/>
                <w:sz w:val="16"/>
                <w:szCs w:val="16"/>
              </w:rPr>
              <w:t>2</w:t>
            </w:r>
          </w:p>
        </w:tc>
      </w:tr>
      <w:tr w:rsidR="009956BC" w:rsidRPr="009956BC" w:rsidTr="001270B2">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9956BC" w:rsidRDefault="009956BC" w:rsidP="009956BC">
            <w:pPr>
              <w:keepNext/>
              <w:rPr>
                <w:rFonts w:eastAsia="Arial" w:cs="Arial"/>
                <w:color w:val="000000"/>
                <w:sz w:val="16"/>
                <w:szCs w:val="16"/>
              </w:rPr>
            </w:pPr>
            <w:r w:rsidRPr="009956BC">
              <w:rPr>
                <w:rFonts w:eastAsia="Arial" w:cs="Arial"/>
                <w:color w:val="000000"/>
                <w:sz w:val="16"/>
                <w:szCs w:val="16"/>
              </w:rPr>
              <w:t>small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9956BC" w:rsidRDefault="009956BC" w:rsidP="009956BC">
            <w:pPr>
              <w:keepNext/>
              <w:jc w:val="center"/>
              <w:rPr>
                <w:rFonts w:eastAsia="Arial" w:cs="Arial"/>
                <w:color w:val="000000"/>
                <w:sz w:val="16"/>
                <w:szCs w:val="16"/>
              </w:rPr>
            </w:pPr>
            <w:r w:rsidRPr="009956BC">
              <w:rPr>
                <w:rFonts w:eastAsia="Arial" w:cs="Arial"/>
                <w:color w:val="000000"/>
                <w:sz w:val="16"/>
                <w:szCs w:val="16"/>
              </w:rPr>
              <w:t>3</w:t>
            </w:r>
          </w:p>
        </w:tc>
      </w:tr>
      <w:tr w:rsidR="009956BC" w:rsidRPr="009956BC" w:rsidTr="001270B2">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9956BC" w:rsidRDefault="009956BC" w:rsidP="009956BC">
            <w:pPr>
              <w:keepNext/>
              <w:rPr>
                <w:rFonts w:eastAsia="Arial" w:cs="Arial"/>
                <w:color w:val="000000"/>
                <w:sz w:val="16"/>
                <w:szCs w:val="16"/>
              </w:rPr>
            </w:pPr>
            <w:r w:rsidRPr="009956BC">
              <w:rPr>
                <w:rFonts w:eastAsia="Arial" w:cs="Arial"/>
                <w:color w:val="000000"/>
                <w:sz w:val="16"/>
                <w:szCs w:val="16"/>
              </w:rPr>
              <w:t>small to medium</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9956BC" w:rsidRDefault="009956BC" w:rsidP="009956BC">
            <w:pPr>
              <w:keepNext/>
              <w:jc w:val="center"/>
              <w:rPr>
                <w:rFonts w:eastAsia="Arial" w:cs="Arial"/>
                <w:color w:val="000000"/>
                <w:sz w:val="16"/>
                <w:szCs w:val="16"/>
              </w:rPr>
            </w:pPr>
            <w:r w:rsidRPr="009956BC">
              <w:rPr>
                <w:rFonts w:eastAsia="Arial" w:cs="Arial"/>
                <w:color w:val="000000"/>
                <w:sz w:val="16"/>
                <w:szCs w:val="16"/>
              </w:rPr>
              <w:t>4</w:t>
            </w:r>
          </w:p>
        </w:tc>
      </w:tr>
      <w:tr w:rsidR="009956BC" w:rsidRPr="009956BC" w:rsidTr="001270B2">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9956BC" w:rsidRDefault="009956BC" w:rsidP="009956BC">
            <w:pPr>
              <w:keepNext/>
              <w:rPr>
                <w:rFonts w:eastAsia="Arial" w:cs="Arial"/>
                <w:color w:val="000000"/>
                <w:sz w:val="16"/>
                <w:szCs w:val="16"/>
              </w:rPr>
            </w:pPr>
            <w:r w:rsidRPr="009956BC">
              <w:rPr>
                <w:rFonts w:eastAsia="Arial" w:cs="Arial"/>
                <w:color w:val="000000"/>
                <w:sz w:val="16"/>
                <w:szCs w:val="16"/>
              </w:rPr>
              <w:t>medium</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9956BC" w:rsidRDefault="009956BC" w:rsidP="009956BC">
            <w:pPr>
              <w:keepNext/>
              <w:jc w:val="center"/>
              <w:rPr>
                <w:rFonts w:eastAsia="Arial" w:cs="Arial"/>
                <w:color w:val="000000"/>
                <w:sz w:val="16"/>
                <w:szCs w:val="16"/>
              </w:rPr>
            </w:pPr>
            <w:r w:rsidRPr="009956BC">
              <w:rPr>
                <w:rFonts w:eastAsia="Arial" w:cs="Arial"/>
                <w:color w:val="000000"/>
                <w:sz w:val="16"/>
                <w:szCs w:val="16"/>
              </w:rPr>
              <w:t>5</w:t>
            </w:r>
          </w:p>
        </w:tc>
      </w:tr>
      <w:tr w:rsidR="009956BC" w:rsidRPr="009956BC" w:rsidTr="001270B2">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9956BC" w:rsidRDefault="009956BC" w:rsidP="009956BC">
            <w:pPr>
              <w:keepNext/>
              <w:rPr>
                <w:rFonts w:eastAsia="Arial" w:cs="Arial"/>
                <w:color w:val="000000"/>
                <w:sz w:val="16"/>
                <w:szCs w:val="16"/>
              </w:rPr>
            </w:pPr>
            <w:r w:rsidRPr="009956BC">
              <w:rPr>
                <w:rFonts w:eastAsia="Arial" w:cs="Arial"/>
                <w:color w:val="000000"/>
                <w:sz w:val="16"/>
                <w:szCs w:val="16"/>
              </w:rPr>
              <w:t>medium to 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9956BC" w:rsidRDefault="009956BC" w:rsidP="009956BC">
            <w:pPr>
              <w:keepNext/>
              <w:jc w:val="center"/>
              <w:rPr>
                <w:rFonts w:eastAsia="Arial" w:cs="Arial"/>
                <w:color w:val="000000"/>
                <w:sz w:val="16"/>
                <w:szCs w:val="16"/>
              </w:rPr>
            </w:pPr>
            <w:r w:rsidRPr="009956BC">
              <w:rPr>
                <w:rFonts w:eastAsia="Arial" w:cs="Arial"/>
                <w:color w:val="000000"/>
                <w:sz w:val="16"/>
                <w:szCs w:val="16"/>
              </w:rPr>
              <w:t>6</w:t>
            </w:r>
          </w:p>
        </w:tc>
      </w:tr>
      <w:tr w:rsidR="009956BC" w:rsidRPr="009956BC" w:rsidTr="001270B2">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9956BC" w:rsidRDefault="009956BC" w:rsidP="009956BC">
            <w:pPr>
              <w:keepNext/>
              <w:rPr>
                <w:rFonts w:eastAsia="Arial" w:cs="Arial"/>
                <w:color w:val="000000"/>
                <w:sz w:val="16"/>
                <w:szCs w:val="16"/>
              </w:rPr>
            </w:pPr>
            <w:r w:rsidRPr="009956BC">
              <w:rPr>
                <w:rFonts w:eastAsia="Arial" w:cs="Arial"/>
                <w:color w:val="000000"/>
                <w:sz w:val="16"/>
                <w:szCs w:val="16"/>
              </w:rPr>
              <w:t>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9956BC" w:rsidRDefault="009956BC" w:rsidP="009956BC">
            <w:pPr>
              <w:keepNext/>
              <w:jc w:val="center"/>
              <w:rPr>
                <w:rFonts w:eastAsia="Arial" w:cs="Arial"/>
                <w:color w:val="000000"/>
                <w:sz w:val="16"/>
                <w:szCs w:val="16"/>
              </w:rPr>
            </w:pPr>
            <w:r w:rsidRPr="009956BC">
              <w:rPr>
                <w:rFonts w:eastAsia="Arial" w:cs="Arial"/>
                <w:color w:val="000000"/>
                <w:sz w:val="16"/>
                <w:szCs w:val="16"/>
              </w:rPr>
              <w:t>7</w:t>
            </w:r>
          </w:p>
        </w:tc>
      </w:tr>
      <w:tr w:rsidR="009956BC" w:rsidRPr="009956BC" w:rsidTr="001270B2">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9956BC" w:rsidRDefault="009956BC" w:rsidP="009956BC">
            <w:pPr>
              <w:keepNext/>
              <w:rPr>
                <w:rFonts w:eastAsia="Arial" w:cs="Arial"/>
                <w:color w:val="000000"/>
                <w:sz w:val="16"/>
                <w:szCs w:val="16"/>
              </w:rPr>
            </w:pPr>
            <w:r w:rsidRPr="009956BC">
              <w:rPr>
                <w:rFonts w:eastAsia="Arial" w:cs="Arial"/>
                <w:color w:val="000000"/>
                <w:sz w:val="16"/>
                <w:szCs w:val="16"/>
              </w:rPr>
              <w:t>large to very 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9956BC" w:rsidRDefault="009956BC" w:rsidP="009956BC">
            <w:pPr>
              <w:keepNext/>
              <w:jc w:val="center"/>
              <w:rPr>
                <w:rFonts w:eastAsia="Arial" w:cs="Arial"/>
                <w:color w:val="000000"/>
                <w:sz w:val="16"/>
                <w:szCs w:val="16"/>
              </w:rPr>
            </w:pPr>
            <w:r w:rsidRPr="009956BC">
              <w:rPr>
                <w:rFonts w:eastAsia="Arial" w:cs="Arial"/>
                <w:color w:val="000000"/>
                <w:sz w:val="16"/>
                <w:szCs w:val="16"/>
              </w:rPr>
              <w:t>8</w:t>
            </w:r>
          </w:p>
        </w:tc>
      </w:tr>
      <w:tr w:rsidR="009956BC" w:rsidRPr="009956BC" w:rsidTr="001270B2">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9956BC" w:rsidRDefault="009956BC" w:rsidP="009956BC">
            <w:pPr>
              <w:keepNext/>
              <w:rPr>
                <w:rFonts w:eastAsia="Arial" w:cs="Arial"/>
                <w:color w:val="000000"/>
                <w:sz w:val="16"/>
                <w:szCs w:val="16"/>
              </w:rPr>
            </w:pPr>
            <w:r w:rsidRPr="009956BC">
              <w:rPr>
                <w:rFonts w:eastAsia="Arial" w:cs="Arial"/>
                <w:color w:val="000000"/>
                <w:sz w:val="16"/>
                <w:szCs w:val="16"/>
              </w:rPr>
              <w:t>very 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9956BC" w:rsidRDefault="009956BC" w:rsidP="009956BC">
            <w:pPr>
              <w:keepNext/>
              <w:jc w:val="center"/>
              <w:rPr>
                <w:rFonts w:eastAsia="Arial" w:cs="Arial"/>
                <w:color w:val="000000"/>
                <w:sz w:val="16"/>
                <w:szCs w:val="16"/>
              </w:rPr>
            </w:pPr>
            <w:r w:rsidRPr="009956BC">
              <w:rPr>
                <w:rFonts w:eastAsia="Arial" w:cs="Arial"/>
                <w:color w:val="000000"/>
                <w:sz w:val="16"/>
                <w:szCs w:val="16"/>
              </w:rPr>
              <w:t>9</w:t>
            </w:r>
          </w:p>
        </w:tc>
      </w:tr>
    </w:tbl>
    <w:p w:rsidR="009956BC" w:rsidRPr="009956BC" w:rsidRDefault="009956BC" w:rsidP="009956BC"/>
    <w:p w:rsidR="009956BC" w:rsidRPr="009956BC" w:rsidRDefault="009956BC" w:rsidP="009956BC">
      <w:r w:rsidRPr="009956BC">
        <w:fldChar w:fldCharType="begin"/>
      </w:r>
      <w:r w:rsidRPr="009956BC">
        <w:instrText xml:space="preserve"> AUTONUM  </w:instrText>
      </w:r>
      <w:r w:rsidRPr="009956BC">
        <w:fldChar w:fldCharType="end"/>
      </w:r>
      <w:r w:rsidRPr="009956BC">
        <w:tab/>
        <w:t xml:space="preserve">Despite the inclusion of this explanation, there is widespread confusion and misunderstanding of the “abbreviated” scale.  Furthermore, UPOV documentation, including Test Guidelines, have been made available on the UPOV website and are no longer sent as paper copies by mail to UPOV members.  Therefore, the use of an abbreviated scale to minimize the size of the Table of Characteristics may no longer be appropriate.  Presenting all states of expression for quantitative characteristics in the Table of Characteristics would also remove the need for special treatment of characteristics that are included in </w:t>
      </w:r>
      <w:r w:rsidR="00986672">
        <w:t>the Technical Questionnaire.  A </w:t>
      </w:r>
      <w:r w:rsidRPr="009956BC">
        <w:t xml:space="preserve">further benefit would be that all states of expression </w:t>
      </w:r>
      <w:proofErr w:type="gramStart"/>
      <w:r w:rsidRPr="009956BC">
        <w:t>are needed</w:t>
      </w:r>
      <w:proofErr w:type="gramEnd"/>
      <w:r w:rsidRPr="009956BC">
        <w:t xml:space="preserve"> for characteristics included in UPOV PRISMA.  For these reasons, UPOV members may wish to consider </w:t>
      </w:r>
      <w:r w:rsidRPr="009956BC">
        <w:rPr>
          <w:rFonts w:eastAsia="Arial" w:cs="Arial"/>
          <w:color w:val="000000"/>
        </w:rPr>
        <w:t>presenting all states of expression for quantitative characteristics in Test Guidelines</w:t>
      </w:r>
      <w:r w:rsidRPr="009956BC">
        <w:t xml:space="preserve">.  </w:t>
      </w:r>
    </w:p>
    <w:p w:rsidR="009956BC" w:rsidRPr="009956BC" w:rsidRDefault="009956BC" w:rsidP="009956BC"/>
    <w:p w:rsidR="009956BC" w:rsidRDefault="009956BC" w:rsidP="009956BC">
      <w:pPr>
        <w:rPr>
          <w:rFonts w:eastAsia="Arial" w:cs="Arial"/>
          <w:color w:val="000000"/>
        </w:rPr>
      </w:pPr>
      <w:r w:rsidRPr="009956BC">
        <w:fldChar w:fldCharType="begin"/>
      </w:r>
      <w:r w:rsidRPr="009956BC">
        <w:instrText xml:space="preserve"> AUTONUM  </w:instrText>
      </w:r>
      <w:r w:rsidRPr="009956BC">
        <w:fldChar w:fldCharType="end"/>
      </w:r>
      <w:r w:rsidRPr="009956BC">
        <w:tab/>
        <w:t>The TWPs</w:t>
      </w:r>
      <w:r w:rsidR="00087258">
        <w:t>, at their sessions in 2019, were</w:t>
      </w:r>
      <w:r w:rsidRPr="009956BC">
        <w:t xml:space="preserve"> invited to consi</w:t>
      </w:r>
      <w:r w:rsidR="00986672">
        <w:t xml:space="preserve">der revising document </w:t>
      </w:r>
      <w:proofErr w:type="spellStart"/>
      <w:r w:rsidR="00986672">
        <w:t>TGP</w:t>
      </w:r>
      <w:proofErr w:type="spellEnd"/>
      <w:r w:rsidR="00986672">
        <w:t xml:space="preserve">/7, </w:t>
      </w:r>
      <w:proofErr w:type="spellStart"/>
      <w:r w:rsidR="00986672">
        <w:t>GN</w:t>
      </w:r>
      <w:proofErr w:type="spellEnd"/>
      <w:r w:rsidR="00986672">
        <w:t> </w:t>
      </w:r>
      <w:r w:rsidRPr="009956BC">
        <w:t xml:space="preserve">20 “Presentation of characteristics: States of expression according to type of expression of a characteristic” and Annex 1 “TG structure and universal standard wording” to present all states of expression </w:t>
      </w:r>
      <w:r w:rsidRPr="009956BC">
        <w:rPr>
          <w:rFonts w:eastAsia="Arial" w:cs="Arial"/>
          <w:color w:val="000000"/>
        </w:rPr>
        <w:t>for quantitative characteristics included in Test Guidelines.</w:t>
      </w:r>
    </w:p>
    <w:p w:rsidR="005F0359" w:rsidRDefault="005F0359" w:rsidP="009956BC">
      <w:pPr>
        <w:rPr>
          <w:rFonts w:eastAsia="Arial" w:cs="Arial"/>
          <w:color w:val="000000"/>
        </w:rPr>
      </w:pPr>
    </w:p>
    <w:p w:rsidR="00AE2C77" w:rsidRPr="00134CDD" w:rsidRDefault="00AE2C77" w:rsidP="00AE2C77">
      <w:pPr>
        <w:pStyle w:val="Heading4"/>
        <w:rPr>
          <w:rFonts w:eastAsia="Arial"/>
          <w:lang w:val="en-US"/>
        </w:rPr>
      </w:pPr>
      <w:bookmarkStart w:id="54" w:name="_Toc21683369"/>
      <w:r w:rsidRPr="00134CDD">
        <w:rPr>
          <w:rFonts w:eastAsia="Arial"/>
          <w:lang w:val="en-US"/>
        </w:rPr>
        <w:t>Comments by the TWPs at their sessions in 2019</w:t>
      </w:r>
      <w:bookmarkEnd w:id="54"/>
    </w:p>
    <w:p w:rsidR="00AE2C77" w:rsidRDefault="00AE2C77" w:rsidP="009956BC">
      <w:pPr>
        <w:rPr>
          <w:rFonts w:eastAsia="Arial" w:cs="Arial"/>
          <w:color w:val="000000"/>
        </w:rPr>
      </w:pPr>
    </w:p>
    <w:p w:rsidR="005F0359" w:rsidRPr="00986672" w:rsidRDefault="00AE2C77" w:rsidP="009956BC">
      <w:pPr>
        <w:rPr>
          <w:spacing w:val="-2"/>
        </w:rPr>
      </w:pPr>
      <w:r w:rsidRPr="00986672">
        <w:rPr>
          <w:spacing w:val="-2"/>
        </w:rPr>
        <w:fldChar w:fldCharType="begin"/>
      </w:r>
      <w:r w:rsidRPr="00986672">
        <w:rPr>
          <w:spacing w:val="-2"/>
        </w:rPr>
        <w:instrText xml:space="preserve"> AUTONUM  </w:instrText>
      </w:r>
      <w:r w:rsidRPr="00986672">
        <w:rPr>
          <w:spacing w:val="-2"/>
        </w:rPr>
        <w:fldChar w:fldCharType="end"/>
      </w:r>
      <w:r w:rsidRPr="00986672">
        <w:rPr>
          <w:spacing w:val="-2"/>
        </w:rPr>
        <w:tab/>
        <w:t xml:space="preserve">The TWO, TWV, TWF and TWA, at their sessions in 2019, considered the proposal to revise document TGP/7, GN 20, to present all states of expression </w:t>
      </w:r>
      <w:r w:rsidRPr="00986672">
        <w:rPr>
          <w:rFonts w:eastAsia="Arial" w:cs="Arial"/>
          <w:color w:val="000000"/>
          <w:spacing w:val="-2"/>
        </w:rPr>
        <w:t>for quantitative characteristics included in Test Guidelines</w:t>
      </w:r>
      <w:r w:rsidRPr="00986672">
        <w:rPr>
          <w:spacing w:val="-2"/>
        </w:rPr>
        <w:t xml:space="preserve"> (see documents TWO/51/12 “Report”, paragraphs 19 to 23, TWV/53/14 “Report”, paragraphs 12 to 16, TWF/50/13 “Report”, paragraphs 11 and 13 and TWA/48/9 “Report”, paragraphs 40 to 42).</w:t>
      </w:r>
    </w:p>
    <w:p w:rsidR="00016165" w:rsidRPr="00C8192C" w:rsidRDefault="00016165" w:rsidP="00016165"/>
    <w:p w:rsidR="00016165" w:rsidRPr="00C8192C" w:rsidRDefault="00016165" w:rsidP="00016165">
      <w:r w:rsidRPr="00C8192C">
        <w:fldChar w:fldCharType="begin"/>
      </w:r>
      <w:r w:rsidRPr="00C8192C">
        <w:instrText xml:space="preserve"> AUTONUM  </w:instrText>
      </w:r>
      <w:r w:rsidRPr="00C8192C">
        <w:fldChar w:fldCharType="end"/>
      </w:r>
      <w:r w:rsidRPr="00C8192C">
        <w:tab/>
        <w:t xml:space="preserve">The TWO, TWV and TWF agreed that all states of expression for quantitative characteristics </w:t>
      </w:r>
      <w:proofErr w:type="gramStart"/>
      <w:r w:rsidRPr="00C8192C">
        <w:t>should be presented</w:t>
      </w:r>
      <w:proofErr w:type="gramEnd"/>
      <w:r w:rsidRPr="00C8192C">
        <w:t xml:space="preserve"> in Test Guidelines</w:t>
      </w:r>
      <w:r>
        <w:t xml:space="preserve">. </w:t>
      </w:r>
    </w:p>
    <w:p w:rsidR="00016165" w:rsidRPr="00C8192C" w:rsidRDefault="00016165" w:rsidP="00016165"/>
    <w:p w:rsidR="00016165" w:rsidRPr="00C8192C" w:rsidRDefault="00016165" w:rsidP="00016165">
      <w:r w:rsidRPr="00C8192C">
        <w:fldChar w:fldCharType="begin"/>
      </w:r>
      <w:r w:rsidRPr="00C8192C">
        <w:instrText xml:space="preserve"> AUTONUM  </w:instrText>
      </w:r>
      <w:r w:rsidRPr="00C8192C">
        <w:fldChar w:fldCharType="end"/>
      </w:r>
      <w:r w:rsidRPr="00C8192C">
        <w:tab/>
        <w:t>The TWO and the TWV recalled that guidance in document TGP/7 required quantitative characteristics with “1</w:t>
      </w:r>
      <w:r w:rsidRPr="00C8192C">
        <w:noBreakHyphen/>
        <w:t xml:space="preserve">9” scale to have example varieties for at least three states of expression and “1-5” / “1-4” / “1-3” scales for at least two states of expression.  The TWO and the TWV agreed with the proposal to present all states of expression of quantitative characteristics in Test Guidelines and agreed that this would not change the minimum number of example varieties required in document TGP/7.  </w:t>
      </w:r>
    </w:p>
    <w:p w:rsidR="00016165" w:rsidRPr="00C8192C" w:rsidRDefault="00016165" w:rsidP="00016165"/>
    <w:p w:rsidR="00016165" w:rsidRPr="00A83C1B" w:rsidRDefault="00016165" w:rsidP="00016165">
      <w:r w:rsidRPr="00C8192C">
        <w:fldChar w:fldCharType="begin"/>
      </w:r>
      <w:r w:rsidRPr="00C8192C">
        <w:instrText xml:space="preserve"> AUTONUM  </w:instrText>
      </w:r>
      <w:r w:rsidRPr="00C8192C">
        <w:fldChar w:fldCharType="end"/>
      </w:r>
      <w:r w:rsidRPr="00C8192C">
        <w:tab/>
        <w:t>The TWF welcomed the proposal to present the full scale of notes for QN characteristics in Test </w:t>
      </w:r>
      <w:proofErr w:type="gramStart"/>
      <w:r w:rsidRPr="00C8192C">
        <w:t>Guidelines</w:t>
      </w:r>
      <w:proofErr w:type="gramEnd"/>
      <w:r w:rsidRPr="00C8192C">
        <w:t xml:space="preserve"> as it would provide greater clarity for DUS examiners, in particular in the case of testing at breeders’ premises. It further agreed that it would improve the quality of the data provided.</w:t>
      </w:r>
    </w:p>
    <w:p w:rsidR="00016165" w:rsidRPr="00B210BD" w:rsidRDefault="00016165" w:rsidP="00016165"/>
    <w:p w:rsidR="00016165" w:rsidRDefault="00016165" w:rsidP="00016165">
      <w:r w:rsidRPr="00B210BD">
        <w:fldChar w:fldCharType="begin"/>
      </w:r>
      <w:r w:rsidRPr="00B210BD">
        <w:instrText xml:space="preserve"> AUTONUM  </w:instrText>
      </w:r>
      <w:r w:rsidRPr="00B210BD">
        <w:fldChar w:fldCharType="end"/>
      </w:r>
      <w:r w:rsidRPr="00B210BD">
        <w:tab/>
        <w:t>The TWA considered the proposal for the revision of document TGP/7 to have all states of expression for quantitative characteristics presented in Test Guidelines and agreed that it would not be possible to reach</w:t>
      </w:r>
      <w:r>
        <w:t xml:space="preserve"> a conclusion on the matter at this stage. </w:t>
      </w:r>
    </w:p>
    <w:p w:rsidR="00016165" w:rsidRDefault="00016165" w:rsidP="00016165"/>
    <w:p w:rsidR="00016165" w:rsidRDefault="00016165" w:rsidP="00016165">
      <w:r>
        <w:fldChar w:fldCharType="begin"/>
      </w:r>
      <w:r>
        <w:instrText xml:space="preserve"> AUTONUM  </w:instrText>
      </w:r>
      <w:r>
        <w:fldChar w:fldCharType="end"/>
      </w:r>
      <w:r>
        <w:tab/>
        <w:t xml:space="preserve">The TWA noted that presenting all states of expression in Test Guidelines could be useful for less experienced DUS examiners and other users of Test Guidelines, such as breeders.  The TWA also noted that presenting all states of expression was important for online application systems, including national online application systems and UPOV PRISMA.  </w:t>
      </w:r>
    </w:p>
    <w:p w:rsidR="00016165" w:rsidRDefault="00016165" w:rsidP="00016165"/>
    <w:p w:rsidR="00016165" w:rsidRDefault="00016165" w:rsidP="00016165">
      <w:r>
        <w:fldChar w:fldCharType="begin"/>
      </w:r>
      <w:r>
        <w:instrText xml:space="preserve"> AUTONUM  </w:instrText>
      </w:r>
      <w:r>
        <w:fldChar w:fldCharType="end"/>
      </w:r>
      <w:r>
        <w:tab/>
        <w:t xml:space="preserve">The TWA noted the standard explanation in Test Guidelines that </w:t>
      </w:r>
      <w:r w:rsidRPr="0010228D">
        <w:t xml:space="preserve">in the case of quantitative characteristics with </w:t>
      </w:r>
      <w:proofErr w:type="gramStart"/>
      <w:r w:rsidRPr="0010228D">
        <w:t>5</w:t>
      </w:r>
      <w:proofErr w:type="gramEnd"/>
      <w:r w:rsidRPr="0010228D">
        <w:t xml:space="preserve"> or more states, an abbrevia</w:t>
      </w:r>
      <w:r>
        <w:t xml:space="preserve">ted scale may be used, although other </w:t>
      </w:r>
      <w:r w:rsidRPr="0010228D">
        <w:t xml:space="preserve">states of expression exist to describe varieties and should be used as </w:t>
      </w:r>
      <w:r>
        <w:t xml:space="preserve">appropriate.  The TWA noted that presenting all states of expression could increase the length of the Test Guidelines and render the document less practical to </w:t>
      </w:r>
      <w:proofErr w:type="gramStart"/>
      <w:r>
        <w:t>be used</w:t>
      </w:r>
      <w:proofErr w:type="gramEnd"/>
      <w:r>
        <w:t xml:space="preserve"> on the field by experienced examiners.</w:t>
      </w:r>
    </w:p>
    <w:p w:rsidR="00016165" w:rsidRDefault="00016165" w:rsidP="00016165"/>
    <w:p w:rsidR="00016165" w:rsidRDefault="00016165" w:rsidP="00016165">
      <w:pPr>
        <w:rPr>
          <w:rFonts w:cs="Arial"/>
        </w:rPr>
      </w:pPr>
      <w:r>
        <w:rPr>
          <w:rFonts w:cs="Arial"/>
        </w:rPr>
        <w:lastRenderedPageBreak/>
        <w:fldChar w:fldCharType="begin"/>
      </w:r>
      <w:r>
        <w:rPr>
          <w:rFonts w:cs="Arial"/>
        </w:rPr>
        <w:instrText xml:space="preserve"> AUTONUM  </w:instrText>
      </w:r>
      <w:r>
        <w:rPr>
          <w:rFonts w:cs="Arial"/>
        </w:rPr>
        <w:fldChar w:fldCharType="end"/>
      </w:r>
      <w:r>
        <w:rPr>
          <w:rFonts w:cs="Arial"/>
        </w:rPr>
        <w:tab/>
        <w:t xml:space="preserve">Comments by the TWC, at its thirty-seventh session, to </w:t>
      </w:r>
      <w:proofErr w:type="gramStart"/>
      <w:r>
        <w:rPr>
          <w:rFonts w:cs="Arial"/>
        </w:rPr>
        <w:t>be held</w:t>
      </w:r>
      <w:proofErr w:type="gramEnd"/>
      <w:r>
        <w:rPr>
          <w:rFonts w:cs="Arial"/>
        </w:rPr>
        <w:t xml:space="preserve"> in Hangzhou, China, from October 14 to 16, 2019, will be presented as an addendum to this document.</w:t>
      </w:r>
    </w:p>
    <w:p w:rsidR="009956BC" w:rsidRPr="009956BC" w:rsidRDefault="009956BC" w:rsidP="009956BC">
      <w:pPr>
        <w:tabs>
          <w:tab w:val="left" w:pos="5387"/>
        </w:tabs>
        <w:ind w:left="4820"/>
        <w:rPr>
          <w:i/>
        </w:rPr>
      </w:pPr>
    </w:p>
    <w:p w:rsidR="009956BC" w:rsidRPr="009956BC" w:rsidRDefault="009956BC" w:rsidP="00A02FB5">
      <w:pPr>
        <w:tabs>
          <w:tab w:val="left" w:pos="5387"/>
        </w:tabs>
        <w:ind w:left="4820"/>
        <w:rPr>
          <w:i/>
        </w:rPr>
      </w:pPr>
      <w:r w:rsidRPr="009956BC">
        <w:rPr>
          <w:i/>
        </w:rPr>
        <w:fldChar w:fldCharType="begin"/>
      </w:r>
      <w:r w:rsidRPr="009956BC">
        <w:rPr>
          <w:i/>
        </w:rPr>
        <w:instrText xml:space="preserve"> AUTONUM  </w:instrText>
      </w:r>
      <w:r w:rsidRPr="009956BC">
        <w:rPr>
          <w:i/>
        </w:rPr>
        <w:fldChar w:fldCharType="end"/>
      </w:r>
      <w:r w:rsidRPr="009956BC">
        <w:rPr>
          <w:i/>
        </w:rPr>
        <w:tab/>
        <w:t xml:space="preserve">The </w:t>
      </w:r>
      <w:r w:rsidR="00D92A27">
        <w:rPr>
          <w:i/>
        </w:rPr>
        <w:t xml:space="preserve">TC </w:t>
      </w:r>
      <w:proofErr w:type="gramStart"/>
      <w:r w:rsidR="00D92A27">
        <w:rPr>
          <w:i/>
        </w:rPr>
        <w:t>is</w:t>
      </w:r>
      <w:r w:rsidRPr="009956BC">
        <w:rPr>
          <w:i/>
        </w:rPr>
        <w:t xml:space="preserve"> invited</w:t>
      </w:r>
      <w:proofErr w:type="gramEnd"/>
      <w:r w:rsidRPr="009956BC">
        <w:rPr>
          <w:i/>
        </w:rPr>
        <w:t xml:space="preserve"> to consider</w:t>
      </w:r>
      <w:r w:rsidR="00421BAE">
        <w:rPr>
          <w:i/>
        </w:rPr>
        <w:t xml:space="preserve"> the proposal to revise</w:t>
      </w:r>
      <w:r w:rsidR="00421BAE" w:rsidRPr="009956BC">
        <w:rPr>
          <w:i/>
        </w:rPr>
        <w:t xml:space="preserve"> document</w:t>
      </w:r>
      <w:r w:rsidR="00421BAE">
        <w:rPr>
          <w:i/>
        </w:rPr>
        <w:t> </w:t>
      </w:r>
      <w:r w:rsidR="00421BAE" w:rsidRPr="009956BC">
        <w:rPr>
          <w:i/>
        </w:rPr>
        <w:t xml:space="preserve">TGP/7 to </w:t>
      </w:r>
      <w:r w:rsidR="00A02FB5">
        <w:rPr>
          <w:i/>
        </w:rPr>
        <w:t>present</w:t>
      </w:r>
      <w:r w:rsidR="00421BAE" w:rsidRPr="009956BC">
        <w:rPr>
          <w:i/>
        </w:rPr>
        <w:t xml:space="preserve"> all states of expression </w:t>
      </w:r>
      <w:r w:rsidR="00421BAE" w:rsidRPr="009956BC">
        <w:rPr>
          <w:rFonts w:eastAsia="Arial" w:cs="Arial"/>
          <w:i/>
          <w:color w:val="000000"/>
        </w:rPr>
        <w:t>for quantitative characteristics in Test </w:t>
      </w:r>
      <w:r w:rsidR="00421BAE" w:rsidRPr="00986672">
        <w:rPr>
          <w:rFonts w:eastAsia="Arial" w:cs="Arial"/>
          <w:i/>
          <w:color w:val="000000"/>
        </w:rPr>
        <w:t>Guidelines</w:t>
      </w:r>
      <w:r w:rsidR="00A02FB5" w:rsidRPr="00986672">
        <w:rPr>
          <w:rFonts w:eastAsia="Arial" w:cs="Arial"/>
          <w:i/>
          <w:color w:val="000000"/>
        </w:rPr>
        <w:t>, taking into account the comments by the TWPs</w:t>
      </w:r>
      <w:r w:rsidR="00D7161A" w:rsidRPr="00986672">
        <w:rPr>
          <w:i/>
        </w:rPr>
        <w:t xml:space="preserve">, at their sessions in 2019, as presented in paragraphs 53 to </w:t>
      </w:r>
      <w:r w:rsidR="00A02FB5" w:rsidRPr="00986672">
        <w:rPr>
          <w:i/>
        </w:rPr>
        <w:t>60</w:t>
      </w:r>
      <w:r w:rsidR="00D7161A" w:rsidRPr="00986672">
        <w:rPr>
          <w:i/>
        </w:rPr>
        <w:t xml:space="preserve"> of</w:t>
      </w:r>
      <w:r w:rsidR="00D7161A">
        <w:rPr>
          <w:i/>
        </w:rPr>
        <w:t xml:space="preserve"> this document</w:t>
      </w:r>
      <w:r w:rsidR="00A02FB5">
        <w:rPr>
          <w:i/>
        </w:rPr>
        <w:t xml:space="preserve">. </w:t>
      </w:r>
    </w:p>
    <w:p w:rsidR="009956BC" w:rsidRPr="009956BC" w:rsidRDefault="009956BC" w:rsidP="009956BC"/>
    <w:p w:rsidR="009956BC" w:rsidRPr="009956BC" w:rsidRDefault="009956BC" w:rsidP="009956BC"/>
    <w:p w:rsidR="009956BC" w:rsidRPr="009956BC" w:rsidRDefault="009956BC" w:rsidP="009956BC">
      <w:pPr>
        <w:keepNext/>
        <w:outlineLvl w:val="1"/>
        <w:rPr>
          <w:snapToGrid w:val="0"/>
          <w:u w:val="single"/>
        </w:rPr>
      </w:pPr>
      <w:bookmarkStart w:id="55" w:name="_Toc519608642"/>
      <w:bookmarkStart w:id="56" w:name="_Toc21683370"/>
      <w:r w:rsidRPr="009956BC">
        <w:rPr>
          <w:snapToGrid w:val="0"/>
          <w:u w:val="single"/>
        </w:rPr>
        <w:t>TGP/12: Guidance on Certain Physiological Characteristics</w:t>
      </w:r>
      <w:bookmarkEnd w:id="55"/>
      <w:bookmarkEnd w:id="56"/>
    </w:p>
    <w:p w:rsidR="009956BC" w:rsidRPr="009956BC" w:rsidRDefault="009956BC" w:rsidP="009956BC">
      <w:pPr>
        <w:rPr>
          <w:rFonts w:cs="Arial"/>
          <w:bCs/>
          <w:snapToGrid w:val="0"/>
        </w:rPr>
      </w:pPr>
    </w:p>
    <w:p w:rsidR="009956BC" w:rsidRPr="009956BC" w:rsidRDefault="009956BC" w:rsidP="009956BC">
      <w:pPr>
        <w:keepNext/>
        <w:outlineLvl w:val="2"/>
        <w:rPr>
          <w:rFonts w:eastAsia="MS Mincho"/>
          <w:i/>
        </w:rPr>
      </w:pPr>
      <w:bookmarkStart w:id="57" w:name="_Toc519608643"/>
      <w:bookmarkStart w:id="58" w:name="_Toc21683371"/>
      <w:r w:rsidRPr="009956BC">
        <w:rPr>
          <w:rFonts w:eastAsia="MS Mincho"/>
          <w:i/>
        </w:rPr>
        <w:t>Explanations on disease resistance characteristics</w:t>
      </w:r>
      <w:bookmarkEnd w:id="57"/>
      <w:bookmarkEnd w:id="58"/>
    </w:p>
    <w:p w:rsidR="009956BC" w:rsidRPr="009956BC" w:rsidRDefault="009956BC" w:rsidP="009956BC"/>
    <w:p w:rsidR="009956BC" w:rsidRPr="009956BC" w:rsidRDefault="009956BC" w:rsidP="009956BC">
      <w:r w:rsidRPr="009956BC">
        <w:fldChar w:fldCharType="begin"/>
      </w:r>
      <w:r w:rsidRPr="009956BC">
        <w:instrText xml:space="preserve"> AUTONUM  </w:instrText>
      </w:r>
      <w:r w:rsidRPr="009956BC">
        <w:fldChar w:fldCharType="end"/>
      </w:r>
      <w:r w:rsidRPr="009956BC">
        <w:tab/>
      </w:r>
      <w:proofErr w:type="gramStart"/>
      <w:r w:rsidRPr="009956BC">
        <w:t>The TC, at its fifty-fourth session, considered whether to invite the TWPs to develop further guidance on providing explanations for disease resistance characteristics in Test Guidelines using the Standard Resistance Protocol provided in document TGP/12 “Guidance on certain physiological characteristics”, including the elements that would not need to be completed (see document TC/54/31 “Report”, paragraphs 249 and 250).</w:t>
      </w:r>
      <w:proofErr w:type="gramEnd"/>
      <w:r w:rsidRPr="009956BC">
        <w:t xml:space="preserve">  </w:t>
      </w:r>
    </w:p>
    <w:p w:rsidR="009956BC" w:rsidRPr="009956BC" w:rsidRDefault="009956BC" w:rsidP="009956BC"/>
    <w:p w:rsidR="009956BC" w:rsidRPr="009956BC" w:rsidRDefault="009956BC" w:rsidP="009956BC">
      <w:r w:rsidRPr="009956BC">
        <w:fldChar w:fldCharType="begin"/>
      </w:r>
      <w:r w:rsidRPr="009956BC">
        <w:instrText xml:space="preserve"> AUTONUM  </w:instrText>
      </w:r>
      <w:r w:rsidRPr="009956BC">
        <w:fldChar w:fldCharType="end"/>
      </w:r>
      <w:r w:rsidRPr="009956BC">
        <w:tab/>
        <w:t xml:space="preserve">The TC noted that the use of disease resistance characteristics </w:t>
      </w:r>
      <w:proofErr w:type="gramStart"/>
      <w:r w:rsidRPr="009956BC">
        <w:t>would be discussed at the TWV, at its next session, and agreed to wait for the outcome of those discussions before developing further guidance</w:t>
      </w:r>
      <w:proofErr w:type="gramEnd"/>
      <w:r w:rsidRPr="009956BC">
        <w:t>.</w:t>
      </w:r>
    </w:p>
    <w:p w:rsidR="009956BC" w:rsidRDefault="009956BC" w:rsidP="009956BC">
      <w:pPr>
        <w:rPr>
          <w:i/>
        </w:rPr>
      </w:pPr>
    </w:p>
    <w:p w:rsidR="001101C2" w:rsidRPr="00134CDD" w:rsidRDefault="001101C2" w:rsidP="001101C2">
      <w:pPr>
        <w:pStyle w:val="Heading4"/>
        <w:rPr>
          <w:lang w:val="en-US"/>
        </w:rPr>
      </w:pPr>
      <w:bookmarkStart w:id="59" w:name="_Toc21683372"/>
      <w:r w:rsidRPr="00134CDD">
        <w:rPr>
          <w:lang w:val="en-US"/>
        </w:rPr>
        <w:t>Consideration by the Technical Working Party for Vegetables</w:t>
      </w:r>
      <w:bookmarkEnd w:id="59"/>
    </w:p>
    <w:p w:rsidR="001101C2" w:rsidRDefault="001101C2" w:rsidP="001101C2"/>
    <w:p w:rsidR="00C13C5C" w:rsidRPr="00C13C5C" w:rsidRDefault="00C13C5C" w:rsidP="00C13C5C">
      <w:pPr>
        <w:keepNext/>
      </w:pPr>
      <w:r w:rsidRPr="00C13C5C">
        <w:fldChar w:fldCharType="begin"/>
      </w:r>
      <w:r w:rsidRPr="00C13C5C">
        <w:instrText xml:space="preserve"> AUTONUM  </w:instrText>
      </w:r>
      <w:r w:rsidRPr="00C13C5C">
        <w:fldChar w:fldCharType="end"/>
      </w:r>
      <w:r w:rsidRPr="00C13C5C">
        <w:tab/>
        <w:t>The TWV</w:t>
      </w:r>
      <w:r>
        <w:t xml:space="preserve">, at its fifty-third session, held in </w:t>
      </w:r>
      <w:r>
        <w:rPr>
          <w:rFonts w:cs="Arial"/>
        </w:rPr>
        <w:t>Seoul, Republic of Korea</w:t>
      </w:r>
      <w:r>
        <w:t xml:space="preserve">, from May 20 to 24, 2019, </w:t>
      </w:r>
      <w:r w:rsidRPr="00C13C5C">
        <w:t>received the following presentations, copies of which are provided in document TWV/53/13 Rev.</w:t>
      </w:r>
      <w:r>
        <w:t xml:space="preserve"> (see document TWV/53/14 Rev. “Revised Report”, paragraphs 59 to 62)</w:t>
      </w:r>
      <w:r w:rsidRPr="00C13C5C">
        <w:t>:</w:t>
      </w:r>
    </w:p>
    <w:p w:rsidR="00C13C5C" w:rsidRPr="00C13C5C" w:rsidRDefault="00C13C5C" w:rsidP="00C13C5C">
      <w:pPr>
        <w:keepNext/>
      </w:pPr>
    </w:p>
    <w:p w:rsidR="00C13C5C" w:rsidRPr="00C13C5C" w:rsidRDefault="00C13C5C" w:rsidP="00F33CB8">
      <w:pPr>
        <w:numPr>
          <w:ilvl w:val="0"/>
          <w:numId w:val="18"/>
        </w:numPr>
        <w:spacing w:line="276" w:lineRule="auto"/>
        <w:ind w:left="1134" w:hanging="567"/>
        <w:contextualSpacing/>
        <w:rPr>
          <w:rFonts w:eastAsia="MS Mincho"/>
        </w:rPr>
      </w:pPr>
      <w:r w:rsidRPr="00C13C5C">
        <w:rPr>
          <w:rFonts w:eastAsia="MS Mincho"/>
        </w:rPr>
        <w:t>“Use of disease resistance characteristics”, presented by an expert from the European Union.</w:t>
      </w:r>
    </w:p>
    <w:p w:rsidR="00C13C5C" w:rsidRPr="00C13C5C" w:rsidRDefault="00C13C5C" w:rsidP="00F33CB8">
      <w:pPr>
        <w:numPr>
          <w:ilvl w:val="0"/>
          <w:numId w:val="18"/>
        </w:numPr>
        <w:spacing w:line="276" w:lineRule="auto"/>
        <w:ind w:left="1134" w:hanging="567"/>
        <w:contextualSpacing/>
        <w:rPr>
          <w:rFonts w:eastAsia="MS Mincho"/>
        </w:rPr>
      </w:pPr>
      <w:r w:rsidRPr="00C13C5C">
        <w:rPr>
          <w:rFonts w:eastAsia="MS Mincho"/>
        </w:rPr>
        <w:t>“Evaluation of disease resistance in vegetable varieties according to UPOV standards.  A focus on the Italian activities”, presented by an expert from Italy.</w:t>
      </w:r>
    </w:p>
    <w:p w:rsidR="00C13C5C" w:rsidRPr="00C13C5C" w:rsidRDefault="00C13C5C" w:rsidP="00F33CB8">
      <w:pPr>
        <w:numPr>
          <w:ilvl w:val="0"/>
          <w:numId w:val="18"/>
        </w:numPr>
        <w:spacing w:line="276" w:lineRule="auto"/>
        <w:ind w:left="1134" w:hanging="567"/>
        <w:contextualSpacing/>
        <w:rPr>
          <w:rFonts w:eastAsia="MS Mincho"/>
        </w:rPr>
      </w:pPr>
      <w:r w:rsidRPr="00C13C5C">
        <w:rPr>
          <w:rFonts w:eastAsia="MS Mincho"/>
        </w:rPr>
        <w:t>“Disease resistance in DUS”, presented by experts from France and the Netherlands.</w:t>
      </w:r>
    </w:p>
    <w:p w:rsidR="00C13C5C" w:rsidRPr="00C13C5C" w:rsidRDefault="00C13C5C" w:rsidP="00F33CB8">
      <w:pPr>
        <w:numPr>
          <w:ilvl w:val="0"/>
          <w:numId w:val="18"/>
        </w:numPr>
        <w:spacing w:line="276" w:lineRule="auto"/>
        <w:ind w:left="1134" w:hanging="567"/>
        <w:contextualSpacing/>
        <w:rPr>
          <w:rFonts w:eastAsia="MS Mincho"/>
        </w:rPr>
      </w:pPr>
      <w:r w:rsidRPr="00C13C5C">
        <w:rPr>
          <w:rFonts w:eastAsia="MS Mincho"/>
        </w:rPr>
        <w:t xml:space="preserve">“Harmonization of resistance tests to diseases for </w:t>
      </w:r>
      <w:proofErr w:type="spellStart"/>
      <w:r w:rsidRPr="00C13C5C">
        <w:rPr>
          <w:rFonts w:eastAsia="MS Mincho"/>
        </w:rPr>
        <w:t>DUS</w:t>
      </w:r>
      <w:proofErr w:type="spellEnd"/>
      <w:r w:rsidRPr="00C13C5C">
        <w:rPr>
          <w:rFonts w:eastAsia="MS Mincho"/>
        </w:rPr>
        <w:t xml:space="preserve"> </w:t>
      </w:r>
      <w:proofErr w:type="gramStart"/>
      <w:r w:rsidRPr="00C13C5C">
        <w:rPr>
          <w:rFonts w:eastAsia="MS Mincho"/>
        </w:rPr>
        <w:t>testing:</w:t>
      </w:r>
      <w:proofErr w:type="gramEnd"/>
      <w:r w:rsidRPr="00C13C5C">
        <w:rPr>
          <w:rFonts w:eastAsia="MS Mincho"/>
        </w:rPr>
        <w:t xml:space="preserve"> </w:t>
      </w:r>
      <w:proofErr w:type="spellStart"/>
      <w:r w:rsidRPr="00C13C5C">
        <w:rPr>
          <w:rFonts w:eastAsia="MS Mincho"/>
        </w:rPr>
        <w:t>Harmores</w:t>
      </w:r>
      <w:proofErr w:type="spellEnd"/>
      <w:r w:rsidRPr="00C13C5C">
        <w:rPr>
          <w:rFonts w:eastAsia="MS Mincho"/>
        </w:rPr>
        <w:t xml:space="preserve"> 3”, presented by an expert from France (on behalf of the working group).</w:t>
      </w:r>
    </w:p>
    <w:p w:rsidR="00C13C5C" w:rsidRPr="00C13C5C" w:rsidRDefault="00C13C5C" w:rsidP="00F33CB8">
      <w:pPr>
        <w:numPr>
          <w:ilvl w:val="0"/>
          <w:numId w:val="18"/>
        </w:numPr>
        <w:spacing w:line="276" w:lineRule="auto"/>
        <w:ind w:left="1134" w:hanging="567"/>
        <w:contextualSpacing/>
        <w:rPr>
          <w:rFonts w:eastAsia="MS Mincho"/>
          <w:snapToGrid w:val="0"/>
        </w:rPr>
      </w:pPr>
      <w:r w:rsidRPr="00C13C5C">
        <w:rPr>
          <w:rFonts w:eastAsia="MS Mincho"/>
        </w:rPr>
        <w:t>“Disease resistance in vegetables: What does the European industry do in terms of claims?</w:t>
      </w:r>
      <w:r w:rsidR="00F33CB8" w:rsidRPr="00C13C5C">
        <w:rPr>
          <w:rFonts w:eastAsia="MS Mincho"/>
        </w:rPr>
        <w:t>”</w:t>
      </w:r>
      <w:r w:rsidRPr="00C13C5C">
        <w:rPr>
          <w:rFonts w:eastAsia="MS Mincho"/>
        </w:rPr>
        <w:t xml:space="preserve"> presented by an expert from the European Seed Association (ESA).</w:t>
      </w:r>
    </w:p>
    <w:p w:rsidR="00C13C5C" w:rsidRPr="00C13C5C" w:rsidRDefault="00C13C5C" w:rsidP="00F33CB8">
      <w:pPr>
        <w:keepNext/>
        <w:numPr>
          <w:ilvl w:val="0"/>
          <w:numId w:val="18"/>
        </w:numPr>
        <w:spacing w:line="276" w:lineRule="auto"/>
        <w:ind w:left="1134" w:hanging="567"/>
        <w:contextualSpacing/>
        <w:rPr>
          <w:rFonts w:eastAsia="MS Mincho"/>
        </w:rPr>
      </w:pPr>
      <w:r w:rsidRPr="00C13C5C">
        <w:rPr>
          <w:rFonts w:eastAsia="MS Mincho"/>
        </w:rPr>
        <w:t>“ISF Working Group Disease resistance terminology”, presented by an expert from the International Seed Federation (ISF).</w:t>
      </w:r>
    </w:p>
    <w:p w:rsidR="00C13C5C" w:rsidRPr="00C13C5C" w:rsidRDefault="00C13C5C" w:rsidP="00C13C5C"/>
    <w:p w:rsidR="00C13C5C" w:rsidRPr="00C13C5C" w:rsidRDefault="00C13C5C" w:rsidP="00C13C5C">
      <w:r w:rsidRPr="00C13C5C">
        <w:fldChar w:fldCharType="begin"/>
      </w:r>
      <w:r w:rsidRPr="00C13C5C">
        <w:instrText xml:space="preserve"> AUTONUM  </w:instrText>
      </w:r>
      <w:r w:rsidRPr="00C13C5C">
        <w:fldChar w:fldCharType="end"/>
      </w:r>
      <w:r w:rsidRPr="00C13C5C">
        <w:tab/>
        <w:t xml:space="preserve">The TWV agreed that the current guidance provided in UPOV documents in relation to the use of disease resistance characteristics in Test Guidelines and in </w:t>
      </w:r>
      <w:proofErr w:type="gramStart"/>
      <w:r w:rsidRPr="00C13C5C">
        <w:t>DUS</w:t>
      </w:r>
      <w:proofErr w:type="gramEnd"/>
      <w:r w:rsidRPr="00C13C5C">
        <w:t xml:space="preserve"> examination was clear and sufficient for the time being. The TWV noted that in the scope of disease resistance characteristics, when using QN as type of expression, more than 3 states </w:t>
      </w:r>
      <w:proofErr w:type="gramStart"/>
      <w:r w:rsidRPr="00C13C5C">
        <w:t>could be used</w:t>
      </w:r>
      <w:proofErr w:type="gramEnd"/>
      <w:r w:rsidRPr="00C13C5C">
        <w:t>.</w:t>
      </w:r>
    </w:p>
    <w:p w:rsidR="00C13C5C" w:rsidRPr="00C13C5C" w:rsidRDefault="00C13C5C" w:rsidP="00C13C5C"/>
    <w:p w:rsidR="00C13C5C" w:rsidRPr="00C13C5C" w:rsidRDefault="00C13C5C" w:rsidP="00C13C5C">
      <w:r w:rsidRPr="00C13C5C">
        <w:fldChar w:fldCharType="begin"/>
      </w:r>
      <w:r w:rsidRPr="00C13C5C">
        <w:instrText xml:space="preserve"> AUTONUM  </w:instrText>
      </w:r>
      <w:r w:rsidRPr="00C13C5C">
        <w:fldChar w:fldCharType="end"/>
      </w:r>
      <w:r w:rsidRPr="00C13C5C">
        <w:tab/>
        <w:t xml:space="preserve">The TWV agreed that disease resistance is an important breeding goal therefore cooperation among all stakeholders would be beneficial to ensure the development of DUS examination and Test Guidelines in line with the expectation of the users of the system. </w:t>
      </w:r>
    </w:p>
    <w:p w:rsidR="00C13C5C" w:rsidRPr="00C13C5C" w:rsidRDefault="00C13C5C" w:rsidP="00C13C5C"/>
    <w:p w:rsidR="00C13C5C" w:rsidRPr="00C13C5C" w:rsidRDefault="00C13C5C" w:rsidP="00C13C5C">
      <w:r w:rsidRPr="00C13C5C">
        <w:fldChar w:fldCharType="begin"/>
      </w:r>
      <w:r w:rsidRPr="00C13C5C">
        <w:instrText xml:space="preserve"> AUTONUM  </w:instrText>
      </w:r>
      <w:r w:rsidRPr="00C13C5C">
        <w:fldChar w:fldCharType="end"/>
      </w:r>
      <w:r w:rsidRPr="00C13C5C">
        <w:tab/>
        <w:t xml:space="preserve">The TWV agreed that disease resistance characteristics are important for DUS examination and in particular for distinctness, grouping and variety descriptions. The TWV therefore agreed that it is the responsibility of each TWP to update TGs when and if relevant, and take the appropriate time to include and/or update characteristics with an approved methodology for the assessment of the characteristics (e.g. type of expression QN/QL, common agreed terminology) and for the validated disease test protocol to be followed. In order to achieve this goal the TWV agreed that all stakeholders (i.e. DUS experts, pathologists, breeders) should be consulted/involved and sufficient time </w:t>
      </w:r>
      <w:proofErr w:type="gramStart"/>
      <w:r w:rsidRPr="00C13C5C">
        <w:t>should be given</w:t>
      </w:r>
      <w:proofErr w:type="gramEnd"/>
      <w:r w:rsidRPr="00C13C5C">
        <w:t xml:space="preserve"> to ensure that all DUS examination offices agreed before adding new disease resistance characteristics or a new disease test protocol.</w:t>
      </w:r>
    </w:p>
    <w:p w:rsidR="001101C2" w:rsidRPr="009956BC" w:rsidRDefault="001101C2" w:rsidP="001101C2"/>
    <w:p w:rsidR="009956BC" w:rsidRPr="00986672" w:rsidRDefault="009956BC" w:rsidP="00986672">
      <w:pPr>
        <w:keepLines/>
        <w:tabs>
          <w:tab w:val="left" w:pos="5387"/>
          <w:tab w:val="left" w:pos="5954"/>
        </w:tabs>
        <w:ind w:left="4820"/>
      </w:pPr>
      <w:r w:rsidRPr="009956BC">
        <w:rPr>
          <w:rFonts w:cs="Arial"/>
          <w:bCs/>
          <w:i/>
          <w:snapToGrid w:val="0"/>
        </w:rPr>
        <w:lastRenderedPageBreak/>
        <w:fldChar w:fldCharType="begin"/>
      </w:r>
      <w:r w:rsidRPr="009956BC">
        <w:rPr>
          <w:rFonts w:cs="Arial"/>
          <w:bCs/>
          <w:i/>
          <w:snapToGrid w:val="0"/>
        </w:rPr>
        <w:instrText xml:space="preserve"> AUTONUM  </w:instrText>
      </w:r>
      <w:r w:rsidRPr="009956BC">
        <w:rPr>
          <w:rFonts w:cs="Arial"/>
          <w:bCs/>
          <w:i/>
          <w:snapToGrid w:val="0"/>
        </w:rPr>
        <w:fldChar w:fldCharType="end"/>
      </w:r>
      <w:r w:rsidRPr="009956BC">
        <w:rPr>
          <w:rFonts w:cs="Arial"/>
          <w:bCs/>
          <w:i/>
          <w:snapToGrid w:val="0"/>
        </w:rPr>
        <w:tab/>
        <w:t>The T</w:t>
      </w:r>
      <w:r w:rsidR="00786656">
        <w:rPr>
          <w:rFonts w:cs="Arial"/>
          <w:bCs/>
          <w:i/>
          <w:snapToGrid w:val="0"/>
        </w:rPr>
        <w:t>C is invited to</w:t>
      </w:r>
      <w:r w:rsidR="009A3859">
        <w:rPr>
          <w:rFonts w:cs="Arial"/>
          <w:bCs/>
          <w:i/>
          <w:snapToGrid w:val="0"/>
        </w:rPr>
        <w:t xml:space="preserve"> </w:t>
      </w:r>
      <w:r w:rsidR="00FC5331">
        <w:rPr>
          <w:rFonts w:cs="Arial"/>
          <w:bCs/>
          <w:i/>
          <w:snapToGrid w:val="0"/>
        </w:rPr>
        <w:t xml:space="preserve">note that the </w:t>
      </w:r>
      <w:r w:rsidR="00FC5331" w:rsidRPr="00FC5331">
        <w:rPr>
          <w:rFonts w:cs="Arial"/>
          <w:bCs/>
          <w:i/>
          <w:snapToGrid w:val="0"/>
        </w:rPr>
        <w:t xml:space="preserve">TWV agreed that the current guidance provided in UPOV documents in relation to the use of disease resistance </w:t>
      </w:r>
      <w:r w:rsidR="00FC5331" w:rsidRPr="00986672">
        <w:rPr>
          <w:rFonts w:cs="Arial"/>
          <w:bCs/>
          <w:i/>
          <w:snapToGrid w:val="0"/>
        </w:rPr>
        <w:t>characteristics in Test Guidelines and in DUS examination was clear and sufficient for the time being</w:t>
      </w:r>
      <w:r w:rsidR="0035588A" w:rsidRPr="00986672">
        <w:rPr>
          <w:rFonts w:cs="Arial"/>
          <w:bCs/>
          <w:i/>
          <w:snapToGrid w:val="0"/>
        </w:rPr>
        <w:t xml:space="preserve">, </w:t>
      </w:r>
      <w:r w:rsidR="00786656" w:rsidRPr="00986672">
        <w:rPr>
          <w:rFonts w:cs="Arial"/>
          <w:bCs/>
          <w:i/>
          <w:snapToGrid w:val="0"/>
        </w:rPr>
        <w:t>as set out in paragraph</w:t>
      </w:r>
      <w:r w:rsidR="00FC5331" w:rsidRPr="00986672">
        <w:rPr>
          <w:rFonts w:cs="Arial"/>
          <w:bCs/>
          <w:i/>
          <w:snapToGrid w:val="0"/>
        </w:rPr>
        <w:t> </w:t>
      </w:r>
      <w:r w:rsidR="00786656" w:rsidRPr="00986672">
        <w:rPr>
          <w:rFonts w:cs="Arial"/>
          <w:bCs/>
          <w:i/>
          <w:snapToGrid w:val="0"/>
        </w:rPr>
        <w:t>6</w:t>
      </w:r>
      <w:r w:rsidR="00FC5331" w:rsidRPr="00986672">
        <w:rPr>
          <w:rFonts w:cs="Arial"/>
          <w:bCs/>
          <w:i/>
          <w:snapToGrid w:val="0"/>
        </w:rPr>
        <w:t>5</w:t>
      </w:r>
      <w:r w:rsidR="00786656" w:rsidRPr="00986672">
        <w:rPr>
          <w:rFonts w:cs="Arial"/>
          <w:bCs/>
          <w:i/>
          <w:snapToGrid w:val="0"/>
        </w:rPr>
        <w:t xml:space="preserve"> of this document</w:t>
      </w:r>
      <w:r w:rsidR="009A3859" w:rsidRPr="00986672">
        <w:rPr>
          <w:rFonts w:cs="Arial"/>
          <w:bCs/>
          <w:i/>
          <w:snapToGrid w:val="0"/>
        </w:rPr>
        <w:t xml:space="preserve">. </w:t>
      </w:r>
    </w:p>
    <w:p w:rsidR="009956BC" w:rsidRPr="00986672" w:rsidRDefault="009956BC" w:rsidP="009956BC"/>
    <w:p w:rsidR="002D1193" w:rsidRPr="00986672" w:rsidRDefault="002D1193" w:rsidP="009956BC"/>
    <w:p w:rsidR="009956BC" w:rsidRPr="00986672" w:rsidRDefault="009956BC" w:rsidP="009956BC">
      <w:pPr>
        <w:keepNext/>
        <w:outlineLvl w:val="0"/>
        <w:rPr>
          <w:caps/>
        </w:rPr>
      </w:pPr>
      <w:bookmarkStart w:id="60" w:name="_Toc519608644"/>
      <w:bookmarkStart w:id="61" w:name="_Toc21683373"/>
      <w:r w:rsidRPr="00986672">
        <w:rPr>
          <w:caps/>
        </w:rPr>
        <w:t>Program for the development of TGP documents</w:t>
      </w:r>
      <w:bookmarkEnd w:id="60"/>
      <w:bookmarkEnd w:id="61"/>
    </w:p>
    <w:p w:rsidR="009956BC" w:rsidRPr="00986672" w:rsidRDefault="009956BC" w:rsidP="009956BC"/>
    <w:p w:rsidR="009956BC" w:rsidRPr="00986672" w:rsidRDefault="009956BC" w:rsidP="009956BC">
      <w:r w:rsidRPr="00986672">
        <w:fldChar w:fldCharType="begin"/>
      </w:r>
      <w:r w:rsidRPr="00986672">
        <w:instrText xml:space="preserve"> AUTONUM  </w:instrText>
      </w:r>
      <w:r w:rsidRPr="00986672">
        <w:fldChar w:fldCharType="end"/>
      </w:r>
      <w:r w:rsidRPr="00986672">
        <w:tab/>
      </w:r>
      <w:r w:rsidR="002A0B75" w:rsidRPr="00986672">
        <w:t xml:space="preserve">Annex VI to this document presents the program for the development of TGP documents as amended on the basis of the comments by the TWPs, at theirs sessions in 2019.  </w:t>
      </w:r>
    </w:p>
    <w:p w:rsidR="000C1143" w:rsidRPr="00986672" w:rsidRDefault="000C1143" w:rsidP="009956BC"/>
    <w:p w:rsidR="000C1143" w:rsidRPr="00986672" w:rsidRDefault="000C1143" w:rsidP="009956BC">
      <w:r w:rsidRPr="00986672">
        <w:fldChar w:fldCharType="begin"/>
      </w:r>
      <w:r w:rsidRPr="00986672">
        <w:instrText xml:space="preserve"> AUTONUM  </w:instrText>
      </w:r>
      <w:r w:rsidRPr="00986672">
        <w:fldChar w:fldCharType="end"/>
      </w:r>
      <w:r w:rsidRPr="00986672">
        <w:tab/>
        <w:t xml:space="preserve">It </w:t>
      </w:r>
      <w:proofErr w:type="gramStart"/>
      <w:r w:rsidRPr="00986672">
        <w:t>is proposed</w:t>
      </w:r>
      <w:proofErr w:type="gramEnd"/>
      <w:r w:rsidRPr="00986672">
        <w:t xml:space="preserve"> that the coverage of this document be extended to cover all</w:t>
      </w:r>
      <w:r w:rsidR="00FC5331" w:rsidRPr="00986672">
        <w:t xml:space="preserve"> relevant</w:t>
      </w:r>
      <w:r w:rsidRPr="00986672">
        <w:t xml:space="preserve"> information materials for future sess</w:t>
      </w:r>
      <w:r w:rsidR="009C63EC" w:rsidRPr="00986672">
        <w:t>ions of the Technical Committee.</w:t>
      </w:r>
    </w:p>
    <w:p w:rsidR="009956BC" w:rsidRPr="00986672" w:rsidRDefault="009956BC" w:rsidP="009956BC"/>
    <w:p w:rsidR="000C1143" w:rsidRPr="00986672" w:rsidRDefault="009956BC" w:rsidP="00193892">
      <w:pPr>
        <w:keepNext/>
        <w:tabs>
          <w:tab w:val="left" w:pos="5387"/>
        </w:tabs>
        <w:ind w:left="4820"/>
        <w:rPr>
          <w:i/>
        </w:rPr>
      </w:pPr>
      <w:r w:rsidRPr="00986672">
        <w:rPr>
          <w:i/>
        </w:rPr>
        <w:fldChar w:fldCharType="begin"/>
      </w:r>
      <w:r w:rsidRPr="00986672">
        <w:rPr>
          <w:i/>
        </w:rPr>
        <w:instrText xml:space="preserve"> AUTONUM  </w:instrText>
      </w:r>
      <w:r w:rsidRPr="00986672">
        <w:rPr>
          <w:i/>
        </w:rPr>
        <w:fldChar w:fldCharType="end"/>
      </w:r>
      <w:r w:rsidRPr="00986672">
        <w:rPr>
          <w:i/>
        </w:rPr>
        <w:tab/>
        <w:t xml:space="preserve">The </w:t>
      </w:r>
      <w:r w:rsidR="002A0B75" w:rsidRPr="00986672">
        <w:rPr>
          <w:i/>
        </w:rPr>
        <w:t xml:space="preserve">TC </w:t>
      </w:r>
      <w:proofErr w:type="gramStart"/>
      <w:r w:rsidR="002A0B75" w:rsidRPr="00986672">
        <w:rPr>
          <w:i/>
        </w:rPr>
        <w:t>is invited</w:t>
      </w:r>
      <w:proofErr w:type="gramEnd"/>
      <w:r w:rsidR="002A0B75" w:rsidRPr="00986672">
        <w:rPr>
          <w:i/>
        </w:rPr>
        <w:t xml:space="preserve"> to consider</w:t>
      </w:r>
      <w:r w:rsidR="000C1143" w:rsidRPr="00986672">
        <w:rPr>
          <w:i/>
        </w:rPr>
        <w:t>:</w:t>
      </w:r>
    </w:p>
    <w:p w:rsidR="000C1143" w:rsidRPr="00986672" w:rsidRDefault="000C1143" w:rsidP="00193892">
      <w:pPr>
        <w:keepNext/>
        <w:tabs>
          <w:tab w:val="left" w:pos="5387"/>
        </w:tabs>
        <w:ind w:left="4820"/>
        <w:rPr>
          <w:i/>
        </w:rPr>
      </w:pPr>
    </w:p>
    <w:p w:rsidR="009956BC" w:rsidRDefault="000C1143" w:rsidP="00193892">
      <w:pPr>
        <w:keepNext/>
        <w:tabs>
          <w:tab w:val="left" w:pos="5387"/>
          <w:tab w:val="left" w:pos="5954"/>
        </w:tabs>
        <w:ind w:left="4820"/>
        <w:rPr>
          <w:i/>
        </w:rPr>
      </w:pPr>
      <w:r w:rsidRPr="00986672">
        <w:rPr>
          <w:i/>
        </w:rPr>
        <w:tab/>
        <w:t>(a)</w:t>
      </w:r>
      <w:r w:rsidRPr="00986672">
        <w:rPr>
          <w:i/>
        </w:rPr>
        <w:tab/>
      </w:r>
      <w:proofErr w:type="gramStart"/>
      <w:r w:rsidR="002A0B75" w:rsidRPr="00986672">
        <w:rPr>
          <w:i/>
        </w:rPr>
        <w:t>the</w:t>
      </w:r>
      <w:proofErr w:type="gramEnd"/>
      <w:r w:rsidR="002A0B75" w:rsidRPr="00986672">
        <w:rPr>
          <w:i/>
        </w:rPr>
        <w:t xml:space="preserve"> program for the development of TGP documents, as</w:t>
      </w:r>
      <w:r w:rsidR="009956BC" w:rsidRPr="00986672">
        <w:rPr>
          <w:i/>
        </w:rPr>
        <w:t xml:space="preserve"> set out in Annex VI to this document</w:t>
      </w:r>
      <w:r w:rsidRPr="00986672">
        <w:rPr>
          <w:i/>
        </w:rPr>
        <w:t xml:space="preserve">; </w:t>
      </w:r>
      <w:r w:rsidR="00986672">
        <w:rPr>
          <w:i/>
        </w:rPr>
        <w:t xml:space="preserve"> </w:t>
      </w:r>
      <w:r w:rsidRPr="00986672">
        <w:rPr>
          <w:i/>
        </w:rPr>
        <w:t>and</w:t>
      </w:r>
    </w:p>
    <w:p w:rsidR="000C1143" w:rsidRDefault="000C1143" w:rsidP="000C1143">
      <w:pPr>
        <w:tabs>
          <w:tab w:val="left" w:pos="5387"/>
          <w:tab w:val="left" w:pos="5954"/>
        </w:tabs>
        <w:ind w:left="4820"/>
        <w:rPr>
          <w:i/>
        </w:rPr>
      </w:pPr>
    </w:p>
    <w:p w:rsidR="000C1143" w:rsidRPr="009956BC" w:rsidRDefault="000C1143" w:rsidP="000C1143">
      <w:pPr>
        <w:tabs>
          <w:tab w:val="left" w:pos="5387"/>
          <w:tab w:val="left" w:pos="5954"/>
        </w:tabs>
        <w:ind w:left="4820"/>
        <w:rPr>
          <w:i/>
        </w:rPr>
      </w:pPr>
      <w:r>
        <w:rPr>
          <w:i/>
        </w:rPr>
        <w:tab/>
        <w:t>(b)</w:t>
      </w:r>
      <w:r>
        <w:rPr>
          <w:i/>
        </w:rPr>
        <w:tab/>
      </w:r>
      <w:proofErr w:type="gramStart"/>
      <w:r>
        <w:rPr>
          <w:i/>
        </w:rPr>
        <w:t>the</w:t>
      </w:r>
      <w:proofErr w:type="gramEnd"/>
      <w:r>
        <w:rPr>
          <w:i/>
        </w:rPr>
        <w:t xml:space="preserve"> proposal to extend</w:t>
      </w:r>
      <w:r w:rsidRPr="000C1143">
        <w:rPr>
          <w:i/>
        </w:rPr>
        <w:t xml:space="preserve"> the coverage of this document to cover all </w:t>
      </w:r>
      <w:r w:rsidR="00FC5331">
        <w:rPr>
          <w:i/>
        </w:rPr>
        <w:t xml:space="preserve">relevant </w:t>
      </w:r>
      <w:r w:rsidRPr="000C1143">
        <w:rPr>
          <w:i/>
        </w:rPr>
        <w:t>information materials</w:t>
      </w:r>
      <w:r>
        <w:rPr>
          <w:i/>
        </w:rPr>
        <w:t>,</w:t>
      </w:r>
      <w:r w:rsidRPr="000C1143">
        <w:rPr>
          <w:i/>
        </w:rPr>
        <w:t xml:space="preserve"> for future sessions of the Technical Committee</w:t>
      </w:r>
      <w:r>
        <w:rPr>
          <w:i/>
        </w:rPr>
        <w:t>.</w:t>
      </w:r>
    </w:p>
    <w:p w:rsidR="009956BC" w:rsidRPr="009956BC" w:rsidRDefault="009956BC" w:rsidP="009956BC">
      <w:pPr>
        <w:rPr>
          <w:rFonts w:cs="Arial"/>
          <w:bCs/>
          <w:snapToGrid w:val="0"/>
        </w:rPr>
      </w:pPr>
    </w:p>
    <w:p w:rsidR="009956BC" w:rsidRPr="009956BC" w:rsidRDefault="009956BC" w:rsidP="009956BC">
      <w:pPr>
        <w:rPr>
          <w:rFonts w:cs="Arial"/>
          <w:bCs/>
          <w:snapToGrid w:val="0"/>
        </w:rPr>
      </w:pPr>
    </w:p>
    <w:p w:rsidR="009956BC" w:rsidRPr="009956BC" w:rsidRDefault="009956BC" w:rsidP="009956BC">
      <w:pPr>
        <w:rPr>
          <w:rFonts w:cs="Arial"/>
          <w:bCs/>
          <w:snapToGrid w:val="0"/>
        </w:rPr>
      </w:pPr>
    </w:p>
    <w:bookmarkEnd w:id="46"/>
    <w:bookmarkEnd w:id="47"/>
    <w:bookmarkEnd w:id="48"/>
    <w:bookmarkEnd w:id="49"/>
    <w:p w:rsidR="009956BC" w:rsidRPr="009956BC" w:rsidRDefault="009956BC" w:rsidP="009956BC">
      <w:pPr>
        <w:jc w:val="right"/>
        <w:rPr>
          <w:snapToGrid w:val="0"/>
        </w:rPr>
      </w:pPr>
      <w:r w:rsidRPr="009956BC">
        <w:rPr>
          <w:snapToGrid w:val="0"/>
        </w:rPr>
        <w:t xml:space="preserve"> [Annexes follow]</w:t>
      </w:r>
    </w:p>
    <w:p w:rsidR="009956BC" w:rsidRPr="009956BC" w:rsidRDefault="009956BC" w:rsidP="009956BC">
      <w:pPr>
        <w:jc w:val="right"/>
        <w:rPr>
          <w:snapToGrid w:val="0"/>
        </w:rPr>
        <w:sectPr w:rsidR="009956BC" w:rsidRPr="009956BC" w:rsidSect="001270B2">
          <w:headerReference w:type="default" r:id="rId15"/>
          <w:pgSz w:w="11907" w:h="16840" w:code="9"/>
          <w:pgMar w:top="709" w:right="1134" w:bottom="993" w:left="1134" w:header="510" w:footer="680" w:gutter="0"/>
          <w:pgNumType w:start="1"/>
          <w:cols w:space="720"/>
          <w:titlePg/>
        </w:sectPr>
      </w:pPr>
    </w:p>
    <w:p w:rsidR="009956BC" w:rsidRPr="009956BC" w:rsidRDefault="009956BC" w:rsidP="009956BC">
      <w:pPr>
        <w:jc w:val="center"/>
      </w:pPr>
      <w:r w:rsidRPr="009956BC">
        <w:lastRenderedPageBreak/>
        <w:t>MATTERS FOR ADOPTION BY THE COUNCIL IN 2019: REVISIONS TO DOCUMENT TGP/7</w:t>
      </w:r>
    </w:p>
    <w:p w:rsidR="009956BC" w:rsidRPr="009956BC" w:rsidRDefault="009956BC" w:rsidP="009956BC"/>
    <w:p w:rsidR="009956BC" w:rsidRPr="009956BC" w:rsidRDefault="009956BC" w:rsidP="009956BC">
      <w:proofErr w:type="gramStart"/>
      <w:r w:rsidRPr="009956BC">
        <w:t>The following revisions of document TGP/7 “Development of Test Guideline</w:t>
      </w:r>
      <w:r w:rsidR="00986672">
        <w:t>s” were agreed by the Technical </w:t>
      </w:r>
      <w:r w:rsidRPr="009956BC">
        <w:t>Committee to be proposed for adoption by the Council at its fifty-third ordinary session, to be held in Geneva on November 1, 2019, subject to approval by the CAJ, at its seventy-sixth session, to be held in Geneva on October 30, 2019 (</w:t>
      </w:r>
      <w:r w:rsidRPr="009956BC">
        <w:rPr>
          <w:strike/>
          <w:highlight w:val="lightGray"/>
        </w:rPr>
        <w:t>highlighting and strikethrough</w:t>
      </w:r>
      <w:r w:rsidRPr="009956BC">
        <w:t xml:space="preserve"> for deletions and </w:t>
      </w:r>
      <w:r w:rsidRPr="009956BC">
        <w:rPr>
          <w:highlight w:val="lightGray"/>
          <w:u w:val="single"/>
        </w:rPr>
        <w:t>highlighting and underline</w:t>
      </w:r>
      <w:r w:rsidRPr="009956BC">
        <w:t xml:space="preserve"> for addition):</w:t>
      </w:r>
      <w:proofErr w:type="gramEnd"/>
    </w:p>
    <w:p w:rsidR="009956BC" w:rsidRPr="009956BC" w:rsidRDefault="009956BC" w:rsidP="009956BC"/>
    <w:p w:rsidR="009956BC" w:rsidRPr="009956BC" w:rsidRDefault="009956BC" w:rsidP="009956BC">
      <w:pPr>
        <w:rPr>
          <w:u w:val="single"/>
        </w:rPr>
      </w:pPr>
      <w:r w:rsidRPr="009956BC">
        <w:rPr>
          <w:u w:val="single"/>
        </w:rPr>
        <w:t>(</w:t>
      </w:r>
      <w:proofErr w:type="spellStart"/>
      <w:r w:rsidRPr="009956BC">
        <w:rPr>
          <w:u w:val="single"/>
        </w:rPr>
        <w:t>i</w:t>
      </w:r>
      <w:proofErr w:type="spellEnd"/>
      <w:r w:rsidRPr="009956BC">
        <w:rPr>
          <w:u w:val="single"/>
        </w:rPr>
        <w:t>)</w:t>
      </w:r>
      <w:r w:rsidRPr="009956BC">
        <w:rPr>
          <w:u w:val="single"/>
        </w:rPr>
        <w:tab/>
        <w:t xml:space="preserve">Duration of </w:t>
      </w:r>
      <w:proofErr w:type="spellStart"/>
      <w:r w:rsidRPr="009956BC">
        <w:rPr>
          <w:u w:val="single"/>
        </w:rPr>
        <w:t>DUS</w:t>
      </w:r>
      <w:proofErr w:type="spellEnd"/>
      <w:r w:rsidRPr="009956BC">
        <w:rPr>
          <w:u w:val="single"/>
        </w:rPr>
        <w:t xml:space="preserve"> tests: </w:t>
      </w:r>
    </w:p>
    <w:p w:rsidR="009956BC" w:rsidRPr="009956BC" w:rsidRDefault="009956BC" w:rsidP="009956BC">
      <w:pPr>
        <w:rPr>
          <w:u w:val="single"/>
        </w:rPr>
      </w:pPr>
    </w:p>
    <w:p w:rsidR="009956BC" w:rsidRPr="009956BC" w:rsidRDefault="009956BC" w:rsidP="009956BC">
      <w:pPr>
        <w:rPr>
          <w:i/>
        </w:rPr>
      </w:pPr>
      <w:r w:rsidRPr="009956BC">
        <w:rPr>
          <w:i/>
        </w:rPr>
        <w:t>Universal Standard Wording: Section 3.1: Number of Growing Cycles</w:t>
      </w:r>
    </w:p>
    <w:p w:rsidR="009956BC" w:rsidRPr="009956BC" w:rsidRDefault="009956BC" w:rsidP="009956BC"/>
    <w:p w:rsidR="009956BC" w:rsidRPr="009956BC" w:rsidRDefault="009956BC" w:rsidP="009956BC">
      <w:r w:rsidRPr="009956BC">
        <w:t>The TC, at its fifty-fourth session, considered document TC/54/14 “Duration of DUS tests” (see document TC/54/31 “Report”, paragraphs 210 to 212).</w:t>
      </w:r>
    </w:p>
    <w:p w:rsidR="009956BC" w:rsidRPr="009956BC" w:rsidRDefault="009956BC" w:rsidP="009956BC"/>
    <w:p w:rsidR="009956BC" w:rsidRPr="009956BC" w:rsidRDefault="009956BC" w:rsidP="009956BC">
      <w:r w:rsidRPr="009956BC">
        <w:t xml:space="preserve">The TC agreed that the guidance in document TGP/7 </w:t>
      </w:r>
      <w:proofErr w:type="gramStart"/>
      <w:r w:rsidRPr="009956BC">
        <w:t>should be amended</w:t>
      </w:r>
      <w:proofErr w:type="gramEnd"/>
      <w:r w:rsidRPr="009956BC">
        <w:t xml:space="preserve"> to clarify that the testing of a variety may be concluded when the competent authority can determine with certainty the outcome of the test.</w:t>
      </w:r>
    </w:p>
    <w:p w:rsidR="009956BC" w:rsidRPr="009956BC" w:rsidRDefault="009956BC" w:rsidP="009956BC"/>
    <w:p w:rsidR="009956BC" w:rsidRPr="009956BC" w:rsidRDefault="009956BC" w:rsidP="009956BC">
      <w:r w:rsidRPr="009956BC">
        <w:t>The TC agreed that the following sentence should be included as standard wording in Test Guidelines:</w:t>
      </w:r>
    </w:p>
    <w:p w:rsidR="009956BC" w:rsidRPr="009956BC" w:rsidRDefault="009956BC" w:rsidP="009956BC">
      <w:pPr>
        <w:rPr>
          <w:sz w:val="18"/>
          <w:highlight w:val="yellow"/>
        </w:rPr>
      </w:pPr>
    </w:p>
    <w:p w:rsidR="009956BC" w:rsidRPr="009956BC" w:rsidRDefault="009956BC" w:rsidP="009956BC">
      <w:pPr>
        <w:ind w:left="567" w:right="567"/>
        <w:rPr>
          <w:sz w:val="18"/>
          <w:u w:val="single"/>
        </w:rPr>
      </w:pPr>
      <w:r w:rsidRPr="009956BC">
        <w:rPr>
          <w:sz w:val="18"/>
          <w:highlight w:val="lightGray"/>
          <w:u w:val="single"/>
        </w:rPr>
        <w:t>“The testing of a variety may be concluded when the competent authority can determine with certainty the outcome of the test.”</w:t>
      </w:r>
    </w:p>
    <w:p w:rsidR="009956BC" w:rsidRPr="009956BC" w:rsidRDefault="009956BC" w:rsidP="009956BC"/>
    <w:p w:rsidR="009956BC" w:rsidRPr="009956BC" w:rsidRDefault="009956BC" w:rsidP="009956BC"/>
    <w:p w:rsidR="009956BC" w:rsidRPr="009956BC" w:rsidRDefault="009956BC" w:rsidP="009956BC">
      <w:pPr>
        <w:rPr>
          <w:rFonts w:eastAsia="MS Mincho"/>
          <w:u w:val="single"/>
        </w:rPr>
      </w:pPr>
      <w:r w:rsidRPr="009956BC">
        <w:rPr>
          <w:rFonts w:eastAsia="MS Mincho"/>
          <w:u w:val="single"/>
        </w:rPr>
        <w:t>(ii)</w:t>
      </w:r>
      <w:r w:rsidRPr="009956BC">
        <w:rPr>
          <w:rFonts w:eastAsia="MS Mincho"/>
          <w:u w:val="single"/>
        </w:rPr>
        <w:tab/>
        <w:t xml:space="preserve">Procedure for the adoption of Test Guidelines by correspondence </w:t>
      </w:r>
    </w:p>
    <w:p w:rsidR="009956BC" w:rsidRPr="009956BC" w:rsidRDefault="009956BC" w:rsidP="009956BC">
      <w:pPr>
        <w:rPr>
          <w:i/>
        </w:rPr>
      </w:pPr>
    </w:p>
    <w:p w:rsidR="009956BC" w:rsidRPr="009956BC" w:rsidRDefault="009956BC" w:rsidP="009956BC">
      <w:pPr>
        <w:rPr>
          <w:i/>
        </w:rPr>
      </w:pPr>
      <w:r w:rsidRPr="009956BC">
        <w:rPr>
          <w:i/>
        </w:rPr>
        <w:t>Section 2.2 “Procedure for the Introduction of Test Guidelines”</w:t>
      </w:r>
    </w:p>
    <w:p w:rsidR="009956BC" w:rsidRPr="009956BC" w:rsidRDefault="009956BC" w:rsidP="009956BC">
      <w:pPr>
        <w:rPr>
          <w:i/>
        </w:rPr>
      </w:pPr>
    </w:p>
    <w:p w:rsidR="009956BC" w:rsidRPr="009956BC" w:rsidRDefault="009956BC" w:rsidP="009956BC">
      <w:r w:rsidRPr="009956BC">
        <w:t>The TC, at its fifty-fourth session, considered document TC/54/16 “Procedure for the adoption of Test Guidelines” (see document TC/54/31 “Report”, paragraphs 217 to 220).</w:t>
      </w:r>
    </w:p>
    <w:p w:rsidR="009956BC" w:rsidRPr="009956BC" w:rsidRDefault="009956BC" w:rsidP="009956BC"/>
    <w:p w:rsidR="009956BC" w:rsidRPr="009956BC" w:rsidRDefault="009956BC" w:rsidP="009956BC">
      <w:proofErr w:type="gramStart"/>
      <w:r w:rsidRPr="009956BC">
        <w:t>The TC considered the proposal for the revision of document TGP/7 “Development of Test Guidelines” to reflect the introduction of a procedure for adoption of Test Guidelines by correspondence, as set out in document TC/54/16, paragraph 14, and received presentation by the UPOV Office, a copy of which was provided as an addendum to document TC/54/16.</w:t>
      </w:r>
      <w:proofErr w:type="gramEnd"/>
      <w:r w:rsidRPr="009956BC">
        <w:t xml:space="preserve">  The TC agreed that guidance in document TGP/7 </w:t>
      </w:r>
      <w:proofErr w:type="gramStart"/>
      <w:r w:rsidRPr="009956BC">
        <w:t>should be revised</w:t>
      </w:r>
      <w:proofErr w:type="gramEnd"/>
      <w:r w:rsidRPr="009956BC">
        <w:t xml:space="preserve"> to read as follows: </w:t>
      </w:r>
    </w:p>
    <w:p w:rsidR="009956BC" w:rsidRPr="009956BC" w:rsidRDefault="009956BC" w:rsidP="009956BC"/>
    <w:p w:rsidR="009956BC" w:rsidRPr="009956BC" w:rsidRDefault="009956BC" w:rsidP="009956BC">
      <w:pPr>
        <w:ind w:left="567" w:right="567"/>
        <w:rPr>
          <w:sz w:val="18"/>
          <w:szCs w:val="18"/>
          <w:u w:val="single"/>
        </w:rPr>
      </w:pPr>
      <w:r w:rsidRPr="009956BC">
        <w:rPr>
          <w:sz w:val="18"/>
          <w:szCs w:val="18"/>
          <w:u w:val="single"/>
        </w:rPr>
        <w:t>“2.2.7</w:t>
      </w:r>
      <w:r w:rsidRPr="009956BC">
        <w:rPr>
          <w:sz w:val="18"/>
          <w:szCs w:val="18"/>
          <w:u w:val="single"/>
        </w:rPr>
        <w:tab/>
      </w:r>
      <w:r w:rsidRPr="009956BC">
        <w:rPr>
          <w:sz w:val="18"/>
          <w:szCs w:val="18"/>
          <w:u w:val="single"/>
          <w:bdr w:val="single" w:sz="4" w:space="0" w:color="auto"/>
        </w:rPr>
        <w:t>STEP 7</w:t>
      </w:r>
      <w:r w:rsidRPr="009956BC">
        <w:rPr>
          <w:sz w:val="18"/>
          <w:szCs w:val="18"/>
          <w:u w:val="single"/>
        </w:rPr>
        <w:tab/>
        <w:t xml:space="preserve">Consideration of Draft Test Guidelines by the TC-EDC  </w:t>
      </w:r>
    </w:p>
    <w:p w:rsidR="009956BC" w:rsidRPr="009956BC" w:rsidRDefault="009956BC" w:rsidP="009956BC">
      <w:pPr>
        <w:ind w:left="567" w:right="567"/>
        <w:rPr>
          <w:sz w:val="18"/>
          <w:szCs w:val="18"/>
        </w:rPr>
      </w:pPr>
    </w:p>
    <w:p w:rsidR="009956BC" w:rsidRPr="009956BC" w:rsidRDefault="009956BC" w:rsidP="009956BC">
      <w:pPr>
        <w:ind w:left="567" w:right="567"/>
        <w:rPr>
          <w:sz w:val="18"/>
          <w:szCs w:val="18"/>
        </w:rPr>
      </w:pPr>
      <w:r w:rsidRPr="009956BC">
        <w:rPr>
          <w:sz w:val="18"/>
          <w:szCs w:val="18"/>
        </w:rPr>
        <w:t>“2.2.7.1</w:t>
      </w:r>
      <w:r w:rsidRPr="009956BC">
        <w:rPr>
          <w:sz w:val="18"/>
          <w:szCs w:val="18"/>
        </w:rPr>
        <w:tab/>
        <w:t xml:space="preserve">The TC-EDC has been established by the Technical Committee to examine drafts of all Test Guidelines, produced by the TWPs, before these are put forward for adoption by the Technical Committee.  The role of the TC-EDC is to ensure consistency of the Test Guidelines with the requirements of document TGP/7 and to check the alignment of texts across all the official UPOV languages.  It does not conduct a substantive technical review of the Test Guidelines.  The members of the TC-EDC are selected by the TC, both to provide broad experience of the UPOV system </w:t>
      </w:r>
      <w:proofErr w:type="gramStart"/>
      <w:r w:rsidRPr="009956BC">
        <w:rPr>
          <w:sz w:val="18"/>
          <w:szCs w:val="18"/>
        </w:rPr>
        <w:t>and also</w:t>
      </w:r>
      <w:proofErr w:type="gramEnd"/>
      <w:r w:rsidRPr="009956BC">
        <w:rPr>
          <w:sz w:val="18"/>
          <w:szCs w:val="18"/>
        </w:rPr>
        <w:t xml:space="preserve"> to represent the UPOV languages – English, French, German and Spanish.  The </w:t>
      </w:r>
      <w:proofErr w:type="gramStart"/>
      <w:r w:rsidRPr="009956BC">
        <w:rPr>
          <w:sz w:val="18"/>
          <w:szCs w:val="18"/>
        </w:rPr>
        <w:t>Chairperson of the TC-EDC is provided by the UPOV Secretariat</w:t>
      </w:r>
      <w:proofErr w:type="gramEnd"/>
      <w:r w:rsidRPr="009956BC">
        <w:rPr>
          <w:sz w:val="18"/>
          <w:szCs w:val="18"/>
        </w:rPr>
        <w:t>.</w:t>
      </w:r>
    </w:p>
    <w:p w:rsidR="009956BC" w:rsidRPr="009956BC" w:rsidRDefault="009956BC" w:rsidP="009956BC">
      <w:pPr>
        <w:ind w:left="567" w:right="567"/>
        <w:rPr>
          <w:sz w:val="18"/>
          <w:szCs w:val="18"/>
        </w:rPr>
      </w:pPr>
    </w:p>
    <w:p w:rsidR="009956BC" w:rsidRPr="009956BC" w:rsidRDefault="009956BC" w:rsidP="009956BC">
      <w:pPr>
        <w:ind w:left="567" w:right="567"/>
        <w:rPr>
          <w:sz w:val="18"/>
          <w:szCs w:val="18"/>
        </w:rPr>
      </w:pPr>
      <w:r w:rsidRPr="009956BC">
        <w:rPr>
          <w:sz w:val="18"/>
          <w:szCs w:val="18"/>
        </w:rPr>
        <w:t>“2.2.7.2</w:t>
      </w:r>
      <w:r w:rsidRPr="009956BC">
        <w:rPr>
          <w:sz w:val="18"/>
          <w:szCs w:val="18"/>
        </w:rPr>
        <w:tab/>
        <w:t xml:space="preserve">The TC-EDC reviews the draft Test Guidelines, taking into account any specific instructions from the Technical Committee, and makes a recommendation on whether the Test Guidelines are suitable for adoption (Step 8). It may make a proposal to the Technical Committee for adoption subject to amendments of an editorial nature, which it specifies. </w:t>
      </w:r>
    </w:p>
    <w:p w:rsidR="009956BC" w:rsidRPr="009956BC" w:rsidRDefault="009956BC" w:rsidP="009956BC">
      <w:pPr>
        <w:ind w:left="567" w:right="567"/>
        <w:rPr>
          <w:sz w:val="18"/>
          <w:szCs w:val="18"/>
        </w:rPr>
      </w:pPr>
    </w:p>
    <w:p w:rsidR="009956BC" w:rsidRPr="009956BC" w:rsidRDefault="009956BC" w:rsidP="009956BC">
      <w:pPr>
        <w:ind w:left="567" w:right="567"/>
        <w:rPr>
          <w:strike/>
          <w:sz w:val="18"/>
          <w:szCs w:val="18"/>
          <w:highlight w:val="lightGray"/>
        </w:rPr>
      </w:pPr>
      <w:r w:rsidRPr="009956BC">
        <w:rPr>
          <w:strike/>
          <w:sz w:val="18"/>
          <w:szCs w:val="18"/>
          <w:highlight w:val="lightGray"/>
        </w:rPr>
        <w:t>“2.2.7.3</w:t>
      </w:r>
      <w:r w:rsidRPr="009956BC">
        <w:rPr>
          <w:strike/>
          <w:sz w:val="18"/>
          <w:szCs w:val="18"/>
          <w:highlight w:val="lightGray"/>
        </w:rPr>
        <w:tab/>
        <w:t xml:space="preserve">If it considers that there are technical issues to be resolved, the TC-EDC may seek to resolve the issues with the Leading Expert, prior to consideration of the </w:t>
      </w:r>
      <w:r w:rsidRPr="009956BC">
        <w:rPr>
          <w:strike/>
          <w:color w:val="000000"/>
          <w:sz w:val="18"/>
          <w:szCs w:val="18"/>
          <w:highlight w:val="lightGray"/>
        </w:rPr>
        <w:t>Test Guidelines</w:t>
      </w:r>
      <w:r w:rsidRPr="009956BC">
        <w:rPr>
          <w:strike/>
          <w:sz w:val="18"/>
          <w:szCs w:val="18"/>
          <w:highlight w:val="lightGray"/>
        </w:rPr>
        <w:t xml:space="preserve"> by the Technical Committee.  Where this is not possible, the TC-EDC may recommend that the Technical Committee:</w:t>
      </w:r>
    </w:p>
    <w:p w:rsidR="009956BC" w:rsidRPr="009956BC" w:rsidRDefault="009956BC" w:rsidP="009956BC">
      <w:pPr>
        <w:ind w:left="567" w:right="567"/>
        <w:rPr>
          <w:strike/>
          <w:sz w:val="18"/>
          <w:szCs w:val="18"/>
          <w:highlight w:val="lightGray"/>
        </w:rPr>
      </w:pPr>
    </w:p>
    <w:p w:rsidR="009956BC" w:rsidRPr="009956BC" w:rsidRDefault="009956BC" w:rsidP="009956BC">
      <w:pPr>
        <w:ind w:left="567" w:right="567"/>
        <w:rPr>
          <w:strike/>
          <w:sz w:val="18"/>
          <w:szCs w:val="18"/>
          <w:highlight w:val="lightGray"/>
        </w:rPr>
      </w:pPr>
      <w:r w:rsidRPr="009956BC">
        <w:rPr>
          <w:strike/>
          <w:sz w:val="18"/>
          <w:szCs w:val="18"/>
          <w:highlight w:val="lightGray"/>
        </w:rPr>
        <w:tab/>
        <w:t>(a)</w:t>
      </w:r>
      <w:r w:rsidRPr="009956BC">
        <w:rPr>
          <w:strike/>
          <w:sz w:val="18"/>
          <w:szCs w:val="18"/>
          <w:highlight w:val="lightGray"/>
        </w:rPr>
        <w:tab/>
      </w:r>
      <w:proofErr w:type="gramStart"/>
      <w:r w:rsidRPr="009956BC">
        <w:rPr>
          <w:strike/>
          <w:sz w:val="18"/>
          <w:szCs w:val="18"/>
          <w:highlight w:val="lightGray"/>
        </w:rPr>
        <w:t>refer</w:t>
      </w:r>
      <w:proofErr w:type="gramEnd"/>
      <w:r w:rsidRPr="009956BC">
        <w:rPr>
          <w:strike/>
          <w:sz w:val="18"/>
          <w:szCs w:val="18"/>
          <w:highlight w:val="lightGray"/>
        </w:rPr>
        <w:t xml:space="preserve"> the Test Guidelines back to the TWP (Step 4) or, </w:t>
      </w:r>
    </w:p>
    <w:p w:rsidR="009956BC" w:rsidRPr="009956BC" w:rsidRDefault="009956BC" w:rsidP="009956BC">
      <w:pPr>
        <w:ind w:left="567" w:right="567"/>
        <w:rPr>
          <w:strike/>
          <w:sz w:val="18"/>
          <w:szCs w:val="18"/>
        </w:rPr>
      </w:pPr>
      <w:r w:rsidRPr="009956BC">
        <w:rPr>
          <w:strike/>
          <w:sz w:val="18"/>
          <w:szCs w:val="18"/>
          <w:highlight w:val="lightGray"/>
        </w:rPr>
        <w:tab/>
        <w:t>(b)</w:t>
      </w:r>
      <w:r w:rsidRPr="009956BC">
        <w:rPr>
          <w:strike/>
          <w:sz w:val="18"/>
          <w:szCs w:val="18"/>
          <w:highlight w:val="lightGray"/>
        </w:rPr>
        <w:tab/>
      </w:r>
      <w:proofErr w:type="gramStart"/>
      <w:r w:rsidRPr="009956BC">
        <w:rPr>
          <w:strike/>
          <w:sz w:val="18"/>
          <w:szCs w:val="18"/>
          <w:highlight w:val="lightGray"/>
        </w:rPr>
        <w:t>adopt</w:t>
      </w:r>
      <w:proofErr w:type="gramEnd"/>
      <w:r w:rsidRPr="009956BC">
        <w:rPr>
          <w:strike/>
          <w:sz w:val="18"/>
          <w:szCs w:val="18"/>
          <w:highlight w:val="lightGray"/>
        </w:rPr>
        <w:t xml:space="preserve"> the Test Guidelines subject to further information being provided by the Leading Expert with the agreement of all interested experts and the Chairperson of the TWP concerned.</w:t>
      </w:r>
    </w:p>
    <w:p w:rsidR="009956BC" w:rsidRPr="009956BC" w:rsidRDefault="009956BC" w:rsidP="009956BC">
      <w:pPr>
        <w:ind w:left="567" w:right="567"/>
        <w:rPr>
          <w:sz w:val="18"/>
          <w:szCs w:val="18"/>
        </w:rPr>
      </w:pPr>
    </w:p>
    <w:p w:rsidR="009956BC" w:rsidRPr="009956BC" w:rsidRDefault="009956BC" w:rsidP="009956BC">
      <w:pPr>
        <w:ind w:left="567" w:right="567"/>
        <w:rPr>
          <w:sz w:val="18"/>
          <w:szCs w:val="18"/>
          <w:highlight w:val="lightGray"/>
          <w:u w:val="single"/>
        </w:rPr>
      </w:pPr>
      <w:r w:rsidRPr="009956BC">
        <w:rPr>
          <w:sz w:val="18"/>
          <w:szCs w:val="18"/>
          <w:highlight w:val="lightGray"/>
          <w:u w:val="single"/>
        </w:rPr>
        <w:t>“NEW</w:t>
      </w:r>
      <w:r w:rsidRPr="009956BC">
        <w:rPr>
          <w:sz w:val="18"/>
          <w:szCs w:val="18"/>
          <w:highlight w:val="lightGray"/>
          <w:u w:val="single"/>
        </w:rPr>
        <w:tab/>
      </w:r>
      <w:r w:rsidRPr="009956BC">
        <w:rPr>
          <w:sz w:val="18"/>
          <w:szCs w:val="18"/>
          <w:highlight w:val="lightGray"/>
          <w:u w:val="single"/>
        </w:rPr>
        <w:tab/>
        <w:t>Unless otherwise agreed by the TC, the TC-EDC meets twice each year, once in the period March/April and once in conjunction with the TC session (October/November).  The TC-EDC will consider Test Guidelines submitted by the Technical Working Parties at least 14 weeks prior to the TC</w:t>
      </w:r>
      <w:r w:rsidRPr="009956BC">
        <w:rPr>
          <w:sz w:val="18"/>
          <w:szCs w:val="18"/>
          <w:highlight w:val="lightGray"/>
          <w:u w:val="single"/>
        </w:rPr>
        <w:noBreakHyphen/>
        <w:t>EDC meeting.  Test Guidelines submitted less than 14 weeks prior to the TC</w:t>
      </w:r>
      <w:r w:rsidRPr="009956BC">
        <w:rPr>
          <w:sz w:val="18"/>
          <w:szCs w:val="18"/>
          <w:highlight w:val="lightGray"/>
          <w:u w:val="single"/>
        </w:rPr>
        <w:noBreakHyphen/>
        <w:t xml:space="preserve">EDC meeting </w:t>
      </w:r>
      <w:proofErr w:type="gramStart"/>
      <w:r w:rsidRPr="009956BC">
        <w:rPr>
          <w:sz w:val="18"/>
          <w:szCs w:val="18"/>
          <w:highlight w:val="lightGray"/>
          <w:u w:val="single"/>
        </w:rPr>
        <w:t>will be considered</w:t>
      </w:r>
      <w:proofErr w:type="gramEnd"/>
      <w:r w:rsidRPr="009956BC">
        <w:rPr>
          <w:sz w:val="18"/>
          <w:szCs w:val="18"/>
          <w:highlight w:val="lightGray"/>
          <w:u w:val="single"/>
        </w:rPr>
        <w:t xml:space="preserve"> at its subsequent meeting.</w:t>
      </w:r>
    </w:p>
    <w:p w:rsidR="009956BC" w:rsidRPr="009956BC" w:rsidRDefault="009956BC" w:rsidP="009956BC">
      <w:pPr>
        <w:tabs>
          <w:tab w:val="left" w:pos="567"/>
          <w:tab w:val="left" w:pos="1134"/>
          <w:tab w:val="left" w:pos="5387"/>
        </w:tabs>
        <w:ind w:left="567" w:right="567"/>
        <w:rPr>
          <w:sz w:val="18"/>
          <w:szCs w:val="18"/>
          <w:highlight w:val="lightGray"/>
          <w:u w:val="single"/>
        </w:rPr>
      </w:pPr>
    </w:p>
    <w:p w:rsidR="009956BC" w:rsidRPr="009956BC" w:rsidRDefault="009956BC" w:rsidP="009956BC">
      <w:pPr>
        <w:ind w:left="567" w:right="567"/>
        <w:rPr>
          <w:sz w:val="18"/>
          <w:szCs w:val="18"/>
          <w:highlight w:val="lightGray"/>
          <w:u w:val="single"/>
        </w:rPr>
      </w:pPr>
      <w:r w:rsidRPr="009956BC">
        <w:rPr>
          <w:sz w:val="18"/>
          <w:szCs w:val="18"/>
          <w:highlight w:val="lightGray"/>
          <w:u w:val="single"/>
        </w:rPr>
        <w:lastRenderedPageBreak/>
        <w:t>“NEW</w:t>
      </w:r>
      <w:r w:rsidRPr="009956BC">
        <w:rPr>
          <w:sz w:val="18"/>
          <w:szCs w:val="18"/>
          <w:highlight w:val="lightGray"/>
          <w:u w:val="single"/>
        </w:rPr>
        <w:tab/>
      </w:r>
      <w:r w:rsidRPr="009956BC">
        <w:rPr>
          <w:sz w:val="18"/>
          <w:szCs w:val="18"/>
          <w:highlight w:val="lightGray"/>
          <w:u w:val="single"/>
        </w:rPr>
        <w:tab/>
        <w:t>The potential outcomes for Test Guidelines considered by the TC-EDC are as follows:</w:t>
      </w:r>
    </w:p>
    <w:p w:rsidR="009956BC" w:rsidRPr="009956BC" w:rsidRDefault="009956BC" w:rsidP="009956BC">
      <w:pPr>
        <w:ind w:left="567" w:right="567"/>
        <w:rPr>
          <w:sz w:val="18"/>
          <w:szCs w:val="18"/>
          <w:highlight w:val="lightGray"/>
          <w:u w:val="single"/>
        </w:rPr>
      </w:pPr>
    </w:p>
    <w:p w:rsidR="009956BC" w:rsidRPr="009956BC" w:rsidRDefault="009956BC" w:rsidP="009956BC">
      <w:pPr>
        <w:numPr>
          <w:ilvl w:val="0"/>
          <w:numId w:val="6"/>
        </w:numPr>
        <w:ind w:left="1134" w:right="567" w:hanging="567"/>
        <w:contextualSpacing/>
        <w:rPr>
          <w:rFonts w:cs="Arial"/>
          <w:sz w:val="18"/>
          <w:szCs w:val="18"/>
          <w:highlight w:val="lightGray"/>
          <w:u w:val="single"/>
          <w:lang w:val="en-GB" w:eastAsia="en-GB"/>
        </w:rPr>
      </w:pPr>
      <w:r w:rsidRPr="009956BC">
        <w:rPr>
          <w:rFonts w:cs="Arial"/>
          <w:sz w:val="18"/>
          <w:szCs w:val="18"/>
          <w:highlight w:val="lightGray"/>
          <w:u w:val="single"/>
          <w:lang w:val="en-GB" w:eastAsia="en-GB"/>
        </w:rPr>
        <w:t>no changes required to the Test Guidelines, or strictly editorial changes for which recommendations are agreed by the TC-EDC; or</w:t>
      </w:r>
    </w:p>
    <w:p w:rsidR="009956BC" w:rsidRPr="009956BC" w:rsidRDefault="009956BC" w:rsidP="009956BC">
      <w:pPr>
        <w:numPr>
          <w:ilvl w:val="0"/>
          <w:numId w:val="6"/>
        </w:numPr>
        <w:ind w:left="1134" w:right="567" w:hanging="567"/>
        <w:contextualSpacing/>
        <w:rPr>
          <w:rFonts w:cs="Arial"/>
          <w:sz w:val="18"/>
          <w:szCs w:val="18"/>
          <w:highlight w:val="lightGray"/>
          <w:u w:val="single"/>
          <w:lang w:val="en-GB" w:eastAsia="en-GB"/>
        </w:rPr>
      </w:pPr>
      <w:r w:rsidRPr="009956BC">
        <w:rPr>
          <w:rFonts w:cs="Arial"/>
          <w:sz w:val="18"/>
          <w:szCs w:val="18"/>
          <w:highlight w:val="lightGray"/>
          <w:u w:val="single"/>
          <w:lang w:val="en-GB" w:eastAsia="en-GB"/>
        </w:rPr>
        <w:t>editorial clarifications required; or</w:t>
      </w:r>
    </w:p>
    <w:p w:rsidR="009956BC" w:rsidRPr="009956BC" w:rsidRDefault="009956BC" w:rsidP="009956BC">
      <w:pPr>
        <w:numPr>
          <w:ilvl w:val="0"/>
          <w:numId w:val="6"/>
        </w:numPr>
        <w:ind w:left="1134" w:right="567" w:hanging="567"/>
        <w:contextualSpacing/>
        <w:rPr>
          <w:rFonts w:cs="Arial"/>
          <w:sz w:val="18"/>
          <w:szCs w:val="18"/>
          <w:highlight w:val="lightGray"/>
          <w:u w:val="single"/>
          <w:lang w:val="en-GB" w:eastAsia="en-GB"/>
        </w:rPr>
      </w:pPr>
      <w:proofErr w:type="gramStart"/>
      <w:r w:rsidRPr="009956BC">
        <w:rPr>
          <w:rFonts w:cs="Arial"/>
          <w:sz w:val="18"/>
          <w:szCs w:val="18"/>
          <w:highlight w:val="lightGray"/>
          <w:u w:val="single"/>
          <w:lang w:val="en-GB" w:eastAsia="en-GB"/>
        </w:rPr>
        <w:t>technical</w:t>
      </w:r>
      <w:proofErr w:type="gramEnd"/>
      <w:r w:rsidRPr="009956BC">
        <w:rPr>
          <w:rFonts w:cs="Arial"/>
          <w:sz w:val="18"/>
          <w:szCs w:val="18"/>
          <w:highlight w:val="lightGray"/>
          <w:u w:val="single"/>
          <w:lang w:val="en-GB" w:eastAsia="en-GB"/>
        </w:rPr>
        <w:t xml:space="preserve"> issues to be resolved.</w:t>
      </w:r>
    </w:p>
    <w:p w:rsidR="009956BC" w:rsidRPr="009956BC" w:rsidRDefault="009956BC" w:rsidP="009956BC">
      <w:pPr>
        <w:ind w:left="567" w:right="567"/>
        <w:rPr>
          <w:sz w:val="18"/>
          <w:szCs w:val="18"/>
          <w:highlight w:val="lightGray"/>
          <w:u w:val="single"/>
        </w:rPr>
      </w:pPr>
    </w:p>
    <w:p w:rsidR="009956BC" w:rsidRPr="009956BC" w:rsidRDefault="009956BC" w:rsidP="009956BC">
      <w:pPr>
        <w:ind w:left="567" w:right="567"/>
        <w:rPr>
          <w:sz w:val="18"/>
          <w:szCs w:val="18"/>
          <w:highlight w:val="lightGray"/>
          <w:u w:val="single"/>
        </w:rPr>
      </w:pPr>
      <w:r w:rsidRPr="009956BC">
        <w:rPr>
          <w:sz w:val="18"/>
          <w:szCs w:val="18"/>
          <w:highlight w:val="lightGray"/>
          <w:u w:val="single"/>
        </w:rPr>
        <w:t>“NEW</w:t>
      </w:r>
      <w:r w:rsidRPr="009956BC">
        <w:rPr>
          <w:sz w:val="18"/>
          <w:szCs w:val="18"/>
          <w:highlight w:val="lightGray"/>
          <w:u w:val="single"/>
        </w:rPr>
        <w:tab/>
      </w:r>
      <w:r w:rsidRPr="009956BC">
        <w:rPr>
          <w:sz w:val="18"/>
          <w:szCs w:val="18"/>
          <w:highlight w:val="lightGray"/>
          <w:u w:val="single"/>
        </w:rPr>
        <w:tab/>
        <w:t xml:space="preserve">In cases where no changes are required to the Test Guidelines, or strictly editorial changes for which recommendations are agreed by the TC-EDC, the Test Guidelines will be put forward for adoption by the Technical Committee. </w:t>
      </w:r>
    </w:p>
    <w:p w:rsidR="009956BC" w:rsidRPr="009956BC" w:rsidRDefault="009956BC" w:rsidP="009956BC">
      <w:pPr>
        <w:ind w:left="567" w:right="567"/>
        <w:rPr>
          <w:sz w:val="18"/>
          <w:szCs w:val="18"/>
          <w:highlight w:val="lightGray"/>
          <w:u w:val="single"/>
        </w:rPr>
      </w:pPr>
    </w:p>
    <w:p w:rsidR="009956BC" w:rsidRPr="009956BC" w:rsidRDefault="009956BC" w:rsidP="009956BC">
      <w:pPr>
        <w:ind w:left="567" w:right="567"/>
        <w:rPr>
          <w:sz w:val="18"/>
          <w:szCs w:val="18"/>
          <w:highlight w:val="lightGray"/>
          <w:u w:val="single"/>
        </w:rPr>
      </w:pPr>
      <w:r w:rsidRPr="009956BC">
        <w:rPr>
          <w:sz w:val="18"/>
          <w:szCs w:val="18"/>
          <w:highlight w:val="lightGray"/>
          <w:u w:val="single"/>
        </w:rPr>
        <w:t>“NEW</w:t>
      </w:r>
      <w:r w:rsidRPr="009956BC">
        <w:rPr>
          <w:sz w:val="18"/>
          <w:szCs w:val="18"/>
          <w:highlight w:val="lightGray"/>
          <w:u w:val="single"/>
        </w:rPr>
        <w:tab/>
      </w:r>
      <w:r w:rsidRPr="009956BC">
        <w:rPr>
          <w:sz w:val="18"/>
          <w:szCs w:val="18"/>
          <w:highlight w:val="lightGray"/>
          <w:u w:val="single"/>
        </w:rPr>
        <w:tab/>
        <w:t xml:space="preserve">The following procedure applies for Test Guidelines when editorial clarifications are required: </w:t>
      </w:r>
    </w:p>
    <w:p w:rsidR="009956BC" w:rsidRPr="009956BC" w:rsidRDefault="009956BC" w:rsidP="009956BC">
      <w:pPr>
        <w:ind w:left="567" w:right="567"/>
        <w:rPr>
          <w:rFonts w:cs="Arial"/>
          <w:sz w:val="18"/>
          <w:szCs w:val="18"/>
          <w:highlight w:val="lightGray"/>
          <w:u w:val="single"/>
        </w:rPr>
      </w:pPr>
    </w:p>
    <w:p w:rsidR="009956BC" w:rsidRPr="009956BC" w:rsidRDefault="009956BC" w:rsidP="009956BC">
      <w:pPr>
        <w:numPr>
          <w:ilvl w:val="0"/>
          <w:numId w:val="4"/>
        </w:numPr>
        <w:ind w:left="1134" w:right="567" w:hanging="567"/>
        <w:contextualSpacing/>
        <w:rPr>
          <w:rFonts w:cs="Arial"/>
          <w:sz w:val="18"/>
          <w:szCs w:val="18"/>
          <w:highlight w:val="lightGray"/>
          <w:u w:val="single"/>
          <w:lang w:val="en-GB" w:eastAsia="en-GB"/>
        </w:rPr>
      </w:pPr>
      <w:r w:rsidRPr="009956BC">
        <w:rPr>
          <w:rFonts w:cs="Arial"/>
          <w:sz w:val="18"/>
          <w:szCs w:val="18"/>
          <w:highlight w:val="lightGray"/>
          <w:u w:val="single"/>
          <w:lang w:val="en-GB" w:eastAsia="en-GB"/>
        </w:rPr>
        <w:t>request for clarifications is transmitted to the Leading Expert;</w:t>
      </w:r>
    </w:p>
    <w:p w:rsidR="009956BC" w:rsidRPr="009956BC" w:rsidRDefault="009956BC" w:rsidP="009956BC">
      <w:pPr>
        <w:numPr>
          <w:ilvl w:val="0"/>
          <w:numId w:val="4"/>
        </w:numPr>
        <w:ind w:left="1134" w:right="567" w:hanging="567"/>
        <w:contextualSpacing/>
        <w:rPr>
          <w:rFonts w:cs="Arial"/>
          <w:sz w:val="18"/>
          <w:szCs w:val="18"/>
          <w:highlight w:val="lightGray"/>
          <w:u w:val="single"/>
          <w:lang w:val="en-GB" w:eastAsia="en-GB"/>
        </w:rPr>
      </w:pPr>
      <w:r w:rsidRPr="009956BC">
        <w:rPr>
          <w:rFonts w:cs="Arial"/>
          <w:sz w:val="18"/>
          <w:szCs w:val="18"/>
          <w:highlight w:val="lightGray"/>
          <w:u w:val="single"/>
          <w:lang w:val="en-GB" w:eastAsia="en-GB"/>
        </w:rPr>
        <w:t>clarifications to be provided within four weeks;</w:t>
      </w:r>
    </w:p>
    <w:p w:rsidR="009956BC" w:rsidRPr="009956BC" w:rsidRDefault="009956BC" w:rsidP="009956BC">
      <w:pPr>
        <w:numPr>
          <w:ilvl w:val="0"/>
          <w:numId w:val="4"/>
        </w:numPr>
        <w:ind w:left="1134" w:right="567" w:hanging="567"/>
        <w:contextualSpacing/>
        <w:rPr>
          <w:rFonts w:cs="Arial"/>
          <w:sz w:val="18"/>
          <w:szCs w:val="18"/>
          <w:highlight w:val="lightGray"/>
          <w:u w:val="single"/>
          <w:lang w:val="en-GB" w:eastAsia="en-GB"/>
        </w:rPr>
      </w:pPr>
      <w:r w:rsidRPr="009956BC">
        <w:rPr>
          <w:rFonts w:cs="Arial"/>
          <w:sz w:val="18"/>
          <w:szCs w:val="18"/>
          <w:highlight w:val="lightGray"/>
          <w:u w:val="single"/>
          <w:lang w:val="en-GB" w:eastAsia="en-GB"/>
        </w:rPr>
        <w:t>if the clarifications are agreed by the TC-EDC, the Test Guidelines will be recommended for adoption at the TC-EDC meeting;</w:t>
      </w:r>
    </w:p>
    <w:p w:rsidR="009956BC" w:rsidRPr="009956BC" w:rsidRDefault="009956BC" w:rsidP="009956BC">
      <w:pPr>
        <w:numPr>
          <w:ilvl w:val="0"/>
          <w:numId w:val="4"/>
        </w:numPr>
        <w:ind w:left="1134" w:right="567" w:hanging="567"/>
        <w:contextualSpacing/>
        <w:rPr>
          <w:rFonts w:cs="Arial"/>
          <w:sz w:val="18"/>
          <w:szCs w:val="18"/>
          <w:highlight w:val="lightGray"/>
          <w:u w:val="single"/>
          <w:lang w:val="en-GB" w:eastAsia="en-GB"/>
        </w:rPr>
      </w:pPr>
      <w:proofErr w:type="gramStart"/>
      <w:r w:rsidRPr="009956BC">
        <w:rPr>
          <w:rFonts w:cs="Arial"/>
          <w:sz w:val="18"/>
          <w:szCs w:val="18"/>
          <w:highlight w:val="lightGray"/>
          <w:u w:val="single"/>
          <w:lang w:val="en-GB" w:eastAsia="en-GB"/>
        </w:rPr>
        <w:t>the</w:t>
      </w:r>
      <w:proofErr w:type="gramEnd"/>
      <w:r w:rsidRPr="009956BC">
        <w:rPr>
          <w:rFonts w:cs="Arial"/>
          <w:sz w:val="18"/>
          <w:szCs w:val="18"/>
          <w:highlight w:val="lightGray"/>
          <w:u w:val="single"/>
          <w:lang w:val="en-GB" w:eastAsia="en-GB"/>
        </w:rPr>
        <w:t xml:space="preserve"> Test Guidelines are considered for adoption by the TC.</w:t>
      </w:r>
    </w:p>
    <w:p w:rsidR="009956BC" w:rsidRPr="009956BC" w:rsidRDefault="009956BC" w:rsidP="009956BC">
      <w:pPr>
        <w:ind w:left="993" w:right="567" w:hanging="426"/>
        <w:rPr>
          <w:sz w:val="18"/>
          <w:szCs w:val="18"/>
          <w:highlight w:val="lightGray"/>
          <w:u w:val="single"/>
        </w:rPr>
      </w:pPr>
    </w:p>
    <w:p w:rsidR="009956BC" w:rsidRPr="009956BC" w:rsidRDefault="009956BC" w:rsidP="009956BC">
      <w:pPr>
        <w:ind w:left="993" w:right="567" w:hanging="426"/>
        <w:rPr>
          <w:sz w:val="18"/>
          <w:szCs w:val="18"/>
          <w:highlight w:val="lightGray"/>
          <w:u w:val="single"/>
        </w:rPr>
      </w:pPr>
      <w:r w:rsidRPr="009956BC">
        <w:rPr>
          <w:sz w:val="18"/>
          <w:szCs w:val="18"/>
          <w:highlight w:val="lightGray"/>
          <w:u w:val="single"/>
        </w:rPr>
        <w:t>“NEW</w:t>
      </w:r>
      <w:r w:rsidRPr="009956BC">
        <w:rPr>
          <w:sz w:val="18"/>
          <w:szCs w:val="18"/>
          <w:highlight w:val="lightGray"/>
          <w:u w:val="single"/>
        </w:rPr>
        <w:tab/>
      </w:r>
      <w:r w:rsidRPr="009956BC">
        <w:rPr>
          <w:sz w:val="18"/>
          <w:szCs w:val="18"/>
          <w:highlight w:val="lightGray"/>
          <w:u w:val="single"/>
        </w:rPr>
        <w:tab/>
        <w:t>The following procedure applies for Test Guidelines with technical issues to be resolved:</w:t>
      </w:r>
    </w:p>
    <w:p w:rsidR="009956BC" w:rsidRPr="009956BC" w:rsidRDefault="009956BC" w:rsidP="009956BC">
      <w:pPr>
        <w:ind w:left="993" w:right="567" w:hanging="426"/>
        <w:rPr>
          <w:rFonts w:cs="Arial"/>
          <w:sz w:val="18"/>
          <w:szCs w:val="18"/>
          <w:highlight w:val="lightGray"/>
          <w:u w:val="single"/>
        </w:rPr>
      </w:pPr>
    </w:p>
    <w:p w:rsidR="009956BC" w:rsidRPr="009956BC" w:rsidRDefault="009956BC" w:rsidP="009956BC">
      <w:pPr>
        <w:numPr>
          <w:ilvl w:val="0"/>
          <w:numId w:val="5"/>
        </w:numPr>
        <w:ind w:left="993" w:right="567" w:hanging="426"/>
        <w:contextualSpacing/>
        <w:rPr>
          <w:rFonts w:cs="Arial"/>
          <w:sz w:val="18"/>
          <w:szCs w:val="18"/>
          <w:highlight w:val="lightGray"/>
          <w:u w:val="single"/>
          <w:lang w:val="en-GB" w:eastAsia="en-GB"/>
        </w:rPr>
      </w:pPr>
      <w:r w:rsidRPr="009956BC">
        <w:rPr>
          <w:rFonts w:cs="Arial"/>
          <w:sz w:val="18"/>
          <w:szCs w:val="18"/>
          <w:highlight w:val="lightGray"/>
          <w:u w:val="single"/>
          <w:lang w:val="en-GB" w:eastAsia="en-GB"/>
        </w:rPr>
        <w:t xml:space="preserve">technical issues to be transmitted to the Leading Expert </w:t>
      </w:r>
    </w:p>
    <w:p w:rsidR="009956BC" w:rsidRPr="009956BC" w:rsidRDefault="009956BC" w:rsidP="009956BC">
      <w:pPr>
        <w:numPr>
          <w:ilvl w:val="0"/>
          <w:numId w:val="5"/>
        </w:numPr>
        <w:ind w:left="993" w:right="567" w:hanging="426"/>
        <w:contextualSpacing/>
        <w:rPr>
          <w:rFonts w:cs="Arial"/>
          <w:sz w:val="18"/>
          <w:szCs w:val="18"/>
          <w:highlight w:val="lightGray"/>
          <w:u w:val="single"/>
          <w:lang w:val="en-GB" w:eastAsia="en-GB"/>
        </w:rPr>
      </w:pPr>
      <w:r w:rsidRPr="009956BC">
        <w:rPr>
          <w:rFonts w:cs="Arial"/>
          <w:sz w:val="18"/>
          <w:szCs w:val="18"/>
          <w:highlight w:val="lightGray"/>
          <w:u w:val="single"/>
          <w:lang w:val="en-GB" w:eastAsia="en-GB"/>
        </w:rPr>
        <w:t xml:space="preserve">the technical issues are to be addressed at the respective Technical Working Party by means of a TWP document prepared by the Leading Expert at least four weeks before TWP session (new draft Test Guidelines should not be prepared)  </w:t>
      </w:r>
    </w:p>
    <w:p w:rsidR="009956BC" w:rsidRPr="009956BC" w:rsidRDefault="009956BC" w:rsidP="009956BC">
      <w:pPr>
        <w:numPr>
          <w:ilvl w:val="0"/>
          <w:numId w:val="5"/>
        </w:numPr>
        <w:ind w:left="993" w:right="567" w:hanging="426"/>
        <w:contextualSpacing/>
        <w:rPr>
          <w:rFonts w:cs="Arial"/>
          <w:sz w:val="18"/>
          <w:szCs w:val="18"/>
          <w:highlight w:val="lightGray"/>
          <w:u w:val="single"/>
          <w:lang w:val="en-GB" w:eastAsia="en-GB"/>
        </w:rPr>
      </w:pPr>
      <w:r w:rsidRPr="009956BC">
        <w:rPr>
          <w:rFonts w:cs="Arial"/>
          <w:sz w:val="18"/>
          <w:szCs w:val="18"/>
          <w:highlight w:val="lightGray"/>
          <w:u w:val="single"/>
          <w:lang w:val="en-GB" w:eastAsia="en-GB"/>
        </w:rPr>
        <w:t>resolution of the issues to be provided to the TC-EDC at least seven weeks before the TC-EDC meeting;</w:t>
      </w:r>
    </w:p>
    <w:p w:rsidR="009956BC" w:rsidRPr="009956BC" w:rsidRDefault="009956BC" w:rsidP="009956BC">
      <w:pPr>
        <w:numPr>
          <w:ilvl w:val="0"/>
          <w:numId w:val="4"/>
        </w:numPr>
        <w:ind w:left="993" w:right="567" w:hanging="426"/>
        <w:contextualSpacing/>
        <w:rPr>
          <w:rFonts w:cs="Arial"/>
          <w:sz w:val="18"/>
          <w:szCs w:val="18"/>
          <w:highlight w:val="lightGray"/>
          <w:u w:val="single"/>
          <w:lang w:val="en-GB" w:eastAsia="en-GB"/>
        </w:rPr>
      </w:pPr>
      <w:r w:rsidRPr="009956BC">
        <w:rPr>
          <w:rFonts w:cs="Arial"/>
          <w:sz w:val="18"/>
          <w:szCs w:val="18"/>
          <w:highlight w:val="lightGray"/>
          <w:u w:val="single"/>
          <w:lang w:val="en-GB" w:eastAsia="en-GB"/>
        </w:rPr>
        <w:t>if agreed by the TC-EDC, the Test Guidelines would be recommended for adoption at the TC</w:t>
      </w:r>
      <w:r w:rsidRPr="009956BC">
        <w:rPr>
          <w:rFonts w:cs="Arial"/>
          <w:sz w:val="18"/>
          <w:szCs w:val="18"/>
          <w:highlight w:val="lightGray"/>
          <w:u w:val="single"/>
          <w:lang w:val="en-GB" w:eastAsia="en-GB"/>
        </w:rPr>
        <w:noBreakHyphen/>
        <w:t>EDC meeting;</w:t>
      </w:r>
    </w:p>
    <w:p w:rsidR="009956BC" w:rsidRPr="009956BC" w:rsidRDefault="009956BC" w:rsidP="009956BC">
      <w:pPr>
        <w:numPr>
          <w:ilvl w:val="0"/>
          <w:numId w:val="4"/>
        </w:numPr>
        <w:ind w:left="993" w:right="567" w:hanging="426"/>
        <w:contextualSpacing/>
        <w:rPr>
          <w:rFonts w:cs="Arial"/>
          <w:sz w:val="18"/>
          <w:szCs w:val="18"/>
          <w:highlight w:val="lightGray"/>
          <w:u w:val="single"/>
          <w:lang w:val="en-GB" w:eastAsia="en-GB"/>
        </w:rPr>
      </w:pPr>
      <w:proofErr w:type="gramStart"/>
      <w:r w:rsidRPr="009956BC">
        <w:rPr>
          <w:rFonts w:cs="Arial"/>
          <w:sz w:val="18"/>
          <w:szCs w:val="18"/>
          <w:highlight w:val="lightGray"/>
          <w:u w:val="single"/>
          <w:lang w:val="en-GB" w:eastAsia="en-GB"/>
        </w:rPr>
        <w:t>Test Guidelines are considered for adoption by the TC</w:t>
      </w:r>
      <w:proofErr w:type="gramEnd"/>
      <w:r w:rsidRPr="009956BC">
        <w:rPr>
          <w:rFonts w:cs="Arial"/>
          <w:sz w:val="18"/>
          <w:szCs w:val="18"/>
          <w:highlight w:val="lightGray"/>
          <w:u w:val="single"/>
          <w:lang w:val="en-GB" w:eastAsia="en-GB"/>
        </w:rPr>
        <w:t>.</w:t>
      </w:r>
    </w:p>
    <w:p w:rsidR="009956BC" w:rsidRPr="009956BC" w:rsidRDefault="009956BC" w:rsidP="009956BC">
      <w:pPr>
        <w:ind w:left="567" w:right="567"/>
        <w:rPr>
          <w:sz w:val="18"/>
          <w:szCs w:val="18"/>
        </w:rPr>
      </w:pPr>
    </w:p>
    <w:p w:rsidR="009956BC" w:rsidRPr="009956BC" w:rsidRDefault="009956BC" w:rsidP="009956BC">
      <w:pPr>
        <w:ind w:left="567" w:right="567"/>
        <w:rPr>
          <w:sz w:val="18"/>
          <w:szCs w:val="18"/>
          <w:u w:val="single"/>
        </w:rPr>
      </w:pPr>
      <w:r w:rsidRPr="009956BC">
        <w:rPr>
          <w:sz w:val="18"/>
          <w:szCs w:val="18"/>
          <w:u w:val="single"/>
        </w:rPr>
        <w:t>“2.2.8</w:t>
      </w:r>
      <w:r w:rsidRPr="009956BC">
        <w:rPr>
          <w:sz w:val="18"/>
          <w:szCs w:val="18"/>
          <w:u w:val="single"/>
        </w:rPr>
        <w:tab/>
      </w:r>
      <w:r w:rsidRPr="009956BC">
        <w:rPr>
          <w:sz w:val="18"/>
          <w:szCs w:val="18"/>
          <w:u w:val="single"/>
          <w:bdr w:val="single" w:sz="4" w:space="0" w:color="auto"/>
        </w:rPr>
        <w:t>STEP 8</w:t>
      </w:r>
      <w:r w:rsidRPr="009956BC">
        <w:rPr>
          <w:sz w:val="18"/>
          <w:szCs w:val="18"/>
          <w:u w:val="single"/>
        </w:rPr>
        <w:tab/>
        <w:t xml:space="preserve">Adoption of Draft Test Guidelines by the Technical Committee  </w:t>
      </w:r>
    </w:p>
    <w:p w:rsidR="009956BC" w:rsidRPr="009956BC" w:rsidRDefault="009956BC" w:rsidP="009956BC">
      <w:pPr>
        <w:ind w:left="567" w:right="567"/>
        <w:rPr>
          <w:sz w:val="18"/>
          <w:szCs w:val="18"/>
        </w:rPr>
      </w:pPr>
    </w:p>
    <w:p w:rsidR="009956BC" w:rsidRPr="009956BC" w:rsidRDefault="009956BC" w:rsidP="009956BC">
      <w:pPr>
        <w:ind w:left="567" w:right="567"/>
        <w:rPr>
          <w:sz w:val="18"/>
          <w:szCs w:val="18"/>
        </w:rPr>
      </w:pPr>
      <w:r w:rsidRPr="009956BC">
        <w:rPr>
          <w:sz w:val="18"/>
          <w:szCs w:val="18"/>
        </w:rPr>
        <w:t>“2.2.8.1</w:t>
      </w:r>
      <w:r w:rsidRPr="009956BC">
        <w:rPr>
          <w:sz w:val="18"/>
          <w:szCs w:val="18"/>
        </w:rPr>
        <w:tab/>
        <w:t>The Technical Committee will, on the basis of the recommendations of the TC</w:t>
      </w:r>
      <w:r w:rsidRPr="009956BC">
        <w:rPr>
          <w:sz w:val="18"/>
          <w:szCs w:val="18"/>
        </w:rPr>
        <w:noBreakHyphen/>
        <w:t>EDC, decide whether to adopt the Test Guidelines, or refer them back to the TWP concerned.</w:t>
      </w:r>
    </w:p>
    <w:p w:rsidR="009956BC" w:rsidRPr="009956BC" w:rsidRDefault="009956BC" w:rsidP="009956BC">
      <w:pPr>
        <w:ind w:left="567" w:right="567"/>
        <w:rPr>
          <w:sz w:val="18"/>
          <w:szCs w:val="18"/>
        </w:rPr>
      </w:pPr>
    </w:p>
    <w:p w:rsidR="009956BC" w:rsidRPr="009956BC" w:rsidRDefault="009956BC" w:rsidP="009956BC">
      <w:pPr>
        <w:ind w:left="567" w:right="567"/>
        <w:rPr>
          <w:sz w:val="18"/>
          <w:szCs w:val="18"/>
          <w:highlight w:val="lightGray"/>
          <w:u w:val="single"/>
        </w:rPr>
      </w:pPr>
      <w:r w:rsidRPr="009956BC">
        <w:rPr>
          <w:sz w:val="18"/>
          <w:szCs w:val="18"/>
          <w:highlight w:val="lightGray"/>
          <w:u w:val="single"/>
        </w:rPr>
        <w:t>“NEW</w:t>
      </w:r>
      <w:r w:rsidRPr="009956BC">
        <w:rPr>
          <w:sz w:val="18"/>
          <w:szCs w:val="18"/>
          <w:highlight w:val="lightGray"/>
          <w:u w:val="single"/>
        </w:rPr>
        <w:tab/>
      </w:r>
      <w:r w:rsidRPr="009956BC">
        <w:rPr>
          <w:sz w:val="18"/>
          <w:szCs w:val="18"/>
          <w:highlight w:val="lightGray"/>
          <w:u w:val="single"/>
        </w:rPr>
        <w:tab/>
        <w:t xml:space="preserve">The Technical Committee may adopt Test Guidelines at its session or by correspondence.  Test Guidelines </w:t>
      </w:r>
      <w:proofErr w:type="gramStart"/>
      <w:r w:rsidRPr="009956BC">
        <w:rPr>
          <w:sz w:val="18"/>
          <w:szCs w:val="18"/>
          <w:highlight w:val="lightGray"/>
          <w:u w:val="single"/>
        </w:rPr>
        <w:t>may be adopted</w:t>
      </w:r>
      <w:proofErr w:type="gramEnd"/>
      <w:r w:rsidRPr="009956BC">
        <w:rPr>
          <w:sz w:val="18"/>
          <w:szCs w:val="18"/>
          <w:highlight w:val="lightGray"/>
          <w:u w:val="single"/>
        </w:rPr>
        <w:t xml:space="preserve"> by correspondence according to the following procedure:</w:t>
      </w:r>
    </w:p>
    <w:p w:rsidR="009956BC" w:rsidRPr="009956BC" w:rsidRDefault="009956BC" w:rsidP="009956BC">
      <w:pPr>
        <w:ind w:left="567" w:right="567"/>
        <w:rPr>
          <w:sz w:val="18"/>
          <w:szCs w:val="18"/>
          <w:highlight w:val="lightGray"/>
          <w:u w:val="single"/>
        </w:rPr>
      </w:pPr>
    </w:p>
    <w:p w:rsidR="009956BC" w:rsidRPr="009956BC" w:rsidRDefault="009956BC" w:rsidP="009956BC">
      <w:pPr>
        <w:numPr>
          <w:ilvl w:val="0"/>
          <w:numId w:val="3"/>
        </w:numPr>
        <w:tabs>
          <w:tab w:val="left" w:pos="1134"/>
          <w:tab w:val="left" w:pos="5387"/>
        </w:tabs>
        <w:ind w:left="1134" w:right="567" w:hanging="567"/>
        <w:contextualSpacing/>
        <w:rPr>
          <w:rFonts w:cs="Arial"/>
          <w:sz w:val="18"/>
          <w:szCs w:val="18"/>
          <w:highlight w:val="lightGray"/>
          <w:u w:val="single"/>
          <w:lang w:val="en-GB" w:eastAsia="en-GB"/>
        </w:rPr>
      </w:pPr>
      <w:r w:rsidRPr="009956BC">
        <w:rPr>
          <w:rFonts w:cs="Arial"/>
          <w:sz w:val="18"/>
          <w:szCs w:val="18"/>
          <w:highlight w:val="lightGray"/>
          <w:u w:val="single"/>
          <w:lang w:val="en-GB" w:eastAsia="en-GB"/>
        </w:rPr>
        <w:t>The draft Test Guidelines are circulated to the TC for adoption by correspondence with the recommendations by the TC-EDC;</w:t>
      </w:r>
    </w:p>
    <w:p w:rsidR="009956BC" w:rsidRPr="009956BC" w:rsidRDefault="009956BC" w:rsidP="009956BC">
      <w:pPr>
        <w:numPr>
          <w:ilvl w:val="0"/>
          <w:numId w:val="3"/>
        </w:numPr>
        <w:tabs>
          <w:tab w:val="left" w:pos="1134"/>
          <w:tab w:val="left" w:pos="5387"/>
        </w:tabs>
        <w:ind w:left="1134" w:right="567" w:hanging="567"/>
        <w:contextualSpacing/>
        <w:rPr>
          <w:rFonts w:cs="Arial"/>
          <w:sz w:val="18"/>
          <w:szCs w:val="18"/>
          <w:highlight w:val="lightGray"/>
          <w:u w:val="single"/>
          <w:lang w:val="en-GB" w:eastAsia="en-GB"/>
        </w:rPr>
      </w:pPr>
      <w:r w:rsidRPr="009956BC">
        <w:rPr>
          <w:rFonts w:cs="Arial"/>
          <w:sz w:val="18"/>
          <w:szCs w:val="18"/>
          <w:highlight w:val="lightGray"/>
          <w:u w:val="single"/>
          <w:lang w:val="en-GB" w:eastAsia="en-GB"/>
        </w:rPr>
        <w:t>The draft Test Guidelines are considered as adopted if no comments are received within six weeks;</w:t>
      </w:r>
    </w:p>
    <w:p w:rsidR="009956BC" w:rsidRPr="009956BC" w:rsidRDefault="009956BC" w:rsidP="009956BC">
      <w:pPr>
        <w:numPr>
          <w:ilvl w:val="0"/>
          <w:numId w:val="3"/>
        </w:numPr>
        <w:tabs>
          <w:tab w:val="left" w:pos="1134"/>
          <w:tab w:val="left" w:pos="5387"/>
        </w:tabs>
        <w:ind w:left="1134" w:right="567" w:hanging="567"/>
        <w:contextualSpacing/>
        <w:rPr>
          <w:rFonts w:cs="Arial"/>
          <w:sz w:val="18"/>
          <w:szCs w:val="18"/>
          <w:highlight w:val="lightGray"/>
          <w:u w:val="single"/>
          <w:lang w:val="en-GB" w:eastAsia="en-GB"/>
        </w:rPr>
      </w:pPr>
      <w:r w:rsidRPr="009956BC">
        <w:rPr>
          <w:rFonts w:cs="Arial"/>
          <w:sz w:val="18"/>
          <w:szCs w:val="18"/>
          <w:highlight w:val="lightGray"/>
          <w:u w:val="single"/>
          <w:lang w:val="en-GB" w:eastAsia="en-GB"/>
        </w:rPr>
        <w:t xml:space="preserve">If any comments </w:t>
      </w:r>
      <w:proofErr w:type="gramStart"/>
      <w:r w:rsidRPr="009956BC">
        <w:rPr>
          <w:rFonts w:cs="Arial"/>
          <w:sz w:val="18"/>
          <w:szCs w:val="18"/>
          <w:highlight w:val="lightGray"/>
          <w:u w:val="single"/>
          <w:lang w:val="en-GB" w:eastAsia="en-GB"/>
        </w:rPr>
        <w:t>are received</w:t>
      </w:r>
      <w:proofErr w:type="gramEnd"/>
      <w:r w:rsidRPr="009956BC">
        <w:rPr>
          <w:rFonts w:cs="Arial"/>
          <w:sz w:val="18"/>
          <w:szCs w:val="18"/>
          <w:highlight w:val="lightGray"/>
          <w:u w:val="single"/>
          <w:lang w:val="en-GB" w:eastAsia="en-GB"/>
        </w:rPr>
        <w:t>, the draft Test Guidelines are referred to the relevant TWP to address those comments.</w:t>
      </w:r>
    </w:p>
    <w:p w:rsidR="009956BC" w:rsidRPr="009956BC" w:rsidRDefault="009956BC" w:rsidP="009956BC">
      <w:pPr>
        <w:ind w:left="567" w:right="567"/>
        <w:rPr>
          <w:sz w:val="18"/>
          <w:szCs w:val="18"/>
        </w:rPr>
      </w:pPr>
    </w:p>
    <w:p w:rsidR="009956BC" w:rsidRPr="009956BC" w:rsidRDefault="009956BC" w:rsidP="009956BC">
      <w:pPr>
        <w:ind w:left="567" w:right="567"/>
        <w:rPr>
          <w:sz w:val="18"/>
          <w:szCs w:val="18"/>
        </w:rPr>
      </w:pPr>
      <w:r w:rsidRPr="009956BC">
        <w:rPr>
          <w:sz w:val="18"/>
          <w:szCs w:val="18"/>
        </w:rPr>
        <w:t>“2.2.8.2</w:t>
      </w:r>
      <w:r w:rsidRPr="009956BC">
        <w:rPr>
          <w:sz w:val="18"/>
          <w:szCs w:val="18"/>
        </w:rPr>
        <w:tab/>
        <w:t xml:space="preserve">Where the Technical Committee adopts the Test Guidelines, the Office will make all amendments agreed by the Technical Committee, which will be recorded in a report of the relevant Technical Committee meeting.  The Office will then publish the adopted Test Guidelines. </w:t>
      </w:r>
    </w:p>
    <w:p w:rsidR="009956BC" w:rsidRPr="009956BC" w:rsidRDefault="009956BC" w:rsidP="009956BC">
      <w:pPr>
        <w:ind w:left="567" w:right="567"/>
        <w:rPr>
          <w:strike/>
          <w:sz w:val="18"/>
          <w:szCs w:val="18"/>
        </w:rPr>
      </w:pPr>
    </w:p>
    <w:p w:rsidR="009956BC" w:rsidRPr="009956BC" w:rsidRDefault="009956BC" w:rsidP="009956BC">
      <w:pPr>
        <w:ind w:left="567" w:right="567"/>
        <w:rPr>
          <w:strike/>
          <w:sz w:val="18"/>
          <w:szCs w:val="18"/>
        </w:rPr>
      </w:pPr>
      <w:proofErr w:type="gramStart"/>
      <w:r w:rsidRPr="009956BC">
        <w:rPr>
          <w:strike/>
          <w:sz w:val="18"/>
          <w:szCs w:val="18"/>
          <w:highlight w:val="lightGray"/>
        </w:rPr>
        <w:t>“2.2.8.3</w:t>
      </w:r>
      <w:r w:rsidRPr="009956BC">
        <w:rPr>
          <w:strike/>
          <w:sz w:val="18"/>
          <w:szCs w:val="18"/>
          <w:highlight w:val="lightGray"/>
        </w:rPr>
        <w:tab/>
        <w:t>Where the Technical Committee adopts the Test Guidelines subject to further information being provided by the Leading Expert with the agreement of all interested experts and the Chairman of the TWP concerned (see 2.2.7.3(b)), the necessary information, agreed with all interested experts, should be provided to the Office within three months of the Technical Committee meeting, or before the subsequent session of the TWP concerned, whichever is the sooner.</w:t>
      </w:r>
      <w:proofErr w:type="gramEnd"/>
      <w:r w:rsidRPr="009956BC">
        <w:rPr>
          <w:strike/>
          <w:sz w:val="18"/>
          <w:szCs w:val="18"/>
          <w:highlight w:val="lightGray"/>
        </w:rPr>
        <w:t xml:space="preserve">  In those cases where the necessary information is not provided within this time, the Test Guidelines concerned will not be adopted and will be re</w:t>
      </w:r>
      <w:r w:rsidRPr="009956BC">
        <w:rPr>
          <w:strike/>
          <w:sz w:val="18"/>
          <w:szCs w:val="18"/>
          <w:highlight w:val="lightGray"/>
        </w:rPr>
        <w:noBreakHyphen/>
        <w:t>presented at the TWP concerned (Step 4).”</w:t>
      </w:r>
    </w:p>
    <w:p w:rsidR="009956BC" w:rsidRPr="009956BC" w:rsidRDefault="009956BC" w:rsidP="009956BC"/>
    <w:p w:rsidR="009956BC" w:rsidRPr="009956BC" w:rsidRDefault="009956BC" w:rsidP="009956BC"/>
    <w:p w:rsidR="009956BC" w:rsidRPr="009956BC" w:rsidRDefault="009956BC" w:rsidP="009956BC">
      <w:r w:rsidRPr="009956BC">
        <w:t xml:space="preserve">The TC agreed that a suitable timeline for the publication of adopted Test Guidelines </w:t>
      </w:r>
      <w:proofErr w:type="gramStart"/>
      <w:r w:rsidRPr="009956BC">
        <w:t>should be added</w:t>
      </w:r>
      <w:proofErr w:type="gramEnd"/>
      <w:r w:rsidRPr="009956BC">
        <w:t xml:space="preserve"> to the guidance.  The TC </w:t>
      </w:r>
      <w:proofErr w:type="gramStart"/>
      <w:r w:rsidRPr="009956BC">
        <w:t>will be invited</w:t>
      </w:r>
      <w:proofErr w:type="gramEnd"/>
      <w:r w:rsidRPr="009956BC">
        <w:t xml:space="preserve"> to consider a proposed timeline at its fifty-fifth session, to be held in Geneva on October 28 and 29, 2019.  Subject to agreement by the TC and the CAJ, the </w:t>
      </w:r>
      <w:proofErr w:type="gramStart"/>
      <w:r w:rsidRPr="009956BC">
        <w:t>proposed timeline will be put forward for adoption by the Council</w:t>
      </w:r>
      <w:proofErr w:type="gramEnd"/>
      <w:r w:rsidRPr="009956BC">
        <w:t xml:space="preserve">, at its session to be held on November 1, 2019. </w:t>
      </w:r>
    </w:p>
    <w:p w:rsidR="009956BC" w:rsidRPr="009956BC" w:rsidRDefault="009956BC" w:rsidP="009956BC"/>
    <w:p w:rsidR="009956BC" w:rsidRPr="009956BC" w:rsidRDefault="009956BC" w:rsidP="009956BC">
      <w:r w:rsidRPr="009956BC">
        <w:t xml:space="preserve">The TC agreed that the procedure for the adoption of Test Guidelines by correspondence </w:t>
      </w:r>
      <w:proofErr w:type="gramStart"/>
      <w:r w:rsidRPr="009956BC">
        <w:t>should be incorporated</w:t>
      </w:r>
      <w:proofErr w:type="gramEnd"/>
      <w:r w:rsidRPr="009956BC">
        <w:t xml:space="preserve"> in the content of the preparatory workshops for the TWPs.</w:t>
      </w:r>
    </w:p>
    <w:p w:rsidR="009956BC" w:rsidRPr="009956BC" w:rsidRDefault="009956BC" w:rsidP="009956BC"/>
    <w:p w:rsidR="009956BC" w:rsidRPr="009956BC" w:rsidRDefault="009956BC" w:rsidP="009956BC"/>
    <w:p w:rsidR="009956BC" w:rsidRPr="009956BC" w:rsidRDefault="009956BC" w:rsidP="009956BC"/>
    <w:p w:rsidR="009956BC" w:rsidRPr="009956BC" w:rsidRDefault="009956BC" w:rsidP="00986672">
      <w:pPr>
        <w:jc w:val="right"/>
      </w:pPr>
      <w:r w:rsidRPr="009956BC">
        <w:t>[Annex II follows]</w:t>
      </w:r>
    </w:p>
    <w:p w:rsidR="009956BC" w:rsidRPr="009956BC" w:rsidRDefault="009956BC" w:rsidP="009956BC">
      <w:pPr>
        <w:sectPr w:rsidR="009956BC" w:rsidRPr="009956BC" w:rsidSect="001270B2">
          <w:headerReference w:type="default" r:id="rId16"/>
          <w:footerReference w:type="default" r:id="rId17"/>
          <w:headerReference w:type="first" r:id="rId18"/>
          <w:pgSz w:w="11907" w:h="16840" w:code="9"/>
          <w:pgMar w:top="510" w:right="1134" w:bottom="709" w:left="1134" w:header="510" w:footer="680" w:gutter="0"/>
          <w:pgNumType w:start="1"/>
          <w:cols w:space="720"/>
          <w:titlePg/>
        </w:sectPr>
      </w:pPr>
    </w:p>
    <w:p w:rsidR="009956BC" w:rsidRPr="009956BC" w:rsidRDefault="009956BC" w:rsidP="009956BC">
      <w:pPr>
        <w:jc w:val="center"/>
      </w:pPr>
      <w:r w:rsidRPr="009956BC">
        <w:lastRenderedPageBreak/>
        <w:t>MATTERS FOR ADOPTION BY THE COUNCIL IN 2019: DOCUMENT TGP/8</w:t>
      </w:r>
    </w:p>
    <w:p w:rsidR="009956BC" w:rsidRPr="009956BC" w:rsidRDefault="009956BC" w:rsidP="009956BC"/>
    <w:p w:rsidR="009956BC" w:rsidRPr="009956BC" w:rsidRDefault="009956BC" w:rsidP="009956BC">
      <w:proofErr w:type="gramStart"/>
      <w:r w:rsidRPr="009956BC">
        <w:t>The following revision of document TGP/8 “Trial Design and Techniques Used in the Examination of Distinctness, Uniformity and Stability” was agreed by the Technical Committee to be proposed for adoption by the Council at its fifty-third ordinary session, to be held in Geneva on November 1, 2019, subject to approval by the CAJ, at its seventy-sixth session, to be held in Geneva on October 30, 2019.</w:t>
      </w:r>
      <w:proofErr w:type="gramEnd"/>
    </w:p>
    <w:p w:rsidR="009956BC" w:rsidRPr="009956BC" w:rsidRDefault="009956BC" w:rsidP="009956BC">
      <w:pPr>
        <w:keepNext/>
        <w:rPr>
          <w:caps/>
        </w:rPr>
      </w:pPr>
    </w:p>
    <w:p w:rsidR="009956BC" w:rsidRPr="009956BC" w:rsidRDefault="009956BC" w:rsidP="009956BC">
      <w:pPr>
        <w:keepNext/>
        <w:rPr>
          <w:u w:val="single"/>
        </w:rPr>
      </w:pPr>
      <w:r w:rsidRPr="009956BC">
        <w:rPr>
          <w:u w:val="single"/>
        </w:rPr>
        <w:t>Examining DUS in Bulk Samples</w:t>
      </w:r>
    </w:p>
    <w:p w:rsidR="009956BC" w:rsidRPr="009956BC" w:rsidRDefault="009956BC" w:rsidP="009956BC">
      <w:pPr>
        <w:keepNext/>
      </w:pPr>
    </w:p>
    <w:p w:rsidR="009956BC" w:rsidRPr="009956BC" w:rsidRDefault="009956BC" w:rsidP="009956BC">
      <w:pPr>
        <w:keepNext/>
        <w:rPr>
          <w:i/>
        </w:rPr>
      </w:pPr>
      <w:r w:rsidRPr="009956BC">
        <w:rPr>
          <w:i/>
        </w:rPr>
        <w:t>Document TGP/8: Part II: Selected techniques used in DUS examination: New Section 12: Examining characteristics on the basis of bulk samples</w:t>
      </w:r>
    </w:p>
    <w:p w:rsidR="009956BC" w:rsidRPr="009956BC" w:rsidRDefault="009956BC" w:rsidP="009956BC">
      <w:pPr>
        <w:keepNext/>
      </w:pPr>
    </w:p>
    <w:p w:rsidR="009956BC" w:rsidRPr="009956BC" w:rsidRDefault="009956BC" w:rsidP="009956BC">
      <w:pPr>
        <w:keepNext/>
      </w:pPr>
      <w:r w:rsidRPr="009956BC">
        <w:t>The TC, at its fifty-third session, held in Geneva from April 3 to 5, 2017, agreed a list of criteria as the basis for the development of guidance for inclusion in a future revision of document TGP/8, as follows (see document TC/53/31 “Report”, paragraphs 113 to 116):</w:t>
      </w:r>
    </w:p>
    <w:p w:rsidR="009956BC" w:rsidRPr="009956BC" w:rsidRDefault="009956BC" w:rsidP="009956BC"/>
    <w:p w:rsidR="009956BC" w:rsidRPr="009956BC" w:rsidRDefault="009956BC" w:rsidP="009956BC">
      <w:pPr>
        <w:numPr>
          <w:ilvl w:val="0"/>
          <w:numId w:val="15"/>
        </w:numPr>
        <w:ind w:left="1134" w:right="567" w:hanging="567"/>
        <w:rPr>
          <w:sz w:val="18"/>
        </w:rPr>
      </w:pPr>
      <w:r w:rsidRPr="009956BC">
        <w:rPr>
          <w:iCs/>
          <w:sz w:val="18"/>
        </w:rPr>
        <w:t xml:space="preserve">“the characteristic should fulfill the requirements </w:t>
      </w:r>
      <w:r w:rsidRPr="009956BC">
        <w:rPr>
          <w:sz w:val="18"/>
        </w:rPr>
        <w:t>of a characteristic, as set out in the “General Introduction to the Examination of Distinctness, Uniformity and Stability and the Development of Harmonized Descriptions of new Varieties of Plants” (see document TG/1/3, Section 4.2.1);</w:t>
      </w:r>
    </w:p>
    <w:p w:rsidR="009956BC" w:rsidRPr="009956BC" w:rsidRDefault="009956BC" w:rsidP="009956BC">
      <w:pPr>
        <w:ind w:left="1134" w:right="567" w:hanging="567"/>
        <w:rPr>
          <w:sz w:val="18"/>
        </w:rPr>
      </w:pPr>
    </w:p>
    <w:p w:rsidR="009956BC" w:rsidRPr="009956BC" w:rsidRDefault="009956BC" w:rsidP="009956BC">
      <w:pPr>
        <w:numPr>
          <w:ilvl w:val="0"/>
          <w:numId w:val="15"/>
        </w:numPr>
        <w:ind w:left="1134" w:right="567" w:hanging="567"/>
        <w:rPr>
          <w:sz w:val="18"/>
        </w:rPr>
      </w:pPr>
      <w:r w:rsidRPr="009956BC">
        <w:rPr>
          <w:sz w:val="18"/>
        </w:rPr>
        <w:t>“there should be knowledge of the genetic control of the characteristic;</w:t>
      </w:r>
    </w:p>
    <w:p w:rsidR="009956BC" w:rsidRPr="009956BC" w:rsidRDefault="009956BC" w:rsidP="009956BC">
      <w:pPr>
        <w:ind w:left="1134" w:right="567" w:hanging="567"/>
        <w:rPr>
          <w:iCs/>
          <w:sz w:val="18"/>
        </w:rPr>
      </w:pPr>
    </w:p>
    <w:p w:rsidR="009956BC" w:rsidRPr="009956BC" w:rsidRDefault="009956BC" w:rsidP="009956BC">
      <w:pPr>
        <w:numPr>
          <w:ilvl w:val="0"/>
          <w:numId w:val="15"/>
        </w:numPr>
        <w:ind w:left="1134" w:right="567" w:hanging="567"/>
        <w:rPr>
          <w:iCs/>
          <w:sz w:val="18"/>
        </w:rPr>
      </w:pPr>
      <w:r w:rsidRPr="009956BC">
        <w:rPr>
          <w:iCs/>
          <w:sz w:val="18"/>
        </w:rPr>
        <w:t xml:space="preserve">“the suitability of the characteristic should be validated through an initial assessment of uniformity on individual plants; </w:t>
      </w:r>
    </w:p>
    <w:p w:rsidR="009956BC" w:rsidRPr="009956BC" w:rsidRDefault="009956BC" w:rsidP="009956BC">
      <w:pPr>
        <w:ind w:left="1134" w:right="567" w:hanging="567"/>
        <w:rPr>
          <w:iCs/>
          <w:sz w:val="18"/>
        </w:rPr>
      </w:pPr>
    </w:p>
    <w:p w:rsidR="009956BC" w:rsidRPr="009956BC" w:rsidRDefault="009956BC" w:rsidP="009956BC">
      <w:pPr>
        <w:numPr>
          <w:ilvl w:val="0"/>
          <w:numId w:val="15"/>
        </w:numPr>
        <w:ind w:left="1134" w:right="567" w:hanging="567"/>
        <w:rPr>
          <w:iCs/>
          <w:sz w:val="18"/>
        </w:rPr>
      </w:pPr>
      <w:r w:rsidRPr="009956BC">
        <w:rPr>
          <w:sz w:val="18"/>
        </w:rPr>
        <w:t xml:space="preserve">“information on plant-by-plant variation and differences between growing cycles should be provided (data from </w:t>
      </w:r>
      <w:r w:rsidRPr="009956BC">
        <w:rPr>
          <w:iCs/>
          <w:sz w:val="18"/>
        </w:rPr>
        <w:t>routine measurement of the characteristic from different years);</w:t>
      </w:r>
    </w:p>
    <w:p w:rsidR="009956BC" w:rsidRPr="009956BC" w:rsidRDefault="009956BC" w:rsidP="009956BC">
      <w:pPr>
        <w:ind w:left="1134" w:right="567" w:hanging="567"/>
        <w:rPr>
          <w:iCs/>
          <w:sz w:val="18"/>
        </w:rPr>
      </w:pPr>
    </w:p>
    <w:p w:rsidR="009956BC" w:rsidRPr="009956BC" w:rsidRDefault="009956BC" w:rsidP="009956BC">
      <w:pPr>
        <w:numPr>
          <w:ilvl w:val="0"/>
          <w:numId w:val="15"/>
        </w:numPr>
        <w:ind w:left="1134" w:right="567" w:hanging="567"/>
        <w:rPr>
          <w:sz w:val="18"/>
        </w:rPr>
      </w:pPr>
      <w:r w:rsidRPr="009956BC">
        <w:rPr>
          <w:sz w:val="18"/>
        </w:rPr>
        <w:t>“a full description of the method of assessment should be provided;</w:t>
      </w:r>
    </w:p>
    <w:p w:rsidR="009956BC" w:rsidRPr="009956BC" w:rsidRDefault="009956BC" w:rsidP="009956BC">
      <w:pPr>
        <w:ind w:left="1134" w:right="567" w:hanging="567"/>
        <w:rPr>
          <w:sz w:val="18"/>
        </w:rPr>
      </w:pPr>
    </w:p>
    <w:p w:rsidR="009956BC" w:rsidRPr="009956BC" w:rsidRDefault="009956BC" w:rsidP="009956BC">
      <w:pPr>
        <w:numPr>
          <w:ilvl w:val="0"/>
          <w:numId w:val="15"/>
        </w:numPr>
        <w:ind w:left="1134" w:right="567" w:hanging="567"/>
        <w:rPr>
          <w:sz w:val="18"/>
        </w:rPr>
      </w:pPr>
      <w:r w:rsidRPr="009956BC">
        <w:rPr>
          <w:sz w:val="18"/>
        </w:rPr>
        <w:t>“</w:t>
      </w:r>
      <w:proofErr w:type="gramStart"/>
      <w:r w:rsidRPr="009956BC">
        <w:rPr>
          <w:sz w:val="18"/>
        </w:rPr>
        <w:t>states</w:t>
      </w:r>
      <w:proofErr w:type="gramEnd"/>
      <w:r w:rsidRPr="009956BC">
        <w:rPr>
          <w:sz w:val="18"/>
        </w:rPr>
        <w:t xml:space="preserve"> of expression should be based on existing variation between varieties considering environmental influence.”</w:t>
      </w:r>
    </w:p>
    <w:p w:rsidR="009956BC" w:rsidRPr="009956BC" w:rsidRDefault="009956BC" w:rsidP="009956BC"/>
    <w:p w:rsidR="009956BC" w:rsidRPr="009956BC" w:rsidRDefault="009956BC" w:rsidP="009956BC"/>
    <w:p w:rsidR="009956BC" w:rsidRPr="009956BC" w:rsidRDefault="009956BC" w:rsidP="009956BC"/>
    <w:p w:rsidR="009956BC" w:rsidRPr="009956BC" w:rsidRDefault="009956BC" w:rsidP="009956BC">
      <w:pPr>
        <w:jc w:val="right"/>
      </w:pPr>
      <w:r w:rsidRPr="009956BC">
        <w:t>[Annex III follows]</w:t>
      </w:r>
    </w:p>
    <w:p w:rsidR="009956BC" w:rsidRPr="009956BC" w:rsidRDefault="009956BC" w:rsidP="009956BC"/>
    <w:p w:rsidR="009956BC" w:rsidRPr="009956BC" w:rsidRDefault="009956BC" w:rsidP="009956BC">
      <w:pPr>
        <w:sectPr w:rsidR="009956BC" w:rsidRPr="009956BC" w:rsidSect="001270B2">
          <w:headerReference w:type="first" r:id="rId19"/>
          <w:pgSz w:w="11907" w:h="16840" w:code="9"/>
          <w:pgMar w:top="510" w:right="1134" w:bottom="709" w:left="1134" w:header="510" w:footer="680" w:gutter="0"/>
          <w:pgNumType w:start="1"/>
          <w:cols w:space="720"/>
          <w:titlePg/>
        </w:sectPr>
      </w:pPr>
    </w:p>
    <w:p w:rsidR="009956BC" w:rsidRPr="009956BC" w:rsidRDefault="009956BC" w:rsidP="009956BC">
      <w:pPr>
        <w:jc w:val="center"/>
      </w:pPr>
      <w:r w:rsidRPr="009956BC">
        <w:lastRenderedPageBreak/>
        <w:t>MATTERS FOR ADOPTION BY THE COUNCIL IN 2019: DOCUMENT TGP/10</w:t>
      </w:r>
    </w:p>
    <w:p w:rsidR="009956BC" w:rsidRPr="009956BC" w:rsidRDefault="009956BC" w:rsidP="009956BC"/>
    <w:p w:rsidR="009956BC" w:rsidRPr="009956BC" w:rsidRDefault="009956BC" w:rsidP="009956BC">
      <w:r w:rsidRPr="009956BC">
        <w:t xml:space="preserve">The following revision of document TGP/1 “Examining Uniformity” </w:t>
      </w:r>
      <w:proofErr w:type="gramStart"/>
      <w:r w:rsidRPr="009956BC">
        <w:t>was agreed</w:t>
      </w:r>
      <w:proofErr w:type="gramEnd"/>
      <w:r w:rsidRPr="009956BC">
        <w:t xml:space="preserve"> by the Technical Committee to be proposed for adoption by the Council at its fifty-third ordinary session, to be held in Geneva on November 1, 2019, subject to approval by the CAJ, at its seventy-sixth session, to be held in Geneva on October 30, 2019.</w:t>
      </w:r>
    </w:p>
    <w:p w:rsidR="009956BC" w:rsidRPr="009956BC" w:rsidRDefault="009956BC" w:rsidP="009956BC"/>
    <w:p w:rsidR="009956BC" w:rsidRPr="009956BC" w:rsidRDefault="009956BC" w:rsidP="009956BC">
      <w:pPr>
        <w:rPr>
          <w:rFonts w:eastAsia="MS Mincho"/>
          <w:u w:val="single"/>
        </w:rPr>
      </w:pPr>
      <w:r w:rsidRPr="009956BC">
        <w:rPr>
          <w:rFonts w:eastAsia="MS Mincho"/>
          <w:u w:val="single"/>
        </w:rPr>
        <w:t>Assessing Uniformity by Off-Types on the Basis of More than One Growing Cycle or on the Basis of Sub</w:t>
      </w:r>
      <w:r w:rsidRPr="009956BC">
        <w:rPr>
          <w:rFonts w:eastAsia="MS Mincho"/>
          <w:u w:val="single"/>
        </w:rPr>
        <w:noBreakHyphen/>
        <w:t xml:space="preserve">Samples </w:t>
      </w:r>
    </w:p>
    <w:p w:rsidR="009956BC" w:rsidRPr="009956BC" w:rsidRDefault="009956BC" w:rsidP="009956BC"/>
    <w:p w:rsidR="009956BC" w:rsidRPr="009956BC" w:rsidRDefault="009956BC" w:rsidP="009956BC">
      <w:r w:rsidRPr="009956BC">
        <w:t>The TC, at its fifty-fourth session, considered document TC/54/20 “</w:t>
      </w:r>
      <w:r w:rsidRPr="009956BC">
        <w:rPr>
          <w:rFonts w:eastAsia="MS Mincho"/>
        </w:rPr>
        <w:t>Assessing Uniformity by Off-Types on the Basis of More than One Growing Cycle or on the Basis of Sub</w:t>
      </w:r>
      <w:r w:rsidRPr="009956BC">
        <w:rPr>
          <w:rFonts w:eastAsia="MS Mincho"/>
        </w:rPr>
        <w:noBreakHyphen/>
        <w:t xml:space="preserve">Samples” </w:t>
      </w:r>
      <w:r w:rsidRPr="009956BC">
        <w:t>(see document TC/54/31 “Report”, paragraphs 233 and 234).</w:t>
      </w:r>
    </w:p>
    <w:p w:rsidR="009956BC" w:rsidRPr="009956BC" w:rsidRDefault="009956BC" w:rsidP="009956BC"/>
    <w:p w:rsidR="009956BC" w:rsidRPr="009956BC" w:rsidRDefault="009956BC" w:rsidP="009956BC">
      <w:r w:rsidRPr="009956BC">
        <w:t xml:space="preserve">The TC agreed that the following draft guidance should be put forward for adoption by the Council for inclusion in a future revision of document TGP/10 “Examining Uniformity” </w:t>
      </w:r>
      <w:r w:rsidRPr="009956BC">
        <w:rPr>
          <w:rFonts w:eastAsia="MS Mincho"/>
          <w:color w:val="000000"/>
          <w:szCs w:val="24"/>
          <w:lang w:eastAsia="ja-JP"/>
        </w:rPr>
        <w:t xml:space="preserve">to provide guidance on assessing uniformity by off-types </w:t>
      </w:r>
      <w:proofErr w:type="gramStart"/>
      <w:r w:rsidRPr="009956BC">
        <w:rPr>
          <w:rFonts w:eastAsia="MS Mincho"/>
          <w:color w:val="000000"/>
          <w:szCs w:val="24"/>
          <w:lang w:eastAsia="ja-JP"/>
        </w:rPr>
        <w:t>on the basis of</w:t>
      </w:r>
      <w:proofErr w:type="gramEnd"/>
      <w:r w:rsidRPr="009956BC">
        <w:rPr>
          <w:rFonts w:eastAsia="MS Mincho"/>
          <w:color w:val="000000"/>
          <w:szCs w:val="24"/>
          <w:lang w:eastAsia="ja-JP"/>
        </w:rPr>
        <w:t xml:space="preserve"> more than one growing cycle or on the basis of sub-samples.  </w:t>
      </w:r>
    </w:p>
    <w:p w:rsidR="009956BC" w:rsidRPr="009956BC" w:rsidRDefault="009956BC" w:rsidP="009956BC">
      <w:pPr>
        <w:rPr>
          <w:sz w:val="18"/>
        </w:rPr>
      </w:pPr>
    </w:p>
    <w:p w:rsidR="009956BC" w:rsidRPr="009956BC" w:rsidRDefault="009956BC" w:rsidP="009956BC">
      <w:pPr>
        <w:ind w:right="567" w:firstLine="567"/>
        <w:rPr>
          <w:sz w:val="18"/>
          <w:u w:val="single"/>
        </w:rPr>
      </w:pPr>
      <w:r w:rsidRPr="009956BC">
        <w:rPr>
          <w:rFonts w:eastAsia="MS Mincho"/>
          <w:sz w:val="18"/>
          <w:u w:val="single"/>
        </w:rPr>
        <w:t>New Section 4.7: Assessing Uniformity by Off-Types on the Basis of More than One Growing Cycle</w:t>
      </w:r>
    </w:p>
    <w:p w:rsidR="009956BC" w:rsidRPr="009956BC" w:rsidRDefault="009956BC" w:rsidP="009956BC">
      <w:pPr>
        <w:ind w:left="567" w:right="567"/>
        <w:rPr>
          <w:sz w:val="18"/>
        </w:rPr>
      </w:pPr>
    </w:p>
    <w:p w:rsidR="009956BC" w:rsidRPr="009956BC" w:rsidRDefault="009956BC" w:rsidP="009956BC">
      <w:pPr>
        <w:ind w:left="567" w:right="567"/>
        <w:rPr>
          <w:sz w:val="18"/>
          <w:szCs w:val="24"/>
        </w:rPr>
      </w:pPr>
      <w:r w:rsidRPr="009956BC">
        <w:rPr>
          <w:sz w:val="18"/>
        </w:rPr>
        <w:t xml:space="preserve">Two independent growing cycles could take place in a single location in different years, or in different locations in the same year, according to document TGP/8 Part </w:t>
      </w:r>
      <w:proofErr w:type="gramStart"/>
      <w:r w:rsidRPr="009956BC">
        <w:rPr>
          <w:sz w:val="18"/>
        </w:rPr>
        <w:t>I, Sections 1.2 and 1.3</w:t>
      </w:r>
      <w:proofErr w:type="gramEnd"/>
      <w:r w:rsidRPr="009956BC">
        <w:rPr>
          <w:sz w:val="18"/>
        </w:rPr>
        <w:t>.</w:t>
      </w:r>
    </w:p>
    <w:p w:rsidR="009956BC" w:rsidRPr="009956BC" w:rsidRDefault="009956BC" w:rsidP="009956BC">
      <w:pPr>
        <w:ind w:left="567" w:right="567"/>
        <w:rPr>
          <w:sz w:val="18"/>
          <w:szCs w:val="24"/>
        </w:rPr>
      </w:pPr>
    </w:p>
    <w:p w:rsidR="009956BC" w:rsidRPr="009956BC" w:rsidRDefault="009956BC" w:rsidP="009956BC">
      <w:pPr>
        <w:ind w:left="567" w:right="567"/>
        <w:rPr>
          <w:sz w:val="18"/>
          <w:szCs w:val="24"/>
        </w:rPr>
      </w:pPr>
      <w:r w:rsidRPr="009956BC">
        <w:rPr>
          <w:sz w:val="18"/>
        </w:rPr>
        <w:t xml:space="preserve">The following guidance </w:t>
      </w:r>
      <w:proofErr w:type="gramStart"/>
      <w:r w:rsidRPr="009956BC">
        <w:rPr>
          <w:sz w:val="18"/>
        </w:rPr>
        <w:t>is not intended to be used</w:t>
      </w:r>
      <w:proofErr w:type="gramEnd"/>
      <w:r w:rsidRPr="009956BC">
        <w:rPr>
          <w:sz w:val="18"/>
        </w:rPr>
        <w:t xml:space="preserve"> for the assessment of uniformity by off-types on the same plants in two growing cycles.  Results from growing cycles using different lots of plant material </w:t>
      </w:r>
      <w:proofErr w:type="gramStart"/>
      <w:r w:rsidRPr="009956BC">
        <w:rPr>
          <w:sz w:val="18"/>
        </w:rPr>
        <w:t>should not be combined</w:t>
      </w:r>
      <w:proofErr w:type="gramEnd"/>
      <w:r w:rsidRPr="009956BC">
        <w:rPr>
          <w:sz w:val="18"/>
        </w:rPr>
        <w:t>.</w:t>
      </w:r>
    </w:p>
    <w:p w:rsidR="009956BC" w:rsidRPr="009956BC" w:rsidRDefault="009956BC" w:rsidP="009956BC">
      <w:pPr>
        <w:ind w:left="567" w:right="567"/>
        <w:rPr>
          <w:szCs w:val="24"/>
        </w:rPr>
      </w:pPr>
    </w:p>
    <w:p w:rsidR="009956BC" w:rsidRPr="009956BC" w:rsidRDefault="009956BC" w:rsidP="009956BC">
      <w:pPr>
        <w:ind w:left="567" w:right="567" w:firstLine="567"/>
        <w:rPr>
          <w:i/>
          <w:sz w:val="18"/>
          <w:szCs w:val="24"/>
        </w:rPr>
      </w:pPr>
      <w:r w:rsidRPr="009956BC">
        <w:rPr>
          <w:i/>
          <w:sz w:val="18"/>
          <w:szCs w:val="24"/>
        </w:rPr>
        <w:t xml:space="preserve">Approach 1:  Third growing cycle in the case of inconsistent results </w:t>
      </w:r>
    </w:p>
    <w:p w:rsidR="009956BC" w:rsidRPr="009956BC" w:rsidRDefault="009956BC" w:rsidP="009956BC">
      <w:pPr>
        <w:ind w:left="567" w:right="567"/>
        <w:jc w:val="center"/>
        <w:rPr>
          <w:b/>
          <w:sz w:val="18"/>
          <w:szCs w:val="24"/>
        </w:rPr>
      </w:pPr>
    </w:p>
    <w:p w:rsidR="009956BC" w:rsidRPr="009956BC" w:rsidRDefault="009956BC" w:rsidP="009956BC">
      <w:pPr>
        <w:ind w:left="567" w:right="567"/>
        <w:rPr>
          <w:rFonts w:eastAsia="SimSun"/>
          <w:sz w:val="18"/>
          <w:szCs w:val="24"/>
          <w:lang w:eastAsia="zh-CN"/>
        </w:rPr>
      </w:pPr>
      <w:r w:rsidRPr="009956BC">
        <w:rPr>
          <w:rFonts w:eastAsia="SimSun"/>
          <w:sz w:val="18"/>
          <w:szCs w:val="24"/>
          <w:lang w:eastAsia="zh-CN"/>
        </w:rPr>
        <w:t xml:space="preserve">A variety </w:t>
      </w:r>
      <w:proofErr w:type="gramStart"/>
      <w:r w:rsidRPr="009956BC">
        <w:rPr>
          <w:rFonts w:eastAsia="SimSun"/>
          <w:sz w:val="18"/>
          <w:szCs w:val="24"/>
          <w:lang w:eastAsia="zh-CN"/>
        </w:rPr>
        <w:t>is considered</w:t>
      </w:r>
      <w:proofErr w:type="gramEnd"/>
      <w:r w:rsidRPr="009956BC">
        <w:rPr>
          <w:rFonts w:eastAsia="SimSun"/>
          <w:sz w:val="18"/>
          <w:szCs w:val="24"/>
          <w:lang w:eastAsia="zh-CN"/>
        </w:rPr>
        <w:t xml:space="preserve"> uniform if it is within the uniformity standard in both of the two growing cycles.</w:t>
      </w:r>
    </w:p>
    <w:p w:rsidR="009956BC" w:rsidRPr="009956BC" w:rsidRDefault="009956BC" w:rsidP="009956BC">
      <w:pPr>
        <w:ind w:left="567" w:right="567"/>
        <w:rPr>
          <w:rFonts w:eastAsia="SimSun"/>
          <w:sz w:val="18"/>
          <w:szCs w:val="24"/>
          <w:lang w:eastAsia="zh-CN"/>
        </w:rPr>
      </w:pPr>
    </w:p>
    <w:p w:rsidR="009956BC" w:rsidRPr="009956BC" w:rsidRDefault="009956BC" w:rsidP="009956BC">
      <w:pPr>
        <w:ind w:left="567" w:right="567"/>
        <w:rPr>
          <w:rFonts w:eastAsia="SimSun"/>
          <w:sz w:val="18"/>
          <w:szCs w:val="24"/>
          <w:lang w:eastAsia="zh-CN"/>
        </w:rPr>
      </w:pPr>
      <w:r w:rsidRPr="009956BC">
        <w:rPr>
          <w:rFonts w:eastAsia="SimSun"/>
          <w:sz w:val="18"/>
          <w:szCs w:val="24"/>
          <w:lang w:eastAsia="zh-CN"/>
        </w:rPr>
        <w:t xml:space="preserve">A variety </w:t>
      </w:r>
      <w:proofErr w:type="gramStart"/>
      <w:r w:rsidRPr="009956BC">
        <w:rPr>
          <w:rFonts w:eastAsia="SimSun"/>
          <w:sz w:val="18"/>
          <w:szCs w:val="24"/>
          <w:lang w:eastAsia="zh-CN"/>
        </w:rPr>
        <w:t>is considered</w:t>
      </w:r>
      <w:proofErr w:type="gramEnd"/>
      <w:r w:rsidRPr="009956BC">
        <w:rPr>
          <w:rFonts w:eastAsia="SimSun"/>
          <w:sz w:val="18"/>
          <w:szCs w:val="24"/>
          <w:lang w:eastAsia="zh-CN"/>
        </w:rPr>
        <w:t xml:space="preserve"> non-uniform if it fails to meet the uniformity standard in both of the two growing cycles.</w:t>
      </w:r>
    </w:p>
    <w:p w:rsidR="009956BC" w:rsidRPr="009956BC" w:rsidRDefault="009956BC" w:rsidP="009956BC">
      <w:pPr>
        <w:ind w:left="567" w:right="567"/>
        <w:rPr>
          <w:rFonts w:eastAsia="SimSun"/>
          <w:sz w:val="18"/>
          <w:szCs w:val="24"/>
          <w:lang w:eastAsia="zh-CN"/>
        </w:rPr>
      </w:pPr>
    </w:p>
    <w:p w:rsidR="009956BC" w:rsidRPr="009956BC" w:rsidRDefault="009956BC" w:rsidP="009956BC">
      <w:pPr>
        <w:ind w:left="567" w:right="567"/>
        <w:rPr>
          <w:rFonts w:eastAsia="SimSun"/>
          <w:sz w:val="18"/>
          <w:lang w:eastAsia="zh-CN"/>
        </w:rPr>
      </w:pPr>
      <w:r w:rsidRPr="009956BC">
        <w:rPr>
          <w:rFonts w:eastAsia="SimSun"/>
          <w:sz w:val="18"/>
          <w:lang w:eastAsia="zh-CN"/>
        </w:rPr>
        <w:t xml:space="preserve">If at the end of the two growing cycles the variety is within the uniformity standard in one growing cycle but is not within the uniformity standard in the other growing cycle, then uniformity </w:t>
      </w:r>
      <w:proofErr w:type="gramStart"/>
      <w:r w:rsidRPr="009956BC">
        <w:rPr>
          <w:rFonts w:eastAsia="SimSun"/>
          <w:sz w:val="18"/>
          <w:lang w:eastAsia="zh-CN"/>
        </w:rPr>
        <w:t>is assessed</w:t>
      </w:r>
      <w:proofErr w:type="gramEnd"/>
      <w:r w:rsidRPr="009956BC">
        <w:rPr>
          <w:rFonts w:eastAsia="SimSun"/>
          <w:sz w:val="18"/>
          <w:lang w:eastAsia="zh-CN"/>
        </w:rPr>
        <w:t xml:space="preserve"> in a third growing cycle.  If in the third growing cycle the variety is within the uniformity standard, the variety </w:t>
      </w:r>
      <w:proofErr w:type="gramStart"/>
      <w:r w:rsidRPr="009956BC">
        <w:rPr>
          <w:rFonts w:eastAsia="SimSun"/>
          <w:sz w:val="18"/>
          <w:lang w:eastAsia="zh-CN"/>
        </w:rPr>
        <w:t>is considered</w:t>
      </w:r>
      <w:proofErr w:type="gramEnd"/>
      <w:r w:rsidRPr="009956BC">
        <w:rPr>
          <w:rFonts w:eastAsia="SimSun"/>
          <w:sz w:val="18"/>
          <w:lang w:eastAsia="zh-CN"/>
        </w:rPr>
        <w:t xml:space="preserve"> uniform.  If in the third growing cycle the variety fails to meet the uniformity standard, the variety </w:t>
      </w:r>
      <w:proofErr w:type="gramStart"/>
      <w:r w:rsidRPr="009956BC">
        <w:rPr>
          <w:rFonts w:eastAsia="SimSun"/>
          <w:sz w:val="18"/>
          <w:lang w:eastAsia="zh-CN"/>
        </w:rPr>
        <w:t>is considered</w:t>
      </w:r>
      <w:proofErr w:type="gramEnd"/>
      <w:r w:rsidRPr="009956BC">
        <w:rPr>
          <w:rFonts w:eastAsia="SimSun"/>
          <w:sz w:val="18"/>
          <w:lang w:eastAsia="zh-CN"/>
        </w:rPr>
        <w:t xml:space="preserve"> non-uniform.</w:t>
      </w:r>
    </w:p>
    <w:p w:rsidR="009956BC" w:rsidRPr="009956BC" w:rsidRDefault="009956BC" w:rsidP="009956BC">
      <w:pPr>
        <w:ind w:left="567" w:right="567"/>
        <w:rPr>
          <w:color w:val="000000"/>
          <w:sz w:val="18"/>
        </w:rPr>
      </w:pPr>
    </w:p>
    <w:p w:rsidR="009956BC" w:rsidRPr="009956BC" w:rsidRDefault="009956BC" w:rsidP="009956BC">
      <w:pPr>
        <w:ind w:left="567" w:right="567"/>
        <w:rPr>
          <w:sz w:val="18"/>
        </w:rPr>
      </w:pPr>
      <w:r w:rsidRPr="009956BC">
        <w:rPr>
          <w:color w:val="000000"/>
          <w:sz w:val="18"/>
        </w:rPr>
        <w:t xml:space="preserve">Care is needed when considering results that were very different in each of the growing cycles, such as when a type of off-type was observed at a high level in one growing cycle and was absent in another growing cycle.  </w:t>
      </w:r>
      <w:r w:rsidRPr="009956BC">
        <w:rPr>
          <w:sz w:val="18"/>
        </w:rPr>
        <w:t>It is important to identify whether differences in number of off</w:t>
      </w:r>
      <w:r w:rsidRPr="009956BC">
        <w:rPr>
          <w:sz w:val="18"/>
        </w:rPr>
        <w:noBreakHyphen/>
        <w:t xml:space="preserve">types between growing cycles were due to environmental reasons or sampling variation.  </w:t>
      </w:r>
    </w:p>
    <w:p w:rsidR="009956BC" w:rsidRPr="009956BC" w:rsidRDefault="009956BC" w:rsidP="009956BC">
      <w:pPr>
        <w:ind w:left="567" w:right="567"/>
        <w:rPr>
          <w:sz w:val="18"/>
        </w:rPr>
      </w:pPr>
    </w:p>
    <w:p w:rsidR="009956BC" w:rsidRPr="009956BC" w:rsidRDefault="009956BC" w:rsidP="009956BC">
      <w:pPr>
        <w:ind w:left="567" w:right="567"/>
        <w:rPr>
          <w:rFonts w:eastAsia="SimSun"/>
          <w:sz w:val="18"/>
          <w:lang w:eastAsia="zh-CN"/>
        </w:rPr>
      </w:pPr>
      <w:r w:rsidRPr="009956BC">
        <w:rPr>
          <w:rFonts w:eastAsia="SimSun"/>
          <w:sz w:val="18"/>
          <w:lang w:eastAsia="zh-CN"/>
        </w:rPr>
        <w:t xml:space="preserve">Furthermore, if in the first growing cycle a variety exceeds a predefined upper limit of off-types the variety </w:t>
      </w:r>
      <w:proofErr w:type="gramStart"/>
      <w:r w:rsidRPr="009956BC">
        <w:rPr>
          <w:rFonts w:eastAsia="SimSun"/>
          <w:sz w:val="18"/>
          <w:lang w:eastAsia="zh-CN"/>
        </w:rPr>
        <w:t>may be rejected</w:t>
      </w:r>
      <w:proofErr w:type="gramEnd"/>
      <w:r w:rsidRPr="009956BC">
        <w:rPr>
          <w:rFonts w:eastAsia="SimSun"/>
          <w:sz w:val="18"/>
          <w:lang w:eastAsia="zh-CN"/>
        </w:rPr>
        <w:t xml:space="preserve"> after a single growing cycle.</w:t>
      </w:r>
      <w:r w:rsidRPr="009956BC">
        <w:rPr>
          <w:sz w:val="18"/>
        </w:rPr>
        <w:t xml:space="preserve"> </w:t>
      </w:r>
    </w:p>
    <w:p w:rsidR="009956BC" w:rsidRPr="009956BC" w:rsidRDefault="009956BC" w:rsidP="009956BC">
      <w:pPr>
        <w:keepNext/>
        <w:keepLines/>
        <w:ind w:left="567" w:right="567"/>
        <w:rPr>
          <w:rFonts w:eastAsia="SimSun"/>
          <w:sz w:val="18"/>
          <w:szCs w:val="24"/>
          <w:lang w:eastAsia="zh-CN"/>
        </w:rPr>
      </w:pPr>
    </w:p>
    <w:p w:rsidR="009956BC" w:rsidRPr="009956BC" w:rsidRDefault="009956BC" w:rsidP="009956BC">
      <w:pPr>
        <w:ind w:left="567" w:right="567" w:firstLine="567"/>
        <w:rPr>
          <w:i/>
          <w:sz w:val="18"/>
          <w:szCs w:val="24"/>
        </w:rPr>
      </w:pPr>
      <w:r w:rsidRPr="009956BC">
        <w:rPr>
          <w:i/>
          <w:sz w:val="18"/>
          <w:szCs w:val="24"/>
        </w:rPr>
        <w:t>Approach 2:  Combining the results of two growing cycles in the case of inconsistent results</w:t>
      </w:r>
    </w:p>
    <w:p w:rsidR="009956BC" w:rsidRPr="009956BC" w:rsidRDefault="009956BC" w:rsidP="009956BC">
      <w:pPr>
        <w:keepNext/>
        <w:keepLines/>
        <w:ind w:left="567" w:right="567"/>
        <w:rPr>
          <w:rFonts w:eastAsia="MS Mincho"/>
          <w:color w:val="000000"/>
          <w:sz w:val="18"/>
          <w:lang w:eastAsia="ja-JP"/>
        </w:rPr>
      </w:pPr>
    </w:p>
    <w:p w:rsidR="009956BC" w:rsidRPr="009956BC" w:rsidRDefault="009956BC" w:rsidP="009956BC">
      <w:pPr>
        <w:ind w:left="567" w:right="567"/>
        <w:rPr>
          <w:rFonts w:eastAsia="SimSun"/>
          <w:sz w:val="18"/>
          <w:lang w:eastAsia="zh-CN"/>
        </w:rPr>
      </w:pPr>
      <w:r w:rsidRPr="009956BC">
        <w:rPr>
          <w:rFonts w:eastAsia="SimSun"/>
          <w:sz w:val="18"/>
          <w:lang w:eastAsia="zh-CN"/>
        </w:rPr>
        <w:t xml:space="preserve">A variety </w:t>
      </w:r>
      <w:proofErr w:type="gramStart"/>
      <w:r w:rsidRPr="009956BC">
        <w:rPr>
          <w:rFonts w:eastAsia="SimSun"/>
          <w:sz w:val="18"/>
          <w:lang w:eastAsia="zh-CN"/>
        </w:rPr>
        <w:t>is considered</w:t>
      </w:r>
      <w:proofErr w:type="gramEnd"/>
      <w:r w:rsidRPr="009956BC">
        <w:rPr>
          <w:rFonts w:eastAsia="SimSun"/>
          <w:sz w:val="18"/>
          <w:lang w:eastAsia="zh-CN"/>
        </w:rPr>
        <w:t xml:space="preserve"> uniform if it is within the uniformity standard in both of the two growing cycles.</w:t>
      </w:r>
    </w:p>
    <w:p w:rsidR="009956BC" w:rsidRPr="009956BC" w:rsidRDefault="009956BC" w:rsidP="009956BC">
      <w:pPr>
        <w:ind w:left="567" w:right="567"/>
        <w:rPr>
          <w:rFonts w:eastAsia="SimSun"/>
          <w:sz w:val="18"/>
          <w:lang w:eastAsia="zh-CN"/>
        </w:rPr>
      </w:pPr>
    </w:p>
    <w:p w:rsidR="009956BC" w:rsidRPr="009956BC" w:rsidRDefault="009956BC" w:rsidP="009956BC">
      <w:pPr>
        <w:ind w:left="567" w:right="567"/>
        <w:rPr>
          <w:rFonts w:eastAsia="SimSun"/>
          <w:sz w:val="18"/>
          <w:lang w:eastAsia="zh-CN"/>
        </w:rPr>
      </w:pPr>
      <w:r w:rsidRPr="009956BC">
        <w:rPr>
          <w:rFonts w:eastAsia="SimSun"/>
          <w:sz w:val="18"/>
          <w:lang w:eastAsia="zh-CN"/>
        </w:rPr>
        <w:t xml:space="preserve">A variety </w:t>
      </w:r>
      <w:proofErr w:type="gramStart"/>
      <w:r w:rsidRPr="009956BC">
        <w:rPr>
          <w:rFonts w:eastAsia="SimSun"/>
          <w:sz w:val="18"/>
          <w:lang w:eastAsia="zh-CN"/>
        </w:rPr>
        <w:t>is considered</w:t>
      </w:r>
      <w:proofErr w:type="gramEnd"/>
      <w:r w:rsidRPr="009956BC">
        <w:rPr>
          <w:rFonts w:eastAsia="SimSun"/>
          <w:sz w:val="18"/>
          <w:lang w:eastAsia="zh-CN"/>
        </w:rPr>
        <w:t xml:space="preserve"> non-uniform if it fails to meet the uniformity standard in both of the two growing cycles.</w:t>
      </w:r>
    </w:p>
    <w:p w:rsidR="009956BC" w:rsidRPr="009956BC" w:rsidRDefault="009956BC" w:rsidP="009956BC">
      <w:pPr>
        <w:ind w:left="567" w:right="567"/>
        <w:rPr>
          <w:rFonts w:eastAsia="SimSun"/>
          <w:sz w:val="18"/>
          <w:lang w:eastAsia="zh-CN"/>
        </w:rPr>
      </w:pPr>
    </w:p>
    <w:p w:rsidR="009956BC" w:rsidRPr="009956BC" w:rsidRDefault="009956BC" w:rsidP="009956BC">
      <w:pPr>
        <w:ind w:left="567" w:right="567"/>
        <w:rPr>
          <w:rFonts w:eastAsia="SimSun"/>
          <w:sz w:val="18"/>
          <w:lang w:eastAsia="zh-CN"/>
        </w:rPr>
      </w:pPr>
      <w:proofErr w:type="gramStart"/>
      <w:r w:rsidRPr="009956BC">
        <w:rPr>
          <w:rFonts w:eastAsia="SimSun"/>
          <w:sz w:val="18"/>
          <w:lang w:eastAsia="zh-CN"/>
        </w:rPr>
        <w:t>If at the end of the two growing cycles the variety is within the uniformity standard in one growing cycle but is not within the uniformity standard in the other growing cycle, a</w:t>
      </w:r>
      <w:r w:rsidRPr="009956BC" w:rsidDel="00882017">
        <w:rPr>
          <w:rFonts w:eastAsia="SimSun"/>
          <w:sz w:val="18"/>
          <w:lang w:eastAsia="zh-CN"/>
        </w:rPr>
        <w:t xml:space="preserve"> </w:t>
      </w:r>
      <w:r w:rsidRPr="009956BC">
        <w:rPr>
          <w:rFonts w:eastAsia="SimSun"/>
          <w:sz w:val="18"/>
          <w:lang w:eastAsia="zh-CN"/>
        </w:rPr>
        <w:t>variety is considered uniform if the total number of off</w:t>
      </w:r>
      <w:r w:rsidRPr="009956BC">
        <w:rPr>
          <w:rFonts w:eastAsia="SimSun"/>
          <w:sz w:val="18"/>
          <w:lang w:eastAsia="zh-CN"/>
        </w:rPr>
        <w:noBreakHyphen/>
        <w:t>types at the end of the two growing cycles does not exceed the number of allowed off-types for the sample size of growing cycles 1 and 2 combined.</w:t>
      </w:r>
      <w:proofErr w:type="gramEnd"/>
    </w:p>
    <w:p w:rsidR="009956BC" w:rsidRPr="009956BC" w:rsidRDefault="009956BC" w:rsidP="009956BC">
      <w:pPr>
        <w:ind w:left="567" w:right="567"/>
        <w:rPr>
          <w:rFonts w:eastAsia="SimSun"/>
          <w:sz w:val="18"/>
          <w:lang w:eastAsia="zh-CN"/>
        </w:rPr>
      </w:pPr>
    </w:p>
    <w:p w:rsidR="009956BC" w:rsidRPr="009956BC" w:rsidRDefault="009956BC" w:rsidP="009956BC">
      <w:pPr>
        <w:ind w:left="567" w:right="567"/>
        <w:rPr>
          <w:rFonts w:eastAsia="SimSun"/>
          <w:sz w:val="18"/>
          <w:szCs w:val="24"/>
          <w:lang w:eastAsia="zh-CN"/>
        </w:rPr>
      </w:pPr>
      <w:r w:rsidRPr="009956BC">
        <w:rPr>
          <w:rFonts w:eastAsia="SimSun"/>
          <w:sz w:val="18"/>
          <w:lang w:eastAsia="zh-CN"/>
        </w:rPr>
        <w:t xml:space="preserve">Care is needed when considering results that were very different in each of the growing cycles, such as when a type of off-type was observed at a high level in one growing cycle and was absent in another growing cycle.  </w:t>
      </w:r>
      <w:r w:rsidRPr="009956BC">
        <w:rPr>
          <w:sz w:val="18"/>
        </w:rPr>
        <w:t xml:space="preserve">A statistical test for consistency </w:t>
      </w:r>
      <w:proofErr w:type="gramStart"/>
      <w:r w:rsidRPr="009956BC">
        <w:rPr>
          <w:sz w:val="18"/>
        </w:rPr>
        <w:t>should be applied</w:t>
      </w:r>
      <w:proofErr w:type="gramEnd"/>
      <w:r w:rsidRPr="009956BC">
        <w:rPr>
          <w:sz w:val="18"/>
        </w:rPr>
        <w:t xml:space="preserve"> when appropriate.  It is important to identify whether differences in number of off</w:t>
      </w:r>
      <w:r w:rsidRPr="009956BC">
        <w:rPr>
          <w:sz w:val="18"/>
        </w:rPr>
        <w:noBreakHyphen/>
        <w:t xml:space="preserve">types between growing cycles were due to environmental reasons or sampling variation.  </w:t>
      </w:r>
    </w:p>
    <w:p w:rsidR="009956BC" w:rsidRPr="009956BC" w:rsidRDefault="009956BC" w:rsidP="009956BC">
      <w:pPr>
        <w:ind w:left="567" w:right="567"/>
        <w:rPr>
          <w:sz w:val="18"/>
        </w:rPr>
      </w:pPr>
    </w:p>
    <w:p w:rsidR="009956BC" w:rsidRPr="009956BC" w:rsidRDefault="009956BC" w:rsidP="009956BC">
      <w:pPr>
        <w:ind w:left="567" w:right="567"/>
        <w:rPr>
          <w:rFonts w:eastAsia="SimSun"/>
          <w:sz w:val="18"/>
          <w:szCs w:val="24"/>
          <w:u w:val="single"/>
          <w:lang w:eastAsia="zh-CN"/>
        </w:rPr>
      </w:pPr>
      <w:r w:rsidRPr="009956BC">
        <w:rPr>
          <w:rFonts w:eastAsia="SimSun"/>
          <w:sz w:val="18"/>
          <w:szCs w:val="24"/>
          <w:lang w:eastAsia="zh-CN"/>
        </w:rPr>
        <w:t xml:space="preserve">Furthermore, if in the first growing cycle a variety exceeds a predefined upper limit of off-types the variety </w:t>
      </w:r>
      <w:proofErr w:type="gramStart"/>
      <w:r w:rsidRPr="009956BC">
        <w:rPr>
          <w:rFonts w:eastAsia="SimSun"/>
          <w:sz w:val="18"/>
          <w:szCs w:val="24"/>
          <w:lang w:eastAsia="zh-CN"/>
        </w:rPr>
        <w:t>may be rejected</w:t>
      </w:r>
      <w:proofErr w:type="gramEnd"/>
      <w:r w:rsidRPr="009956BC">
        <w:rPr>
          <w:rFonts w:eastAsia="SimSun"/>
          <w:sz w:val="18"/>
          <w:szCs w:val="24"/>
          <w:lang w:eastAsia="zh-CN"/>
        </w:rPr>
        <w:t xml:space="preserve"> after a single growing cycle.</w:t>
      </w:r>
    </w:p>
    <w:p w:rsidR="009956BC" w:rsidRPr="009956BC" w:rsidRDefault="009956BC" w:rsidP="009956BC">
      <w:pPr>
        <w:ind w:left="567" w:right="567"/>
        <w:rPr>
          <w:rFonts w:eastAsia="SimSun"/>
          <w:sz w:val="18"/>
          <w:szCs w:val="24"/>
          <w:lang w:eastAsia="zh-CN"/>
        </w:rPr>
      </w:pPr>
    </w:p>
    <w:p w:rsidR="009956BC" w:rsidRPr="009956BC" w:rsidRDefault="009956BC" w:rsidP="009956BC">
      <w:pPr>
        <w:keepNext/>
        <w:ind w:left="567" w:right="567" w:firstLine="567"/>
        <w:rPr>
          <w:bCs/>
          <w:i/>
          <w:sz w:val="18"/>
        </w:rPr>
      </w:pPr>
      <w:r w:rsidRPr="009956BC">
        <w:rPr>
          <w:bCs/>
          <w:i/>
          <w:sz w:val="18"/>
        </w:rPr>
        <w:lastRenderedPageBreak/>
        <w:t>Approach 3:  Combining the results of two growing cycles</w:t>
      </w:r>
    </w:p>
    <w:p w:rsidR="009956BC" w:rsidRPr="009956BC" w:rsidRDefault="009956BC" w:rsidP="009956BC">
      <w:pPr>
        <w:keepNext/>
        <w:ind w:left="567" w:right="567"/>
        <w:rPr>
          <w:sz w:val="18"/>
        </w:rPr>
      </w:pPr>
    </w:p>
    <w:p w:rsidR="009956BC" w:rsidRPr="009956BC" w:rsidRDefault="009956BC" w:rsidP="009956BC">
      <w:pPr>
        <w:ind w:left="567" w:right="567"/>
        <w:rPr>
          <w:sz w:val="18"/>
        </w:rPr>
      </w:pPr>
      <w:r w:rsidRPr="009956BC">
        <w:rPr>
          <w:sz w:val="18"/>
        </w:rPr>
        <w:t xml:space="preserve">A variety </w:t>
      </w:r>
      <w:proofErr w:type="gramStart"/>
      <w:r w:rsidRPr="009956BC">
        <w:rPr>
          <w:sz w:val="18"/>
        </w:rPr>
        <w:t>is considered</w:t>
      </w:r>
      <w:proofErr w:type="gramEnd"/>
      <w:r w:rsidRPr="009956BC">
        <w:rPr>
          <w:sz w:val="18"/>
        </w:rPr>
        <w:t xml:space="preserve"> uniform if the total number of off-types at the end of the two growing cycles does not exceed the number of allowed off-types for the combined sample.</w:t>
      </w:r>
    </w:p>
    <w:p w:rsidR="009956BC" w:rsidRPr="009956BC" w:rsidRDefault="009956BC" w:rsidP="009956BC">
      <w:pPr>
        <w:ind w:left="567" w:right="567"/>
        <w:rPr>
          <w:sz w:val="18"/>
        </w:rPr>
      </w:pPr>
    </w:p>
    <w:p w:rsidR="009956BC" w:rsidRPr="009956BC" w:rsidRDefault="009956BC" w:rsidP="009956BC">
      <w:pPr>
        <w:ind w:left="567" w:right="567"/>
        <w:rPr>
          <w:sz w:val="18"/>
        </w:rPr>
      </w:pPr>
      <w:r w:rsidRPr="009956BC">
        <w:rPr>
          <w:sz w:val="18"/>
        </w:rPr>
        <w:t xml:space="preserve">A variety </w:t>
      </w:r>
      <w:proofErr w:type="gramStart"/>
      <w:r w:rsidRPr="009956BC">
        <w:rPr>
          <w:sz w:val="18"/>
        </w:rPr>
        <w:t>is considered</w:t>
      </w:r>
      <w:proofErr w:type="gramEnd"/>
      <w:r w:rsidRPr="009956BC">
        <w:rPr>
          <w:sz w:val="18"/>
        </w:rPr>
        <w:t xml:space="preserve"> non-uniform if the total number of off-types at the end of the two growing cycles exceeds the number of allowed off-types for the combined sample.</w:t>
      </w:r>
    </w:p>
    <w:p w:rsidR="009956BC" w:rsidRPr="009956BC" w:rsidRDefault="009956BC" w:rsidP="009956BC">
      <w:pPr>
        <w:ind w:left="567" w:right="567"/>
        <w:rPr>
          <w:sz w:val="18"/>
        </w:rPr>
      </w:pPr>
    </w:p>
    <w:p w:rsidR="009956BC" w:rsidRPr="009956BC" w:rsidRDefault="009956BC" w:rsidP="009956BC">
      <w:pPr>
        <w:spacing w:after="120"/>
        <w:ind w:left="567" w:right="567"/>
        <w:rPr>
          <w:sz w:val="18"/>
        </w:rPr>
      </w:pPr>
      <w:r w:rsidRPr="009956BC">
        <w:rPr>
          <w:sz w:val="18"/>
        </w:rPr>
        <w:t xml:space="preserve">A variety </w:t>
      </w:r>
      <w:proofErr w:type="gramStart"/>
      <w:r w:rsidRPr="009956BC">
        <w:rPr>
          <w:sz w:val="18"/>
        </w:rPr>
        <w:t>may be rejected</w:t>
      </w:r>
      <w:proofErr w:type="gramEnd"/>
      <w:r w:rsidRPr="009956BC">
        <w:rPr>
          <w:sz w:val="18"/>
        </w:rPr>
        <w:t xml:space="preserve"> after a single growing cycle, if the number of off-types exceeds the number of allowed off-types for the combined sample (over two cycles).</w:t>
      </w:r>
    </w:p>
    <w:p w:rsidR="009956BC" w:rsidRPr="009956BC" w:rsidRDefault="009956BC" w:rsidP="009956BC">
      <w:pPr>
        <w:keepNext/>
        <w:ind w:left="567" w:right="567"/>
        <w:rPr>
          <w:sz w:val="18"/>
        </w:rPr>
      </w:pPr>
    </w:p>
    <w:p w:rsidR="009956BC" w:rsidRPr="009956BC" w:rsidRDefault="009956BC" w:rsidP="009956BC">
      <w:pPr>
        <w:keepNext/>
        <w:ind w:left="567" w:right="567"/>
        <w:rPr>
          <w:rFonts w:eastAsia="SimSun"/>
          <w:sz w:val="18"/>
          <w:szCs w:val="24"/>
          <w:lang w:eastAsia="zh-CN"/>
        </w:rPr>
      </w:pPr>
      <w:r w:rsidRPr="009956BC">
        <w:rPr>
          <w:sz w:val="18"/>
        </w:rPr>
        <w:t xml:space="preserve">Care is needed when considering results that are very different in each of the growing cycles, such as when a type of off-type is observed at a high level in one growing cycle and is absent in another growing cycle. </w:t>
      </w:r>
      <w:r w:rsidRPr="009956BC">
        <w:rPr>
          <w:rFonts w:eastAsia="SimSun"/>
          <w:sz w:val="18"/>
          <w:lang w:eastAsia="zh-CN"/>
        </w:rPr>
        <w:t xml:space="preserve">A statistical test for consistency </w:t>
      </w:r>
      <w:proofErr w:type="gramStart"/>
      <w:r w:rsidRPr="009956BC">
        <w:rPr>
          <w:rFonts w:eastAsia="SimSun"/>
          <w:sz w:val="18"/>
          <w:lang w:eastAsia="zh-CN"/>
        </w:rPr>
        <w:t>should be applied</w:t>
      </w:r>
      <w:proofErr w:type="gramEnd"/>
      <w:r w:rsidRPr="009956BC">
        <w:rPr>
          <w:rFonts w:eastAsia="SimSun"/>
          <w:sz w:val="18"/>
          <w:lang w:eastAsia="zh-CN"/>
        </w:rPr>
        <w:t xml:space="preserve"> when appropriate.  </w:t>
      </w:r>
      <w:r w:rsidRPr="009956BC">
        <w:rPr>
          <w:sz w:val="18"/>
        </w:rPr>
        <w:t>It is important to identify whether differences in number of off</w:t>
      </w:r>
      <w:r w:rsidRPr="009956BC">
        <w:rPr>
          <w:sz w:val="18"/>
        </w:rPr>
        <w:noBreakHyphen/>
        <w:t>types between growing cycles were due to environmental reasons or sampling variation.</w:t>
      </w:r>
      <w:r w:rsidRPr="009956BC">
        <w:rPr>
          <w:sz w:val="18"/>
          <w:highlight w:val="lightGray"/>
          <w:u w:val="single"/>
        </w:rPr>
        <w:t xml:space="preserve"> </w:t>
      </w:r>
    </w:p>
    <w:p w:rsidR="009956BC" w:rsidRPr="009956BC" w:rsidRDefault="009956BC" w:rsidP="009956BC">
      <w:pPr>
        <w:keepNext/>
        <w:keepLines/>
        <w:ind w:left="567" w:right="567"/>
        <w:jc w:val="left"/>
        <w:rPr>
          <w:szCs w:val="24"/>
        </w:rPr>
      </w:pPr>
    </w:p>
    <w:p w:rsidR="009956BC" w:rsidRPr="009956BC" w:rsidRDefault="009956BC" w:rsidP="009956BC">
      <w:pPr>
        <w:keepNext/>
        <w:keepLines/>
        <w:ind w:left="567" w:right="567" w:firstLine="567"/>
        <w:jc w:val="left"/>
        <w:rPr>
          <w:i/>
          <w:sz w:val="18"/>
          <w:szCs w:val="24"/>
        </w:rPr>
      </w:pPr>
      <w:r w:rsidRPr="009956BC">
        <w:rPr>
          <w:i/>
          <w:sz w:val="18"/>
          <w:szCs w:val="24"/>
        </w:rPr>
        <w:t>Example:</w:t>
      </w:r>
    </w:p>
    <w:p w:rsidR="009956BC" w:rsidRPr="009956BC" w:rsidRDefault="009956BC" w:rsidP="009956BC">
      <w:pPr>
        <w:keepNext/>
        <w:keepLines/>
        <w:jc w:val="left"/>
        <w:rPr>
          <w:szCs w:val="24"/>
        </w:rPr>
      </w:pPr>
    </w:p>
    <w:tbl>
      <w:tblPr>
        <w:tblW w:w="7513" w:type="dxa"/>
        <w:tblInd w:w="1276" w:type="dxa"/>
        <w:tblLayout w:type="fixed"/>
        <w:tblLook w:val="04A0" w:firstRow="1" w:lastRow="0" w:firstColumn="1" w:lastColumn="0" w:noHBand="0" w:noVBand="1"/>
      </w:tblPr>
      <w:tblGrid>
        <w:gridCol w:w="567"/>
        <w:gridCol w:w="236"/>
        <w:gridCol w:w="756"/>
        <w:gridCol w:w="993"/>
        <w:gridCol w:w="35"/>
        <w:gridCol w:w="977"/>
        <w:gridCol w:w="830"/>
        <w:gridCol w:w="1560"/>
        <w:gridCol w:w="35"/>
        <w:gridCol w:w="1524"/>
      </w:tblGrid>
      <w:tr w:rsidR="009956BC" w:rsidRPr="009956BC" w:rsidTr="001270B2">
        <w:trPr>
          <w:gridAfter w:val="2"/>
          <w:wAfter w:w="1559" w:type="dxa"/>
          <w:trHeight w:val="255"/>
        </w:trPr>
        <w:tc>
          <w:tcPr>
            <w:tcW w:w="567" w:type="dxa"/>
            <w:tcBorders>
              <w:top w:val="nil"/>
              <w:left w:val="nil"/>
              <w:bottom w:val="nil"/>
            </w:tcBorders>
            <w:shd w:val="clear" w:color="auto" w:fill="auto"/>
            <w:noWrap/>
            <w:vAlign w:val="bottom"/>
          </w:tcPr>
          <w:p w:rsidR="009956BC" w:rsidRPr="009956BC" w:rsidRDefault="009956BC" w:rsidP="009956BC">
            <w:pPr>
              <w:jc w:val="left"/>
              <w:rPr>
                <w:rFonts w:cs="Arial"/>
                <w:color w:val="000000"/>
                <w:sz w:val="18"/>
                <w:szCs w:val="18"/>
              </w:rPr>
            </w:pPr>
          </w:p>
        </w:tc>
        <w:tc>
          <w:tcPr>
            <w:tcW w:w="5387" w:type="dxa"/>
            <w:gridSpan w:val="7"/>
            <w:tcBorders>
              <w:top w:val="nil"/>
            </w:tcBorders>
            <w:shd w:val="clear" w:color="auto" w:fill="auto"/>
            <w:vAlign w:val="bottom"/>
          </w:tcPr>
          <w:p w:rsidR="009956BC" w:rsidRPr="009956BC" w:rsidRDefault="009956BC" w:rsidP="009956BC">
            <w:pPr>
              <w:jc w:val="left"/>
              <w:rPr>
                <w:rFonts w:cs="Arial"/>
                <w:color w:val="000000"/>
                <w:sz w:val="18"/>
                <w:szCs w:val="18"/>
              </w:rPr>
            </w:pPr>
            <w:r w:rsidRPr="009956BC">
              <w:rPr>
                <w:rFonts w:cs="Arial"/>
                <w:color w:val="000000"/>
                <w:sz w:val="18"/>
                <w:szCs w:val="18"/>
              </w:rPr>
              <w:t xml:space="preserve">Population Standard  = 1%  </w:t>
            </w:r>
          </w:p>
        </w:tc>
      </w:tr>
      <w:tr w:rsidR="009956BC" w:rsidRPr="009956BC" w:rsidTr="001270B2">
        <w:trPr>
          <w:gridAfter w:val="2"/>
          <w:wAfter w:w="1559" w:type="dxa"/>
          <w:trHeight w:val="270"/>
        </w:trPr>
        <w:tc>
          <w:tcPr>
            <w:tcW w:w="567" w:type="dxa"/>
            <w:tcBorders>
              <w:top w:val="nil"/>
              <w:left w:val="nil"/>
              <w:bottom w:val="nil"/>
            </w:tcBorders>
            <w:shd w:val="clear" w:color="auto" w:fill="auto"/>
            <w:noWrap/>
            <w:vAlign w:val="bottom"/>
            <w:hideMark/>
          </w:tcPr>
          <w:p w:rsidR="009956BC" w:rsidRPr="009956BC" w:rsidRDefault="009956BC" w:rsidP="009956BC">
            <w:pPr>
              <w:jc w:val="left"/>
              <w:rPr>
                <w:rFonts w:cs="Arial"/>
                <w:color w:val="000000"/>
                <w:sz w:val="18"/>
                <w:szCs w:val="18"/>
              </w:rPr>
            </w:pPr>
          </w:p>
        </w:tc>
        <w:tc>
          <w:tcPr>
            <w:tcW w:w="5387" w:type="dxa"/>
            <w:gridSpan w:val="7"/>
            <w:tcBorders>
              <w:top w:val="nil"/>
              <w:bottom w:val="single" w:sz="4" w:space="0" w:color="auto"/>
            </w:tcBorders>
            <w:shd w:val="clear" w:color="auto" w:fill="auto"/>
            <w:vAlign w:val="bottom"/>
          </w:tcPr>
          <w:p w:rsidR="009956BC" w:rsidRPr="009956BC" w:rsidRDefault="009956BC" w:rsidP="009956BC">
            <w:pPr>
              <w:jc w:val="left"/>
              <w:rPr>
                <w:rFonts w:cs="Arial"/>
                <w:color w:val="000000"/>
                <w:sz w:val="18"/>
                <w:szCs w:val="18"/>
              </w:rPr>
            </w:pPr>
            <w:r w:rsidRPr="009956BC">
              <w:rPr>
                <w:rFonts w:cs="Arial"/>
                <w:color w:val="000000"/>
                <w:sz w:val="18"/>
                <w:szCs w:val="18"/>
              </w:rPr>
              <w:t>Acceptance Probability ≥ 95%</w:t>
            </w:r>
          </w:p>
        </w:tc>
      </w:tr>
      <w:tr w:rsidR="009956BC" w:rsidRPr="009956BC" w:rsidTr="001270B2">
        <w:trPr>
          <w:gridBefore w:val="1"/>
          <w:gridAfter w:val="2"/>
          <w:wBefore w:w="568" w:type="dxa"/>
          <w:wAfter w:w="1558" w:type="dxa"/>
          <w:trHeight w:val="255"/>
        </w:trPr>
        <w:tc>
          <w:tcPr>
            <w:tcW w:w="5387" w:type="dxa"/>
            <w:gridSpan w:val="7"/>
            <w:tcBorders>
              <w:top w:val="single" w:sz="4" w:space="0" w:color="auto"/>
              <w:left w:val="single" w:sz="4" w:space="0" w:color="auto"/>
              <w:bottom w:val="single" w:sz="6" w:space="0" w:color="auto"/>
              <w:right w:val="single" w:sz="4" w:space="0" w:color="auto"/>
            </w:tcBorders>
            <w:shd w:val="clear" w:color="auto" w:fill="auto"/>
            <w:vAlign w:val="bottom"/>
          </w:tcPr>
          <w:p w:rsidR="009956BC" w:rsidRPr="009956BC" w:rsidRDefault="009956BC" w:rsidP="009956BC">
            <w:pPr>
              <w:jc w:val="left"/>
              <w:rPr>
                <w:rFonts w:cs="Arial"/>
                <w:color w:val="000000"/>
                <w:sz w:val="18"/>
                <w:szCs w:val="18"/>
              </w:rPr>
            </w:pPr>
            <w:r w:rsidRPr="009956BC">
              <w:rPr>
                <w:rFonts w:cs="Arial"/>
                <w:color w:val="000000"/>
                <w:sz w:val="18"/>
                <w:szCs w:val="18"/>
              </w:rPr>
              <w:t>Sample Size in each of growing cycles 1 and 2 = 50</w:t>
            </w:r>
          </w:p>
        </w:tc>
      </w:tr>
      <w:tr w:rsidR="009956BC" w:rsidRPr="009956BC" w:rsidTr="001270B2">
        <w:trPr>
          <w:gridBefore w:val="1"/>
          <w:gridAfter w:val="2"/>
          <w:wBefore w:w="568" w:type="dxa"/>
          <w:wAfter w:w="1558" w:type="dxa"/>
          <w:trHeight w:val="270"/>
        </w:trPr>
        <w:tc>
          <w:tcPr>
            <w:tcW w:w="5387" w:type="dxa"/>
            <w:gridSpan w:val="7"/>
            <w:tcBorders>
              <w:top w:val="single" w:sz="6" w:space="0" w:color="auto"/>
              <w:left w:val="single" w:sz="4" w:space="0" w:color="auto"/>
              <w:bottom w:val="single" w:sz="4" w:space="0" w:color="auto"/>
              <w:right w:val="single" w:sz="4" w:space="0" w:color="auto"/>
            </w:tcBorders>
            <w:shd w:val="clear" w:color="auto" w:fill="auto"/>
            <w:vAlign w:val="bottom"/>
          </w:tcPr>
          <w:p w:rsidR="009956BC" w:rsidRPr="009956BC" w:rsidRDefault="009956BC" w:rsidP="009956BC">
            <w:pPr>
              <w:jc w:val="left"/>
              <w:rPr>
                <w:rFonts w:cs="Arial"/>
                <w:color w:val="000000"/>
                <w:sz w:val="18"/>
                <w:szCs w:val="18"/>
              </w:rPr>
            </w:pPr>
            <w:r w:rsidRPr="009956BC">
              <w:rPr>
                <w:rFonts w:cs="Arial"/>
                <w:color w:val="000000"/>
                <w:sz w:val="18"/>
                <w:szCs w:val="18"/>
              </w:rPr>
              <w:t>Maximum number of Off-Types = 2</w:t>
            </w:r>
          </w:p>
        </w:tc>
      </w:tr>
      <w:tr w:rsidR="009956BC" w:rsidRPr="009956BC" w:rsidTr="001270B2">
        <w:trPr>
          <w:gridBefore w:val="1"/>
          <w:gridAfter w:val="2"/>
          <w:wBefore w:w="568" w:type="dxa"/>
          <w:wAfter w:w="1558" w:type="dxa"/>
          <w:trHeight w:val="270"/>
        </w:trPr>
        <w:tc>
          <w:tcPr>
            <w:tcW w:w="5387" w:type="dxa"/>
            <w:gridSpan w:val="7"/>
            <w:tcBorders>
              <w:top w:val="single" w:sz="4" w:space="0" w:color="auto"/>
              <w:left w:val="single" w:sz="4" w:space="0" w:color="auto"/>
              <w:bottom w:val="nil"/>
              <w:right w:val="single" w:sz="4" w:space="0" w:color="auto"/>
            </w:tcBorders>
            <w:shd w:val="clear" w:color="auto" w:fill="auto"/>
            <w:vAlign w:val="bottom"/>
          </w:tcPr>
          <w:p w:rsidR="009956BC" w:rsidRPr="009956BC" w:rsidRDefault="009956BC" w:rsidP="009956BC">
            <w:pPr>
              <w:jc w:val="left"/>
              <w:rPr>
                <w:rFonts w:cs="Arial"/>
                <w:color w:val="000000"/>
                <w:sz w:val="18"/>
                <w:szCs w:val="18"/>
              </w:rPr>
            </w:pPr>
            <w:r w:rsidRPr="009956BC">
              <w:rPr>
                <w:rFonts w:cs="Arial"/>
                <w:color w:val="000000"/>
                <w:sz w:val="18"/>
                <w:szCs w:val="18"/>
              </w:rPr>
              <w:t>Sample Size in growing cycles 1 and 2 combined = 100</w:t>
            </w:r>
          </w:p>
        </w:tc>
      </w:tr>
      <w:tr w:rsidR="009956BC" w:rsidRPr="009956BC" w:rsidTr="001270B2">
        <w:trPr>
          <w:gridBefore w:val="1"/>
          <w:gridAfter w:val="2"/>
          <w:wBefore w:w="568" w:type="dxa"/>
          <w:wAfter w:w="1558" w:type="dxa"/>
          <w:trHeight w:val="270"/>
        </w:trPr>
        <w:tc>
          <w:tcPr>
            <w:tcW w:w="5387" w:type="dxa"/>
            <w:gridSpan w:val="7"/>
            <w:tcBorders>
              <w:top w:val="nil"/>
              <w:left w:val="single" w:sz="4" w:space="0" w:color="auto"/>
              <w:bottom w:val="single" w:sz="4" w:space="0" w:color="auto"/>
              <w:right w:val="single" w:sz="4" w:space="0" w:color="auto"/>
            </w:tcBorders>
            <w:shd w:val="clear" w:color="auto" w:fill="auto"/>
            <w:vAlign w:val="bottom"/>
          </w:tcPr>
          <w:p w:rsidR="009956BC" w:rsidRPr="009956BC" w:rsidRDefault="009956BC" w:rsidP="009956BC">
            <w:pPr>
              <w:jc w:val="left"/>
              <w:rPr>
                <w:rFonts w:cs="Arial"/>
                <w:color w:val="000000"/>
                <w:sz w:val="18"/>
                <w:szCs w:val="18"/>
              </w:rPr>
            </w:pPr>
            <w:r w:rsidRPr="009956BC">
              <w:rPr>
                <w:rFonts w:cs="Arial"/>
                <w:color w:val="000000"/>
                <w:sz w:val="18"/>
                <w:szCs w:val="18"/>
              </w:rPr>
              <w:t>Maximum number of Off-Types = 3</w:t>
            </w:r>
          </w:p>
        </w:tc>
      </w:tr>
      <w:tr w:rsidR="009956BC" w:rsidRPr="009956BC" w:rsidTr="001270B2">
        <w:trPr>
          <w:gridBefore w:val="1"/>
          <w:gridAfter w:val="1"/>
          <w:wBefore w:w="568" w:type="dxa"/>
          <w:wAfter w:w="1523" w:type="dxa"/>
          <w:trHeight w:val="239"/>
        </w:trPr>
        <w:tc>
          <w:tcPr>
            <w:tcW w:w="236" w:type="dxa"/>
            <w:tcBorders>
              <w:top w:val="nil"/>
              <w:left w:val="nil"/>
              <w:bottom w:val="single" w:sz="4" w:space="0" w:color="auto"/>
              <w:right w:val="nil"/>
            </w:tcBorders>
            <w:shd w:val="clear" w:color="auto" w:fill="auto"/>
            <w:noWrap/>
            <w:vAlign w:val="bottom"/>
            <w:hideMark/>
          </w:tcPr>
          <w:p w:rsidR="009956BC" w:rsidRPr="009956BC" w:rsidRDefault="009956BC" w:rsidP="009956BC">
            <w:pPr>
              <w:jc w:val="left"/>
              <w:rPr>
                <w:rFonts w:cs="Arial"/>
                <w:color w:val="000000"/>
                <w:sz w:val="18"/>
                <w:szCs w:val="18"/>
              </w:rPr>
            </w:pPr>
            <w:r w:rsidRPr="009956BC">
              <w:rPr>
                <w:rFonts w:cs="Arial"/>
                <w:color w:val="000000"/>
                <w:sz w:val="18"/>
                <w:szCs w:val="18"/>
              </w:rPr>
              <w:t> </w:t>
            </w:r>
          </w:p>
        </w:tc>
        <w:tc>
          <w:tcPr>
            <w:tcW w:w="1784" w:type="dxa"/>
            <w:gridSpan w:val="3"/>
            <w:tcBorders>
              <w:top w:val="nil"/>
              <w:left w:val="nil"/>
              <w:bottom w:val="single" w:sz="4" w:space="0" w:color="auto"/>
              <w:right w:val="nil"/>
            </w:tcBorders>
            <w:shd w:val="clear" w:color="auto" w:fill="auto"/>
            <w:noWrap/>
            <w:vAlign w:val="bottom"/>
            <w:hideMark/>
          </w:tcPr>
          <w:p w:rsidR="009956BC" w:rsidRPr="009956BC" w:rsidRDefault="009956BC" w:rsidP="009956BC">
            <w:pPr>
              <w:jc w:val="left"/>
              <w:rPr>
                <w:rFonts w:cs="Arial"/>
                <w:color w:val="000000"/>
                <w:sz w:val="18"/>
                <w:szCs w:val="18"/>
              </w:rPr>
            </w:pPr>
            <w:r w:rsidRPr="009956BC">
              <w:rPr>
                <w:rFonts w:cs="Arial"/>
                <w:color w:val="000000"/>
                <w:sz w:val="18"/>
                <w:szCs w:val="18"/>
              </w:rPr>
              <w:t> </w:t>
            </w:r>
          </w:p>
        </w:tc>
        <w:tc>
          <w:tcPr>
            <w:tcW w:w="977" w:type="dxa"/>
            <w:tcBorders>
              <w:top w:val="nil"/>
              <w:left w:val="nil"/>
              <w:bottom w:val="single" w:sz="4" w:space="0" w:color="auto"/>
              <w:right w:val="nil"/>
            </w:tcBorders>
            <w:shd w:val="clear" w:color="auto" w:fill="auto"/>
            <w:noWrap/>
            <w:vAlign w:val="bottom"/>
            <w:hideMark/>
          </w:tcPr>
          <w:p w:rsidR="009956BC" w:rsidRPr="009956BC" w:rsidRDefault="009956BC" w:rsidP="009956BC">
            <w:pPr>
              <w:jc w:val="left"/>
              <w:rPr>
                <w:rFonts w:cs="Arial"/>
                <w:color w:val="000000"/>
                <w:sz w:val="18"/>
                <w:szCs w:val="18"/>
              </w:rPr>
            </w:pPr>
            <w:r w:rsidRPr="009956BC">
              <w:rPr>
                <w:rFonts w:cs="Arial"/>
                <w:color w:val="000000"/>
                <w:sz w:val="18"/>
                <w:szCs w:val="18"/>
              </w:rPr>
              <w:t> </w:t>
            </w:r>
          </w:p>
        </w:tc>
        <w:tc>
          <w:tcPr>
            <w:tcW w:w="2425" w:type="dxa"/>
            <w:gridSpan w:val="3"/>
            <w:tcBorders>
              <w:top w:val="nil"/>
              <w:left w:val="nil"/>
              <w:bottom w:val="single" w:sz="4" w:space="0" w:color="auto"/>
            </w:tcBorders>
            <w:shd w:val="clear" w:color="auto" w:fill="auto"/>
            <w:noWrap/>
            <w:vAlign w:val="bottom"/>
            <w:hideMark/>
          </w:tcPr>
          <w:p w:rsidR="009956BC" w:rsidRPr="009956BC" w:rsidRDefault="009956BC" w:rsidP="009956BC">
            <w:pPr>
              <w:jc w:val="left"/>
              <w:rPr>
                <w:rFonts w:cs="Arial"/>
                <w:color w:val="000000"/>
                <w:sz w:val="18"/>
                <w:szCs w:val="18"/>
              </w:rPr>
            </w:pPr>
            <w:r w:rsidRPr="009956BC">
              <w:rPr>
                <w:rFonts w:cs="Arial"/>
                <w:color w:val="000000"/>
                <w:sz w:val="18"/>
                <w:szCs w:val="18"/>
              </w:rPr>
              <w:t> </w:t>
            </w:r>
          </w:p>
        </w:tc>
      </w:tr>
      <w:tr w:rsidR="009956BC" w:rsidRPr="009956BC" w:rsidTr="001270B2">
        <w:trPr>
          <w:trHeight w:val="380"/>
        </w:trPr>
        <w:tc>
          <w:tcPr>
            <w:tcW w:w="567" w:type="dxa"/>
            <w:tcBorders>
              <w:top w:val="nil"/>
              <w:left w:val="nil"/>
              <w:bottom w:val="nil"/>
              <w:right w:val="single" w:sz="4" w:space="0" w:color="auto"/>
            </w:tcBorders>
            <w:shd w:val="clear" w:color="auto" w:fill="auto"/>
            <w:noWrap/>
            <w:vAlign w:val="bottom"/>
            <w:hideMark/>
          </w:tcPr>
          <w:p w:rsidR="009956BC" w:rsidRPr="009956BC" w:rsidRDefault="009956BC" w:rsidP="009956BC">
            <w:pPr>
              <w:jc w:val="left"/>
              <w:rPr>
                <w:rFonts w:cs="Arial"/>
                <w:color w:val="000000"/>
                <w:sz w:val="18"/>
                <w:szCs w:val="18"/>
              </w:rPr>
            </w:pPr>
            <w:r w:rsidRPr="009956BC">
              <w:rPr>
                <w:rFonts w:cs="Arial"/>
                <w:color w:val="000000"/>
                <w:sz w:val="18"/>
                <w:szCs w:val="18"/>
              </w:rPr>
              <w:t> </w:t>
            </w:r>
          </w:p>
        </w:tc>
        <w:tc>
          <w:tcPr>
            <w:tcW w:w="1985" w:type="dxa"/>
            <w:gridSpan w:val="3"/>
            <w:tcBorders>
              <w:top w:val="nil"/>
              <w:left w:val="nil"/>
              <w:bottom w:val="single" w:sz="4" w:space="0" w:color="auto"/>
              <w:right w:val="single" w:sz="4" w:space="0" w:color="000000"/>
            </w:tcBorders>
            <w:shd w:val="clear" w:color="auto" w:fill="auto"/>
            <w:noWrap/>
            <w:vAlign w:val="center"/>
            <w:hideMark/>
          </w:tcPr>
          <w:p w:rsidR="009956BC" w:rsidRPr="009956BC" w:rsidRDefault="009956BC" w:rsidP="009956BC">
            <w:pPr>
              <w:jc w:val="center"/>
              <w:rPr>
                <w:rFonts w:cs="Arial"/>
                <w:color w:val="000000"/>
                <w:sz w:val="18"/>
                <w:szCs w:val="18"/>
              </w:rPr>
            </w:pPr>
            <w:r w:rsidRPr="009956BC">
              <w:rPr>
                <w:rFonts w:cs="Arial"/>
                <w:color w:val="000000"/>
                <w:sz w:val="18"/>
                <w:szCs w:val="18"/>
              </w:rPr>
              <w:t>Growing cycle</w:t>
            </w:r>
          </w:p>
        </w:tc>
        <w:tc>
          <w:tcPr>
            <w:tcW w:w="4961" w:type="dxa"/>
            <w:gridSpan w:val="6"/>
            <w:tcBorders>
              <w:top w:val="single" w:sz="4" w:space="0" w:color="auto"/>
              <w:left w:val="nil"/>
              <w:bottom w:val="single" w:sz="4" w:space="0" w:color="auto"/>
              <w:right w:val="single" w:sz="4" w:space="0" w:color="auto"/>
            </w:tcBorders>
            <w:shd w:val="clear" w:color="auto" w:fill="auto"/>
            <w:noWrap/>
            <w:vAlign w:val="center"/>
            <w:hideMark/>
          </w:tcPr>
          <w:p w:rsidR="009956BC" w:rsidRPr="009956BC" w:rsidRDefault="009956BC" w:rsidP="009956BC">
            <w:pPr>
              <w:jc w:val="center"/>
              <w:rPr>
                <w:sz w:val="18"/>
                <w:szCs w:val="18"/>
              </w:rPr>
            </w:pPr>
            <w:r w:rsidRPr="009956BC">
              <w:rPr>
                <w:rFonts w:cs="Arial"/>
                <w:color w:val="000000"/>
                <w:sz w:val="18"/>
                <w:szCs w:val="18"/>
              </w:rPr>
              <w:t>Decision</w:t>
            </w:r>
          </w:p>
        </w:tc>
      </w:tr>
      <w:tr w:rsidR="009956BC" w:rsidRPr="009956BC" w:rsidTr="001270B2">
        <w:trPr>
          <w:trHeight w:val="236"/>
        </w:trPr>
        <w:tc>
          <w:tcPr>
            <w:tcW w:w="567" w:type="dxa"/>
            <w:tcBorders>
              <w:top w:val="nil"/>
              <w:left w:val="nil"/>
              <w:bottom w:val="single" w:sz="4" w:space="0" w:color="auto"/>
              <w:right w:val="single" w:sz="4" w:space="0" w:color="auto"/>
            </w:tcBorders>
            <w:shd w:val="clear" w:color="auto" w:fill="auto"/>
            <w:noWrap/>
            <w:vAlign w:val="bottom"/>
            <w:hideMark/>
          </w:tcPr>
          <w:p w:rsidR="009956BC" w:rsidRPr="009956BC" w:rsidRDefault="009956BC" w:rsidP="009956BC">
            <w:pPr>
              <w:jc w:val="left"/>
              <w:rPr>
                <w:rFonts w:cs="Arial"/>
                <w:color w:val="000000"/>
                <w:sz w:val="18"/>
                <w:szCs w:val="18"/>
              </w:rPr>
            </w:pPr>
            <w:r w:rsidRPr="009956BC">
              <w:rPr>
                <w:rFonts w:cs="Arial"/>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956BC" w:rsidRPr="009956BC" w:rsidRDefault="009956BC" w:rsidP="009956BC">
            <w:pPr>
              <w:spacing w:after="100" w:afterAutospacing="1"/>
              <w:jc w:val="center"/>
              <w:rPr>
                <w:rFonts w:cs="Arial"/>
                <w:color w:val="000000"/>
                <w:sz w:val="18"/>
                <w:szCs w:val="18"/>
              </w:rPr>
            </w:pPr>
            <w:r w:rsidRPr="009956BC">
              <w:rPr>
                <w:rFonts w:cs="Arial"/>
                <w:color w:val="000000"/>
                <w:sz w:val="18"/>
                <w:szCs w:val="18"/>
              </w:rPr>
              <w:t>First</w:t>
            </w:r>
          </w:p>
        </w:tc>
        <w:tc>
          <w:tcPr>
            <w:tcW w:w="993" w:type="dxa"/>
            <w:tcBorders>
              <w:top w:val="nil"/>
              <w:left w:val="nil"/>
              <w:bottom w:val="single" w:sz="4" w:space="0" w:color="auto"/>
              <w:right w:val="single" w:sz="4" w:space="0" w:color="auto"/>
            </w:tcBorders>
            <w:shd w:val="clear" w:color="auto" w:fill="auto"/>
            <w:noWrap/>
            <w:vAlign w:val="center"/>
            <w:hideMark/>
          </w:tcPr>
          <w:p w:rsidR="009956BC" w:rsidRPr="009956BC" w:rsidRDefault="009956BC" w:rsidP="009956BC">
            <w:pPr>
              <w:jc w:val="center"/>
              <w:rPr>
                <w:rFonts w:cs="Arial"/>
                <w:color w:val="000000"/>
                <w:sz w:val="18"/>
                <w:szCs w:val="18"/>
              </w:rPr>
            </w:pPr>
            <w:r w:rsidRPr="009956BC">
              <w:rPr>
                <w:rFonts w:cs="Arial"/>
                <w:color w:val="000000"/>
                <w:sz w:val="18"/>
                <w:szCs w:val="18"/>
              </w:rPr>
              <w:t>Second</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9956BC" w:rsidRPr="009956BC" w:rsidRDefault="009956BC" w:rsidP="009956BC">
            <w:pPr>
              <w:jc w:val="center"/>
              <w:rPr>
                <w:rFonts w:cs="Arial"/>
                <w:color w:val="000000"/>
                <w:sz w:val="18"/>
                <w:szCs w:val="18"/>
              </w:rPr>
            </w:pPr>
            <w:r w:rsidRPr="009956BC">
              <w:rPr>
                <w:rFonts w:cs="Arial"/>
                <w:color w:val="000000"/>
                <w:sz w:val="18"/>
                <w:szCs w:val="18"/>
              </w:rPr>
              <w:t>Approach 1</w:t>
            </w:r>
          </w:p>
        </w:tc>
        <w:tc>
          <w:tcPr>
            <w:tcW w:w="1560" w:type="dxa"/>
            <w:tcBorders>
              <w:top w:val="nil"/>
              <w:left w:val="nil"/>
              <w:bottom w:val="single" w:sz="4" w:space="0" w:color="auto"/>
              <w:right w:val="single" w:sz="4" w:space="0" w:color="auto"/>
            </w:tcBorders>
            <w:shd w:val="clear" w:color="auto" w:fill="auto"/>
            <w:noWrap/>
            <w:vAlign w:val="center"/>
            <w:hideMark/>
          </w:tcPr>
          <w:p w:rsidR="009956BC" w:rsidRPr="009956BC" w:rsidRDefault="009956BC" w:rsidP="009956BC">
            <w:pPr>
              <w:jc w:val="center"/>
              <w:rPr>
                <w:rFonts w:cs="Arial"/>
                <w:color w:val="000000"/>
                <w:sz w:val="18"/>
                <w:szCs w:val="18"/>
              </w:rPr>
            </w:pPr>
            <w:r w:rsidRPr="009956BC">
              <w:rPr>
                <w:rFonts w:cs="Arial"/>
                <w:color w:val="000000"/>
                <w:sz w:val="18"/>
                <w:szCs w:val="18"/>
              </w:rPr>
              <w:t>Approach 2</w:t>
            </w:r>
          </w:p>
        </w:tc>
        <w:tc>
          <w:tcPr>
            <w:tcW w:w="1559" w:type="dxa"/>
            <w:gridSpan w:val="2"/>
            <w:tcBorders>
              <w:top w:val="single" w:sz="4" w:space="0" w:color="auto"/>
              <w:bottom w:val="single" w:sz="4" w:space="0" w:color="auto"/>
              <w:right w:val="single" w:sz="4" w:space="0" w:color="auto"/>
            </w:tcBorders>
            <w:shd w:val="clear" w:color="auto" w:fill="auto"/>
          </w:tcPr>
          <w:p w:rsidR="009956BC" w:rsidRPr="009956BC" w:rsidRDefault="009956BC" w:rsidP="009956BC">
            <w:pPr>
              <w:jc w:val="center"/>
              <w:rPr>
                <w:sz w:val="18"/>
                <w:szCs w:val="18"/>
              </w:rPr>
            </w:pPr>
            <w:r w:rsidRPr="009956BC">
              <w:rPr>
                <w:sz w:val="18"/>
                <w:szCs w:val="18"/>
              </w:rPr>
              <w:t>Approach 3</w:t>
            </w:r>
          </w:p>
        </w:tc>
      </w:tr>
      <w:tr w:rsidR="009956BC" w:rsidRPr="009956BC" w:rsidTr="001270B2">
        <w:trPr>
          <w:trHeight w:val="240"/>
        </w:trPr>
        <w:tc>
          <w:tcPr>
            <w:tcW w:w="567" w:type="dxa"/>
            <w:vMerge w:val="restart"/>
            <w:tcBorders>
              <w:top w:val="nil"/>
              <w:left w:val="single" w:sz="4" w:space="0" w:color="auto"/>
              <w:right w:val="single" w:sz="4" w:space="0" w:color="auto"/>
            </w:tcBorders>
            <w:shd w:val="clear" w:color="auto" w:fill="auto"/>
            <w:textDirection w:val="btLr"/>
            <w:vAlign w:val="center"/>
          </w:tcPr>
          <w:p w:rsidR="009956BC" w:rsidRPr="009956BC" w:rsidRDefault="009956BC" w:rsidP="009956BC">
            <w:pPr>
              <w:jc w:val="center"/>
              <w:rPr>
                <w:rFonts w:cs="Arial"/>
                <w:color w:val="000000"/>
                <w:sz w:val="18"/>
                <w:szCs w:val="18"/>
              </w:rPr>
            </w:pPr>
            <w:r w:rsidRPr="009956BC">
              <w:rPr>
                <w:rFonts w:cs="Arial"/>
                <w:color w:val="000000"/>
                <w:sz w:val="18"/>
                <w:szCs w:val="18"/>
              </w:rPr>
              <w:t xml:space="preserve">Number of </w:t>
            </w:r>
            <w:r w:rsidRPr="009956BC">
              <w:rPr>
                <w:rFonts w:cs="Arial"/>
                <w:color w:val="000000"/>
                <w:sz w:val="18"/>
                <w:szCs w:val="18"/>
              </w:rPr>
              <w:br/>
              <w:t>Off-Types</w:t>
            </w:r>
          </w:p>
        </w:tc>
        <w:tc>
          <w:tcPr>
            <w:tcW w:w="992" w:type="dxa"/>
            <w:gridSpan w:val="2"/>
            <w:tcBorders>
              <w:top w:val="single" w:sz="4" w:space="0" w:color="auto"/>
              <w:left w:val="single" w:sz="4" w:space="0" w:color="auto"/>
              <w:bottom w:val="single" w:sz="6" w:space="0" w:color="auto"/>
              <w:right w:val="single" w:sz="6" w:space="0" w:color="auto"/>
            </w:tcBorders>
            <w:shd w:val="clear" w:color="auto" w:fill="auto"/>
            <w:noWrap/>
            <w:vAlign w:val="center"/>
          </w:tcPr>
          <w:p w:rsidR="009956BC" w:rsidRPr="009956BC" w:rsidRDefault="009956BC" w:rsidP="009956BC">
            <w:pPr>
              <w:jc w:val="center"/>
              <w:rPr>
                <w:rFonts w:cs="Arial"/>
                <w:color w:val="000000"/>
                <w:sz w:val="18"/>
                <w:szCs w:val="18"/>
              </w:rPr>
            </w:pPr>
            <w:r w:rsidRPr="009956BC">
              <w:rPr>
                <w:rFonts w:cs="Arial"/>
                <w:color w:val="000000"/>
                <w:sz w:val="18"/>
                <w:szCs w:val="18"/>
              </w:rPr>
              <w:t>1</w:t>
            </w:r>
          </w:p>
        </w:tc>
        <w:tc>
          <w:tcPr>
            <w:tcW w:w="993" w:type="dxa"/>
            <w:tcBorders>
              <w:top w:val="single" w:sz="4" w:space="0" w:color="auto"/>
              <w:left w:val="single" w:sz="6" w:space="0" w:color="auto"/>
              <w:bottom w:val="single" w:sz="6" w:space="0" w:color="auto"/>
              <w:right w:val="single" w:sz="6" w:space="0" w:color="auto"/>
            </w:tcBorders>
            <w:shd w:val="clear" w:color="auto" w:fill="auto"/>
            <w:noWrap/>
            <w:vAlign w:val="center"/>
          </w:tcPr>
          <w:p w:rsidR="009956BC" w:rsidRPr="009956BC" w:rsidRDefault="009956BC" w:rsidP="009956BC">
            <w:pPr>
              <w:jc w:val="center"/>
              <w:rPr>
                <w:rFonts w:cs="Arial"/>
                <w:color w:val="000000"/>
                <w:sz w:val="18"/>
                <w:szCs w:val="18"/>
              </w:rPr>
            </w:pPr>
            <w:r w:rsidRPr="009956BC">
              <w:rPr>
                <w:rFonts w:cs="Arial"/>
                <w:color w:val="000000"/>
                <w:sz w:val="18"/>
                <w:szCs w:val="18"/>
              </w:rPr>
              <w:t>1</w:t>
            </w:r>
          </w:p>
        </w:tc>
        <w:tc>
          <w:tcPr>
            <w:tcW w:w="1842" w:type="dxa"/>
            <w:gridSpan w:val="3"/>
            <w:tcBorders>
              <w:top w:val="single" w:sz="4" w:space="0" w:color="auto"/>
              <w:left w:val="single" w:sz="6" w:space="0" w:color="auto"/>
              <w:bottom w:val="single" w:sz="6" w:space="0" w:color="auto"/>
              <w:right w:val="single" w:sz="6" w:space="0" w:color="auto"/>
            </w:tcBorders>
            <w:shd w:val="clear" w:color="auto" w:fill="auto"/>
            <w:noWrap/>
            <w:vAlign w:val="center"/>
          </w:tcPr>
          <w:p w:rsidR="009956BC" w:rsidRPr="009956BC" w:rsidRDefault="009956BC" w:rsidP="009956BC">
            <w:pPr>
              <w:jc w:val="center"/>
              <w:rPr>
                <w:rFonts w:cs="Arial"/>
                <w:color w:val="000000"/>
                <w:sz w:val="18"/>
                <w:szCs w:val="18"/>
              </w:rPr>
            </w:pPr>
            <w:r w:rsidRPr="009956BC">
              <w:rPr>
                <w:rFonts w:cs="Arial"/>
                <w:color w:val="000000"/>
                <w:sz w:val="18"/>
                <w:szCs w:val="18"/>
              </w:rPr>
              <w:t>uniform</w:t>
            </w:r>
          </w:p>
        </w:tc>
        <w:tc>
          <w:tcPr>
            <w:tcW w:w="1560" w:type="dxa"/>
            <w:tcBorders>
              <w:top w:val="single" w:sz="4" w:space="0" w:color="auto"/>
              <w:left w:val="single" w:sz="6" w:space="0" w:color="auto"/>
              <w:bottom w:val="single" w:sz="6" w:space="0" w:color="auto"/>
              <w:right w:val="single" w:sz="4" w:space="0" w:color="auto"/>
            </w:tcBorders>
            <w:shd w:val="clear" w:color="auto" w:fill="auto"/>
            <w:vAlign w:val="center"/>
          </w:tcPr>
          <w:p w:rsidR="009956BC" w:rsidRPr="009956BC" w:rsidRDefault="009956BC" w:rsidP="009956BC">
            <w:pPr>
              <w:jc w:val="center"/>
              <w:rPr>
                <w:rFonts w:cs="Arial"/>
                <w:color w:val="000000"/>
                <w:sz w:val="18"/>
                <w:szCs w:val="18"/>
              </w:rPr>
            </w:pPr>
            <w:r w:rsidRPr="009956BC">
              <w:rPr>
                <w:rFonts w:cs="Arial"/>
                <w:color w:val="000000"/>
                <w:sz w:val="18"/>
                <w:szCs w:val="18"/>
              </w:rPr>
              <w:t>uniform</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9956BC" w:rsidRPr="009956BC" w:rsidRDefault="009956BC" w:rsidP="009956BC">
            <w:pPr>
              <w:jc w:val="center"/>
              <w:rPr>
                <w:sz w:val="18"/>
                <w:szCs w:val="18"/>
              </w:rPr>
            </w:pPr>
            <w:r w:rsidRPr="009956BC">
              <w:rPr>
                <w:rFonts w:cs="Arial"/>
                <w:color w:val="000000"/>
                <w:sz w:val="18"/>
                <w:szCs w:val="18"/>
              </w:rPr>
              <w:t>uniform</w:t>
            </w:r>
          </w:p>
        </w:tc>
      </w:tr>
      <w:tr w:rsidR="009956BC" w:rsidRPr="009956BC" w:rsidTr="001270B2">
        <w:trPr>
          <w:trHeight w:val="240"/>
        </w:trPr>
        <w:tc>
          <w:tcPr>
            <w:tcW w:w="567" w:type="dxa"/>
            <w:vMerge/>
            <w:tcBorders>
              <w:left w:val="single" w:sz="4" w:space="0" w:color="auto"/>
              <w:right w:val="single" w:sz="4" w:space="0" w:color="auto"/>
            </w:tcBorders>
            <w:shd w:val="clear" w:color="auto" w:fill="auto"/>
            <w:textDirection w:val="btLr"/>
            <w:vAlign w:val="center"/>
            <w:hideMark/>
          </w:tcPr>
          <w:p w:rsidR="009956BC" w:rsidRPr="009956BC" w:rsidRDefault="009956BC" w:rsidP="009956BC">
            <w:pPr>
              <w:jc w:val="center"/>
              <w:rPr>
                <w:rFonts w:cs="Arial"/>
                <w:color w:val="000000"/>
                <w:sz w:val="18"/>
                <w:szCs w:val="18"/>
              </w:rPr>
            </w:pPr>
          </w:p>
        </w:tc>
        <w:tc>
          <w:tcPr>
            <w:tcW w:w="992" w:type="dxa"/>
            <w:gridSpan w:val="2"/>
            <w:tcBorders>
              <w:top w:val="single" w:sz="6" w:space="0" w:color="auto"/>
              <w:left w:val="single" w:sz="4" w:space="0" w:color="auto"/>
              <w:bottom w:val="single" w:sz="4" w:space="0" w:color="auto"/>
              <w:right w:val="single" w:sz="6" w:space="0" w:color="auto"/>
            </w:tcBorders>
            <w:shd w:val="clear" w:color="auto" w:fill="auto"/>
            <w:noWrap/>
            <w:vAlign w:val="center"/>
            <w:hideMark/>
          </w:tcPr>
          <w:p w:rsidR="009956BC" w:rsidRPr="009956BC" w:rsidRDefault="009956BC" w:rsidP="009956BC">
            <w:pPr>
              <w:jc w:val="center"/>
              <w:rPr>
                <w:rFonts w:cs="Arial"/>
                <w:color w:val="000000"/>
                <w:sz w:val="18"/>
                <w:szCs w:val="18"/>
              </w:rPr>
            </w:pPr>
            <w:r w:rsidRPr="009956BC">
              <w:rPr>
                <w:rFonts w:cs="Arial"/>
                <w:color w:val="000000"/>
                <w:sz w:val="18"/>
                <w:szCs w:val="18"/>
              </w:rPr>
              <w:t>2</w:t>
            </w:r>
          </w:p>
        </w:tc>
        <w:tc>
          <w:tcPr>
            <w:tcW w:w="993"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9956BC" w:rsidRPr="009956BC" w:rsidRDefault="009956BC" w:rsidP="009956BC">
            <w:pPr>
              <w:jc w:val="center"/>
              <w:rPr>
                <w:rFonts w:cs="Arial"/>
                <w:color w:val="000000"/>
                <w:sz w:val="18"/>
                <w:szCs w:val="18"/>
              </w:rPr>
            </w:pPr>
            <w:r w:rsidRPr="009956BC">
              <w:rPr>
                <w:rFonts w:cs="Arial"/>
                <w:color w:val="000000"/>
                <w:sz w:val="18"/>
                <w:szCs w:val="18"/>
              </w:rPr>
              <w:t>2</w:t>
            </w:r>
          </w:p>
        </w:tc>
        <w:tc>
          <w:tcPr>
            <w:tcW w:w="1842" w:type="dxa"/>
            <w:gridSpan w:val="3"/>
            <w:tcBorders>
              <w:top w:val="single" w:sz="6" w:space="0" w:color="auto"/>
              <w:left w:val="single" w:sz="6" w:space="0" w:color="auto"/>
              <w:bottom w:val="single" w:sz="4" w:space="0" w:color="auto"/>
              <w:right w:val="single" w:sz="6" w:space="0" w:color="auto"/>
            </w:tcBorders>
            <w:shd w:val="clear" w:color="auto" w:fill="auto"/>
            <w:noWrap/>
            <w:vAlign w:val="center"/>
            <w:hideMark/>
          </w:tcPr>
          <w:p w:rsidR="009956BC" w:rsidRPr="009956BC" w:rsidRDefault="009956BC" w:rsidP="009956BC">
            <w:pPr>
              <w:jc w:val="center"/>
              <w:rPr>
                <w:rFonts w:cs="Arial"/>
                <w:color w:val="000000"/>
                <w:sz w:val="18"/>
                <w:szCs w:val="18"/>
              </w:rPr>
            </w:pPr>
            <w:r w:rsidRPr="009956BC">
              <w:rPr>
                <w:rFonts w:cs="Arial"/>
                <w:color w:val="000000"/>
                <w:sz w:val="18"/>
                <w:szCs w:val="18"/>
              </w:rPr>
              <w:t>uniform</w:t>
            </w:r>
          </w:p>
        </w:tc>
        <w:tc>
          <w:tcPr>
            <w:tcW w:w="1560" w:type="dxa"/>
            <w:tcBorders>
              <w:top w:val="single" w:sz="6" w:space="0" w:color="auto"/>
              <w:left w:val="single" w:sz="6" w:space="0" w:color="auto"/>
              <w:bottom w:val="single" w:sz="4" w:space="0" w:color="auto"/>
              <w:right w:val="single" w:sz="4" w:space="0" w:color="auto"/>
            </w:tcBorders>
            <w:shd w:val="clear" w:color="auto" w:fill="auto"/>
            <w:vAlign w:val="center"/>
            <w:hideMark/>
          </w:tcPr>
          <w:p w:rsidR="009956BC" w:rsidRPr="009956BC" w:rsidRDefault="009956BC" w:rsidP="009956BC">
            <w:pPr>
              <w:jc w:val="center"/>
              <w:rPr>
                <w:rFonts w:cs="Arial"/>
                <w:color w:val="000000"/>
                <w:sz w:val="18"/>
                <w:szCs w:val="18"/>
              </w:rPr>
            </w:pPr>
            <w:r w:rsidRPr="009956BC">
              <w:rPr>
                <w:rFonts w:cs="Arial"/>
                <w:color w:val="000000"/>
                <w:sz w:val="18"/>
                <w:szCs w:val="18"/>
              </w:rPr>
              <w:t>uniform</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9956BC" w:rsidRPr="009956BC" w:rsidRDefault="009956BC" w:rsidP="009956BC">
            <w:pPr>
              <w:jc w:val="center"/>
              <w:rPr>
                <w:sz w:val="18"/>
                <w:szCs w:val="18"/>
              </w:rPr>
            </w:pPr>
            <w:r w:rsidRPr="009956BC">
              <w:rPr>
                <w:sz w:val="18"/>
                <w:szCs w:val="18"/>
              </w:rPr>
              <w:t>non-uniform</w:t>
            </w:r>
          </w:p>
        </w:tc>
      </w:tr>
      <w:tr w:rsidR="009956BC" w:rsidRPr="009956BC" w:rsidTr="001270B2">
        <w:trPr>
          <w:trHeight w:val="273"/>
        </w:trPr>
        <w:tc>
          <w:tcPr>
            <w:tcW w:w="567" w:type="dxa"/>
            <w:vMerge/>
            <w:tcBorders>
              <w:left w:val="single" w:sz="4" w:space="0" w:color="auto"/>
              <w:right w:val="single" w:sz="4" w:space="0" w:color="000000"/>
            </w:tcBorders>
            <w:vAlign w:val="center"/>
            <w:hideMark/>
          </w:tcPr>
          <w:p w:rsidR="009956BC" w:rsidRPr="009956BC" w:rsidRDefault="009956BC" w:rsidP="009956BC">
            <w:pPr>
              <w:jc w:val="left"/>
              <w:rPr>
                <w:rFonts w:cs="Arial"/>
                <w:color w:val="000000"/>
                <w:sz w:val="18"/>
                <w:szCs w:val="18"/>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9956BC" w:rsidRPr="009956BC" w:rsidRDefault="009956BC" w:rsidP="009956BC">
            <w:pPr>
              <w:jc w:val="center"/>
              <w:rPr>
                <w:rFonts w:cs="Arial"/>
                <w:color w:val="000000"/>
                <w:sz w:val="18"/>
                <w:szCs w:val="18"/>
              </w:rPr>
            </w:pPr>
            <w:r w:rsidRPr="009956BC">
              <w:rPr>
                <w:rFonts w:cs="Arial"/>
                <w:color w:val="000000"/>
                <w:sz w:val="18"/>
                <w:szCs w:val="18"/>
              </w:rPr>
              <w:t>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956BC" w:rsidRPr="009956BC" w:rsidRDefault="009956BC" w:rsidP="009956BC">
            <w:pPr>
              <w:jc w:val="center"/>
              <w:rPr>
                <w:rFonts w:cs="Arial"/>
                <w:color w:val="000000"/>
                <w:sz w:val="18"/>
                <w:szCs w:val="18"/>
              </w:rPr>
            </w:pPr>
            <w:r w:rsidRPr="009956BC">
              <w:rPr>
                <w:rFonts w:cs="Arial"/>
                <w:color w:val="000000"/>
                <w:sz w:val="18"/>
                <w:szCs w:val="18"/>
              </w:rPr>
              <w:t>3*</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9956BC" w:rsidRPr="009956BC" w:rsidRDefault="009956BC" w:rsidP="009956BC">
            <w:pPr>
              <w:rPr>
                <w:rFonts w:cs="Arial"/>
                <w:color w:val="000000"/>
                <w:sz w:val="18"/>
                <w:szCs w:val="18"/>
              </w:rPr>
            </w:pPr>
            <w:r w:rsidRPr="009956BC">
              <w:rPr>
                <w:rFonts w:cs="Arial"/>
                <w:color w:val="000000"/>
                <w:sz w:val="18"/>
                <w:szCs w:val="18"/>
              </w:rPr>
              <w:t>third growing cycle*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956BC" w:rsidRPr="009956BC" w:rsidRDefault="009956BC" w:rsidP="009956BC">
            <w:pPr>
              <w:jc w:val="center"/>
              <w:rPr>
                <w:rFonts w:cs="Arial"/>
                <w:color w:val="000000"/>
                <w:sz w:val="18"/>
                <w:szCs w:val="18"/>
              </w:rPr>
            </w:pPr>
            <w:r w:rsidRPr="009956BC">
              <w:rPr>
                <w:rFonts w:cs="Arial"/>
                <w:color w:val="000000"/>
                <w:sz w:val="18"/>
                <w:szCs w:val="18"/>
              </w:rPr>
              <w:t>uniform*</w:t>
            </w:r>
          </w:p>
        </w:tc>
        <w:tc>
          <w:tcPr>
            <w:tcW w:w="1559" w:type="dxa"/>
            <w:gridSpan w:val="2"/>
            <w:tcBorders>
              <w:top w:val="single" w:sz="4" w:space="0" w:color="auto"/>
              <w:bottom w:val="single" w:sz="4" w:space="0" w:color="auto"/>
              <w:right w:val="single" w:sz="4" w:space="0" w:color="auto"/>
            </w:tcBorders>
            <w:shd w:val="clear" w:color="auto" w:fill="auto"/>
          </w:tcPr>
          <w:p w:rsidR="009956BC" w:rsidRPr="009956BC" w:rsidRDefault="009956BC" w:rsidP="009956BC">
            <w:pPr>
              <w:jc w:val="center"/>
              <w:rPr>
                <w:sz w:val="18"/>
                <w:szCs w:val="18"/>
              </w:rPr>
            </w:pPr>
            <w:r w:rsidRPr="009956BC">
              <w:rPr>
                <w:sz w:val="18"/>
                <w:szCs w:val="18"/>
              </w:rPr>
              <w:t>uniform*</w:t>
            </w:r>
          </w:p>
        </w:tc>
      </w:tr>
      <w:tr w:rsidR="009956BC" w:rsidRPr="009956BC" w:rsidTr="001270B2">
        <w:trPr>
          <w:trHeight w:val="248"/>
        </w:trPr>
        <w:tc>
          <w:tcPr>
            <w:tcW w:w="567" w:type="dxa"/>
            <w:vMerge/>
            <w:tcBorders>
              <w:left w:val="single" w:sz="4" w:space="0" w:color="auto"/>
              <w:right w:val="single" w:sz="4" w:space="0" w:color="auto"/>
            </w:tcBorders>
            <w:vAlign w:val="center"/>
            <w:hideMark/>
          </w:tcPr>
          <w:p w:rsidR="009956BC" w:rsidRPr="009956BC" w:rsidRDefault="009956BC" w:rsidP="009956BC">
            <w:pPr>
              <w:jc w:val="left"/>
              <w:rPr>
                <w:rFonts w:cs="Arial"/>
                <w:color w:val="000000"/>
                <w:sz w:val="18"/>
                <w:szCs w:val="18"/>
              </w:rPr>
            </w:pPr>
          </w:p>
        </w:tc>
        <w:tc>
          <w:tcPr>
            <w:tcW w:w="992"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rsidR="009956BC" w:rsidRPr="009956BC" w:rsidRDefault="009956BC" w:rsidP="009956BC">
            <w:pPr>
              <w:jc w:val="center"/>
              <w:rPr>
                <w:rFonts w:cs="Arial"/>
                <w:color w:val="000000"/>
                <w:sz w:val="18"/>
                <w:szCs w:val="18"/>
              </w:rPr>
            </w:pPr>
            <w:r w:rsidRPr="009956BC">
              <w:rPr>
                <w:rFonts w:cs="Arial"/>
                <w:color w:val="000000"/>
                <w:sz w:val="18"/>
                <w:szCs w:val="18"/>
              </w:rPr>
              <w:t>1</w:t>
            </w:r>
          </w:p>
        </w:tc>
        <w:tc>
          <w:tcPr>
            <w:tcW w:w="993"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9956BC" w:rsidRPr="009956BC" w:rsidRDefault="009956BC" w:rsidP="009956BC">
            <w:pPr>
              <w:jc w:val="center"/>
              <w:rPr>
                <w:rFonts w:cs="Arial"/>
                <w:color w:val="000000"/>
                <w:sz w:val="18"/>
                <w:szCs w:val="18"/>
              </w:rPr>
            </w:pPr>
            <w:r w:rsidRPr="009956BC">
              <w:rPr>
                <w:rFonts w:cs="Arial"/>
                <w:color w:val="000000"/>
                <w:sz w:val="18"/>
                <w:szCs w:val="18"/>
              </w:rPr>
              <w:t>3*</w:t>
            </w:r>
          </w:p>
        </w:tc>
        <w:tc>
          <w:tcPr>
            <w:tcW w:w="1842" w:type="dxa"/>
            <w:gridSpan w:val="3"/>
            <w:tcBorders>
              <w:top w:val="single" w:sz="4" w:space="0" w:color="auto"/>
              <w:left w:val="single" w:sz="6" w:space="0" w:color="auto"/>
              <w:bottom w:val="single" w:sz="4" w:space="0" w:color="auto"/>
              <w:right w:val="single" w:sz="6" w:space="0" w:color="auto"/>
            </w:tcBorders>
            <w:shd w:val="clear" w:color="auto" w:fill="auto"/>
            <w:vAlign w:val="center"/>
            <w:hideMark/>
          </w:tcPr>
          <w:p w:rsidR="009956BC" w:rsidRPr="009956BC" w:rsidRDefault="009956BC" w:rsidP="009956BC">
            <w:pPr>
              <w:rPr>
                <w:rFonts w:cs="Arial"/>
                <w:color w:val="000000"/>
                <w:sz w:val="18"/>
                <w:szCs w:val="18"/>
              </w:rPr>
            </w:pPr>
            <w:r w:rsidRPr="009956BC">
              <w:rPr>
                <w:rFonts w:cs="Arial"/>
                <w:color w:val="000000"/>
                <w:sz w:val="18"/>
                <w:szCs w:val="18"/>
              </w:rPr>
              <w:t>third growing cycle*</w:t>
            </w:r>
          </w:p>
        </w:tc>
        <w:tc>
          <w:tcPr>
            <w:tcW w:w="1560"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9956BC" w:rsidRPr="009956BC" w:rsidRDefault="009956BC" w:rsidP="009956BC">
            <w:pPr>
              <w:jc w:val="center"/>
              <w:rPr>
                <w:rFonts w:cs="Arial"/>
                <w:color w:val="000000"/>
                <w:sz w:val="18"/>
                <w:szCs w:val="18"/>
              </w:rPr>
            </w:pPr>
            <w:r w:rsidRPr="009956BC">
              <w:rPr>
                <w:rFonts w:cs="Arial"/>
                <w:color w:val="000000"/>
                <w:sz w:val="18"/>
                <w:szCs w:val="18"/>
              </w:rPr>
              <w:t>non-uniform*</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9956BC" w:rsidRPr="009956BC" w:rsidRDefault="009956BC" w:rsidP="009956BC">
            <w:pPr>
              <w:jc w:val="center"/>
              <w:rPr>
                <w:sz w:val="18"/>
                <w:szCs w:val="18"/>
              </w:rPr>
            </w:pPr>
            <w:r w:rsidRPr="009956BC">
              <w:rPr>
                <w:sz w:val="18"/>
                <w:szCs w:val="18"/>
              </w:rPr>
              <w:t>non-uniform*</w:t>
            </w:r>
          </w:p>
        </w:tc>
      </w:tr>
      <w:tr w:rsidR="009956BC" w:rsidRPr="009956BC" w:rsidTr="001270B2">
        <w:trPr>
          <w:trHeight w:val="267"/>
        </w:trPr>
        <w:tc>
          <w:tcPr>
            <w:tcW w:w="567" w:type="dxa"/>
            <w:vMerge/>
            <w:tcBorders>
              <w:left w:val="single" w:sz="4" w:space="0" w:color="auto"/>
              <w:right w:val="single" w:sz="4" w:space="0" w:color="000000"/>
            </w:tcBorders>
            <w:vAlign w:val="center"/>
            <w:hideMark/>
          </w:tcPr>
          <w:p w:rsidR="009956BC" w:rsidRPr="009956BC" w:rsidRDefault="009956BC" w:rsidP="009956BC">
            <w:pPr>
              <w:jc w:val="left"/>
              <w:rPr>
                <w:rFonts w:cs="Arial"/>
                <w:color w:val="000000"/>
                <w:sz w:val="18"/>
                <w:szCs w:val="18"/>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9956BC" w:rsidRPr="009956BC" w:rsidRDefault="009956BC" w:rsidP="009956BC">
            <w:pPr>
              <w:jc w:val="center"/>
              <w:rPr>
                <w:rFonts w:cs="Arial"/>
                <w:color w:val="000000"/>
                <w:sz w:val="18"/>
                <w:szCs w:val="18"/>
              </w:rPr>
            </w:pPr>
            <w:r w:rsidRPr="009956BC">
              <w:rPr>
                <w:rFonts w:cs="Arial"/>
                <w:color w:val="000000"/>
                <w:sz w:val="18"/>
                <w:szCs w:val="18"/>
              </w:rPr>
              <w:t>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956BC" w:rsidRPr="009956BC" w:rsidRDefault="009956BC" w:rsidP="009956BC">
            <w:pPr>
              <w:ind w:left="49"/>
              <w:jc w:val="center"/>
              <w:rPr>
                <w:rFonts w:cs="Arial"/>
                <w:color w:val="000000"/>
                <w:sz w:val="18"/>
                <w:szCs w:val="18"/>
              </w:rPr>
            </w:pPr>
            <w:r w:rsidRPr="009956BC">
              <w:rPr>
                <w:rFonts w:cs="Arial"/>
                <w:color w:val="000000"/>
                <w:sz w:val="18"/>
                <w:szCs w:val="18"/>
              </w:rPr>
              <w:t>4*</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9956BC" w:rsidRPr="009956BC" w:rsidRDefault="009956BC" w:rsidP="009956BC">
            <w:pPr>
              <w:rPr>
                <w:rFonts w:cs="Arial"/>
                <w:color w:val="000000"/>
                <w:sz w:val="18"/>
                <w:szCs w:val="18"/>
              </w:rPr>
            </w:pPr>
            <w:r w:rsidRPr="009956BC">
              <w:rPr>
                <w:rFonts w:cs="Arial"/>
                <w:color w:val="000000"/>
                <w:sz w:val="18"/>
                <w:szCs w:val="18"/>
              </w:rPr>
              <w:t>third growing cycle*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956BC" w:rsidRPr="009956BC" w:rsidRDefault="009956BC" w:rsidP="009956BC">
            <w:pPr>
              <w:jc w:val="center"/>
              <w:rPr>
                <w:rFonts w:cs="Arial"/>
                <w:color w:val="000000"/>
                <w:sz w:val="18"/>
                <w:szCs w:val="18"/>
              </w:rPr>
            </w:pPr>
            <w:r w:rsidRPr="009956BC">
              <w:rPr>
                <w:rFonts w:cs="Arial"/>
                <w:color w:val="000000"/>
                <w:sz w:val="18"/>
                <w:szCs w:val="18"/>
              </w:rPr>
              <w:t>non-uniform*</w:t>
            </w:r>
          </w:p>
        </w:tc>
        <w:tc>
          <w:tcPr>
            <w:tcW w:w="1559" w:type="dxa"/>
            <w:gridSpan w:val="2"/>
            <w:tcBorders>
              <w:top w:val="single" w:sz="4" w:space="0" w:color="auto"/>
              <w:bottom w:val="single" w:sz="4" w:space="0" w:color="auto"/>
              <w:right w:val="single" w:sz="4" w:space="0" w:color="auto"/>
            </w:tcBorders>
            <w:shd w:val="clear" w:color="auto" w:fill="auto"/>
          </w:tcPr>
          <w:p w:rsidR="009956BC" w:rsidRPr="009956BC" w:rsidRDefault="009956BC" w:rsidP="009956BC">
            <w:pPr>
              <w:jc w:val="center"/>
              <w:rPr>
                <w:sz w:val="18"/>
                <w:szCs w:val="18"/>
              </w:rPr>
            </w:pPr>
            <w:r w:rsidRPr="009956BC">
              <w:rPr>
                <w:sz w:val="18"/>
                <w:szCs w:val="18"/>
              </w:rPr>
              <w:t>non-uniform*</w:t>
            </w:r>
          </w:p>
        </w:tc>
      </w:tr>
      <w:tr w:rsidR="009956BC" w:rsidRPr="009956BC" w:rsidTr="001270B2">
        <w:trPr>
          <w:trHeight w:val="266"/>
        </w:trPr>
        <w:tc>
          <w:tcPr>
            <w:tcW w:w="567" w:type="dxa"/>
            <w:vMerge/>
            <w:tcBorders>
              <w:left w:val="single" w:sz="4" w:space="0" w:color="auto"/>
              <w:bottom w:val="single" w:sz="4" w:space="0" w:color="auto"/>
              <w:right w:val="single" w:sz="4" w:space="0" w:color="000000"/>
            </w:tcBorders>
            <w:shd w:val="clear" w:color="auto" w:fill="auto"/>
            <w:noWrap/>
            <w:vAlign w:val="bottom"/>
            <w:hideMark/>
          </w:tcPr>
          <w:p w:rsidR="009956BC" w:rsidRPr="009956BC" w:rsidRDefault="009956BC" w:rsidP="009956BC">
            <w:pPr>
              <w:jc w:val="left"/>
              <w:rPr>
                <w:rFonts w:cs="Arial"/>
                <w:color w:val="000000"/>
                <w:sz w:val="18"/>
                <w:szCs w:val="18"/>
              </w:rPr>
            </w:pPr>
          </w:p>
        </w:tc>
        <w:tc>
          <w:tcPr>
            <w:tcW w:w="992" w:type="dxa"/>
            <w:gridSpan w:val="2"/>
            <w:tcBorders>
              <w:top w:val="nil"/>
              <w:left w:val="single" w:sz="4" w:space="0" w:color="000000"/>
              <w:bottom w:val="single" w:sz="4" w:space="0" w:color="auto"/>
              <w:right w:val="single" w:sz="4" w:space="0" w:color="auto"/>
            </w:tcBorders>
            <w:shd w:val="clear" w:color="auto" w:fill="auto"/>
            <w:noWrap/>
            <w:vAlign w:val="center"/>
            <w:hideMark/>
          </w:tcPr>
          <w:p w:rsidR="009956BC" w:rsidRPr="009956BC" w:rsidRDefault="009956BC" w:rsidP="009956BC">
            <w:pPr>
              <w:ind w:left="49"/>
              <w:jc w:val="center"/>
              <w:rPr>
                <w:rFonts w:cs="Arial"/>
                <w:color w:val="000000"/>
                <w:sz w:val="18"/>
                <w:szCs w:val="18"/>
              </w:rPr>
            </w:pPr>
            <w:r w:rsidRPr="009956BC">
              <w:rPr>
                <w:rFonts w:cs="Arial"/>
                <w:color w:val="000000"/>
                <w:sz w:val="18"/>
                <w:szCs w:val="18"/>
              </w:rPr>
              <w:t>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956BC" w:rsidRPr="009956BC" w:rsidRDefault="009956BC" w:rsidP="009956BC">
            <w:pPr>
              <w:ind w:right="-123"/>
              <w:jc w:val="center"/>
              <w:rPr>
                <w:rFonts w:cs="Arial"/>
                <w:color w:val="000000"/>
                <w:sz w:val="18"/>
                <w:szCs w:val="18"/>
              </w:rPr>
            </w:pPr>
            <w:r w:rsidRPr="009956BC">
              <w:rPr>
                <w:rFonts w:cs="Arial"/>
                <w:color w:val="000000"/>
                <w:sz w:val="18"/>
                <w:szCs w:val="18"/>
              </w:rPr>
              <w:t>1*</w:t>
            </w:r>
          </w:p>
        </w:tc>
        <w:tc>
          <w:tcPr>
            <w:tcW w:w="184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56BC" w:rsidRPr="009956BC" w:rsidRDefault="009956BC" w:rsidP="009956BC">
            <w:pPr>
              <w:ind w:right="-122"/>
              <w:rPr>
                <w:rFonts w:cs="Arial"/>
                <w:color w:val="000000"/>
                <w:sz w:val="18"/>
                <w:szCs w:val="18"/>
              </w:rPr>
            </w:pPr>
            <w:r w:rsidRPr="009956BC">
              <w:rPr>
                <w:rFonts w:cs="Arial"/>
                <w:color w:val="000000"/>
                <w:sz w:val="18"/>
                <w:szCs w:val="18"/>
              </w:rPr>
              <w:t>third growing cycle*</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956BC" w:rsidRPr="009956BC" w:rsidRDefault="009956BC" w:rsidP="009956BC">
            <w:pPr>
              <w:jc w:val="center"/>
              <w:rPr>
                <w:rFonts w:cs="Arial"/>
                <w:color w:val="000000"/>
                <w:sz w:val="18"/>
                <w:szCs w:val="18"/>
              </w:rPr>
            </w:pPr>
            <w:r w:rsidRPr="009956BC">
              <w:rPr>
                <w:rFonts w:cs="Arial"/>
                <w:color w:val="000000"/>
                <w:sz w:val="18"/>
                <w:szCs w:val="18"/>
              </w:rPr>
              <w:t>non-uniform*</w:t>
            </w:r>
          </w:p>
        </w:tc>
        <w:tc>
          <w:tcPr>
            <w:tcW w:w="1559" w:type="dxa"/>
            <w:gridSpan w:val="2"/>
            <w:tcBorders>
              <w:top w:val="single" w:sz="4" w:space="0" w:color="auto"/>
              <w:bottom w:val="single" w:sz="4" w:space="0" w:color="auto"/>
              <w:right w:val="single" w:sz="4" w:space="0" w:color="auto"/>
            </w:tcBorders>
            <w:shd w:val="clear" w:color="auto" w:fill="auto"/>
          </w:tcPr>
          <w:p w:rsidR="009956BC" w:rsidRPr="009956BC" w:rsidRDefault="009956BC" w:rsidP="009956BC">
            <w:pPr>
              <w:jc w:val="center"/>
              <w:rPr>
                <w:sz w:val="18"/>
                <w:szCs w:val="18"/>
              </w:rPr>
            </w:pPr>
            <w:r w:rsidRPr="009956BC">
              <w:rPr>
                <w:sz w:val="18"/>
                <w:szCs w:val="18"/>
              </w:rPr>
              <w:t>non-uniform*</w:t>
            </w:r>
          </w:p>
        </w:tc>
      </w:tr>
    </w:tbl>
    <w:p w:rsidR="009956BC" w:rsidRPr="009956BC" w:rsidRDefault="009956BC" w:rsidP="009956BC">
      <w:pPr>
        <w:spacing w:after="240"/>
        <w:rPr>
          <w:b/>
          <w:caps/>
          <w:sz w:val="12"/>
          <w:szCs w:val="24"/>
        </w:rPr>
      </w:pPr>
    </w:p>
    <w:p w:rsidR="009956BC" w:rsidRPr="009956BC" w:rsidRDefault="009956BC" w:rsidP="009956BC">
      <w:pPr>
        <w:keepNext/>
        <w:keepLines/>
        <w:ind w:left="567" w:right="567"/>
        <w:rPr>
          <w:sz w:val="14"/>
          <w:u w:val="single"/>
        </w:rPr>
      </w:pPr>
      <w:r w:rsidRPr="009956BC">
        <w:rPr>
          <w:sz w:val="16"/>
          <w:szCs w:val="24"/>
        </w:rPr>
        <w:t xml:space="preserve">*  </w:t>
      </w:r>
      <w:r w:rsidRPr="009956BC">
        <w:rPr>
          <w:rFonts w:eastAsia="SimSun"/>
          <w:sz w:val="16"/>
          <w:lang w:eastAsia="zh-CN"/>
        </w:rPr>
        <w:t>Care is needed when considering results that were very different in each of the growing cycles, such as when a type of off</w:t>
      </w:r>
      <w:r w:rsidRPr="009956BC">
        <w:rPr>
          <w:rFonts w:eastAsia="SimSun"/>
          <w:sz w:val="16"/>
          <w:lang w:eastAsia="zh-CN"/>
        </w:rPr>
        <w:noBreakHyphen/>
        <w:t xml:space="preserve">type was observed at a high level in one growing cycle and was absent in another growing cycle.  </w:t>
      </w:r>
      <w:r w:rsidRPr="009956BC">
        <w:rPr>
          <w:sz w:val="16"/>
        </w:rPr>
        <w:t xml:space="preserve">A statistical test for consistency </w:t>
      </w:r>
      <w:proofErr w:type="gramStart"/>
      <w:r w:rsidRPr="009956BC">
        <w:rPr>
          <w:sz w:val="16"/>
        </w:rPr>
        <w:t>should be applied</w:t>
      </w:r>
      <w:proofErr w:type="gramEnd"/>
      <w:r w:rsidRPr="009956BC">
        <w:rPr>
          <w:sz w:val="16"/>
        </w:rPr>
        <w:t xml:space="preserve"> when appropriate. </w:t>
      </w:r>
      <w:r w:rsidRPr="009956BC">
        <w:rPr>
          <w:sz w:val="14"/>
        </w:rPr>
        <w:t xml:space="preserve"> </w:t>
      </w:r>
      <w:r w:rsidRPr="009956BC">
        <w:rPr>
          <w:sz w:val="16"/>
        </w:rPr>
        <w:t>It is important to identify whether differences in number of off types between growing cycles were due to environmental reasons or sampling variation.</w:t>
      </w:r>
    </w:p>
    <w:p w:rsidR="009956BC" w:rsidRPr="009956BC" w:rsidRDefault="009956BC" w:rsidP="009956BC">
      <w:pPr>
        <w:keepNext/>
        <w:keepLines/>
        <w:ind w:left="567" w:right="567"/>
        <w:rPr>
          <w:sz w:val="16"/>
        </w:rPr>
      </w:pPr>
    </w:p>
    <w:p w:rsidR="009956BC" w:rsidRPr="009956BC" w:rsidRDefault="009956BC" w:rsidP="009956BC">
      <w:pPr>
        <w:ind w:left="567" w:right="567"/>
        <w:jc w:val="left"/>
        <w:rPr>
          <w:sz w:val="18"/>
        </w:rPr>
      </w:pPr>
      <w:r w:rsidRPr="009956BC">
        <w:rPr>
          <w:sz w:val="16"/>
        </w:rPr>
        <w:t>*</w:t>
      </w:r>
      <w:proofErr w:type="gramStart"/>
      <w:r w:rsidRPr="009956BC">
        <w:rPr>
          <w:sz w:val="16"/>
        </w:rPr>
        <w:t>*  if</w:t>
      </w:r>
      <w:proofErr w:type="gramEnd"/>
      <w:r w:rsidRPr="009956BC">
        <w:rPr>
          <w:sz w:val="16"/>
        </w:rPr>
        <w:t xml:space="preserve"> in the first growing cycle a variety exceeds a predefined upper limit of off-types the variety may be rejected after a single growing cycle.</w:t>
      </w:r>
    </w:p>
    <w:p w:rsidR="009956BC" w:rsidRPr="009956BC" w:rsidRDefault="009956BC" w:rsidP="009956BC">
      <w:pPr>
        <w:ind w:left="567" w:right="567"/>
        <w:rPr>
          <w:sz w:val="18"/>
        </w:rPr>
      </w:pPr>
    </w:p>
    <w:p w:rsidR="009956BC" w:rsidRPr="009956BC" w:rsidRDefault="009956BC" w:rsidP="009956BC">
      <w:pPr>
        <w:ind w:left="567" w:right="567"/>
        <w:rPr>
          <w:sz w:val="18"/>
        </w:rPr>
      </w:pPr>
    </w:p>
    <w:p w:rsidR="009956BC" w:rsidRPr="009956BC" w:rsidRDefault="009956BC" w:rsidP="009956BC">
      <w:pPr>
        <w:ind w:right="567" w:firstLine="567"/>
        <w:rPr>
          <w:sz w:val="18"/>
          <w:u w:val="single"/>
        </w:rPr>
      </w:pPr>
      <w:r w:rsidRPr="009956BC">
        <w:rPr>
          <w:sz w:val="18"/>
          <w:u w:val="single"/>
        </w:rPr>
        <w:t xml:space="preserve">New Section 4.8: Assessing uniformity by off-types on the basis of sub-samples within a single test/trial </w:t>
      </w:r>
    </w:p>
    <w:p w:rsidR="009956BC" w:rsidRPr="009956BC" w:rsidRDefault="009956BC" w:rsidP="009956BC">
      <w:pPr>
        <w:ind w:left="567" w:right="567"/>
        <w:rPr>
          <w:sz w:val="18"/>
        </w:rPr>
      </w:pPr>
    </w:p>
    <w:p w:rsidR="009956BC" w:rsidRPr="009956BC" w:rsidRDefault="009956BC" w:rsidP="009956BC">
      <w:pPr>
        <w:ind w:left="567" w:right="567" w:firstLine="567"/>
        <w:rPr>
          <w:i/>
          <w:sz w:val="18"/>
        </w:rPr>
      </w:pPr>
      <w:r w:rsidRPr="009956BC">
        <w:rPr>
          <w:i/>
          <w:sz w:val="18"/>
        </w:rPr>
        <w:t>Approach:  Use of sub-sample as a first step of assessment</w:t>
      </w:r>
    </w:p>
    <w:p w:rsidR="009956BC" w:rsidRPr="009956BC" w:rsidRDefault="009956BC" w:rsidP="009956BC">
      <w:pPr>
        <w:ind w:left="567" w:right="567"/>
        <w:rPr>
          <w:b/>
          <w:sz w:val="18"/>
        </w:rPr>
      </w:pPr>
    </w:p>
    <w:p w:rsidR="009956BC" w:rsidRPr="009956BC" w:rsidRDefault="009956BC" w:rsidP="009956BC">
      <w:pPr>
        <w:ind w:left="567" w:right="567"/>
        <w:rPr>
          <w:sz w:val="18"/>
        </w:rPr>
      </w:pPr>
      <w:r w:rsidRPr="009956BC">
        <w:rPr>
          <w:sz w:val="18"/>
        </w:rPr>
        <w:t xml:space="preserve">A variety </w:t>
      </w:r>
      <w:proofErr w:type="gramStart"/>
      <w:r w:rsidRPr="009956BC">
        <w:rPr>
          <w:sz w:val="18"/>
        </w:rPr>
        <w:t>is considered</w:t>
      </w:r>
      <w:proofErr w:type="gramEnd"/>
      <w:r w:rsidRPr="009956BC">
        <w:rPr>
          <w:sz w:val="18"/>
        </w:rPr>
        <w:t xml:space="preserve"> uniform if the number of off-types does not exceed a predefined lower limit in the sub</w:t>
      </w:r>
      <w:r w:rsidRPr="009956BC">
        <w:rPr>
          <w:sz w:val="18"/>
        </w:rPr>
        <w:noBreakHyphen/>
        <w:t>sample.</w:t>
      </w:r>
    </w:p>
    <w:p w:rsidR="009956BC" w:rsidRPr="009956BC" w:rsidRDefault="009956BC" w:rsidP="009956BC">
      <w:pPr>
        <w:ind w:left="567" w:right="567"/>
        <w:rPr>
          <w:sz w:val="18"/>
        </w:rPr>
      </w:pPr>
    </w:p>
    <w:p w:rsidR="009956BC" w:rsidRPr="009956BC" w:rsidRDefault="009956BC" w:rsidP="009956BC">
      <w:pPr>
        <w:ind w:left="567" w:right="567"/>
        <w:rPr>
          <w:sz w:val="18"/>
        </w:rPr>
      </w:pPr>
      <w:r w:rsidRPr="009956BC">
        <w:rPr>
          <w:sz w:val="18"/>
        </w:rPr>
        <w:t>A variety is considered non–uniform if the number of off-types exceeds a predefined upper limit in the sub</w:t>
      </w:r>
      <w:r w:rsidRPr="009956BC">
        <w:rPr>
          <w:sz w:val="18"/>
        </w:rPr>
        <w:noBreakHyphen/>
        <w:t>sample.</w:t>
      </w:r>
    </w:p>
    <w:p w:rsidR="009956BC" w:rsidRPr="009956BC" w:rsidRDefault="009956BC" w:rsidP="009956BC">
      <w:pPr>
        <w:ind w:left="567" w:right="567"/>
        <w:rPr>
          <w:sz w:val="18"/>
        </w:rPr>
      </w:pPr>
    </w:p>
    <w:p w:rsidR="009956BC" w:rsidRPr="009956BC" w:rsidRDefault="009956BC" w:rsidP="009956BC">
      <w:pPr>
        <w:ind w:left="567" w:right="567"/>
        <w:rPr>
          <w:sz w:val="18"/>
        </w:rPr>
      </w:pPr>
      <w:r w:rsidRPr="009956BC">
        <w:rPr>
          <w:sz w:val="18"/>
        </w:rPr>
        <w:t xml:space="preserve">If the number of off-types is between the predefined lower and upper limits, the whole sample </w:t>
      </w:r>
      <w:proofErr w:type="gramStart"/>
      <w:r w:rsidRPr="009956BC">
        <w:rPr>
          <w:sz w:val="18"/>
        </w:rPr>
        <w:t>is assessed</w:t>
      </w:r>
      <w:proofErr w:type="gramEnd"/>
      <w:r w:rsidRPr="009956BC">
        <w:rPr>
          <w:sz w:val="18"/>
        </w:rPr>
        <w:t xml:space="preserve">. The lower and upper limits have to </w:t>
      </w:r>
      <w:proofErr w:type="gramStart"/>
      <w:r w:rsidRPr="009956BC">
        <w:rPr>
          <w:sz w:val="18"/>
        </w:rPr>
        <w:t>be chosen</w:t>
      </w:r>
      <w:proofErr w:type="gramEnd"/>
      <w:r w:rsidRPr="009956BC">
        <w:rPr>
          <w:sz w:val="18"/>
        </w:rPr>
        <w:t xml:space="preserve"> considering comparable type I and type II errors in the sub</w:t>
      </w:r>
      <w:r w:rsidRPr="009956BC">
        <w:rPr>
          <w:sz w:val="18"/>
        </w:rPr>
        <w:noBreakHyphen/>
        <w:t>sample and the whole sample.</w:t>
      </w:r>
    </w:p>
    <w:p w:rsidR="009956BC" w:rsidRPr="009956BC" w:rsidRDefault="009956BC" w:rsidP="009956BC">
      <w:pPr>
        <w:ind w:left="567" w:right="567"/>
        <w:rPr>
          <w:sz w:val="18"/>
        </w:rPr>
      </w:pPr>
    </w:p>
    <w:p w:rsidR="009956BC" w:rsidRPr="009956BC" w:rsidRDefault="009956BC" w:rsidP="009956BC">
      <w:pPr>
        <w:ind w:left="567" w:right="567" w:firstLine="567"/>
        <w:rPr>
          <w:i/>
          <w:sz w:val="18"/>
          <w:szCs w:val="24"/>
        </w:rPr>
      </w:pPr>
      <w:r w:rsidRPr="009956BC">
        <w:rPr>
          <w:i/>
          <w:sz w:val="18"/>
          <w:szCs w:val="24"/>
        </w:rPr>
        <w:t>Example:</w:t>
      </w:r>
    </w:p>
    <w:p w:rsidR="009956BC" w:rsidRPr="009956BC" w:rsidRDefault="009956BC" w:rsidP="009956BC">
      <w:pPr>
        <w:ind w:left="567" w:right="567"/>
        <w:rPr>
          <w:sz w:val="18"/>
          <w:szCs w:val="24"/>
        </w:rPr>
      </w:pPr>
    </w:p>
    <w:p w:rsidR="009956BC" w:rsidRPr="009956BC" w:rsidRDefault="009956BC" w:rsidP="009956BC">
      <w:pPr>
        <w:autoSpaceDE w:val="0"/>
        <w:autoSpaceDN w:val="0"/>
        <w:adjustRightInd w:val="0"/>
        <w:ind w:left="567" w:right="567"/>
        <w:rPr>
          <w:color w:val="000000"/>
          <w:sz w:val="18"/>
          <w:szCs w:val="24"/>
        </w:rPr>
      </w:pPr>
      <w:r w:rsidRPr="009956BC">
        <w:rPr>
          <w:color w:val="000000"/>
          <w:sz w:val="18"/>
          <w:szCs w:val="24"/>
        </w:rPr>
        <w:t xml:space="preserve">In a sample size of 100 plants, the acceptable number of off-types is </w:t>
      </w:r>
      <w:proofErr w:type="gramStart"/>
      <w:r w:rsidRPr="009956BC">
        <w:rPr>
          <w:color w:val="000000"/>
          <w:sz w:val="18"/>
          <w:szCs w:val="24"/>
        </w:rPr>
        <w:t>3</w:t>
      </w:r>
      <w:proofErr w:type="gramEnd"/>
      <w:r w:rsidRPr="009956BC">
        <w:rPr>
          <w:color w:val="000000"/>
          <w:sz w:val="18"/>
          <w:szCs w:val="24"/>
        </w:rPr>
        <w:t xml:space="preserve"> (based on a population standard of 1% and an acceptance probability of at least 95%).</w:t>
      </w:r>
    </w:p>
    <w:p w:rsidR="009956BC" w:rsidRPr="009956BC" w:rsidRDefault="009956BC" w:rsidP="009956BC">
      <w:pPr>
        <w:autoSpaceDE w:val="0"/>
        <w:autoSpaceDN w:val="0"/>
        <w:adjustRightInd w:val="0"/>
        <w:ind w:left="567" w:right="567"/>
        <w:rPr>
          <w:color w:val="000000"/>
          <w:sz w:val="18"/>
          <w:szCs w:val="24"/>
        </w:rPr>
      </w:pPr>
    </w:p>
    <w:p w:rsidR="009956BC" w:rsidRPr="009956BC" w:rsidRDefault="009956BC" w:rsidP="009956BC">
      <w:pPr>
        <w:autoSpaceDE w:val="0"/>
        <w:autoSpaceDN w:val="0"/>
        <w:adjustRightInd w:val="0"/>
        <w:ind w:left="567" w:right="567"/>
        <w:rPr>
          <w:color w:val="000000"/>
          <w:sz w:val="18"/>
          <w:szCs w:val="24"/>
        </w:rPr>
      </w:pPr>
      <w:r w:rsidRPr="009956BC">
        <w:rPr>
          <w:color w:val="000000"/>
          <w:sz w:val="18"/>
          <w:szCs w:val="24"/>
        </w:rPr>
        <w:t>In a subsample of 20 plants used in the context of the sample size of 100 plants above:</w:t>
      </w:r>
    </w:p>
    <w:p w:rsidR="009956BC" w:rsidRPr="009956BC" w:rsidRDefault="009956BC" w:rsidP="009956BC">
      <w:pPr>
        <w:autoSpaceDE w:val="0"/>
        <w:autoSpaceDN w:val="0"/>
        <w:adjustRightInd w:val="0"/>
        <w:ind w:left="567" w:right="567"/>
        <w:rPr>
          <w:color w:val="000000"/>
          <w:sz w:val="18"/>
          <w:szCs w:val="24"/>
        </w:rPr>
      </w:pPr>
    </w:p>
    <w:p w:rsidR="009956BC" w:rsidRPr="009956BC" w:rsidRDefault="009956BC" w:rsidP="009956BC">
      <w:pPr>
        <w:ind w:left="567" w:right="567"/>
        <w:rPr>
          <w:sz w:val="18"/>
        </w:rPr>
      </w:pPr>
      <w:r w:rsidRPr="009956BC">
        <w:rPr>
          <w:sz w:val="18"/>
        </w:rPr>
        <w:lastRenderedPageBreak/>
        <w:t xml:space="preserve">A variety </w:t>
      </w:r>
      <w:proofErr w:type="gramStart"/>
      <w:r w:rsidRPr="009956BC">
        <w:rPr>
          <w:sz w:val="18"/>
        </w:rPr>
        <w:t>is considered</w:t>
      </w:r>
      <w:proofErr w:type="gramEnd"/>
      <w:r w:rsidRPr="009956BC">
        <w:rPr>
          <w:sz w:val="18"/>
        </w:rPr>
        <w:t xml:space="preserve"> uniform if no off-types are observed in the sub-sample.</w:t>
      </w:r>
    </w:p>
    <w:p w:rsidR="009956BC" w:rsidRPr="009956BC" w:rsidRDefault="009956BC" w:rsidP="009956BC">
      <w:pPr>
        <w:ind w:left="567" w:right="567"/>
        <w:rPr>
          <w:sz w:val="18"/>
        </w:rPr>
      </w:pPr>
    </w:p>
    <w:p w:rsidR="009956BC" w:rsidRPr="009956BC" w:rsidRDefault="009956BC" w:rsidP="009956BC">
      <w:pPr>
        <w:ind w:left="567" w:right="567"/>
        <w:rPr>
          <w:sz w:val="18"/>
        </w:rPr>
      </w:pPr>
      <w:r w:rsidRPr="009956BC">
        <w:rPr>
          <w:sz w:val="18"/>
        </w:rPr>
        <w:t xml:space="preserve">A variety is considered non–uniform if the number of off-types in the sub-sample exceeds </w:t>
      </w:r>
      <w:proofErr w:type="gramStart"/>
      <w:r w:rsidRPr="009956BC">
        <w:rPr>
          <w:sz w:val="18"/>
        </w:rPr>
        <w:t>3</w:t>
      </w:r>
      <w:proofErr w:type="gramEnd"/>
      <w:r w:rsidRPr="009956BC">
        <w:rPr>
          <w:sz w:val="18"/>
        </w:rPr>
        <w:t>.</w:t>
      </w:r>
    </w:p>
    <w:p w:rsidR="009956BC" w:rsidRPr="009956BC" w:rsidRDefault="009956BC" w:rsidP="009956BC">
      <w:pPr>
        <w:ind w:left="567" w:right="567"/>
        <w:rPr>
          <w:sz w:val="18"/>
        </w:rPr>
      </w:pPr>
    </w:p>
    <w:p w:rsidR="009956BC" w:rsidRPr="009956BC" w:rsidRDefault="009956BC" w:rsidP="009956BC">
      <w:pPr>
        <w:ind w:left="567" w:right="567"/>
        <w:rPr>
          <w:sz w:val="18"/>
        </w:rPr>
      </w:pPr>
      <w:r w:rsidRPr="009956BC">
        <w:rPr>
          <w:sz w:val="18"/>
        </w:rPr>
        <w:t xml:space="preserve">If the number of off-types is 1 to 3, the whole sample of 100 plants </w:t>
      </w:r>
      <w:proofErr w:type="gramStart"/>
      <w:r w:rsidRPr="009956BC">
        <w:rPr>
          <w:sz w:val="18"/>
        </w:rPr>
        <w:t>is assessed</w:t>
      </w:r>
      <w:proofErr w:type="gramEnd"/>
      <w:r w:rsidRPr="009956BC">
        <w:rPr>
          <w:sz w:val="18"/>
        </w:rPr>
        <w:t>.</w:t>
      </w:r>
    </w:p>
    <w:p w:rsidR="009956BC" w:rsidRPr="009956BC" w:rsidRDefault="009956BC" w:rsidP="009956BC">
      <w:pPr>
        <w:ind w:left="567" w:right="567"/>
        <w:rPr>
          <w:sz w:val="18"/>
        </w:rPr>
      </w:pPr>
    </w:p>
    <w:p w:rsidR="009956BC" w:rsidRPr="009956BC" w:rsidRDefault="009956BC" w:rsidP="009956BC">
      <w:pPr>
        <w:ind w:left="567" w:right="567"/>
        <w:rPr>
          <w:sz w:val="18"/>
        </w:rPr>
      </w:pPr>
      <w:r w:rsidRPr="009956BC">
        <w:rPr>
          <w:rFonts w:cs="Arial"/>
          <w:sz w:val="18"/>
        </w:rPr>
        <w:t xml:space="preserve">If the number of off-types in the sample of 100 plants exceeds </w:t>
      </w:r>
      <w:proofErr w:type="gramStart"/>
      <w:r w:rsidRPr="009956BC">
        <w:rPr>
          <w:rFonts w:cs="Arial"/>
          <w:sz w:val="18"/>
        </w:rPr>
        <w:t>3</w:t>
      </w:r>
      <w:proofErr w:type="gramEnd"/>
      <w:r w:rsidRPr="009956BC">
        <w:rPr>
          <w:rFonts w:cs="Arial"/>
          <w:sz w:val="18"/>
        </w:rPr>
        <w:t>, the variety is considered non-uniform.</w:t>
      </w:r>
    </w:p>
    <w:p w:rsidR="009956BC" w:rsidRPr="009956BC" w:rsidRDefault="009956BC" w:rsidP="009956BC"/>
    <w:p w:rsidR="009956BC" w:rsidRPr="009956BC" w:rsidRDefault="009956BC" w:rsidP="009956BC"/>
    <w:p w:rsidR="009956BC" w:rsidRPr="009956BC" w:rsidRDefault="009956BC" w:rsidP="009956BC"/>
    <w:p w:rsidR="009956BC" w:rsidRPr="009956BC" w:rsidRDefault="009956BC" w:rsidP="009956BC">
      <w:pPr>
        <w:jc w:val="right"/>
      </w:pPr>
      <w:r w:rsidRPr="009956BC">
        <w:t>[Annex IV follows]</w:t>
      </w:r>
    </w:p>
    <w:p w:rsidR="009956BC" w:rsidRPr="009956BC" w:rsidRDefault="009956BC" w:rsidP="009956BC"/>
    <w:p w:rsidR="009956BC" w:rsidRPr="009956BC" w:rsidRDefault="009956BC" w:rsidP="009956BC">
      <w:pPr>
        <w:sectPr w:rsidR="009956BC" w:rsidRPr="009956BC" w:rsidSect="001270B2">
          <w:headerReference w:type="default" r:id="rId20"/>
          <w:headerReference w:type="first" r:id="rId21"/>
          <w:pgSz w:w="11907" w:h="16840" w:code="9"/>
          <w:pgMar w:top="510" w:right="1134" w:bottom="709" w:left="1134" w:header="510" w:footer="680" w:gutter="0"/>
          <w:pgNumType w:start="1"/>
          <w:cols w:space="720"/>
          <w:titlePg/>
        </w:sectPr>
      </w:pPr>
    </w:p>
    <w:p w:rsidR="009956BC" w:rsidRPr="009956BC" w:rsidRDefault="009956BC" w:rsidP="009956BC">
      <w:pPr>
        <w:jc w:val="center"/>
      </w:pPr>
      <w:r w:rsidRPr="009956BC">
        <w:lastRenderedPageBreak/>
        <w:t>MATTERS FOR ADOPTION BY THE COUNCIL IN 2019: DOCUMENT TGP/14</w:t>
      </w:r>
    </w:p>
    <w:p w:rsidR="009956BC" w:rsidRPr="009956BC" w:rsidRDefault="009956BC" w:rsidP="009956BC"/>
    <w:p w:rsidR="009956BC" w:rsidRPr="009956BC" w:rsidRDefault="009956BC" w:rsidP="009956BC">
      <w:proofErr w:type="gramStart"/>
      <w:r w:rsidRPr="009956BC">
        <w:t>The following revisions of document TGP/14 “Glossary of terms used in UPOV documents” were agreed by the Technical Committee to be proposed for adoption by the Council at its fifty-third ordinary session, to be held in Geneva on November 1, 2019, subject to approval by the CAJ, at its seventy-sixth session, to be held in Geneva on October 30, 2019.</w:t>
      </w:r>
      <w:proofErr w:type="gramEnd"/>
    </w:p>
    <w:p w:rsidR="009956BC" w:rsidRPr="009956BC" w:rsidRDefault="009956BC" w:rsidP="009956BC"/>
    <w:p w:rsidR="009956BC" w:rsidRPr="009956BC" w:rsidRDefault="009956BC" w:rsidP="009956BC">
      <w:pPr>
        <w:rPr>
          <w:u w:val="single"/>
        </w:rPr>
      </w:pPr>
      <w:r w:rsidRPr="009956BC">
        <w:rPr>
          <w:u w:val="single"/>
        </w:rPr>
        <w:t>(</w:t>
      </w:r>
      <w:proofErr w:type="spellStart"/>
      <w:r w:rsidRPr="009956BC">
        <w:rPr>
          <w:u w:val="single"/>
        </w:rPr>
        <w:t>i</w:t>
      </w:r>
      <w:proofErr w:type="spellEnd"/>
      <w:r w:rsidRPr="009956BC">
        <w:rPr>
          <w:u w:val="single"/>
        </w:rPr>
        <w:t>)</w:t>
      </w:r>
      <w:r w:rsidRPr="009956BC">
        <w:rPr>
          <w:u w:val="single"/>
        </w:rPr>
        <w:tab/>
        <w:t>Illustrations for shape and ratio characteristics</w:t>
      </w:r>
    </w:p>
    <w:p w:rsidR="009956BC" w:rsidRPr="009956BC" w:rsidRDefault="009956BC" w:rsidP="009956BC">
      <w:pPr>
        <w:rPr>
          <w:snapToGrid w:val="0"/>
        </w:rPr>
      </w:pPr>
    </w:p>
    <w:p w:rsidR="009956BC" w:rsidRPr="009956BC" w:rsidRDefault="009956BC" w:rsidP="009956BC">
      <w:r w:rsidRPr="009956BC">
        <w:fldChar w:fldCharType="begin"/>
      </w:r>
      <w:r w:rsidRPr="009956BC">
        <w:instrText xml:space="preserve"> AUTONUM  </w:instrText>
      </w:r>
      <w:r w:rsidRPr="009956BC">
        <w:fldChar w:fldCharType="end"/>
      </w:r>
      <w:r w:rsidRPr="009956BC">
        <w:tab/>
      </w:r>
      <w:proofErr w:type="gramStart"/>
      <w:r w:rsidRPr="009956BC">
        <w:t>The TC, at its fifty-third session, held in Geneva from April 3 to 5, 2017, agreed to revise document TGP/14: Section 2: Subsection 2: “Shapes and structures” to amend the grid for position of broadest part and width/ratio presented in Example 5, Alternative 2, to remove the wording on “ratio” and to display “relative width” in a separate column from the scale of “broad to narrow”, to read as follows (see document TC/53/31 “Report”, paragraph 141) (</w:t>
      </w:r>
      <w:r w:rsidRPr="009956BC">
        <w:rPr>
          <w:strike/>
          <w:highlight w:val="lightGray"/>
        </w:rPr>
        <w:t>highlighting and strikethrough</w:t>
      </w:r>
      <w:r w:rsidRPr="009956BC">
        <w:t xml:space="preserve"> for deletions and </w:t>
      </w:r>
      <w:r w:rsidRPr="009956BC">
        <w:rPr>
          <w:highlight w:val="lightGray"/>
          <w:u w:val="single"/>
        </w:rPr>
        <w:t>highlighting and underline</w:t>
      </w:r>
      <w:r w:rsidRPr="009956BC">
        <w:t xml:space="preserve"> for addition):</w:t>
      </w:r>
      <w:proofErr w:type="gramEnd"/>
    </w:p>
    <w:p w:rsidR="009956BC" w:rsidRPr="009956BC" w:rsidRDefault="009956BC" w:rsidP="009956BC">
      <w:pPr>
        <w:keepNext/>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422"/>
        <w:gridCol w:w="7"/>
        <w:gridCol w:w="276"/>
        <w:gridCol w:w="7"/>
        <w:gridCol w:w="1420"/>
        <w:gridCol w:w="1389"/>
        <w:gridCol w:w="19"/>
        <w:gridCol w:w="1370"/>
        <w:gridCol w:w="48"/>
        <w:gridCol w:w="1340"/>
        <w:gridCol w:w="1389"/>
        <w:gridCol w:w="1375"/>
        <w:gridCol w:w="14"/>
      </w:tblGrid>
      <w:tr w:rsidR="009956BC" w:rsidRPr="009956BC" w:rsidTr="001270B2">
        <w:trPr>
          <w:gridBefore w:val="1"/>
          <w:gridAfter w:val="1"/>
          <w:wBefore w:w="379" w:type="dxa"/>
          <w:wAfter w:w="14" w:type="dxa"/>
          <w:cantSplit/>
          <w:jc w:val="center"/>
        </w:trPr>
        <w:tc>
          <w:tcPr>
            <w:tcW w:w="422" w:type="dxa"/>
            <w:tcBorders>
              <w:top w:val="nil"/>
              <w:left w:val="nil"/>
              <w:bottom w:val="nil"/>
              <w:right w:val="nil"/>
            </w:tcBorders>
          </w:tcPr>
          <w:p w:rsidR="009956BC" w:rsidRPr="009956BC" w:rsidRDefault="009956BC" w:rsidP="009956BC">
            <w:pPr>
              <w:keepNext/>
              <w:keepLines/>
              <w:jc w:val="center"/>
              <w:rPr>
                <w:sz w:val="18"/>
              </w:rPr>
            </w:pPr>
          </w:p>
        </w:tc>
        <w:tc>
          <w:tcPr>
            <w:tcW w:w="283" w:type="dxa"/>
            <w:gridSpan w:val="2"/>
            <w:tcBorders>
              <w:top w:val="nil"/>
              <w:left w:val="nil"/>
              <w:bottom w:val="nil"/>
              <w:right w:val="nil"/>
            </w:tcBorders>
          </w:tcPr>
          <w:p w:rsidR="009956BC" w:rsidRPr="009956BC" w:rsidRDefault="009956BC" w:rsidP="009956BC">
            <w:pPr>
              <w:keepNext/>
              <w:keepLines/>
              <w:jc w:val="center"/>
              <w:rPr>
                <w:sz w:val="18"/>
              </w:rPr>
            </w:pPr>
          </w:p>
        </w:tc>
        <w:tc>
          <w:tcPr>
            <w:tcW w:w="8357" w:type="dxa"/>
            <w:gridSpan w:val="9"/>
            <w:tcBorders>
              <w:left w:val="single" w:sz="4" w:space="0" w:color="auto"/>
              <w:bottom w:val="nil"/>
            </w:tcBorders>
          </w:tcPr>
          <w:p w:rsidR="009956BC" w:rsidRPr="009956BC" w:rsidRDefault="009956BC" w:rsidP="009956BC">
            <w:pPr>
              <w:keepNext/>
              <w:keepLines/>
              <w:jc w:val="center"/>
              <w:rPr>
                <w:sz w:val="18"/>
              </w:rPr>
            </w:pPr>
            <w:r w:rsidRPr="009956BC">
              <w:rPr>
                <w:noProof/>
                <w:sz w:val="18"/>
              </w:rPr>
              <w:tab/>
            </w:r>
            <w:r w:rsidRPr="009956BC">
              <w:rPr>
                <w:noProof/>
                <w:sz w:val="18"/>
              </w:rPr>
              <w:sym w:font="Wingdings" w:char="F0DF"/>
            </w:r>
            <w:r w:rsidRPr="009956BC">
              <w:rPr>
                <w:noProof/>
                <w:sz w:val="18"/>
              </w:rPr>
              <w:tab/>
            </w:r>
            <w:r w:rsidRPr="009956BC">
              <w:rPr>
                <w:noProof/>
                <w:sz w:val="18"/>
              </w:rPr>
              <w:tab/>
            </w:r>
            <w:r w:rsidRPr="009956BC">
              <w:rPr>
                <w:sz w:val="18"/>
              </w:rPr>
              <w:t>broadest part</w:t>
            </w:r>
            <w:r w:rsidRPr="009956BC">
              <w:rPr>
                <w:sz w:val="18"/>
              </w:rPr>
              <w:tab/>
            </w:r>
            <w:r w:rsidRPr="009956BC">
              <w:rPr>
                <w:sz w:val="18"/>
              </w:rPr>
              <w:tab/>
            </w:r>
            <w:r w:rsidRPr="009956BC">
              <w:rPr>
                <w:noProof/>
                <w:sz w:val="18"/>
              </w:rPr>
              <w:sym w:font="Wingdings" w:char="F0E0"/>
            </w:r>
            <w:r w:rsidRPr="009956BC">
              <w:rPr>
                <w:noProof/>
                <w:sz w:val="18"/>
              </w:rPr>
              <w:t xml:space="preserve"> </w:t>
            </w:r>
            <w:r w:rsidRPr="009956BC">
              <w:rPr>
                <w:noProof/>
                <w:sz w:val="18"/>
              </w:rPr>
              <w:tab/>
            </w:r>
          </w:p>
        </w:tc>
      </w:tr>
      <w:tr w:rsidR="009956BC" w:rsidRPr="009956BC" w:rsidTr="001270B2">
        <w:trPr>
          <w:gridBefore w:val="1"/>
          <w:gridAfter w:val="1"/>
          <w:wBefore w:w="379" w:type="dxa"/>
          <w:wAfter w:w="14" w:type="dxa"/>
          <w:cantSplit/>
          <w:jc w:val="center"/>
        </w:trPr>
        <w:tc>
          <w:tcPr>
            <w:tcW w:w="422" w:type="dxa"/>
            <w:tcBorders>
              <w:top w:val="nil"/>
              <w:left w:val="nil"/>
              <w:bottom w:val="nil"/>
              <w:right w:val="nil"/>
            </w:tcBorders>
          </w:tcPr>
          <w:p w:rsidR="009956BC" w:rsidRPr="009956BC" w:rsidRDefault="009956BC" w:rsidP="009956BC">
            <w:pPr>
              <w:jc w:val="center"/>
              <w:rPr>
                <w:sz w:val="18"/>
              </w:rPr>
            </w:pPr>
          </w:p>
        </w:tc>
        <w:tc>
          <w:tcPr>
            <w:tcW w:w="283" w:type="dxa"/>
            <w:gridSpan w:val="2"/>
            <w:tcBorders>
              <w:top w:val="nil"/>
              <w:left w:val="nil"/>
              <w:bottom w:val="nil"/>
              <w:right w:val="nil"/>
            </w:tcBorders>
          </w:tcPr>
          <w:p w:rsidR="009956BC" w:rsidRPr="009956BC" w:rsidRDefault="009956BC" w:rsidP="009956BC">
            <w:pPr>
              <w:jc w:val="center"/>
              <w:rPr>
                <w:sz w:val="18"/>
              </w:rPr>
            </w:pPr>
          </w:p>
        </w:tc>
        <w:tc>
          <w:tcPr>
            <w:tcW w:w="2835" w:type="dxa"/>
            <w:gridSpan w:val="4"/>
            <w:tcBorders>
              <w:top w:val="single" w:sz="4" w:space="0" w:color="auto"/>
              <w:left w:val="single" w:sz="4" w:space="0" w:color="auto"/>
              <w:bottom w:val="single" w:sz="4" w:space="0" w:color="auto"/>
              <w:right w:val="single" w:sz="4" w:space="0" w:color="auto"/>
            </w:tcBorders>
          </w:tcPr>
          <w:p w:rsidR="009956BC" w:rsidRPr="009956BC" w:rsidRDefault="009956BC" w:rsidP="009956BC">
            <w:pPr>
              <w:jc w:val="center"/>
              <w:rPr>
                <w:sz w:val="18"/>
              </w:rPr>
            </w:pPr>
            <w:r w:rsidRPr="009956BC">
              <w:rPr>
                <w:noProof/>
                <w:sz w:val="18"/>
              </w:rPr>
              <w:t>(below middle)</w:t>
            </w:r>
          </w:p>
        </w:tc>
        <w:tc>
          <w:tcPr>
            <w:tcW w:w="1418" w:type="dxa"/>
            <w:gridSpan w:val="2"/>
            <w:tcBorders>
              <w:top w:val="single" w:sz="4" w:space="0" w:color="auto"/>
              <w:left w:val="single" w:sz="4" w:space="0" w:color="auto"/>
              <w:bottom w:val="single" w:sz="4" w:space="0" w:color="auto"/>
              <w:right w:val="single" w:sz="4" w:space="0" w:color="auto"/>
            </w:tcBorders>
          </w:tcPr>
          <w:p w:rsidR="009956BC" w:rsidRPr="009956BC" w:rsidRDefault="009956BC" w:rsidP="009956BC">
            <w:pPr>
              <w:jc w:val="center"/>
              <w:rPr>
                <w:sz w:val="18"/>
              </w:rPr>
            </w:pPr>
            <w:r w:rsidRPr="009956BC">
              <w:rPr>
                <w:sz w:val="18"/>
              </w:rPr>
              <w:t>at middle</w:t>
            </w:r>
          </w:p>
        </w:tc>
        <w:tc>
          <w:tcPr>
            <w:tcW w:w="4104" w:type="dxa"/>
            <w:gridSpan w:val="3"/>
            <w:tcBorders>
              <w:top w:val="single" w:sz="4" w:space="0" w:color="auto"/>
              <w:left w:val="single" w:sz="4" w:space="0" w:color="auto"/>
              <w:bottom w:val="single" w:sz="4" w:space="0" w:color="auto"/>
              <w:right w:val="single" w:sz="4" w:space="0" w:color="auto"/>
            </w:tcBorders>
          </w:tcPr>
          <w:p w:rsidR="009956BC" w:rsidRPr="009956BC" w:rsidRDefault="009956BC" w:rsidP="009956BC">
            <w:pPr>
              <w:jc w:val="center"/>
              <w:rPr>
                <w:sz w:val="18"/>
              </w:rPr>
            </w:pPr>
            <w:r w:rsidRPr="009956BC">
              <w:rPr>
                <w:noProof/>
                <w:sz w:val="18"/>
              </w:rPr>
              <w:t>(above middle)</w:t>
            </w:r>
          </w:p>
        </w:tc>
      </w:tr>
      <w:tr w:rsidR="009956BC" w:rsidRPr="009956BC" w:rsidTr="001270B2">
        <w:trPr>
          <w:gridBefore w:val="1"/>
          <w:wBefore w:w="379" w:type="dxa"/>
          <w:trHeight w:val="163"/>
          <w:jc w:val="center"/>
        </w:trPr>
        <w:tc>
          <w:tcPr>
            <w:tcW w:w="429" w:type="dxa"/>
            <w:gridSpan w:val="2"/>
            <w:tcBorders>
              <w:top w:val="nil"/>
              <w:left w:val="nil"/>
              <w:bottom w:val="nil"/>
              <w:right w:val="nil"/>
            </w:tcBorders>
          </w:tcPr>
          <w:p w:rsidR="009956BC" w:rsidRPr="009956BC" w:rsidRDefault="009956BC" w:rsidP="009956BC">
            <w:pPr>
              <w:jc w:val="center"/>
              <w:rPr>
                <w:sz w:val="18"/>
              </w:rPr>
            </w:pPr>
          </w:p>
        </w:tc>
        <w:tc>
          <w:tcPr>
            <w:tcW w:w="283" w:type="dxa"/>
            <w:gridSpan w:val="2"/>
            <w:tcBorders>
              <w:top w:val="nil"/>
              <w:left w:val="nil"/>
              <w:bottom w:val="nil"/>
              <w:right w:val="nil"/>
            </w:tcBorders>
          </w:tcPr>
          <w:p w:rsidR="009956BC" w:rsidRPr="009956BC" w:rsidRDefault="009956BC" w:rsidP="009956BC">
            <w:pPr>
              <w:jc w:val="center"/>
              <w:rPr>
                <w:sz w:val="18"/>
              </w:rPr>
            </w:pPr>
          </w:p>
        </w:tc>
        <w:tc>
          <w:tcPr>
            <w:tcW w:w="1420" w:type="dxa"/>
            <w:tcBorders>
              <w:top w:val="nil"/>
              <w:left w:val="nil"/>
              <w:bottom w:val="nil"/>
              <w:right w:val="nil"/>
            </w:tcBorders>
          </w:tcPr>
          <w:p w:rsidR="009956BC" w:rsidRPr="009956BC" w:rsidRDefault="009956BC" w:rsidP="009956BC">
            <w:pPr>
              <w:jc w:val="center"/>
              <w:rPr>
                <w:sz w:val="18"/>
              </w:rPr>
            </w:pPr>
          </w:p>
        </w:tc>
        <w:tc>
          <w:tcPr>
            <w:tcW w:w="1389" w:type="dxa"/>
            <w:tcBorders>
              <w:top w:val="nil"/>
              <w:left w:val="nil"/>
              <w:bottom w:val="nil"/>
              <w:right w:val="nil"/>
            </w:tcBorders>
          </w:tcPr>
          <w:p w:rsidR="009956BC" w:rsidRPr="009956BC" w:rsidRDefault="009956BC" w:rsidP="009956BC">
            <w:pPr>
              <w:jc w:val="center"/>
              <w:rPr>
                <w:sz w:val="18"/>
              </w:rPr>
            </w:pPr>
          </w:p>
        </w:tc>
        <w:tc>
          <w:tcPr>
            <w:tcW w:w="1389" w:type="dxa"/>
            <w:gridSpan w:val="2"/>
            <w:tcBorders>
              <w:top w:val="nil"/>
              <w:left w:val="nil"/>
              <w:bottom w:val="nil"/>
              <w:right w:val="nil"/>
            </w:tcBorders>
          </w:tcPr>
          <w:p w:rsidR="009956BC" w:rsidRPr="009956BC" w:rsidRDefault="009956BC" w:rsidP="009956BC">
            <w:pPr>
              <w:jc w:val="center"/>
              <w:rPr>
                <w:sz w:val="18"/>
              </w:rPr>
            </w:pPr>
          </w:p>
        </w:tc>
        <w:tc>
          <w:tcPr>
            <w:tcW w:w="1388" w:type="dxa"/>
            <w:gridSpan w:val="2"/>
            <w:tcBorders>
              <w:top w:val="nil"/>
              <w:left w:val="nil"/>
              <w:bottom w:val="nil"/>
              <w:right w:val="nil"/>
            </w:tcBorders>
          </w:tcPr>
          <w:p w:rsidR="009956BC" w:rsidRPr="009956BC" w:rsidRDefault="009956BC" w:rsidP="009956BC">
            <w:pPr>
              <w:jc w:val="center"/>
              <w:rPr>
                <w:sz w:val="18"/>
              </w:rPr>
            </w:pPr>
          </w:p>
        </w:tc>
        <w:tc>
          <w:tcPr>
            <w:tcW w:w="1389" w:type="dxa"/>
            <w:tcBorders>
              <w:top w:val="nil"/>
              <w:left w:val="nil"/>
              <w:bottom w:val="nil"/>
              <w:right w:val="nil"/>
            </w:tcBorders>
          </w:tcPr>
          <w:p w:rsidR="009956BC" w:rsidRPr="009956BC" w:rsidRDefault="009956BC" w:rsidP="009956BC">
            <w:pPr>
              <w:jc w:val="center"/>
              <w:rPr>
                <w:sz w:val="18"/>
              </w:rPr>
            </w:pPr>
          </w:p>
        </w:tc>
        <w:tc>
          <w:tcPr>
            <w:tcW w:w="1389" w:type="dxa"/>
            <w:gridSpan w:val="2"/>
            <w:tcBorders>
              <w:top w:val="nil"/>
              <w:left w:val="nil"/>
              <w:bottom w:val="nil"/>
              <w:right w:val="nil"/>
            </w:tcBorders>
          </w:tcPr>
          <w:p w:rsidR="009956BC" w:rsidRPr="009956BC" w:rsidRDefault="009956BC" w:rsidP="009956BC">
            <w:pPr>
              <w:jc w:val="center"/>
              <w:rPr>
                <w:sz w:val="18"/>
              </w:rPr>
            </w:pPr>
          </w:p>
        </w:tc>
      </w:tr>
      <w:tr w:rsidR="009956BC" w:rsidRPr="009956BC" w:rsidTr="001270B2">
        <w:trPr>
          <w:cantSplit/>
          <w:jc w:val="center"/>
        </w:trPr>
        <w:tc>
          <w:tcPr>
            <w:tcW w:w="379" w:type="dxa"/>
            <w:vMerge w:val="restart"/>
            <w:shd w:val="clear" w:color="auto" w:fill="auto"/>
            <w:textDirection w:val="btLr"/>
          </w:tcPr>
          <w:p w:rsidR="009956BC" w:rsidRPr="009956BC" w:rsidRDefault="009956BC" w:rsidP="009956BC">
            <w:pPr>
              <w:ind w:left="113" w:right="113"/>
              <w:jc w:val="center"/>
              <w:rPr>
                <w:noProof/>
                <w:sz w:val="18"/>
                <w:u w:val="single"/>
              </w:rPr>
            </w:pPr>
            <w:r w:rsidRPr="009956BC">
              <w:rPr>
                <w:noProof/>
                <w:sz w:val="18"/>
                <w:highlight w:val="lightGray"/>
                <w:u w:val="single"/>
              </w:rPr>
              <w:sym w:font="Wingdings" w:char="F0DF"/>
            </w:r>
            <w:r w:rsidRPr="009956BC">
              <w:rPr>
                <w:noProof/>
                <w:sz w:val="18"/>
                <w:highlight w:val="lightGray"/>
                <w:u w:val="single"/>
              </w:rPr>
              <w:t xml:space="preserve">                  relative </w:t>
            </w:r>
            <w:r w:rsidRPr="009956BC">
              <w:rPr>
                <w:sz w:val="18"/>
                <w:highlight w:val="lightGray"/>
                <w:u w:val="single"/>
              </w:rPr>
              <w:t xml:space="preserve">width                 </w:t>
            </w:r>
            <w:r w:rsidRPr="009956BC">
              <w:rPr>
                <w:noProof/>
                <w:sz w:val="18"/>
                <w:highlight w:val="lightGray"/>
                <w:u w:val="single"/>
              </w:rPr>
              <w:sym w:font="Wingdings" w:char="F0E0"/>
            </w:r>
          </w:p>
        </w:tc>
        <w:tc>
          <w:tcPr>
            <w:tcW w:w="429" w:type="dxa"/>
            <w:gridSpan w:val="2"/>
            <w:vMerge w:val="restart"/>
            <w:tcBorders>
              <w:top w:val="single" w:sz="4" w:space="0" w:color="auto"/>
              <w:right w:val="single" w:sz="4" w:space="0" w:color="auto"/>
            </w:tcBorders>
            <w:textDirection w:val="btLr"/>
          </w:tcPr>
          <w:p w:rsidR="009956BC" w:rsidRPr="009956BC" w:rsidRDefault="009956BC" w:rsidP="009956BC">
            <w:pPr>
              <w:ind w:left="113" w:right="113"/>
              <w:jc w:val="center"/>
              <w:rPr>
                <w:sz w:val="18"/>
              </w:rPr>
            </w:pPr>
            <w:r w:rsidRPr="009956BC">
              <w:rPr>
                <w:noProof/>
                <w:sz w:val="18"/>
              </w:rPr>
              <w:t xml:space="preserve">broad </w:t>
            </w:r>
            <w:r w:rsidRPr="009956BC">
              <w:rPr>
                <w:strike/>
                <w:noProof/>
                <w:sz w:val="18"/>
                <w:highlight w:val="lightGray"/>
              </w:rPr>
              <w:t>(</w:t>
            </w:r>
            <w:r w:rsidRPr="009956BC">
              <w:rPr>
                <w:i/>
                <w:strike/>
                <w:sz w:val="18"/>
                <w:highlight w:val="lightGray"/>
              </w:rPr>
              <w:t>low)</w:t>
            </w:r>
            <w:r w:rsidRPr="009956BC">
              <w:rPr>
                <w:noProof/>
                <w:sz w:val="18"/>
              </w:rPr>
              <w:sym w:font="Wingdings" w:char="F0DF"/>
            </w:r>
            <w:r w:rsidRPr="009956BC">
              <w:rPr>
                <w:noProof/>
                <w:sz w:val="18"/>
              </w:rPr>
              <w:tab/>
            </w:r>
            <w:r w:rsidRPr="009956BC">
              <w:rPr>
                <w:strike/>
                <w:sz w:val="18"/>
                <w:highlight w:val="lightGray"/>
              </w:rPr>
              <w:t>width</w:t>
            </w:r>
            <w:r w:rsidRPr="009956BC">
              <w:rPr>
                <w:strike/>
                <w:sz w:val="18"/>
              </w:rPr>
              <w:t xml:space="preserve"> </w:t>
            </w:r>
            <w:r w:rsidRPr="009956BC">
              <w:rPr>
                <w:strike/>
                <w:sz w:val="18"/>
                <w:highlight w:val="lightGray"/>
              </w:rPr>
              <w:t>(</w:t>
            </w:r>
            <w:r w:rsidRPr="009956BC">
              <w:rPr>
                <w:strike/>
                <w:color w:val="000000"/>
                <w:sz w:val="18"/>
                <w:highlight w:val="lightGray"/>
              </w:rPr>
              <w:t>ratio length/width)</w:t>
            </w:r>
            <w:r w:rsidRPr="009956BC">
              <w:rPr>
                <w:sz w:val="18"/>
              </w:rPr>
              <w:tab/>
            </w:r>
            <w:r w:rsidRPr="009956BC">
              <w:rPr>
                <w:noProof/>
                <w:sz w:val="18"/>
              </w:rPr>
              <w:sym w:font="Wingdings" w:char="F0E0"/>
            </w:r>
            <w:r w:rsidRPr="009956BC">
              <w:rPr>
                <w:noProof/>
                <w:sz w:val="18"/>
              </w:rPr>
              <w:t xml:space="preserve"> narrow </w:t>
            </w:r>
            <w:r w:rsidRPr="009956BC">
              <w:rPr>
                <w:strike/>
                <w:noProof/>
                <w:sz w:val="18"/>
                <w:highlight w:val="lightGray"/>
              </w:rPr>
              <w:t>(</w:t>
            </w:r>
            <w:r w:rsidRPr="009956BC">
              <w:rPr>
                <w:i/>
                <w:strike/>
                <w:sz w:val="18"/>
                <w:highlight w:val="lightGray"/>
              </w:rPr>
              <w:t>high</w:t>
            </w:r>
            <w:r w:rsidRPr="009956BC">
              <w:rPr>
                <w:strike/>
                <w:noProof/>
                <w:sz w:val="18"/>
                <w:highlight w:val="lightGray"/>
              </w:rPr>
              <w:t>)</w:t>
            </w:r>
          </w:p>
        </w:tc>
        <w:tc>
          <w:tcPr>
            <w:tcW w:w="283" w:type="dxa"/>
            <w:gridSpan w:val="2"/>
            <w:tcBorders>
              <w:top w:val="nil"/>
              <w:left w:val="nil"/>
              <w:bottom w:val="nil"/>
              <w:right w:val="nil"/>
            </w:tcBorders>
          </w:tcPr>
          <w:p w:rsidR="009956BC" w:rsidRPr="009956BC" w:rsidRDefault="009956BC" w:rsidP="009956BC">
            <w:pPr>
              <w:jc w:val="center"/>
              <w:rPr>
                <w:sz w:val="18"/>
              </w:rPr>
            </w:pPr>
          </w:p>
        </w:tc>
        <w:tc>
          <w:tcPr>
            <w:tcW w:w="1420" w:type="dxa"/>
            <w:tcBorders>
              <w:left w:val="single" w:sz="4" w:space="0" w:color="auto"/>
            </w:tcBorders>
          </w:tcPr>
          <w:p w:rsidR="009956BC" w:rsidRPr="009956BC" w:rsidRDefault="009956BC" w:rsidP="009956BC">
            <w:pPr>
              <w:jc w:val="center"/>
              <w:rPr>
                <w:sz w:val="18"/>
              </w:rPr>
            </w:pPr>
          </w:p>
        </w:tc>
        <w:tc>
          <w:tcPr>
            <w:tcW w:w="1389" w:type="dxa"/>
          </w:tcPr>
          <w:p w:rsidR="009956BC" w:rsidRPr="009956BC" w:rsidRDefault="009956BC" w:rsidP="009956BC">
            <w:pPr>
              <w:jc w:val="center"/>
              <w:rPr>
                <w:sz w:val="18"/>
              </w:rPr>
            </w:pPr>
          </w:p>
        </w:tc>
        <w:tc>
          <w:tcPr>
            <w:tcW w:w="1389" w:type="dxa"/>
            <w:gridSpan w:val="2"/>
          </w:tcPr>
          <w:p w:rsidR="009956BC" w:rsidRPr="009956BC" w:rsidRDefault="009956BC" w:rsidP="009956BC">
            <w:pPr>
              <w:jc w:val="center"/>
              <w:rPr>
                <w:sz w:val="18"/>
              </w:rPr>
            </w:pPr>
            <w:r w:rsidRPr="009956BC">
              <w:rPr>
                <w:noProof/>
                <w:sz w:val="18"/>
              </w:rPr>
              <w:drawing>
                <wp:inline distT="0" distB="0" distL="0" distR="0" wp14:anchorId="6F60EB4F" wp14:editId="74302D0F">
                  <wp:extent cx="171450" cy="1085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1450" cy="1085850"/>
                          </a:xfrm>
                          <a:prstGeom prst="rect">
                            <a:avLst/>
                          </a:prstGeom>
                          <a:noFill/>
                          <a:ln>
                            <a:noFill/>
                          </a:ln>
                        </pic:spPr>
                      </pic:pic>
                    </a:graphicData>
                  </a:graphic>
                </wp:inline>
              </w:drawing>
            </w:r>
          </w:p>
          <w:p w:rsidR="009956BC" w:rsidRPr="009956BC" w:rsidRDefault="009956BC" w:rsidP="009956BC">
            <w:pPr>
              <w:jc w:val="center"/>
              <w:rPr>
                <w:sz w:val="18"/>
              </w:rPr>
            </w:pPr>
            <w:r w:rsidRPr="009956BC">
              <w:rPr>
                <w:sz w:val="18"/>
              </w:rPr>
              <w:t xml:space="preserve">6 </w:t>
            </w:r>
          </w:p>
          <w:p w:rsidR="009956BC" w:rsidRPr="009956BC" w:rsidRDefault="009956BC" w:rsidP="009956BC">
            <w:pPr>
              <w:jc w:val="center"/>
              <w:rPr>
                <w:sz w:val="18"/>
              </w:rPr>
            </w:pPr>
            <w:r w:rsidRPr="009956BC">
              <w:rPr>
                <w:sz w:val="18"/>
              </w:rPr>
              <w:t>linear</w:t>
            </w:r>
          </w:p>
        </w:tc>
        <w:tc>
          <w:tcPr>
            <w:tcW w:w="1388" w:type="dxa"/>
            <w:gridSpan w:val="2"/>
          </w:tcPr>
          <w:p w:rsidR="009956BC" w:rsidRPr="009956BC" w:rsidRDefault="009956BC" w:rsidP="009956BC">
            <w:pPr>
              <w:jc w:val="center"/>
              <w:rPr>
                <w:sz w:val="18"/>
              </w:rPr>
            </w:pPr>
          </w:p>
        </w:tc>
        <w:tc>
          <w:tcPr>
            <w:tcW w:w="1389" w:type="dxa"/>
          </w:tcPr>
          <w:p w:rsidR="009956BC" w:rsidRPr="009956BC" w:rsidRDefault="009956BC" w:rsidP="009956BC">
            <w:pPr>
              <w:jc w:val="center"/>
              <w:rPr>
                <w:sz w:val="18"/>
              </w:rPr>
            </w:pPr>
          </w:p>
        </w:tc>
        <w:tc>
          <w:tcPr>
            <w:tcW w:w="1389" w:type="dxa"/>
            <w:gridSpan w:val="2"/>
          </w:tcPr>
          <w:p w:rsidR="009956BC" w:rsidRPr="009956BC" w:rsidRDefault="009956BC" w:rsidP="009956BC">
            <w:pPr>
              <w:jc w:val="center"/>
              <w:rPr>
                <w:sz w:val="18"/>
              </w:rPr>
            </w:pPr>
          </w:p>
        </w:tc>
      </w:tr>
      <w:tr w:rsidR="009956BC" w:rsidRPr="009956BC" w:rsidTr="001270B2">
        <w:trPr>
          <w:cantSplit/>
          <w:jc w:val="center"/>
        </w:trPr>
        <w:tc>
          <w:tcPr>
            <w:tcW w:w="379" w:type="dxa"/>
            <w:vMerge/>
            <w:shd w:val="clear" w:color="auto" w:fill="auto"/>
          </w:tcPr>
          <w:p w:rsidR="009956BC" w:rsidRPr="009956BC" w:rsidRDefault="009956BC" w:rsidP="009956BC">
            <w:pPr>
              <w:jc w:val="center"/>
              <w:rPr>
                <w:sz w:val="18"/>
              </w:rPr>
            </w:pPr>
          </w:p>
        </w:tc>
        <w:tc>
          <w:tcPr>
            <w:tcW w:w="429" w:type="dxa"/>
            <w:gridSpan w:val="2"/>
            <w:vMerge/>
            <w:tcBorders>
              <w:right w:val="single" w:sz="4" w:space="0" w:color="auto"/>
            </w:tcBorders>
          </w:tcPr>
          <w:p w:rsidR="009956BC" w:rsidRPr="009956BC" w:rsidRDefault="009956BC" w:rsidP="009956BC">
            <w:pPr>
              <w:jc w:val="center"/>
              <w:rPr>
                <w:sz w:val="18"/>
              </w:rPr>
            </w:pPr>
          </w:p>
        </w:tc>
        <w:tc>
          <w:tcPr>
            <w:tcW w:w="283" w:type="dxa"/>
            <w:gridSpan w:val="2"/>
            <w:tcBorders>
              <w:top w:val="nil"/>
              <w:left w:val="nil"/>
              <w:bottom w:val="nil"/>
              <w:right w:val="nil"/>
            </w:tcBorders>
          </w:tcPr>
          <w:p w:rsidR="009956BC" w:rsidRPr="009956BC" w:rsidRDefault="009956BC" w:rsidP="009956BC">
            <w:pPr>
              <w:jc w:val="center"/>
              <w:rPr>
                <w:sz w:val="18"/>
              </w:rPr>
            </w:pPr>
          </w:p>
        </w:tc>
        <w:tc>
          <w:tcPr>
            <w:tcW w:w="1420" w:type="dxa"/>
            <w:tcBorders>
              <w:left w:val="single" w:sz="4" w:space="0" w:color="auto"/>
            </w:tcBorders>
          </w:tcPr>
          <w:p w:rsidR="009956BC" w:rsidRPr="009956BC" w:rsidRDefault="009956BC" w:rsidP="009956BC">
            <w:pPr>
              <w:jc w:val="center"/>
              <w:rPr>
                <w:sz w:val="18"/>
              </w:rPr>
            </w:pPr>
          </w:p>
        </w:tc>
        <w:tc>
          <w:tcPr>
            <w:tcW w:w="1389" w:type="dxa"/>
          </w:tcPr>
          <w:p w:rsidR="009956BC" w:rsidRPr="009956BC" w:rsidRDefault="009956BC" w:rsidP="009956BC">
            <w:pPr>
              <w:jc w:val="center"/>
              <w:rPr>
                <w:sz w:val="18"/>
              </w:rPr>
            </w:pPr>
          </w:p>
        </w:tc>
        <w:tc>
          <w:tcPr>
            <w:tcW w:w="1389" w:type="dxa"/>
            <w:gridSpan w:val="2"/>
          </w:tcPr>
          <w:p w:rsidR="009956BC" w:rsidRPr="009956BC" w:rsidRDefault="009956BC" w:rsidP="009956BC">
            <w:pPr>
              <w:jc w:val="center"/>
              <w:rPr>
                <w:sz w:val="18"/>
              </w:rPr>
            </w:pPr>
            <w:r w:rsidRPr="009956BC">
              <w:rPr>
                <w:noProof/>
                <w:sz w:val="18"/>
              </w:rPr>
              <w:drawing>
                <wp:inline distT="0" distB="0" distL="0" distR="0" wp14:anchorId="773D7FEC" wp14:editId="0D617B18">
                  <wp:extent cx="371475" cy="10858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1475" cy="1085850"/>
                          </a:xfrm>
                          <a:prstGeom prst="rect">
                            <a:avLst/>
                          </a:prstGeom>
                          <a:noFill/>
                          <a:ln>
                            <a:noFill/>
                          </a:ln>
                        </pic:spPr>
                      </pic:pic>
                    </a:graphicData>
                  </a:graphic>
                </wp:inline>
              </w:drawing>
            </w:r>
          </w:p>
          <w:p w:rsidR="009956BC" w:rsidRPr="009956BC" w:rsidRDefault="009956BC" w:rsidP="009956BC">
            <w:pPr>
              <w:jc w:val="center"/>
              <w:rPr>
                <w:sz w:val="18"/>
              </w:rPr>
            </w:pPr>
            <w:r w:rsidRPr="009956BC">
              <w:rPr>
                <w:sz w:val="18"/>
              </w:rPr>
              <w:t>5</w:t>
            </w:r>
          </w:p>
          <w:p w:rsidR="009956BC" w:rsidRPr="009956BC" w:rsidRDefault="009956BC" w:rsidP="009956BC">
            <w:pPr>
              <w:jc w:val="center"/>
              <w:rPr>
                <w:sz w:val="18"/>
              </w:rPr>
            </w:pPr>
            <w:r w:rsidRPr="009956BC">
              <w:rPr>
                <w:sz w:val="18"/>
              </w:rPr>
              <w:t>oblong</w:t>
            </w:r>
          </w:p>
        </w:tc>
        <w:tc>
          <w:tcPr>
            <w:tcW w:w="1388" w:type="dxa"/>
            <w:gridSpan w:val="2"/>
          </w:tcPr>
          <w:p w:rsidR="009956BC" w:rsidRPr="009956BC" w:rsidRDefault="009956BC" w:rsidP="009956BC">
            <w:pPr>
              <w:jc w:val="center"/>
              <w:rPr>
                <w:sz w:val="18"/>
              </w:rPr>
            </w:pPr>
            <w:r w:rsidRPr="009956BC">
              <w:rPr>
                <w:noProof/>
                <w:sz w:val="18"/>
              </w:rPr>
              <w:drawing>
                <wp:inline distT="0" distB="0" distL="0" distR="0" wp14:anchorId="6FBC1305" wp14:editId="1D3295B6">
                  <wp:extent cx="266700" cy="1085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6700" cy="1085850"/>
                          </a:xfrm>
                          <a:prstGeom prst="rect">
                            <a:avLst/>
                          </a:prstGeom>
                          <a:noFill/>
                          <a:ln>
                            <a:noFill/>
                          </a:ln>
                        </pic:spPr>
                      </pic:pic>
                    </a:graphicData>
                  </a:graphic>
                </wp:inline>
              </w:drawing>
            </w:r>
          </w:p>
          <w:p w:rsidR="009956BC" w:rsidRPr="009956BC" w:rsidRDefault="009956BC" w:rsidP="009956BC">
            <w:pPr>
              <w:jc w:val="center"/>
              <w:rPr>
                <w:sz w:val="18"/>
              </w:rPr>
            </w:pPr>
            <w:r w:rsidRPr="009956BC">
              <w:rPr>
                <w:sz w:val="18"/>
              </w:rPr>
              <w:t>8</w:t>
            </w:r>
          </w:p>
          <w:p w:rsidR="009956BC" w:rsidRPr="009956BC" w:rsidRDefault="009956BC" w:rsidP="009956BC">
            <w:pPr>
              <w:jc w:val="center"/>
              <w:rPr>
                <w:sz w:val="18"/>
              </w:rPr>
            </w:pPr>
            <w:r w:rsidRPr="009956BC">
              <w:rPr>
                <w:sz w:val="18"/>
              </w:rPr>
              <w:t>oblanceolate</w:t>
            </w:r>
          </w:p>
        </w:tc>
        <w:tc>
          <w:tcPr>
            <w:tcW w:w="1389" w:type="dxa"/>
          </w:tcPr>
          <w:p w:rsidR="009956BC" w:rsidRPr="009956BC" w:rsidRDefault="009956BC" w:rsidP="009956BC">
            <w:pPr>
              <w:jc w:val="center"/>
              <w:rPr>
                <w:sz w:val="18"/>
              </w:rPr>
            </w:pPr>
            <w:r w:rsidRPr="009956BC">
              <w:rPr>
                <w:noProof/>
                <w:sz w:val="18"/>
              </w:rPr>
              <w:drawing>
                <wp:inline distT="0" distB="0" distL="0" distR="0" wp14:anchorId="38A63A5D" wp14:editId="5C19D40E">
                  <wp:extent cx="304800" cy="1076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800" cy="1076325"/>
                          </a:xfrm>
                          <a:prstGeom prst="rect">
                            <a:avLst/>
                          </a:prstGeom>
                          <a:noFill/>
                          <a:ln>
                            <a:noFill/>
                          </a:ln>
                        </pic:spPr>
                      </pic:pic>
                    </a:graphicData>
                  </a:graphic>
                </wp:inline>
              </w:drawing>
            </w:r>
          </w:p>
          <w:p w:rsidR="009956BC" w:rsidRPr="009956BC" w:rsidRDefault="009956BC" w:rsidP="009956BC">
            <w:pPr>
              <w:jc w:val="center"/>
              <w:rPr>
                <w:sz w:val="18"/>
              </w:rPr>
            </w:pPr>
            <w:r w:rsidRPr="009956BC">
              <w:rPr>
                <w:sz w:val="18"/>
              </w:rPr>
              <w:t>9</w:t>
            </w:r>
          </w:p>
          <w:p w:rsidR="009956BC" w:rsidRPr="009956BC" w:rsidRDefault="009956BC" w:rsidP="009956BC">
            <w:pPr>
              <w:jc w:val="center"/>
              <w:rPr>
                <w:sz w:val="18"/>
              </w:rPr>
            </w:pPr>
            <w:proofErr w:type="spellStart"/>
            <w:r w:rsidRPr="009956BC">
              <w:rPr>
                <w:sz w:val="18"/>
              </w:rPr>
              <w:t>spatulate</w:t>
            </w:r>
            <w:proofErr w:type="spellEnd"/>
          </w:p>
        </w:tc>
        <w:tc>
          <w:tcPr>
            <w:tcW w:w="1389" w:type="dxa"/>
            <w:gridSpan w:val="2"/>
          </w:tcPr>
          <w:p w:rsidR="009956BC" w:rsidRPr="009956BC" w:rsidRDefault="009956BC" w:rsidP="009956BC">
            <w:pPr>
              <w:jc w:val="center"/>
              <w:rPr>
                <w:sz w:val="18"/>
              </w:rPr>
            </w:pPr>
          </w:p>
        </w:tc>
      </w:tr>
      <w:tr w:rsidR="009956BC" w:rsidRPr="009956BC" w:rsidTr="001270B2">
        <w:trPr>
          <w:cantSplit/>
          <w:jc w:val="center"/>
        </w:trPr>
        <w:tc>
          <w:tcPr>
            <w:tcW w:w="379" w:type="dxa"/>
            <w:vMerge/>
            <w:shd w:val="clear" w:color="auto" w:fill="auto"/>
          </w:tcPr>
          <w:p w:rsidR="009956BC" w:rsidRPr="009956BC" w:rsidRDefault="009956BC" w:rsidP="009956BC">
            <w:pPr>
              <w:jc w:val="center"/>
              <w:rPr>
                <w:sz w:val="18"/>
              </w:rPr>
            </w:pPr>
          </w:p>
        </w:tc>
        <w:tc>
          <w:tcPr>
            <w:tcW w:w="429" w:type="dxa"/>
            <w:gridSpan w:val="2"/>
            <w:vMerge/>
            <w:tcBorders>
              <w:right w:val="single" w:sz="4" w:space="0" w:color="auto"/>
            </w:tcBorders>
          </w:tcPr>
          <w:p w:rsidR="009956BC" w:rsidRPr="009956BC" w:rsidRDefault="009956BC" w:rsidP="009956BC">
            <w:pPr>
              <w:jc w:val="center"/>
              <w:rPr>
                <w:sz w:val="18"/>
              </w:rPr>
            </w:pPr>
          </w:p>
        </w:tc>
        <w:tc>
          <w:tcPr>
            <w:tcW w:w="283" w:type="dxa"/>
            <w:gridSpan w:val="2"/>
            <w:tcBorders>
              <w:top w:val="nil"/>
              <w:left w:val="nil"/>
              <w:bottom w:val="nil"/>
              <w:right w:val="nil"/>
            </w:tcBorders>
          </w:tcPr>
          <w:p w:rsidR="009956BC" w:rsidRPr="009956BC" w:rsidRDefault="009956BC" w:rsidP="009956BC">
            <w:pPr>
              <w:jc w:val="center"/>
              <w:rPr>
                <w:sz w:val="18"/>
              </w:rPr>
            </w:pPr>
          </w:p>
        </w:tc>
        <w:tc>
          <w:tcPr>
            <w:tcW w:w="1420" w:type="dxa"/>
            <w:tcBorders>
              <w:left w:val="single" w:sz="4" w:space="0" w:color="auto"/>
            </w:tcBorders>
          </w:tcPr>
          <w:p w:rsidR="009956BC" w:rsidRPr="009956BC" w:rsidRDefault="009956BC" w:rsidP="009956BC">
            <w:pPr>
              <w:jc w:val="center"/>
              <w:rPr>
                <w:sz w:val="18"/>
              </w:rPr>
            </w:pPr>
            <w:r w:rsidRPr="009956BC">
              <w:rPr>
                <w:noProof/>
                <w:sz w:val="18"/>
              </w:rPr>
              <w:drawing>
                <wp:inline distT="0" distB="0" distL="0" distR="0" wp14:anchorId="65E907DB" wp14:editId="37DF568B">
                  <wp:extent cx="581025" cy="10477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1025" cy="1047750"/>
                          </a:xfrm>
                          <a:prstGeom prst="rect">
                            <a:avLst/>
                          </a:prstGeom>
                          <a:noFill/>
                          <a:ln>
                            <a:noFill/>
                          </a:ln>
                        </pic:spPr>
                      </pic:pic>
                    </a:graphicData>
                  </a:graphic>
                </wp:inline>
              </w:drawing>
            </w:r>
          </w:p>
          <w:p w:rsidR="009956BC" w:rsidRPr="009956BC" w:rsidRDefault="009956BC" w:rsidP="009956BC">
            <w:pPr>
              <w:jc w:val="center"/>
              <w:rPr>
                <w:sz w:val="18"/>
              </w:rPr>
            </w:pPr>
            <w:r w:rsidRPr="009956BC">
              <w:rPr>
                <w:sz w:val="18"/>
              </w:rPr>
              <w:t xml:space="preserve">1 </w:t>
            </w:r>
          </w:p>
          <w:p w:rsidR="009956BC" w:rsidRPr="009956BC" w:rsidRDefault="009956BC" w:rsidP="009956BC">
            <w:pPr>
              <w:jc w:val="center"/>
              <w:rPr>
                <w:sz w:val="18"/>
              </w:rPr>
            </w:pPr>
            <w:r w:rsidRPr="009956BC">
              <w:rPr>
                <w:sz w:val="18"/>
              </w:rPr>
              <w:t>triangular</w:t>
            </w:r>
          </w:p>
        </w:tc>
        <w:tc>
          <w:tcPr>
            <w:tcW w:w="1389" w:type="dxa"/>
          </w:tcPr>
          <w:p w:rsidR="009956BC" w:rsidRPr="009956BC" w:rsidRDefault="009956BC" w:rsidP="009956BC">
            <w:pPr>
              <w:jc w:val="center"/>
              <w:rPr>
                <w:sz w:val="18"/>
              </w:rPr>
            </w:pPr>
            <w:r w:rsidRPr="009956BC">
              <w:rPr>
                <w:noProof/>
                <w:sz w:val="18"/>
              </w:rPr>
              <w:drawing>
                <wp:inline distT="0" distB="0" distL="0" distR="0" wp14:anchorId="0E07E140" wp14:editId="5F59040D">
                  <wp:extent cx="504825" cy="10858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4825" cy="1085850"/>
                          </a:xfrm>
                          <a:prstGeom prst="rect">
                            <a:avLst/>
                          </a:prstGeom>
                          <a:noFill/>
                          <a:ln>
                            <a:noFill/>
                          </a:ln>
                        </pic:spPr>
                      </pic:pic>
                    </a:graphicData>
                  </a:graphic>
                </wp:inline>
              </w:drawing>
            </w:r>
          </w:p>
          <w:p w:rsidR="009956BC" w:rsidRPr="009956BC" w:rsidRDefault="009956BC" w:rsidP="009956BC">
            <w:pPr>
              <w:jc w:val="center"/>
              <w:rPr>
                <w:sz w:val="18"/>
              </w:rPr>
            </w:pPr>
            <w:r w:rsidRPr="009956BC">
              <w:rPr>
                <w:sz w:val="18"/>
              </w:rPr>
              <w:t>2</w:t>
            </w:r>
          </w:p>
          <w:p w:rsidR="009956BC" w:rsidRPr="009956BC" w:rsidRDefault="009956BC" w:rsidP="009956BC">
            <w:pPr>
              <w:jc w:val="center"/>
              <w:rPr>
                <w:sz w:val="18"/>
              </w:rPr>
            </w:pPr>
            <w:r w:rsidRPr="009956BC">
              <w:rPr>
                <w:sz w:val="18"/>
              </w:rPr>
              <w:t>ovate</w:t>
            </w:r>
          </w:p>
        </w:tc>
        <w:tc>
          <w:tcPr>
            <w:tcW w:w="1389" w:type="dxa"/>
            <w:gridSpan w:val="2"/>
          </w:tcPr>
          <w:p w:rsidR="009956BC" w:rsidRPr="009956BC" w:rsidRDefault="009956BC" w:rsidP="009956BC">
            <w:pPr>
              <w:jc w:val="center"/>
              <w:rPr>
                <w:sz w:val="18"/>
              </w:rPr>
            </w:pPr>
            <w:r w:rsidRPr="009956BC">
              <w:rPr>
                <w:noProof/>
                <w:sz w:val="18"/>
              </w:rPr>
              <w:drawing>
                <wp:inline distT="0" distB="0" distL="0" distR="0" wp14:anchorId="74FD6294" wp14:editId="37BBAB45">
                  <wp:extent cx="457200" cy="10763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1076325"/>
                          </a:xfrm>
                          <a:prstGeom prst="rect">
                            <a:avLst/>
                          </a:prstGeom>
                          <a:noFill/>
                          <a:ln>
                            <a:noFill/>
                          </a:ln>
                        </pic:spPr>
                      </pic:pic>
                    </a:graphicData>
                  </a:graphic>
                </wp:inline>
              </w:drawing>
            </w:r>
          </w:p>
          <w:p w:rsidR="009956BC" w:rsidRPr="009956BC" w:rsidRDefault="009956BC" w:rsidP="009956BC">
            <w:pPr>
              <w:jc w:val="center"/>
              <w:rPr>
                <w:sz w:val="18"/>
              </w:rPr>
            </w:pPr>
            <w:r w:rsidRPr="009956BC">
              <w:rPr>
                <w:sz w:val="18"/>
              </w:rPr>
              <w:t>4</w:t>
            </w:r>
          </w:p>
          <w:p w:rsidR="009956BC" w:rsidRPr="009956BC" w:rsidRDefault="009956BC" w:rsidP="009956BC">
            <w:pPr>
              <w:jc w:val="center"/>
              <w:rPr>
                <w:sz w:val="18"/>
              </w:rPr>
            </w:pPr>
            <w:r w:rsidRPr="009956BC">
              <w:rPr>
                <w:sz w:val="18"/>
              </w:rPr>
              <w:t>elliptic</w:t>
            </w:r>
          </w:p>
        </w:tc>
        <w:tc>
          <w:tcPr>
            <w:tcW w:w="1388" w:type="dxa"/>
            <w:gridSpan w:val="2"/>
          </w:tcPr>
          <w:p w:rsidR="009956BC" w:rsidRPr="009956BC" w:rsidRDefault="009956BC" w:rsidP="009956BC">
            <w:pPr>
              <w:jc w:val="center"/>
              <w:rPr>
                <w:sz w:val="18"/>
              </w:rPr>
            </w:pPr>
            <w:r w:rsidRPr="009956BC">
              <w:rPr>
                <w:noProof/>
                <w:sz w:val="18"/>
              </w:rPr>
              <w:drawing>
                <wp:inline distT="0" distB="0" distL="0" distR="0" wp14:anchorId="35A6584C" wp14:editId="49963A78">
                  <wp:extent cx="533400" cy="10763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3400" cy="1076325"/>
                          </a:xfrm>
                          <a:prstGeom prst="rect">
                            <a:avLst/>
                          </a:prstGeom>
                          <a:noFill/>
                          <a:ln>
                            <a:noFill/>
                          </a:ln>
                        </pic:spPr>
                      </pic:pic>
                    </a:graphicData>
                  </a:graphic>
                </wp:inline>
              </w:drawing>
            </w:r>
          </w:p>
          <w:p w:rsidR="009956BC" w:rsidRPr="009956BC" w:rsidRDefault="009956BC" w:rsidP="009956BC">
            <w:pPr>
              <w:jc w:val="center"/>
              <w:rPr>
                <w:sz w:val="18"/>
              </w:rPr>
            </w:pPr>
            <w:r w:rsidRPr="009956BC">
              <w:rPr>
                <w:sz w:val="18"/>
              </w:rPr>
              <w:t>7</w:t>
            </w:r>
          </w:p>
          <w:p w:rsidR="009956BC" w:rsidRPr="009956BC" w:rsidRDefault="009956BC" w:rsidP="009956BC">
            <w:pPr>
              <w:jc w:val="center"/>
              <w:rPr>
                <w:sz w:val="18"/>
              </w:rPr>
            </w:pPr>
            <w:r w:rsidRPr="009956BC">
              <w:rPr>
                <w:sz w:val="18"/>
              </w:rPr>
              <w:t>obovate</w:t>
            </w:r>
          </w:p>
        </w:tc>
        <w:tc>
          <w:tcPr>
            <w:tcW w:w="1389" w:type="dxa"/>
          </w:tcPr>
          <w:p w:rsidR="009956BC" w:rsidRPr="009956BC" w:rsidRDefault="009956BC" w:rsidP="009956BC">
            <w:pPr>
              <w:jc w:val="center"/>
              <w:rPr>
                <w:sz w:val="18"/>
              </w:rPr>
            </w:pPr>
          </w:p>
        </w:tc>
        <w:tc>
          <w:tcPr>
            <w:tcW w:w="1389" w:type="dxa"/>
            <w:gridSpan w:val="2"/>
          </w:tcPr>
          <w:p w:rsidR="009956BC" w:rsidRPr="009956BC" w:rsidRDefault="009956BC" w:rsidP="009956BC">
            <w:pPr>
              <w:jc w:val="center"/>
              <w:rPr>
                <w:sz w:val="18"/>
              </w:rPr>
            </w:pPr>
            <w:r w:rsidRPr="009956BC">
              <w:rPr>
                <w:noProof/>
                <w:sz w:val="18"/>
              </w:rPr>
              <w:drawing>
                <wp:inline distT="0" distB="0" distL="0" distR="0" wp14:anchorId="234DE5C9" wp14:editId="7E7521D6">
                  <wp:extent cx="523875" cy="10858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3875" cy="1085850"/>
                          </a:xfrm>
                          <a:prstGeom prst="rect">
                            <a:avLst/>
                          </a:prstGeom>
                          <a:noFill/>
                          <a:ln>
                            <a:noFill/>
                          </a:ln>
                        </pic:spPr>
                      </pic:pic>
                    </a:graphicData>
                  </a:graphic>
                </wp:inline>
              </w:drawing>
            </w:r>
          </w:p>
          <w:p w:rsidR="009956BC" w:rsidRPr="009956BC" w:rsidRDefault="009956BC" w:rsidP="009956BC">
            <w:pPr>
              <w:jc w:val="center"/>
              <w:rPr>
                <w:sz w:val="18"/>
              </w:rPr>
            </w:pPr>
            <w:r w:rsidRPr="009956BC">
              <w:rPr>
                <w:sz w:val="18"/>
              </w:rPr>
              <w:t xml:space="preserve">10 </w:t>
            </w:r>
            <w:proofErr w:type="spellStart"/>
            <w:r w:rsidRPr="009956BC">
              <w:rPr>
                <w:sz w:val="18"/>
              </w:rPr>
              <w:t>obtriangular</w:t>
            </w:r>
            <w:proofErr w:type="spellEnd"/>
          </w:p>
        </w:tc>
      </w:tr>
      <w:tr w:rsidR="009956BC" w:rsidRPr="009956BC" w:rsidTr="001270B2">
        <w:trPr>
          <w:cantSplit/>
          <w:trHeight w:val="2035"/>
          <w:jc w:val="center"/>
        </w:trPr>
        <w:tc>
          <w:tcPr>
            <w:tcW w:w="379" w:type="dxa"/>
            <w:vMerge/>
            <w:shd w:val="clear" w:color="auto" w:fill="auto"/>
          </w:tcPr>
          <w:p w:rsidR="009956BC" w:rsidRPr="009956BC" w:rsidRDefault="009956BC" w:rsidP="009956BC">
            <w:pPr>
              <w:jc w:val="center"/>
              <w:rPr>
                <w:sz w:val="18"/>
              </w:rPr>
            </w:pPr>
          </w:p>
        </w:tc>
        <w:tc>
          <w:tcPr>
            <w:tcW w:w="429" w:type="dxa"/>
            <w:gridSpan w:val="2"/>
            <w:vMerge/>
            <w:tcBorders>
              <w:right w:val="single" w:sz="4" w:space="0" w:color="auto"/>
            </w:tcBorders>
          </w:tcPr>
          <w:p w:rsidR="009956BC" w:rsidRPr="009956BC" w:rsidRDefault="009956BC" w:rsidP="009956BC">
            <w:pPr>
              <w:jc w:val="center"/>
              <w:rPr>
                <w:sz w:val="18"/>
              </w:rPr>
            </w:pPr>
          </w:p>
        </w:tc>
        <w:tc>
          <w:tcPr>
            <w:tcW w:w="283" w:type="dxa"/>
            <w:gridSpan w:val="2"/>
            <w:tcBorders>
              <w:top w:val="nil"/>
              <w:left w:val="nil"/>
              <w:bottom w:val="nil"/>
              <w:right w:val="nil"/>
            </w:tcBorders>
          </w:tcPr>
          <w:p w:rsidR="009956BC" w:rsidRPr="009956BC" w:rsidRDefault="009956BC" w:rsidP="009956BC">
            <w:pPr>
              <w:jc w:val="center"/>
              <w:rPr>
                <w:sz w:val="18"/>
              </w:rPr>
            </w:pPr>
          </w:p>
        </w:tc>
        <w:tc>
          <w:tcPr>
            <w:tcW w:w="1420" w:type="dxa"/>
            <w:tcBorders>
              <w:left w:val="single" w:sz="4" w:space="0" w:color="auto"/>
            </w:tcBorders>
          </w:tcPr>
          <w:p w:rsidR="009956BC" w:rsidRPr="009956BC" w:rsidRDefault="009956BC" w:rsidP="009956BC">
            <w:pPr>
              <w:jc w:val="center"/>
              <w:rPr>
                <w:sz w:val="18"/>
              </w:rPr>
            </w:pPr>
          </w:p>
        </w:tc>
        <w:tc>
          <w:tcPr>
            <w:tcW w:w="1389" w:type="dxa"/>
          </w:tcPr>
          <w:p w:rsidR="009956BC" w:rsidRPr="009956BC" w:rsidRDefault="009956BC" w:rsidP="009956BC">
            <w:pPr>
              <w:jc w:val="center"/>
              <w:rPr>
                <w:sz w:val="18"/>
              </w:rPr>
            </w:pPr>
          </w:p>
        </w:tc>
        <w:tc>
          <w:tcPr>
            <w:tcW w:w="1389" w:type="dxa"/>
            <w:gridSpan w:val="2"/>
          </w:tcPr>
          <w:p w:rsidR="009956BC" w:rsidRPr="009956BC" w:rsidRDefault="009956BC" w:rsidP="009956BC">
            <w:pPr>
              <w:jc w:val="center"/>
              <w:rPr>
                <w:sz w:val="18"/>
              </w:rPr>
            </w:pPr>
            <w:r w:rsidRPr="009956BC">
              <w:rPr>
                <w:noProof/>
                <w:sz w:val="18"/>
              </w:rPr>
              <w:drawing>
                <wp:inline distT="0" distB="0" distL="0" distR="0" wp14:anchorId="6EA01C6E" wp14:editId="0F6F9463">
                  <wp:extent cx="600075" cy="8572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p>
          <w:p w:rsidR="009956BC" w:rsidRPr="009956BC" w:rsidRDefault="009956BC" w:rsidP="009956BC">
            <w:pPr>
              <w:jc w:val="center"/>
              <w:rPr>
                <w:sz w:val="18"/>
              </w:rPr>
            </w:pPr>
            <w:r w:rsidRPr="009956BC">
              <w:rPr>
                <w:sz w:val="18"/>
              </w:rPr>
              <w:t>3</w:t>
            </w:r>
          </w:p>
          <w:p w:rsidR="009956BC" w:rsidRPr="009956BC" w:rsidRDefault="009956BC" w:rsidP="009956BC">
            <w:pPr>
              <w:jc w:val="center"/>
              <w:rPr>
                <w:sz w:val="18"/>
              </w:rPr>
            </w:pPr>
            <w:r w:rsidRPr="009956BC">
              <w:rPr>
                <w:sz w:val="18"/>
              </w:rPr>
              <w:t>circular</w:t>
            </w:r>
          </w:p>
        </w:tc>
        <w:tc>
          <w:tcPr>
            <w:tcW w:w="1388" w:type="dxa"/>
            <w:gridSpan w:val="2"/>
          </w:tcPr>
          <w:p w:rsidR="009956BC" w:rsidRPr="009956BC" w:rsidRDefault="009956BC" w:rsidP="009956BC">
            <w:pPr>
              <w:jc w:val="center"/>
              <w:rPr>
                <w:sz w:val="18"/>
              </w:rPr>
            </w:pPr>
          </w:p>
        </w:tc>
        <w:tc>
          <w:tcPr>
            <w:tcW w:w="1389" w:type="dxa"/>
          </w:tcPr>
          <w:p w:rsidR="009956BC" w:rsidRPr="009956BC" w:rsidRDefault="009956BC" w:rsidP="009956BC">
            <w:pPr>
              <w:jc w:val="center"/>
              <w:rPr>
                <w:sz w:val="18"/>
              </w:rPr>
            </w:pPr>
          </w:p>
        </w:tc>
        <w:tc>
          <w:tcPr>
            <w:tcW w:w="1389" w:type="dxa"/>
            <w:gridSpan w:val="2"/>
          </w:tcPr>
          <w:p w:rsidR="009956BC" w:rsidRPr="009956BC" w:rsidRDefault="009956BC" w:rsidP="009956BC">
            <w:pPr>
              <w:jc w:val="center"/>
              <w:rPr>
                <w:sz w:val="18"/>
              </w:rPr>
            </w:pPr>
          </w:p>
        </w:tc>
      </w:tr>
    </w:tbl>
    <w:p w:rsidR="009956BC" w:rsidRPr="009956BC" w:rsidRDefault="009956BC" w:rsidP="009956BC"/>
    <w:p w:rsidR="009956BC" w:rsidRPr="009956BC" w:rsidRDefault="009956BC" w:rsidP="009956BC"/>
    <w:p w:rsidR="009956BC" w:rsidRPr="009956BC" w:rsidRDefault="009956BC" w:rsidP="009956BC">
      <w:pPr>
        <w:jc w:val="left"/>
      </w:pPr>
      <w:r w:rsidRPr="009956BC">
        <w:br w:type="page"/>
      </w:r>
    </w:p>
    <w:p w:rsidR="009956BC" w:rsidRPr="009956BC" w:rsidRDefault="009956BC" w:rsidP="009956BC">
      <w:pPr>
        <w:rPr>
          <w:rFonts w:eastAsia="MS Mincho"/>
          <w:u w:val="single"/>
        </w:rPr>
      </w:pPr>
      <w:r w:rsidRPr="009956BC">
        <w:rPr>
          <w:rFonts w:eastAsia="MS Mincho"/>
          <w:u w:val="single"/>
        </w:rPr>
        <w:lastRenderedPageBreak/>
        <w:t>(ii)</w:t>
      </w:r>
      <w:r w:rsidRPr="009956BC">
        <w:rPr>
          <w:rFonts w:eastAsia="MS Mincho"/>
          <w:u w:val="single"/>
        </w:rPr>
        <w:tab/>
        <w:t xml:space="preserve">Factors to </w:t>
      </w:r>
      <w:proofErr w:type="gramStart"/>
      <w:r w:rsidRPr="009956BC">
        <w:rPr>
          <w:rFonts w:eastAsia="MS Mincho"/>
          <w:u w:val="single"/>
        </w:rPr>
        <w:t>be considered</w:t>
      </w:r>
      <w:proofErr w:type="gramEnd"/>
      <w:r w:rsidRPr="009956BC">
        <w:rPr>
          <w:rFonts w:eastAsia="MS Mincho"/>
          <w:u w:val="single"/>
        </w:rPr>
        <w:t xml:space="preserve"> for creating color groups</w:t>
      </w:r>
    </w:p>
    <w:p w:rsidR="009956BC" w:rsidRPr="009956BC" w:rsidRDefault="009956BC" w:rsidP="009956BC"/>
    <w:p w:rsidR="009956BC" w:rsidRPr="009956BC" w:rsidRDefault="009956BC" w:rsidP="009956BC">
      <w:r w:rsidRPr="009956BC">
        <w:fldChar w:fldCharType="begin"/>
      </w:r>
      <w:r w:rsidRPr="009956BC">
        <w:instrText xml:space="preserve"> AUTONUM  </w:instrText>
      </w:r>
      <w:r w:rsidRPr="009956BC">
        <w:fldChar w:fldCharType="end"/>
      </w:r>
      <w:r w:rsidRPr="009956BC">
        <w:tab/>
        <w:t xml:space="preserve">The TC, at its fifty-fourth session, considered document TC/54/22 “Color names for the </w:t>
      </w:r>
      <w:proofErr w:type="spellStart"/>
      <w:r w:rsidRPr="009956BC">
        <w:t>RHS</w:t>
      </w:r>
      <w:proofErr w:type="spellEnd"/>
      <w:r w:rsidRPr="009956BC">
        <w:t xml:space="preserve"> </w:t>
      </w:r>
      <w:proofErr w:type="spellStart"/>
      <w:r w:rsidRPr="009956BC">
        <w:t>Colour</w:t>
      </w:r>
      <w:proofErr w:type="spellEnd"/>
      <w:r w:rsidRPr="009956BC">
        <w:t xml:space="preserve"> Chart” (see document TC/54/31 “Report”, paragraph 244).</w:t>
      </w:r>
    </w:p>
    <w:p w:rsidR="009956BC" w:rsidRPr="009956BC" w:rsidRDefault="009956BC" w:rsidP="009956BC"/>
    <w:p w:rsidR="009956BC" w:rsidRPr="009956BC" w:rsidRDefault="009956BC" w:rsidP="009956BC">
      <w:r w:rsidRPr="009956BC">
        <w:fldChar w:fldCharType="begin"/>
      </w:r>
      <w:r w:rsidRPr="009956BC">
        <w:instrText xml:space="preserve"> AUTONUM  </w:instrText>
      </w:r>
      <w:r w:rsidRPr="009956BC">
        <w:fldChar w:fldCharType="end"/>
      </w:r>
      <w:r w:rsidRPr="009956BC">
        <w:tab/>
        <w:t xml:space="preserve">The TC agreed to propose the revision of document TGP/14 to include guidance on the factors to </w:t>
      </w:r>
      <w:proofErr w:type="gramStart"/>
      <w:r w:rsidRPr="009956BC">
        <w:t>be considered</w:t>
      </w:r>
      <w:proofErr w:type="gramEnd"/>
      <w:r w:rsidRPr="009956BC">
        <w:t xml:space="preserve"> for creating color groups for grouping of varieties and organizing the growing trial, as follows:</w:t>
      </w:r>
    </w:p>
    <w:p w:rsidR="009956BC" w:rsidRPr="009956BC" w:rsidRDefault="009956BC" w:rsidP="009956BC">
      <w:pPr>
        <w:rPr>
          <w:rFonts w:eastAsiaTheme="minorEastAsia" w:cs="Arial"/>
        </w:rPr>
      </w:pPr>
    </w:p>
    <w:p w:rsidR="009956BC" w:rsidRPr="009956BC" w:rsidRDefault="009956BC" w:rsidP="009956BC">
      <w:pPr>
        <w:ind w:left="567" w:right="567"/>
        <w:rPr>
          <w:rFonts w:eastAsiaTheme="minorEastAsia" w:cs="Arial"/>
          <w:sz w:val="18"/>
          <w:szCs w:val="18"/>
        </w:rPr>
      </w:pPr>
      <w:r w:rsidRPr="009956BC">
        <w:rPr>
          <w:rFonts w:eastAsiaTheme="minorEastAsia" w:cs="Arial"/>
          <w:sz w:val="18"/>
          <w:szCs w:val="18"/>
        </w:rPr>
        <w:t>Subsection 3: Color: New Section: 5 “Factors to be considered for creating color groups”</w:t>
      </w:r>
    </w:p>
    <w:p w:rsidR="009956BC" w:rsidRPr="009956BC" w:rsidRDefault="009956BC" w:rsidP="009956BC">
      <w:pPr>
        <w:ind w:left="567" w:right="567"/>
        <w:rPr>
          <w:rFonts w:eastAsiaTheme="minorEastAsia" w:cs="Arial"/>
          <w:sz w:val="18"/>
        </w:rPr>
      </w:pPr>
    </w:p>
    <w:p w:rsidR="009956BC" w:rsidRPr="009956BC" w:rsidRDefault="009956BC" w:rsidP="009956BC">
      <w:pPr>
        <w:ind w:left="567" w:right="567"/>
        <w:rPr>
          <w:rFonts w:eastAsiaTheme="minorEastAsia" w:cs="Arial"/>
          <w:sz w:val="18"/>
        </w:rPr>
      </w:pPr>
      <w:r w:rsidRPr="009956BC">
        <w:rPr>
          <w:rFonts w:eastAsiaTheme="minorEastAsia" w:cs="Arial"/>
          <w:sz w:val="18"/>
        </w:rPr>
        <w:t xml:space="preserve">“When using the color of a plant part for grouping of varieties, a very clear and large difference between the colors is required. However, the color groups </w:t>
      </w:r>
      <w:proofErr w:type="gramStart"/>
      <w:r w:rsidRPr="009956BC">
        <w:rPr>
          <w:rFonts w:eastAsiaTheme="minorEastAsia" w:cs="Arial"/>
          <w:sz w:val="18"/>
        </w:rPr>
        <w:t>are also used</w:t>
      </w:r>
      <w:proofErr w:type="gramEnd"/>
      <w:r w:rsidRPr="009956BC">
        <w:rPr>
          <w:rFonts w:eastAsiaTheme="minorEastAsia" w:cs="Arial"/>
          <w:sz w:val="18"/>
        </w:rPr>
        <w:t xml:space="preserve"> in the Technical Questionnaire for applicants who have no </w:t>
      </w:r>
      <w:proofErr w:type="spellStart"/>
      <w:r w:rsidRPr="009956BC">
        <w:rPr>
          <w:rFonts w:eastAsiaTheme="minorEastAsia" w:cs="Arial"/>
          <w:sz w:val="18"/>
        </w:rPr>
        <w:t>RHS</w:t>
      </w:r>
      <w:proofErr w:type="spellEnd"/>
      <w:r w:rsidRPr="009956BC">
        <w:rPr>
          <w:rFonts w:eastAsiaTheme="minorEastAsia" w:cs="Arial"/>
          <w:sz w:val="18"/>
        </w:rPr>
        <w:t xml:space="preserve"> </w:t>
      </w:r>
      <w:proofErr w:type="spellStart"/>
      <w:r w:rsidRPr="009956BC">
        <w:rPr>
          <w:rFonts w:eastAsiaTheme="minorEastAsia" w:cs="Arial"/>
          <w:sz w:val="18"/>
        </w:rPr>
        <w:t>Colour</w:t>
      </w:r>
      <w:proofErr w:type="spellEnd"/>
      <w:r w:rsidRPr="009956BC">
        <w:rPr>
          <w:rFonts w:eastAsiaTheme="minorEastAsia" w:cs="Arial"/>
          <w:sz w:val="18"/>
        </w:rPr>
        <w:t xml:space="preserve"> Chart. </w:t>
      </w:r>
      <w:proofErr w:type="gramStart"/>
      <w:r w:rsidRPr="009956BC">
        <w:rPr>
          <w:rFonts w:eastAsiaTheme="minorEastAsia" w:cs="Arial"/>
          <w:sz w:val="18"/>
        </w:rPr>
        <w:t>Therefore</w:t>
      </w:r>
      <w:proofErr w:type="gramEnd"/>
      <w:r w:rsidRPr="009956BC">
        <w:rPr>
          <w:rFonts w:eastAsiaTheme="minorEastAsia" w:cs="Arial"/>
          <w:sz w:val="18"/>
        </w:rPr>
        <w:t xml:space="preserve"> the groups need to be small enough so that applicants are able to give an adequate state of expression for the characteristic.</w:t>
      </w:r>
    </w:p>
    <w:p w:rsidR="009956BC" w:rsidRPr="009956BC" w:rsidRDefault="009956BC" w:rsidP="009956BC">
      <w:pPr>
        <w:ind w:left="567" w:right="567"/>
        <w:rPr>
          <w:rFonts w:eastAsiaTheme="minorEastAsia" w:cs="Arial"/>
          <w:sz w:val="18"/>
        </w:rPr>
      </w:pPr>
    </w:p>
    <w:p w:rsidR="009956BC" w:rsidRPr="009956BC" w:rsidRDefault="009956BC" w:rsidP="009956BC">
      <w:pPr>
        <w:ind w:left="567" w:right="567"/>
        <w:rPr>
          <w:rFonts w:eastAsiaTheme="minorEastAsia" w:cs="Arial"/>
          <w:sz w:val="18"/>
        </w:rPr>
      </w:pPr>
      <w:r w:rsidRPr="009956BC">
        <w:rPr>
          <w:rFonts w:eastAsiaTheme="minorEastAsia" w:cs="Arial"/>
          <w:sz w:val="18"/>
        </w:rPr>
        <w:t>“The following factors have to be considered when creating color groups for grouping:</w:t>
      </w:r>
    </w:p>
    <w:p w:rsidR="009956BC" w:rsidRPr="009956BC" w:rsidRDefault="009956BC" w:rsidP="009956BC">
      <w:pPr>
        <w:ind w:left="567" w:right="567"/>
        <w:rPr>
          <w:rFonts w:eastAsiaTheme="minorEastAsia" w:cs="Arial"/>
          <w:sz w:val="10"/>
        </w:rPr>
      </w:pPr>
    </w:p>
    <w:p w:rsidR="009956BC" w:rsidRPr="009956BC" w:rsidRDefault="009956BC" w:rsidP="009956BC">
      <w:pPr>
        <w:numPr>
          <w:ilvl w:val="0"/>
          <w:numId w:val="8"/>
        </w:numPr>
        <w:ind w:left="1701" w:right="567" w:hanging="567"/>
        <w:contextualSpacing/>
        <w:rPr>
          <w:rFonts w:eastAsiaTheme="minorEastAsia" w:cs="Arial"/>
          <w:sz w:val="18"/>
        </w:rPr>
      </w:pPr>
      <w:r w:rsidRPr="009956BC">
        <w:rPr>
          <w:rFonts w:eastAsiaTheme="minorEastAsia" w:cs="Arial"/>
          <w:sz w:val="18"/>
        </w:rPr>
        <w:t>range of variation of the color of the plant part within the species</w:t>
      </w:r>
    </w:p>
    <w:p w:rsidR="009956BC" w:rsidRPr="009956BC" w:rsidRDefault="009956BC" w:rsidP="009956BC">
      <w:pPr>
        <w:numPr>
          <w:ilvl w:val="0"/>
          <w:numId w:val="8"/>
        </w:numPr>
        <w:ind w:left="1701" w:right="567" w:hanging="567"/>
        <w:contextualSpacing/>
        <w:rPr>
          <w:rFonts w:eastAsiaTheme="minorEastAsia" w:cs="Arial"/>
          <w:sz w:val="18"/>
        </w:rPr>
      </w:pPr>
      <w:r w:rsidRPr="009956BC">
        <w:rPr>
          <w:rFonts w:eastAsiaTheme="minorEastAsia" w:cs="Arial"/>
          <w:sz w:val="18"/>
        </w:rPr>
        <w:t>difference between colors for varieties to be considered clearly distinguishable</w:t>
      </w:r>
    </w:p>
    <w:p w:rsidR="009956BC" w:rsidRPr="009956BC" w:rsidRDefault="009956BC" w:rsidP="009956BC">
      <w:pPr>
        <w:numPr>
          <w:ilvl w:val="0"/>
          <w:numId w:val="8"/>
        </w:numPr>
        <w:ind w:left="1701" w:right="567" w:hanging="567"/>
        <w:contextualSpacing/>
        <w:rPr>
          <w:rFonts w:eastAsiaTheme="minorEastAsia" w:cs="Arial"/>
          <w:sz w:val="18"/>
        </w:rPr>
      </w:pPr>
      <w:proofErr w:type="gramStart"/>
      <w:r w:rsidRPr="009956BC">
        <w:rPr>
          <w:rFonts w:eastAsiaTheme="minorEastAsia" w:cs="Arial"/>
          <w:sz w:val="18"/>
        </w:rPr>
        <w:t>possible</w:t>
      </w:r>
      <w:proofErr w:type="gramEnd"/>
      <w:r w:rsidRPr="009956BC">
        <w:rPr>
          <w:rFonts w:eastAsiaTheme="minorEastAsia" w:cs="Arial"/>
          <w:sz w:val="18"/>
        </w:rPr>
        <w:t xml:space="preserve"> influence of the environment on the color of the plant part.</w:t>
      </w:r>
    </w:p>
    <w:p w:rsidR="009956BC" w:rsidRPr="009956BC" w:rsidRDefault="009956BC" w:rsidP="009956BC">
      <w:pPr>
        <w:rPr>
          <w:rFonts w:eastAsiaTheme="minorEastAsia"/>
        </w:rPr>
      </w:pPr>
    </w:p>
    <w:p w:rsidR="009956BC" w:rsidRPr="009956BC" w:rsidRDefault="009956BC" w:rsidP="009956BC">
      <w:pPr>
        <w:ind w:left="567" w:right="567"/>
        <w:rPr>
          <w:rFonts w:eastAsiaTheme="minorEastAsia" w:cs="Arial"/>
          <w:sz w:val="18"/>
        </w:rPr>
      </w:pPr>
      <w:r w:rsidRPr="009956BC">
        <w:rPr>
          <w:rFonts w:eastAsiaTheme="minorEastAsia" w:cs="Arial"/>
          <w:sz w:val="18"/>
        </w:rPr>
        <w:t xml:space="preserve">“Depending on the species and the plant part observed the color groups for grouping can be different. Examples for color groups in grouping characteristics of different Test Guidelines </w:t>
      </w:r>
      <w:proofErr w:type="gramStart"/>
      <w:r w:rsidRPr="009956BC">
        <w:rPr>
          <w:rFonts w:eastAsiaTheme="minorEastAsia" w:cs="Arial"/>
          <w:sz w:val="18"/>
        </w:rPr>
        <w:t>are listed</w:t>
      </w:r>
      <w:proofErr w:type="gramEnd"/>
      <w:r w:rsidRPr="009956BC">
        <w:rPr>
          <w:rFonts w:eastAsiaTheme="minorEastAsia" w:cs="Arial"/>
          <w:sz w:val="18"/>
        </w:rPr>
        <w:t xml:space="preserve"> in the following table.</w:t>
      </w:r>
    </w:p>
    <w:p w:rsidR="009956BC" w:rsidRPr="009956BC" w:rsidRDefault="009956BC" w:rsidP="009956BC">
      <w:pPr>
        <w:tabs>
          <w:tab w:val="left" w:pos="8556"/>
        </w:tabs>
        <w:rPr>
          <w:rFonts w:eastAsiaTheme="minorEastAsia" w:cs="Arial"/>
          <w:sz w:val="18"/>
        </w:rPr>
      </w:pPr>
    </w:p>
    <w:tbl>
      <w:tblPr>
        <w:tblW w:w="8738" w:type="dxa"/>
        <w:jc w:val="center"/>
        <w:tblLayout w:type="fixed"/>
        <w:tblCellMar>
          <w:top w:w="57" w:type="dxa"/>
          <w:left w:w="57" w:type="dxa"/>
          <w:bottom w:w="28" w:type="dxa"/>
          <w:right w:w="57" w:type="dxa"/>
        </w:tblCellMar>
        <w:tblLook w:val="04A0" w:firstRow="1" w:lastRow="0" w:firstColumn="1" w:lastColumn="0" w:noHBand="0" w:noVBand="1"/>
      </w:tblPr>
      <w:tblGrid>
        <w:gridCol w:w="1508"/>
        <w:gridCol w:w="1786"/>
        <w:gridCol w:w="2002"/>
        <w:gridCol w:w="1741"/>
        <w:gridCol w:w="1701"/>
      </w:tblGrid>
      <w:tr w:rsidR="009956BC" w:rsidRPr="009956BC" w:rsidTr="001270B2">
        <w:trPr>
          <w:cantSplit/>
          <w:trHeight w:val="397"/>
          <w:jc w:val="center"/>
        </w:trPr>
        <w:tc>
          <w:tcPr>
            <w:tcW w:w="1508" w:type="dxa"/>
            <w:tcBorders>
              <w:top w:val="single" w:sz="4" w:space="0" w:color="auto"/>
              <w:left w:val="nil"/>
              <w:bottom w:val="single" w:sz="4" w:space="0" w:color="auto"/>
              <w:right w:val="single" w:sz="4" w:space="0" w:color="auto"/>
            </w:tcBorders>
          </w:tcPr>
          <w:p w:rsidR="009956BC" w:rsidRPr="009956BC" w:rsidRDefault="009956BC" w:rsidP="009956BC">
            <w:pPr>
              <w:keepNext/>
              <w:rPr>
                <w:sz w:val="16"/>
              </w:rPr>
            </w:pPr>
            <w:r w:rsidRPr="009956BC">
              <w:rPr>
                <w:sz w:val="16"/>
              </w:rPr>
              <w:t>Test Guidelines</w:t>
            </w:r>
          </w:p>
        </w:tc>
        <w:tc>
          <w:tcPr>
            <w:tcW w:w="1786" w:type="dxa"/>
            <w:tcBorders>
              <w:top w:val="single" w:sz="4" w:space="0" w:color="auto"/>
              <w:left w:val="single" w:sz="4" w:space="0" w:color="auto"/>
              <w:bottom w:val="single" w:sz="4" w:space="0" w:color="auto"/>
              <w:right w:val="single" w:sz="4" w:space="0" w:color="auto"/>
            </w:tcBorders>
            <w:hideMark/>
          </w:tcPr>
          <w:p w:rsidR="009956BC" w:rsidRPr="009956BC" w:rsidRDefault="009956BC" w:rsidP="009956BC">
            <w:pPr>
              <w:keepNext/>
              <w:rPr>
                <w:sz w:val="16"/>
              </w:rPr>
            </w:pPr>
            <w:r w:rsidRPr="009956BC">
              <w:rPr>
                <w:sz w:val="16"/>
              </w:rPr>
              <w:t>Campanula</w:t>
            </w:r>
            <w:r w:rsidRPr="009956BC">
              <w:rPr>
                <w:sz w:val="16"/>
              </w:rPr>
              <w:br/>
              <w:t>(TG/305/1)</w:t>
            </w:r>
          </w:p>
        </w:tc>
        <w:tc>
          <w:tcPr>
            <w:tcW w:w="2002" w:type="dxa"/>
            <w:tcBorders>
              <w:top w:val="single" w:sz="4" w:space="0" w:color="auto"/>
              <w:left w:val="single" w:sz="4" w:space="0" w:color="auto"/>
              <w:bottom w:val="single" w:sz="4" w:space="0" w:color="auto"/>
              <w:right w:val="single" w:sz="4" w:space="0" w:color="auto"/>
            </w:tcBorders>
            <w:hideMark/>
          </w:tcPr>
          <w:p w:rsidR="009956BC" w:rsidRPr="009956BC" w:rsidRDefault="009956BC" w:rsidP="009956BC">
            <w:pPr>
              <w:keepNext/>
              <w:rPr>
                <w:sz w:val="16"/>
              </w:rPr>
            </w:pPr>
            <w:proofErr w:type="spellStart"/>
            <w:r w:rsidRPr="009956BC">
              <w:rPr>
                <w:sz w:val="16"/>
              </w:rPr>
              <w:t>Hosta</w:t>
            </w:r>
            <w:proofErr w:type="spellEnd"/>
            <w:r w:rsidRPr="009956BC">
              <w:rPr>
                <w:sz w:val="16"/>
              </w:rPr>
              <w:br/>
              <w:t>(TG/299/1)</w:t>
            </w:r>
          </w:p>
        </w:tc>
        <w:tc>
          <w:tcPr>
            <w:tcW w:w="1741" w:type="dxa"/>
            <w:tcBorders>
              <w:top w:val="single" w:sz="4" w:space="0" w:color="auto"/>
              <w:left w:val="single" w:sz="4" w:space="0" w:color="auto"/>
              <w:bottom w:val="single" w:sz="4" w:space="0" w:color="auto"/>
              <w:right w:val="single" w:sz="4" w:space="0" w:color="auto"/>
            </w:tcBorders>
            <w:hideMark/>
          </w:tcPr>
          <w:p w:rsidR="009956BC" w:rsidRPr="009956BC" w:rsidRDefault="009956BC" w:rsidP="009956BC">
            <w:pPr>
              <w:keepNext/>
              <w:rPr>
                <w:sz w:val="16"/>
              </w:rPr>
            </w:pPr>
            <w:proofErr w:type="spellStart"/>
            <w:r w:rsidRPr="009956BC">
              <w:rPr>
                <w:sz w:val="16"/>
              </w:rPr>
              <w:t>Cordyline</w:t>
            </w:r>
            <w:proofErr w:type="spellEnd"/>
            <w:r w:rsidRPr="009956BC">
              <w:rPr>
                <w:sz w:val="16"/>
              </w:rPr>
              <w:br/>
              <w:t>(TG/317/1)</w:t>
            </w:r>
          </w:p>
        </w:tc>
        <w:tc>
          <w:tcPr>
            <w:tcW w:w="1701" w:type="dxa"/>
            <w:tcBorders>
              <w:top w:val="single" w:sz="4" w:space="0" w:color="auto"/>
              <w:left w:val="single" w:sz="4" w:space="0" w:color="auto"/>
              <w:bottom w:val="single" w:sz="4" w:space="0" w:color="auto"/>
            </w:tcBorders>
            <w:hideMark/>
          </w:tcPr>
          <w:p w:rsidR="009956BC" w:rsidRPr="009956BC" w:rsidRDefault="009956BC" w:rsidP="009956BC">
            <w:pPr>
              <w:keepNext/>
              <w:rPr>
                <w:sz w:val="16"/>
              </w:rPr>
            </w:pPr>
            <w:proofErr w:type="spellStart"/>
            <w:r w:rsidRPr="009956BC">
              <w:rPr>
                <w:sz w:val="16"/>
              </w:rPr>
              <w:t>Osteospermum</w:t>
            </w:r>
            <w:proofErr w:type="spellEnd"/>
            <w:r w:rsidRPr="009956BC">
              <w:rPr>
                <w:sz w:val="16"/>
              </w:rPr>
              <w:br/>
              <w:t>(TG/175/5)</w:t>
            </w:r>
          </w:p>
        </w:tc>
      </w:tr>
      <w:tr w:rsidR="009956BC" w:rsidRPr="009956BC" w:rsidTr="001270B2">
        <w:trPr>
          <w:cantSplit/>
          <w:jc w:val="center"/>
        </w:trPr>
        <w:tc>
          <w:tcPr>
            <w:tcW w:w="1508" w:type="dxa"/>
            <w:tcBorders>
              <w:top w:val="nil"/>
              <w:left w:val="nil"/>
              <w:bottom w:val="single" w:sz="4" w:space="0" w:color="auto"/>
              <w:right w:val="single" w:sz="4" w:space="0" w:color="auto"/>
            </w:tcBorders>
          </w:tcPr>
          <w:p w:rsidR="009956BC" w:rsidRPr="009956BC" w:rsidRDefault="009956BC" w:rsidP="009956BC">
            <w:pPr>
              <w:keepNext/>
              <w:jc w:val="left"/>
              <w:rPr>
                <w:sz w:val="16"/>
              </w:rPr>
            </w:pPr>
            <w:r w:rsidRPr="009956BC">
              <w:rPr>
                <w:sz w:val="16"/>
              </w:rPr>
              <w:t>Characteristic</w:t>
            </w:r>
          </w:p>
        </w:tc>
        <w:tc>
          <w:tcPr>
            <w:tcW w:w="1786" w:type="dxa"/>
            <w:tcBorders>
              <w:top w:val="nil"/>
              <w:left w:val="single" w:sz="4" w:space="0" w:color="auto"/>
              <w:bottom w:val="single" w:sz="4" w:space="0" w:color="auto"/>
              <w:right w:val="single" w:sz="4" w:space="0" w:color="auto"/>
            </w:tcBorders>
            <w:hideMark/>
          </w:tcPr>
          <w:p w:rsidR="009956BC" w:rsidRPr="009956BC" w:rsidRDefault="009956BC" w:rsidP="009956BC">
            <w:pPr>
              <w:keepNext/>
              <w:jc w:val="left"/>
              <w:rPr>
                <w:sz w:val="16"/>
              </w:rPr>
            </w:pPr>
            <w:r w:rsidRPr="009956BC">
              <w:rPr>
                <w:sz w:val="16"/>
              </w:rPr>
              <w:t>Corolla: main color of inner side</w:t>
            </w:r>
          </w:p>
        </w:tc>
        <w:tc>
          <w:tcPr>
            <w:tcW w:w="2002" w:type="dxa"/>
            <w:tcBorders>
              <w:top w:val="nil"/>
              <w:left w:val="single" w:sz="4" w:space="0" w:color="auto"/>
              <w:bottom w:val="single" w:sz="4" w:space="0" w:color="auto"/>
              <w:right w:val="single" w:sz="4" w:space="0" w:color="auto"/>
            </w:tcBorders>
            <w:hideMark/>
          </w:tcPr>
          <w:p w:rsidR="009956BC" w:rsidRPr="009956BC" w:rsidRDefault="009956BC" w:rsidP="009956BC">
            <w:pPr>
              <w:keepNext/>
              <w:jc w:val="left"/>
              <w:rPr>
                <w:sz w:val="16"/>
              </w:rPr>
            </w:pPr>
            <w:r w:rsidRPr="009956BC">
              <w:rPr>
                <w:sz w:val="16"/>
              </w:rPr>
              <w:t>Leaf blade: color covering the largest surface area</w:t>
            </w:r>
          </w:p>
        </w:tc>
        <w:tc>
          <w:tcPr>
            <w:tcW w:w="1741" w:type="dxa"/>
            <w:tcBorders>
              <w:top w:val="nil"/>
              <w:left w:val="single" w:sz="4" w:space="0" w:color="auto"/>
              <w:bottom w:val="single" w:sz="4" w:space="0" w:color="auto"/>
              <w:right w:val="single" w:sz="4" w:space="0" w:color="auto"/>
            </w:tcBorders>
            <w:hideMark/>
          </w:tcPr>
          <w:p w:rsidR="009956BC" w:rsidRPr="009956BC" w:rsidRDefault="009956BC" w:rsidP="009956BC">
            <w:pPr>
              <w:keepNext/>
              <w:jc w:val="left"/>
              <w:rPr>
                <w:sz w:val="16"/>
              </w:rPr>
            </w:pPr>
            <w:r w:rsidRPr="009956BC">
              <w:rPr>
                <w:sz w:val="16"/>
              </w:rPr>
              <w:t>Leaf: secondary color</w:t>
            </w:r>
          </w:p>
        </w:tc>
        <w:tc>
          <w:tcPr>
            <w:tcW w:w="1701" w:type="dxa"/>
            <w:tcBorders>
              <w:top w:val="nil"/>
              <w:left w:val="single" w:sz="4" w:space="0" w:color="auto"/>
              <w:bottom w:val="single" w:sz="4" w:space="0" w:color="auto"/>
            </w:tcBorders>
            <w:hideMark/>
          </w:tcPr>
          <w:p w:rsidR="009956BC" w:rsidRPr="009956BC" w:rsidRDefault="009956BC" w:rsidP="009956BC">
            <w:pPr>
              <w:keepNext/>
              <w:jc w:val="left"/>
              <w:rPr>
                <w:sz w:val="16"/>
              </w:rPr>
            </w:pPr>
            <w:r w:rsidRPr="009956BC">
              <w:rPr>
                <w:sz w:val="16"/>
              </w:rPr>
              <w:t>Ray floret: main color of middle part</w:t>
            </w:r>
          </w:p>
        </w:tc>
      </w:tr>
      <w:tr w:rsidR="009956BC" w:rsidRPr="009956BC" w:rsidTr="001270B2">
        <w:trPr>
          <w:cantSplit/>
          <w:jc w:val="center"/>
        </w:trPr>
        <w:tc>
          <w:tcPr>
            <w:tcW w:w="1508" w:type="dxa"/>
            <w:vMerge w:val="restart"/>
            <w:tcBorders>
              <w:top w:val="nil"/>
              <w:left w:val="nil"/>
              <w:right w:val="single" w:sz="4" w:space="0" w:color="auto"/>
            </w:tcBorders>
            <w:hideMark/>
          </w:tcPr>
          <w:p w:rsidR="009956BC" w:rsidRPr="009956BC" w:rsidRDefault="009956BC" w:rsidP="009956BC">
            <w:pPr>
              <w:keepNext/>
              <w:rPr>
                <w:sz w:val="16"/>
              </w:rPr>
            </w:pPr>
            <w:r w:rsidRPr="009956BC">
              <w:rPr>
                <w:sz w:val="16"/>
              </w:rPr>
              <w:t>Color groups</w:t>
            </w:r>
          </w:p>
          <w:p w:rsidR="009956BC" w:rsidRPr="009956BC" w:rsidRDefault="009956BC" w:rsidP="009956BC">
            <w:pPr>
              <w:keepNext/>
              <w:rPr>
                <w:sz w:val="16"/>
              </w:rPr>
            </w:pPr>
            <w:r w:rsidRPr="009956BC">
              <w:rPr>
                <w:sz w:val="16"/>
              </w:rPr>
              <w:t>for grouping</w:t>
            </w:r>
          </w:p>
        </w:tc>
        <w:tc>
          <w:tcPr>
            <w:tcW w:w="1786" w:type="dxa"/>
            <w:tcBorders>
              <w:top w:val="nil"/>
              <w:left w:val="single" w:sz="4" w:space="0" w:color="auto"/>
              <w:bottom w:val="nil"/>
              <w:right w:val="single" w:sz="4" w:space="0" w:color="auto"/>
            </w:tcBorders>
            <w:hideMark/>
          </w:tcPr>
          <w:p w:rsidR="009956BC" w:rsidRPr="009956BC" w:rsidRDefault="009956BC" w:rsidP="009956BC">
            <w:pPr>
              <w:keepNext/>
              <w:rPr>
                <w:sz w:val="16"/>
              </w:rPr>
            </w:pPr>
            <w:r w:rsidRPr="009956BC">
              <w:rPr>
                <w:sz w:val="16"/>
              </w:rPr>
              <w:t>white</w:t>
            </w:r>
          </w:p>
        </w:tc>
        <w:tc>
          <w:tcPr>
            <w:tcW w:w="2002" w:type="dxa"/>
            <w:tcBorders>
              <w:top w:val="nil"/>
              <w:left w:val="single" w:sz="4" w:space="0" w:color="auto"/>
              <w:bottom w:val="nil"/>
              <w:right w:val="single" w:sz="4" w:space="0" w:color="auto"/>
            </w:tcBorders>
            <w:hideMark/>
          </w:tcPr>
          <w:p w:rsidR="009956BC" w:rsidRPr="009956BC" w:rsidRDefault="009956BC" w:rsidP="009956BC">
            <w:pPr>
              <w:keepNext/>
              <w:rPr>
                <w:sz w:val="16"/>
              </w:rPr>
            </w:pPr>
            <w:r w:rsidRPr="009956BC">
              <w:rPr>
                <w:sz w:val="16"/>
              </w:rPr>
              <w:t>white</w:t>
            </w:r>
          </w:p>
        </w:tc>
        <w:tc>
          <w:tcPr>
            <w:tcW w:w="1741" w:type="dxa"/>
            <w:tcBorders>
              <w:top w:val="nil"/>
              <w:left w:val="single" w:sz="4" w:space="0" w:color="auto"/>
              <w:bottom w:val="nil"/>
              <w:right w:val="single" w:sz="4" w:space="0" w:color="auto"/>
            </w:tcBorders>
            <w:hideMark/>
          </w:tcPr>
          <w:p w:rsidR="009956BC" w:rsidRPr="009956BC" w:rsidRDefault="009956BC" w:rsidP="009956BC">
            <w:pPr>
              <w:keepNext/>
              <w:rPr>
                <w:sz w:val="16"/>
              </w:rPr>
            </w:pPr>
            <w:r w:rsidRPr="009956BC">
              <w:rPr>
                <w:sz w:val="16"/>
              </w:rPr>
              <w:t>white</w:t>
            </w:r>
          </w:p>
        </w:tc>
        <w:tc>
          <w:tcPr>
            <w:tcW w:w="1701" w:type="dxa"/>
            <w:tcBorders>
              <w:top w:val="nil"/>
              <w:left w:val="single" w:sz="4" w:space="0" w:color="auto"/>
              <w:bottom w:val="nil"/>
            </w:tcBorders>
            <w:hideMark/>
          </w:tcPr>
          <w:p w:rsidR="009956BC" w:rsidRPr="009956BC" w:rsidRDefault="009956BC" w:rsidP="009956BC">
            <w:pPr>
              <w:keepNext/>
              <w:rPr>
                <w:sz w:val="16"/>
              </w:rPr>
            </w:pPr>
            <w:r w:rsidRPr="009956BC">
              <w:rPr>
                <w:sz w:val="16"/>
              </w:rPr>
              <w:t>white</w:t>
            </w:r>
          </w:p>
        </w:tc>
      </w:tr>
      <w:tr w:rsidR="009956BC" w:rsidRPr="009956BC" w:rsidTr="001270B2">
        <w:trPr>
          <w:cantSplit/>
          <w:jc w:val="center"/>
        </w:trPr>
        <w:tc>
          <w:tcPr>
            <w:tcW w:w="1508" w:type="dxa"/>
            <w:vMerge/>
            <w:tcBorders>
              <w:left w:val="nil"/>
              <w:bottom w:val="nil"/>
              <w:right w:val="single" w:sz="4" w:space="0" w:color="auto"/>
            </w:tcBorders>
            <w:hideMark/>
          </w:tcPr>
          <w:p w:rsidR="009956BC" w:rsidRPr="009956BC" w:rsidRDefault="009956BC" w:rsidP="009956BC">
            <w:pPr>
              <w:keepNext/>
              <w:rPr>
                <w:sz w:val="16"/>
              </w:rPr>
            </w:pPr>
          </w:p>
        </w:tc>
        <w:tc>
          <w:tcPr>
            <w:tcW w:w="1786" w:type="dxa"/>
            <w:tcBorders>
              <w:top w:val="nil"/>
              <w:left w:val="single" w:sz="4" w:space="0" w:color="auto"/>
              <w:bottom w:val="nil"/>
              <w:right w:val="single" w:sz="4" w:space="0" w:color="auto"/>
            </w:tcBorders>
            <w:hideMark/>
          </w:tcPr>
          <w:p w:rsidR="009956BC" w:rsidRPr="009956BC" w:rsidRDefault="009956BC" w:rsidP="009956BC">
            <w:pPr>
              <w:keepNext/>
              <w:rPr>
                <w:sz w:val="16"/>
              </w:rPr>
            </w:pPr>
            <w:r w:rsidRPr="009956BC">
              <w:rPr>
                <w:sz w:val="16"/>
              </w:rPr>
              <w:t>pink</w:t>
            </w:r>
          </w:p>
        </w:tc>
        <w:tc>
          <w:tcPr>
            <w:tcW w:w="2002" w:type="dxa"/>
            <w:tcBorders>
              <w:top w:val="nil"/>
              <w:left w:val="single" w:sz="4" w:space="0" w:color="auto"/>
              <w:bottom w:val="nil"/>
              <w:right w:val="single" w:sz="4" w:space="0" w:color="auto"/>
            </w:tcBorders>
            <w:hideMark/>
          </w:tcPr>
          <w:p w:rsidR="009956BC" w:rsidRPr="009956BC" w:rsidRDefault="009956BC" w:rsidP="009956BC">
            <w:pPr>
              <w:keepNext/>
              <w:rPr>
                <w:sz w:val="16"/>
              </w:rPr>
            </w:pPr>
            <w:r w:rsidRPr="009956BC">
              <w:rPr>
                <w:sz w:val="16"/>
              </w:rPr>
              <w:t>light yellow</w:t>
            </w:r>
          </w:p>
        </w:tc>
        <w:tc>
          <w:tcPr>
            <w:tcW w:w="1741" w:type="dxa"/>
            <w:tcBorders>
              <w:top w:val="nil"/>
              <w:left w:val="single" w:sz="4" w:space="0" w:color="auto"/>
              <w:bottom w:val="nil"/>
              <w:right w:val="single" w:sz="4" w:space="0" w:color="auto"/>
            </w:tcBorders>
            <w:hideMark/>
          </w:tcPr>
          <w:p w:rsidR="009956BC" w:rsidRPr="009956BC" w:rsidRDefault="009956BC" w:rsidP="009956BC">
            <w:pPr>
              <w:keepNext/>
              <w:rPr>
                <w:sz w:val="16"/>
              </w:rPr>
            </w:pPr>
            <w:r w:rsidRPr="009956BC">
              <w:rPr>
                <w:sz w:val="16"/>
              </w:rPr>
              <w:t>yellow</w:t>
            </w:r>
          </w:p>
        </w:tc>
        <w:tc>
          <w:tcPr>
            <w:tcW w:w="1701" w:type="dxa"/>
            <w:tcBorders>
              <w:top w:val="nil"/>
              <w:left w:val="single" w:sz="4" w:space="0" w:color="auto"/>
              <w:bottom w:val="nil"/>
            </w:tcBorders>
            <w:hideMark/>
          </w:tcPr>
          <w:p w:rsidR="009956BC" w:rsidRPr="009956BC" w:rsidRDefault="009956BC" w:rsidP="009956BC">
            <w:pPr>
              <w:keepNext/>
              <w:rPr>
                <w:sz w:val="16"/>
              </w:rPr>
            </w:pPr>
            <w:r w:rsidRPr="009956BC">
              <w:rPr>
                <w:sz w:val="16"/>
              </w:rPr>
              <w:t>yellow</w:t>
            </w:r>
          </w:p>
        </w:tc>
      </w:tr>
      <w:tr w:rsidR="009956BC" w:rsidRPr="009956BC" w:rsidTr="001270B2">
        <w:trPr>
          <w:cantSplit/>
          <w:jc w:val="center"/>
        </w:trPr>
        <w:tc>
          <w:tcPr>
            <w:tcW w:w="1508" w:type="dxa"/>
            <w:tcBorders>
              <w:top w:val="nil"/>
              <w:left w:val="nil"/>
              <w:bottom w:val="nil"/>
              <w:right w:val="single" w:sz="4" w:space="0" w:color="auto"/>
            </w:tcBorders>
          </w:tcPr>
          <w:p w:rsidR="009956BC" w:rsidRPr="009956BC" w:rsidRDefault="009956BC" w:rsidP="009956BC">
            <w:pPr>
              <w:keepNext/>
              <w:rPr>
                <w:sz w:val="16"/>
              </w:rPr>
            </w:pPr>
          </w:p>
        </w:tc>
        <w:tc>
          <w:tcPr>
            <w:tcW w:w="1786" w:type="dxa"/>
            <w:tcBorders>
              <w:top w:val="nil"/>
              <w:left w:val="single" w:sz="4" w:space="0" w:color="auto"/>
              <w:bottom w:val="nil"/>
              <w:right w:val="single" w:sz="4" w:space="0" w:color="auto"/>
            </w:tcBorders>
            <w:hideMark/>
          </w:tcPr>
          <w:p w:rsidR="009956BC" w:rsidRPr="009956BC" w:rsidRDefault="009956BC" w:rsidP="009956BC">
            <w:pPr>
              <w:keepNext/>
              <w:rPr>
                <w:sz w:val="16"/>
              </w:rPr>
            </w:pPr>
            <w:r w:rsidRPr="009956BC">
              <w:rPr>
                <w:sz w:val="16"/>
              </w:rPr>
              <w:t>red purple</w:t>
            </w:r>
          </w:p>
        </w:tc>
        <w:tc>
          <w:tcPr>
            <w:tcW w:w="2002" w:type="dxa"/>
            <w:tcBorders>
              <w:top w:val="nil"/>
              <w:left w:val="single" w:sz="4" w:space="0" w:color="auto"/>
              <w:bottom w:val="nil"/>
              <w:right w:val="single" w:sz="4" w:space="0" w:color="auto"/>
            </w:tcBorders>
            <w:hideMark/>
          </w:tcPr>
          <w:p w:rsidR="009956BC" w:rsidRPr="009956BC" w:rsidRDefault="009956BC" w:rsidP="009956BC">
            <w:pPr>
              <w:keepNext/>
              <w:rPr>
                <w:sz w:val="16"/>
              </w:rPr>
            </w:pPr>
            <w:r w:rsidRPr="009956BC">
              <w:rPr>
                <w:sz w:val="16"/>
              </w:rPr>
              <w:t>medium yellow</w:t>
            </w:r>
          </w:p>
        </w:tc>
        <w:tc>
          <w:tcPr>
            <w:tcW w:w="1741" w:type="dxa"/>
            <w:tcBorders>
              <w:top w:val="nil"/>
              <w:left w:val="single" w:sz="4" w:space="0" w:color="auto"/>
              <w:bottom w:val="nil"/>
              <w:right w:val="single" w:sz="4" w:space="0" w:color="auto"/>
            </w:tcBorders>
            <w:hideMark/>
          </w:tcPr>
          <w:p w:rsidR="009956BC" w:rsidRPr="009956BC" w:rsidRDefault="009956BC" w:rsidP="009956BC">
            <w:pPr>
              <w:keepNext/>
              <w:rPr>
                <w:sz w:val="16"/>
              </w:rPr>
            </w:pPr>
            <w:r w:rsidRPr="009956BC">
              <w:rPr>
                <w:sz w:val="16"/>
              </w:rPr>
              <w:t>green</w:t>
            </w:r>
          </w:p>
        </w:tc>
        <w:tc>
          <w:tcPr>
            <w:tcW w:w="1701" w:type="dxa"/>
            <w:tcBorders>
              <w:top w:val="nil"/>
              <w:left w:val="single" w:sz="4" w:space="0" w:color="auto"/>
              <w:bottom w:val="nil"/>
            </w:tcBorders>
            <w:hideMark/>
          </w:tcPr>
          <w:p w:rsidR="009956BC" w:rsidRPr="009956BC" w:rsidRDefault="009956BC" w:rsidP="009956BC">
            <w:pPr>
              <w:keepNext/>
              <w:rPr>
                <w:sz w:val="16"/>
              </w:rPr>
            </w:pPr>
            <w:r w:rsidRPr="009956BC">
              <w:rPr>
                <w:sz w:val="16"/>
              </w:rPr>
              <w:t>orange</w:t>
            </w:r>
          </w:p>
        </w:tc>
      </w:tr>
      <w:tr w:rsidR="009956BC" w:rsidRPr="009956BC" w:rsidTr="001270B2">
        <w:trPr>
          <w:cantSplit/>
          <w:jc w:val="center"/>
        </w:trPr>
        <w:tc>
          <w:tcPr>
            <w:tcW w:w="1508" w:type="dxa"/>
            <w:tcBorders>
              <w:top w:val="nil"/>
              <w:left w:val="nil"/>
              <w:bottom w:val="nil"/>
              <w:right w:val="single" w:sz="4" w:space="0" w:color="auto"/>
            </w:tcBorders>
          </w:tcPr>
          <w:p w:rsidR="009956BC" w:rsidRPr="009956BC" w:rsidRDefault="009956BC" w:rsidP="009956BC">
            <w:pPr>
              <w:keepNext/>
              <w:rPr>
                <w:sz w:val="16"/>
              </w:rPr>
            </w:pPr>
          </w:p>
        </w:tc>
        <w:tc>
          <w:tcPr>
            <w:tcW w:w="1786" w:type="dxa"/>
            <w:tcBorders>
              <w:top w:val="nil"/>
              <w:left w:val="single" w:sz="4" w:space="0" w:color="auto"/>
              <w:bottom w:val="nil"/>
              <w:right w:val="single" w:sz="4" w:space="0" w:color="auto"/>
            </w:tcBorders>
            <w:hideMark/>
          </w:tcPr>
          <w:p w:rsidR="009956BC" w:rsidRPr="009956BC" w:rsidRDefault="009956BC" w:rsidP="009956BC">
            <w:pPr>
              <w:keepNext/>
              <w:rPr>
                <w:sz w:val="16"/>
              </w:rPr>
            </w:pPr>
            <w:r w:rsidRPr="009956BC">
              <w:rPr>
                <w:sz w:val="16"/>
              </w:rPr>
              <w:t>purple</w:t>
            </w:r>
          </w:p>
        </w:tc>
        <w:tc>
          <w:tcPr>
            <w:tcW w:w="2002" w:type="dxa"/>
            <w:tcBorders>
              <w:top w:val="nil"/>
              <w:left w:val="single" w:sz="4" w:space="0" w:color="auto"/>
              <w:bottom w:val="nil"/>
              <w:right w:val="single" w:sz="4" w:space="0" w:color="auto"/>
            </w:tcBorders>
            <w:hideMark/>
          </w:tcPr>
          <w:p w:rsidR="009956BC" w:rsidRPr="009956BC" w:rsidRDefault="009956BC" w:rsidP="009956BC">
            <w:pPr>
              <w:keepNext/>
              <w:rPr>
                <w:sz w:val="16"/>
              </w:rPr>
            </w:pPr>
            <w:r w:rsidRPr="009956BC">
              <w:rPr>
                <w:sz w:val="16"/>
              </w:rPr>
              <w:t>dark yellow</w:t>
            </w:r>
          </w:p>
        </w:tc>
        <w:tc>
          <w:tcPr>
            <w:tcW w:w="1741" w:type="dxa"/>
            <w:tcBorders>
              <w:top w:val="nil"/>
              <w:left w:val="single" w:sz="4" w:space="0" w:color="auto"/>
              <w:bottom w:val="nil"/>
              <w:right w:val="single" w:sz="4" w:space="0" w:color="auto"/>
            </w:tcBorders>
            <w:hideMark/>
          </w:tcPr>
          <w:p w:rsidR="009956BC" w:rsidRPr="009956BC" w:rsidRDefault="009956BC" w:rsidP="009956BC">
            <w:pPr>
              <w:keepNext/>
              <w:rPr>
                <w:sz w:val="16"/>
              </w:rPr>
            </w:pPr>
            <w:r w:rsidRPr="009956BC">
              <w:rPr>
                <w:sz w:val="16"/>
              </w:rPr>
              <w:t>red</w:t>
            </w:r>
          </w:p>
        </w:tc>
        <w:tc>
          <w:tcPr>
            <w:tcW w:w="1701" w:type="dxa"/>
            <w:tcBorders>
              <w:top w:val="nil"/>
              <w:left w:val="single" w:sz="4" w:space="0" w:color="auto"/>
              <w:bottom w:val="nil"/>
            </w:tcBorders>
            <w:hideMark/>
          </w:tcPr>
          <w:p w:rsidR="009956BC" w:rsidRPr="009956BC" w:rsidRDefault="009956BC" w:rsidP="009956BC">
            <w:pPr>
              <w:keepNext/>
              <w:rPr>
                <w:sz w:val="16"/>
              </w:rPr>
            </w:pPr>
            <w:r w:rsidRPr="009956BC">
              <w:rPr>
                <w:sz w:val="16"/>
              </w:rPr>
              <w:t>pink</w:t>
            </w:r>
          </w:p>
        </w:tc>
      </w:tr>
      <w:tr w:rsidR="009956BC" w:rsidRPr="009956BC" w:rsidTr="001270B2">
        <w:trPr>
          <w:cantSplit/>
          <w:jc w:val="center"/>
        </w:trPr>
        <w:tc>
          <w:tcPr>
            <w:tcW w:w="1508" w:type="dxa"/>
            <w:tcBorders>
              <w:top w:val="nil"/>
              <w:left w:val="nil"/>
              <w:bottom w:val="nil"/>
              <w:right w:val="single" w:sz="4" w:space="0" w:color="auto"/>
            </w:tcBorders>
          </w:tcPr>
          <w:p w:rsidR="009956BC" w:rsidRPr="009956BC" w:rsidRDefault="009956BC" w:rsidP="009956BC">
            <w:pPr>
              <w:keepNext/>
              <w:rPr>
                <w:sz w:val="16"/>
              </w:rPr>
            </w:pPr>
          </w:p>
        </w:tc>
        <w:tc>
          <w:tcPr>
            <w:tcW w:w="1786" w:type="dxa"/>
            <w:tcBorders>
              <w:top w:val="nil"/>
              <w:left w:val="single" w:sz="4" w:space="0" w:color="auto"/>
              <w:bottom w:val="nil"/>
              <w:right w:val="single" w:sz="4" w:space="0" w:color="auto"/>
            </w:tcBorders>
            <w:hideMark/>
          </w:tcPr>
          <w:p w:rsidR="009956BC" w:rsidRPr="009956BC" w:rsidRDefault="009956BC" w:rsidP="009956BC">
            <w:pPr>
              <w:keepNext/>
              <w:rPr>
                <w:sz w:val="16"/>
              </w:rPr>
            </w:pPr>
            <w:r w:rsidRPr="009956BC">
              <w:rPr>
                <w:sz w:val="16"/>
              </w:rPr>
              <w:t>blue</w:t>
            </w:r>
          </w:p>
        </w:tc>
        <w:tc>
          <w:tcPr>
            <w:tcW w:w="2002" w:type="dxa"/>
            <w:tcBorders>
              <w:top w:val="nil"/>
              <w:left w:val="single" w:sz="4" w:space="0" w:color="auto"/>
              <w:bottom w:val="nil"/>
              <w:right w:val="single" w:sz="4" w:space="0" w:color="auto"/>
            </w:tcBorders>
            <w:hideMark/>
          </w:tcPr>
          <w:p w:rsidR="009956BC" w:rsidRPr="009956BC" w:rsidRDefault="009956BC" w:rsidP="009956BC">
            <w:pPr>
              <w:keepNext/>
              <w:rPr>
                <w:sz w:val="16"/>
              </w:rPr>
            </w:pPr>
            <w:r w:rsidRPr="009956BC">
              <w:rPr>
                <w:sz w:val="16"/>
              </w:rPr>
              <w:t>light green</w:t>
            </w:r>
          </w:p>
        </w:tc>
        <w:tc>
          <w:tcPr>
            <w:tcW w:w="1741" w:type="dxa"/>
            <w:tcBorders>
              <w:top w:val="nil"/>
              <w:left w:val="single" w:sz="4" w:space="0" w:color="auto"/>
              <w:bottom w:val="nil"/>
              <w:right w:val="single" w:sz="4" w:space="0" w:color="auto"/>
            </w:tcBorders>
            <w:hideMark/>
          </w:tcPr>
          <w:p w:rsidR="009956BC" w:rsidRPr="009956BC" w:rsidRDefault="009956BC" w:rsidP="009956BC">
            <w:pPr>
              <w:keepNext/>
              <w:rPr>
                <w:sz w:val="16"/>
              </w:rPr>
            </w:pPr>
            <w:r w:rsidRPr="009956BC">
              <w:rPr>
                <w:sz w:val="16"/>
              </w:rPr>
              <w:t>purple</w:t>
            </w:r>
          </w:p>
        </w:tc>
        <w:tc>
          <w:tcPr>
            <w:tcW w:w="1701" w:type="dxa"/>
            <w:tcBorders>
              <w:top w:val="nil"/>
              <w:left w:val="single" w:sz="4" w:space="0" w:color="auto"/>
              <w:bottom w:val="nil"/>
            </w:tcBorders>
            <w:hideMark/>
          </w:tcPr>
          <w:p w:rsidR="009956BC" w:rsidRPr="009956BC" w:rsidRDefault="009956BC" w:rsidP="009956BC">
            <w:pPr>
              <w:keepNext/>
              <w:rPr>
                <w:sz w:val="16"/>
              </w:rPr>
            </w:pPr>
            <w:r w:rsidRPr="009956BC">
              <w:rPr>
                <w:sz w:val="16"/>
              </w:rPr>
              <w:t>red</w:t>
            </w:r>
          </w:p>
        </w:tc>
      </w:tr>
      <w:tr w:rsidR="009956BC" w:rsidRPr="009956BC" w:rsidTr="001270B2">
        <w:trPr>
          <w:cantSplit/>
          <w:jc w:val="center"/>
        </w:trPr>
        <w:tc>
          <w:tcPr>
            <w:tcW w:w="1508" w:type="dxa"/>
            <w:tcBorders>
              <w:top w:val="nil"/>
              <w:left w:val="nil"/>
              <w:bottom w:val="nil"/>
              <w:right w:val="single" w:sz="4" w:space="0" w:color="auto"/>
            </w:tcBorders>
          </w:tcPr>
          <w:p w:rsidR="009956BC" w:rsidRPr="009956BC" w:rsidRDefault="009956BC" w:rsidP="009956BC">
            <w:pPr>
              <w:keepNext/>
              <w:rPr>
                <w:sz w:val="16"/>
              </w:rPr>
            </w:pPr>
          </w:p>
        </w:tc>
        <w:tc>
          <w:tcPr>
            <w:tcW w:w="1786" w:type="dxa"/>
            <w:tcBorders>
              <w:top w:val="nil"/>
              <w:left w:val="single" w:sz="4" w:space="0" w:color="auto"/>
              <w:bottom w:val="nil"/>
              <w:right w:val="single" w:sz="4" w:space="0" w:color="auto"/>
            </w:tcBorders>
          </w:tcPr>
          <w:p w:rsidR="009956BC" w:rsidRPr="009956BC" w:rsidRDefault="009956BC" w:rsidP="009956BC">
            <w:pPr>
              <w:keepNext/>
              <w:rPr>
                <w:sz w:val="16"/>
              </w:rPr>
            </w:pPr>
          </w:p>
        </w:tc>
        <w:tc>
          <w:tcPr>
            <w:tcW w:w="2002" w:type="dxa"/>
            <w:tcBorders>
              <w:top w:val="nil"/>
              <w:left w:val="single" w:sz="4" w:space="0" w:color="auto"/>
              <w:bottom w:val="nil"/>
              <w:right w:val="single" w:sz="4" w:space="0" w:color="auto"/>
            </w:tcBorders>
            <w:hideMark/>
          </w:tcPr>
          <w:p w:rsidR="009956BC" w:rsidRPr="009956BC" w:rsidRDefault="009956BC" w:rsidP="009956BC">
            <w:pPr>
              <w:keepNext/>
              <w:rPr>
                <w:sz w:val="16"/>
              </w:rPr>
            </w:pPr>
            <w:r w:rsidRPr="009956BC">
              <w:rPr>
                <w:sz w:val="16"/>
              </w:rPr>
              <w:t>medium green</w:t>
            </w:r>
          </w:p>
        </w:tc>
        <w:tc>
          <w:tcPr>
            <w:tcW w:w="1741" w:type="dxa"/>
            <w:tcBorders>
              <w:top w:val="nil"/>
              <w:left w:val="single" w:sz="4" w:space="0" w:color="auto"/>
              <w:bottom w:val="nil"/>
              <w:right w:val="single" w:sz="4" w:space="0" w:color="auto"/>
            </w:tcBorders>
            <w:hideMark/>
          </w:tcPr>
          <w:p w:rsidR="009956BC" w:rsidRPr="009956BC" w:rsidRDefault="009956BC" w:rsidP="009956BC">
            <w:pPr>
              <w:keepNext/>
              <w:rPr>
                <w:sz w:val="16"/>
              </w:rPr>
            </w:pPr>
            <w:r w:rsidRPr="009956BC">
              <w:rPr>
                <w:sz w:val="16"/>
              </w:rPr>
              <w:t>brown</w:t>
            </w:r>
          </w:p>
        </w:tc>
        <w:tc>
          <w:tcPr>
            <w:tcW w:w="1701" w:type="dxa"/>
            <w:tcBorders>
              <w:top w:val="nil"/>
              <w:left w:val="single" w:sz="4" w:space="0" w:color="auto"/>
              <w:bottom w:val="nil"/>
            </w:tcBorders>
            <w:hideMark/>
          </w:tcPr>
          <w:p w:rsidR="009956BC" w:rsidRPr="009956BC" w:rsidRDefault="009956BC" w:rsidP="009956BC">
            <w:pPr>
              <w:keepNext/>
              <w:rPr>
                <w:sz w:val="16"/>
              </w:rPr>
            </w:pPr>
            <w:r w:rsidRPr="009956BC">
              <w:rPr>
                <w:sz w:val="16"/>
              </w:rPr>
              <w:t>purple</w:t>
            </w:r>
          </w:p>
        </w:tc>
      </w:tr>
      <w:tr w:rsidR="009956BC" w:rsidRPr="009956BC" w:rsidTr="001270B2">
        <w:trPr>
          <w:cantSplit/>
          <w:jc w:val="center"/>
        </w:trPr>
        <w:tc>
          <w:tcPr>
            <w:tcW w:w="1508" w:type="dxa"/>
            <w:tcBorders>
              <w:top w:val="nil"/>
              <w:left w:val="nil"/>
              <w:bottom w:val="nil"/>
              <w:right w:val="single" w:sz="4" w:space="0" w:color="auto"/>
            </w:tcBorders>
          </w:tcPr>
          <w:p w:rsidR="009956BC" w:rsidRPr="009956BC" w:rsidRDefault="009956BC" w:rsidP="009956BC">
            <w:pPr>
              <w:keepNext/>
              <w:rPr>
                <w:sz w:val="16"/>
              </w:rPr>
            </w:pPr>
          </w:p>
        </w:tc>
        <w:tc>
          <w:tcPr>
            <w:tcW w:w="1786" w:type="dxa"/>
            <w:tcBorders>
              <w:top w:val="nil"/>
              <w:left w:val="single" w:sz="4" w:space="0" w:color="auto"/>
              <w:bottom w:val="nil"/>
              <w:right w:val="single" w:sz="4" w:space="0" w:color="auto"/>
            </w:tcBorders>
          </w:tcPr>
          <w:p w:rsidR="009956BC" w:rsidRPr="009956BC" w:rsidRDefault="009956BC" w:rsidP="009956BC">
            <w:pPr>
              <w:keepNext/>
              <w:rPr>
                <w:sz w:val="16"/>
              </w:rPr>
            </w:pPr>
          </w:p>
        </w:tc>
        <w:tc>
          <w:tcPr>
            <w:tcW w:w="2002" w:type="dxa"/>
            <w:tcBorders>
              <w:top w:val="nil"/>
              <w:left w:val="single" w:sz="4" w:space="0" w:color="auto"/>
              <w:bottom w:val="nil"/>
              <w:right w:val="single" w:sz="4" w:space="0" w:color="auto"/>
            </w:tcBorders>
            <w:hideMark/>
          </w:tcPr>
          <w:p w:rsidR="009956BC" w:rsidRPr="009956BC" w:rsidRDefault="009956BC" w:rsidP="009956BC">
            <w:pPr>
              <w:keepNext/>
              <w:rPr>
                <w:sz w:val="16"/>
              </w:rPr>
            </w:pPr>
            <w:r w:rsidRPr="009956BC">
              <w:rPr>
                <w:sz w:val="16"/>
              </w:rPr>
              <w:t>dark green</w:t>
            </w:r>
          </w:p>
        </w:tc>
        <w:tc>
          <w:tcPr>
            <w:tcW w:w="1741" w:type="dxa"/>
            <w:tcBorders>
              <w:top w:val="nil"/>
              <w:left w:val="single" w:sz="4" w:space="0" w:color="auto"/>
              <w:bottom w:val="nil"/>
              <w:right w:val="single" w:sz="4" w:space="0" w:color="auto"/>
            </w:tcBorders>
            <w:hideMark/>
          </w:tcPr>
          <w:p w:rsidR="009956BC" w:rsidRPr="009956BC" w:rsidRDefault="009956BC" w:rsidP="009956BC">
            <w:pPr>
              <w:keepNext/>
              <w:rPr>
                <w:sz w:val="16"/>
              </w:rPr>
            </w:pPr>
            <w:r w:rsidRPr="009956BC">
              <w:rPr>
                <w:sz w:val="16"/>
              </w:rPr>
              <w:t>blackish</w:t>
            </w:r>
          </w:p>
        </w:tc>
        <w:tc>
          <w:tcPr>
            <w:tcW w:w="1701" w:type="dxa"/>
            <w:tcBorders>
              <w:top w:val="nil"/>
              <w:left w:val="single" w:sz="4" w:space="0" w:color="auto"/>
              <w:bottom w:val="nil"/>
            </w:tcBorders>
            <w:hideMark/>
          </w:tcPr>
          <w:p w:rsidR="009956BC" w:rsidRPr="009956BC" w:rsidRDefault="009956BC" w:rsidP="009956BC">
            <w:pPr>
              <w:keepNext/>
              <w:rPr>
                <w:sz w:val="16"/>
              </w:rPr>
            </w:pPr>
            <w:r w:rsidRPr="009956BC">
              <w:rPr>
                <w:sz w:val="16"/>
              </w:rPr>
              <w:t>violet</w:t>
            </w:r>
          </w:p>
        </w:tc>
      </w:tr>
      <w:tr w:rsidR="009956BC" w:rsidRPr="009956BC" w:rsidTr="001270B2">
        <w:trPr>
          <w:cantSplit/>
          <w:jc w:val="center"/>
        </w:trPr>
        <w:tc>
          <w:tcPr>
            <w:tcW w:w="1508" w:type="dxa"/>
            <w:tcBorders>
              <w:top w:val="nil"/>
              <w:left w:val="nil"/>
              <w:bottom w:val="nil"/>
              <w:right w:val="single" w:sz="4" w:space="0" w:color="auto"/>
            </w:tcBorders>
          </w:tcPr>
          <w:p w:rsidR="009956BC" w:rsidRPr="009956BC" w:rsidRDefault="009956BC" w:rsidP="009956BC">
            <w:pPr>
              <w:rPr>
                <w:sz w:val="16"/>
              </w:rPr>
            </w:pPr>
          </w:p>
        </w:tc>
        <w:tc>
          <w:tcPr>
            <w:tcW w:w="1786" w:type="dxa"/>
            <w:tcBorders>
              <w:top w:val="nil"/>
              <w:left w:val="single" w:sz="4" w:space="0" w:color="auto"/>
              <w:bottom w:val="nil"/>
              <w:right w:val="single" w:sz="4" w:space="0" w:color="auto"/>
            </w:tcBorders>
          </w:tcPr>
          <w:p w:rsidR="009956BC" w:rsidRPr="009956BC" w:rsidRDefault="009956BC" w:rsidP="009956BC">
            <w:pPr>
              <w:rPr>
                <w:sz w:val="16"/>
              </w:rPr>
            </w:pPr>
          </w:p>
        </w:tc>
        <w:tc>
          <w:tcPr>
            <w:tcW w:w="2002" w:type="dxa"/>
            <w:tcBorders>
              <w:top w:val="nil"/>
              <w:left w:val="single" w:sz="4" w:space="0" w:color="auto"/>
              <w:bottom w:val="nil"/>
              <w:right w:val="single" w:sz="4" w:space="0" w:color="auto"/>
            </w:tcBorders>
            <w:hideMark/>
          </w:tcPr>
          <w:p w:rsidR="009956BC" w:rsidRPr="009956BC" w:rsidRDefault="009956BC" w:rsidP="009956BC">
            <w:pPr>
              <w:rPr>
                <w:sz w:val="16"/>
              </w:rPr>
            </w:pPr>
            <w:r w:rsidRPr="009956BC">
              <w:rPr>
                <w:sz w:val="16"/>
              </w:rPr>
              <w:t>blue green</w:t>
            </w:r>
          </w:p>
        </w:tc>
        <w:tc>
          <w:tcPr>
            <w:tcW w:w="1741" w:type="dxa"/>
            <w:tcBorders>
              <w:top w:val="nil"/>
              <w:left w:val="single" w:sz="4" w:space="0" w:color="auto"/>
              <w:bottom w:val="nil"/>
              <w:right w:val="single" w:sz="4" w:space="0" w:color="auto"/>
            </w:tcBorders>
          </w:tcPr>
          <w:p w:rsidR="009956BC" w:rsidRPr="009956BC" w:rsidRDefault="009956BC" w:rsidP="009956BC">
            <w:pPr>
              <w:rPr>
                <w:sz w:val="16"/>
              </w:rPr>
            </w:pPr>
          </w:p>
        </w:tc>
        <w:tc>
          <w:tcPr>
            <w:tcW w:w="1701" w:type="dxa"/>
            <w:tcBorders>
              <w:top w:val="nil"/>
              <w:left w:val="single" w:sz="4" w:space="0" w:color="auto"/>
              <w:bottom w:val="nil"/>
            </w:tcBorders>
          </w:tcPr>
          <w:p w:rsidR="009956BC" w:rsidRPr="009956BC" w:rsidRDefault="009956BC" w:rsidP="009956BC">
            <w:pPr>
              <w:rPr>
                <w:sz w:val="16"/>
              </w:rPr>
            </w:pPr>
          </w:p>
        </w:tc>
      </w:tr>
    </w:tbl>
    <w:p w:rsidR="009956BC" w:rsidRPr="009956BC" w:rsidRDefault="009956BC" w:rsidP="009956BC">
      <w:pPr>
        <w:rPr>
          <w:rFonts w:eastAsiaTheme="minorEastAsia" w:cs="Arial"/>
          <w:sz w:val="18"/>
        </w:rPr>
      </w:pPr>
    </w:p>
    <w:p w:rsidR="009956BC" w:rsidRPr="009956BC" w:rsidRDefault="009956BC" w:rsidP="009956BC">
      <w:pPr>
        <w:keepLines/>
        <w:ind w:left="567" w:right="567"/>
        <w:rPr>
          <w:rFonts w:eastAsiaTheme="minorEastAsia" w:cs="Arial"/>
          <w:sz w:val="18"/>
        </w:rPr>
      </w:pPr>
      <w:r w:rsidRPr="009956BC">
        <w:rPr>
          <w:rFonts w:eastAsiaTheme="minorEastAsia" w:cs="Arial"/>
          <w:sz w:val="18"/>
        </w:rPr>
        <w:t xml:space="preserve">“It should be emphasized that not all groups are necessarily clearly distinct from each other when information is used that does not come from the same source (same location, same observer) and cannot always be used to exclude varieties from the trial.  E.g. in </w:t>
      </w:r>
      <w:proofErr w:type="spellStart"/>
      <w:r w:rsidRPr="009956BC">
        <w:rPr>
          <w:rFonts w:eastAsiaTheme="minorEastAsia" w:cs="Arial"/>
          <w:sz w:val="18"/>
        </w:rPr>
        <w:t>Cordyline</w:t>
      </w:r>
      <w:proofErr w:type="spellEnd"/>
      <w:r w:rsidRPr="009956BC">
        <w:rPr>
          <w:rFonts w:eastAsiaTheme="minorEastAsia" w:cs="Arial"/>
          <w:sz w:val="18"/>
        </w:rPr>
        <w:t xml:space="preserve"> for the characteristic ‘Leaf: secondary color’ it might not be possible to clearly distinguish between ‘brown’ and ‘blackish’ when looking at photos on the internet or in a plant catalogue.”</w:t>
      </w:r>
    </w:p>
    <w:p w:rsidR="009956BC" w:rsidRPr="009956BC" w:rsidRDefault="009956BC" w:rsidP="009956BC">
      <w:pPr>
        <w:jc w:val="left"/>
      </w:pPr>
    </w:p>
    <w:p w:rsidR="009956BC" w:rsidRPr="009956BC" w:rsidRDefault="009956BC" w:rsidP="009956BC">
      <w:pPr>
        <w:jc w:val="left"/>
      </w:pPr>
    </w:p>
    <w:p w:rsidR="009956BC" w:rsidRPr="009956BC" w:rsidRDefault="009956BC" w:rsidP="009956BC">
      <w:pPr>
        <w:jc w:val="left"/>
      </w:pPr>
    </w:p>
    <w:p w:rsidR="009956BC" w:rsidRPr="009956BC" w:rsidRDefault="009956BC" w:rsidP="009956BC">
      <w:pPr>
        <w:jc w:val="right"/>
      </w:pPr>
      <w:r w:rsidRPr="009956BC">
        <w:t>[Annex V follows]</w:t>
      </w:r>
    </w:p>
    <w:p w:rsidR="009956BC" w:rsidRPr="009956BC" w:rsidRDefault="009956BC" w:rsidP="009956BC">
      <w:pPr>
        <w:jc w:val="left"/>
      </w:pPr>
    </w:p>
    <w:p w:rsidR="009956BC" w:rsidRPr="009956BC" w:rsidRDefault="009956BC" w:rsidP="009956BC">
      <w:pPr>
        <w:jc w:val="left"/>
        <w:sectPr w:rsidR="009956BC" w:rsidRPr="009956BC" w:rsidSect="001270B2">
          <w:headerReference w:type="default" r:id="rId32"/>
          <w:headerReference w:type="first" r:id="rId33"/>
          <w:pgSz w:w="11907" w:h="16840" w:code="9"/>
          <w:pgMar w:top="510" w:right="1134" w:bottom="709" w:left="1134" w:header="510" w:footer="680" w:gutter="0"/>
          <w:pgNumType w:start="1"/>
          <w:cols w:space="720"/>
          <w:titlePg/>
        </w:sectPr>
      </w:pPr>
    </w:p>
    <w:p w:rsidR="009956BC" w:rsidRPr="009956BC" w:rsidRDefault="009956BC" w:rsidP="009956BC">
      <w:pPr>
        <w:jc w:val="center"/>
      </w:pPr>
      <w:r w:rsidRPr="009956BC">
        <w:lastRenderedPageBreak/>
        <w:t>MATTERS FOR ADOPTION BY THE COUNCIL IN 2019: DOCUMENT TGP/15</w:t>
      </w:r>
    </w:p>
    <w:p w:rsidR="009956BC" w:rsidRPr="009956BC" w:rsidRDefault="009956BC" w:rsidP="009956BC"/>
    <w:p w:rsidR="009956BC" w:rsidRPr="009956BC" w:rsidRDefault="009956BC" w:rsidP="009956BC">
      <w:proofErr w:type="gramStart"/>
      <w:r w:rsidRPr="009956BC">
        <w:t>1.</w:t>
      </w:r>
      <w:r w:rsidRPr="009956BC">
        <w:tab/>
        <w:t xml:space="preserve">The following revisions of document TGP/15 </w:t>
      </w:r>
      <w:r w:rsidRPr="009956BC">
        <w:rPr>
          <w:caps/>
        </w:rPr>
        <w:t>“</w:t>
      </w:r>
      <w:r w:rsidRPr="009956BC">
        <w:t>Guidance on the use of Biochemical and Molecular Markers in the examination of Distinctness, Uniformity and Stability (DUS</w:t>
      </w:r>
      <w:r w:rsidR="00986672">
        <w:t>)” were agreed by the Technical </w:t>
      </w:r>
      <w:r w:rsidRPr="009956BC">
        <w:t>Committee to be proposed for adoption by the Council at its fifty-third ordinary session, to be held in Geneva on November 1, 2019, subject to approval by the CAJ, at its seventy-sixth session, to be held in Geneva on October 30, 2019.</w:t>
      </w:r>
      <w:proofErr w:type="gramEnd"/>
    </w:p>
    <w:p w:rsidR="009956BC" w:rsidRPr="009956BC" w:rsidRDefault="009956BC" w:rsidP="009956BC">
      <w:pPr>
        <w:ind w:left="567" w:hanging="567"/>
        <w:rPr>
          <w:rFonts w:cs="Arial"/>
        </w:rPr>
      </w:pPr>
    </w:p>
    <w:p w:rsidR="009956BC" w:rsidRPr="009956BC" w:rsidRDefault="009956BC" w:rsidP="009956BC">
      <w:pPr>
        <w:ind w:left="567" w:hanging="567"/>
        <w:rPr>
          <w:rFonts w:cs="Arial"/>
        </w:rPr>
      </w:pPr>
    </w:p>
    <w:p w:rsidR="009956BC" w:rsidRPr="009956BC" w:rsidRDefault="009956BC" w:rsidP="009956BC">
      <w:pPr>
        <w:ind w:left="567" w:hanging="567"/>
        <w:rPr>
          <w:rFonts w:cs="Arial"/>
          <w:u w:val="single"/>
        </w:rPr>
      </w:pPr>
      <w:r w:rsidRPr="009956BC">
        <w:rPr>
          <w:u w:val="single"/>
        </w:rPr>
        <w:t>Reliability of the link between the gene and the expression of the characteristic</w:t>
      </w:r>
    </w:p>
    <w:p w:rsidR="009956BC" w:rsidRPr="009956BC" w:rsidRDefault="009956BC" w:rsidP="009956BC">
      <w:pPr>
        <w:ind w:left="567" w:hanging="567"/>
        <w:rPr>
          <w:rFonts w:cs="Arial"/>
        </w:rPr>
      </w:pPr>
    </w:p>
    <w:p w:rsidR="009956BC" w:rsidRPr="009956BC" w:rsidRDefault="009956BC" w:rsidP="009956BC">
      <w:proofErr w:type="gramStart"/>
      <w:r w:rsidRPr="009956BC">
        <w:rPr>
          <w:rFonts w:cs="Arial"/>
        </w:rPr>
        <w:t>2.</w:t>
      </w:r>
      <w:r w:rsidRPr="009956BC">
        <w:rPr>
          <w:rFonts w:cs="Arial"/>
        </w:rPr>
        <w:tab/>
        <w:t>The TC</w:t>
      </w:r>
      <w:r w:rsidRPr="009956BC">
        <w:t xml:space="preserve">, at its fifty-fourth session, </w:t>
      </w:r>
      <w:r w:rsidRPr="009956BC">
        <w:rPr>
          <w:rFonts w:cs="Arial"/>
        </w:rPr>
        <w:t>agreed</w:t>
      </w:r>
      <w:r w:rsidRPr="009956BC">
        <w:t xml:space="preserve"> that the following text from document UPOV/INF/18/1 should be introduced in document TGP/15 to clarify that it was the responsibility of the authority to decide on the reliability of the link between the gene and the expression of the characteristic (see document TC/54/31 “Report”, paragraphs 272 and 273):</w:t>
      </w:r>
      <w:proofErr w:type="gramEnd"/>
    </w:p>
    <w:p w:rsidR="009956BC" w:rsidRPr="009956BC" w:rsidRDefault="009956BC" w:rsidP="009956BC">
      <w:pPr>
        <w:rPr>
          <w:rFonts w:cs="Arial"/>
        </w:rPr>
      </w:pPr>
    </w:p>
    <w:p w:rsidR="009956BC" w:rsidRPr="009956BC" w:rsidRDefault="009956BC" w:rsidP="009956BC">
      <w:pPr>
        <w:autoSpaceDE w:val="0"/>
        <w:autoSpaceDN w:val="0"/>
        <w:adjustRightInd w:val="0"/>
        <w:ind w:left="567" w:right="567"/>
        <w:rPr>
          <w:sz w:val="18"/>
          <w:lang w:eastAsia="ja-JP"/>
        </w:rPr>
      </w:pPr>
      <w:r w:rsidRPr="009956BC">
        <w:rPr>
          <w:sz w:val="18"/>
          <w:szCs w:val="18"/>
          <w:lang w:eastAsia="ja-JP"/>
        </w:rPr>
        <w:t>“3.1.4   In considering the model and example, as presented in Annex 1 of this document, the TC emphasized the importance of meeting the assumptions. In that regard, it clarified that it is a matter for the relevant authority to consider if the assumptions are met (see document TC/45/16 “Report”, paragraph 152).</w:t>
      </w:r>
      <w:r w:rsidRPr="009956BC">
        <w:rPr>
          <w:sz w:val="18"/>
          <w:lang w:eastAsia="ja-JP"/>
        </w:rPr>
        <w:t xml:space="preserve">” </w:t>
      </w:r>
    </w:p>
    <w:p w:rsidR="009956BC" w:rsidRPr="009956BC" w:rsidRDefault="009956BC" w:rsidP="009956BC">
      <w:pPr>
        <w:ind w:left="567" w:hanging="567"/>
        <w:rPr>
          <w:rFonts w:cs="Arial"/>
        </w:rPr>
      </w:pPr>
    </w:p>
    <w:p w:rsidR="009956BC" w:rsidRPr="009956BC" w:rsidRDefault="009956BC" w:rsidP="009956BC">
      <w:proofErr w:type="gramStart"/>
      <w:r w:rsidRPr="009956BC">
        <w:rPr>
          <w:rFonts w:cs="Arial"/>
        </w:rPr>
        <w:t>3.</w:t>
      </w:r>
      <w:r w:rsidRPr="009956BC">
        <w:rPr>
          <w:rFonts w:cs="Arial"/>
        </w:rPr>
        <w:tab/>
        <w:t xml:space="preserve">The TC considered the proposal by the BMT and agreed </w:t>
      </w:r>
      <w:r w:rsidRPr="009956BC">
        <w:t>to include an explanation in document TGP/15 that it would be the responsibility of the respective TWP and the TC to assess whether the reliability of the link between the gene and the expression of the characteristic was satisfied in order to include a method in the Test Guidelines.</w:t>
      </w:r>
      <w:proofErr w:type="gramEnd"/>
    </w:p>
    <w:p w:rsidR="009956BC" w:rsidRPr="009956BC" w:rsidRDefault="009956BC" w:rsidP="009956BC">
      <w:pPr>
        <w:jc w:val="left"/>
      </w:pPr>
    </w:p>
    <w:p w:rsidR="009956BC" w:rsidRPr="009956BC" w:rsidRDefault="009956BC" w:rsidP="009956BC">
      <w:pPr>
        <w:jc w:val="left"/>
      </w:pPr>
    </w:p>
    <w:p w:rsidR="009956BC" w:rsidRPr="009956BC" w:rsidRDefault="009956BC" w:rsidP="009956BC">
      <w:pPr>
        <w:rPr>
          <w:u w:val="single"/>
        </w:rPr>
      </w:pPr>
      <w:r w:rsidRPr="009956BC">
        <w:rPr>
          <w:u w:val="single"/>
        </w:rPr>
        <w:t>New model: “</w:t>
      </w:r>
      <w:r w:rsidRPr="009956BC">
        <w:rPr>
          <w:rFonts w:cs="Arial"/>
          <w:iCs/>
          <w:u w:val="single"/>
        </w:rPr>
        <w:t>Genetic selection of similar varieties for the first growing cycle”</w:t>
      </w:r>
    </w:p>
    <w:p w:rsidR="009956BC" w:rsidRPr="009956BC" w:rsidRDefault="009956BC" w:rsidP="009956BC"/>
    <w:p w:rsidR="009956BC" w:rsidRPr="009956BC" w:rsidRDefault="009956BC" w:rsidP="009956BC">
      <w:r w:rsidRPr="009956BC">
        <w:t>4.</w:t>
      </w:r>
      <w:r w:rsidRPr="009956BC">
        <w:tab/>
        <w:t>The TC, at its fifty-fourth session, agreed with the inclusion of a new model in document TGP/15, as follows (see document TC/54/31 “Report”, paragraphs 290 and 291):</w:t>
      </w:r>
    </w:p>
    <w:p w:rsidR="009956BC" w:rsidRPr="009956BC" w:rsidRDefault="009956BC" w:rsidP="009956BC"/>
    <w:p w:rsidR="009956BC" w:rsidRPr="009956BC" w:rsidRDefault="009956BC" w:rsidP="009956BC"/>
    <w:p w:rsidR="009956BC" w:rsidRPr="009956BC" w:rsidRDefault="009956BC" w:rsidP="009956BC">
      <w:pPr>
        <w:rPr>
          <w:i/>
        </w:rPr>
      </w:pPr>
      <w:r w:rsidRPr="009956BC">
        <w:rPr>
          <w:i/>
        </w:rPr>
        <w:t>New Section 2.3 “Genetic Selection of Similar Varieties for the First Growing Cycle”</w:t>
      </w:r>
    </w:p>
    <w:p w:rsidR="009956BC" w:rsidRPr="009956BC" w:rsidRDefault="009956BC" w:rsidP="009956BC"/>
    <w:p w:rsidR="009956BC" w:rsidRPr="009956BC" w:rsidRDefault="009956BC" w:rsidP="009956BC">
      <w:r w:rsidRPr="009956BC">
        <w:t>2.3</w:t>
      </w:r>
      <w:r w:rsidRPr="009956BC">
        <w:tab/>
        <w:t>Genetic Selection of Similar Varieties for the First Growing Cycle (see Annex III)</w:t>
      </w:r>
    </w:p>
    <w:p w:rsidR="009956BC" w:rsidRPr="009956BC" w:rsidRDefault="009956BC" w:rsidP="009956BC"/>
    <w:p w:rsidR="009956BC" w:rsidRPr="009956BC" w:rsidRDefault="009956BC" w:rsidP="009956BC">
      <w:r w:rsidRPr="009956BC">
        <w:t xml:space="preserve">2.3.1 </w:t>
      </w:r>
      <w:r w:rsidRPr="009956BC">
        <w:tab/>
        <w:t>This approach involves a step to check for genetic similarity before the first growing cycle.</w:t>
      </w:r>
    </w:p>
    <w:p w:rsidR="009956BC" w:rsidRPr="009956BC" w:rsidRDefault="009956BC" w:rsidP="009956BC"/>
    <w:p w:rsidR="009956BC" w:rsidRPr="009956BC" w:rsidRDefault="009956BC" w:rsidP="009956BC">
      <w:r w:rsidRPr="009956BC">
        <w:t>2.3.2</w:t>
      </w:r>
      <w:r w:rsidRPr="009956BC">
        <w:tab/>
        <w:t xml:space="preserve">In cases where the minimum duration of tests is normally two growing cycles, a selection of similar varieties in the variety collection for comparison with candidate varieties in the first growing cycle </w:t>
      </w:r>
      <w:proofErr w:type="gramStart"/>
      <w:r w:rsidRPr="009956BC">
        <w:t>is made</w:t>
      </w:r>
      <w:proofErr w:type="gramEnd"/>
      <w:r w:rsidRPr="009956BC">
        <w:t xml:space="preserve"> according to genetic similarity. As a next step, the information provided by the applicant in the Technical Questionnaire (TQ) </w:t>
      </w:r>
      <w:proofErr w:type="gramStart"/>
      <w:r w:rsidRPr="009956BC">
        <w:t>is used</w:t>
      </w:r>
      <w:proofErr w:type="gramEnd"/>
      <w:r w:rsidRPr="009956BC">
        <w:t xml:space="preserve"> to see if some of the genetically similar varieties do not have to be compared in a growing trial because of differences in DUS characteristics.</w:t>
      </w:r>
    </w:p>
    <w:p w:rsidR="009956BC" w:rsidRPr="009956BC" w:rsidRDefault="009956BC" w:rsidP="009956BC">
      <w:r w:rsidRPr="009956BC">
        <w:t xml:space="preserve"> </w:t>
      </w:r>
    </w:p>
    <w:p w:rsidR="009956BC" w:rsidRPr="009956BC" w:rsidRDefault="009956BC" w:rsidP="009956BC">
      <w:r w:rsidRPr="009956BC">
        <w:t>2.3.3</w:t>
      </w:r>
      <w:r w:rsidRPr="009956BC">
        <w:tab/>
        <w:t xml:space="preserve">On the basis of the variety description of DUS characteristics produced in the first growing cycle, a further search is made of varieties in the variety collection to identify any similar varieties that </w:t>
      </w:r>
      <w:proofErr w:type="gramStart"/>
      <w:r w:rsidRPr="009956BC">
        <w:t>were not compared</w:t>
      </w:r>
      <w:proofErr w:type="gramEnd"/>
      <w:r w:rsidRPr="009956BC">
        <w:t xml:space="preserve"> in the first growing cycle and which should be compared with the candidate variety in the second growing cycle. </w:t>
      </w:r>
    </w:p>
    <w:p w:rsidR="009956BC" w:rsidRPr="009956BC" w:rsidRDefault="009956BC" w:rsidP="009956BC"/>
    <w:p w:rsidR="009956BC" w:rsidRPr="009956BC" w:rsidRDefault="009956BC" w:rsidP="009956BC">
      <w:r w:rsidRPr="009956BC">
        <w:t>2.3.4</w:t>
      </w:r>
      <w:r w:rsidRPr="009956BC">
        <w:tab/>
        <w:t>Annex III to this document “Genetic Selection of Similar Varieties for the First Growing Cycle” provides an example of the genetic selection of similar varieties for the first growing cycle.</w:t>
      </w:r>
    </w:p>
    <w:p w:rsidR="009956BC" w:rsidRPr="009956BC" w:rsidRDefault="009956BC" w:rsidP="009956BC"/>
    <w:p w:rsidR="009956BC" w:rsidRPr="009956BC" w:rsidRDefault="009956BC" w:rsidP="009956BC">
      <w:pPr>
        <w:rPr>
          <w:i/>
        </w:rPr>
      </w:pPr>
      <w:r w:rsidRPr="009956BC">
        <w:rPr>
          <w:i/>
        </w:rPr>
        <w:t>Annex III “Model: Genetic Selection of Similar Varieties for the First Growing Cycle”</w:t>
      </w:r>
    </w:p>
    <w:p w:rsidR="009956BC" w:rsidRPr="009956BC" w:rsidRDefault="009956BC" w:rsidP="009956BC">
      <w:pPr>
        <w:jc w:val="center"/>
        <w:rPr>
          <w:snapToGrid w:val="0"/>
          <w:color w:val="000000"/>
        </w:rPr>
      </w:pPr>
    </w:p>
    <w:p w:rsidR="009956BC" w:rsidRPr="009956BC" w:rsidRDefault="009956BC" w:rsidP="009956BC">
      <w:pPr>
        <w:jc w:val="left"/>
        <w:rPr>
          <w:i/>
        </w:rPr>
      </w:pPr>
      <w:r w:rsidRPr="009956BC">
        <w:t xml:space="preserve">Example:  </w:t>
      </w:r>
      <w:proofErr w:type="gramStart"/>
      <w:r w:rsidRPr="009956BC">
        <w:t>French Bean</w:t>
      </w:r>
      <w:proofErr w:type="gramEnd"/>
      <w:r w:rsidRPr="009956BC">
        <w:t xml:space="preserve"> (prepared by an expert from the Netherlands)</w:t>
      </w:r>
    </w:p>
    <w:p w:rsidR="009956BC" w:rsidRPr="009956BC" w:rsidRDefault="009956BC" w:rsidP="009956BC">
      <w:pPr>
        <w:jc w:val="center"/>
        <w:rPr>
          <w:rFonts w:cs="Arial"/>
          <w:i/>
        </w:rPr>
      </w:pPr>
    </w:p>
    <w:p w:rsidR="009956BC" w:rsidRPr="009956BC" w:rsidRDefault="009956BC" w:rsidP="009956BC">
      <w:r w:rsidRPr="009956BC">
        <w:t>1.</w:t>
      </w:r>
      <w:r w:rsidRPr="009956BC">
        <w:tab/>
        <w:t>Introduction</w:t>
      </w:r>
    </w:p>
    <w:p w:rsidR="009956BC" w:rsidRPr="009956BC" w:rsidRDefault="009956BC" w:rsidP="009956BC"/>
    <w:p w:rsidR="009956BC" w:rsidRPr="009956BC" w:rsidRDefault="009956BC" w:rsidP="009956BC">
      <w:r w:rsidRPr="009956BC">
        <w:t xml:space="preserve">1.1 </w:t>
      </w:r>
      <w:r w:rsidRPr="009956BC">
        <w:tab/>
        <w:t xml:space="preserve">This approach involves a step to check for genetic similarity before the first growing cycle.  </w:t>
      </w:r>
    </w:p>
    <w:p w:rsidR="009956BC" w:rsidRPr="009956BC" w:rsidRDefault="009956BC" w:rsidP="009956BC"/>
    <w:p w:rsidR="009956BC" w:rsidRPr="009956BC" w:rsidRDefault="009956BC" w:rsidP="009956BC">
      <w:r w:rsidRPr="009956BC">
        <w:t>1.2</w:t>
      </w:r>
      <w:r w:rsidRPr="009956BC">
        <w:tab/>
        <w:t xml:space="preserve">In cases where the minimum duration of tests is normally two growing cycles, a selection of similar varieties in the variety collection for comparison with candidate varieties in the first growing cycle </w:t>
      </w:r>
      <w:proofErr w:type="gramStart"/>
      <w:r w:rsidRPr="009956BC">
        <w:t>is made</w:t>
      </w:r>
      <w:proofErr w:type="gramEnd"/>
      <w:r w:rsidRPr="009956BC">
        <w:t xml:space="preserve"> according to genetic similarity. As a next step, the information provided by the applicant in the </w:t>
      </w:r>
      <w:r w:rsidRPr="009956BC">
        <w:lastRenderedPageBreak/>
        <w:t xml:space="preserve">Technical Questionnaire (TQ) </w:t>
      </w:r>
      <w:proofErr w:type="gramStart"/>
      <w:r w:rsidRPr="009956BC">
        <w:t>is used</w:t>
      </w:r>
      <w:proofErr w:type="gramEnd"/>
      <w:r w:rsidRPr="009956BC">
        <w:t xml:space="preserve"> to see if some of the genetically similar varieties do not have to be compared in a growing trial because of differences in DUS characteristics.  </w:t>
      </w:r>
    </w:p>
    <w:p w:rsidR="009956BC" w:rsidRPr="009956BC" w:rsidRDefault="009956BC" w:rsidP="009956BC"/>
    <w:p w:rsidR="009956BC" w:rsidRPr="009956BC" w:rsidRDefault="009956BC" w:rsidP="009956BC">
      <w:r w:rsidRPr="009956BC">
        <w:t>1.3</w:t>
      </w:r>
      <w:r w:rsidRPr="009956BC">
        <w:tab/>
        <w:t xml:space="preserve">On the basis of the variety description of DUS characteristics produced in the first growing cycle, a further search is made of varieties in the variety collection to identify any similar varieties that </w:t>
      </w:r>
      <w:proofErr w:type="gramStart"/>
      <w:r w:rsidRPr="009956BC">
        <w:t>were not compared</w:t>
      </w:r>
      <w:proofErr w:type="gramEnd"/>
      <w:r w:rsidRPr="009956BC">
        <w:t xml:space="preserve"> in the first growing cycle and which should be compared with the candidate variety in the second growing cycle. </w:t>
      </w:r>
    </w:p>
    <w:p w:rsidR="009956BC" w:rsidRPr="009956BC" w:rsidRDefault="009956BC" w:rsidP="009956BC"/>
    <w:p w:rsidR="009956BC" w:rsidRPr="009956BC" w:rsidRDefault="009956BC" w:rsidP="009956BC">
      <w:r w:rsidRPr="009956BC">
        <w:t>2.</w:t>
      </w:r>
      <w:r w:rsidRPr="009956BC">
        <w:tab/>
        <w:t>Procedure</w:t>
      </w:r>
    </w:p>
    <w:p w:rsidR="009956BC" w:rsidRPr="009956BC" w:rsidRDefault="009956BC" w:rsidP="009956BC">
      <w:pPr>
        <w:keepNext/>
        <w:outlineLvl w:val="2"/>
        <w:rPr>
          <w:rFonts w:eastAsia="MS Mincho"/>
          <w:i/>
        </w:rPr>
      </w:pPr>
      <w:r w:rsidRPr="009956BC">
        <w:rPr>
          <w:rFonts w:eastAsia="MS Mincho"/>
          <w:i/>
        </w:rPr>
        <w:t xml:space="preserve"> </w:t>
      </w:r>
    </w:p>
    <w:p w:rsidR="009956BC" w:rsidRPr="009956BC" w:rsidRDefault="009956BC" w:rsidP="009956BC">
      <w:pPr>
        <w:rPr>
          <w:i/>
        </w:rPr>
      </w:pPr>
      <w:r w:rsidRPr="009956BC">
        <w:rPr>
          <w:i/>
        </w:rPr>
        <w:t>Determine genetic similarity</w:t>
      </w:r>
    </w:p>
    <w:p w:rsidR="009956BC" w:rsidRPr="009956BC" w:rsidRDefault="009956BC" w:rsidP="009956BC"/>
    <w:p w:rsidR="009956BC" w:rsidRPr="009956BC" w:rsidRDefault="009956BC" w:rsidP="009956BC">
      <w:r w:rsidRPr="009956BC">
        <w:t>2.1</w:t>
      </w:r>
      <w:r w:rsidRPr="009956BC">
        <w:tab/>
        <w:t xml:space="preserve">The DNA-profile of the candidate variety </w:t>
      </w:r>
      <w:proofErr w:type="gramStart"/>
      <w:r w:rsidRPr="009956BC">
        <w:t>is produced</w:t>
      </w:r>
      <w:proofErr w:type="gramEnd"/>
      <w:r w:rsidRPr="009956BC">
        <w:t xml:space="preserve"> as soon as plant material is received.</w:t>
      </w:r>
    </w:p>
    <w:p w:rsidR="009956BC" w:rsidRPr="009956BC" w:rsidRDefault="009956BC" w:rsidP="009956BC"/>
    <w:p w:rsidR="009956BC" w:rsidRPr="009956BC" w:rsidRDefault="009956BC" w:rsidP="009956BC">
      <w:r w:rsidRPr="009956BC">
        <w:t>2.2</w:t>
      </w:r>
      <w:r w:rsidRPr="009956BC">
        <w:tab/>
        <w:t xml:space="preserve">The DNA-profile </w:t>
      </w:r>
      <w:proofErr w:type="gramStart"/>
      <w:r w:rsidRPr="009956BC">
        <w:t>is compared</w:t>
      </w:r>
      <w:proofErr w:type="gramEnd"/>
      <w:r w:rsidRPr="009956BC">
        <w:t xml:space="preserve"> with the profiles of all varieties in the variety collection and genetically similar varieties are identified. </w:t>
      </w:r>
    </w:p>
    <w:p w:rsidR="009956BC" w:rsidRPr="009956BC" w:rsidRDefault="009956BC" w:rsidP="009956BC"/>
    <w:p w:rsidR="009956BC" w:rsidRPr="009956BC" w:rsidRDefault="009956BC" w:rsidP="009956BC">
      <w:pPr>
        <w:rPr>
          <w:i/>
        </w:rPr>
      </w:pPr>
      <w:r w:rsidRPr="009956BC">
        <w:rPr>
          <w:i/>
        </w:rPr>
        <w:t>Technical Questionnaire information</w:t>
      </w:r>
    </w:p>
    <w:p w:rsidR="009956BC" w:rsidRPr="009956BC" w:rsidRDefault="009956BC" w:rsidP="009956BC"/>
    <w:p w:rsidR="009956BC" w:rsidRPr="009956BC" w:rsidRDefault="009956BC" w:rsidP="009956BC">
      <w:r w:rsidRPr="009956BC">
        <w:t>2.3</w:t>
      </w:r>
      <w:r w:rsidRPr="009956BC">
        <w:tab/>
        <w:t xml:space="preserve">The information provided by the applicant in the Technical Questionnaire (TQ) </w:t>
      </w:r>
      <w:proofErr w:type="gramStart"/>
      <w:r w:rsidRPr="009956BC">
        <w:t>is then used</w:t>
      </w:r>
      <w:proofErr w:type="gramEnd"/>
      <w:r w:rsidRPr="009956BC">
        <w:t xml:space="preserve"> to see if there are clear differences in DUS characteristics from some of the genetically similar varieties so that they do not need to be compared with candidate varieties in a growing trial.   </w:t>
      </w:r>
    </w:p>
    <w:p w:rsidR="009956BC" w:rsidRPr="009956BC" w:rsidRDefault="009956BC" w:rsidP="009956BC"/>
    <w:p w:rsidR="009956BC" w:rsidRPr="009956BC" w:rsidRDefault="009956BC" w:rsidP="009956BC">
      <w:pPr>
        <w:rPr>
          <w:i/>
        </w:rPr>
      </w:pPr>
      <w:r w:rsidRPr="009956BC">
        <w:rPr>
          <w:i/>
        </w:rPr>
        <w:t>Field trial</w:t>
      </w:r>
    </w:p>
    <w:p w:rsidR="009956BC" w:rsidRPr="009956BC" w:rsidRDefault="009956BC" w:rsidP="009956BC"/>
    <w:p w:rsidR="009956BC" w:rsidRPr="009956BC" w:rsidRDefault="009956BC" w:rsidP="009956BC">
      <w:pPr>
        <w:ind w:firstLine="567"/>
        <w:rPr>
          <w:u w:val="single"/>
        </w:rPr>
      </w:pPr>
      <w:r w:rsidRPr="009956BC">
        <w:rPr>
          <w:u w:val="single"/>
        </w:rPr>
        <w:t>First growing cycle:</w:t>
      </w:r>
    </w:p>
    <w:p w:rsidR="009956BC" w:rsidRPr="009956BC" w:rsidRDefault="009956BC" w:rsidP="009956BC"/>
    <w:p w:rsidR="009956BC" w:rsidRPr="009956BC" w:rsidRDefault="009956BC" w:rsidP="009956BC">
      <w:r w:rsidRPr="009956BC">
        <w:t>2.4</w:t>
      </w:r>
      <w:r w:rsidRPr="009956BC">
        <w:tab/>
        <w:t xml:space="preserve">The candidate and the genetically similar varieties selected by the procedure above are grown in the same field trial. A complete description of the DUS characteristics of the candidate variety </w:t>
      </w:r>
      <w:proofErr w:type="gramStart"/>
      <w:r w:rsidRPr="009956BC">
        <w:t>is produced</w:t>
      </w:r>
      <w:proofErr w:type="gramEnd"/>
      <w:r w:rsidRPr="009956BC">
        <w:t xml:space="preserve"> and is compared to the descriptions of all varieties in the variety collection using a database containing descriptions produced at the same location in previous years. </w:t>
      </w:r>
    </w:p>
    <w:p w:rsidR="009956BC" w:rsidRPr="009956BC" w:rsidRDefault="009956BC" w:rsidP="009956BC"/>
    <w:p w:rsidR="009956BC" w:rsidRPr="009956BC" w:rsidRDefault="009956BC" w:rsidP="009956BC">
      <w:r w:rsidRPr="009956BC">
        <w:t>2.5</w:t>
      </w:r>
      <w:r w:rsidRPr="009956BC">
        <w:tab/>
        <w:t xml:space="preserve">Possible outcomes: </w:t>
      </w:r>
    </w:p>
    <w:p w:rsidR="009956BC" w:rsidRPr="009956BC" w:rsidRDefault="009956BC" w:rsidP="009956BC"/>
    <w:p w:rsidR="009956BC" w:rsidRPr="009956BC" w:rsidRDefault="009956BC" w:rsidP="009956BC">
      <w:r w:rsidRPr="009956BC">
        <w:t xml:space="preserve">If the candidate variety is not distinct from the genetically similar varieties </w:t>
      </w:r>
      <w:proofErr w:type="gramStart"/>
      <w:r w:rsidRPr="009956BC">
        <w:t>on the basis of</w:t>
      </w:r>
      <w:proofErr w:type="gramEnd"/>
      <w:r w:rsidRPr="009956BC">
        <w:t xml:space="preserve"> DUS characteristics, the test will be continued for another growing cycle. </w:t>
      </w:r>
    </w:p>
    <w:p w:rsidR="009956BC" w:rsidRPr="009956BC" w:rsidRDefault="009956BC" w:rsidP="009956BC"/>
    <w:p w:rsidR="009956BC" w:rsidRPr="009956BC" w:rsidRDefault="009956BC" w:rsidP="009956BC">
      <w:r w:rsidRPr="009956BC">
        <w:t xml:space="preserve">In any case, the description of the candidate variety produced in the first growing cycle </w:t>
      </w:r>
      <w:proofErr w:type="gramStart"/>
      <w:r w:rsidRPr="009956BC">
        <w:t>is compared</w:t>
      </w:r>
      <w:proofErr w:type="gramEnd"/>
      <w:r w:rsidRPr="009956BC">
        <w:t xml:space="preserve"> to the descriptions of the varieties in the variety collection using a database containing descriptions produced at the same location. </w:t>
      </w:r>
    </w:p>
    <w:p w:rsidR="009956BC" w:rsidRPr="009956BC" w:rsidRDefault="009956BC" w:rsidP="009956BC"/>
    <w:p w:rsidR="009956BC" w:rsidRPr="009956BC" w:rsidRDefault="009956BC" w:rsidP="009956BC">
      <w:r w:rsidRPr="009956BC">
        <w:tab/>
      </w:r>
      <w:r w:rsidRPr="009956BC">
        <w:tab/>
        <w:t xml:space="preserve">(a) If the candidate variety </w:t>
      </w:r>
      <w:proofErr w:type="gramStart"/>
      <w:r w:rsidRPr="009956BC">
        <w:t>is found</w:t>
      </w:r>
      <w:proofErr w:type="gramEnd"/>
      <w:r w:rsidRPr="009956BC">
        <w:t xml:space="preserve"> to be distinct from all varieties grown in the first growing cycle and to all other varieties in the variety collection at the end of the first growing cycle and it fulfills the uniformity and stability requirements the DUS test may be concluded after the first growing cycle.</w:t>
      </w:r>
    </w:p>
    <w:p w:rsidR="009956BC" w:rsidRPr="009956BC" w:rsidRDefault="009956BC" w:rsidP="009956BC"/>
    <w:p w:rsidR="009956BC" w:rsidRPr="009956BC" w:rsidRDefault="009956BC" w:rsidP="009956BC">
      <w:r w:rsidRPr="009956BC">
        <w:tab/>
      </w:r>
      <w:r w:rsidRPr="009956BC">
        <w:tab/>
        <w:t xml:space="preserve">(b) In all other cases a second growing cycle </w:t>
      </w:r>
      <w:proofErr w:type="gramStart"/>
      <w:r w:rsidRPr="009956BC">
        <w:t>is performed</w:t>
      </w:r>
      <w:proofErr w:type="gramEnd"/>
      <w:r w:rsidRPr="009956BC">
        <w:t xml:space="preserve">. </w:t>
      </w:r>
    </w:p>
    <w:p w:rsidR="009956BC" w:rsidRPr="009956BC" w:rsidRDefault="009956BC" w:rsidP="009956BC"/>
    <w:p w:rsidR="009956BC" w:rsidRPr="009956BC" w:rsidRDefault="009956BC" w:rsidP="009956BC">
      <w:pPr>
        <w:ind w:firstLine="567"/>
        <w:rPr>
          <w:u w:val="single"/>
        </w:rPr>
      </w:pPr>
      <w:r w:rsidRPr="009956BC">
        <w:rPr>
          <w:u w:val="single"/>
        </w:rPr>
        <w:t>Second growing cycle</w:t>
      </w:r>
    </w:p>
    <w:p w:rsidR="009956BC" w:rsidRPr="009956BC" w:rsidRDefault="009956BC" w:rsidP="009956BC"/>
    <w:p w:rsidR="009956BC" w:rsidRPr="009956BC" w:rsidRDefault="009956BC" w:rsidP="009956BC">
      <w:r w:rsidRPr="009956BC">
        <w:t>2.6</w:t>
      </w:r>
      <w:r w:rsidRPr="009956BC">
        <w:tab/>
        <w:t xml:space="preserve">In the second growing cycle, the candidate variety </w:t>
      </w:r>
      <w:proofErr w:type="gramStart"/>
      <w:r w:rsidRPr="009956BC">
        <w:t>is grown</w:t>
      </w:r>
      <w:proofErr w:type="gramEnd"/>
      <w:r w:rsidRPr="009956BC">
        <w:t xml:space="preserve"> with the all varieties in the variety collection from which it was not found to be distinct at the end of the first growing cycle. </w:t>
      </w:r>
    </w:p>
    <w:p w:rsidR="009956BC" w:rsidRPr="009956BC" w:rsidRDefault="009956BC" w:rsidP="009956BC"/>
    <w:p w:rsidR="009956BC" w:rsidRPr="009956BC" w:rsidRDefault="009956BC" w:rsidP="009956BC">
      <w:r w:rsidRPr="009956BC">
        <w:t>2.7</w:t>
      </w:r>
      <w:r w:rsidRPr="009956BC">
        <w:tab/>
        <w:t xml:space="preserve">At the end of the second growing cycle, an assessment of DUS </w:t>
      </w:r>
      <w:proofErr w:type="gramStart"/>
      <w:r w:rsidRPr="009956BC">
        <w:t>is made</w:t>
      </w:r>
      <w:proofErr w:type="gramEnd"/>
      <w:r w:rsidRPr="009956BC">
        <w:t xml:space="preserve">.  If it is not possible to reach a decision on DUS at the end of the second growing cycle, a further growing cycle </w:t>
      </w:r>
      <w:proofErr w:type="gramStart"/>
      <w:r w:rsidRPr="009956BC">
        <w:t>may be conducted</w:t>
      </w:r>
      <w:proofErr w:type="gramEnd"/>
      <w:r w:rsidRPr="009956BC">
        <w:t>.</w:t>
      </w:r>
    </w:p>
    <w:p w:rsidR="009956BC" w:rsidRPr="009956BC" w:rsidRDefault="009956BC" w:rsidP="009956BC"/>
    <w:p w:rsidR="009956BC" w:rsidRPr="009956BC" w:rsidRDefault="009956BC" w:rsidP="009956BC"/>
    <w:p w:rsidR="009956BC" w:rsidRPr="009956BC" w:rsidRDefault="009956BC" w:rsidP="009956BC"/>
    <w:p w:rsidR="009956BC" w:rsidRPr="009956BC" w:rsidRDefault="009956BC" w:rsidP="009956BC">
      <w:pPr>
        <w:jc w:val="right"/>
      </w:pPr>
      <w:r w:rsidRPr="009956BC">
        <w:t>[Annex VI follows]</w:t>
      </w:r>
    </w:p>
    <w:p w:rsidR="009956BC" w:rsidRPr="009956BC" w:rsidRDefault="009956BC" w:rsidP="009956BC">
      <w:pPr>
        <w:jc w:val="right"/>
      </w:pPr>
    </w:p>
    <w:p w:rsidR="009956BC" w:rsidRPr="009956BC" w:rsidRDefault="009956BC" w:rsidP="009956BC">
      <w:pPr>
        <w:jc w:val="right"/>
        <w:sectPr w:rsidR="009956BC" w:rsidRPr="009956BC" w:rsidSect="001270B2">
          <w:headerReference w:type="default" r:id="rId34"/>
          <w:headerReference w:type="first" r:id="rId35"/>
          <w:pgSz w:w="11907" w:h="16840" w:code="9"/>
          <w:pgMar w:top="510" w:right="1134" w:bottom="709" w:left="1134" w:header="510" w:footer="680" w:gutter="0"/>
          <w:pgNumType w:start="1"/>
          <w:cols w:space="720"/>
          <w:titlePg/>
        </w:sectPr>
      </w:pPr>
    </w:p>
    <w:p w:rsidR="00050E16" w:rsidRPr="00C5280D" w:rsidRDefault="005C2C74" w:rsidP="005C2C74">
      <w:pPr>
        <w:ind w:left="-284"/>
        <w:jc w:val="left"/>
      </w:pPr>
      <w:r w:rsidRPr="005C2C74">
        <w:rPr>
          <w:noProof/>
        </w:rPr>
        <w:lastRenderedPageBreak/>
        <w:drawing>
          <wp:inline distT="0" distB="0" distL="0" distR="0">
            <wp:extent cx="9649460" cy="6234018"/>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649460" cy="6234018"/>
                    </a:xfrm>
                    <a:prstGeom prst="rect">
                      <a:avLst/>
                    </a:prstGeom>
                    <a:noFill/>
                    <a:ln>
                      <a:noFill/>
                    </a:ln>
                  </pic:spPr>
                </pic:pic>
              </a:graphicData>
            </a:graphic>
          </wp:inline>
        </w:drawing>
      </w:r>
    </w:p>
    <w:sectPr w:rsidR="00050E16" w:rsidRPr="00C5280D" w:rsidSect="00E41DBE">
      <w:headerReference w:type="default" r:id="rId37"/>
      <w:headerReference w:type="first" r:id="rId38"/>
      <w:footerReference w:type="first" r:id="rId39"/>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331" w:rsidRDefault="00FC5331" w:rsidP="006655D3">
      <w:r>
        <w:separator/>
      </w:r>
    </w:p>
    <w:p w:rsidR="00FC5331" w:rsidRDefault="00FC5331" w:rsidP="006655D3"/>
    <w:p w:rsidR="00FC5331" w:rsidRDefault="00FC5331" w:rsidP="006655D3"/>
  </w:endnote>
  <w:endnote w:type="continuationSeparator" w:id="0">
    <w:p w:rsidR="00FC5331" w:rsidRDefault="00FC5331" w:rsidP="006655D3">
      <w:r>
        <w:separator/>
      </w:r>
    </w:p>
    <w:p w:rsidR="00FC5331" w:rsidRPr="00294751" w:rsidRDefault="00FC5331" w:rsidP="005C2C74">
      <w:pPr>
        <w:pStyle w:val="Footer"/>
        <w:rPr>
          <w:lang w:val="fr-FR"/>
        </w:rPr>
      </w:pPr>
      <w:r w:rsidRPr="00294751">
        <w:rPr>
          <w:lang w:val="fr-FR"/>
        </w:rPr>
        <w:t>[Suite de la note de la page précédente]</w:t>
      </w:r>
    </w:p>
    <w:p w:rsidR="00FC5331" w:rsidRPr="00294751" w:rsidRDefault="00FC5331" w:rsidP="006655D3">
      <w:pPr>
        <w:rPr>
          <w:lang w:val="fr-FR"/>
        </w:rPr>
      </w:pPr>
    </w:p>
    <w:p w:rsidR="00FC5331" w:rsidRPr="00294751" w:rsidRDefault="00FC5331" w:rsidP="006655D3">
      <w:pPr>
        <w:rPr>
          <w:lang w:val="fr-FR"/>
        </w:rPr>
      </w:pPr>
    </w:p>
  </w:endnote>
  <w:endnote w:type="continuationNotice" w:id="1">
    <w:p w:rsidR="00FC5331" w:rsidRPr="00294751" w:rsidRDefault="00FC5331" w:rsidP="006655D3">
      <w:pPr>
        <w:rPr>
          <w:lang w:val="fr-FR"/>
        </w:rPr>
      </w:pPr>
      <w:r w:rsidRPr="00294751">
        <w:rPr>
          <w:lang w:val="fr-FR"/>
        </w:rPr>
        <w:t>[Suite de la note page suivante]</w:t>
      </w:r>
    </w:p>
    <w:p w:rsidR="00FC5331" w:rsidRPr="00294751" w:rsidRDefault="00FC5331" w:rsidP="006655D3">
      <w:pPr>
        <w:rPr>
          <w:lang w:val="fr-FR"/>
        </w:rPr>
      </w:pPr>
    </w:p>
    <w:p w:rsidR="00FC5331" w:rsidRPr="00294751" w:rsidRDefault="00FC533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331" w:rsidRPr="00DE7D82" w:rsidRDefault="00FC5331" w:rsidP="005C2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331" w:rsidRDefault="00FC5331" w:rsidP="005C2C74">
    <w:pPr>
      <w:pStyle w:val="Footer"/>
      <w:rPr>
        <w:sz w:val="20"/>
      </w:rPr>
    </w:pPr>
  </w:p>
  <w:p w:rsidR="00FC5331" w:rsidRPr="005C2C74" w:rsidRDefault="00FC5331" w:rsidP="005C2C74">
    <w:pPr>
      <w:pStyle w:val="Footer"/>
      <w:rPr>
        <w:sz w:val="20"/>
      </w:rPr>
    </w:pPr>
    <w:r>
      <w:rPr>
        <w:sz w:val="20"/>
      </w:rPr>
      <w:t>[End of Annex VI and of document]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331" w:rsidRDefault="00FC5331" w:rsidP="006655D3">
      <w:r>
        <w:separator/>
      </w:r>
    </w:p>
  </w:footnote>
  <w:footnote w:type="continuationSeparator" w:id="0">
    <w:p w:rsidR="00FC5331" w:rsidRDefault="00FC5331" w:rsidP="006655D3">
      <w:r>
        <w:separator/>
      </w:r>
    </w:p>
  </w:footnote>
  <w:footnote w:type="continuationNotice" w:id="1">
    <w:p w:rsidR="00FC5331" w:rsidRPr="00AB530F" w:rsidRDefault="00FC5331" w:rsidP="005C2C74">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331" w:rsidRPr="002E1B40" w:rsidRDefault="00FC5331" w:rsidP="001270B2">
    <w:pPr>
      <w:jc w:val="center"/>
      <w:rPr>
        <w:lang w:val="pt-BR"/>
      </w:rPr>
    </w:pPr>
    <w:r>
      <w:t>TC/55/4</w:t>
    </w:r>
  </w:p>
  <w:p w:rsidR="00FC5331" w:rsidRPr="002E1B40" w:rsidRDefault="00FC5331" w:rsidP="001270B2">
    <w:pPr>
      <w:jc w:val="center"/>
      <w:rPr>
        <w:lang w:val="pt-BR"/>
      </w:rPr>
    </w:pPr>
    <w:r w:rsidRPr="002E1B40">
      <w:rPr>
        <w:lang w:val="pt-BR"/>
      </w:rPr>
      <w:t xml:space="preserve">page </w:t>
    </w:r>
    <w:r w:rsidRPr="00C5280D">
      <w:fldChar w:fldCharType="begin"/>
    </w:r>
    <w:r w:rsidRPr="002E1B40">
      <w:rPr>
        <w:lang w:val="pt-BR"/>
      </w:rPr>
      <w:instrText xml:space="preserve"> PAGE </w:instrText>
    </w:r>
    <w:r w:rsidRPr="00C5280D">
      <w:fldChar w:fldCharType="separate"/>
    </w:r>
    <w:r w:rsidR="00CE2445">
      <w:rPr>
        <w:noProof/>
        <w:lang w:val="pt-BR"/>
      </w:rPr>
      <w:t>11</w:t>
    </w:r>
    <w:r w:rsidRPr="00C5280D">
      <w:fldChar w:fldCharType="end"/>
    </w:r>
  </w:p>
  <w:p w:rsidR="00FC5331" w:rsidRPr="002E1B40" w:rsidRDefault="00FC5331" w:rsidP="006655D3">
    <w:pPr>
      <w:rPr>
        <w:lang w:val="pt-BR"/>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331" w:rsidRPr="002E1B40" w:rsidRDefault="00FC5331" w:rsidP="009956BC">
    <w:pPr>
      <w:jc w:val="center"/>
      <w:rPr>
        <w:lang w:val="pt-BR"/>
      </w:rPr>
    </w:pPr>
    <w:r>
      <w:t>TC/55/4</w:t>
    </w:r>
  </w:p>
  <w:p w:rsidR="00FC5331" w:rsidRDefault="00FC5331" w:rsidP="001270B2">
    <w:pPr>
      <w:jc w:val="center"/>
    </w:pPr>
  </w:p>
  <w:p w:rsidR="00FC5331" w:rsidRDefault="00FC5331" w:rsidP="001270B2">
    <w:pPr>
      <w:jc w:val="center"/>
    </w:pPr>
    <w:r>
      <w:t xml:space="preserve">ANNEX V </w:t>
    </w:r>
  </w:p>
  <w:p w:rsidR="00FC5331" w:rsidRPr="004A75CB" w:rsidRDefault="00FC5331" w:rsidP="001270B2">
    <w:pPr>
      <w:jc w:val="cent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331" w:rsidRPr="00C5280D" w:rsidRDefault="00FC5331" w:rsidP="00EB048E">
    <w:pPr>
      <w:pStyle w:val="Header"/>
      <w:rPr>
        <w:rStyle w:val="PageNumber"/>
        <w:lang w:val="en-US"/>
      </w:rPr>
    </w:pPr>
    <w:r>
      <w:rPr>
        <w:rStyle w:val="PageNumber"/>
        <w:lang w:val="en-US"/>
      </w:rPr>
      <w:t>TC/55/4</w:t>
    </w:r>
  </w:p>
  <w:p w:rsidR="00FC5331" w:rsidRPr="00C5280D" w:rsidRDefault="00FC5331"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rsidR="00FC5331" w:rsidRPr="00C5280D" w:rsidRDefault="00FC5331" w:rsidP="006655D3"/>
  <w:p w:rsidR="00FC5331" w:rsidRDefault="00FC5331"/>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331" w:rsidRPr="00193975" w:rsidRDefault="00FC5331" w:rsidP="009956BC">
    <w:pPr>
      <w:jc w:val="center"/>
    </w:pPr>
    <w:r>
      <w:t>TC/55/4</w:t>
    </w:r>
  </w:p>
  <w:p w:rsidR="00FC5331" w:rsidRDefault="00FC5331" w:rsidP="001270B2">
    <w:pPr>
      <w:jc w:val="center"/>
    </w:pPr>
  </w:p>
  <w:p w:rsidR="00FC5331" w:rsidRDefault="00FC5331" w:rsidP="001270B2">
    <w:pPr>
      <w:jc w:val="center"/>
    </w:pPr>
    <w:r>
      <w:t xml:space="preserve">ANNEX VI – PROGRAM FOR THE DEVELOPMENT OF TGP DOCUMENTS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331" w:rsidRPr="002E1B40" w:rsidRDefault="00FC5331" w:rsidP="009956BC">
    <w:pPr>
      <w:jc w:val="center"/>
      <w:rPr>
        <w:lang w:val="pt-BR"/>
      </w:rPr>
    </w:pPr>
    <w:r>
      <w:t>TC/55/4</w:t>
    </w:r>
  </w:p>
  <w:p w:rsidR="00FC5331" w:rsidRPr="00C5280D" w:rsidRDefault="00FC5331"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E2445">
      <w:rPr>
        <w:rStyle w:val="PageNumber"/>
        <w:noProof/>
        <w:lang w:val="en-US"/>
      </w:rPr>
      <w:t>2</w:t>
    </w:r>
    <w:r w:rsidRPr="00C5280D">
      <w:rPr>
        <w:rStyle w:val="PageNumber"/>
        <w:lang w:val="en-US"/>
      </w:rPr>
      <w:fldChar w:fldCharType="end"/>
    </w:r>
  </w:p>
  <w:p w:rsidR="00FC5331" w:rsidRPr="00C5280D" w:rsidRDefault="00FC5331"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331" w:rsidRPr="002E1B40" w:rsidRDefault="00FC5331" w:rsidP="009956BC">
    <w:pPr>
      <w:jc w:val="center"/>
      <w:rPr>
        <w:lang w:val="pt-BR"/>
      </w:rPr>
    </w:pPr>
    <w:r>
      <w:t>TC/55/4</w:t>
    </w:r>
  </w:p>
  <w:p w:rsidR="00FC5331" w:rsidRDefault="00FC5331" w:rsidP="001270B2">
    <w:pPr>
      <w:jc w:val="center"/>
    </w:pPr>
  </w:p>
  <w:p w:rsidR="00FC5331" w:rsidRDefault="00FC5331" w:rsidP="001270B2">
    <w:pPr>
      <w:jc w:val="center"/>
    </w:pPr>
    <w:r>
      <w:t xml:space="preserve">ANNEX I </w:t>
    </w:r>
  </w:p>
  <w:p w:rsidR="00FC5331" w:rsidRPr="004A75CB" w:rsidRDefault="00FC5331" w:rsidP="001270B2">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331" w:rsidRPr="002E1B40" w:rsidRDefault="00FC5331" w:rsidP="009956BC">
    <w:pPr>
      <w:jc w:val="center"/>
      <w:rPr>
        <w:lang w:val="pt-BR"/>
      </w:rPr>
    </w:pPr>
    <w:r>
      <w:t>TC/55/4</w:t>
    </w:r>
  </w:p>
  <w:p w:rsidR="00FC5331" w:rsidRDefault="00FC5331" w:rsidP="001270B2">
    <w:pPr>
      <w:jc w:val="center"/>
    </w:pPr>
  </w:p>
  <w:p w:rsidR="00FC5331" w:rsidRDefault="00FC5331" w:rsidP="001270B2">
    <w:pPr>
      <w:jc w:val="center"/>
    </w:pPr>
    <w:r>
      <w:t xml:space="preserve">ANNEX II </w:t>
    </w:r>
  </w:p>
  <w:p w:rsidR="00FC5331" w:rsidRPr="004A75CB" w:rsidRDefault="00FC5331" w:rsidP="001270B2">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331" w:rsidRPr="002E1B40" w:rsidRDefault="00FC5331" w:rsidP="009956BC">
    <w:pPr>
      <w:jc w:val="center"/>
      <w:rPr>
        <w:lang w:val="pt-BR"/>
      </w:rPr>
    </w:pPr>
    <w:r>
      <w:t>TC/55/4</w:t>
    </w:r>
  </w:p>
  <w:p w:rsidR="00FC5331" w:rsidRPr="00436698" w:rsidRDefault="00FC5331" w:rsidP="00EB048E">
    <w:pPr>
      <w:pStyle w:val="Header"/>
      <w:rPr>
        <w:lang w:val="fr-CH"/>
      </w:rPr>
    </w:pPr>
    <w:proofErr w:type="spellStart"/>
    <w:r w:rsidRPr="00436698">
      <w:rPr>
        <w:lang w:val="fr-CH"/>
      </w:rPr>
      <w:t>Annex</w:t>
    </w:r>
    <w:proofErr w:type="spellEnd"/>
    <w:r w:rsidRPr="00436698">
      <w:rPr>
        <w:lang w:val="fr-CH"/>
      </w:rPr>
      <w:t xml:space="preserve"> III, page </w:t>
    </w:r>
    <w:r w:rsidRPr="00C5280D">
      <w:rPr>
        <w:rStyle w:val="PageNumber"/>
        <w:lang w:val="en-US"/>
      </w:rPr>
      <w:fldChar w:fldCharType="begin"/>
    </w:r>
    <w:r w:rsidRPr="00436698">
      <w:rPr>
        <w:rStyle w:val="PageNumber"/>
        <w:lang w:val="fr-CH"/>
      </w:rPr>
      <w:instrText xml:space="preserve"> PAGE </w:instrText>
    </w:r>
    <w:r w:rsidRPr="00C5280D">
      <w:rPr>
        <w:rStyle w:val="PageNumber"/>
        <w:lang w:val="en-US"/>
      </w:rPr>
      <w:fldChar w:fldCharType="separate"/>
    </w:r>
    <w:r w:rsidR="00CE2445">
      <w:rPr>
        <w:rStyle w:val="PageNumber"/>
        <w:noProof/>
        <w:lang w:val="fr-CH"/>
      </w:rPr>
      <w:t>3</w:t>
    </w:r>
    <w:r w:rsidRPr="00C5280D">
      <w:rPr>
        <w:rStyle w:val="PageNumber"/>
        <w:lang w:val="en-US"/>
      </w:rPr>
      <w:fldChar w:fldCharType="end"/>
    </w:r>
  </w:p>
  <w:p w:rsidR="00FC5331" w:rsidRPr="00436698" w:rsidRDefault="00FC5331" w:rsidP="006655D3">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331" w:rsidRPr="002E1B40" w:rsidRDefault="00FC5331" w:rsidP="009956BC">
    <w:pPr>
      <w:jc w:val="center"/>
      <w:rPr>
        <w:lang w:val="pt-BR"/>
      </w:rPr>
    </w:pPr>
    <w:r>
      <w:t>TC/55/4</w:t>
    </w:r>
  </w:p>
  <w:p w:rsidR="00FC5331" w:rsidRDefault="00FC5331" w:rsidP="001270B2">
    <w:pPr>
      <w:jc w:val="center"/>
    </w:pPr>
  </w:p>
  <w:p w:rsidR="00FC5331" w:rsidRDefault="00FC5331" w:rsidP="001270B2">
    <w:pPr>
      <w:jc w:val="center"/>
    </w:pPr>
    <w:r>
      <w:t xml:space="preserve">ANNEX III </w:t>
    </w:r>
  </w:p>
  <w:p w:rsidR="00FC5331" w:rsidRPr="004A75CB" w:rsidRDefault="00FC5331" w:rsidP="001270B2">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331" w:rsidRPr="002E1B40" w:rsidRDefault="00FC5331" w:rsidP="009956BC">
    <w:pPr>
      <w:jc w:val="center"/>
      <w:rPr>
        <w:lang w:val="pt-BR"/>
      </w:rPr>
    </w:pPr>
    <w:r>
      <w:t>TC/55/4</w:t>
    </w:r>
  </w:p>
  <w:p w:rsidR="00FC5331" w:rsidRPr="00436698" w:rsidRDefault="00FC5331" w:rsidP="00EB048E">
    <w:pPr>
      <w:pStyle w:val="Header"/>
      <w:rPr>
        <w:lang w:val="fr-CH"/>
      </w:rPr>
    </w:pPr>
    <w:proofErr w:type="spellStart"/>
    <w:r w:rsidRPr="00436698">
      <w:rPr>
        <w:lang w:val="fr-CH"/>
      </w:rPr>
      <w:t>Annex</w:t>
    </w:r>
    <w:proofErr w:type="spellEnd"/>
    <w:r w:rsidRPr="00436698">
      <w:rPr>
        <w:lang w:val="fr-CH"/>
      </w:rPr>
      <w:t xml:space="preserve"> IV, page </w:t>
    </w:r>
    <w:r w:rsidRPr="00C5280D">
      <w:rPr>
        <w:rStyle w:val="PageNumber"/>
        <w:lang w:val="en-US"/>
      </w:rPr>
      <w:fldChar w:fldCharType="begin"/>
    </w:r>
    <w:r w:rsidRPr="00436698">
      <w:rPr>
        <w:rStyle w:val="PageNumber"/>
        <w:lang w:val="fr-CH"/>
      </w:rPr>
      <w:instrText xml:space="preserve"> PAGE </w:instrText>
    </w:r>
    <w:r w:rsidRPr="00C5280D">
      <w:rPr>
        <w:rStyle w:val="PageNumber"/>
        <w:lang w:val="en-US"/>
      </w:rPr>
      <w:fldChar w:fldCharType="separate"/>
    </w:r>
    <w:r w:rsidR="00CE2445">
      <w:rPr>
        <w:rStyle w:val="PageNumber"/>
        <w:noProof/>
        <w:lang w:val="fr-CH"/>
      </w:rPr>
      <w:t>2</w:t>
    </w:r>
    <w:r w:rsidRPr="00C5280D">
      <w:rPr>
        <w:rStyle w:val="PageNumber"/>
        <w:lang w:val="en-US"/>
      </w:rPr>
      <w:fldChar w:fldCharType="end"/>
    </w:r>
  </w:p>
  <w:p w:rsidR="00FC5331" w:rsidRPr="00436698" w:rsidRDefault="00FC5331"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331" w:rsidRPr="002E1B40" w:rsidRDefault="00FC5331" w:rsidP="009956BC">
    <w:pPr>
      <w:jc w:val="center"/>
      <w:rPr>
        <w:lang w:val="pt-BR"/>
      </w:rPr>
    </w:pPr>
    <w:r>
      <w:t>TC/55/4</w:t>
    </w:r>
  </w:p>
  <w:p w:rsidR="00FC5331" w:rsidRDefault="00FC5331" w:rsidP="001270B2">
    <w:pPr>
      <w:jc w:val="center"/>
    </w:pPr>
  </w:p>
  <w:p w:rsidR="00FC5331" w:rsidRDefault="00FC5331" w:rsidP="001270B2">
    <w:pPr>
      <w:jc w:val="center"/>
    </w:pPr>
    <w:r>
      <w:t xml:space="preserve">ANNEX IV </w:t>
    </w:r>
  </w:p>
  <w:p w:rsidR="00FC5331" w:rsidRPr="004A75CB" w:rsidRDefault="00FC5331" w:rsidP="001270B2">
    <w:pP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331" w:rsidRPr="002E1B40" w:rsidRDefault="00FC5331" w:rsidP="009956BC">
    <w:pPr>
      <w:jc w:val="center"/>
      <w:rPr>
        <w:lang w:val="pt-BR"/>
      </w:rPr>
    </w:pPr>
    <w:r>
      <w:t>TC/55/4</w:t>
    </w:r>
  </w:p>
  <w:p w:rsidR="00FC5331" w:rsidRPr="00436698" w:rsidRDefault="00FC5331" w:rsidP="00EB048E">
    <w:pPr>
      <w:pStyle w:val="Header"/>
      <w:rPr>
        <w:lang w:val="fr-CH"/>
      </w:rPr>
    </w:pPr>
    <w:proofErr w:type="spellStart"/>
    <w:r w:rsidRPr="00436698">
      <w:rPr>
        <w:lang w:val="fr-CH"/>
      </w:rPr>
      <w:t>Annex</w:t>
    </w:r>
    <w:proofErr w:type="spellEnd"/>
    <w:r w:rsidRPr="00436698">
      <w:rPr>
        <w:lang w:val="fr-CH"/>
      </w:rPr>
      <w:t xml:space="preserve"> V, page </w:t>
    </w:r>
    <w:r w:rsidRPr="00C5280D">
      <w:rPr>
        <w:rStyle w:val="PageNumber"/>
        <w:lang w:val="en-US"/>
      </w:rPr>
      <w:fldChar w:fldCharType="begin"/>
    </w:r>
    <w:r w:rsidRPr="00436698">
      <w:rPr>
        <w:rStyle w:val="PageNumber"/>
        <w:lang w:val="fr-CH"/>
      </w:rPr>
      <w:instrText xml:space="preserve"> PAGE </w:instrText>
    </w:r>
    <w:r w:rsidRPr="00C5280D">
      <w:rPr>
        <w:rStyle w:val="PageNumber"/>
        <w:lang w:val="en-US"/>
      </w:rPr>
      <w:fldChar w:fldCharType="separate"/>
    </w:r>
    <w:r w:rsidR="00CE2445">
      <w:rPr>
        <w:rStyle w:val="PageNumber"/>
        <w:noProof/>
        <w:lang w:val="fr-CH"/>
      </w:rPr>
      <w:t>2</w:t>
    </w:r>
    <w:r w:rsidRPr="00C5280D">
      <w:rPr>
        <w:rStyle w:val="PageNumber"/>
        <w:lang w:val="en-US"/>
      </w:rPr>
      <w:fldChar w:fldCharType="end"/>
    </w:r>
  </w:p>
  <w:p w:rsidR="00FC5331" w:rsidRPr="00436698" w:rsidRDefault="00FC5331" w:rsidP="006655D3">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260C"/>
    <w:multiLevelType w:val="hybridMultilevel"/>
    <w:tmpl w:val="FB582102"/>
    <w:lvl w:ilvl="0" w:tplc="D65050B0">
      <w:start w:val="1"/>
      <w:numFmt w:val="lowerLetter"/>
      <w:lvlText w:val="(%1)"/>
      <w:lvlJc w:val="left"/>
      <w:pPr>
        <w:ind w:left="5750" w:hanging="360"/>
      </w:pPr>
      <w:rPr>
        <w:rFonts w:cs="Times New Roman"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 w15:restartNumberingAfterBreak="0">
    <w:nsid w:val="0AB024FD"/>
    <w:multiLevelType w:val="hybridMultilevel"/>
    <w:tmpl w:val="68CE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66DB3"/>
    <w:multiLevelType w:val="hybridMultilevel"/>
    <w:tmpl w:val="82BE4666"/>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AD7199"/>
    <w:multiLevelType w:val="hybridMultilevel"/>
    <w:tmpl w:val="AE209784"/>
    <w:lvl w:ilvl="0" w:tplc="0E4CF37C">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E0B4C7E"/>
    <w:multiLevelType w:val="hybridMultilevel"/>
    <w:tmpl w:val="05E8F502"/>
    <w:lvl w:ilvl="0" w:tplc="4CC0E2E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5" w15:restartNumberingAfterBreak="0">
    <w:nsid w:val="26AA139A"/>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770E4"/>
    <w:multiLevelType w:val="hybridMultilevel"/>
    <w:tmpl w:val="66843ACC"/>
    <w:lvl w:ilvl="0" w:tplc="EB04B3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306C5"/>
    <w:multiLevelType w:val="hybridMultilevel"/>
    <w:tmpl w:val="E74AB398"/>
    <w:lvl w:ilvl="0" w:tplc="C7385F10">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15:restartNumberingAfterBreak="0">
    <w:nsid w:val="42817DDD"/>
    <w:multiLevelType w:val="hybridMultilevel"/>
    <w:tmpl w:val="05E8F502"/>
    <w:lvl w:ilvl="0" w:tplc="4CC0E2E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0" w15:restartNumberingAfterBreak="0">
    <w:nsid w:val="4508156C"/>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6B5934"/>
    <w:multiLevelType w:val="hybridMultilevel"/>
    <w:tmpl w:val="2388A26E"/>
    <w:lvl w:ilvl="0" w:tplc="A674507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2"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EF287E"/>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1A5454"/>
    <w:multiLevelType w:val="hybridMultilevel"/>
    <w:tmpl w:val="9334C074"/>
    <w:lvl w:ilvl="0" w:tplc="9F3E7D0C">
      <w:start w:val="1"/>
      <w:numFmt w:val="lowerLetter"/>
      <w:lvlText w:val="(%1)"/>
      <w:lvlJc w:val="left"/>
      <w:pPr>
        <w:ind w:left="1140" w:hanging="570"/>
      </w:pPr>
      <w:rPr>
        <w:rFonts w:cs="Arial"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6D7D76"/>
    <w:multiLevelType w:val="hybridMultilevel"/>
    <w:tmpl w:val="E74AB398"/>
    <w:lvl w:ilvl="0" w:tplc="C7385F10">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15:restartNumberingAfterBreak="0">
    <w:nsid w:val="78006996"/>
    <w:multiLevelType w:val="hybridMultilevel"/>
    <w:tmpl w:val="C364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2"/>
  </w:num>
  <w:num w:numId="4">
    <w:abstractNumId w:val="15"/>
  </w:num>
  <w:num w:numId="5">
    <w:abstractNumId w:val="6"/>
  </w:num>
  <w:num w:numId="6">
    <w:abstractNumId w:val="5"/>
  </w:num>
  <w:num w:numId="7">
    <w:abstractNumId w:val="10"/>
  </w:num>
  <w:num w:numId="8">
    <w:abstractNumId w:val="3"/>
  </w:num>
  <w:num w:numId="9">
    <w:abstractNumId w:val="4"/>
  </w:num>
  <w:num w:numId="10">
    <w:abstractNumId w:val="11"/>
  </w:num>
  <w:num w:numId="11">
    <w:abstractNumId w:val="9"/>
  </w:num>
  <w:num w:numId="12">
    <w:abstractNumId w:val="16"/>
  </w:num>
  <w:num w:numId="13">
    <w:abstractNumId w:val="14"/>
  </w:num>
  <w:num w:numId="14">
    <w:abstractNumId w:val="8"/>
  </w:num>
  <w:num w:numId="15">
    <w:abstractNumId w:val="13"/>
  </w:num>
  <w:num w:numId="16">
    <w:abstractNumId w:val="17"/>
  </w:num>
  <w:num w:numId="17">
    <w:abstractNumId w:val="1"/>
  </w:num>
  <w:num w:numId="1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48BC"/>
    <w:rsid w:val="00016165"/>
    <w:rsid w:val="00020BA0"/>
    <w:rsid w:val="00024AB8"/>
    <w:rsid w:val="00025904"/>
    <w:rsid w:val="00030854"/>
    <w:rsid w:val="000317FB"/>
    <w:rsid w:val="00036028"/>
    <w:rsid w:val="0004024C"/>
    <w:rsid w:val="00044642"/>
    <w:rsid w:val="000446B9"/>
    <w:rsid w:val="00047E21"/>
    <w:rsid w:val="00050E16"/>
    <w:rsid w:val="00085505"/>
    <w:rsid w:val="00087258"/>
    <w:rsid w:val="000C1143"/>
    <w:rsid w:val="000C4E25"/>
    <w:rsid w:val="000C7021"/>
    <w:rsid w:val="000D6BBC"/>
    <w:rsid w:val="000D7780"/>
    <w:rsid w:val="000E636A"/>
    <w:rsid w:val="000F1B8F"/>
    <w:rsid w:val="000F2F11"/>
    <w:rsid w:val="00105929"/>
    <w:rsid w:val="001101C2"/>
    <w:rsid w:val="00110C36"/>
    <w:rsid w:val="001131D5"/>
    <w:rsid w:val="001270B2"/>
    <w:rsid w:val="00134CDD"/>
    <w:rsid w:val="00136EE6"/>
    <w:rsid w:val="00141DB8"/>
    <w:rsid w:val="00151149"/>
    <w:rsid w:val="00154024"/>
    <w:rsid w:val="00172084"/>
    <w:rsid w:val="0017474A"/>
    <w:rsid w:val="001758C6"/>
    <w:rsid w:val="00182B99"/>
    <w:rsid w:val="00193892"/>
    <w:rsid w:val="00193975"/>
    <w:rsid w:val="001B3658"/>
    <w:rsid w:val="00205C7D"/>
    <w:rsid w:val="0021332C"/>
    <w:rsid w:val="00213982"/>
    <w:rsid w:val="00241A46"/>
    <w:rsid w:val="0024416D"/>
    <w:rsid w:val="00271911"/>
    <w:rsid w:val="002800A0"/>
    <w:rsid w:val="002801B3"/>
    <w:rsid w:val="00281060"/>
    <w:rsid w:val="002940E8"/>
    <w:rsid w:val="00294751"/>
    <w:rsid w:val="002A0B75"/>
    <w:rsid w:val="002A6E50"/>
    <w:rsid w:val="002B4298"/>
    <w:rsid w:val="002C256A"/>
    <w:rsid w:val="002D1193"/>
    <w:rsid w:val="002F020D"/>
    <w:rsid w:val="00304827"/>
    <w:rsid w:val="00305A7F"/>
    <w:rsid w:val="003152FE"/>
    <w:rsid w:val="00327436"/>
    <w:rsid w:val="00344BD6"/>
    <w:rsid w:val="0035528D"/>
    <w:rsid w:val="0035588A"/>
    <w:rsid w:val="00361821"/>
    <w:rsid w:val="00361E9E"/>
    <w:rsid w:val="003C7FBE"/>
    <w:rsid w:val="003D227C"/>
    <w:rsid w:val="003D2B4D"/>
    <w:rsid w:val="00421BAE"/>
    <w:rsid w:val="0044336B"/>
    <w:rsid w:val="00444A88"/>
    <w:rsid w:val="00474DA4"/>
    <w:rsid w:val="00476B4D"/>
    <w:rsid w:val="004805FA"/>
    <w:rsid w:val="004935D2"/>
    <w:rsid w:val="004B1215"/>
    <w:rsid w:val="004B29C3"/>
    <w:rsid w:val="004D047D"/>
    <w:rsid w:val="004F1E9E"/>
    <w:rsid w:val="004F305A"/>
    <w:rsid w:val="00512164"/>
    <w:rsid w:val="00520297"/>
    <w:rsid w:val="00524DB4"/>
    <w:rsid w:val="005338F9"/>
    <w:rsid w:val="0054281C"/>
    <w:rsid w:val="00544581"/>
    <w:rsid w:val="00547C92"/>
    <w:rsid w:val="0055268D"/>
    <w:rsid w:val="00576987"/>
    <w:rsid w:val="00576BE4"/>
    <w:rsid w:val="005A400A"/>
    <w:rsid w:val="005B46E9"/>
    <w:rsid w:val="005C2C74"/>
    <w:rsid w:val="005E6B99"/>
    <w:rsid w:val="005E75C9"/>
    <w:rsid w:val="005F0359"/>
    <w:rsid w:val="005F7B92"/>
    <w:rsid w:val="00612379"/>
    <w:rsid w:val="006153B6"/>
    <w:rsid w:val="0061555F"/>
    <w:rsid w:val="00636CA6"/>
    <w:rsid w:val="00637C8A"/>
    <w:rsid w:val="00641200"/>
    <w:rsid w:val="00645CA8"/>
    <w:rsid w:val="006655D3"/>
    <w:rsid w:val="00667404"/>
    <w:rsid w:val="00687EB4"/>
    <w:rsid w:val="00695C56"/>
    <w:rsid w:val="006A5CDE"/>
    <w:rsid w:val="006A644A"/>
    <w:rsid w:val="006B17D2"/>
    <w:rsid w:val="006C224E"/>
    <w:rsid w:val="006D7435"/>
    <w:rsid w:val="006D780A"/>
    <w:rsid w:val="006F67C5"/>
    <w:rsid w:val="0071271E"/>
    <w:rsid w:val="00732DEC"/>
    <w:rsid w:val="00735BD5"/>
    <w:rsid w:val="0074544B"/>
    <w:rsid w:val="00751613"/>
    <w:rsid w:val="007556F6"/>
    <w:rsid w:val="00760EEF"/>
    <w:rsid w:val="00764773"/>
    <w:rsid w:val="00777EE5"/>
    <w:rsid w:val="0078234B"/>
    <w:rsid w:val="00784836"/>
    <w:rsid w:val="00786656"/>
    <w:rsid w:val="0079023E"/>
    <w:rsid w:val="007A2854"/>
    <w:rsid w:val="007C1D92"/>
    <w:rsid w:val="007C4CB9"/>
    <w:rsid w:val="007D0B9D"/>
    <w:rsid w:val="007D19B0"/>
    <w:rsid w:val="007E09F2"/>
    <w:rsid w:val="007F498F"/>
    <w:rsid w:val="007F69A3"/>
    <w:rsid w:val="0080679D"/>
    <w:rsid w:val="008108B0"/>
    <w:rsid w:val="00811B20"/>
    <w:rsid w:val="008211B5"/>
    <w:rsid w:val="0082296E"/>
    <w:rsid w:val="00824099"/>
    <w:rsid w:val="00846D7C"/>
    <w:rsid w:val="00867AC1"/>
    <w:rsid w:val="00890DF8"/>
    <w:rsid w:val="008A743F"/>
    <w:rsid w:val="008B6E60"/>
    <w:rsid w:val="008B773F"/>
    <w:rsid w:val="008C0970"/>
    <w:rsid w:val="008D0BC5"/>
    <w:rsid w:val="008D2CF7"/>
    <w:rsid w:val="008D7E86"/>
    <w:rsid w:val="00900C26"/>
    <w:rsid w:val="0090197F"/>
    <w:rsid w:val="00905272"/>
    <w:rsid w:val="00906DDC"/>
    <w:rsid w:val="00934E09"/>
    <w:rsid w:val="00936253"/>
    <w:rsid w:val="00940D46"/>
    <w:rsid w:val="00952DD4"/>
    <w:rsid w:val="00965AE7"/>
    <w:rsid w:val="00970FED"/>
    <w:rsid w:val="00986672"/>
    <w:rsid w:val="00992D82"/>
    <w:rsid w:val="009956BC"/>
    <w:rsid w:val="00997029"/>
    <w:rsid w:val="009A3859"/>
    <w:rsid w:val="009A7339"/>
    <w:rsid w:val="009B440E"/>
    <w:rsid w:val="009C63EC"/>
    <w:rsid w:val="009D690D"/>
    <w:rsid w:val="009E65B6"/>
    <w:rsid w:val="009F2AA3"/>
    <w:rsid w:val="00A02FB5"/>
    <w:rsid w:val="00A04A26"/>
    <w:rsid w:val="00A24C10"/>
    <w:rsid w:val="00A35379"/>
    <w:rsid w:val="00A36A0F"/>
    <w:rsid w:val="00A37C2B"/>
    <w:rsid w:val="00A42AC3"/>
    <w:rsid w:val="00A430CF"/>
    <w:rsid w:val="00A54309"/>
    <w:rsid w:val="00A81683"/>
    <w:rsid w:val="00AB2B93"/>
    <w:rsid w:val="00AB530F"/>
    <w:rsid w:val="00AB7E5B"/>
    <w:rsid w:val="00AC05EF"/>
    <w:rsid w:val="00AC2883"/>
    <w:rsid w:val="00AE0EF1"/>
    <w:rsid w:val="00AE2937"/>
    <w:rsid w:val="00AE2C77"/>
    <w:rsid w:val="00B07301"/>
    <w:rsid w:val="00B11F3E"/>
    <w:rsid w:val="00B12C03"/>
    <w:rsid w:val="00B224DE"/>
    <w:rsid w:val="00B264B1"/>
    <w:rsid w:val="00B324D4"/>
    <w:rsid w:val="00B46575"/>
    <w:rsid w:val="00B61777"/>
    <w:rsid w:val="00B725AE"/>
    <w:rsid w:val="00B84BBD"/>
    <w:rsid w:val="00B96335"/>
    <w:rsid w:val="00BA43FB"/>
    <w:rsid w:val="00BC127D"/>
    <w:rsid w:val="00BC1FE6"/>
    <w:rsid w:val="00C061B6"/>
    <w:rsid w:val="00C13C5C"/>
    <w:rsid w:val="00C2446C"/>
    <w:rsid w:val="00C36AE5"/>
    <w:rsid w:val="00C40ED8"/>
    <w:rsid w:val="00C41F17"/>
    <w:rsid w:val="00C527FA"/>
    <w:rsid w:val="00C5280D"/>
    <w:rsid w:val="00C53EB3"/>
    <w:rsid w:val="00C55CB8"/>
    <w:rsid w:val="00C5791C"/>
    <w:rsid w:val="00C66290"/>
    <w:rsid w:val="00C72B7A"/>
    <w:rsid w:val="00C973F2"/>
    <w:rsid w:val="00CA304C"/>
    <w:rsid w:val="00CA774A"/>
    <w:rsid w:val="00CC11B0"/>
    <w:rsid w:val="00CC2841"/>
    <w:rsid w:val="00CE2445"/>
    <w:rsid w:val="00CF1330"/>
    <w:rsid w:val="00CF7E36"/>
    <w:rsid w:val="00D35BC0"/>
    <w:rsid w:val="00D3708D"/>
    <w:rsid w:val="00D40426"/>
    <w:rsid w:val="00D57C96"/>
    <w:rsid w:val="00D57D18"/>
    <w:rsid w:val="00D605D9"/>
    <w:rsid w:val="00D7161A"/>
    <w:rsid w:val="00D91203"/>
    <w:rsid w:val="00D92A27"/>
    <w:rsid w:val="00D95174"/>
    <w:rsid w:val="00DA4973"/>
    <w:rsid w:val="00DA6F36"/>
    <w:rsid w:val="00DB596E"/>
    <w:rsid w:val="00DB7773"/>
    <w:rsid w:val="00DC00EA"/>
    <w:rsid w:val="00DC3802"/>
    <w:rsid w:val="00DE28FC"/>
    <w:rsid w:val="00E07D87"/>
    <w:rsid w:val="00E32F7E"/>
    <w:rsid w:val="00E41DBE"/>
    <w:rsid w:val="00E5267B"/>
    <w:rsid w:val="00E63C0E"/>
    <w:rsid w:val="00E72D49"/>
    <w:rsid w:val="00E7593C"/>
    <w:rsid w:val="00E7678A"/>
    <w:rsid w:val="00E8341C"/>
    <w:rsid w:val="00E84B03"/>
    <w:rsid w:val="00E935F1"/>
    <w:rsid w:val="00E94A81"/>
    <w:rsid w:val="00EA1FFB"/>
    <w:rsid w:val="00EB048E"/>
    <w:rsid w:val="00EB4E9C"/>
    <w:rsid w:val="00ED3E46"/>
    <w:rsid w:val="00EE34DF"/>
    <w:rsid w:val="00EF2F89"/>
    <w:rsid w:val="00F03E98"/>
    <w:rsid w:val="00F1237A"/>
    <w:rsid w:val="00F20BA5"/>
    <w:rsid w:val="00F22CBD"/>
    <w:rsid w:val="00F272F1"/>
    <w:rsid w:val="00F33CB8"/>
    <w:rsid w:val="00F45372"/>
    <w:rsid w:val="00F560F7"/>
    <w:rsid w:val="00F6334D"/>
    <w:rsid w:val="00F84293"/>
    <w:rsid w:val="00FA49AB"/>
    <w:rsid w:val="00FB6BDA"/>
    <w:rsid w:val="00FC5331"/>
    <w:rsid w:val="00FE39C7"/>
    <w:rsid w:val="00FF18C5"/>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810E7BE"/>
  <w15:docId w15:val="{BC824CCC-8170-4573-9028-57A5BB46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9956BC"/>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5C2C74"/>
    <w:pPr>
      <w:jc w:val="right"/>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FF18C5"/>
    <w:pPr>
      <w:tabs>
        <w:tab w:val="right" w:leader="dot" w:pos="9639"/>
      </w:tabs>
      <w:ind w:left="284" w:right="851" w:hanging="1"/>
      <w:contextualSpacing/>
      <w:jc w:val="left"/>
    </w:pPr>
    <w:rPr>
      <w:sz w:val="18"/>
    </w:rPr>
  </w:style>
  <w:style w:type="paragraph" w:styleId="TOC3">
    <w:name w:val="toc 3"/>
    <w:basedOn w:val="Normal"/>
    <w:next w:val="Normal"/>
    <w:autoRedefine/>
    <w:uiPriority w:val="39"/>
    <w:qFormat/>
    <w:rsid w:val="00547C92"/>
    <w:pPr>
      <w:tabs>
        <w:tab w:val="right" w:leader="dot" w:pos="9639"/>
      </w:tabs>
      <w:spacing w:after="60"/>
      <w:ind w:left="284" w:right="1418"/>
      <w:contextualSpacing/>
      <w:jc w:val="left"/>
    </w:pPr>
    <w:rPr>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A36A0F"/>
    <w:pPr>
      <w:tabs>
        <w:tab w:val="right" w:leader="dot" w:pos="9639"/>
      </w:tabs>
      <w:spacing w:before="60"/>
      <w:ind w:right="1418"/>
      <w:contextualSpacing/>
      <w:jc w:val="left"/>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semiHidden/>
    <w:rsid w:val="009956BC"/>
    <w:rPr>
      <w:rFonts w:asciiTheme="majorHAnsi" w:eastAsiaTheme="majorEastAsia" w:hAnsiTheme="majorHAnsi" w:cstheme="majorBidi"/>
      <w:color w:val="243F60" w:themeColor="accent1" w:themeShade="7F"/>
    </w:rPr>
  </w:style>
  <w:style w:type="character" w:customStyle="1" w:styleId="Heading1Char">
    <w:name w:val="Heading 1 Char"/>
    <w:aliases w:val="COMMON NAME Char,common Char"/>
    <w:basedOn w:val="DefaultParagraphFont"/>
    <w:link w:val="Heading1"/>
    <w:rsid w:val="009956BC"/>
    <w:rPr>
      <w:rFonts w:ascii="Arial" w:hAnsi="Arial"/>
      <w:caps/>
    </w:rPr>
  </w:style>
  <w:style w:type="character" w:customStyle="1" w:styleId="Heading2Char">
    <w:name w:val="Heading 2 Char"/>
    <w:basedOn w:val="DefaultParagraphFont"/>
    <w:link w:val="Heading2"/>
    <w:rsid w:val="009956BC"/>
    <w:rPr>
      <w:rFonts w:ascii="Arial" w:hAnsi="Arial"/>
      <w:u w:val="single"/>
    </w:rPr>
  </w:style>
  <w:style w:type="character" w:customStyle="1" w:styleId="Heading3Char">
    <w:name w:val="Heading 3 Char"/>
    <w:basedOn w:val="DefaultParagraphFont"/>
    <w:link w:val="Heading3"/>
    <w:rsid w:val="009956BC"/>
    <w:rPr>
      <w:rFonts w:ascii="Arial" w:hAnsi="Arial"/>
      <w:i/>
    </w:rPr>
  </w:style>
  <w:style w:type="character" w:customStyle="1" w:styleId="Heading4Char">
    <w:name w:val="Heading 4 Char"/>
    <w:basedOn w:val="DefaultParagraphFont"/>
    <w:link w:val="Heading4"/>
    <w:rsid w:val="009956BC"/>
    <w:rPr>
      <w:rFonts w:ascii="Arial" w:hAnsi="Arial"/>
      <w:u w:val="single"/>
      <w:lang w:val="fr-FR"/>
    </w:rPr>
  </w:style>
  <w:style w:type="character" w:customStyle="1" w:styleId="Heading5Char">
    <w:name w:val="Heading 5 Char"/>
    <w:basedOn w:val="DefaultParagraphFont"/>
    <w:link w:val="Heading5"/>
    <w:rsid w:val="009956BC"/>
    <w:rPr>
      <w:rFonts w:ascii="Arial" w:hAnsi="Arial"/>
      <w:i/>
    </w:rPr>
  </w:style>
  <w:style w:type="character" w:customStyle="1" w:styleId="Heading9Char">
    <w:name w:val="Heading 9 Char"/>
    <w:basedOn w:val="DefaultParagraphFont"/>
    <w:link w:val="Heading9"/>
    <w:rsid w:val="009956BC"/>
    <w:rPr>
      <w:rFonts w:ascii="Arial" w:hAnsi="Arial"/>
      <w:i/>
      <w:sz w:val="18"/>
    </w:rPr>
  </w:style>
  <w:style w:type="character" w:customStyle="1" w:styleId="HeaderChar">
    <w:name w:val="Header Char"/>
    <w:basedOn w:val="DefaultParagraphFont"/>
    <w:link w:val="Header"/>
    <w:rsid w:val="009956BC"/>
    <w:rPr>
      <w:rFonts w:ascii="Arial" w:hAnsi="Arial"/>
      <w:lang w:val="fr-FR"/>
    </w:rPr>
  </w:style>
  <w:style w:type="character" w:customStyle="1" w:styleId="FooterChar">
    <w:name w:val="Footer Char"/>
    <w:aliases w:val="doc_path_name Char"/>
    <w:basedOn w:val="DefaultParagraphFont"/>
    <w:link w:val="Footer"/>
    <w:rsid w:val="005C2C74"/>
    <w:rPr>
      <w:rFonts w:ascii="Arial" w:hAnsi="Arial"/>
      <w:sz w:val="14"/>
    </w:rPr>
  </w:style>
  <w:style w:type="character" w:customStyle="1" w:styleId="TitleChar">
    <w:name w:val="Title Char"/>
    <w:basedOn w:val="DefaultParagraphFont"/>
    <w:link w:val="Title"/>
    <w:rsid w:val="009956BC"/>
    <w:rPr>
      <w:rFonts w:ascii="Arial" w:hAnsi="Arial"/>
      <w:b/>
      <w:caps/>
      <w:kern w:val="28"/>
      <w:sz w:val="30"/>
    </w:rPr>
  </w:style>
  <w:style w:type="character" w:customStyle="1" w:styleId="FootnoteTextChar">
    <w:name w:val="Footnote Text Char"/>
    <w:basedOn w:val="DefaultParagraphFont"/>
    <w:link w:val="FootnoteText"/>
    <w:rsid w:val="009956BC"/>
    <w:rPr>
      <w:rFonts w:ascii="Arial" w:hAnsi="Arial"/>
      <w:sz w:val="16"/>
    </w:rPr>
  </w:style>
  <w:style w:type="character" w:customStyle="1" w:styleId="ClosingChar">
    <w:name w:val="Closing Char"/>
    <w:basedOn w:val="DefaultParagraphFont"/>
    <w:link w:val="Closing"/>
    <w:rsid w:val="009956BC"/>
    <w:rPr>
      <w:rFonts w:ascii="Arial" w:hAnsi="Arial"/>
    </w:rPr>
  </w:style>
  <w:style w:type="character" w:customStyle="1" w:styleId="MacroTextChar">
    <w:name w:val="Macro Text Char"/>
    <w:basedOn w:val="DefaultParagraphFont"/>
    <w:link w:val="MacroText"/>
    <w:semiHidden/>
    <w:rsid w:val="009956BC"/>
    <w:rPr>
      <w:rFonts w:ascii="Courier New" w:hAnsi="Courier New"/>
      <w:sz w:val="16"/>
    </w:rPr>
  </w:style>
  <w:style w:type="character" w:customStyle="1" w:styleId="SignatureChar">
    <w:name w:val="Signature Char"/>
    <w:basedOn w:val="DefaultParagraphFont"/>
    <w:link w:val="Signature"/>
    <w:rsid w:val="009956BC"/>
    <w:rPr>
      <w:rFonts w:ascii="Arial" w:hAnsi="Arial"/>
    </w:rPr>
  </w:style>
  <w:style w:type="character" w:customStyle="1" w:styleId="BodyTextChar">
    <w:name w:val="Body Text Char"/>
    <w:basedOn w:val="DefaultParagraphFont"/>
    <w:link w:val="BodyText"/>
    <w:rsid w:val="009956BC"/>
    <w:rPr>
      <w:rFonts w:ascii="Arial" w:hAnsi="Arial"/>
    </w:rPr>
  </w:style>
  <w:style w:type="character" w:customStyle="1" w:styleId="EndnoteTextChar">
    <w:name w:val="Endnote Text Char"/>
    <w:basedOn w:val="DefaultParagraphFont"/>
    <w:link w:val="EndnoteText"/>
    <w:semiHidden/>
    <w:rsid w:val="009956BC"/>
    <w:rPr>
      <w:rFonts w:ascii="Arial" w:hAnsi="Arial"/>
    </w:rPr>
  </w:style>
  <w:style w:type="character" w:customStyle="1" w:styleId="DateChar">
    <w:name w:val="Date Char"/>
    <w:basedOn w:val="DefaultParagraphFont"/>
    <w:link w:val="Date"/>
    <w:semiHidden/>
    <w:rsid w:val="009956BC"/>
    <w:rPr>
      <w:rFonts w:ascii="Arial" w:hAnsi="Arial"/>
      <w:b/>
      <w:sz w:val="22"/>
    </w:rPr>
  </w:style>
  <w:style w:type="paragraph" w:customStyle="1" w:styleId="Sessiontwp">
    <w:name w:val="Session_twp"/>
    <w:basedOn w:val="Normal"/>
    <w:next w:val="Normal"/>
    <w:qFormat/>
    <w:rsid w:val="009956BC"/>
    <w:rPr>
      <w:b/>
    </w:rPr>
  </w:style>
  <w:style w:type="paragraph" w:customStyle="1" w:styleId="Sessiontwpplacedate">
    <w:name w:val="Session_twp_place_date"/>
    <w:basedOn w:val="Normal"/>
    <w:next w:val="Normal"/>
    <w:qFormat/>
    <w:rsid w:val="009956BC"/>
  </w:style>
  <w:style w:type="paragraph" w:styleId="ListParagraph">
    <w:name w:val="List Paragraph"/>
    <w:basedOn w:val="Normal"/>
    <w:uiPriority w:val="34"/>
    <w:qFormat/>
    <w:rsid w:val="009956BC"/>
    <w:pPr>
      <w:ind w:left="720"/>
      <w:contextualSpacing/>
    </w:pPr>
  </w:style>
  <w:style w:type="table" w:customStyle="1" w:styleId="TableGrid2">
    <w:name w:val="Table Grid2"/>
    <w:basedOn w:val="TableNormal"/>
    <w:next w:val="TableGrid"/>
    <w:uiPriority w:val="59"/>
    <w:rsid w:val="009956BC"/>
    <w:rPr>
      <w:rFonts w:ascii="Arial" w:eastAsia="Calibr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95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44336B"/>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64559">
      <w:bodyDiv w:val="1"/>
      <w:marLeft w:val="0"/>
      <w:marRight w:val="0"/>
      <w:marTop w:val="0"/>
      <w:marBottom w:val="0"/>
      <w:divBdr>
        <w:top w:val="none" w:sz="0" w:space="0" w:color="auto"/>
        <w:left w:val="none" w:sz="0" w:space="0" w:color="auto"/>
        <w:bottom w:val="none" w:sz="0" w:space="0" w:color="auto"/>
        <w:right w:val="none" w:sz="0" w:space="0" w:color="auto"/>
      </w:divBdr>
    </w:div>
    <w:div w:id="385494038">
      <w:bodyDiv w:val="1"/>
      <w:marLeft w:val="0"/>
      <w:marRight w:val="0"/>
      <w:marTop w:val="0"/>
      <w:marBottom w:val="0"/>
      <w:divBdr>
        <w:top w:val="none" w:sz="0" w:space="0" w:color="auto"/>
        <w:left w:val="none" w:sz="0" w:space="0" w:color="auto"/>
        <w:bottom w:val="none" w:sz="0" w:space="0" w:color="auto"/>
        <w:right w:val="none" w:sz="0" w:space="0" w:color="auto"/>
      </w:divBdr>
    </w:div>
    <w:div w:id="1752893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pov.int/meetings/en/doc_details.jsp?meeting_id=48107&amp;doc_id=419311" TargetMode="External"/><Relationship Id="rId18" Type="http://schemas.openxmlformats.org/officeDocument/2006/relationships/header" Target="header3.xml"/><Relationship Id="rId26" Type="http://schemas.openxmlformats.org/officeDocument/2006/relationships/image" Target="media/image6.wmf"/><Relationship Id="rId39" Type="http://schemas.openxmlformats.org/officeDocument/2006/relationships/footer" Target="footer2.xml"/><Relationship Id="rId21" Type="http://schemas.openxmlformats.org/officeDocument/2006/relationships/header" Target="header6.xml"/><Relationship Id="rId34" Type="http://schemas.openxmlformats.org/officeDocument/2006/relationships/header" Target="header9.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image" Target="media/image9.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ov.int/edocs/mdocs/upov/en/tc_54/tc_54_31.pdf" TargetMode="External"/><Relationship Id="rId24" Type="http://schemas.openxmlformats.org/officeDocument/2006/relationships/image" Target="media/image4.wmf"/><Relationship Id="rId32" Type="http://schemas.openxmlformats.org/officeDocument/2006/relationships/header" Target="header7.xml"/><Relationship Id="rId37" Type="http://schemas.openxmlformats.org/officeDocument/2006/relationships/header" Target="header1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3.wmf"/><Relationship Id="rId28" Type="http://schemas.openxmlformats.org/officeDocument/2006/relationships/image" Target="media/image8.wmf"/><Relationship Id="rId36" Type="http://schemas.openxmlformats.org/officeDocument/2006/relationships/image" Target="media/image12.emf"/><Relationship Id="rId10" Type="http://schemas.openxmlformats.org/officeDocument/2006/relationships/hyperlink" Target="https://www.upov.int/meetings/en/doc_details.jsp?meeting_id=48107&amp;doc_id=419311" TargetMode="External"/><Relationship Id="rId19" Type="http://schemas.openxmlformats.org/officeDocument/2006/relationships/header" Target="header4.xml"/><Relationship Id="rId31"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hyperlink" Target="https://www.upov.int/meetings/en/doc_details.jsp?meeting_id=48107&amp;doc_id=419311" TargetMode="External"/><Relationship Id="rId14" Type="http://schemas.openxmlformats.org/officeDocument/2006/relationships/hyperlink" Target="https://www.upov.int/meetings/en/doc_details.jsp?meeting_id=48107&amp;doc_id=419311" TargetMode="Externa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header" Target="header10.xml"/><Relationship Id="rId8" Type="http://schemas.openxmlformats.org/officeDocument/2006/relationships/hyperlink" Target="http://www.upov.int/upov_collection/en/" TargetMode="External"/><Relationship Id="rId3" Type="http://schemas.openxmlformats.org/officeDocument/2006/relationships/settings" Target="settings.xml"/><Relationship Id="rId12" Type="http://schemas.openxmlformats.org/officeDocument/2006/relationships/hyperlink" Target="https://www.upov.int/meetings/en/doc_details.jsp?meeting_id=48107&amp;doc_id=419311" TargetMode="External"/><Relationship Id="rId17" Type="http://schemas.openxmlformats.org/officeDocument/2006/relationships/footer" Target="footer1.xml"/><Relationship Id="rId25" Type="http://schemas.openxmlformats.org/officeDocument/2006/relationships/image" Target="media/image5.wmf"/><Relationship Id="rId33" Type="http://schemas.openxmlformats.org/officeDocument/2006/relationships/header" Target="header8.xml"/><Relationship Id="rId38"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TC_55_EN.dotx</Template>
  <TotalTime>12</TotalTime>
  <Pages>22</Pages>
  <Words>9782</Words>
  <Characters>54833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TC/55/4</vt:lpstr>
    </vt:vector>
  </TitlesOfParts>
  <Company>UPOV</Company>
  <LinksUpToDate>false</LinksUpToDate>
  <CharactersWithSpaces>64487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TC/55/4</dc:title>
  <dc:subject/>
  <dc:creator>SANCHEZ VIZCAINO GOMEZ Rosa Maria</dc:creator>
  <cp:keywords/>
  <dc:description/>
  <cp:lastModifiedBy>SANTOS Carla Marina</cp:lastModifiedBy>
  <cp:revision>34</cp:revision>
  <cp:lastPrinted>2019-10-11T18:55:00Z</cp:lastPrinted>
  <dcterms:created xsi:type="dcterms:W3CDTF">2019-04-16T10:18:00Z</dcterms:created>
  <dcterms:modified xsi:type="dcterms:W3CDTF">2019-10-11T18:56:00Z</dcterms:modified>
</cp:coreProperties>
</file>