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330"/>
        <w:gridCol w:w="3025"/>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320"/>
        <w:gridCol w:w="3035"/>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A04A26">
              <w:t>55/3</w:t>
            </w:r>
            <w:r w:rsidR="00222950">
              <w:t xml:space="preserve"> Add.</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40C9F">
            <w:pPr>
              <w:pStyle w:val="Docoriginal"/>
            </w:pPr>
            <w:r w:rsidRPr="00AC2883">
              <w:t>Date:</w:t>
            </w:r>
            <w:r w:rsidR="008B6E60">
              <w:rPr>
                <w:b w:val="0"/>
                <w:spacing w:val="0"/>
              </w:rPr>
              <w:t xml:space="preserve">  </w:t>
            </w:r>
            <w:r w:rsidR="00A92FA3" w:rsidRPr="006060A5">
              <w:rPr>
                <w:b w:val="0"/>
                <w:spacing w:val="0"/>
              </w:rPr>
              <w:t xml:space="preserve">October </w:t>
            </w:r>
            <w:r w:rsidR="00222950" w:rsidRPr="006060A5">
              <w:rPr>
                <w:b w:val="0"/>
                <w:spacing w:val="0"/>
              </w:rPr>
              <w:t>2</w:t>
            </w:r>
            <w:r w:rsidR="00D40C9F" w:rsidRPr="006060A5">
              <w:rPr>
                <w:b w:val="0"/>
                <w:spacing w:val="0"/>
              </w:rPr>
              <w:t>1</w:t>
            </w:r>
            <w:r w:rsidR="008B6E60" w:rsidRPr="006060A5">
              <w:rPr>
                <w:b w:val="0"/>
                <w:spacing w:val="0"/>
              </w:rPr>
              <w:t>, 201</w:t>
            </w:r>
            <w:r w:rsidR="006D7435" w:rsidRPr="006060A5">
              <w:rPr>
                <w:b w:val="0"/>
                <w:spacing w:val="0"/>
              </w:rPr>
              <w:t>9</w:t>
            </w:r>
            <w:bookmarkStart w:id="0" w:name="_GoBack"/>
            <w:bookmarkEnd w:id="0"/>
          </w:p>
        </w:tc>
      </w:tr>
    </w:tbl>
    <w:p w:rsidR="000D7780" w:rsidRPr="006A644A" w:rsidRDefault="00222950" w:rsidP="006A644A">
      <w:pPr>
        <w:pStyle w:val="Titleofdoc0"/>
      </w:pPr>
      <w:bookmarkStart w:id="1" w:name="TitleOfDoc"/>
      <w:bookmarkEnd w:id="1"/>
      <w:r>
        <w:t xml:space="preserve">addendum to </w:t>
      </w:r>
      <w:r w:rsidR="00A04A26" w:rsidRPr="00A04A26">
        <w:t>Matters arising from the Technical Working Parties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222950" w:rsidRDefault="00222950" w:rsidP="00222950">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addendum is to present</w:t>
      </w:r>
      <w:r w:rsidRPr="00C27AE7">
        <w:rPr>
          <w:color w:val="000000"/>
        </w:rPr>
        <w:t xml:space="preserve"> matters arising from the 201</w:t>
      </w:r>
      <w:r>
        <w:rPr>
          <w:color w:val="000000"/>
        </w:rPr>
        <w:t>9</w:t>
      </w:r>
      <w:r w:rsidRPr="00C27AE7">
        <w:rPr>
          <w:color w:val="000000"/>
        </w:rPr>
        <w:t xml:space="preserve"> sessions of the </w:t>
      </w:r>
      <w:r>
        <w:rPr>
          <w:snapToGrid w:val="0"/>
        </w:rPr>
        <w:t>Technical Working Party on Automation and Computer Programs (TWC) and the Working Group on Biochemical and Molecular Techniques and DNA-Profiling in Particular (BMT)</w:t>
      </w:r>
      <w:r w:rsidRPr="00222950">
        <w:rPr>
          <w:color w:val="000000"/>
        </w:rPr>
        <w:t xml:space="preserve"> </w:t>
      </w:r>
      <w:r w:rsidRPr="00C27AE7">
        <w:rPr>
          <w:color w:val="000000"/>
        </w:rPr>
        <w:t xml:space="preserve">which </w:t>
      </w:r>
      <w:proofErr w:type="gramStart"/>
      <w:r w:rsidRPr="00C27AE7">
        <w:rPr>
          <w:color w:val="000000"/>
        </w:rPr>
        <w:t>are not expressly covered</w:t>
      </w:r>
      <w:proofErr w:type="gramEnd"/>
      <w:r w:rsidRPr="00C27AE7">
        <w:rPr>
          <w:color w:val="000000"/>
        </w:rPr>
        <w:t xml:space="preserve"> by specific agenda items</w:t>
      </w:r>
      <w:r>
        <w:rPr>
          <w:color w:val="000000"/>
        </w:rPr>
        <w:t>.</w:t>
      </w:r>
    </w:p>
    <w:p w:rsidR="004B345C" w:rsidRDefault="004B345C" w:rsidP="004B345C"/>
    <w:p w:rsidR="004B345C" w:rsidRDefault="004B345C" w:rsidP="004B345C">
      <w:pPr>
        <w:pStyle w:val="Heading2"/>
        <w:rPr>
          <w:snapToGrid w:val="0"/>
        </w:rPr>
      </w:pPr>
      <w:r w:rsidRPr="002F2F31">
        <w:rPr>
          <w:snapToGrid w:val="0"/>
        </w:rPr>
        <w:t>Assessing Uniformity by Off-Types</w:t>
      </w:r>
    </w:p>
    <w:p w:rsidR="004B345C" w:rsidRDefault="004B345C" w:rsidP="004B345C">
      <w:pPr>
        <w:rPr>
          <w:snapToGrid w:val="0"/>
        </w:rPr>
      </w:pPr>
      <w:r>
        <w:rPr>
          <w:snapToGrid w:val="0"/>
        </w:rPr>
        <w:t xml:space="preserve"> </w:t>
      </w:r>
    </w:p>
    <w:p w:rsidR="004B345C" w:rsidRDefault="004B345C" w:rsidP="004B345C">
      <w:r w:rsidRPr="00A108B4">
        <w:fldChar w:fldCharType="begin"/>
      </w:r>
      <w:r w:rsidRPr="00A108B4">
        <w:instrText xml:space="preserve"> AUTONUM  </w:instrText>
      </w:r>
      <w:r w:rsidRPr="00A108B4">
        <w:fldChar w:fldCharType="end"/>
      </w:r>
      <w:r w:rsidRPr="00A108B4">
        <w:tab/>
        <w:t>The TWC considered document TWC/37/5</w:t>
      </w:r>
      <w:r>
        <w:t xml:space="preserve"> “</w:t>
      </w:r>
      <w:r w:rsidRPr="002F2F31">
        <w:rPr>
          <w:snapToGrid w:val="0"/>
        </w:rPr>
        <w:t>Risks associated with assessment of uniformity by off-type</w:t>
      </w:r>
      <w:r>
        <w:rPr>
          <w:snapToGrid w:val="0"/>
        </w:rPr>
        <w:t>s on the basis of more than one </w:t>
      </w:r>
      <w:r w:rsidRPr="002F2F31">
        <w:rPr>
          <w:snapToGrid w:val="0"/>
        </w:rPr>
        <w:t>growing cycle</w:t>
      </w:r>
      <w:r>
        <w:rPr>
          <w:snapToGrid w:val="0"/>
        </w:rPr>
        <w:t xml:space="preserve">” </w:t>
      </w:r>
      <w:r>
        <w:rPr>
          <w:rFonts w:cs="Arial"/>
        </w:rPr>
        <w:t>(see document TWC/37/12 “Report”, paragraphs 11 to 16).</w:t>
      </w:r>
    </w:p>
    <w:p w:rsidR="004B345C" w:rsidRDefault="004B345C" w:rsidP="004B345C"/>
    <w:p w:rsidR="004B345C" w:rsidRDefault="004B345C" w:rsidP="004B345C">
      <w:r>
        <w:fldChar w:fldCharType="begin"/>
      </w:r>
      <w:r>
        <w:instrText xml:space="preserve"> AUTONUM  </w:instrText>
      </w:r>
      <w:r>
        <w:fldChar w:fldCharType="end"/>
      </w:r>
      <w:r>
        <w:tab/>
        <w:t>The TWC received a presentation on “Assessing uniformity by off-types: Calculator for number of off</w:t>
      </w:r>
      <w:r>
        <w:noBreakHyphen/>
        <w:t xml:space="preserve">types and risks”.  </w:t>
      </w:r>
      <w:r w:rsidRPr="00E43910">
        <w:t xml:space="preserve">A copy of the presentation </w:t>
      </w:r>
      <w:proofErr w:type="gramStart"/>
      <w:r w:rsidRPr="00E43910">
        <w:t>is provided</w:t>
      </w:r>
      <w:proofErr w:type="gramEnd"/>
      <w:r w:rsidRPr="00E43910">
        <w:t xml:space="preserve"> in Annex</w:t>
      </w:r>
      <w:r>
        <w:t xml:space="preserve"> I</w:t>
      </w:r>
      <w:r w:rsidRPr="00E43910">
        <w:t xml:space="preserve"> to document TWC/37/</w:t>
      </w:r>
      <w:r>
        <w:t>5.</w:t>
      </w:r>
    </w:p>
    <w:p w:rsidR="004B345C" w:rsidRDefault="004B345C" w:rsidP="004B345C"/>
    <w:p w:rsidR="004B345C" w:rsidRPr="00A108B4" w:rsidRDefault="004B345C" w:rsidP="004B345C">
      <w:r w:rsidRPr="00A108B4">
        <w:fldChar w:fldCharType="begin"/>
      </w:r>
      <w:r w:rsidRPr="00A108B4">
        <w:instrText xml:space="preserve"> AUTONUM  </w:instrText>
      </w:r>
      <w:r w:rsidRPr="00A108B4">
        <w:fldChar w:fldCharType="end"/>
      </w:r>
      <w:r w:rsidRPr="00A108B4">
        <w:tab/>
        <w:t>The TWC noted that software was developed in Excel to calculate the number of off</w:t>
      </w:r>
      <w:r w:rsidRPr="00A108B4">
        <w:noBreakHyphen/>
        <w:t xml:space="preserve">types and risks associated with assessment of uniformity by off-types </w:t>
      </w:r>
      <w:proofErr w:type="gramStart"/>
      <w:r w:rsidRPr="00A108B4">
        <w:t>on the basis of</w:t>
      </w:r>
      <w:proofErr w:type="gramEnd"/>
      <w:r w:rsidRPr="00A108B4">
        <w:t xml:space="preserve"> more than one growing cycle, as provided in document TWC/37/5, Annex II. </w:t>
      </w:r>
    </w:p>
    <w:p w:rsidR="004B345C" w:rsidRDefault="004B345C" w:rsidP="004B345C"/>
    <w:p w:rsidR="004B345C" w:rsidRPr="00A108B4" w:rsidRDefault="004B345C" w:rsidP="004B345C">
      <w:r w:rsidRPr="00A108B4">
        <w:fldChar w:fldCharType="begin"/>
      </w:r>
      <w:r w:rsidRPr="00A108B4">
        <w:instrText xml:space="preserve"> AUTONUM  </w:instrText>
      </w:r>
      <w:r w:rsidRPr="00A108B4">
        <w:fldChar w:fldCharType="end"/>
      </w:r>
      <w:r w:rsidRPr="00A108B4">
        <w:tab/>
        <w:t xml:space="preserve">The TWC </w:t>
      </w:r>
      <w:r>
        <w:t xml:space="preserve">welcomed the availability of </w:t>
      </w:r>
      <w:r w:rsidRPr="00A108B4">
        <w:t>software</w:t>
      </w:r>
      <w:r>
        <w:t xml:space="preserve"> that </w:t>
      </w:r>
      <w:r w:rsidRPr="00A108B4">
        <w:t>enable</w:t>
      </w:r>
      <w:r>
        <w:t>s</w:t>
      </w:r>
      <w:r w:rsidRPr="00A108B4">
        <w:t xml:space="preserve"> determin</w:t>
      </w:r>
      <w:r>
        <w:t xml:space="preserve">ation of </w:t>
      </w:r>
      <w:r w:rsidRPr="00A108B4">
        <w:t>the maximum number of off-types</w:t>
      </w:r>
      <w:r>
        <w:t>,</w:t>
      </w:r>
      <w:r w:rsidRPr="00A108B4">
        <w:t xml:space="preserve"> both </w:t>
      </w:r>
      <w:r>
        <w:t xml:space="preserve">for </w:t>
      </w:r>
      <w:r w:rsidRPr="00A108B4">
        <w:t xml:space="preserve">when the acceptance probability </w:t>
      </w:r>
      <w:proofErr w:type="gramStart"/>
      <w:r>
        <w:t>is</w:t>
      </w:r>
      <w:r w:rsidRPr="00A108B4">
        <w:t xml:space="preserve"> applied</w:t>
      </w:r>
      <w:proofErr w:type="gramEnd"/>
      <w:r w:rsidRPr="00A108B4">
        <w:t xml:space="preserve"> in each cycle separately</w:t>
      </w:r>
      <w:r>
        <w:t>,</w:t>
      </w:r>
      <w:r w:rsidRPr="00A108B4">
        <w:t xml:space="preserve"> or over the two-cycle test.</w:t>
      </w:r>
    </w:p>
    <w:p w:rsidR="004B345C" w:rsidRDefault="004B345C" w:rsidP="004B345C"/>
    <w:p w:rsidR="004B345C" w:rsidRPr="00A108B4" w:rsidRDefault="004B345C" w:rsidP="004B345C">
      <w:r w:rsidRPr="00A108B4">
        <w:fldChar w:fldCharType="begin"/>
      </w:r>
      <w:r w:rsidRPr="00A108B4">
        <w:instrText xml:space="preserve"> AUTONUM  </w:instrText>
      </w:r>
      <w:r w:rsidRPr="00A108B4">
        <w:fldChar w:fldCharType="end"/>
      </w:r>
      <w:r w:rsidRPr="00A108B4">
        <w:tab/>
        <w:t xml:space="preserve">The TWC agreed to propose that a sentence </w:t>
      </w:r>
      <w:proofErr w:type="gramStart"/>
      <w:r w:rsidRPr="00A108B4">
        <w:t>be added</w:t>
      </w:r>
      <w:proofErr w:type="gramEnd"/>
      <w:r w:rsidRPr="00A108B4">
        <w:t xml:space="preserve"> to document TGP/8 to explain that software was available for calculating the number of off-types for the combination of growing cycles.</w:t>
      </w:r>
    </w:p>
    <w:p w:rsidR="004B345C" w:rsidRPr="00A108B4" w:rsidRDefault="004B345C" w:rsidP="004B345C"/>
    <w:p w:rsidR="004B345C" w:rsidRDefault="004B345C" w:rsidP="004B345C">
      <w:r w:rsidRPr="00A108B4">
        <w:fldChar w:fldCharType="begin"/>
      </w:r>
      <w:r w:rsidRPr="00A108B4">
        <w:instrText xml:space="preserve"> AUTONUM  </w:instrText>
      </w:r>
      <w:r w:rsidRPr="00A108B4">
        <w:fldChar w:fldCharType="end"/>
      </w:r>
      <w:r w:rsidRPr="00A108B4">
        <w:tab/>
        <w:t xml:space="preserve">The TWC agreed </w:t>
      </w:r>
      <w:r>
        <w:t xml:space="preserve">to propose </w:t>
      </w:r>
      <w:r w:rsidRPr="00A108B4">
        <w:t xml:space="preserve">that the software </w:t>
      </w:r>
      <w:proofErr w:type="gramStart"/>
      <w:r w:rsidRPr="00A108B4">
        <w:t>be made</w:t>
      </w:r>
      <w:proofErr w:type="gramEnd"/>
      <w:r w:rsidRPr="00A108B4">
        <w:t xml:space="preserve"> available for download from the UPOV website. </w:t>
      </w:r>
    </w:p>
    <w:p w:rsidR="004B345C" w:rsidRDefault="004B345C" w:rsidP="004B345C"/>
    <w:p w:rsidR="004B345C" w:rsidRDefault="004B345C" w:rsidP="004B345C">
      <w:pPr>
        <w:pStyle w:val="Heading2"/>
      </w:pPr>
      <w:r w:rsidRPr="002F2F31">
        <w:rPr>
          <w:snapToGrid w:val="0"/>
        </w:rPr>
        <w:t>Experience with using two locations by one year for DUS decisions</w:t>
      </w:r>
    </w:p>
    <w:p w:rsidR="004B345C" w:rsidRDefault="004B345C" w:rsidP="004B345C"/>
    <w:p w:rsidR="002E65B0" w:rsidRDefault="004B345C" w:rsidP="002E65B0">
      <w:r w:rsidRPr="005E4A17">
        <w:fldChar w:fldCharType="begin"/>
      </w:r>
      <w:r w:rsidRPr="005E4A17">
        <w:instrText xml:space="preserve"> AUTONUM  </w:instrText>
      </w:r>
      <w:r w:rsidRPr="005E4A17">
        <w:fldChar w:fldCharType="end"/>
      </w:r>
      <w:r w:rsidRPr="005E4A17">
        <w:tab/>
        <w:t xml:space="preserve">The TWC considered document </w:t>
      </w:r>
      <w:r w:rsidRPr="005E4A17">
        <w:rPr>
          <w:snapToGrid w:val="0"/>
        </w:rPr>
        <w:t xml:space="preserve">TWC/37/10 </w:t>
      </w:r>
      <w:r w:rsidRPr="005E4A17">
        <w:t>and received a presentation on “</w:t>
      </w:r>
      <w:r w:rsidRPr="005E4A17">
        <w:rPr>
          <w:snapToGrid w:val="0"/>
          <w:lang w:val="en-GB"/>
        </w:rPr>
        <w:t>Experience</w:t>
      </w:r>
      <w:r w:rsidRPr="005E4A17">
        <w:rPr>
          <w:snapToGrid w:val="0"/>
        </w:rPr>
        <w:t xml:space="preserve"> </w:t>
      </w:r>
      <w:r w:rsidRPr="005E4A17">
        <w:rPr>
          <w:snapToGrid w:val="0"/>
          <w:lang w:val="en-GB"/>
        </w:rPr>
        <w:t>with</w:t>
      </w:r>
      <w:r w:rsidRPr="005E4A17">
        <w:rPr>
          <w:snapToGrid w:val="0"/>
        </w:rPr>
        <w:t xml:space="preserve"> </w:t>
      </w:r>
      <w:r w:rsidRPr="005E4A17">
        <w:rPr>
          <w:snapToGrid w:val="0"/>
          <w:lang w:val="en-GB"/>
        </w:rPr>
        <w:t>using</w:t>
      </w:r>
      <w:r w:rsidRPr="005E4A17">
        <w:rPr>
          <w:snapToGrid w:val="0"/>
        </w:rPr>
        <w:t xml:space="preserve"> two</w:t>
      </w:r>
      <w:r w:rsidRPr="00ED59EC">
        <w:rPr>
          <w:snapToGrid w:val="0"/>
        </w:rPr>
        <w:t xml:space="preserve"> locations by one </w:t>
      </w:r>
      <w:r w:rsidRPr="00ED59EC">
        <w:rPr>
          <w:snapToGrid w:val="0"/>
          <w:lang w:val="en-GB"/>
        </w:rPr>
        <w:t>year</w:t>
      </w:r>
      <w:r w:rsidRPr="00ED59EC">
        <w:rPr>
          <w:snapToGrid w:val="0"/>
        </w:rPr>
        <w:t xml:space="preserve"> for DUS </w:t>
      </w:r>
      <w:r w:rsidRPr="00ED59EC">
        <w:rPr>
          <w:snapToGrid w:val="0"/>
          <w:lang w:val="en-GB"/>
        </w:rPr>
        <w:t>decisions</w:t>
      </w:r>
      <w:r w:rsidRPr="00E43910">
        <w:t>”</w:t>
      </w:r>
      <w:r>
        <w:t xml:space="preserve"> by an expert from France</w:t>
      </w:r>
      <w:r w:rsidRPr="00E43910">
        <w:t xml:space="preserve">.  A copy of the presentation </w:t>
      </w:r>
      <w:proofErr w:type="gramStart"/>
      <w:r w:rsidRPr="00E43910">
        <w:t>is provided</w:t>
      </w:r>
      <w:proofErr w:type="gramEnd"/>
      <w:r w:rsidRPr="00E43910">
        <w:t xml:space="preserve"> in the Annex to document TWC/37/</w:t>
      </w:r>
      <w:r>
        <w:t>10</w:t>
      </w:r>
      <w:r w:rsidR="002E65B0">
        <w:t xml:space="preserve"> </w:t>
      </w:r>
      <w:r w:rsidR="002E65B0">
        <w:rPr>
          <w:rFonts w:cs="Arial"/>
        </w:rPr>
        <w:t>(see document TWC/37/12 “Report”, paragraphs 17 to 18).</w:t>
      </w:r>
    </w:p>
    <w:p w:rsidR="004B345C" w:rsidRDefault="004B345C" w:rsidP="004B345C"/>
    <w:p w:rsidR="004B345C" w:rsidRDefault="004B345C" w:rsidP="004B345C">
      <w:r>
        <w:fldChar w:fldCharType="begin"/>
      </w:r>
      <w:r>
        <w:instrText xml:space="preserve"> AUTONUM  </w:instrText>
      </w:r>
      <w:r>
        <w:fldChar w:fldCharType="end"/>
      </w:r>
      <w:r>
        <w:tab/>
        <w:t xml:space="preserve">The TWC noted </w:t>
      </w:r>
      <w:r w:rsidRPr="006E424C">
        <w:t xml:space="preserve">that variety descriptions </w:t>
      </w:r>
      <w:proofErr w:type="gramStart"/>
      <w:r>
        <w:t>were</w:t>
      </w:r>
      <w:r w:rsidRPr="006E424C">
        <w:t xml:space="preserve"> generated</w:t>
      </w:r>
      <w:proofErr w:type="gramEnd"/>
      <w:r w:rsidRPr="006E424C">
        <w:t xml:space="preserve"> </w:t>
      </w:r>
      <w:r>
        <w:t>with information from</w:t>
      </w:r>
      <w:r w:rsidRPr="006E424C">
        <w:t xml:space="preserve"> one test site</w:t>
      </w:r>
      <w:r w:rsidRPr="0095160C">
        <w:t xml:space="preserve"> </w:t>
      </w:r>
      <w:r w:rsidRPr="006E424C">
        <w:t>only</w:t>
      </w:r>
      <w:r>
        <w:t xml:space="preserve">.  </w:t>
      </w:r>
    </w:p>
    <w:p w:rsidR="004B345C" w:rsidRDefault="004B345C" w:rsidP="004B345C"/>
    <w:p w:rsidR="004B345C" w:rsidRDefault="004B345C" w:rsidP="004B345C">
      <w:r>
        <w:fldChar w:fldCharType="begin"/>
      </w:r>
      <w:r>
        <w:instrText xml:space="preserve"> AUTONUM  </w:instrText>
      </w:r>
      <w:r>
        <w:fldChar w:fldCharType="end"/>
      </w:r>
      <w:r>
        <w:tab/>
        <w:t xml:space="preserve">The TWC recalled that, where two growing cycles </w:t>
      </w:r>
      <w:proofErr w:type="gramStart"/>
      <w:r>
        <w:t>were conducted</w:t>
      </w:r>
      <w:proofErr w:type="gramEnd"/>
      <w:r>
        <w:t xml:space="preserve"> in the same year and at the same time, a suitable distance or a suitable difference in growing conditions between two locations would be needed to satisfy the requirement for independence. </w:t>
      </w:r>
    </w:p>
    <w:p w:rsidR="004B345C" w:rsidRDefault="004B345C" w:rsidP="004B345C"/>
    <w:p w:rsidR="004B345C" w:rsidRDefault="004B345C" w:rsidP="002E65B0">
      <w:pPr>
        <w:pStyle w:val="Heading2"/>
      </w:pPr>
      <w:r w:rsidRPr="00AE1559">
        <w:t>Development and innovation of DUS test tools</w:t>
      </w:r>
    </w:p>
    <w:p w:rsidR="004B345C" w:rsidRDefault="004B345C" w:rsidP="004B345C"/>
    <w:p w:rsidR="004B345C" w:rsidRDefault="004B345C" w:rsidP="004B345C">
      <w:r w:rsidRPr="00B13C80">
        <w:fldChar w:fldCharType="begin"/>
      </w:r>
      <w:r w:rsidRPr="00B13C80">
        <w:instrText xml:space="preserve"> AUTONUM  </w:instrText>
      </w:r>
      <w:r w:rsidRPr="00B13C80">
        <w:fldChar w:fldCharType="end"/>
      </w:r>
      <w:r w:rsidRPr="00B13C80">
        <w:tab/>
        <w:t>The TWC considered document TWC/37/9 and received a presentation on “</w:t>
      </w:r>
      <w:r w:rsidRPr="00B13C80">
        <w:rPr>
          <w:snapToGrid w:val="0"/>
        </w:rPr>
        <w:t>Development and innovation</w:t>
      </w:r>
      <w:r>
        <w:rPr>
          <w:snapToGrid w:val="0"/>
        </w:rPr>
        <w:t xml:space="preserve"> of DUS test tools</w:t>
      </w:r>
      <w:r w:rsidRPr="00E43910">
        <w:t>”</w:t>
      </w:r>
      <w:r>
        <w:t xml:space="preserve"> </w:t>
      </w:r>
      <w:r w:rsidR="002E65B0">
        <w:t>from</w:t>
      </w:r>
      <w:r>
        <w:t xml:space="preserve"> an expert from China</w:t>
      </w:r>
      <w:r w:rsidRPr="00E43910">
        <w:t xml:space="preserve">. A copy of the presentation </w:t>
      </w:r>
      <w:proofErr w:type="gramStart"/>
      <w:r w:rsidRPr="00E43910">
        <w:t>is provided</w:t>
      </w:r>
      <w:proofErr w:type="gramEnd"/>
      <w:r w:rsidRPr="00E43910">
        <w:t xml:space="preserve"> in the Annex to document</w:t>
      </w:r>
      <w:r>
        <w:t> </w:t>
      </w:r>
      <w:r w:rsidRPr="00E43910">
        <w:t>TWC/37/</w:t>
      </w:r>
      <w:r>
        <w:t>9</w:t>
      </w:r>
      <w:r w:rsidR="002E65B0">
        <w:t xml:space="preserve"> </w:t>
      </w:r>
      <w:r w:rsidR="002E65B0">
        <w:rPr>
          <w:rFonts w:cs="Arial"/>
        </w:rPr>
        <w:t>(see document TWC/37/12 “Report”, paragraphs 19 and 20)</w:t>
      </w:r>
      <w:r w:rsidRPr="00E43910">
        <w:t>.</w:t>
      </w:r>
    </w:p>
    <w:p w:rsidR="004B345C" w:rsidRDefault="004B345C" w:rsidP="004B345C"/>
    <w:p w:rsidR="004B345C" w:rsidRDefault="004B345C" w:rsidP="004B345C">
      <w:r>
        <w:fldChar w:fldCharType="begin"/>
      </w:r>
      <w:r>
        <w:instrText xml:space="preserve"> AUTONUM  </w:instrText>
      </w:r>
      <w:r>
        <w:fldChar w:fldCharType="end"/>
      </w:r>
      <w:r>
        <w:tab/>
        <w:t xml:space="preserve">The TWC recalled that documents UPOV/INF/16 “Exchangeable software” and/or UPOV/INF/22 “Software and equipment used by members of the Union” </w:t>
      </w:r>
      <w:proofErr w:type="gramStart"/>
      <w:r>
        <w:t>could be used</w:t>
      </w:r>
      <w:proofErr w:type="gramEnd"/>
      <w:r>
        <w:t xml:space="preserve"> for sharing information on the developments reported by China, as appropriate.</w:t>
      </w:r>
    </w:p>
    <w:p w:rsidR="004B345C" w:rsidRDefault="004B345C" w:rsidP="004B345C"/>
    <w:p w:rsidR="003B7109" w:rsidRPr="00582154" w:rsidRDefault="003B7109" w:rsidP="003B7109">
      <w:pPr>
        <w:pStyle w:val="Heading2"/>
      </w:pPr>
      <w:r w:rsidRPr="00582154">
        <w:t>Web services provided by UPOV</w:t>
      </w:r>
    </w:p>
    <w:p w:rsidR="003B7109" w:rsidRDefault="003B7109" w:rsidP="003B7109"/>
    <w:p w:rsidR="003B7109" w:rsidRDefault="003B7109" w:rsidP="003B7109">
      <w:r>
        <w:fldChar w:fldCharType="begin"/>
      </w:r>
      <w:r>
        <w:instrText xml:space="preserve"> AUTONUM  </w:instrText>
      </w:r>
      <w:r>
        <w:fldChar w:fldCharType="end"/>
      </w:r>
      <w:r>
        <w:tab/>
      </w:r>
      <w:r w:rsidRPr="00E43910">
        <w:t xml:space="preserve">The TWC considered </w:t>
      </w:r>
      <w:r w:rsidRPr="00B71ABA">
        <w:t>document TWC/37/4</w:t>
      </w:r>
      <w:r w:rsidRPr="00E43910">
        <w:t xml:space="preserve"> </w:t>
      </w:r>
      <w:r>
        <w:t xml:space="preserve">“Web services provided by UPOV” </w:t>
      </w:r>
      <w:r w:rsidRPr="00E43910">
        <w:t xml:space="preserve">and </w:t>
      </w:r>
      <w:r w:rsidRPr="00A620A5">
        <w:rPr>
          <w:snapToGrid w:val="0"/>
        </w:rPr>
        <w:t>note</w:t>
      </w:r>
      <w:r>
        <w:rPr>
          <w:snapToGrid w:val="0"/>
        </w:rPr>
        <w:t>d</w:t>
      </w:r>
      <w:r w:rsidRPr="00A620A5">
        <w:rPr>
          <w:snapToGrid w:val="0"/>
        </w:rPr>
        <w:t xml:space="preserve"> the availability of web services to </w:t>
      </w:r>
      <w:r>
        <w:rPr>
          <w:snapToGrid w:val="0"/>
        </w:rPr>
        <w:t xml:space="preserve">transmit application data between PVP offices and UPOV PRISMA </w:t>
      </w:r>
      <w:r w:rsidRPr="00A620A5">
        <w:t>and</w:t>
      </w:r>
      <w:r>
        <w:t xml:space="preserve"> </w:t>
      </w:r>
      <w:r>
        <w:rPr>
          <w:snapToGrid w:val="0"/>
        </w:rPr>
        <w:t xml:space="preserve">the </w:t>
      </w:r>
      <w:r w:rsidRPr="007454C5">
        <w:rPr>
          <w:snapToGrid w:val="0"/>
        </w:rPr>
        <w:t>future deve</w:t>
      </w:r>
      <w:r>
        <w:rPr>
          <w:snapToGrid w:val="0"/>
        </w:rPr>
        <w:t xml:space="preserve">lopments in relation to GENIE Database </w:t>
      </w:r>
      <w:r>
        <w:rPr>
          <w:rFonts w:cs="Arial"/>
        </w:rPr>
        <w:t>(see document TWC/37/12 “Report”, paragraph 57)</w:t>
      </w:r>
      <w:r w:rsidRPr="00E43910">
        <w:t>.</w:t>
      </w:r>
    </w:p>
    <w:p w:rsidR="003B7109" w:rsidRDefault="003B7109" w:rsidP="003B7109"/>
    <w:p w:rsidR="006C4A11" w:rsidRDefault="00155B72" w:rsidP="00155B72">
      <w:pPr>
        <w:pStyle w:val="Heading2"/>
        <w:rPr>
          <w:snapToGrid w:val="0"/>
        </w:rPr>
      </w:pPr>
      <w:r>
        <w:rPr>
          <w:snapToGrid w:val="0"/>
        </w:rPr>
        <w:t>A statistical analysis software – DUS Excel</w:t>
      </w:r>
    </w:p>
    <w:p w:rsidR="006C4A11" w:rsidRDefault="006C4A11" w:rsidP="00222950">
      <w:pPr>
        <w:rPr>
          <w:snapToGrid w:val="0"/>
        </w:rPr>
      </w:pPr>
    </w:p>
    <w:p w:rsidR="00155B72" w:rsidRDefault="00155B72" w:rsidP="00155B72">
      <w:r w:rsidRPr="00E57FA2">
        <w:fldChar w:fldCharType="begin"/>
      </w:r>
      <w:r w:rsidRPr="00E57FA2">
        <w:instrText xml:space="preserve"> AUTONUM  </w:instrText>
      </w:r>
      <w:r w:rsidRPr="00E57FA2">
        <w:fldChar w:fldCharType="end"/>
      </w:r>
      <w:r w:rsidRPr="00E57FA2">
        <w:tab/>
        <w:t xml:space="preserve">The TWC considered document TWC/37/8 and received a presentation </w:t>
      </w:r>
      <w:r>
        <w:t xml:space="preserve">from an expert from China </w:t>
      </w:r>
      <w:r w:rsidRPr="00E57FA2">
        <w:t xml:space="preserve">on “A statistical analysis Software - DUS </w:t>
      </w:r>
      <w:r>
        <w:t>Excel</w:t>
      </w:r>
      <w:r w:rsidRPr="00E57FA2">
        <w:t xml:space="preserve">”.  A copy of the presentation </w:t>
      </w:r>
      <w:proofErr w:type="gramStart"/>
      <w:r w:rsidRPr="00E57FA2">
        <w:t>is provided</w:t>
      </w:r>
      <w:proofErr w:type="gramEnd"/>
      <w:r w:rsidRPr="00E57FA2">
        <w:t xml:space="preserve"> in the Annex to document TWC/37/8</w:t>
      </w:r>
      <w:r>
        <w:t xml:space="preserve"> </w:t>
      </w:r>
      <w:r>
        <w:rPr>
          <w:rFonts w:cs="Arial"/>
        </w:rPr>
        <w:t>(see document TWC/37/12 “Report”, paragraphs 104 and 106)</w:t>
      </w:r>
      <w:r w:rsidRPr="00E57FA2">
        <w:t>.</w:t>
      </w:r>
    </w:p>
    <w:p w:rsidR="00155B72" w:rsidRDefault="00155B72" w:rsidP="00155B72">
      <w:pPr>
        <w:tabs>
          <w:tab w:val="left" w:pos="1312"/>
        </w:tabs>
      </w:pPr>
    </w:p>
    <w:p w:rsidR="00155B72" w:rsidRDefault="00155B72" w:rsidP="00155B72">
      <w:pPr>
        <w:tabs>
          <w:tab w:val="left" w:pos="567"/>
        </w:tabs>
      </w:pPr>
      <w:r w:rsidRPr="00E57FA2">
        <w:fldChar w:fldCharType="begin"/>
      </w:r>
      <w:r w:rsidRPr="00E57FA2">
        <w:instrText xml:space="preserve"> AUTONUM  </w:instrText>
      </w:r>
      <w:r w:rsidRPr="00E57FA2">
        <w:fldChar w:fldCharType="end"/>
      </w:r>
      <w:r>
        <w:tab/>
        <w:t xml:space="preserve">The TWC considered the validation of the software presented.  It recalled the previous exercise comparing results between the software of China and other software used by TWC participants.  The TWC noted the offer by the United Kingdom to provide a common data set to China, France and Kenya for comparing results obtained for COYD and COYU procedures using different software. </w:t>
      </w:r>
    </w:p>
    <w:p w:rsidR="00155B72" w:rsidRDefault="00155B72" w:rsidP="00155B72">
      <w:pPr>
        <w:tabs>
          <w:tab w:val="left" w:pos="1312"/>
        </w:tabs>
      </w:pPr>
    </w:p>
    <w:p w:rsidR="00155B72" w:rsidRDefault="00155B72" w:rsidP="00155B72">
      <w:pPr>
        <w:tabs>
          <w:tab w:val="left" w:pos="1312"/>
        </w:tabs>
      </w:pPr>
      <w:r w:rsidRPr="00E57FA2">
        <w:fldChar w:fldCharType="begin"/>
      </w:r>
      <w:r w:rsidRPr="00E57FA2">
        <w:instrText xml:space="preserve"> AUTONUM  </w:instrText>
      </w:r>
      <w:r w:rsidRPr="00E57FA2">
        <w:fldChar w:fldCharType="end"/>
      </w:r>
      <w:r>
        <w:t xml:space="preserve">  The TWC noted the offer by China to make the software available for other UPOV members.  The TWC noted that the user interface was available in Chinese and in English, while the user manual was available in Chinese language only.  The TWC noted the offer by the United States of America to translate a short description of the system to assess the interest for translating the entire user manual.</w:t>
      </w:r>
    </w:p>
    <w:p w:rsidR="00155B72" w:rsidRDefault="00155B72" w:rsidP="00155B72"/>
    <w:p w:rsidR="00155B72" w:rsidRPr="00582154" w:rsidRDefault="00155B72" w:rsidP="0039169C">
      <w:pPr>
        <w:pStyle w:val="Heading2"/>
      </w:pPr>
      <w:r w:rsidRPr="00582154">
        <w:t>Building a database with molecular marker information for the management of variety collections</w:t>
      </w:r>
    </w:p>
    <w:p w:rsidR="00155B72" w:rsidRDefault="00155B72" w:rsidP="00155B72"/>
    <w:p w:rsidR="00155B72" w:rsidRDefault="00155B72" w:rsidP="00155B72">
      <w:r w:rsidRPr="00F77341">
        <w:fldChar w:fldCharType="begin"/>
      </w:r>
      <w:r w:rsidRPr="00F77341">
        <w:instrText xml:space="preserve"> AUTONUM  </w:instrText>
      </w:r>
      <w:r w:rsidRPr="00F77341">
        <w:fldChar w:fldCharType="end"/>
      </w:r>
      <w:r w:rsidRPr="00F77341">
        <w:tab/>
        <w:t xml:space="preserve">The TWC considered document TWC/37/6 and received a presentation </w:t>
      </w:r>
      <w:r w:rsidR="0039169C">
        <w:t xml:space="preserve">from an expert from China </w:t>
      </w:r>
      <w:r w:rsidRPr="00F77341">
        <w:t>on “</w:t>
      </w:r>
      <w:r>
        <w:rPr>
          <w:snapToGrid w:val="0"/>
        </w:rPr>
        <w:t xml:space="preserve">Plant </w:t>
      </w:r>
      <w:r w:rsidRPr="00F77341">
        <w:rPr>
          <w:snapToGrid w:val="0"/>
        </w:rPr>
        <w:t>DNA fingerprint database management system</w:t>
      </w:r>
      <w:r w:rsidRPr="00F77341">
        <w:t xml:space="preserve">”.  A copy of the presentation </w:t>
      </w:r>
      <w:proofErr w:type="gramStart"/>
      <w:r w:rsidRPr="00F77341">
        <w:t>is provided</w:t>
      </w:r>
      <w:proofErr w:type="gramEnd"/>
      <w:r w:rsidRPr="00F77341">
        <w:t xml:space="preserve"> in the Annex to document TWC/37/6</w:t>
      </w:r>
      <w:r>
        <w:t xml:space="preserve"> </w:t>
      </w:r>
      <w:r>
        <w:rPr>
          <w:rFonts w:cs="Arial"/>
        </w:rPr>
        <w:t>(see document TWC/37/12 “Report”, paragraph 113)</w:t>
      </w:r>
      <w:r w:rsidRPr="00F77341">
        <w:t>.</w:t>
      </w:r>
    </w:p>
    <w:p w:rsidR="00155B72" w:rsidRDefault="00155B72" w:rsidP="00155B72"/>
    <w:p w:rsidR="00816846" w:rsidRDefault="00816846" w:rsidP="00155B72"/>
    <w:p w:rsidR="00222950" w:rsidRDefault="00222950" w:rsidP="00CA71B1">
      <w:pPr>
        <w:jc w:val="right"/>
        <w:rPr>
          <w:snapToGrid w:val="0"/>
        </w:rPr>
      </w:pPr>
    </w:p>
    <w:p w:rsidR="00671852" w:rsidRPr="00C5280D" w:rsidRDefault="00397D83" w:rsidP="00CA71B1">
      <w:pPr>
        <w:jc w:val="right"/>
      </w:pPr>
      <w:r w:rsidRPr="00356E0F">
        <w:rPr>
          <w:snapToGrid w:val="0"/>
        </w:rPr>
        <w:t>[</w:t>
      </w:r>
      <w:r w:rsidR="00CA71B1">
        <w:rPr>
          <w:snapToGrid w:val="0"/>
        </w:rPr>
        <w:t>End of document]</w:t>
      </w:r>
    </w:p>
    <w:sectPr w:rsidR="00671852" w:rsidRPr="00C5280D" w:rsidSect="00CA71B1">
      <w:headerReference w:type="default" r:id="rId9"/>
      <w:pgSz w:w="11907" w:h="16840"/>
      <w:pgMar w:top="567" w:right="1134" w:bottom="1021"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4A8" w:rsidRDefault="008314A8" w:rsidP="006655D3">
      <w:r>
        <w:separator/>
      </w:r>
    </w:p>
    <w:p w:rsidR="008314A8" w:rsidRDefault="008314A8" w:rsidP="006655D3"/>
    <w:p w:rsidR="008314A8" w:rsidRDefault="008314A8" w:rsidP="006655D3"/>
  </w:endnote>
  <w:endnote w:type="continuationSeparator" w:id="0">
    <w:p w:rsidR="008314A8" w:rsidRDefault="008314A8" w:rsidP="006655D3">
      <w:r>
        <w:separator/>
      </w:r>
    </w:p>
    <w:p w:rsidR="008314A8" w:rsidRPr="00294751" w:rsidRDefault="008314A8">
      <w:pPr>
        <w:pStyle w:val="Footer"/>
        <w:spacing w:after="60"/>
        <w:rPr>
          <w:sz w:val="18"/>
          <w:lang w:val="fr-FR"/>
        </w:rPr>
      </w:pPr>
      <w:r w:rsidRPr="00294751">
        <w:rPr>
          <w:sz w:val="18"/>
          <w:lang w:val="fr-FR"/>
        </w:rPr>
        <w:t>[Suite de la note de la page précédente]</w:t>
      </w:r>
    </w:p>
    <w:p w:rsidR="008314A8" w:rsidRPr="00294751" w:rsidRDefault="008314A8" w:rsidP="006655D3">
      <w:pPr>
        <w:rPr>
          <w:lang w:val="fr-FR"/>
        </w:rPr>
      </w:pPr>
    </w:p>
    <w:p w:rsidR="008314A8" w:rsidRPr="00294751" w:rsidRDefault="008314A8" w:rsidP="006655D3">
      <w:pPr>
        <w:rPr>
          <w:lang w:val="fr-FR"/>
        </w:rPr>
      </w:pPr>
    </w:p>
  </w:endnote>
  <w:endnote w:type="continuationNotice" w:id="1">
    <w:p w:rsidR="008314A8" w:rsidRPr="00294751" w:rsidRDefault="008314A8" w:rsidP="006655D3">
      <w:pPr>
        <w:rPr>
          <w:lang w:val="fr-FR"/>
        </w:rPr>
      </w:pPr>
      <w:r w:rsidRPr="00294751">
        <w:rPr>
          <w:lang w:val="fr-FR"/>
        </w:rPr>
        <w:t>[Suite de la note page suivante]</w:t>
      </w:r>
    </w:p>
    <w:p w:rsidR="008314A8" w:rsidRPr="00294751" w:rsidRDefault="008314A8" w:rsidP="006655D3">
      <w:pPr>
        <w:rPr>
          <w:lang w:val="fr-FR"/>
        </w:rPr>
      </w:pPr>
    </w:p>
    <w:p w:rsidR="008314A8" w:rsidRPr="00294751" w:rsidRDefault="008314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4A8" w:rsidRDefault="008314A8" w:rsidP="006655D3">
      <w:r>
        <w:separator/>
      </w:r>
    </w:p>
  </w:footnote>
  <w:footnote w:type="continuationSeparator" w:id="0">
    <w:p w:rsidR="008314A8" w:rsidRDefault="008314A8" w:rsidP="006655D3">
      <w:r>
        <w:separator/>
      </w:r>
    </w:p>
  </w:footnote>
  <w:footnote w:type="continuationNotice" w:id="1">
    <w:p w:rsidR="008314A8" w:rsidRPr="00AB530F" w:rsidRDefault="008314A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70" w:rsidRPr="008A3E38" w:rsidRDefault="00E25A70" w:rsidP="00EB048E">
    <w:pPr>
      <w:pStyle w:val="Header"/>
      <w:rPr>
        <w:rStyle w:val="PageNumber"/>
        <w:lang w:val="fr-CH"/>
      </w:rPr>
    </w:pPr>
    <w:r w:rsidRPr="008A3E38">
      <w:rPr>
        <w:rStyle w:val="PageNumber"/>
        <w:lang w:val="fr-CH"/>
      </w:rPr>
      <w:t>TC/55/3</w:t>
    </w:r>
    <w:r w:rsidR="00222950">
      <w:rPr>
        <w:rStyle w:val="PageNumber"/>
        <w:lang w:val="fr-CH"/>
      </w:rPr>
      <w:t xml:space="preserve"> </w:t>
    </w:r>
    <w:proofErr w:type="spellStart"/>
    <w:r w:rsidR="00222950">
      <w:rPr>
        <w:rStyle w:val="PageNumber"/>
        <w:lang w:val="fr-CH"/>
      </w:rPr>
      <w:t>Add</w:t>
    </w:r>
    <w:proofErr w:type="spellEnd"/>
    <w:r w:rsidR="00222950">
      <w:rPr>
        <w:rStyle w:val="PageNumber"/>
        <w:lang w:val="fr-CH"/>
      </w:rPr>
      <w:t>.</w:t>
    </w:r>
  </w:p>
  <w:p w:rsidR="00CA71B1" w:rsidRPr="00C62912" w:rsidRDefault="00CA71B1" w:rsidP="00CA71B1">
    <w:pPr>
      <w:pStyle w:val="Header"/>
      <w:rPr>
        <w:lang w:val="fr-CH"/>
      </w:rPr>
    </w:pPr>
    <w:r w:rsidRPr="00C62912">
      <w:rPr>
        <w:lang w:val="fr-CH"/>
      </w:rPr>
      <w:t xml:space="preserve">page </w:t>
    </w:r>
    <w:r w:rsidRPr="00C5280D">
      <w:rPr>
        <w:rStyle w:val="PageNumber"/>
        <w:lang w:val="en-US"/>
      </w:rPr>
      <w:fldChar w:fldCharType="begin"/>
    </w:r>
    <w:r w:rsidRPr="00C62912">
      <w:rPr>
        <w:rStyle w:val="PageNumber"/>
        <w:lang w:val="fr-CH"/>
      </w:rPr>
      <w:instrText xml:space="preserve"> PAGE </w:instrText>
    </w:r>
    <w:r w:rsidRPr="00C5280D">
      <w:rPr>
        <w:rStyle w:val="PageNumber"/>
        <w:lang w:val="en-US"/>
      </w:rPr>
      <w:fldChar w:fldCharType="separate"/>
    </w:r>
    <w:r w:rsidR="006060A5">
      <w:rPr>
        <w:rStyle w:val="PageNumber"/>
        <w:noProof/>
        <w:lang w:val="fr-CH"/>
      </w:rPr>
      <w:t>2</w:t>
    </w:r>
    <w:r w:rsidRPr="00C5280D">
      <w:rPr>
        <w:rStyle w:val="PageNumber"/>
        <w:lang w:val="en-US"/>
      </w:rPr>
      <w:fldChar w:fldCharType="end"/>
    </w:r>
  </w:p>
  <w:p w:rsidR="00E25A70" w:rsidRPr="008A3E38" w:rsidRDefault="00E25A70"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0D0"/>
    <w:multiLevelType w:val="hybridMultilevel"/>
    <w:tmpl w:val="0CBE3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FE49CC"/>
    <w:multiLevelType w:val="hybridMultilevel"/>
    <w:tmpl w:val="B730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66DB3"/>
    <w:multiLevelType w:val="hybridMultilevel"/>
    <w:tmpl w:val="82BE466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A0844"/>
    <w:multiLevelType w:val="hybridMultilevel"/>
    <w:tmpl w:val="85908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DB2F6E"/>
    <w:multiLevelType w:val="hybridMultilevel"/>
    <w:tmpl w:val="B5D4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F1EA3"/>
    <w:multiLevelType w:val="hybridMultilevel"/>
    <w:tmpl w:val="2F1E0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39342C"/>
    <w:multiLevelType w:val="hybridMultilevel"/>
    <w:tmpl w:val="85D6F8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012E3"/>
    <w:rsid w:val="00010CF3"/>
    <w:rsid w:val="00011E27"/>
    <w:rsid w:val="000148BC"/>
    <w:rsid w:val="00024AB8"/>
    <w:rsid w:val="00030854"/>
    <w:rsid w:val="00036028"/>
    <w:rsid w:val="00044642"/>
    <w:rsid w:val="000446B9"/>
    <w:rsid w:val="00047E21"/>
    <w:rsid w:val="00050E16"/>
    <w:rsid w:val="00085505"/>
    <w:rsid w:val="000970DC"/>
    <w:rsid w:val="000A276E"/>
    <w:rsid w:val="000B794A"/>
    <w:rsid w:val="000C4E25"/>
    <w:rsid w:val="000C7021"/>
    <w:rsid w:val="000D368A"/>
    <w:rsid w:val="000D6BBC"/>
    <w:rsid w:val="000D6D0A"/>
    <w:rsid w:val="000D7780"/>
    <w:rsid w:val="000E636A"/>
    <w:rsid w:val="000F2F11"/>
    <w:rsid w:val="00105929"/>
    <w:rsid w:val="0010755F"/>
    <w:rsid w:val="00110C36"/>
    <w:rsid w:val="001131D5"/>
    <w:rsid w:val="00123756"/>
    <w:rsid w:val="00141DB8"/>
    <w:rsid w:val="00155B72"/>
    <w:rsid w:val="00166BA4"/>
    <w:rsid w:val="00172084"/>
    <w:rsid w:val="0017474A"/>
    <w:rsid w:val="001758C6"/>
    <w:rsid w:val="00182B99"/>
    <w:rsid w:val="001C44C0"/>
    <w:rsid w:val="001C4EC1"/>
    <w:rsid w:val="0021332C"/>
    <w:rsid w:val="00213982"/>
    <w:rsid w:val="00222950"/>
    <w:rsid w:val="0024416D"/>
    <w:rsid w:val="00244757"/>
    <w:rsid w:val="00260E33"/>
    <w:rsid w:val="002704BE"/>
    <w:rsid w:val="00271911"/>
    <w:rsid w:val="00274A4D"/>
    <w:rsid w:val="002800A0"/>
    <w:rsid w:val="002801B3"/>
    <w:rsid w:val="00281060"/>
    <w:rsid w:val="002940E8"/>
    <w:rsid w:val="00294751"/>
    <w:rsid w:val="0029690D"/>
    <w:rsid w:val="002A6E50"/>
    <w:rsid w:val="002B4298"/>
    <w:rsid w:val="002B6F79"/>
    <w:rsid w:val="002C256A"/>
    <w:rsid w:val="002E65B0"/>
    <w:rsid w:val="002F1989"/>
    <w:rsid w:val="00304827"/>
    <w:rsid w:val="00305A7F"/>
    <w:rsid w:val="003152FE"/>
    <w:rsid w:val="00327436"/>
    <w:rsid w:val="003401F8"/>
    <w:rsid w:val="00344BD6"/>
    <w:rsid w:val="00353F13"/>
    <w:rsid w:val="0035528D"/>
    <w:rsid w:val="00361821"/>
    <w:rsid w:val="00361E9E"/>
    <w:rsid w:val="0039169C"/>
    <w:rsid w:val="00397D83"/>
    <w:rsid w:val="003A58AB"/>
    <w:rsid w:val="003B7109"/>
    <w:rsid w:val="003C52A2"/>
    <w:rsid w:val="003C7FBE"/>
    <w:rsid w:val="003D227C"/>
    <w:rsid w:val="003D2B4D"/>
    <w:rsid w:val="0043294B"/>
    <w:rsid w:val="00442107"/>
    <w:rsid w:val="00444A88"/>
    <w:rsid w:val="0045053E"/>
    <w:rsid w:val="00472ACF"/>
    <w:rsid w:val="00474DA4"/>
    <w:rsid w:val="00476B4D"/>
    <w:rsid w:val="004805FA"/>
    <w:rsid w:val="004935D2"/>
    <w:rsid w:val="004B1215"/>
    <w:rsid w:val="004B345C"/>
    <w:rsid w:val="004D047D"/>
    <w:rsid w:val="004F1E9E"/>
    <w:rsid w:val="004F305A"/>
    <w:rsid w:val="00512164"/>
    <w:rsid w:val="00520297"/>
    <w:rsid w:val="005338F9"/>
    <w:rsid w:val="00535F56"/>
    <w:rsid w:val="00540C52"/>
    <w:rsid w:val="0054281C"/>
    <w:rsid w:val="00544581"/>
    <w:rsid w:val="0055268D"/>
    <w:rsid w:val="00553EB4"/>
    <w:rsid w:val="005550A4"/>
    <w:rsid w:val="00576BE4"/>
    <w:rsid w:val="0059212A"/>
    <w:rsid w:val="005A400A"/>
    <w:rsid w:val="005D2FE1"/>
    <w:rsid w:val="005F7B92"/>
    <w:rsid w:val="00601B3C"/>
    <w:rsid w:val="006060A5"/>
    <w:rsid w:val="00612379"/>
    <w:rsid w:val="006153B6"/>
    <w:rsid w:val="00615429"/>
    <w:rsid w:val="0061555F"/>
    <w:rsid w:val="00627A8C"/>
    <w:rsid w:val="00636CA6"/>
    <w:rsid w:val="00641200"/>
    <w:rsid w:val="00645CA8"/>
    <w:rsid w:val="006655D3"/>
    <w:rsid w:val="00667404"/>
    <w:rsid w:val="00671852"/>
    <w:rsid w:val="006773E5"/>
    <w:rsid w:val="00687EB4"/>
    <w:rsid w:val="00695C56"/>
    <w:rsid w:val="006A5CDE"/>
    <w:rsid w:val="006A644A"/>
    <w:rsid w:val="006A69B6"/>
    <w:rsid w:val="006B17D2"/>
    <w:rsid w:val="006C11EA"/>
    <w:rsid w:val="006C224E"/>
    <w:rsid w:val="006C4A11"/>
    <w:rsid w:val="006D7435"/>
    <w:rsid w:val="006D780A"/>
    <w:rsid w:val="006E2343"/>
    <w:rsid w:val="00701F1E"/>
    <w:rsid w:val="0071271E"/>
    <w:rsid w:val="007131F0"/>
    <w:rsid w:val="00732DEC"/>
    <w:rsid w:val="00735BD5"/>
    <w:rsid w:val="007371B7"/>
    <w:rsid w:val="00744D56"/>
    <w:rsid w:val="00751613"/>
    <w:rsid w:val="007556F6"/>
    <w:rsid w:val="007557F1"/>
    <w:rsid w:val="00755FCE"/>
    <w:rsid w:val="00760EEF"/>
    <w:rsid w:val="00777EE5"/>
    <w:rsid w:val="00784635"/>
    <w:rsid w:val="00784836"/>
    <w:rsid w:val="0079023E"/>
    <w:rsid w:val="007A2854"/>
    <w:rsid w:val="007A4840"/>
    <w:rsid w:val="007C1D92"/>
    <w:rsid w:val="007C4CB9"/>
    <w:rsid w:val="007D0B9D"/>
    <w:rsid w:val="007D19B0"/>
    <w:rsid w:val="007F498F"/>
    <w:rsid w:val="0080679D"/>
    <w:rsid w:val="008108B0"/>
    <w:rsid w:val="00811B20"/>
    <w:rsid w:val="00816846"/>
    <w:rsid w:val="008211B5"/>
    <w:rsid w:val="0082271C"/>
    <w:rsid w:val="0082296E"/>
    <w:rsid w:val="00824099"/>
    <w:rsid w:val="008314A8"/>
    <w:rsid w:val="00846D7C"/>
    <w:rsid w:val="00850FD4"/>
    <w:rsid w:val="00853022"/>
    <w:rsid w:val="00867AC1"/>
    <w:rsid w:val="00872256"/>
    <w:rsid w:val="00890DF8"/>
    <w:rsid w:val="00897E98"/>
    <w:rsid w:val="008A3E38"/>
    <w:rsid w:val="008A743F"/>
    <w:rsid w:val="008B6E60"/>
    <w:rsid w:val="008C0970"/>
    <w:rsid w:val="008D0BC5"/>
    <w:rsid w:val="008D1C86"/>
    <w:rsid w:val="008D2CF7"/>
    <w:rsid w:val="008D7E86"/>
    <w:rsid w:val="008E40A6"/>
    <w:rsid w:val="008E4F12"/>
    <w:rsid w:val="00900C26"/>
    <w:rsid w:val="0090197F"/>
    <w:rsid w:val="00906DDC"/>
    <w:rsid w:val="009250AA"/>
    <w:rsid w:val="00934E09"/>
    <w:rsid w:val="00936253"/>
    <w:rsid w:val="00940D46"/>
    <w:rsid w:val="00952DD4"/>
    <w:rsid w:val="0096250C"/>
    <w:rsid w:val="00965AE7"/>
    <w:rsid w:val="00970FED"/>
    <w:rsid w:val="00973C53"/>
    <w:rsid w:val="00992D82"/>
    <w:rsid w:val="00997029"/>
    <w:rsid w:val="009A7339"/>
    <w:rsid w:val="009B0CB9"/>
    <w:rsid w:val="009B440E"/>
    <w:rsid w:val="009B704D"/>
    <w:rsid w:val="009D690D"/>
    <w:rsid w:val="009E18D2"/>
    <w:rsid w:val="009E5D02"/>
    <w:rsid w:val="009E65B6"/>
    <w:rsid w:val="009F5853"/>
    <w:rsid w:val="00A04A26"/>
    <w:rsid w:val="00A211E8"/>
    <w:rsid w:val="00A24C10"/>
    <w:rsid w:val="00A336E9"/>
    <w:rsid w:val="00A37C2B"/>
    <w:rsid w:val="00A42AC3"/>
    <w:rsid w:val="00A430CF"/>
    <w:rsid w:val="00A54309"/>
    <w:rsid w:val="00A92FA3"/>
    <w:rsid w:val="00A930DD"/>
    <w:rsid w:val="00AA0DEF"/>
    <w:rsid w:val="00AA1C00"/>
    <w:rsid w:val="00AB2B93"/>
    <w:rsid w:val="00AB530F"/>
    <w:rsid w:val="00AB7E5B"/>
    <w:rsid w:val="00AC2883"/>
    <w:rsid w:val="00AC5F56"/>
    <w:rsid w:val="00AE0EF1"/>
    <w:rsid w:val="00AE2937"/>
    <w:rsid w:val="00AF0EAD"/>
    <w:rsid w:val="00B03A49"/>
    <w:rsid w:val="00B07301"/>
    <w:rsid w:val="00B11F3E"/>
    <w:rsid w:val="00B224DE"/>
    <w:rsid w:val="00B324D4"/>
    <w:rsid w:val="00B46575"/>
    <w:rsid w:val="00B556C7"/>
    <w:rsid w:val="00B61777"/>
    <w:rsid w:val="00B84BBD"/>
    <w:rsid w:val="00B93B4F"/>
    <w:rsid w:val="00BA43FB"/>
    <w:rsid w:val="00BB4DB2"/>
    <w:rsid w:val="00BC127D"/>
    <w:rsid w:val="00BC1FE6"/>
    <w:rsid w:val="00BC5EB0"/>
    <w:rsid w:val="00BC700C"/>
    <w:rsid w:val="00C061B6"/>
    <w:rsid w:val="00C2446C"/>
    <w:rsid w:val="00C36AE5"/>
    <w:rsid w:val="00C41F17"/>
    <w:rsid w:val="00C504C2"/>
    <w:rsid w:val="00C527FA"/>
    <w:rsid w:val="00C5280D"/>
    <w:rsid w:val="00C53EB3"/>
    <w:rsid w:val="00C5791C"/>
    <w:rsid w:val="00C62CCD"/>
    <w:rsid w:val="00C66290"/>
    <w:rsid w:val="00C72B7A"/>
    <w:rsid w:val="00C763B8"/>
    <w:rsid w:val="00C973F2"/>
    <w:rsid w:val="00CA304C"/>
    <w:rsid w:val="00CA71B1"/>
    <w:rsid w:val="00CA774A"/>
    <w:rsid w:val="00CC11B0"/>
    <w:rsid w:val="00CC2841"/>
    <w:rsid w:val="00CF1330"/>
    <w:rsid w:val="00CF7E36"/>
    <w:rsid w:val="00D10B2E"/>
    <w:rsid w:val="00D3708D"/>
    <w:rsid w:val="00D40426"/>
    <w:rsid w:val="00D40C9F"/>
    <w:rsid w:val="00D57C96"/>
    <w:rsid w:val="00D57D18"/>
    <w:rsid w:val="00D66782"/>
    <w:rsid w:val="00D7614C"/>
    <w:rsid w:val="00D827B7"/>
    <w:rsid w:val="00D909E3"/>
    <w:rsid w:val="00D91203"/>
    <w:rsid w:val="00D95174"/>
    <w:rsid w:val="00DA4973"/>
    <w:rsid w:val="00DA6F36"/>
    <w:rsid w:val="00DB1534"/>
    <w:rsid w:val="00DB2FE8"/>
    <w:rsid w:val="00DB596E"/>
    <w:rsid w:val="00DB7773"/>
    <w:rsid w:val="00DC00EA"/>
    <w:rsid w:val="00DC0EFC"/>
    <w:rsid w:val="00DC2A56"/>
    <w:rsid w:val="00DC3802"/>
    <w:rsid w:val="00E07D87"/>
    <w:rsid w:val="00E25A70"/>
    <w:rsid w:val="00E32F7E"/>
    <w:rsid w:val="00E47F79"/>
    <w:rsid w:val="00E5267B"/>
    <w:rsid w:val="00E63C0E"/>
    <w:rsid w:val="00E6777A"/>
    <w:rsid w:val="00E72D49"/>
    <w:rsid w:val="00E7593C"/>
    <w:rsid w:val="00E7678A"/>
    <w:rsid w:val="00E77198"/>
    <w:rsid w:val="00E935F1"/>
    <w:rsid w:val="00E94A81"/>
    <w:rsid w:val="00EA1FFB"/>
    <w:rsid w:val="00EB048E"/>
    <w:rsid w:val="00EB4E9C"/>
    <w:rsid w:val="00EE34DF"/>
    <w:rsid w:val="00EE62A8"/>
    <w:rsid w:val="00EF2F89"/>
    <w:rsid w:val="00F03E98"/>
    <w:rsid w:val="00F06C29"/>
    <w:rsid w:val="00F1237A"/>
    <w:rsid w:val="00F22CBD"/>
    <w:rsid w:val="00F272F1"/>
    <w:rsid w:val="00F343B8"/>
    <w:rsid w:val="00F43046"/>
    <w:rsid w:val="00F45372"/>
    <w:rsid w:val="00F52059"/>
    <w:rsid w:val="00F560F7"/>
    <w:rsid w:val="00F6334D"/>
    <w:rsid w:val="00FA49AB"/>
    <w:rsid w:val="00FE39C7"/>
    <w:rsid w:val="00FF07D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773E5"/>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853022"/>
    <w:pPr>
      <w:ind w:left="284" w:right="-1"/>
      <w:contextualSpacing/>
    </w:pPr>
    <w:rPr>
      <w:sz w:val="18"/>
    </w:rPr>
  </w:style>
  <w:style w:type="paragraph" w:styleId="TOC3">
    <w:name w:val="toc 3"/>
    <w:next w:val="Normal"/>
    <w:autoRedefine/>
    <w:uiPriority w:val="39"/>
    <w:rsid w:val="00E47F79"/>
    <w:pPr>
      <w:tabs>
        <w:tab w:val="right" w:leader="dot" w:pos="9639"/>
      </w:tabs>
      <w:spacing w:before="120"/>
      <w:ind w:left="568" w:right="-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D10B2E"/>
    <w:pPr>
      <w:tabs>
        <w:tab w:val="right" w:leader="dot" w:pos="9356"/>
      </w:tabs>
      <w:spacing w:before="60"/>
      <w:ind w:right="-1"/>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397D83"/>
    <w:pPr>
      <w:ind w:left="720"/>
      <w:contextualSpacing/>
    </w:pPr>
  </w:style>
  <w:style w:type="character" w:customStyle="1" w:styleId="HeaderChar">
    <w:name w:val="Header Char"/>
    <w:basedOn w:val="DefaultParagraphFont"/>
    <w:link w:val="Header"/>
    <w:uiPriority w:val="99"/>
    <w:rsid w:val="00D66782"/>
    <w:rPr>
      <w:rFonts w:ascii="Arial" w:hAnsi="Arial"/>
      <w:lang w:val="fr-FR"/>
    </w:rPr>
  </w:style>
  <w:style w:type="character" w:customStyle="1" w:styleId="Heading2Char">
    <w:name w:val="Heading 2 Char"/>
    <w:aliases w:val="VARIETY Char,variety Char"/>
    <w:link w:val="Heading2"/>
    <w:locked/>
    <w:rsid w:val="00AA1C00"/>
    <w:rPr>
      <w:rFonts w:ascii="Arial" w:hAnsi="Arial"/>
      <w:u w:val="single"/>
    </w:rPr>
  </w:style>
  <w:style w:type="paragraph" w:styleId="TOCHeading">
    <w:name w:val="TOC Heading"/>
    <w:basedOn w:val="Heading1"/>
    <w:next w:val="Normal"/>
    <w:uiPriority w:val="39"/>
    <w:unhideWhenUsed/>
    <w:qFormat/>
    <w:rsid w:val="00B03A49"/>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Heading3Char">
    <w:name w:val="Heading 3 Char"/>
    <w:basedOn w:val="DefaultParagraphFont"/>
    <w:link w:val="Heading3"/>
    <w:rsid w:val="004B345C"/>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2185">
      <w:bodyDiv w:val="1"/>
      <w:marLeft w:val="0"/>
      <w:marRight w:val="0"/>
      <w:marTop w:val="0"/>
      <w:marBottom w:val="0"/>
      <w:divBdr>
        <w:top w:val="none" w:sz="0" w:space="0" w:color="auto"/>
        <w:left w:val="none" w:sz="0" w:space="0" w:color="auto"/>
        <w:bottom w:val="none" w:sz="0" w:space="0" w:color="auto"/>
        <w:right w:val="none" w:sz="0" w:space="0" w:color="auto"/>
      </w:divBdr>
    </w:div>
    <w:div w:id="445854862">
      <w:bodyDiv w:val="1"/>
      <w:marLeft w:val="0"/>
      <w:marRight w:val="0"/>
      <w:marTop w:val="0"/>
      <w:marBottom w:val="0"/>
      <w:divBdr>
        <w:top w:val="none" w:sz="0" w:space="0" w:color="auto"/>
        <w:left w:val="none" w:sz="0" w:space="0" w:color="auto"/>
        <w:bottom w:val="none" w:sz="0" w:space="0" w:color="auto"/>
        <w:right w:val="none" w:sz="0" w:space="0" w:color="auto"/>
      </w:divBdr>
    </w:div>
    <w:div w:id="448085456">
      <w:bodyDiv w:val="1"/>
      <w:marLeft w:val="0"/>
      <w:marRight w:val="0"/>
      <w:marTop w:val="0"/>
      <w:marBottom w:val="0"/>
      <w:divBdr>
        <w:top w:val="none" w:sz="0" w:space="0" w:color="auto"/>
        <w:left w:val="none" w:sz="0" w:space="0" w:color="auto"/>
        <w:bottom w:val="none" w:sz="0" w:space="0" w:color="auto"/>
        <w:right w:val="none" w:sz="0" w:space="0" w:color="auto"/>
      </w:divBdr>
    </w:div>
    <w:div w:id="748309214">
      <w:bodyDiv w:val="1"/>
      <w:marLeft w:val="0"/>
      <w:marRight w:val="0"/>
      <w:marTop w:val="0"/>
      <w:marBottom w:val="0"/>
      <w:divBdr>
        <w:top w:val="none" w:sz="0" w:space="0" w:color="auto"/>
        <w:left w:val="none" w:sz="0" w:space="0" w:color="auto"/>
        <w:bottom w:val="none" w:sz="0" w:space="0" w:color="auto"/>
        <w:right w:val="none" w:sz="0" w:space="0" w:color="auto"/>
      </w:divBdr>
    </w:div>
    <w:div w:id="972097129">
      <w:bodyDiv w:val="1"/>
      <w:marLeft w:val="0"/>
      <w:marRight w:val="0"/>
      <w:marTop w:val="0"/>
      <w:marBottom w:val="0"/>
      <w:divBdr>
        <w:top w:val="none" w:sz="0" w:space="0" w:color="auto"/>
        <w:left w:val="none" w:sz="0" w:space="0" w:color="auto"/>
        <w:bottom w:val="none" w:sz="0" w:space="0" w:color="auto"/>
        <w:right w:val="none" w:sz="0" w:space="0" w:color="auto"/>
      </w:divBdr>
    </w:div>
    <w:div w:id="1044217300">
      <w:bodyDiv w:val="1"/>
      <w:marLeft w:val="0"/>
      <w:marRight w:val="0"/>
      <w:marTop w:val="0"/>
      <w:marBottom w:val="0"/>
      <w:divBdr>
        <w:top w:val="none" w:sz="0" w:space="0" w:color="auto"/>
        <w:left w:val="none" w:sz="0" w:space="0" w:color="auto"/>
        <w:bottom w:val="none" w:sz="0" w:space="0" w:color="auto"/>
        <w:right w:val="none" w:sz="0" w:space="0" w:color="auto"/>
      </w:divBdr>
    </w:div>
    <w:div w:id="1158306780">
      <w:bodyDiv w:val="1"/>
      <w:marLeft w:val="0"/>
      <w:marRight w:val="0"/>
      <w:marTop w:val="0"/>
      <w:marBottom w:val="0"/>
      <w:divBdr>
        <w:top w:val="none" w:sz="0" w:space="0" w:color="auto"/>
        <w:left w:val="none" w:sz="0" w:space="0" w:color="auto"/>
        <w:bottom w:val="none" w:sz="0" w:space="0" w:color="auto"/>
        <w:right w:val="none" w:sz="0" w:space="0" w:color="auto"/>
      </w:divBdr>
    </w:div>
    <w:div w:id="1212882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31D14-CE27-4549-8425-AD9D0E525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2</Pages>
  <Words>784</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TC/55/3</vt:lpstr>
    </vt:vector>
  </TitlesOfParts>
  <Company>UPOV</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TC/55/3</dc:title>
  <dc:creator>SANCHEZ VIZCAINO GOMEZ Rosa Maria</dc:creator>
  <cp:lastModifiedBy>MAY Jessica</cp:lastModifiedBy>
  <cp:revision>13</cp:revision>
  <cp:lastPrinted>2016-11-22T15:41:00Z</cp:lastPrinted>
  <dcterms:created xsi:type="dcterms:W3CDTF">2019-10-20T13:47:00Z</dcterms:created>
  <dcterms:modified xsi:type="dcterms:W3CDTF">2019-10-21T16:11:00Z</dcterms:modified>
</cp:coreProperties>
</file>