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603D6" w:rsidTr="00EB4E9C">
        <w:tc>
          <w:tcPr>
            <w:tcW w:w="6522" w:type="dxa"/>
          </w:tcPr>
          <w:p w:rsidR="00DC3802" w:rsidRPr="005603D6" w:rsidRDefault="00DC3802" w:rsidP="00AC2883">
            <w:r w:rsidRPr="005603D6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603D6" w:rsidRDefault="00DC3802" w:rsidP="00AC2883">
            <w:pPr>
              <w:pStyle w:val="Lettrine"/>
            </w:pPr>
            <w:r w:rsidRPr="005603D6">
              <w:t>E</w:t>
            </w:r>
          </w:p>
        </w:tc>
      </w:tr>
      <w:tr w:rsidR="00DC3802" w:rsidRPr="005603D6" w:rsidTr="00645CA8">
        <w:trPr>
          <w:trHeight w:val="219"/>
        </w:trPr>
        <w:tc>
          <w:tcPr>
            <w:tcW w:w="6522" w:type="dxa"/>
          </w:tcPr>
          <w:p w:rsidR="00DC3802" w:rsidRPr="005603D6" w:rsidRDefault="00DC3802" w:rsidP="00AC2883">
            <w:pPr>
              <w:pStyle w:val="upove"/>
            </w:pPr>
            <w:r w:rsidRPr="005603D6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5603D6" w:rsidRDefault="00DC3802" w:rsidP="00DA4973"/>
        </w:tc>
      </w:tr>
    </w:tbl>
    <w:p w:rsidR="00DC3802" w:rsidRPr="005603D6" w:rsidRDefault="00DC3802" w:rsidP="00DC3802"/>
    <w:p w:rsidR="00DA4973" w:rsidRPr="005603D6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E2C62" w:rsidTr="00EB4E9C">
        <w:tc>
          <w:tcPr>
            <w:tcW w:w="6512" w:type="dxa"/>
          </w:tcPr>
          <w:p w:rsidR="00EB4E9C" w:rsidRPr="004E2C62" w:rsidRDefault="00EB4E9C" w:rsidP="00AC2883">
            <w:pPr>
              <w:pStyle w:val="Sessiontc"/>
              <w:spacing w:line="240" w:lineRule="auto"/>
            </w:pPr>
            <w:r w:rsidRPr="004E2C62">
              <w:t>Technical Committee</w:t>
            </w:r>
          </w:p>
          <w:p w:rsidR="00EB4E9C" w:rsidRPr="004E2C62" w:rsidRDefault="00EB4E9C" w:rsidP="006D7435">
            <w:pPr>
              <w:pStyle w:val="Sessiontcplacedate"/>
              <w:rPr>
                <w:sz w:val="22"/>
              </w:rPr>
            </w:pPr>
            <w:r w:rsidRPr="004E2C62">
              <w:t>Fifty-</w:t>
            </w:r>
            <w:r w:rsidR="008B6E60" w:rsidRPr="004E2C62">
              <w:t>F</w:t>
            </w:r>
            <w:r w:rsidR="006D7435" w:rsidRPr="004E2C62">
              <w:t>ifth</w:t>
            </w:r>
            <w:r w:rsidRPr="004E2C62">
              <w:t xml:space="preserve"> Session</w:t>
            </w:r>
            <w:r w:rsidRPr="004E2C62">
              <w:br/>
              <w:t xml:space="preserve">Geneva, </w:t>
            </w:r>
            <w:r w:rsidR="008B6E60" w:rsidRPr="004E2C62">
              <w:t>October 2</w:t>
            </w:r>
            <w:r w:rsidR="006D7435" w:rsidRPr="004E2C62">
              <w:t>8</w:t>
            </w:r>
            <w:r w:rsidR="008B6E60" w:rsidRPr="004E2C62">
              <w:t xml:space="preserve"> and </w:t>
            </w:r>
            <w:r w:rsidR="006D7435" w:rsidRPr="004E2C62">
              <w:t>29, 2019</w:t>
            </w:r>
          </w:p>
        </w:tc>
        <w:tc>
          <w:tcPr>
            <w:tcW w:w="3127" w:type="dxa"/>
          </w:tcPr>
          <w:p w:rsidR="00EB4E9C" w:rsidRPr="004E2C62" w:rsidRDefault="00286099" w:rsidP="003C7FBE">
            <w:pPr>
              <w:pStyle w:val="Doccode"/>
            </w:pPr>
            <w:r w:rsidRPr="004E2C62">
              <w:t>TC/55/1 Rev.</w:t>
            </w:r>
            <w:r w:rsidR="00802224">
              <w:t xml:space="preserve"> 2</w:t>
            </w:r>
          </w:p>
          <w:p w:rsidR="00EB4E9C" w:rsidRPr="004E2C62" w:rsidRDefault="00EB4E9C" w:rsidP="003C7FBE">
            <w:pPr>
              <w:pStyle w:val="Docoriginal"/>
            </w:pPr>
            <w:r w:rsidRPr="004E2C62">
              <w:t>Original:</w:t>
            </w:r>
            <w:r w:rsidRPr="004E2C62">
              <w:rPr>
                <w:b w:val="0"/>
                <w:spacing w:val="0"/>
              </w:rPr>
              <w:t xml:space="preserve">  English</w:t>
            </w:r>
          </w:p>
          <w:p w:rsidR="00EB4E9C" w:rsidRPr="004E2C62" w:rsidRDefault="00EB4E9C" w:rsidP="00750E86">
            <w:pPr>
              <w:pStyle w:val="Docoriginal"/>
            </w:pPr>
            <w:r w:rsidRPr="004E2C62">
              <w:t>Date:</w:t>
            </w:r>
            <w:r w:rsidR="008B6E60" w:rsidRPr="004E2C62">
              <w:rPr>
                <w:b w:val="0"/>
                <w:spacing w:val="0"/>
              </w:rPr>
              <w:t xml:space="preserve">  </w:t>
            </w:r>
            <w:r w:rsidR="00311AC0" w:rsidRPr="00750E86">
              <w:rPr>
                <w:b w:val="0"/>
                <w:spacing w:val="0"/>
              </w:rPr>
              <w:t xml:space="preserve">October </w:t>
            </w:r>
            <w:r w:rsidR="00802224" w:rsidRPr="00750E86">
              <w:rPr>
                <w:b w:val="0"/>
                <w:spacing w:val="0"/>
              </w:rPr>
              <w:t>2</w:t>
            </w:r>
            <w:r w:rsidR="00750E86" w:rsidRPr="00750E86">
              <w:rPr>
                <w:b w:val="0"/>
                <w:spacing w:val="0"/>
              </w:rPr>
              <w:t>4</w:t>
            </w:r>
            <w:r w:rsidR="008B6E60" w:rsidRPr="00750E86">
              <w:rPr>
                <w:b w:val="0"/>
                <w:spacing w:val="0"/>
              </w:rPr>
              <w:t>, 201</w:t>
            </w:r>
            <w:r w:rsidR="006D7435" w:rsidRPr="00750E86">
              <w:rPr>
                <w:b w:val="0"/>
                <w:spacing w:val="0"/>
              </w:rPr>
              <w:t>9</w:t>
            </w:r>
          </w:p>
        </w:tc>
      </w:tr>
    </w:tbl>
    <w:p w:rsidR="00F648B8" w:rsidRPr="004E2C62" w:rsidRDefault="00286099" w:rsidP="00F648B8">
      <w:pPr>
        <w:pStyle w:val="Titleofdoc0"/>
      </w:pPr>
      <w:bookmarkStart w:id="0" w:name="TitleOfDoc"/>
      <w:bookmarkEnd w:id="0"/>
      <w:r w:rsidRPr="004E2C62">
        <w:t xml:space="preserve">revised </w:t>
      </w:r>
      <w:r w:rsidR="00F648B8" w:rsidRPr="004E2C62">
        <w:t>Draft Agenda</w:t>
      </w:r>
    </w:p>
    <w:p w:rsidR="00F648B8" w:rsidRPr="004E2C62" w:rsidRDefault="00F648B8" w:rsidP="00F648B8">
      <w:pPr>
        <w:pStyle w:val="preparedby1"/>
        <w:jc w:val="left"/>
      </w:pPr>
      <w:bookmarkStart w:id="1" w:name="Prepared"/>
      <w:bookmarkEnd w:id="1"/>
      <w:proofErr w:type="gramStart"/>
      <w:r w:rsidRPr="004E2C62">
        <w:t>prepared</w:t>
      </w:r>
      <w:proofErr w:type="gramEnd"/>
      <w:r w:rsidRPr="004E2C62">
        <w:t xml:space="preserve"> by the Office of the Union</w:t>
      </w:r>
    </w:p>
    <w:p w:rsidR="00F648B8" w:rsidRPr="004E2C62" w:rsidRDefault="00F648B8" w:rsidP="00F648B8">
      <w:pPr>
        <w:pStyle w:val="Disclaimer"/>
      </w:pPr>
      <w:r w:rsidRPr="004E2C62">
        <w:t>Disclaimer:  this document does not represent UPOV policies or guidance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Opening of the session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Adoption of the agenda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Report by the Vice Secretary-General on developments in UPOV </w:t>
      </w:r>
      <w:r w:rsidRPr="004E2C62">
        <w:rPr>
          <w:rFonts w:cs="Arial"/>
        </w:rPr>
        <w:t>(document TC/55/</w:t>
      </w:r>
      <w:r w:rsidR="00865B92" w:rsidRPr="004E2C62">
        <w:rPr>
          <w:rFonts w:cs="Arial"/>
        </w:rPr>
        <w:t>INF/</w:t>
      </w:r>
      <w:r w:rsidR="005603D6" w:rsidRPr="004E2C62">
        <w:rPr>
          <w:rFonts w:cs="Arial"/>
        </w:rPr>
        <w:t>8</w:t>
      </w:r>
      <w:r w:rsidRPr="004E2C62">
        <w:rPr>
          <w:rFonts w:cs="Arial"/>
        </w:rPr>
        <w:t>)</w:t>
      </w:r>
      <w:r w:rsidR="00AC1A1E" w:rsidRPr="004E2C62">
        <w:rPr>
          <w:rFonts w:cs="Arial"/>
        </w:rPr>
        <w:t xml:space="preserve"> 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C1A1E">
      <w:pPr>
        <w:ind w:left="567" w:hanging="567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</w:r>
      <w:r w:rsidRPr="004E2C62">
        <w:rPr>
          <w:spacing w:val="-2"/>
        </w:rPr>
        <w:t xml:space="preserve">Progress reports on the work of the Technical Working Parties, including the Working Group on Biochemical and Molecular Techniques, and DNA-Profiling in Particular (BMT) </w:t>
      </w:r>
      <w:r w:rsidRPr="004E2C62">
        <w:rPr>
          <w:rFonts w:cs="Arial"/>
          <w:spacing w:val="-2"/>
        </w:rPr>
        <w:t>(</w:t>
      </w:r>
      <w:r w:rsidRPr="00750E86">
        <w:rPr>
          <w:rFonts w:cs="Arial"/>
          <w:spacing w:val="-2"/>
        </w:rPr>
        <w:t>documents BMT/18/</w:t>
      </w:r>
      <w:r w:rsidR="00802224" w:rsidRPr="00750E86">
        <w:rPr>
          <w:rFonts w:cs="Arial"/>
          <w:spacing w:val="-2"/>
        </w:rPr>
        <w:t>21</w:t>
      </w:r>
      <w:r w:rsidRPr="00750E86">
        <w:rPr>
          <w:rFonts w:cs="Arial"/>
          <w:spacing w:val="-2"/>
        </w:rPr>
        <w:t>, TWA/48/</w:t>
      </w:r>
      <w:r w:rsidR="00E94A21" w:rsidRPr="00750E86">
        <w:rPr>
          <w:rFonts w:cs="Arial"/>
          <w:spacing w:val="-2"/>
        </w:rPr>
        <w:t>9</w:t>
      </w:r>
      <w:r w:rsidRPr="00750E86">
        <w:rPr>
          <w:rFonts w:cs="Arial"/>
          <w:spacing w:val="-2"/>
        </w:rPr>
        <w:t>, TWC/37/</w:t>
      </w:r>
      <w:r w:rsidR="00802224" w:rsidRPr="00750E86">
        <w:rPr>
          <w:rFonts w:cs="Arial"/>
          <w:spacing w:val="-2"/>
        </w:rPr>
        <w:t>12</w:t>
      </w:r>
      <w:r w:rsidRPr="00750E86">
        <w:rPr>
          <w:rFonts w:cs="Arial"/>
          <w:spacing w:val="-2"/>
        </w:rPr>
        <w:t>, TWF/49/12, TWF/50/</w:t>
      </w:r>
      <w:r w:rsidR="001104EF" w:rsidRPr="00750E86">
        <w:rPr>
          <w:rFonts w:cs="Arial"/>
          <w:spacing w:val="-2"/>
        </w:rPr>
        <w:t>13</w:t>
      </w:r>
      <w:r w:rsidRPr="00750E86">
        <w:rPr>
          <w:rFonts w:cs="Arial"/>
          <w:spacing w:val="-2"/>
        </w:rPr>
        <w:t>, TWO/51/12, TWV/53/</w:t>
      </w:r>
      <w:r w:rsidR="001104EF" w:rsidRPr="00750E86">
        <w:rPr>
          <w:rFonts w:cs="Arial"/>
          <w:spacing w:val="-2"/>
        </w:rPr>
        <w:t>14</w:t>
      </w:r>
      <w:r w:rsidR="00FB53D7" w:rsidRPr="00750E86">
        <w:rPr>
          <w:rFonts w:cs="Arial"/>
          <w:spacing w:val="-2"/>
        </w:rPr>
        <w:t xml:space="preserve"> Rev.</w:t>
      </w:r>
      <w:r w:rsidRPr="00750E86">
        <w:rPr>
          <w:rFonts w:cs="Arial"/>
          <w:spacing w:val="-2"/>
        </w:rPr>
        <w:t xml:space="preserve"> and oral reports by the Chairpersons)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Matters arising from the Technical Working Parties </w:t>
      </w:r>
      <w:r w:rsidRPr="004E2C62">
        <w:rPr>
          <w:rFonts w:cs="Arial"/>
        </w:rPr>
        <w:t>(document</w:t>
      </w:r>
      <w:r w:rsidR="000F3CF3" w:rsidRPr="004E2C62">
        <w:rPr>
          <w:rFonts w:cs="Arial"/>
        </w:rPr>
        <w:t>s</w:t>
      </w:r>
      <w:r w:rsidRPr="004E2C62">
        <w:rPr>
          <w:rFonts w:cs="Arial"/>
        </w:rPr>
        <w:t> TC/55/3</w:t>
      </w:r>
      <w:r w:rsidR="000F3CF3" w:rsidRPr="004E2C62">
        <w:rPr>
          <w:rFonts w:cs="Arial"/>
        </w:rPr>
        <w:t xml:space="preserve"> and TC/55/3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155D95" w:rsidRDefault="00F648B8" w:rsidP="00AA7545">
      <w:pPr>
        <w:keepLines/>
        <w:ind w:left="567" w:hanging="567"/>
        <w:jc w:val="left"/>
        <w:rPr>
          <w:rFonts w:cs="Arial"/>
          <w:snapToGrid w:val="0"/>
          <w:lang w:val="fr-CH"/>
        </w:rPr>
      </w:pPr>
      <w:r w:rsidRPr="004E2C62">
        <w:rPr>
          <w:rFonts w:cs="Arial"/>
          <w:snapToGrid w:val="0"/>
        </w:rPr>
        <w:fldChar w:fldCharType="begin"/>
      </w:r>
      <w:r w:rsidRPr="00155D95">
        <w:rPr>
          <w:rFonts w:cs="Arial"/>
          <w:snapToGrid w:val="0"/>
          <w:lang w:val="fr-CH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155D95">
        <w:rPr>
          <w:rFonts w:cs="Arial"/>
          <w:snapToGrid w:val="0"/>
          <w:lang w:val="fr-CH"/>
        </w:rPr>
        <w:tab/>
        <w:t xml:space="preserve">TGP documents </w:t>
      </w:r>
      <w:r w:rsidRPr="00155D95">
        <w:rPr>
          <w:rFonts w:cs="Arial"/>
          <w:lang w:val="fr-CH"/>
        </w:rPr>
        <w:t>(document</w:t>
      </w:r>
      <w:r w:rsidR="000F3CF3" w:rsidRPr="00155D95">
        <w:rPr>
          <w:rFonts w:cs="Arial"/>
          <w:lang w:val="fr-CH"/>
        </w:rPr>
        <w:t>s</w:t>
      </w:r>
      <w:r w:rsidRPr="00155D95">
        <w:rPr>
          <w:rFonts w:cs="Arial"/>
          <w:lang w:val="fr-CH"/>
        </w:rPr>
        <w:t> TC/55/4</w:t>
      </w:r>
      <w:r w:rsidR="000F3CF3" w:rsidRPr="00155D95">
        <w:rPr>
          <w:rFonts w:cs="Arial"/>
          <w:lang w:val="fr-CH"/>
        </w:rPr>
        <w:t xml:space="preserve"> and TC/55/4 </w:t>
      </w:r>
      <w:proofErr w:type="spellStart"/>
      <w:r w:rsidR="000F3CF3" w:rsidRPr="00155D95">
        <w:rPr>
          <w:rFonts w:cs="Arial"/>
          <w:lang w:val="fr-CH"/>
        </w:rPr>
        <w:t>Add</w:t>
      </w:r>
      <w:proofErr w:type="spellEnd"/>
      <w:r w:rsidR="000F3CF3" w:rsidRPr="00155D95">
        <w:rPr>
          <w:rFonts w:cs="Arial"/>
          <w:lang w:val="fr-CH"/>
        </w:rPr>
        <w:t>.</w:t>
      </w:r>
      <w:r w:rsidRPr="00155D95">
        <w:rPr>
          <w:rFonts w:cs="Arial"/>
          <w:lang w:val="fr-CH"/>
        </w:rPr>
        <w:t>)</w:t>
      </w:r>
    </w:p>
    <w:p w:rsidR="00F648B8" w:rsidRPr="00155D95" w:rsidRDefault="00F648B8" w:rsidP="00AA7545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fr-CH"/>
        </w:rPr>
      </w:pPr>
    </w:p>
    <w:p w:rsidR="00F648B8" w:rsidRPr="004E2C62" w:rsidRDefault="00F648B8" w:rsidP="00AA7545">
      <w:pPr>
        <w:tabs>
          <w:tab w:val="left" w:pos="567"/>
        </w:tabs>
        <w:ind w:left="567"/>
        <w:jc w:val="left"/>
        <w:rPr>
          <w:rFonts w:cs="Arial"/>
        </w:rPr>
      </w:pPr>
      <w:r w:rsidRPr="004E2C62">
        <w:rPr>
          <w:rFonts w:cs="Arial"/>
          <w:i/>
          <w:snapToGrid w:val="0"/>
        </w:rPr>
        <w:t xml:space="preserve">Revision of TGP documents </w:t>
      </w:r>
    </w:p>
    <w:p w:rsidR="00F648B8" w:rsidRPr="004E2C62" w:rsidRDefault="00F648B8" w:rsidP="00AA7545">
      <w:pPr>
        <w:ind w:left="567"/>
        <w:jc w:val="left"/>
        <w:rPr>
          <w:snapToGrid w:val="0"/>
        </w:rPr>
      </w:pPr>
    </w:p>
    <w:p w:rsidR="00F648B8" w:rsidRPr="004E2C62" w:rsidRDefault="00F648B8" w:rsidP="00AA7545">
      <w:pPr>
        <w:tabs>
          <w:tab w:val="left" w:pos="1418"/>
        </w:tabs>
        <w:ind w:left="567"/>
        <w:jc w:val="left"/>
        <w:rPr>
          <w:snapToGrid w:val="0"/>
        </w:rPr>
      </w:pPr>
      <w:r w:rsidRPr="004E2C62">
        <w:rPr>
          <w:snapToGrid w:val="0"/>
        </w:rPr>
        <w:t>TGP/7:</w:t>
      </w:r>
      <w:r w:rsidRPr="004E2C62">
        <w:rPr>
          <w:snapToGrid w:val="0"/>
        </w:rPr>
        <w:tab/>
        <w:t>Development of Test Guidelines (document TGP/7/7 Draft 1</w:t>
      </w:r>
      <w:r w:rsidR="00C81EE8" w:rsidRPr="004E2C62">
        <w:rPr>
          <w:snapToGrid w:val="0"/>
        </w:rPr>
        <w:t xml:space="preserve"> Rev.</w:t>
      </w:r>
      <w:r w:rsidRPr="004E2C62">
        <w:rPr>
          <w:snapToGrid w:val="0"/>
        </w:rPr>
        <w:t>)</w:t>
      </w:r>
    </w:p>
    <w:p w:rsidR="00F648B8" w:rsidRPr="004E2C62" w:rsidRDefault="00F648B8" w:rsidP="00AA7545">
      <w:pPr>
        <w:ind w:left="1418"/>
        <w:jc w:val="left"/>
        <w:rPr>
          <w:i/>
        </w:rPr>
      </w:pPr>
    </w:p>
    <w:p w:rsidR="00F648B8" w:rsidRPr="004E2C62" w:rsidRDefault="00F648B8" w:rsidP="00A75883">
      <w:pPr>
        <w:ind w:left="1418"/>
      </w:pPr>
      <w:proofErr w:type="gramStart"/>
      <w:r w:rsidRPr="004E2C62">
        <w:t>Characteristics which</w:t>
      </w:r>
      <w:proofErr w:type="gramEnd"/>
      <w:r w:rsidRPr="004E2C62">
        <w:t xml:space="preserve"> only apply to certain varieties </w:t>
      </w:r>
      <w:r w:rsidRPr="004E2C62">
        <w:rPr>
          <w:rFonts w:cs="Arial"/>
        </w:rPr>
        <w:t>(document</w:t>
      </w:r>
      <w:r w:rsidR="00A75883" w:rsidRPr="004E2C62">
        <w:rPr>
          <w:rFonts w:cs="Arial"/>
        </w:rPr>
        <w:t>s</w:t>
      </w:r>
      <w:r w:rsidRPr="004E2C62">
        <w:rPr>
          <w:rFonts w:cs="Arial"/>
        </w:rPr>
        <w:t> TC/55/</w:t>
      </w:r>
      <w:r w:rsidR="00865B92" w:rsidRPr="004E2C62">
        <w:rPr>
          <w:rFonts w:cs="Arial"/>
        </w:rPr>
        <w:t>12</w:t>
      </w:r>
      <w:r w:rsidR="00A75883" w:rsidRPr="004E2C62">
        <w:rPr>
          <w:rFonts w:cs="Arial"/>
        </w:rPr>
        <w:t xml:space="preserve"> and TC/55/12 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1701" w:hanging="1100"/>
        <w:jc w:val="left"/>
        <w:rPr>
          <w:rFonts w:cs="Arial"/>
        </w:rPr>
      </w:pPr>
    </w:p>
    <w:p w:rsidR="00F648B8" w:rsidRPr="004E2C62" w:rsidRDefault="00F648B8" w:rsidP="00AA7545">
      <w:pPr>
        <w:tabs>
          <w:tab w:val="left" w:pos="1418"/>
        </w:tabs>
        <w:ind w:left="1418" w:hanging="851"/>
        <w:jc w:val="left"/>
        <w:rPr>
          <w:rFonts w:cs="Arial"/>
        </w:rPr>
      </w:pPr>
      <w:r w:rsidRPr="004E2C62">
        <w:rPr>
          <w:rFonts w:cs="Arial"/>
        </w:rPr>
        <w:t>TGP/8:</w:t>
      </w:r>
      <w:r w:rsidRPr="004E2C62">
        <w:rPr>
          <w:rFonts w:cs="Arial"/>
        </w:rPr>
        <w:tab/>
      </w:r>
      <w:r w:rsidRPr="004E2C62">
        <w:rPr>
          <w:rFonts w:cs="Arial"/>
          <w:spacing w:val="-2"/>
        </w:rPr>
        <w:t>Trial Design and Techniques Used in the Examination of Distinctness, Uniformity and Stability (document TGP/8/4 Draft 1)</w:t>
      </w:r>
    </w:p>
    <w:p w:rsidR="00F648B8" w:rsidRPr="004E2C62" w:rsidRDefault="00F648B8" w:rsidP="00AA7545">
      <w:pPr>
        <w:autoSpaceDE w:val="0"/>
        <w:autoSpaceDN w:val="0"/>
        <w:adjustRightInd w:val="0"/>
        <w:ind w:left="1418"/>
        <w:jc w:val="left"/>
        <w:rPr>
          <w:rFonts w:cs="Arial"/>
          <w:i/>
          <w:iCs/>
        </w:rPr>
      </w:pPr>
    </w:p>
    <w:p w:rsidR="00F648B8" w:rsidRPr="004E2C62" w:rsidRDefault="00F648B8" w:rsidP="00AA7545">
      <w:pPr>
        <w:ind w:left="1418"/>
        <w:jc w:val="left"/>
      </w:pPr>
      <w:r w:rsidRPr="004E2C62">
        <w:rPr>
          <w:rFonts w:cs="Arial"/>
        </w:rPr>
        <w:t>Data Processing for the Assessment of Distinctness and for Producing Variety Descriptions (document</w:t>
      </w:r>
      <w:r w:rsidR="000F3CF3" w:rsidRPr="004E2C62">
        <w:rPr>
          <w:rFonts w:cs="Arial"/>
        </w:rPr>
        <w:t xml:space="preserve">s </w:t>
      </w:r>
      <w:r w:rsidRPr="004E2C62">
        <w:rPr>
          <w:rFonts w:cs="Arial"/>
        </w:rPr>
        <w:t>TC/55/</w:t>
      </w:r>
      <w:r w:rsidR="00865B92" w:rsidRPr="004E2C62">
        <w:rPr>
          <w:rFonts w:cs="Arial"/>
        </w:rPr>
        <w:t>13</w:t>
      </w:r>
      <w:r w:rsidR="000F3CF3" w:rsidRPr="004E2C62">
        <w:rPr>
          <w:rFonts w:cs="Arial"/>
        </w:rPr>
        <w:t xml:space="preserve"> and TC/55/13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2410" w:hanging="1843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tabs>
          <w:tab w:val="left" w:pos="1418"/>
        </w:tabs>
        <w:ind w:left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TGP/10:</w:t>
      </w:r>
      <w:r w:rsidRPr="004E2C62">
        <w:rPr>
          <w:rFonts w:cs="Arial"/>
          <w:snapToGrid w:val="0"/>
        </w:rPr>
        <w:tab/>
        <w:t>Examining Uniformity (document TGP/10/2 Draft 1)</w:t>
      </w:r>
    </w:p>
    <w:p w:rsidR="00F648B8" w:rsidRPr="004E2C62" w:rsidRDefault="00F648B8" w:rsidP="00AA7545">
      <w:pPr>
        <w:ind w:left="1418"/>
        <w:jc w:val="left"/>
        <w:rPr>
          <w:rFonts w:cs="Arial"/>
          <w:i/>
        </w:rPr>
      </w:pPr>
    </w:p>
    <w:p w:rsidR="00F648B8" w:rsidRPr="004E2C62" w:rsidRDefault="00F648B8" w:rsidP="00AA7545">
      <w:pPr>
        <w:keepNext/>
        <w:tabs>
          <w:tab w:val="left" w:pos="1418"/>
        </w:tabs>
        <w:ind w:left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TGP/14:</w:t>
      </w:r>
      <w:r w:rsidRPr="004E2C62">
        <w:rPr>
          <w:rFonts w:cs="Arial"/>
          <w:snapToGrid w:val="0"/>
        </w:rPr>
        <w:tab/>
        <w:t>Glossary of Terms Used in UPOV Documents (document TGP/14/4 Draft 1)</w:t>
      </w:r>
    </w:p>
    <w:p w:rsidR="00F648B8" w:rsidRPr="004E2C62" w:rsidRDefault="00F648B8" w:rsidP="00AA7545">
      <w:pPr>
        <w:keepNext/>
        <w:ind w:left="1418"/>
        <w:jc w:val="left"/>
        <w:rPr>
          <w:rFonts w:cs="Arial"/>
        </w:rPr>
      </w:pPr>
    </w:p>
    <w:p w:rsidR="00F648B8" w:rsidRPr="004E2C62" w:rsidRDefault="00F648B8" w:rsidP="00AA7545">
      <w:pPr>
        <w:ind w:left="1418"/>
        <w:jc w:val="left"/>
        <w:rPr>
          <w:rFonts w:cs="Arial"/>
          <w:snapToGrid w:val="0"/>
        </w:rPr>
      </w:pPr>
      <w:r w:rsidRPr="004E2C62">
        <w:t xml:space="preserve">Color names for the RHS </w:t>
      </w:r>
      <w:proofErr w:type="spellStart"/>
      <w:r w:rsidRPr="004E2C62">
        <w:t>Colour</w:t>
      </w:r>
      <w:proofErr w:type="spellEnd"/>
      <w:r w:rsidRPr="004E2C62">
        <w:t xml:space="preserve"> Chart </w:t>
      </w:r>
      <w:r w:rsidRPr="004E2C62">
        <w:rPr>
          <w:rFonts w:cs="Arial"/>
        </w:rPr>
        <w:t>(document TC/55/</w:t>
      </w:r>
      <w:r w:rsidR="00865B92" w:rsidRPr="004E2C62">
        <w:rPr>
          <w:rFonts w:cs="Arial"/>
        </w:rPr>
        <w:t>14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jc w:val="left"/>
      </w:pPr>
    </w:p>
    <w:p w:rsidR="00F648B8" w:rsidRPr="004E2C62" w:rsidRDefault="00F648B8" w:rsidP="00AA7545">
      <w:pPr>
        <w:keepNext/>
        <w:tabs>
          <w:tab w:val="left" w:pos="1418"/>
        </w:tabs>
        <w:ind w:left="1418" w:hanging="851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TGP/15:</w:t>
      </w:r>
      <w:r w:rsidRPr="004E2C62">
        <w:rPr>
          <w:rFonts w:cs="Arial"/>
          <w:snapToGrid w:val="0"/>
        </w:rPr>
        <w:tab/>
        <w:t>Guidance on the Use of Biochemical and Molecular Markers in the Examination of Distinctness, Uniformity and Stability (DUS) (document TGP/15/2 Draft 2)</w:t>
      </w:r>
    </w:p>
    <w:p w:rsidR="00F648B8" w:rsidRPr="004E2C62" w:rsidRDefault="00F648B8" w:rsidP="00AA7545">
      <w:pPr>
        <w:keepNext/>
        <w:ind w:left="1418"/>
        <w:jc w:val="left"/>
        <w:rPr>
          <w:rFonts w:cs="Arial"/>
        </w:rPr>
      </w:pPr>
    </w:p>
    <w:p w:rsidR="00F648B8" w:rsidRPr="004E2C62" w:rsidRDefault="00F648B8" w:rsidP="00AA7545">
      <w:pPr>
        <w:ind w:left="1418"/>
        <w:jc w:val="left"/>
        <w:rPr>
          <w:rFonts w:cs="Arial"/>
          <w:snapToGrid w:val="0"/>
        </w:rPr>
      </w:pPr>
      <w:r w:rsidRPr="004E2C62">
        <w:t xml:space="preserve">New example: Characteristic-specific marker with incomplete information on state of expression </w:t>
      </w:r>
      <w:r w:rsidRPr="004E2C62">
        <w:rPr>
          <w:rFonts w:cs="Arial"/>
        </w:rPr>
        <w:t>(document</w:t>
      </w:r>
      <w:r w:rsidR="00BF46DF" w:rsidRPr="004E2C62">
        <w:rPr>
          <w:rFonts w:cs="Arial"/>
        </w:rPr>
        <w:t>s</w:t>
      </w:r>
      <w:r w:rsidRPr="004E2C62">
        <w:rPr>
          <w:rFonts w:cs="Arial"/>
        </w:rPr>
        <w:t> TC/55/</w:t>
      </w:r>
      <w:r w:rsidR="00865B92" w:rsidRPr="004E2C62">
        <w:rPr>
          <w:rFonts w:cs="Arial"/>
        </w:rPr>
        <w:t>15</w:t>
      </w:r>
      <w:r w:rsidR="000F3CF3" w:rsidRPr="004E2C62">
        <w:rPr>
          <w:rFonts w:cs="Arial"/>
        </w:rPr>
        <w:t>,</w:t>
      </w:r>
      <w:r w:rsidR="00BF46DF" w:rsidRPr="004E2C62">
        <w:rPr>
          <w:rFonts w:cs="Arial"/>
        </w:rPr>
        <w:t xml:space="preserve"> TC/55/15 Add.</w:t>
      </w:r>
      <w:r w:rsidR="000F3CF3" w:rsidRPr="004E2C62">
        <w:rPr>
          <w:rFonts w:cs="Arial"/>
        </w:rPr>
        <w:t xml:space="preserve"> and TC/55/15 Add.2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jc w:val="left"/>
      </w:pPr>
    </w:p>
    <w:p w:rsidR="005848D2" w:rsidRPr="004E2C62" w:rsidRDefault="00F648B8" w:rsidP="005848D2">
      <w:pPr>
        <w:ind w:left="567" w:hanging="567"/>
        <w:rPr>
          <w:rFonts w:cs="Arial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UPOV information databases </w:t>
      </w:r>
      <w:r w:rsidRPr="004E2C62">
        <w:rPr>
          <w:rFonts w:cs="Arial"/>
        </w:rPr>
        <w:t>(document</w:t>
      </w:r>
      <w:r w:rsidR="00B857DF" w:rsidRPr="004E2C62">
        <w:rPr>
          <w:rFonts w:cs="Arial"/>
        </w:rPr>
        <w:t>s</w:t>
      </w:r>
      <w:r w:rsidRPr="004E2C62">
        <w:rPr>
          <w:rFonts w:cs="Arial"/>
        </w:rPr>
        <w:t> TC/55/5</w:t>
      </w:r>
      <w:r w:rsidR="005848D2" w:rsidRPr="004E2C62">
        <w:rPr>
          <w:rFonts w:cs="Arial"/>
        </w:rPr>
        <w:t xml:space="preserve"> and TC/55/5 Add.) </w:t>
      </w:r>
    </w:p>
    <w:p w:rsidR="005848D2" w:rsidRPr="004E2C62" w:rsidRDefault="005848D2" w:rsidP="005848D2">
      <w:pPr>
        <w:ind w:left="567" w:hanging="567"/>
      </w:pPr>
    </w:p>
    <w:p w:rsidR="00F648B8" w:rsidRPr="004E2C62" w:rsidRDefault="00F648B8" w:rsidP="00AA7545">
      <w:pPr>
        <w:keepNext/>
        <w:jc w:val="left"/>
      </w:pPr>
      <w:r w:rsidRPr="004E2C62">
        <w:rPr>
          <w:rFonts w:cs="Arial"/>
          <w:snapToGrid w:val="0"/>
        </w:rPr>
        <w:lastRenderedPageBreak/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</w:r>
      <w:r w:rsidRPr="004E2C62">
        <w:rPr>
          <w:snapToGrid w:val="0"/>
        </w:rPr>
        <w:t xml:space="preserve">Exchange and use of software and equipment </w:t>
      </w:r>
      <w:r w:rsidRPr="004E2C62">
        <w:t>(document TC/55/6)</w:t>
      </w:r>
    </w:p>
    <w:p w:rsidR="00F648B8" w:rsidRPr="004E2C62" w:rsidRDefault="00F648B8" w:rsidP="00AA7545">
      <w:pPr>
        <w:keepNext/>
        <w:ind w:left="567"/>
        <w:jc w:val="left"/>
      </w:pPr>
    </w:p>
    <w:p w:rsidR="00F648B8" w:rsidRPr="004E2C62" w:rsidRDefault="00F648B8" w:rsidP="00AA7545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4E2C62">
        <w:rPr>
          <w:bCs/>
          <w:snapToGrid w:val="0"/>
          <w:szCs w:val="24"/>
        </w:rPr>
        <w:t>UPOV/INF/22</w:t>
      </w:r>
      <w:r w:rsidRPr="004E2C62">
        <w:rPr>
          <w:bCs/>
          <w:snapToGrid w:val="0"/>
          <w:szCs w:val="24"/>
        </w:rPr>
        <w:tab/>
      </w:r>
      <w:r w:rsidRPr="004E2C62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4E2C62">
        <w:rPr>
          <w:bCs/>
          <w:snapToGrid w:val="0"/>
          <w:spacing w:val="-4"/>
          <w:szCs w:val="24"/>
        </w:rPr>
        <w:br/>
        <w:t>(document UPOV/INF/22/6 Draft 1)</w:t>
      </w:r>
    </w:p>
    <w:p w:rsidR="00F648B8" w:rsidRPr="004E2C62" w:rsidRDefault="00F648B8" w:rsidP="00AA7545">
      <w:pPr>
        <w:ind w:left="567" w:hanging="567"/>
        <w:jc w:val="left"/>
      </w:pPr>
    </w:p>
    <w:p w:rsidR="00F648B8" w:rsidRPr="004E2C62" w:rsidRDefault="00F648B8" w:rsidP="00AA7545">
      <w:pPr>
        <w:tabs>
          <w:tab w:val="left" w:pos="5812"/>
        </w:tabs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Molecular techniques </w:t>
      </w:r>
      <w:r w:rsidRPr="004E2C62">
        <w:rPr>
          <w:rFonts w:cs="Arial"/>
        </w:rPr>
        <w:t>(document</w:t>
      </w:r>
      <w:r w:rsidR="00432475" w:rsidRPr="004E2C62">
        <w:rPr>
          <w:rFonts w:cs="Arial"/>
        </w:rPr>
        <w:t>s</w:t>
      </w:r>
      <w:r w:rsidRPr="004E2C62">
        <w:rPr>
          <w:rFonts w:cs="Arial"/>
        </w:rPr>
        <w:t> TC/55/7</w:t>
      </w:r>
      <w:r w:rsidR="009730D9" w:rsidRPr="004E2C62">
        <w:rPr>
          <w:rFonts w:cs="Arial"/>
        </w:rPr>
        <w:t>,</w:t>
      </w:r>
      <w:r w:rsidR="00432475" w:rsidRPr="004E2C62">
        <w:rPr>
          <w:rFonts w:cs="Arial"/>
        </w:rPr>
        <w:t xml:space="preserve"> TC/55/7 Add.</w:t>
      </w:r>
      <w:r w:rsidR="009730D9" w:rsidRPr="004E2C62">
        <w:rPr>
          <w:rFonts w:cs="Arial"/>
        </w:rPr>
        <w:t xml:space="preserve"> and TC/55/7 Add.2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567" w:hanging="567"/>
        <w:jc w:val="left"/>
      </w:pPr>
    </w:p>
    <w:p w:rsidR="00F648B8" w:rsidRPr="004E2C62" w:rsidRDefault="00F648B8" w:rsidP="00432475">
      <w:pPr>
        <w:tabs>
          <w:tab w:val="left" w:pos="5812"/>
        </w:tabs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Variety denominations </w:t>
      </w:r>
      <w:r w:rsidRPr="004E2C62">
        <w:rPr>
          <w:rFonts w:cs="Arial"/>
        </w:rPr>
        <w:t>(</w:t>
      </w:r>
      <w:r w:rsidR="00432475" w:rsidRPr="004E2C62">
        <w:rPr>
          <w:rFonts w:cs="Arial"/>
        </w:rPr>
        <w:t>documents TC/55/8 and TC/55/8 Add.)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Preparatory workshops </w:t>
      </w:r>
      <w:r w:rsidRPr="004E2C62">
        <w:rPr>
          <w:rFonts w:cs="Arial"/>
        </w:rPr>
        <w:t>(document TC/55/9)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750E86" w:rsidRDefault="00F648B8" w:rsidP="00AA7545">
      <w:pPr>
        <w:ind w:left="567" w:hanging="567"/>
        <w:jc w:val="left"/>
        <w:rPr>
          <w:rFonts w:cs="Arial"/>
        </w:rPr>
      </w:pPr>
      <w:r w:rsidRPr="00750E86">
        <w:fldChar w:fldCharType="begin"/>
      </w:r>
      <w:r w:rsidRPr="00750E86">
        <w:instrText xml:space="preserve"> AUTONUM  </w:instrText>
      </w:r>
      <w:r w:rsidRPr="00750E86">
        <w:fldChar w:fldCharType="end"/>
      </w:r>
      <w:r w:rsidRPr="00750E86">
        <w:tab/>
      </w:r>
      <w:r w:rsidR="004559F2" w:rsidRPr="00750E86">
        <w:t xml:space="preserve">International cooperation in examination </w:t>
      </w:r>
      <w:r w:rsidR="004559F2" w:rsidRPr="00750E86">
        <w:rPr>
          <w:rFonts w:cs="Arial"/>
        </w:rPr>
        <w:t>(documents TC/55/10 and TC/55/10 Add.)</w:t>
      </w:r>
    </w:p>
    <w:p w:rsidR="00F648B8" w:rsidRPr="00750E86" w:rsidRDefault="00F648B8" w:rsidP="00AA7545">
      <w:pPr>
        <w:ind w:left="567" w:hanging="567"/>
        <w:jc w:val="left"/>
      </w:pPr>
    </w:p>
    <w:p w:rsidR="00F648B8" w:rsidRPr="00750E86" w:rsidRDefault="00F648B8" w:rsidP="00AA7545">
      <w:pPr>
        <w:ind w:left="567" w:hanging="567"/>
        <w:jc w:val="left"/>
      </w:pPr>
      <w:r w:rsidRPr="00750E86">
        <w:fldChar w:fldCharType="begin"/>
      </w:r>
      <w:r w:rsidRPr="00750E86">
        <w:instrText xml:space="preserve"> AUTONUM  </w:instrText>
      </w:r>
      <w:r w:rsidRPr="00750E86">
        <w:fldChar w:fldCharType="end"/>
      </w:r>
      <w:r w:rsidRPr="00750E86">
        <w:tab/>
        <w:t>Matters concerning variety descriptions (document TC/55/11)</w:t>
      </w:r>
    </w:p>
    <w:p w:rsidR="00E94A21" w:rsidRPr="00750E86" w:rsidRDefault="00E94A21" w:rsidP="00AA7545">
      <w:pPr>
        <w:ind w:left="567" w:hanging="567"/>
        <w:jc w:val="left"/>
      </w:pPr>
    </w:p>
    <w:p w:rsidR="00E94A21" w:rsidRPr="00750E86" w:rsidRDefault="00E94A21" w:rsidP="004E2C62">
      <w:pPr>
        <w:ind w:left="567" w:hanging="567"/>
        <w:jc w:val="left"/>
      </w:pPr>
      <w:r w:rsidRPr="00750E86">
        <w:fldChar w:fldCharType="begin"/>
      </w:r>
      <w:r w:rsidRPr="00750E86">
        <w:instrText xml:space="preserve"> AUTONUM  </w:instrText>
      </w:r>
      <w:r w:rsidRPr="00750E86">
        <w:fldChar w:fldCharType="end"/>
      </w:r>
      <w:r w:rsidRPr="00750E86">
        <w:tab/>
      </w:r>
      <w:r w:rsidR="00C35A6F" w:rsidRPr="00750E86">
        <w:t>Increasing participation of new members of the Union in the work of the</w:t>
      </w:r>
      <w:r w:rsidRPr="00750E86">
        <w:t xml:space="preserve"> TC and TWP</w:t>
      </w:r>
      <w:r w:rsidR="00C35A6F" w:rsidRPr="00750E86">
        <w:t>s</w:t>
      </w:r>
      <w:r w:rsidRPr="00750E86">
        <w:t xml:space="preserve"> </w:t>
      </w:r>
      <w:r w:rsidR="00D437F7" w:rsidRPr="00750E86">
        <w:t>(document</w:t>
      </w:r>
      <w:r w:rsidR="00C35A6F" w:rsidRPr="00750E86">
        <w:t> </w:t>
      </w:r>
      <w:r w:rsidR="00D437F7" w:rsidRPr="00750E86">
        <w:t>TC/55/</w:t>
      </w:r>
      <w:r w:rsidR="00DF500A" w:rsidRPr="00750E86">
        <w:t>24</w:t>
      </w:r>
      <w:r w:rsidR="00D437F7" w:rsidRPr="00750E86">
        <w:t>)</w:t>
      </w:r>
      <w:r w:rsidRPr="00750E86">
        <w:t xml:space="preserve"> </w:t>
      </w:r>
    </w:p>
    <w:p w:rsidR="00F648B8" w:rsidRPr="00750E86" w:rsidRDefault="00F648B8" w:rsidP="00AA7545">
      <w:pPr>
        <w:ind w:left="567" w:hanging="567"/>
        <w:jc w:val="left"/>
      </w:pPr>
    </w:p>
    <w:p w:rsidR="00BC658D" w:rsidRPr="00750E86" w:rsidRDefault="00F648B8" w:rsidP="00AA7545">
      <w:pPr>
        <w:tabs>
          <w:tab w:val="left" w:pos="5812"/>
        </w:tabs>
        <w:ind w:left="567" w:hanging="567"/>
        <w:jc w:val="left"/>
      </w:pPr>
      <w:r w:rsidRPr="00750E86">
        <w:fldChar w:fldCharType="begin"/>
      </w:r>
      <w:r w:rsidRPr="00750E86">
        <w:instrText xml:space="preserve"> AUTONUM  </w:instrText>
      </w:r>
      <w:r w:rsidRPr="00750E86">
        <w:fldChar w:fldCharType="end"/>
      </w:r>
      <w:r w:rsidRPr="00750E86">
        <w:tab/>
        <w:t>Discussion on</w:t>
      </w:r>
      <w:r w:rsidR="00BC658D" w:rsidRPr="00750E86">
        <w:t>:</w:t>
      </w:r>
    </w:p>
    <w:p w:rsidR="00BC658D" w:rsidRPr="00750E86" w:rsidRDefault="00BC658D" w:rsidP="00AA7545">
      <w:pPr>
        <w:tabs>
          <w:tab w:val="left" w:pos="5812"/>
        </w:tabs>
        <w:ind w:left="567" w:hanging="567"/>
        <w:jc w:val="left"/>
      </w:pPr>
    </w:p>
    <w:p w:rsidR="00BC658D" w:rsidRPr="00750E86" w:rsidRDefault="00BC658D" w:rsidP="00BC658D">
      <w:pPr>
        <w:ind w:left="1134" w:hanging="567"/>
        <w:jc w:val="left"/>
      </w:pPr>
      <w:r w:rsidRPr="00750E86">
        <w:t>(a)</w:t>
      </w:r>
      <w:r w:rsidRPr="00750E86">
        <w:tab/>
        <w:t>Minimum distance between varieties</w:t>
      </w:r>
    </w:p>
    <w:p w:rsidR="00BC658D" w:rsidRPr="00750E86" w:rsidRDefault="00BC658D" w:rsidP="00BC658D">
      <w:pPr>
        <w:ind w:left="1134" w:hanging="567"/>
        <w:jc w:val="left"/>
      </w:pPr>
    </w:p>
    <w:p w:rsidR="00BC658D" w:rsidRPr="00750E86" w:rsidRDefault="00BC658D" w:rsidP="00BC658D">
      <w:pPr>
        <w:ind w:left="1134" w:hanging="567"/>
        <w:jc w:val="left"/>
      </w:pPr>
      <w:r w:rsidRPr="00750E86">
        <w:t>(b)</w:t>
      </w:r>
      <w:r w:rsidRPr="00750E86">
        <w:tab/>
        <w:t>Role of DUS characteristics in enforcement of plant breeders’ rights</w:t>
      </w:r>
    </w:p>
    <w:p w:rsidR="00F648B8" w:rsidRPr="00750E86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C25F0E" w:rsidRPr="00750E86" w:rsidRDefault="00F648B8" w:rsidP="004E2C62">
      <w:pPr>
        <w:ind w:left="567" w:hanging="567"/>
        <w:jc w:val="left"/>
      </w:pPr>
      <w:r w:rsidRPr="00750E86">
        <w:rPr>
          <w:rFonts w:cs="Arial"/>
          <w:snapToGrid w:val="0"/>
        </w:rPr>
        <w:fldChar w:fldCharType="begin"/>
      </w:r>
      <w:r w:rsidRPr="00750E86">
        <w:rPr>
          <w:rFonts w:cs="Arial"/>
          <w:snapToGrid w:val="0"/>
        </w:rPr>
        <w:instrText xml:space="preserve"> AUTONUM  </w:instrText>
      </w:r>
      <w:r w:rsidRPr="00750E86">
        <w:rPr>
          <w:rFonts w:cs="Arial"/>
          <w:snapToGrid w:val="0"/>
        </w:rPr>
        <w:fldChar w:fldCharType="end"/>
      </w:r>
      <w:r w:rsidRPr="00750E86">
        <w:rPr>
          <w:rFonts w:cs="Arial"/>
          <w:snapToGrid w:val="0"/>
        </w:rPr>
        <w:tab/>
        <w:t xml:space="preserve">Test Guidelines </w:t>
      </w:r>
      <w:r w:rsidRPr="00750E86">
        <w:t>(</w:t>
      </w:r>
      <w:r w:rsidR="002B0CDF" w:rsidRPr="00750E86">
        <w:t>documents TC/55/</w:t>
      </w:r>
      <w:r w:rsidRPr="00750E86">
        <w:t>2</w:t>
      </w:r>
      <w:r w:rsidR="00F91818" w:rsidRPr="00750E86">
        <w:t>, TC/55/16, TC/55/17, TC/55/18, TC/55/19, TC/55/20</w:t>
      </w:r>
      <w:r w:rsidR="004E2C62" w:rsidRPr="00750E86">
        <w:t>,</w:t>
      </w:r>
      <w:r w:rsidR="00F91818" w:rsidRPr="00750E86">
        <w:t xml:space="preserve"> TC/55/21</w:t>
      </w:r>
      <w:r w:rsidR="00EA2834" w:rsidRPr="00750E86">
        <w:t>, TC/55/22 and TC/55/23</w:t>
      </w:r>
      <w:r w:rsidRPr="00750E86">
        <w:t>)</w:t>
      </w:r>
      <w:r w:rsidR="00825289" w:rsidRPr="00750E86">
        <w:t xml:space="preserve"> </w:t>
      </w:r>
    </w:p>
    <w:p w:rsidR="00F648B8" w:rsidRPr="00750E86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750E86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750E86">
        <w:rPr>
          <w:rFonts w:cs="Arial"/>
          <w:snapToGrid w:val="0"/>
        </w:rPr>
        <w:fldChar w:fldCharType="begin"/>
      </w:r>
      <w:r w:rsidRPr="00750E86">
        <w:rPr>
          <w:rFonts w:cs="Arial"/>
          <w:snapToGrid w:val="0"/>
        </w:rPr>
        <w:instrText xml:space="preserve"> AUTONUM  </w:instrText>
      </w:r>
      <w:r w:rsidRPr="00750E86">
        <w:rPr>
          <w:rFonts w:cs="Arial"/>
          <w:snapToGrid w:val="0"/>
        </w:rPr>
        <w:fldChar w:fldCharType="end"/>
      </w:r>
      <w:r w:rsidRPr="00750E86">
        <w:rPr>
          <w:rFonts w:cs="Arial"/>
          <w:snapToGrid w:val="0"/>
        </w:rPr>
        <w:tab/>
        <w:t>Matters for information</w:t>
      </w:r>
      <w:r w:rsidRPr="00750E86">
        <w:rPr>
          <w:rStyle w:val="FootnoteReference"/>
        </w:rPr>
        <w:footnoteReference w:customMarkFollows="1" w:id="2"/>
        <w:t>*</w:t>
      </w:r>
      <w:r w:rsidRPr="00750E86">
        <w:rPr>
          <w:rFonts w:cs="Arial"/>
          <w:snapToGrid w:val="0"/>
        </w:rPr>
        <w:t xml:space="preserve">: </w:t>
      </w:r>
    </w:p>
    <w:p w:rsidR="00F648B8" w:rsidRPr="00750E86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750E86" w:rsidRDefault="00F648B8" w:rsidP="00AA7545">
      <w:pPr>
        <w:ind w:left="1134" w:hanging="567"/>
        <w:jc w:val="left"/>
        <w:rPr>
          <w:rFonts w:cs="Arial"/>
          <w:snapToGrid w:val="0"/>
        </w:rPr>
      </w:pPr>
      <w:r w:rsidRPr="00750E86">
        <w:rPr>
          <w:rFonts w:cs="Arial"/>
          <w:snapToGrid w:val="0"/>
        </w:rPr>
        <w:t>(a)</w:t>
      </w:r>
      <w:r w:rsidRPr="00750E86">
        <w:rPr>
          <w:rFonts w:cs="Arial"/>
          <w:snapToGrid w:val="0"/>
        </w:rPr>
        <w:tab/>
        <w:t xml:space="preserve">List of genera and species for which authorities have practical experience in the examination of distinctness, uniformity and stability </w:t>
      </w:r>
      <w:r w:rsidRPr="00750E86">
        <w:rPr>
          <w:rFonts w:cs="Arial"/>
        </w:rPr>
        <w:t>(document TC/55/INF/4)</w:t>
      </w:r>
    </w:p>
    <w:p w:rsidR="00F648B8" w:rsidRPr="00750E86" w:rsidRDefault="00F648B8" w:rsidP="00AA7545">
      <w:pPr>
        <w:ind w:left="1134" w:hanging="567"/>
        <w:jc w:val="left"/>
        <w:rPr>
          <w:rFonts w:cs="Arial"/>
          <w:snapToGrid w:val="0"/>
        </w:rPr>
      </w:pPr>
    </w:p>
    <w:p w:rsidR="00F648B8" w:rsidRPr="00750E86" w:rsidRDefault="00F648B8" w:rsidP="00AA7545">
      <w:pPr>
        <w:ind w:left="1134" w:hanging="567"/>
        <w:jc w:val="left"/>
        <w:rPr>
          <w:lang w:val="fr-CH"/>
        </w:rPr>
      </w:pPr>
      <w:r w:rsidRPr="00750E86">
        <w:rPr>
          <w:rFonts w:cs="Arial"/>
          <w:snapToGrid w:val="0"/>
          <w:lang w:val="fr-CH"/>
        </w:rPr>
        <w:t>(b)</w:t>
      </w:r>
      <w:r w:rsidRPr="00750E86">
        <w:rPr>
          <w:rFonts w:cs="Arial"/>
          <w:snapToGrid w:val="0"/>
          <w:lang w:val="fr-CH"/>
        </w:rPr>
        <w:tab/>
        <w:t xml:space="preserve">UPOV information </w:t>
      </w:r>
      <w:proofErr w:type="spellStart"/>
      <w:r w:rsidRPr="00750E86">
        <w:rPr>
          <w:rFonts w:cs="Arial"/>
          <w:snapToGrid w:val="0"/>
          <w:lang w:val="fr-CH"/>
        </w:rPr>
        <w:t>databases</w:t>
      </w:r>
      <w:proofErr w:type="spellEnd"/>
      <w:r w:rsidRPr="00750E86">
        <w:rPr>
          <w:rFonts w:cs="Arial"/>
          <w:snapToGrid w:val="0"/>
          <w:lang w:val="fr-CH"/>
        </w:rPr>
        <w:t xml:space="preserve"> </w:t>
      </w:r>
      <w:r w:rsidRPr="00750E86">
        <w:rPr>
          <w:rFonts w:cs="Arial"/>
          <w:lang w:val="fr-CH"/>
        </w:rPr>
        <w:t>(document TC/55/INF/2)</w:t>
      </w:r>
    </w:p>
    <w:p w:rsidR="00F648B8" w:rsidRPr="00750E86" w:rsidRDefault="00F648B8" w:rsidP="00AA7545">
      <w:pPr>
        <w:ind w:left="1134" w:hanging="567"/>
        <w:jc w:val="left"/>
        <w:rPr>
          <w:rFonts w:cs="Arial"/>
          <w:snapToGrid w:val="0"/>
          <w:lang w:val="fr-CH"/>
        </w:rPr>
      </w:pPr>
    </w:p>
    <w:p w:rsidR="00F648B8" w:rsidRPr="00750E86" w:rsidRDefault="00F648B8" w:rsidP="00AA7545">
      <w:pPr>
        <w:tabs>
          <w:tab w:val="left" w:pos="5812"/>
        </w:tabs>
        <w:ind w:left="1134" w:hanging="567"/>
        <w:jc w:val="left"/>
        <w:rPr>
          <w:lang w:val="fr-CH"/>
        </w:rPr>
      </w:pPr>
      <w:r w:rsidRPr="00750E86">
        <w:rPr>
          <w:rFonts w:cs="Arial"/>
          <w:snapToGrid w:val="0"/>
          <w:lang w:val="fr-CH"/>
        </w:rPr>
        <w:t>(c)</w:t>
      </w:r>
      <w:r w:rsidRPr="00750E86">
        <w:rPr>
          <w:rFonts w:cs="Arial"/>
          <w:snapToGrid w:val="0"/>
          <w:lang w:val="fr-CH"/>
        </w:rPr>
        <w:tab/>
      </w:r>
      <w:proofErr w:type="spellStart"/>
      <w:r w:rsidRPr="00750E86">
        <w:rPr>
          <w:rFonts w:cs="Arial"/>
          <w:snapToGrid w:val="0"/>
          <w:lang w:val="fr-CH"/>
        </w:rPr>
        <w:t>Variety</w:t>
      </w:r>
      <w:proofErr w:type="spellEnd"/>
      <w:r w:rsidRPr="00750E86">
        <w:rPr>
          <w:rFonts w:cs="Arial"/>
          <w:snapToGrid w:val="0"/>
          <w:lang w:val="fr-CH"/>
        </w:rPr>
        <w:t xml:space="preserve"> description </w:t>
      </w:r>
      <w:proofErr w:type="spellStart"/>
      <w:r w:rsidRPr="00750E86">
        <w:rPr>
          <w:rFonts w:cs="Arial"/>
          <w:snapToGrid w:val="0"/>
          <w:lang w:val="fr-CH"/>
        </w:rPr>
        <w:t>databases</w:t>
      </w:r>
      <w:proofErr w:type="spellEnd"/>
      <w:r w:rsidRPr="00750E86">
        <w:rPr>
          <w:rFonts w:cs="Arial"/>
          <w:snapToGrid w:val="0"/>
          <w:lang w:val="fr-CH"/>
        </w:rPr>
        <w:t xml:space="preserve"> </w:t>
      </w:r>
      <w:r w:rsidRPr="00750E86">
        <w:rPr>
          <w:rFonts w:cs="Arial"/>
          <w:lang w:val="fr-CH"/>
        </w:rPr>
        <w:t>(document TC/55/INF/3)</w:t>
      </w:r>
      <w:bookmarkStart w:id="2" w:name="_GoBack"/>
      <w:bookmarkEnd w:id="2"/>
    </w:p>
    <w:p w:rsidR="00F648B8" w:rsidRPr="00750E86" w:rsidRDefault="00F648B8" w:rsidP="00AA7545">
      <w:pPr>
        <w:tabs>
          <w:tab w:val="left" w:pos="5812"/>
        </w:tabs>
        <w:ind w:left="1134" w:hanging="567"/>
        <w:jc w:val="left"/>
        <w:rPr>
          <w:lang w:val="fr-CH"/>
        </w:rPr>
      </w:pPr>
    </w:p>
    <w:p w:rsidR="00F648B8" w:rsidRPr="00155D95" w:rsidRDefault="00F648B8" w:rsidP="00AA7545">
      <w:pPr>
        <w:tabs>
          <w:tab w:val="left" w:pos="5812"/>
        </w:tabs>
        <w:ind w:left="1134" w:hanging="567"/>
        <w:jc w:val="left"/>
        <w:rPr>
          <w:lang w:val="fr-CH"/>
        </w:rPr>
      </w:pPr>
      <w:r w:rsidRPr="00155D95">
        <w:rPr>
          <w:rFonts w:cs="Arial"/>
          <w:snapToGrid w:val="0"/>
          <w:lang w:val="fr-CH"/>
        </w:rPr>
        <w:t>(d)</w:t>
      </w:r>
      <w:r w:rsidRPr="00155D95">
        <w:rPr>
          <w:rFonts w:cs="Arial"/>
          <w:snapToGrid w:val="0"/>
          <w:lang w:val="fr-CH"/>
        </w:rPr>
        <w:tab/>
        <w:t xml:space="preserve">UPOV PRISMA </w:t>
      </w:r>
      <w:r w:rsidRPr="00155D95">
        <w:rPr>
          <w:rFonts w:cs="Arial"/>
          <w:lang w:val="fr-CH"/>
        </w:rPr>
        <w:t>(document TC/55/INF/5)</w:t>
      </w:r>
    </w:p>
    <w:p w:rsidR="00F648B8" w:rsidRPr="00155D95" w:rsidRDefault="00F648B8" w:rsidP="00AA7545">
      <w:pPr>
        <w:tabs>
          <w:tab w:val="left" w:pos="5812"/>
        </w:tabs>
        <w:ind w:left="1134" w:hanging="567"/>
        <w:jc w:val="left"/>
        <w:rPr>
          <w:lang w:val="fr-CH"/>
        </w:rPr>
      </w:pPr>
    </w:p>
    <w:p w:rsidR="005603D6" w:rsidRPr="00155D95" w:rsidRDefault="005603D6" w:rsidP="00AA7545">
      <w:pPr>
        <w:tabs>
          <w:tab w:val="left" w:pos="5812"/>
        </w:tabs>
        <w:ind w:left="1134" w:hanging="567"/>
        <w:jc w:val="left"/>
        <w:rPr>
          <w:lang w:val="fr-CH"/>
        </w:rPr>
      </w:pPr>
      <w:r w:rsidRPr="00155D95">
        <w:rPr>
          <w:rFonts w:cs="Arial"/>
          <w:snapToGrid w:val="0"/>
          <w:lang w:val="fr-CH"/>
        </w:rPr>
        <w:t>(e)</w:t>
      </w:r>
      <w:r w:rsidRPr="00155D95">
        <w:rPr>
          <w:rFonts w:cs="Arial"/>
          <w:snapToGrid w:val="0"/>
          <w:lang w:val="fr-CH"/>
        </w:rPr>
        <w:tab/>
      </w:r>
      <w:proofErr w:type="spellStart"/>
      <w:r w:rsidRPr="00155D95">
        <w:rPr>
          <w:rFonts w:cs="Arial"/>
          <w:snapToGrid w:val="0"/>
          <w:lang w:val="fr-CH"/>
        </w:rPr>
        <w:t>Molecular</w:t>
      </w:r>
      <w:proofErr w:type="spellEnd"/>
      <w:r w:rsidRPr="00155D95">
        <w:rPr>
          <w:rFonts w:cs="Arial"/>
          <w:snapToGrid w:val="0"/>
          <w:lang w:val="fr-CH"/>
        </w:rPr>
        <w:t xml:space="preserve"> techniques </w:t>
      </w:r>
      <w:r w:rsidRPr="00155D95">
        <w:rPr>
          <w:rFonts w:cs="Arial"/>
          <w:lang w:val="fr-CH"/>
        </w:rPr>
        <w:t>(document TC/55/INF/6)</w:t>
      </w:r>
    </w:p>
    <w:p w:rsidR="005603D6" w:rsidRPr="00155D95" w:rsidRDefault="005603D6" w:rsidP="00AA7545">
      <w:pPr>
        <w:tabs>
          <w:tab w:val="left" w:pos="5812"/>
        </w:tabs>
        <w:ind w:left="1134" w:hanging="567"/>
        <w:jc w:val="left"/>
        <w:rPr>
          <w:lang w:val="fr-CH"/>
        </w:rPr>
      </w:pPr>
    </w:p>
    <w:p w:rsidR="00F648B8" w:rsidRPr="00155D95" w:rsidRDefault="00F648B8" w:rsidP="00AA7545">
      <w:pPr>
        <w:tabs>
          <w:tab w:val="left" w:pos="5812"/>
        </w:tabs>
        <w:ind w:left="1134" w:hanging="567"/>
        <w:jc w:val="left"/>
        <w:rPr>
          <w:lang w:val="fr-CH"/>
        </w:rPr>
      </w:pPr>
      <w:r w:rsidRPr="00155D95">
        <w:rPr>
          <w:lang w:val="fr-CH"/>
        </w:rPr>
        <w:t>(</w:t>
      </w:r>
      <w:r w:rsidR="005603D6" w:rsidRPr="00155D95">
        <w:rPr>
          <w:lang w:val="fr-CH"/>
        </w:rPr>
        <w:t>f</w:t>
      </w:r>
      <w:r w:rsidRPr="00155D95">
        <w:rPr>
          <w:lang w:val="fr-CH"/>
        </w:rPr>
        <w:t>)</w:t>
      </w:r>
      <w:r w:rsidRPr="00155D95">
        <w:rPr>
          <w:lang w:val="fr-CH"/>
        </w:rPr>
        <w:tab/>
      </w:r>
      <w:proofErr w:type="spellStart"/>
      <w:r w:rsidRPr="00155D95">
        <w:rPr>
          <w:rFonts w:cs="Arial"/>
          <w:snapToGrid w:val="0"/>
          <w:lang w:val="fr-CH"/>
        </w:rPr>
        <w:t>Variety</w:t>
      </w:r>
      <w:proofErr w:type="spellEnd"/>
      <w:r w:rsidRPr="00155D95">
        <w:rPr>
          <w:rFonts w:cs="Arial"/>
          <w:snapToGrid w:val="0"/>
          <w:lang w:val="fr-CH"/>
        </w:rPr>
        <w:t xml:space="preserve"> </w:t>
      </w:r>
      <w:proofErr w:type="spellStart"/>
      <w:r w:rsidRPr="00155D95">
        <w:rPr>
          <w:rFonts w:cs="Arial"/>
          <w:snapToGrid w:val="0"/>
          <w:lang w:val="fr-CH"/>
        </w:rPr>
        <w:t>denominations</w:t>
      </w:r>
      <w:proofErr w:type="spellEnd"/>
      <w:r w:rsidRPr="00155D95">
        <w:rPr>
          <w:rFonts w:cs="Arial"/>
          <w:snapToGrid w:val="0"/>
          <w:lang w:val="fr-CH"/>
        </w:rPr>
        <w:t xml:space="preserve"> </w:t>
      </w:r>
      <w:r w:rsidRPr="00155D95">
        <w:rPr>
          <w:rFonts w:cs="Arial"/>
          <w:lang w:val="fr-CH"/>
        </w:rPr>
        <w:t>(document TC/55/INF/7)</w:t>
      </w:r>
    </w:p>
    <w:p w:rsidR="005603D6" w:rsidRPr="00155D95" w:rsidRDefault="005603D6" w:rsidP="00AA7545">
      <w:pPr>
        <w:tabs>
          <w:tab w:val="left" w:pos="5812"/>
        </w:tabs>
        <w:ind w:left="1134" w:hanging="567"/>
        <w:jc w:val="left"/>
        <w:rPr>
          <w:kern w:val="28"/>
          <w:lang w:val="fr-CH"/>
        </w:rPr>
      </w:pP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  <w:rPr>
          <w:rFonts w:cs="Arial"/>
          <w:snapToGrid w:val="0"/>
        </w:rPr>
      </w:pPr>
      <w:r w:rsidRPr="004E2C62">
        <w:rPr>
          <w:kern w:val="28"/>
        </w:rPr>
        <w:t>(</w:t>
      </w:r>
      <w:r w:rsidR="00BD0915" w:rsidRPr="004E2C62">
        <w:rPr>
          <w:kern w:val="28"/>
        </w:rPr>
        <w:t>g</w:t>
      </w:r>
      <w:r w:rsidRPr="004E2C62">
        <w:rPr>
          <w:kern w:val="28"/>
        </w:rPr>
        <w:t>)</w:t>
      </w:r>
      <w:r w:rsidRPr="004E2C62">
        <w:rPr>
          <w:kern w:val="28"/>
        </w:rPr>
        <w:tab/>
      </w:r>
      <w:r w:rsidRPr="004E2C62">
        <w:rPr>
          <w:rFonts w:cs="Arial"/>
        </w:rPr>
        <w:t>Differences in notes for the assessment of distinctness (document TC/55/INF/</w:t>
      </w:r>
      <w:r w:rsidR="005603D6" w:rsidRPr="004E2C62">
        <w:rPr>
          <w:rFonts w:cs="Arial"/>
        </w:rPr>
        <w:t>9</w:t>
      </w:r>
      <w:r w:rsidRPr="004E2C62">
        <w:rPr>
          <w:rFonts w:cs="Arial"/>
        </w:rPr>
        <w:t>)</w:t>
      </w:r>
      <w:r w:rsidR="00AC1A1E" w:rsidRPr="004E2C62">
        <w:rPr>
          <w:rFonts w:cs="Arial"/>
        </w:rPr>
        <w:t xml:space="preserve"> 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Program for the fifty-sixth session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</w:r>
      <w:r w:rsidRPr="004E2C62">
        <w:rPr>
          <w:rFonts w:cs="Arial"/>
        </w:rPr>
        <w:t>Adoption of the report (if time permits)</w:t>
      </w:r>
    </w:p>
    <w:p w:rsidR="00F648B8" w:rsidRPr="004E2C62" w:rsidRDefault="00F648B8" w:rsidP="00AA7545">
      <w:pPr>
        <w:ind w:left="567" w:hanging="567"/>
        <w:jc w:val="left"/>
        <w:rPr>
          <w:snapToGrid w:val="0"/>
        </w:rPr>
      </w:pPr>
    </w:p>
    <w:p w:rsidR="00F648B8" w:rsidRPr="005603D6" w:rsidRDefault="00F648B8" w:rsidP="00AA7545">
      <w:pPr>
        <w:ind w:left="567" w:hanging="567"/>
        <w:jc w:val="left"/>
        <w:rPr>
          <w:snapToGrid w:val="0"/>
        </w:rPr>
      </w:pPr>
      <w:r w:rsidRPr="004E2C62">
        <w:rPr>
          <w:snapToGrid w:val="0"/>
        </w:rPr>
        <w:fldChar w:fldCharType="begin"/>
      </w:r>
      <w:r w:rsidRPr="004E2C62">
        <w:rPr>
          <w:snapToGrid w:val="0"/>
        </w:rPr>
        <w:instrText xml:space="preserve"> AUTONUM  </w:instrText>
      </w:r>
      <w:r w:rsidRPr="004E2C62">
        <w:rPr>
          <w:snapToGrid w:val="0"/>
        </w:rPr>
        <w:fldChar w:fldCharType="end"/>
      </w:r>
      <w:r w:rsidRPr="004E2C62">
        <w:rPr>
          <w:snapToGrid w:val="0"/>
        </w:rPr>
        <w:tab/>
        <w:t>Closing of the session</w:t>
      </w:r>
    </w:p>
    <w:p w:rsidR="00F648B8" w:rsidRPr="005603D6" w:rsidRDefault="00F648B8" w:rsidP="00F648B8"/>
    <w:p w:rsidR="00F648B8" w:rsidRPr="005603D6" w:rsidRDefault="00F648B8" w:rsidP="00F648B8"/>
    <w:p w:rsidR="005D4D79" w:rsidRPr="005603D6" w:rsidRDefault="005D4D79" w:rsidP="00F648B8"/>
    <w:p w:rsidR="00F648B8" w:rsidRPr="005603D6" w:rsidRDefault="00F648B8" w:rsidP="00F648B8">
      <w:pPr>
        <w:jc w:val="right"/>
      </w:pPr>
      <w:r w:rsidRPr="005603D6">
        <w:t>[End of document]</w:t>
      </w:r>
    </w:p>
    <w:p w:rsidR="00050E16" w:rsidRPr="005603D6" w:rsidRDefault="00050E16" w:rsidP="009B440E">
      <w:pPr>
        <w:jc w:val="left"/>
      </w:pPr>
    </w:p>
    <w:sectPr w:rsidR="00050E16" w:rsidRPr="005603D6" w:rsidSect="00964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426" w:left="1134" w:header="51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8C" w:rsidRDefault="0084188C" w:rsidP="006655D3">
      <w:r>
        <w:separator/>
      </w:r>
    </w:p>
    <w:p w:rsidR="0084188C" w:rsidRDefault="0084188C" w:rsidP="006655D3"/>
    <w:p w:rsidR="0084188C" w:rsidRDefault="0084188C" w:rsidP="006655D3"/>
  </w:endnote>
  <w:endnote w:type="continuationSeparator" w:id="0">
    <w:p w:rsidR="0084188C" w:rsidRDefault="0084188C" w:rsidP="006655D3">
      <w:r>
        <w:separator/>
      </w:r>
    </w:p>
    <w:p w:rsidR="0084188C" w:rsidRPr="00294751" w:rsidRDefault="008418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  <w:endnote w:type="continuationNotice" w:id="1">
    <w:p w:rsidR="0084188C" w:rsidRPr="00294751" w:rsidRDefault="008418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2" w:rsidRDefault="00455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2" w:rsidRDefault="00455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C" w:rsidRPr="000372C8" w:rsidRDefault="00450F2C" w:rsidP="00450F2C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450F2C" w:rsidRPr="00450F2C" w:rsidRDefault="00450F2C" w:rsidP="00450F2C">
    <w:pPr>
      <w:spacing w:before="60"/>
      <w:rPr>
        <w:sz w:val="16"/>
        <w:u w:val="single"/>
      </w:rPr>
    </w:pPr>
    <w:r w:rsidRPr="000372C8">
      <w:rPr>
        <w:sz w:val="16"/>
        <w:u w:val="single"/>
      </w:rPr>
      <w:t xml:space="preserve">The session will take place at the headquarters of UPOV (34, </w:t>
    </w:r>
    <w:proofErr w:type="spellStart"/>
    <w:r w:rsidRPr="000372C8">
      <w:rPr>
        <w:sz w:val="16"/>
        <w:u w:val="single"/>
      </w:rPr>
      <w:t>chemin</w:t>
    </w:r>
    <w:proofErr w:type="spellEnd"/>
    <w:r w:rsidRPr="000372C8">
      <w:rPr>
        <w:sz w:val="16"/>
        <w:u w:val="single"/>
      </w:rPr>
      <w:t xml:space="preserve"> des </w:t>
    </w:r>
    <w:proofErr w:type="spellStart"/>
    <w:r w:rsidRPr="000372C8">
      <w:rPr>
        <w:sz w:val="16"/>
        <w:u w:val="single"/>
      </w:rPr>
      <w:t>Colombettes</w:t>
    </w:r>
    <w:proofErr w:type="spellEnd"/>
    <w:r w:rsidRPr="000372C8">
      <w:rPr>
        <w:sz w:val="16"/>
        <w:u w:val="single"/>
      </w:rPr>
      <w:t xml:space="preserve">, Geneva, Switzerland).  It will open on Monday, </w:t>
    </w:r>
    <w:r>
      <w:rPr>
        <w:sz w:val="16"/>
        <w:u w:val="single"/>
      </w:rPr>
      <w:t>October 28</w:t>
    </w:r>
    <w:r w:rsidRPr="000372C8">
      <w:rPr>
        <w:sz w:val="16"/>
        <w:u w:val="single"/>
      </w:rPr>
      <w:t>, 201</w:t>
    </w:r>
    <w:r>
      <w:rPr>
        <w:sz w:val="16"/>
        <w:u w:val="single"/>
      </w:rPr>
      <w:t>9</w:t>
    </w:r>
    <w:r w:rsidRPr="000372C8">
      <w:rPr>
        <w:sz w:val="16"/>
        <w:u w:val="single"/>
      </w:rPr>
      <w:t xml:space="preserve">, at 9.30 a.m. and close on </w:t>
    </w:r>
    <w:r>
      <w:rPr>
        <w:sz w:val="16"/>
        <w:u w:val="single"/>
      </w:rPr>
      <w:t>Tue</w:t>
    </w:r>
    <w:r w:rsidRPr="000372C8">
      <w:rPr>
        <w:sz w:val="16"/>
        <w:u w:val="single"/>
      </w:rPr>
      <w:t xml:space="preserve">sday, </w:t>
    </w:r>
    <w:r>
      <w:rPr>
        <w:sz w:val="16"/>
        <w:u w:val="single"/>
      </w:rPr>
      <w:t>October 29</w:t>
    </w:r>
    <w:r w:rsidRPr="000372C8">
      <w:rPr>
        <w:sz w:val="16"/>
        <w:u w:val="single"/>
      </w:rPr>
      <w:t xml:space="preserve">, </w:t>
    </w:r>
    <w:r>
      <w:rPr>
        <w:sz w:val="16"/>
        <w:u w:val="single"/>
      </w:rPr>
      <w:t xml:space="preserve">2019, </w:t>
    </w:r>
    <w:r w:rsidRPr="000372C8">
      <w:rPr>
        <w:sz w:val="16"/>
        <w:u w:val="single"/>
      </w:rPr>
      <w:t xml:space="preserve">at </w:t>
    </w:r>
    <w:r>
      <w:rPr>
        <w:sz w:val="16"/>
        <w:u w:val="single"/>
      </w:rPr>
      <w:t>5</w:t>
    </w:r>
    <w:r w:rsidRPr="000372C8">
      <w:rPr>
        <w:sz w:val="16"/>
        <w:u w:val="single"/>
      </w:rPr>
      <w:t>.30 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8C" w:rsidRDefault="0084188C" w:rsidP="006655D3">
      <w:r>
        <w:separator/>
      </w:r>
    </w:p>
  </w:footnote>
  <w:footnote w:type="continuationSeparator" w:id="0">
    <w:p w:rsidR="0084188C" w:rsidRDefault="0084188C" w:rsidP="006655D3">
      <w:r>
        <w:separator/>
      </w:r>
    </w:p>
  </w:footnote>
  <w:footnote w:type="continuationNotice" w:id="1">
    <w:p w:rsidR="0084188C" w:rsidRPr="00AB530F" w:rsidRDefault="0084188C" w:rsidP="00AB530F">
      <w:pPr>
        <w:pStyle w:val="Footer"/>
      </w:pPr>
    </w:p>
  </w:footnote>
  <w:footnote w:id="2">
    <w:p w:rsidR="00F648B8" w:rsidRDefault="00F648B8" w:rsidP="002B177E">
      <w:pPr>
        <w:pStyle w:val="FootnoteText"/>
      </w:pPr>
      <w:r w:rsidRPr="00F648B8">
        <w:rPr>
          <w:rStyle w:val="FootnoteReference"/>
        </w:rPr>
        <w:t>*</w:t>
      </w:r>
      <w:r w:rsidRPr="00F648B8">
        <w:t xml:space="preserve"> </w:t>
      </w:r>
      <w:r w:rsidRPr="00F648B8">
        <w:tab/>
        <w:t xml:space="preserve">Document TC/55/INF/1 will contain the list of persons registered in advance for the session.  The final list of participants </w:t>
      </w:r>
      <w:proofErr w:type="gramStart"/>
      <w:r w:rsidRPr="00F648B8">
        <w:t>will be published</w:t>
      </w:r>
      <w:proofErr w:type="gramEnd"/>
      <w:r w:rsidRPr="00F648B8">
        <w:t xml:space="preserve">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2" w:rsidRDefault="00455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8609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 Rev.</w:t>
    </w:r>
    <w:r w:rsidR="004559F2">
      <w:rPr>
        <w:rStyle w:val="PageNumber"/>
        <w:lang w:val="en-US"/>
      </w:rPr>
      <w:t xml:space="preserve"> 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50E8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F2" w:rsidRDefault="00455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C"/>
    <w:rsid w:val="000042A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3CF3"/>
    <w:rsid w:val="000F5BAF"/>
    <w:rsid w:val="00105929"/>
    <w:rsid w:val="001104EF"/>
    <w:rsid w:val="00110C36"/>
    <w:rsid w:val="001131D5"/>
    <w:rsid w:val="00141DB8"/>
    <w:rsid w:val="00155D95"/>
    <w:rsid w:val="00172084"/>
    <w:rsid w:val="0017474A"/>
    <w:rsid w:val="001758C6"/>
    <w:rsid w:val="00180BC7"/>
    <w:rsid w:val="00182B99"/>
    <w:rsid w:val="001D743C"/>
    <w:rsid w:val="0021332C"/>
    <w:rsid w:val="00213982"/>
    <w:rsid w:val="0024416D"/>
    <w:rsid w:val="00271911"/>
    <w:rsid w:val="002800A0"/>
    <w:rsid w:val="002801B3"/>
    <w:rsid w:val="00281060"/>
    <w:rsid w:val="00286099"/>
    <w:rsid w:val="002940E8"/>
    <w:rsid w:val="00294751"/>
    <w:rsid w:val="002A6E50"/>
    <w:rsid w:val="002A6F07"/>
    <w:rsid w:val="002B0CDF"/>
    <w:rsid w:val="002B177E"/>
    <w:rsid w:val="002B4298"/>
    <w:rsid w:val="002C256A"/>
    <w:rsid w:val="00304827"/>
    <w:rsid w:val="00305A7F"/>
    <w:rsid w:val="00311AC0"/>
    <w:rsid w:val="003152FE"/>
    <w:rsid w:val="00327436"/>
    <w:rsid w:val="00344BD6"/>
    <w:rsid w:val="0035528D"/>
    <w:rsid w:val="00361821"/>
    <w:rsid w:val="00361E9E"/>
    <w:rsid w:val="00365FB2"/>
    <w:rsid w:val="003C29FA"/>
    <w:rsid w:val="003C7FBE"/>
    <w:rsid w:val="003D227C"/>
    <w:rsid w:val="003D2B4D"/>
    <w:rsid w:val="003D37E3"/>
    <w:rsid w:val="00432475"/>
    <w:rsid w:val="00444A88"/>
    <w:rsid w:val="00450F2C"/>
    <w:rsid w:val="004559F2"/>
    <w:rsid w:val="00474DA4"/>
    <w:rsid w:val="00476B4D"/>
    <w:rsid w:val="004805FA"/>
    <w:rsid w:val="004935D2"/>
    <w:rsid w:val="004A48EB"/>
    <w:rsid w:val="004A543C"/>
    <w:rsid w:val="004B1215"/>
    <w:rsid w:val="004C26E9"/>
    <w:rsid w:val="004D047D"/>
    <w:rsid w:val="004E2C62"/>
    <w:rsid w:val="004F1E9E"/>
    <w:rsid w:val="004F305A"/>
    <w:rsid w:val="00512164"/>
    <w:rsid w:val="00520297"/>
    <w:rsid w:val="005338F9"/>
    <w:rsid w:val="005415FE"/>
    <w:rsid w:val="0054281C"/>
    <w:rsid w:val="00544581"/>
    <w:rsid w:val="0055268D"/>
    <w:rsid w:val="005603D6"/>
    <w:rsid w:val="00576BE4"/>
    <w:rsid w:val="005848D2"/>
    <w:rsid w:val="005A400A"/>
    <w:rsid w:val="005D4D79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0E86"/>
    <w:rsid w:val="00751613"/>
    <w:rsid w:val="00751D28"/>
    <w:rsid w:val="007524E5"/>
    <w:rsid w:val="007556F6"/>
    <w:rsid w:val="00760EEF"/>
    <w:rsid w:val="00777EE5"/>
    <w:rsid w:val="00784836"/>
    <w:rsid w:val="0079023E"/>
    <w:rsid w:val="007A2854"/>
    <w:rsid w:val="007A4AAD"/>
    <w:rsid w:val="007C1D92"/>
    <w:rsid w:val="007C4CB9"/>
    <w:rsid w:val="007D0B9D"/>
    <w:rsid w:val="007D19B0"/>
    <w:rsid w:val="007F498F"/>
    <w:rsid w:val="00802224"/>
    <w:rsid w:val="0080679D"/>
    <w:rsid w:val="008108B0"/>
    <w:rsid w:val="00811B20"/>
    <w:rsid w:val="008211B5"/>
    <w:rsid w:val="0082296E"/>
    <w:rsid w:val="00824099"/>
    <w:rsid w:val="00825289"/>
    <w:rsid w:val="0084188C"/>
    <w:rsid w:val="00846D7C"/>
    <w:rsid w:val="00852A98"/>
    <w:rsid w:val="00865B92"/>
    <w:rsid w:val="00867230"/>
    <w:rsid w:val="00867AC1"/>
    <w:rsid w:val="00890DF8"/>
    <w:rsid w:val="008A743F"/>
    <w:rsid w:val="008B38D9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426F"/>
    <w:rsid w:val="00965AE7"/>
    <w:rsid w:val="00970FED"/>
    <w:rsid w:val="009730D9"/>
    <w:rsid w:val="00980549"/>
    <w:rsid w:val="00992D82"/>
    <w:rsid w:val="00997029"/>
    <w:rsid w:val="009A7339"/>
    <w:rsid w:val="009B440E"/>
    <w:rsid w:val="009C6086"/>
    <w:rsid w:val="009D690D"/>
    <w:rsid w:val="009E65B6"/>
    <w:rsid w:val="00A03644"/>
    <w:rsid w:val="00A24C10"/>
    <w:rsid w:val="00A37C2B"/>
    <w:rsid w:val="00A42AC3"/>
    <w:rsid w:val="00A430CF"/>
    <w:rsid w:val="00A54309"/>
    <w:rsid w:val="00A75883"/>
    <w:rsid w:val="00AA7545"/>
    <w:rsid w:val="00AB2B93"/>
    <w:rsid w:val="00AB530F"/>
    <w:rsid w:val="00AB7E5B"/>
    <w:rsid w:val="00AC1A1E"/>
    <w:rsid w:val="00AC2883"/>
    <w:rsid w:val="00AD2421"/>
    <w:rsid w:val="00AE0EF1"/>
    <w:rsid w:val="00AE2937"/>
    <w:rsid w:val="00B07301"/>
    <w:rsid w:val="00B11F3E"/>
    <w:rsid w:val="00B156B8"/>
    <w:rsid w:val="00B21B20"/>
    <w:rsid w:val="00B224DE"/>
    <w:rsid w:val="00B324D4"/>
    <w:rsid w:val="00B46575"/>
    <w:rsid w:val="00B61777"/>
    <w:rsid w:val="00B84BBD"/>
    <w:rsid w:val="00B857DF"/>
    <w:rsid w:val="00BA43FB"/>
    <w:rsid w:val="00BC127D"/>
    <w:rsid w:val="00BC1FE6"/>
    <w:rsid w:val="00BC658D"/>
    <w:rsid w:val="00BD0915"/>
    <w:rsid w:val="00BF46DF"/>
    <w:rsid w:val="00C061B6"/>
    <w:rsid w:val="00C2446C"/>
    <w:rsid w:val="00C25F0E"/>
    <w:rsid w:val="00C35A6F"/>
    <w:rsid w:val="00C36AE5"/>
    <w:rsid w:val="00C40542"/>
    <w:rsid w:val="00C41F17"/>
    <w:rsid w:val="00C51A2E"/>
    <w:rsid w:val="00C527FA"/>
    <w:rsid w:val="00C5280D"/>
    <w:rsid w:val="00C53EB3"/>
    <w:rsid w:val="00C5791C"/>
    <w:rsid w:val="00C66290"/>
    <w:rsid w:val="00C72B7A"/>
    <w:rsid w:val="00C81EE8"/>
    <w:rsid w:val="00C973F2"/>
    <w:rsid w:val="00CA304C"/>
    <w:rsid w:val="00CA774A"/>
    <w:rsid w:val="00CC11B0"/>
    <w:rsid w:val="00CC2841"/>
    <w:rsid w:val="00CD3BF7"/>
    <w:rsid w:val="00CF1330"/>
    <w:rsid w:val="00CF7E36"/>
    <w:rsid w:val="00D22E7B"/>
    <w:rsid w:val="00D3708D"/>
    <w:rsid w:val="00D40426"/>
    <w:rsid w:val="00D437F7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500A"/>
    <w:rsid w:val="00E07D87"/>
    <w:rsid w:val="00E32F7E"/>
    <w:rsid w:val="00E5267B"/>
    <w:rsid w:val="00E63C0E"/>
    <w:rsid w:val="00E72D49"/>
    <w:rsid w:val="00E7593C"/>
    <w:rsid w:val="00E7678A"/>
    <w:rsid w:val="00E935F1"/>
    <w:rsid w:val="00E94A21"/>
    <w:rsid w:val="00E94A81"/>
    <w:rsid w:val="00EA1FFB"/>
    <w:rsid w:val="00EA2834"/>
    <w:rsid w:val="00EB048E"/>
    <w:rsid w:val="00EB4E9C"/>
    <w:rsid w:val="00EB7F46"/>
    <w:rsid w:val="00EE34DF"/>
    <w:rsid w:val="00EF2F89"/>
    <w:rsid w:val="00F03E98"/>
    <w:rsid w:val="00F1237A"/>
    <w:rsid w:val="00F22CBD"/>
    <w:rsid w:val="00F272F1"/>
    <w:rsid w:val="00F45372"/>
    <w:rsid w:val="00F560F7"/>
    <w:rsid w:val="00F578AB"/>
    <w:rsid w:val="00F6334D"/>
    <w:rsid w:val="00F648B8"/>
    <w:rsid w:val="00F8144D"/>
    <w:rsid w:val="00F91818"/>
    <w:rsid w:val="00FA49AB"/>
    <w:rsid w:val="00FB53D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2D24A53"/>
  <w15:docId w15:val="{98751CE1-0C19-46EC-910A-66ABBB1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B177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</Template>
  <TotalTime>0</TotalTime>
  <Pages>2</Pages>
  <Words>475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</vt:lpstr>
    </vt:vector>
  </TitlesOfParts>
  <Company>UPOV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</dc:title>
  <dc:creator>SANCHEZ VIZCAINO GOMEZ Rosa Maria</dc:creator>
  <cp:lastModifiedBy>MAY Jessica</cp:lastModifiedBy>
  <cp:revision>5</cp:revision>
  <cp:lastPrinted>2019-10-11T09:41:00Z</cp:lastPrinted>
  <dcterms:created xsi:type="dcterms:W3CDTF">2019-10-22T15:48:00Z</dcterms:created>
  <dcterms:modified xsi:type="dcterms:W3CDTF">2019-10-24T14:09:00Z</dcterms:modified>
</cp:coreProperties>
</file>