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4A6CF8">
              <w:t>55/1</w:t>
            </w:r>
            <w:r w:rsidR="00143A2B">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368AA">
            <w:pPr>
              <w:pStyle w:val="Docoriginal"/>
            </w:pPr>
            <w:r w:rsidRPr="00AC2883">
              <w:t>Date:</w:t>
            </w:r>
            <w:r w:rsidR="008B6E60">
              <w:rPr>
                <w:b w:val="0"/>
                <w:spacing w:val="0"/>
              </w:rPr>
              <w:t xml:space="preserve">  </w:t>
            </w:r>
            <w:r w:rsidR="002368AA" w:rsidRPr="002368AA">
              <w:rPr>
                <w:b w:val="0"/>
                <w:spacing w:val="0"/>
              </w:rPr>
              <w:t>August 21</w:t>
            </w:r>
            <w:r w:rsidR="008B6E60" w:rsidRPr="002368AA">
              <w:rPr>
                <w:b w:val="0"/>
                <w:spacing w:val="0"/>
              </w:rPr>
              <w:t>, 201</w:t>
            </w:r>
            <w:r w:rsidR="006D7435" w:rsidRPr="002368AA">
              <w:rPr>
                <w:b w:val="0"/>
                <w:spacing w:val="0"/>
              </w:rPr>
              <w:t>9</w:t>
            </w:r>
          </w:p>
        </w:tc>
      </w:tr>
    </w:tbl>
    <w:p w:rsidR="00B41AC5" w:rsidRPr="00B41AC5" w:rsidRDefault="00B41AC5" w:rsidP="00925D4A">
      <w:pPr>
        <w:pStyle w:val="Titleofdoc0"/>
      </w:pPr>
      <w:bookmarkStart w:id="0" w:name="TitleOfDoc"/>
      <w:bookmarkEnd w:id="0"/>
      <w:r w:rsidRPr="00B41AC5">
        <w:t>Characteristic-specific marker with incomplete inf</w:t>
      </w:r>
      <w:r w:rsidR="002368AA">
        <w:t>ormation on state of expression</w:t>
      </w:r>
    </w:p>
    <w:p w:rsidR="00B41AC5" w:rsidRPr="00B41AC5" w:rsidRDefault="00B41AC5" w:rsidP="00925D4A">
      <w:pPr>
        <w:pStyle w:val="preparedby1"/>
        <w:jc w:val="left"/>
      </w:pPr>
      <w:bookmarkStart w:id="1" w:name="Prepared"/>
      <w:bookmarkEnd w:id="1"/>
      <w:r w:rsidRPr="00B41AC5">
        <w:t>Document prepared by the Office of the Union</w:t>
      </w:r>
    </w:p>
    <w:p w:rsidR="00B41AC5" w:rsidRPr="00B41AC5" w:rsidRDefault="00B41AC5" w:rsidP="00925D4A">
      <w:pPr>
        <w:pStyle w:val="Disclaimer"/>
      </w:pPr>
      <w:r w:rsidRPr="00B41AC5">
        <w:t>Disclaimer:  this document does not represent UPOV policies or guidance</w:t>
      </w:r>
    </w:p>
    <w:p w:rsidR="00B41AC5" w:rsidRPr="00B41AC5" w:rsidRDefault="00B41AC5" w:rsidP="00925D4A">
      <w:pPr>
        <w:pStyle w:val="Heading1"/>
        <w:rPr>
          <w:snapToGrid w:val="0"/>
        </w:rPr>
      </w:pPr>
      <w:bookmarkStart w:id="2" w:name="_Toc15668136"/>
      <w:r w:rsidRPr="00B41AC5">
        <w:rPr>
          <w:snapToGrid w:val="0"/>
        </w:rPr>
        <w:t>Executive Summary</w:t>
      </w:r>
      <w:bookmarkEnd w:id="2"/>
    </w:p>
    <w:p w:rsidR="00B41AC5" w:rsidRPr="00B41AC5" w:rsidRDefault="00B41AC5" w:rsidP="00B41AC5">
      <w:pPr>
        <w:rPr>
          <w:snapToGrid w:val="0"/>
        </w:rPr>
      </w:pPr>
    </w:p>
    <w:p w:rsidR="00B41AC5" w:rsidRPr="00B41AC5" w:rsidRDefault="00B41AC5" w:rsidP="00B41AC5">
      <w:pPr>
        <w:rPr>
          <w:snapToGrid w:val="0"/>
        </w:rPr>
      </w:pPr>
      <w:r w:rsidRPr="00B41AC5">
        <w:rPr>
          <w:snapToGrid w:val="0"/>
        </w:rPr>
        <w:fldChar w:fldCharType="begin"/>
      </w:r>
      <w:r w:rsidRPr="00B41AC5">
        <w:rPr>
          <w:snapToGrid w:val="0"/>
        </w:rPr>
        <w:instrText xml:space="preserve"> AUTONUM  </w:instrText>
      </w:r>
      <w:r w:rsidRPr="00B41AC5">
        <w:rPr>
          <w:snapToGrid w:val="0"/>
        </w:rPr>
        <w:fldChar w:fldCharType="end"/>
      </w:r>
      <w:r w:rsidRPr="00B41AC5">
        <w:rPr>
          <w:snapToGrid w:val="0"/>
        </w:rPr>
        <w:tab/>
        <w:t xml:space="preserve">The purpose of this document is to </w:t>
      </w:r>
      <w:r w:rsidR="006C3EFD">
        <w:rPr>
          <w:snapToGrid w:val="0"/>
        </w:rPr>
        <w:t>present a proposal for</w:t>
      </w:r>
      <w:r w:rsidRPr="00B41AC5">
        <w:rPr>
          <w:snapToGrid w:val="0"/>
        </w:rPr>
        <w:t xml:space="preserve"> </w:t>
      </w:r>
      <w:r w:rsidR="008F223E">
        <w:rPr>
          <w:snapToGrid w:val="0"/>
        </w:rPr>
        <w:t>a</w:t>
      </w:r>
      <w:r w:rsidRPr="00B41AC5">
        <w:rPr>
          <w:snapToGrid w:val="0"/>
        </w:rPr>
        <w:t xml:space="preserve"> revision of document TGP/15 “Guidance on the Use of Biochemical and Molecular Markers in the Examination of Distinctness, Uniformity and Stability (DUS)” for inclusion of a new example </w:t>
      </w:r>
      <w:r w:rsidR="008F223E">
        <w:rPr>
          <w:snapToGrid w:val="0"/>
        </w:rPr>
        <w:t>for</w:t>
      </w:r>
      <w:r w:rsidRPr="00B41AC5">
        <w:rPr>
          <w:snapToGrid w:val="0"/>
        </w:rPr>
        <w:t xml:space="preserve"> Model (1) “Characteristic-specific molecular marker”.</w:t>
      </w:r>
    </w:p>
    <w:p w:rsidR="00B41AC5" w:rsidRDefault="00B41AC5" w:rsidP="00B41AC5">
      <w:pPr>
        <w:rPr>
          <w:snapToGrid w:val="0"/>
        </w:rPr>
      </w:pPr>
    </w:p>
    <w:p w:rsidR="00B41AC5" w:rsidRPr="001077EC" w:rsidRDefault="001077EC" w:rsidP="00B41AC5">
      <w:r w:rsidRPr="001077EC">
        <w:rPr>
          <w:snapToGrid w:val="0"/>
        </w:rPr>
        <w:fldChar w:fldCharType="begin"/>
      </w:r>
      <w:r w:rsidRPr="001077EC">
        <w:rPr>
          <w:snapToGrid w:val="0"/>
        </w:rPr>
        <w:instrText xml:space="preserve"> AUTONUM  </w:instrText>
      </w:r>
      <w:r w:rsidRPr="001077EC">
        <w:rPr>
          <w:snapToGrid w:val="0"/>
        </w:rPr>
        <w:fldChar w:fldCharType="end"/>
      </w:r>
      <w:r w:rsidRPr="001077EC">
        <w:rPr>
          <w:snapToGrid w:val="0"/>
        </w:rPr>
        <w:tab/>
        <w:t xml:space="preserve">The TC is invited to consider the proposal for </w:t>
      </w:r>
      <w:r w:rsidRPr="001077EC">
        <w:t xml:space="preserve">a new example to be added to document TGP/15 to illustrate a situation where the characteristic-specific marker does not provide complete information on the state of expression of a characteristic, as set out in </w:t>
      </w:r>
      <w:bookmarkStart w:id="3" w:name="_GoBack"/>
      <w:bookmarkEnd w:id="3"/>
      <w:r w:rsidRPr="00985803">
        <w:t>the Annex to</w:t>
      </w:r>
      <w:r w:rsidRPr="001077EC">
        <w:t xml:space="preserve"> this document, in conjunction with the comments of the TWA, TWC and BMT.</w:t>
      </w:r>
    </w:p>
    <w:p w:rsidR="001077EC" w:rsidRPr="00B41AC5" w:rsidRDefault="001077EC" w:rsidP="00B41AC5">
      <w:pPr>
        <w:rPr>
          <w:snapToGrid w:val="0"/>
        </w:rPr>
      </w:pPr>
    </w:p>
    <w:p w:rsidR="00B41AC5" w:rsidRPr="00B41AC5" w:rsidRDefault="00B41AC5" w:rsidP="00B41AC5">
      <w:pPr>
        <w:rPr>
          <w:rFonts w:cs="Arial"/>
        </w:rPr>
      </w:pPr>
      <w:r w:rsidRPr="00B41AC5">
        <w:rPr>
          <w:rFonts w:cs="Arial"/>
        </w:rPr>
        <w:fldChar w:fldCharType="begin"/>
      </w:r>
      <w:r w:rsidRPr="00B41AC5">
        <w:rPr>
          <w:rFonts w:cs="Arial"/>
        </w:rPr>
        <w:instrText xml:space="preserve"> AUTONUM  </w:instrText>
      </w:r>
      <w:r w:rsidRPr="00B41AC5">
        <w:rPr>
          <w:rFonts w:cs="Arial"/>
        </w:rPr>
        <w:fldChar w:fldCharType="end"/>
      </w:r>
      <w:r w:rsidRPr="00B41AC5">
        <w:rPr>
          <w:rFonts w:cs="Arial"/>
        </w:rPr>
        <w:tab/>
        <w:t>The structure of this document is as follows:</w:t>
      </w:r>
    </w:p>
    <w:p w:rsidR="00EE1141" w:rsidRDefault="00B41AC5" w:rsidP="002368AA">
      <w:pPr>
        <w:pStyle w:val="TOC1"/>
        <w:rPr>
          <w:rFonts w:asciiTheme="minorHAnsi" w:eastAsiaTheme="minorEastAsia" w:hAnsiTheme="minorHAnsi" w:cstheme="minorBidi"/>
          <w:noProof/>
          <w:sz w:val="22"/>
          <w:szCs w:val="22"/>
        </w:rPr>
      </w:pPr>
      <w:r w:rsidRPr="00B41AC5">
        <w:rPr>
          <w:rFonts w:cs="Arial"/>
          <w:snapToGrid w:val="0"/>
        </w:rPr>
        <w:fldChar w:fldCharType="begin"/>
      </w:r>
      <w:r w:rsidRPr="00B41AC5">
        <w:rPr>
          <w:rFonts w:cs="Arial"/>
          <w:bCs/>
          <w:snapToGrid w:val="0"/>
        </w:rPr>
        <w:instrText xml:space="preserve"> TOC \o "1-3" \h \z \u </w:instrText>
      </w:r>
      <w:r w:rsidRPr="00B41AC5">
        <w:rPr>
          <w:rFonts w:cs="Arial"/>
          <w:snapToGrid w:val="0"/>
        </w:rPr>
        <w:fldChar w:fldCharType="separate"/>
      </w:r>
      <w:hyperlink w:anchor="_Toc15668136" w:history="1">
        <w:r w:rsidR="00EE1141" w:rsidRPr="008D20E0">
          <w:rPr>
            <w:rStyle w:val="Hyperlink"/>
            <w:noProof/>
            <w:snapToGrid w:val="0"/>
          </w:rPr>
          <w:t>Executive Summary</w:t>
        </w:r>
        <w:r w:rsidR="00EE1141">
          <w:rPr>
            <w:noProof/>
            <w:webHidden/>
          </w:rPr>
          <w:tab/>
        </w:r>
        <w:r w:rsidR="00EE1141">
          <w:rPr>
            <w:noProof/>
            <w:webHidden/>
          </w:rPr>
          <w:fldChar w:fldCharType="begin"/>
        </w:r>
        <w:r w:rsidR="00EE1141">
          <w:rPr>
            <w:noProof/>
            <w:webHidden/>
          </w:rPr>
          <w:instrText xml:space="preserve"> PAGEREF _Toc15668136 \h </w:instrText>
        </w:r>
        <w:r w:rsidR="00EE1141">
          <w:rPr>
            <w:noProof/>
            <w:webHidden/>
          </w:rPr>
        </w:r>
        <w:r w:rsidR="00EE1141">
          <w:rPr>
            <w:noProof/>
            <w:webHidden/>
          </w:rPr>
          <w:fldChar w:fldCharType="separate"/>
        </w:r>
        <w:r w:rsidR="006C3EFD">
          <w:rPr>
            <w:noProof/>
            <w:webHidden/>
          </w:rPr>
          <w:t>1</w:t>
        </w:r>
        <w:r w:rsidR="00EE1141">
          <w:rPr>
            <w:noProof/>
            <w:webHidden/>
          </w:rPr>
          <w:fldChar w:fldCharType="end"/>
        </w:r>
      </w:hyperlink>
    </w:p>
    <w:p w:rsidR="00EE1141" w:rsidRDefault="00985803" w:rsidP="002368AA">
      <w:pPr>
        <w:pStyle w:val="TOC1"/>
        <w:rPr>
          <w:rFonts w:asciiTheme="minorHAnsi" w:eastAsiaTheme="minorEastAsia" w:hAnsiTheme="minorHAnsi" w:cstheme="minorBidi"/>
          <w:noProof/>
          <w:sz w:val="22"/>
          <w:szCs w:val="22"/>
        </w:rPr>
      </w:pPr>
      <w:hyperlink w:anchor="_Toc15668137" w:history="1">
        <w:r w:rsidR="00EE1141" w:rsidRPr="008D20E0">
          <w:rPr>
            <w:rStyle w:val="Hyperlink"/>
            <w:noProof/>
          </w:rPr>
          <w:t>background</w:t>
        </w:r>
        <w:r w:rsidR="00EE1141">
          <w:rPr>
            <w:noProof/>
            <w:webHidden/>
          </w:rPr>
          <w:tab/>
        </w:r>
        <w:r w:rsidR="00EE1141">
          <w:rPr>
            <w:noProof/>
            <w:webHidden/>
          </w:rPr>
          <w:fldChar w:fldCharType="begin"/>
        </w:r>
        <w:r w:rsidR="00EE1141">
          <w:rPr>
            <w:noProof/>
            <w:webHidden/>
          </w:rPr>
          <w:instrText xml:space="preserve"> PAGEREF _Toc15668137 \h </w:instrText>
        </w:r>
        <w:r w:rsidR="00EE1141">
          <w:rPr>
            <w:noProof/>
            <w:webHidden/>
          </w:rPr>
        </w:r>
        <w:r w:rsidR="00EE1141">
          <w:rPr>
            <w:noProof/>
            <w:webHidden/>
          </w:rPr>
          <w:fldChar w:fldCharType="separate"/>
        </w:r>
        <w:r w:rsidR="006C3EFD">
          <w:rPr>
            <w:noProof/>
            <w:webHidden/>
          </w:rPr>
          <w:t>1</w:t>
        </w:r>
        <w:r w:rsidR="00EE1141">
          <w:rPr>
            <w:noProof/>
            <w:webHidden/>
          </w:rPr>
          <w:fldChar w:fldCharType="end"/>
        </w:r>
      </w:hyperlink>
    </w:p>
    <w:p w:rsidR="00EE1141" w:rsidRDefault="00985803" w:rsidP="002368AA">
      <w:pPr>
        <w:pStyle w:val="TOC1"/>
        <w:rPr>
          <w:rFonts w:asciiTheme="minorHAnsi" w:eastAsiaTheme="minorEastAsia" w:hAnsiTheme="minorHAnsi" w:cstheme="minorBidi"/>
          <w:noProof/>
          <w:sz w:val="22"/>
          <w:szCs w:val="22"/>
        </w:rPr>
      </w:pPr>
      <w:hyperlink w:anchor="_Toc15668138" w:history="1">
        <w:r w:rsidR="00EE1141" w:rsidRPr="008D20E0">
          <w:rPr>
            <w:rStyle w:val="Hyperlink"/>
            <w:noProof/>
          </w:rPr>
          <w:t>Developments at the technical working parties</w:t>
        </w:r>
        <w:r w:rsidR="00EE1141">
          <w:rPr>
            <w:noProof/>
            <w:webHidden/>
          </w:rPr>
          <w:tab/>
        </w:r>
        <w:r w:rsidR="00EE1141">
          <w:rPr>
            <w:noProof/>
            <w:webHidden/>
          </w:rPr>
          <w:fldChar w:fldCharType="begin"/>
        </w:r>
        <w:r w:rsidR="00EE1141">
          <w:rPr>
            <w:noProof/>
            <w:webHidden/>
          </w:rPr>
          <w:instrText xml:space="preserve"> PAGEREF _Toc15668138 \h </w:instrText>
        </w:r>
        <w:r w:rsidR="00EE1141">
          <w:rPr>
            <w:noProof/>
            <w:webHidden/>
          </w:rPr>
        </w:r>
        <w:r w:rsidR="00EE1141">
          <w:rPr>
            <w:noProof/>
            <w:webHidden/>
          </w:rPr>
          <w:fldChar w:fldCharType="separate"/>
        </w:r>
        <w:r w:rsidR="006C3EFD">
          <w:rPr>
            <w:noProof/>
            <w:webHidden/>
          </w:rPr>
          <w:t>2</w:t>
        </w:r>
        <w:r w:rsidR="00EE1141">
          <w:rPr>
            <w:noProof/>
            <w:webHidden/>
          </w:rPr>
          <w:fldChar w:fldCharType="end"/>
        </w:r>
      </w:hyperlink>
    </w:p>
    <w:p w:rsidR="00EE1141" w:rsidRDefault="00985803" w:rsidP="002368AA">
      <w:pPr>
        <w:pStyle w:val="TOC1"/>
        <w:rPr>
          <w:rFonts w:asciiTheme="minorHAnsi" w:eastAsiaTheme="minorEastAsia" w:hAnsiTheme="minorHAnsi" w:cstheme="minorBidi"/>
          <w:noProof/>
          <w:sz w:val="22"/>
          <w:szCs w:val="22"/>
        </w:rPr>
      </w:pPr>
      <w:hyperlink w:anchor="_Toc15668139" w:history="1">
        <w:r w:rsidR="00EE1141" w:rsidRPr="008D20E0">
          <w:rPr>
            <w:rStyle w:val="Hyperlink"/>
            <w:noProof/>
            <w:snapToGrid w:val="0"/>
          </w:rPr>
          <w:t>Proposal</w:t>
        </w:r>
        <w:r w:rsidR="00EE1141">
          <w:rPr>
            <w:noProof/>
            <w:webHidden/>
          </w:rPr>
          <w:tab/>
        </w:r>
        <w:r w:rsidR="00EE1141">
          <w:rPr>
            <w:noProof/>
            <w:webHidden/>
          </w:rPr>
          <w:fldChar w:fldCharType="begin"/>
        </w:r>
        <w:r w:rsidR="00EE1141">
          <w:rPr>
            <w:noProof/>
            <w:webHidden/>
          </w:rPr>
          <w:instrText xml:space="preserve"> PAGEREF _Toc15668139 \h </w:instrText>
        </w:r>
        <w:r w:rsidR="00EE1141">
          <w:rPr>
            <w:noProof/>
            <w:webHidden/>
          </w:rPr>
        </w:r>
        <w:r w:rsidR="00EE1141">
          <w:rPr>
            <w:noProof/>
            <w:webHidden/>
          </w:rPr>
          <w:fldChar w:fldCharType="separate"/>
        </w:r>
        <w:r w:rsidR="006C3EFD">
          <w:rPr>
            <w:noProof/>
            <w:webHidden/>
          </w:rPr>
          <w:t>2</w:t>
        </w:r>
        <w:r w:rsidR="00EE1141">
          <w:rPr>
            <w:noProof/>
            <w:webHidden/>
          </w:rPr>
          <w:fldChar w:fldCharType="end"/>
        </w:r>
      </w:hyperlink>
    </w:p>
    <w:p w:rsidR="00B41AC5" w:rsidRPr="00B41AC5" w:rsidRDefault="00B41AC5" w:rsidP="00B41AC5">
      <w:pPr>
        <w:rPr>
          <w:snapToGrid w:val="0"/>
          <w:sz w:val="18"/>
          <w:szCs w:val="18"/>
        </w:rPr>
      </w:pPr>
      <w:r w:rsidRPr="00B41AC5">
        <w:rPr>
          <w:rFonts w:cs="Arial"/>
          <w:bCs/>
          <w:snapToGrid w:val="0"/>
          <w:sz w:val="18"/>
        </w:rPr>
        <w:fldChar w:fldCharType="end"/>
      </w:r>
      <w:r w:rsidRPr="00B41AC5">
        <w:rPr>
          <w:snapToGrid w:val="0"/>
          <w:sz w:val="18"/>
          <w:szCs w:val="18"/>
        </w:rPr>
        <w:t>ANNEX</w:t>
      </w:r>
      <w:r w:rsidRPr="00B41AC5">
        <w:rPr>
          <w:snapToGrid w:val="0"/>
          <w:sz w:val="18"/>
          <w:szCs w:val="18"/>
        </w:rPr>
        <w:tab/>
        <w:t>Gene-specific marker for disease resistance in tomato</w:t>
      </w:r>
    </w:p>
    <w:p w:rsidR="00B41AC5" w:rsidRPr="00B41AC5" w:rsidRDefault="00B41AC5" w:rsidP="00B41AC5">
      <w:pPr>
        <w:jc w:val="left"/>
        <w:rPr>
          <w:snapToGrid w:val="0"/>
          <w:sz w:val="18"/>
          <w:szCs w:val="18"/>
        </w:rPr>
      </w:pPr>
    </w:p>
    <w:bookmarkStart w:id="4" w:name="_Toc352678045"/>
    <w:bookmarkStart w:id="5" w:name="_Toc353797725"/>
    <w:bookmarkStart w:id="6" w:name="_Toc386185970"/>
    <w:bookmarkStart w:id="7" w:name="_Toc419124858"/>
    <w:bookmarkStart w:id="8" w:name="_Toc386185971"/>
    <w:bookmarkStart w:id="9" w:name="_Toc419124859"/>
    <w:p w:rsidR="00B41AC5" w:rsidRPr="00B41AC5" w:rsidRDefault="00B41AC5" w:rsidP="00B41AC5">
      <w:pPr>
        <w:keepNext/>
      </w:pPr>
      <w:r w:rsidRPr="00B41AC5">
        <w:fldChar w:fldCharType="begin"/>
      </w:r>
      <w:r w:rsidRPr="00B41AC5">
        <w:instrText xml:space="preserve"> AUTONUM  </w:instrText>
      </w:r>
      <w:r w:rsidRPr="00B41AC5">
        <w:fldChar w:fldCharType="end"/>
      </w:r>
      <w:r w:rsidRPr="00B41AC5">
        <w:tab/>
        <w:t xml:space="preserve">The following abbreviations </w:t>
      </w:r>
      <w:proofErr w:type="gramStart"/>
      <w:r w:rsidRPr="00B41AC5">
        <w:t>are used</w:t>
      </w:r>
      <w:proofErr w:type="gramEnd"/>
      <w:r w:rsidRPr="00B41AC5">
        <w:t xml:space="preserve"> in this document:</w:t>
      </w:r>
    </w:p>
    <w:bookmarkEnd w:id="4"/>
    <w:bookmarkEnd w:id="5"/>
    <w:bookmarkEnd w:id="6"/>
    <w:bookmarkEnd w:id="7"/>
    <w:bookmarkEnd w:id="8"/>
    <w:bookmarkEnd w:id="9"/>
    <w:p w:rsidR="00EE1141" w:rsidRPr="00440683" w:rsidRDefault="00EE1141" w:rsidP="00EE1141"/>
    <w:p w:rsidR="00EE1141" w:rsidRPr="00820097" w:rsidRDefault="00EE1141" w:rsidP="00EE1141">
      <w:pPr>
        <w:tabs>
          <w:tab w:val="left" w:pos="567"/>
        </w:tabs>
        <w:ind w:left="1701" w:hanging="1134"/>
      </w:pPr>
      <w:r w:rsidRPr="00820097">
        <w:t>BMT:</w:t>
      </w:r>
      <w:r w:rsidRPr="00820097">
        <w:tab/>
        <w:t xml:space="preserve">Working Group on Biochemical and Molecular Techniques, and DNA-Profiling in Particular </w:t>
      </w:r>
    </w:p>
    <w:p w:rsidR="00EE1141" w:rsidRPr="00820097" w:rsidRDefault="00EE1141" w:rsidP="00EE1141">
      <w:pPr>
        <w:tabs>
          <w:tab w:val="left" w:pos="567"/>
        </w:tabs>
        <w:ind w:left="1701" w:hanging="1134"/>
      </w:pPr>
      <w:r w:rsidRPr="00820097">
        <w:t>TC:</w:t>
      </w:r>
      <w:r w:rsidRPr="00820097">
        <w:tab/>
        <w:t>Technical Committee</w:t>
      </w:r>
    </w:p>
    <w:p w:rsidR="00EE1141" w:rsidRPr="002767CA" w:rsidRDefault="00EE1141" w:rsidP="00EE1141">
      <w:pPr>
        <w:ind w:left="1701" w:hanging="1134"/>
        <w:rPr>
          <w:rFonts w:eastAsia="PMingLiU" w:cs="Arial"/>
        </w:rPr>
      </w:pPr>
      <w:r w:rsidRPr="002767CA">
        <w:rPr>
          <w:rFonts w:eastAsia="PMingLiU" w:cs="Arial"/>
        </w:rPr>
        <w:t>TWA:</w:t>
      </w:r>
      <w:r w:rsidRPr="002767CA">
        <w:rPr>
          <w:rFonts w:eastAsia="PMingLiU" w:cs="Arial"/>
        </w:rPr>
        <w:tab/>
        <w:t>Technical Working Party for Agricultural Crops</w:t>
      </w:r>
    </w:p>
    <w:p w:rsidR="00EE1141" w:rsidRPr="002767CA" w:rsidRDefault="00EE1141" w:rsidP="00EE1141">
      <w:pPr>
        <w:ind w:left="1701" w:hanging="1134"/>
        <w:rPr>
          <w:rFonts w:eastAsia="PMingLiU" w:cs="Arial"/>
        </w:rPr>
      </w:pPr>
      <w:r w:rsidRPr="002767CA">
        <w:rPr>
          <w:rFonts w:eastAsia="PMingLiU" w:cs="Arial"/>
        </w:rPr>
        <w:t>TWC:</w:t>
      </w:r>
      <w:r w:rsidRPr="002767CA">
        <w:rPr>
          <w:rFonts w:eastAsia="PMingLiU" w:cs="Arial"/>
        </w:rPr>
        <w:tab/>
        <w:t>Technical Working Party on Automation and Computer Programs</w:t>
      </w:r>
    </w:p>
    <w:p w:rsidR="00EE1141" w:rsidRPr="00820097" w:rsidRDefault="00EE1141" w:rsidP="00EE1141">
      <w:pPr>
        <w:ind w:left="1701" w:hanging="1134"/>
        <w:rPr>
          <w:rFonts w:eastAsia="PMingLiU" w:cs="Arial"/>
        </w:rPr>
      </w:pPr>
      <w:r w:rsidRPr="00820097">
        <w:rPr>
          <w:rFonts w:eastAsia="PMingLiU" w:cs="Arial"/>
        </w:rPr>
        <w:t>TWF:</w:t>
      </w:r>
      <w:r w:rsidRPr="00820097">
        <w:rPr>
          <w:rFonts w:eastAsia="PMingLiU" w:cs="Arial"/>
        </w:rPr>
        <w:tab/>
        <w:t>Technical Working Party for Fruit Crops</w:t>
      </w:r>
    </w:p>
    <w:p w:rsidR="00EE1141" w:rsidRPr="00820097" w:rsidRDefault="00EE1141" w:rsidP="00EE1141">
      <w:pPr>
        <w:ind w:left="1701" w:hanging="1134"/>
        <w:rPr>
          <w:rFonts w:eastAsia="PMingLiU" w:cs="Arial"/>
        </w:rPr>
      </w:pPr>
      <w:r w:rsidRPr="00820097">
        <w:rPr>
          <w:rFonts w:eastAsia="PMingLiU" w:cs="Arial"/>
        </w:rPr>
        <w:t>TWO:</w:t>
      </w:r>
      <w:r w:rsidRPr="00820097">
        <w:rPr>
          <w:rFonts w:eastAsia="PMingLiU" w:cs="Arial"/>
        </w:rPr>
        <w:tab/>
        <w:t>Technical Working Party for Ornamental Plants and Forest Trees</w:t>
      </w:r>
    </w:p>
    <w:p w:rsidR="00EE1141" w:rsidRPr="00820097" w:rsidRDefault="00EE1141" w:rsidP="00EE1141">
      <w:pPr>
        <w:ind w:left="1701" w:hanging="1134"/>
        <w:rPr>
          <w:rFonts w:eastAsia="PMingLiU" w:cs="Arial"/>
        </w:rPr>
      </w:pPr>
      <w:r w:rsidRPr="00820097">
        <w:rPr>
          <w:rFonts w:eastAsia="PMingLiU" w:cs="Arial"/>
        </w:rPr>
        <w:t>TWPs:</w:t>
      </w:r>
      <w:r w:rsidRPr="00820097">
        <w:rPr>
          <w:rFonts w:eastAsia="PMingLiU" w:cs="Arial"/>
        </w:rPr>
        <w:tab/>
        <w:t>Technical Working Parties</w:t>
      </w:r>
    </w:p>
    <w:p w:rsidR="00EE1141" w:rsidRPr="00820097" w:rsidRDefault="00EE1141" w:rsidP="00EE1141">
      <w:pPr>
        <w:ind w:left="1701" w:hanging="1134"/>
        <w:rPr>
          <w:rFonts w:eastAsia="PMingLiU" w:cs="Arial"/>
        </w:rPr>
      </w:pPr>
      <w:r w:rsidRPr="00820097">
        <w:rPr>
          <w:rFonts w:eastAsia="PMingLiU" w:cs="Arial"/>
        </w:rPr>
        <w:t>TWV:</w:t>
      </w:r>
      <w:r w:rsidRPr="00820097">
        <w:rPr>
          <w:rFonts w:eastAsia="PMingLiU" w:cs="Arial"/>
        </w:rPr>
        <w:tab/>
        <w:t>Technical Working Party for Vegetables</w:t>
      </w:r>
    </w:p>
    <w:p w:rsidR="00B41AC5" w:rsidRDefault="00B41AC5" w:rsidP="00B41AC5">
      <w:pPr>
        <w:rPr>
          <w:rFonts w:cs="Arial"/>
        </w:rPr>
      </w:pPr>
    </w:p>
    <w:p w:rsidR="002368AA" w:rsidRPr="00B41AC5" w:rsidRDefault="002368AA" w:rsidP="00B41AC5">
      <w:pPr>
        <w:rPr>
          <w:rFonts w:cs="Arial"/>
        </w:rPr>
      </w:pPr>
    </w:p>
    <w:p w:rsidR="00B41AC5" w:rsidRPr="00B41AC5" w:rsidRDefault="0045516B" w:rsidP="00B41AC5">
      <w:pPr>
        <w:keepNext/>
        <w:outlineLvl w:val="0"/>
        <w:rPr>
          <w:caps/>
        </w:rPr>
      </w:pPr>
      <w:bookmarkStart w:id="10" w:name="_Toc15668137"/>
      <w:r>
        <w:rPr>
          <w:caps/>
        </w:rPr>
        <w:t>background</w:t>
      </w:r>
      <w:bookmarkEnd w:id="10"/>
    </w:p>
    <w:p w:rsidR="00C97512" w:rsidRDefault="00C97512" w:rsidP="00B41AC5">
      <w:pPr>
        <w:rPr>
          <w:rFonts w:cs="Arial"/>
        </w:rPr>
      </w:pPr>
    </w:p>
    <w:p w:rsidR="00B41AC5" w:rsidRPr="00B41AC5" w:rsidRDefault="00B41AC5" w:rsidP="00B41AC5">
      <w:r w:rsidRPr="00B41AC5">
        <w:fldChar w:fldCharType="begin"/>
      </w:r>
      <w:r w:rsidRPr="00B41AC5">
        <w:instrText xml:space="preserve"> AUTONUM  </w:instrText>
      </w:r>
      <w:r w:rsidRPr="00B41AC5">
        <w:fldChar w:fldCharType="end"/>
      </w:r>
      <w:r w:rsidRPr="00B41AC5">
        <w:tab/>
      </w:r>
      <w:r w:rsidR="00C97512" w:rsidRPr="00B41AC5">
        <w:rPr>
          <w:rFonts w:cs="Arial"/>
        </w:rPr>
        <w:t xml:space="preserve">The TC, at its fifty-fourth session, held in Geneva on October 29 and 30, 2018, </w:t>
      </w:r>
      <w:r w:rsidRPr="00B41AC5">
        <w:t xml:space="preserve">noted that the BMT, at its seventeenth session, had considered document BMT/17/21 “Do resistance markers for tomato fulfil the requirements of TGP/15” </w:t>
      </w:r>
      <w:r w:rsidRPr="00B41AC5">
        <w:rPr>
          <w:iCs/>
        </w:rPr>
        <w:t>and received a presentation by</w:t>
      </w:r>
      <w:r w:rsidRPr="00B41AC5">
        <w:t xml:space="preserve"> </w:t>
      </w:r>
      <w:r w:rsidRPr="00B41AC5">
        <w:rPr>
          <w:iCs/>
        </w:rPr>
        <w:t>Ms. Amanda van Dijk</w:t>
      </w:r>
      <w:r w:rsidRPr="00B41AC5">
        <w:rPr>
          <w:iCs/>
        </w:rPr>
        <w:noBreakHyphen/>
      </w:r>
      <w:proofErr w:type="spellStart"/>
      <w:r w:rsidRPr="00B41AC5">
        <w:rPr>
          <w:iCs/>
        </w:rPr>
        <w:t>Veldhuizen</w:t>
      </w:r>
      <w:proofErr w:type="spellEnd"/>
      <w:r w:rsidRPr="00B41AC5">
        <w:rPr>
          <w:iCs/>
        </w:rPr>
        <w:t xml:space="preserve"> (Netherlands)</w:t>
      </w:r>
      <w:r w:rsidR="00C97512">
        <w:rPr>
          <w:iCs/>
        </w:rPr>
        <w:t>.  A</w:t>
      </w:r>
      <w:r w:rsidRPr="00B41AC5">
        <w:rPr>
          <w:iCs/>
        </w:rPr>
        <w:t xml:space="preserve"> copy of </w:t>
      </w:r>
      <w:r w:rsidR="00C97512">
        <w:rPr>
          <w:iCs/>
        </w:rPr>
        <w:t xml:space="preserve">the presentation </w:t>
      </w:r>
      <w:proofErr w:type="gramStart"/>
      <w:r w:rsidRPr="00B41AC5">
        <w:rPr>
          <w:iCs/>
        </w:rPr>
        <w:t>was provided</w:t>
      </w:r>
      <w:proofErr w:type="gramEnd"/>
      <w:r w:rsidRPr="00B41AC5">
        <w:rPr>
          <w:iCs/>
        </w:rPr>
        <w:t xml:space="preserve"> as document BMT/17/21 Add.</w:t>
      </w:r>
      <w:r w:rsidR="00C97512" w:rsidRPr="00C97512">
        <w:t xml:space="preserve"> </w:t>
      </w:r>
      <w:r w:rsidR="00C97512" w:rsidRPr="00B41AC5">
        <w:t>(</w:t>
      </w:r>
      <w:proofErr w:type="gramStart"/>
      <w:r w:rsidR="00C97512" w:rsidRPr="00B41AC5">
        <w:t>see</w:t>
      </w:r>
      <w:proofErr w:type="gramEnd"/>
      <w:r w:rsidR="00C97512" w:rsidRPr="00B41AC5">
        <w:t xml:space="preserve"> document TC/54/31 “Report”, paragraphs 27</w:t>
      </w:r>
      <w:r w:rsidR="00C97512">
        <w:t>4 and</w:t>
      </w:r>
      <w:r w:rsidR="00C97512" w:rsidRPr="00B41AC5">
        <w:t xml:space="preserve"> 275)</w:t>
      </w:r>
      <w:r w:rsidRPr="00B41AC5">
        <w:t>.</w:t>
      </w:r>
    </w:p>
    <w:p w:rsidR="00A25888" w:rsidRPr="00B41AC5" w:rsidRDefault="00A25888" w:rsidP="00B41AC5"/>
    <w:p w:rsidR="00B41AC5" w:rsidRDefault="00B41AC5" w:rsidP="00B41AC5">
      <w:r w:rsidRPr="00B41AC5">
        <w:fldChar w:fldCharType="begin"/>
      </w:r>
      <w:r w:rsidRPr="00B41AC5">
        <w:instrText xml:space="preserve"> AUTONUM  </w:instrText>
      </w:r>
      <w:r w:rsidRPr="00B41AC5">
        <w:fldChar w:fldCharType="end"/>
      </w:r>
      <w:r w:rsidRPr="00B41AC5">
        <w:tab/>
        <w:t xml:space="preserve">The TC agreed with the proposal by the BMT that a new example be added to document TGP/15 to illustrate a situation where the characteristic-specific marker did not provide complete information on the state of expression of a characteristic, on the basis of the proposal by the Netherlands presented in document BMT/17/21.  The TC agreed to invite the experts from the Netherlands to prepare a proposal to </w:t>
      </w:r>
      <w:proofErr w:type="gramStart"/>
      <w:r w:rsidRPr="00B41AC5">
        <w:t>be presented</w:t>
      </w:r>
      <w:proofErr w:type="gramEnd"/>
      <w:r w:rsidRPr="00B41AC5">
        <w:t xml:space="preserve"> to the TWPs and BMT and agreed that the resultant proposal should be presented to the TC, at its fifty-fifth session.</w:t>
      </w:r>
    </w:p>
    <w:p w:rsidR="00EA06CE" w:rsidRPr="00B41AC5" w:rsidRDefault="00EA06CE" w:rsidP="00B41AC5"/>
    <w:p w:rsidR="00B41AC5" w:rsidRDefault="0045516B" w:rsidP="0045516B">
      <w:pPr>
        <w:pStyle w:val="Heading1"/>
      </w:pPr>
      <w:bookmarkStart w:id="11" w:name="_Toc15668138"/>
      <w:r>
        <w:t>Developments at the technical working parties</w:t>
      </w:r>
      <w:bookmarkEnd w:id="11"/>
    </w:p>
    <w:p w:rsidR="00C97512" w:rsidRPr="00C57194" w:rsidRDefault="00C97512" w:rsidP="00C97512"/>
    <w:p w:rsidR="00C97512" w:rsidRDefault="00C97512" w:rsidP="00C97512">
      <w:r w:rsidRPr="00C57194">
        <w:fldChar w:fldCharType="begin"/>
      </w:r>
      <w:r w:rsidRPr="00C57194">
        <w:instrText xml:space="preserve"> AUTONUM  </w:instrText>
      </w:r>
      <w:r w:rsidRPr="00C57194">
        <w:fldChar w:fldCharType="end"/>
      </w:r>
      <w:r w:rsidRPr="00C57194">
        <w:tab/>
      </w:r>
      <w:proofErr w:type="gramStart"/>
      <w:r w:rsidRPr="00C57194">
        <w:t>The TWO</w:t>
      </w:r>
      <w:r w:rsidR="0045516B">
        <w:t>,</w:t>
      </w:r>
      <w:r w:rsidR="0045516B" w:rsidRPr="0045516B">
        <w:t xml:space="preserve"> </w:t>
      </w:r>
      <w:r w:rsidR="0045516B">
        <w:t>at its</w:t>
      </w:r>
      <w:r w:rsidR="0045516B" w:rsidRPr="002F4D19">
        <w:t xml:space="preserve"> fifty-first </w:t>
      </w:r>
      <w:r w:rsidR="0045516B">
        <w:t>session, held</w:t>
      </w:r>
      <w:r w:rsidR="0045516B" w:rsidRPr="002F4D19">
        <w:t xml:space="preserve"> in Christchurch, New Zealand, from February 18 to 22, 2019</w:t>
      </w:r>
      <w:r w:rsidR="0045516B">
        <w:t xml:space="preserve">, the </w:t>
      </w:r>
      <w:r w:rsidR="0045516B" w:rsidRPr="002F4D19">
        <w:t>TWV</w:t>
      </w:r>
      <w:r w:rsidR="0045516B">
        <w:t>, at</w:t>
      </w:r>
      <w:r w:rsidR="0045516B" w:rsidRPr="002F4D19">
        <w:t xml:space="preserve"> its fifty-third session</w:t>
      </w:r>
      <w:r w:rsidR="0045516B">
        <w:t xml:space="preserve">, held </w:t>
      </w:r>
      <w:r w:rsidR="0045516B" w:rsidRPr="002F4D19">
        <w:t>in Seoul, Republic of Korea, from May 20 to 24, 2019</w:t>
      </w:r>
      <w:r w:rsidR="0045516B">
        <w:t xml:space="preserve">, and the </w:t>
      </w:r>
      <w:r w:rsidR="0045516B" w:rsidRPr="001929DA">
        <w:t xml:space="preserve">TWF, at its fiftieth session, held in Budapest, Hungary, from June 24 to 28, 2019, </w:t>
      </w:r>
      <w:r w:rsidRPr="00C57194">
        <w:t>considered document TWP/3/12</w:t>
      </w:r>
      <w:r>
        <w:t xml:space="preserve"> “</w:t>
      </w:r>
      <w:r w:rsidRPr="00C97512">
        <w:t>Characteristic-specific marker with incomplete information on state of expression</w:t>
      </w:r>
      <w:r>
        <w:t>” (see document</w:t>
      </w:r>
      <w:r w:rsidR="000724B0">
        <w:t>s</w:t>
      </w:r>
      <w:r>
        <w:t xml:space="preserve"> TWO/51/12 “Report”, paragraphs 33 to 35</w:t>
      </w:r>
      <w:r w:rsidR="000724B0">
        <w:t>, TWV/53/14 “Report”, paragraphs 28 to 30</w:t>
      </w:r>
      <w:r w:rsidR="00B90D32">
        <w:t xml:space="preserve"> and TWF/50/13 “Report”, paragraphs 28 and 29</w:t>
      </w:r>
      <w:r>
        <w:t>)</w:t>
      </w:r>
      <w:r w:rsidRPr="00C57194">
        <w:t>.</w:t>
      </w:r>
      <w:proofErr w:type="gramEnd"/>
    </w:p>
    <w:p w:rsidR="00C97512" w:rsidRDefault="00C97512" w:rsidP="00C97512"/>
    <w:p w:rsidR="00C97512" w:rsidRPr="00CF507E" w:rsidRDefault="00C97512" w:rsidP="00C97512">
      <w:r>
        <w:fldChar w:fldCharType="begin"/>
      </w:r>
      <w:r>
        <w:instrText xml:space="preserve"> AUTONUM  </w:instrText>
      </w:r>
      <w:r>
        <w:fldChar w:fldCharType="end"/>
      </w:r>
      <w:r>
        <w:tab/>
      </w:r>
      <w:r w:rsidRPr="00C05D5C">
        <w:t>The TWO</w:t>
      </w:r>
      <w:r w:rsidR="000724B0">
        <w:t>, TWV</w:t>
      </w:r>
      <w:r w:rsidR="00B90D32">
        <w:t xml:space="preserve"> and TWF</w:t>
      </w:r>
      <w:r w:rsidRPr="00C05D5C">
        <w:t xml:space="preserve"> </w:t>
      </w:r>
      <w:r w:rsidRPr="00CF507E">
        <w:t xml:space="preserve">agreed with the proposed example to </w:t>
      </w:r>
      <w:proofErr w:type="gramStart"/>
      <w:r w:rsidRPr="00CF507E">
        <w:t>be added</w:t>
      </w:r>
      <w:proofErr w:type="gramEnd"/>
      <w:r w:rsidRPr="00CF507E">
        <w:t xml:space="preserve"> to document TGP/15 to illustrate a situation where the characteristic-specific</w:t>
      </w:r>
      <w:r w:rsidRPr="00C57194">
        <w:t xml:space="preserve"> marker does not provide complete information on the state of expression of a characteristic, as </w:t>
      </w:r>
      <w:r w:rsidRPr="00CF507E">
        <w:t xml:space="preserve">set out in the Annex to </w:t>
      </w:r>
      <w:r w:rsidR="00B90D32">
        <w:t xml:space="preserve">this </w:t>
      </w:r>
      <w:r w:rsidRPr="00CF507E">
        <w:t>document.</w:t>
      </w:r>
    </w:p>
    <w:p w:rsidR="00C97512" w:rsidRPr="00CF507E" w:rsidRDefault="00C97512" w:rsidP="00C97512"/>
    <w:p w:rsidR="00C97512" w:rsidRDefault="00C97512" w:rsidP="00C97512">
      <w:r w:rsidRPr="00CF507E">
        <w:fldChar w:fldCharType="begin"/>
      </w:r>
      <w:r w:rsidRPr="00CF507E">
        <w:instrText xml:space="preserve"> AUTONUM  </w:instrText>
      </w:r>
      <w:r w:rsidRPr="00CF507E">
        <w:fldChar w:fldCharType="end"/>
      </w:r>
      <w:r w:rsidRPr="00CF507E">
        <w:tab/>
        <w:t xml:space="preserve">The TWO noted that disease resistance characteristics </w:t>
      </w:r>
      <w:proofErr w:type="gramStart"/>
      <w:r w:rsidRPr="00CF507E">
        <w:t>were not commonly used</w:t>
      </w:r>
      <w:proofErr w:type="gramEnd"/>
      <w:r w:rsidRPr="00CF507E">
        <w:t xml:space="preserve"> in ornamental plants.</w:t>
      </w:r>
    </w:p>
    <w:p w:rsidR="000724B0" w:rsidRPr="000E7A30" w:rsidRDefault="000724B0" w:rsidP="000724B0"/>
    <w:p w:rsidR="00A37713" w:rsidRPr="00A37713" w:rsidRDefault="000724B0" w:rsidP="00543967">
      <w:pPr>
        <w:rPr>
          <w:rFonts w:eastAsia="Calibri" w:cs="Arial"/>
          <w:sz w:val="18"/>
          <w:lang w:val="en-GB"/>
        </w:rPr>
      </w:pPr>
      <w:r w:rsidRPr="000E7A30">
        <w:fldChar w:fldCharType="begin"/>
      </w:r>
      <w:r w:rsidRPr="000E7A30">
        <w:instrText xml:space="preserve"> AUTONUM  </w:instrText>
      </w:r>
      <w:r w:rsidRPr="000E7A30">
        <w:fldChar w:fldCharType="end"/>
      </w:r>
      <w:r w:rsidRPr="000E7A30">
        <w:tab/>
        <w:t xml:space="preserve">The TWV agreed that a new sentence should be added to TGP/15 in the case where a variety </w:t>
      </w:r>
      <w:r w:rsidR="008F223E">
        <w:t>was</w:t>
      </w:r>
      <w:r w:rsidRPr="000E7A30">
        <w:t xml:space="preserve"> claimed by the applicant to be resistant in the TQ </w:t>
      </w:r>
      <w:r>
        <w:t>but</w:t>
      </w:r>
      <w:r w:rsidRPr="000E7A30">
        <w:t xml:space="preserve"> the marker test is negative, a </w:t>
      </w:r>
      <w:proofErr w:type="gramStart"/>
      <w:r w:rsidRPr="000E7A30">
        <w:t>bio-assay</w:t>
      </w:r>
      <w:proofErr w:type="gramEnd"/>
      <w:r w:rsidRPr="000E7A30">
        <w:t xml:space="preserve"> should be conducted/performed</w:t>
      </w:r>
      <w:r>
        <w:t xml:space="preserve"> and be conclusive</w:t>
      </w:r>
      <w:r w:rsidRPr="000E7A30">
        <w:t xml:space="preserve">. </w:t>
      </w:r>
      <w:r w:rsidR="001043B3">
        <w:t xml:space="preserve"> </w:t>
      </w:r>
    </w:p>
    <w:p w:rsidR="00027D8B" w:rsidRDefault="00027D8B" w:rsidP="00B41AC5">
      <w:pPr>
        <w:rPr>
          <w:rFonts w:cs="Arial"/>
        </w:rPr>
      </w:pPr>
    </w:p>
    <w:p w:rsidR="005F640E" w:rsidRDefault="005F640E" w:rsidP="00B41AC5">
      <w:pPr>
        <w:rPr>
          <w:rFonts w:cs="Arial"/>
        </w:rPr>
      </w:pPr>
      <w:r>
        <w:rPr>
          <w:rFonts w:cs="Arial"/>
        </w:rPr>
        <w:fldChar w:fldCharType="begin"/>
      </w:r>
      <w:r>
        <w:rPr>
          <w:rFonts w:cs="Arial"/>
        </w:rPr>
        <w:instrText xml:space="preserve"> AUTONUM  </w:instrText>
      </w:r>
      <w:r>
        <w:rPr>
          <w:rFonts w:cs="Arial"/>
        </w:rPr>
        <w:fldChar w:fldCharType="end"/>
      </w:r>
      <w:r>
        <w:rPr>
          <w:rFonts w:cs="Arial"/>
        </w:rPr>
        <w:tab/>
      </w:r>
      <w:proofErr w:type="gramStart"/>
      <w:r>
        <w:rPr>
          <w:rFonts w:cs="Arial"/>
        </w:rPr>
        <w:t>Comments by the TWA, at its forty-eighth session, to be held in Montevideo, Uruguay, from September 16 to 20, 2019, the TWC, at its thirty-sevent</w:t>
      </w:r>
      <w:r w:rsidR="00FC18B5">
        <w:rPr>
          <w:rFonts w:cs="Arial"/>
        </w:rPr>
        <w:t>h</w:t>
      </w:r>
      <w:r>
        <w:rPr>
          <w:rFonts w:cs="Arial"/>
        </w:rPr>
        <w:t xml:space="preserve"> session, to be held in Hangzhou, China, from October 14 to 16, 2019, and the BMT, at its eighteenth session, to be held in Hangzhou, China, from October 16 to 18, 2019, will be presented as an addendum to this document.</w:t>
      </w:r>
      <w:proofErr w:type="gramEnd"/>
    </w:p>
    <w:p w:rsidR="005F640E" w:rsidRDefault="005F640E" w:rsidP="00B41AC5">
      <w:pPr>
        <w:rPr>
          <w:rFonts w:cs="Arial"/>
        </w:rPr>
      </w:pPr>
    </w:p>
    <w:p w:rsidR="002368AA" w:rsidRPr="00B41AC5" w:rsidRDefault="002368AA" w:rsidP="00B41AC5">
      <w:pPr>
        <w:rPr>
          <w:rFonts w:cs="Arial"/>
        </w:rPr>
      </w:pPr>
    </w:p>
    <w:p w:rsidR="00B41AC5" w:rsidRPr="00B41AC5" w:rsidRDefault="00B41AC5" w:rsidP="00B41AC5">
      <w:pPr>
        <w:keepNext/>
        <w:outlineLvl w:val="0"/>
        <w:rPr>
          <w:caps/>
          <w:snapToGrid w:val="0"/>
        </w:rPr>
      </w:pPr>
      <w:bookmarkStart w:id="12" w:name="_Toc15668139"/>
      <w:r w:rsidRPr="00B41AC5">
        <w:rPr>
          <w:caps/>
          <w:snapToGrid w:val="0"/>
        </w:rPr>
        <w:t>Proposal</w:t>
      </w:r>
      <w:bookmarkEnd w:id="12"/>
    </w:p>
    <w:p w:rsidR="00B41AC5" w:rsidRPr="00B41AC5" w:rsidRDefault="00B41AC5" w:rsidP="00B41AC5">
      <w:pPr>
        <w:jc w:val="left"/>
        <w:rPr>
          <w:snapToGrid w:val="0"/>
        </w:rPr>
      </w:pPr>
    </w:p>
    <w:p w:rsidR="00B41AC5" w:rsidRPr="00B41AC5" w:rsidRDefault="00B41AC5" w:rsidP="00B41AC5">
      <w:pPr>
        <w:rPr>
          <w:snapToGrid w:val="0"/>
        </w:rPr>
      </w:pPr>
      <w:r w:rsidRPr="00B41AC5">
        <w:rPr>
          <w:snapToGrid w:val="0"/>
        </w:rPr>
        <w:fldChar w:fldCharType="begin"/>
      </w:r>
      <w:r w:rsidRPr="00B41AC5">
        <w:rPr>
          <w:snapToGrid w:val="0"/>
        </w:rPr>
        <w:instrText xml:space="preserve"> AUTONUM  </w:instrText>
      </w:r>
      <w:r w:rsidRPr="00B41AC5">
        <w:rPr>
          <w:snapToGrid w:val="0"/>
        </w:rPr>
        <w:fldChar w:fldCharType="end"/>
      </w:r>
      <w:r w:rsidRPr="00B41AC5">
        <w:rPr>
          <w:snapToGrid w:val="0"/>
        </w:rPr>
        <w:tab/>
        <w:t xml:space="preserve">The Annex to this document presents a proposal prepared by experts from the Netherlands for </w:t>
      </w:r>
      <w:r w:rsidR="005F69D1" w:rsidRPr="00B41AC5">
        <w:t xml:space="preserve">a new example </w:t>
      </w:r>
      <w:r w:rsidR="00543967">
        <w:t xml:space="preserve">to </w:t>
      </w:r>
      <w:proofErr w:type="gramStart"/>
      <w:r w:rsidR="005F69D1" w:rsidRPr="00B41AC5">
        <w:t>be added</w:t>
      </w:r>
      <w:proofErr w:type="gramEnd"/>
      <w:r w:rsidR="005F69D1" w:rsidRPr="00B41AC5">
        <w:t xml:space="preserve"> to document TGP/15</w:t>
      </w:r>
      <w:r w:rsidR="005F69D1">
        <w:t xml:space="preserve">, Model “Characteristic-specific molecular markers”, </w:t>
      </w:r>
      <w:r w:rsidR="005F69D1" w:rsidRPr="00B41AC5">
        <w:t xml:space="preserve">to illustrate a situation where the characteristic-specific marker </w:t>
      </w:r>
      <w:r w:rsidR="008F223E">
        <w:t>does</w:t>
      </w:r>
      <w:r w:rsidR="005F69D1" w:rsidRPr="00B41AC5">
        <w:t xml:space="preserve"> not provide complete information on the state of expression of a characteristic</w:t>
      </w:r>
      <w:r w:rsidRPr="00B41AC5">
        <w:rPr>
          <w:snapToGrid w:val="0"/>
        </w:rPr>
        <w:t>.</w:t>
      </w:r>
    </w:p>
    <w:p w:rsidR="003F57DE" w:rsidRDefault="003F57DE" w:rsidP="003F57DE">
      <w:pPr>
        <w:rPr>
          <w:rFonts w:cs="Arial"/>
        </w:rPr>
      </w:pPr>
    </w:p>
    <w:p w:rsidR="00543967" w:rsidRDefault="00543967" w:rsidP="00543967">
      <w:r>
        <w:fldChar w:fldCharType="begin"/>
      </w:r>
      <w:r>
        <w:instrText xml:space="preserve"> AUTONUM  </w:instrText>
      </w:r>
      <w:r>
        <w:fldChar w:fldCharType="end"/>
      </w:r>
      <w:r>
        <w:tab/>
        <w:t xml:space="preserve">The TC may wish to consider whether the request by </w:t>
      </w:r>
      <w:r w:rsidRPr="00985803">
        <w:t xml:space="preserve">the TWV in paragraph 10 </w:t>
      </w:r>
      <w:proofErr w:type="gramStart"/>
      <w:r w:rsidRPr="00985803">
        <w:t>is</w:t>
      </w:r>
      <w:r>
        <w:t xml:space="preserve"> covered</w:t>
      </w:r>
      <w:proofErr w:type="gramEnd"/>
      <w:r>
        <w:t xml:space="preserve"> in the draft guidance by the following sentence:</w:t>
      </w:r>
    </w:p>
    <w:p w:rsidR="00543967" w:rsidRPr="00027D8B" w:rsidRDefault="00543967" w:rsidP="00543967">
      <w:pPr>
        <w:autoSpaceDE w:val="0"/>
        <w:autoSpaceDN w:val="0"/>
        <w:adjustRightInd w:val="0"/>
        <w:rPr>
          <w:rFonts w:eastAsia="Calibri" w:cs="Arial"/>
          <w:lang w:val="en-GB"/>
        </w:rPr>
      </w:pPr>
    </w:p>
    <w:p w:rsidR="00543967" w:rsidRPr="00A37713" w:rsidRDefault="00543967" w:rsidP="00543967">
      <w:pPr>
        <w:autoSpaceDE w:val="0"/>
        <w:autoSpaceDN w:val="0"/>
        <w:adjustRightInd w:val="0"/>
        <w:ind w:left="567" w:right="567"/>
        <w:rPr>
          <w:rFonts w:eastAsia="Calibri" w:cs="Arial"/>
          <w:sz w:val="18"/>
          <w:lang w:val="en-GB"/>
        </w:rPr>
      </w:pPr>
      <w:r>
        <w:rPr>
          <w:rFonts w:eastAsia="Calibri" w:cs="Arial"/>
          <w:sz w:val="18"/>
          <w:lang w:val="en-GB"/>
        </w:rPr>
        <w:t>“</w:t>
      </w:r>
      <w:r w:rsidRPr="00A37713">
        <w:rPr>
          <w:rFonts w:eastAsia="Calibri" w:cs="Arial"/>
          <w:sz w:val="18"/>
          <w:lang w:val="en-GB"/>
        </w:rPr>
        <w:t>6.</w:t>
      </w:r>
      <w:r w:rsidRPr="00A37713">
        <w:rPr>
          <w:rFonts w:eastAsia="Calibri" w:cs="Arial"/>
          <w:sz w:val="18"/>
          <w:lang w:val="en-GB"/>
        </w:rPr>
        <w:tab/>
        <w:t xml:space="preserve">If a variety is claimed to be resistant to </w:t>
      </w:r>
      <w:proofErr w:type="spellStart"/>
      <w:r w:rsidRPr="00A37713">
        <w:rPr>
          <w:rFonts w:eastAsia="Calibri" w:cs="Arial"/>
          <w:sz w:val="18"/>
          <w:lang w:val="en-GB"/>
        </w:rPr>
        <w:t>ToMV</w:t>
      </w:r>
      <w:proofErr w:type="spellEnd"/>
      <w:r w:rsidRPr="00A37713">
        <w:rPr>
          <w:rFonts w:eastAsia="Calibri" w:cs="Arial"/>
          <w:sz w:val="18"/>
          <w:lang w:val="en-GB"/>
        </w:rPr>
        <w:t xml:space="preserve"> </w:t>
      </w:r>
      <w:r w:rsidR="00D8568A">
        <w:rPr>
          <w:rFonts w:eastAsia="Calibri" w:cs="Arial"/>
          <w:sz w:val="18"/>
          <w:lang w:val="en-GB"/>
        </w:rPr>
        <w:t>S</w:t>
      </w:r>
      <w:r w:rsidRPr="00A37713">
        <w:rPr>
          <w:rFonts w:eastAsia="Calibri" w:cs="Arial"/>
          <w:sz w:val="18"/>
          <w:lang w:val="en-GB"/>
        </w:rPr>
        <w:t>train 0 and the DNA marker test result is tm2/tm2 (homozygous susceptible) a bioassay needs to be performed to determine whether the variety is resistant on the basis of another gene, such as Tm1.</w:t>
      </w:r>
      <w:r>
        <w:rPr>
          <w:rFonts w:eastAsia="Calibri" w:cs="Arial"/>
          <w:sz w:val="18"/>
          <w:lang w:val="en-GB"/>
        </w:rPr>
        <w:t>”</w:t>
      </w:r>
    </w:p>
    <w:p w:rsidR="00B41AC5" w:rsidRPr="00B41AC5" w:rsidRDefault="00B41AC5" w:rsidP="00B41AC5">
      <w:pPr>
        <w:jc w:val="left"/>
        <w:rPr>
          <w:snapToGrid w:val="0"/>
        </w:rPr>
      </w:pPr>
    </w:p>
    <w:p w:rsidR="00B41AC5" w:rsidRDefault="00B41AC5" w:rsidP="002368AA">
      <w:pPr>
        <w:pStyle w:val="DecisionParagraphs"/>
      </w:pPr>
      <w:r w:rsidRPr="00B41AC5">
        <w:rPr>
          <w:snapToGrid w:val="0"/>
        </w:rPr>
        <w:fldChar w:fldCharType="begin"/>
      </w:r>
      <w:r w:rsidRPr="00B41AC5">
        <w:rPr>
          <w:snapToGrid w:val="0"/>
        </w:rPr>
        <w:instrText xml:space="preserve"> AUTONUM  </w:instrText>
      </w:r>
      <w:r w:rsidRPr="00B41AC5">
        <w:rPr>
          <w:snapToGrid w:val="0"/>
        </w:rPr>
        <w:fldChar w:fldCharType="end"/>
      </w:r>
      <w:r w:rsidRPr="00B41AC5">
        <w:rPr>
          <w:snapToGrid w:val="0"/>
        </w:rPr>
        <w:tab/>
        <w:t xml:space="preserve">The </w:t>
      </w:r>
      <w:r w:rsidR="009F5253">
        <w:rPr>
          <w:snapToGrid w:val="0"/>
        </w:rPr>
        <w:t>TC is</w:t>
      </w:r>
      <w:r w:rsidRPr="00B41AC5">
        <w:rPr>
          <w:snapToGrid w:val="0"/>
        </w:rPr>
        <w:t xml:space="preserve"> invited to</w:t>
      </w:r>
      <w:r w:rsidR="005F640E">
        <w:rPr>
          <w:snapToGrid w:val="0"/>
        </w:rPr>
        <w:t xml:space="preserve"> </w:t>
      </w:r>
      <w:r w:rsidRPr="00B41AC5">
        <w:rPr>
          <w:snapToGrid w:val="0"/>
        </w:rPr>
        <w:t>consider</w:t>
      </w:r>
      <w:r w:rsidR="001077EC">
        <w:rPr>
          <w:snapToGrid w:val="0"/>
        </w:rPr>
        <w:t xml:space="preserve"> t</w:t>
      </w:r>
      <w:r w:rsidRPr="00B41AC5">
        <w:rPr>
          <w:snapToGrid w:val="0"/>
        </w:rPr>
        <w:t xml:space="preserve">he proposal for </w:t>
      </w:r>
      <w:r w:rsidRPr="00B41AC5">
        <w:t xml:space="preserve">a new example </w:t>
      </w:r>
      <w:r w:rsidR="00B15B96">
        <w:t xml:space="preserve">to </w:t>
      </w:r>
      <w:r w:rsidRPr="00B41AC5">
        <w:t>be added to document TGP/15 to illustrate a situation where the characteristic-specific marker does not provide complete information on the state of expression of a characteristic, as set out in the Annex to this document</w:t>
      </w:r>
      <w:r w:rsidR="008F223E">
        <w:t>, in conjunction with the comments of the TWA, TWC and BMT</w:t>
      </w:r>
      <w:r w:rsidR="001077EC">
        <w:t xml:space="preserve">. </w:t>
      </w:r>
    </w:p>
    <w:p w:rsidR="00B41AC5" w:rsidRPr="00B15B96" w:rsidRDefault="00B41AC5" w:rsidP="00B41AC5">
      <w:pPr>
        <w:tabs>
          <w:tab w:val="left" w:pos="5954"/>
        </w:tabs>
        <w:ind w:left="4820" w:firstLine="570"/>
        <w:rPr>
          <w:i/>
        </w:rPr>
      </w:pPr>
    </w:p>
    <w:p w:rsidR="00B41AC5" w:rsidRPr="00B41AC5" w:rsidRDefault="00B41AC5" w:rsidP="00B41AC5"/>
    <w:p w:rsidR="00B41AC5" w:rsidRPr="00B41AC5" w:rsidRDefault="00B41AC5" w:rsidP="00B41AC5"/>
    <w:p w:rsidR="00B41AC5" w:rsidRPr="00B41AC5" w:rsidRDefault="00B41AC5" w:rsidP="00B41AC5">
      <w:pPr>
        <w:jc w:val="right"/>
        <w:rPr>
          <w:snapToGrid w:val="0"/>
          <w:sz w:val="18"/>
          <w:szCs w:val="18"/>
        </w:rPr>
      </w:pPr>
      <w:r w:rsidRPr="00B41AC5">
        <w:t>[Annex follows]</w:t>
      </w:r>
    </w:p>
    <w:p w:rsidR="00B41AC5" w:rsidRPr="00B41AC5" w:rsidRDefault="00B41AC5" w:rsidP="00B41AC5">
      <w:pPr>
        <w:jc w:val="left"/>
        <w:rPr>
          <w:snapToGrid w:val="0"/>
          <w:sz w:val="18"/>
          <w:szCs w:val="18"/>
        </w:rPr>
      </w:pPr>
    </w:p>
    <w:p w:rsidR="00B41AC5" w:rsidRPr="00B41AC5" w:rsidRDefault="00B41AC5" w:rsidP="00B41AC5">
      <w:pPr>
        <w:jc w:val="left"/>
        <w:sectPr w:rsidR="00B41AC5" w:rsidRPr="00B41AC5" w:rsidSect="00906DDC">
          <w:headerReference w:type="default" r:id="rId8"/>
          <w:pgSz w:w="11907" w:h="16840" w:code="9"/>
          <w:pgMar w:top="510" w:right="1134" w:bottom="1134" w:left="1134" w:header="510" w:footer="680" w:gutter="0"/>
          <w:cols w:space="720"/>
          <w:titlePg/>
        </w:sectPr>
      </w:pPr>
    </w:p>
    <w:p w:rsidR="00B41AC5" w:rsidRPr="00B41AC5" w:rsidRDefault="00B41AC5" w:rsidP="00B41AC5">
      <w:pPr>
        <w:jc w:val="left"/>
      </w:pPr>
    </w:p>
    <w:p w:rsidR="00B41AC5" w:rsidRPr="00B41AC5" w:rsidRDefault="00B41AC5" w:rsidP="00B41AC5"/>
    <w:p w:rsidR="00B41AC5" w:rsidRPr="00027D8B" w:rsidRDefault="00B41AC5" w:rsidP="00B41AC5">
      <w:pPr>
        <w:spacing w:after="160" w:line="259" w:lineRule="auto"/>
        <w:jc w:val="center"/>
        <w:rPr>
          <w:rFonts w:eastAsia="Calibri" w:cs="Arial"/>
          <w:lang w:val="en-GB"/>
        </w:rPr>
      </w:pPr>
      <w:r w:rsidRPr="00027D8B">
        <w:rPr>
          <w:rFonts w:eastAsia="Calibri" w:cs="Arial"/>
          <w:lang w:val="en-GB"/>
        </w:rPr>
        <w:t>EXAMPLE 2:  GENE SPECIFIC MARKER FOR DISEASE RESISTANCE IN TOMATO</w:t>
      </w:r>
    </w:p>
    <w:p w:rsidR="00B41AC5" w:rsidRPr="00027D8B" w:rsidRDefault="00B41AC5" w:rsidP="00B41AC5">
      <w:pPr>
        <w:spacing w:after="160" w:line="259" w:lineRule="auto"/>
        <w:jc w:val="center"/>
        <w:rPr>
          <w:rFonts w:eastAsia="Calibri" w:cs="Arial"/>
          <w:i/>
          <w:iCs/>
          <w:lang w:val="en-GB"/>
        </w:rPr>
      </w:pPr>
      <w:proofErr w:type="gramStart"/>
      <w:r w:rsidRPr="00027D8B">
        <w:rPr>
          <w:rFonts w:eastAsia="Calibri" w:cs="Arial"/>
          <w:i/>
          <w:iCs/>
          <w:lang w:val="en-GB"/>
        </w:rPr>
        <w:t>prepared</w:t>
      </w:r>
      <w:proofErr w:type="gramEnd"/>
      <w:r w:rsidRPr="00027D8B">
        <w:rPr>
          <w:rFonts w:eastAsia="Calibri" w:cs="Arial"/>
          <w:i/>
          <w:iCs/>
          <w:lang w:val="en-GB"/>
        </w:rPr>
        <w:t xml:space="preserve"> by experts from The Netherlands</w:t>
      </w:r>
    </w:p>
    <w:p w:rsidR="00B41AC5" w:rsidRPr="00027D8B" w:rsidRDefault="00B41AC5" w:rsidP="00B41AC5">
      <w:pPr>
        <w:autoSpaceDE w:val="0"/>
        <w:autoSpaceDN w:val="0"/>
        <w:adjustRightInd w:val="0"/>
        <w:rPr>
          <w:rFonts w:eastAsia="Calibri" w:cs="Arial"/>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Example</w:t>
      </w:r>
    </w:p>
    <w:p w:rsidR="00B41AC5" w:rsidRPr="00027D8B" w:rsidRDefault="00B41AC5" w:rsidP="00B41AC5">
      <w:pPr>
        <w:autoSpaceDE w:val="0"/>
        <w:autoSpaceDN w:val="0"/>
        <w:adjustRightInd w:val="0"/>
        <w:rPr>
          <w:rFonts w:eastAsia="Calibri" w:cs="Arial"/>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1.</w:t>
      </w:r>
      <w:r w:rsidRPr="00027D8B">
        <w:rPr>
          <w:rFonts w:eastAsia="Calibri" w:cs="Arial"/>
          <w:lang w:val="en-GB"/>
        </w:rPr>
        <w:tab/>
        <w:t>Resistance to Tomato mosaic virus (</w:t>
      </w:r>
      <w:proofErr w:type="spellStart"/>
      <w:r w:rsidRPr="00027D8B">
        <w:rPr>
          <w:rFonts w:eastAsia="Calibri" w:cs="Arial"/>
          <w:lang w:val="en-GB"/>
        </w:rPr>
        <w:t>ToMV</w:t>
      </w:r>
      <w:proofErr w:type="spellEnd"/>
      <w:r w:rsidRPr="00027D8B">
        <w:rPr>
          <w:rFonts w:eastAsia="Calibri" w:cs="Arial"/>
          <w:lang w:val="en-GB"/>
        </w:rPr>
        <w:t>) is included in the Test Guidelines for Tomato.</w:t>
      </w:r>
    </w:p>
    <w:p w:rsidR="00B41AC5" w:rsidRPr="00027D8B" w:rsidRDefault="00B41AC5" w:rsidP="00B41AC5">
      <w:pPr>
        <w:autoSpaceDE w:val="0"/>
        <w:autoSpaceDN w:val="0"/>
        <w:adjustRightInd w:val="0"/>
        <w:rPr>
          <w:rFonts w:eastAsia="Calibri" w:cs="Arial"/>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2.</w:t>
      </w:r>
      <w:r w:rsidRPr="00027D8B">
        <w:rPr>
          <w:rFonts w:eastAsia="Calibri" w:cs="Arial"/>
          <w:lang w:val="en-GB"/>
        </w:rPr>
        <w:tab/>
        <w:t xml:space="preserve">Resistance to </w:t>
      </w:r>
      <w:proofErr w:type="spellStart"/>
      <w:r w:rsidRPr="00027D8B">
        <w:rPr>
          <w:rFonts w:eastAsia="Calibri" w:cs="Arial"/>
          <w:lang w:val="en-GB"/>
        </w:rPr>
        <w:t>ToMV</w:t>
      </w:r>
      <w:proofErr w:type="spellEnd"/>
      <w:r w:rsidRPr="00027D8B">
        <w:rPr>
          <w:rFonts w:eastAsia="Calibri" w:cs="Arial"/>
          <w:lang w:val="en-GB"/>
        </w:rPr>
        <w:t xml:space="preserve"> Strain 0 </w:t>
      </w:r>
      <w:proofErr w:type="gramStart"/>
      <w:r w:rsidRPr="00027D8B">
        <w:rPr>
          <w:rFonts w:eastAsia="Calibri" w:cs="Arial"/>
          <w:lang w:val="en-GB"/>
        </w:rPr>
        <w:t>is conferred</w:t>
      </w:r>
      <w:proofErr w:type="gramEnd"/>
      <w:r w:rsidRPr="00027D8B">
        <w:rPr>
          <w:rFonts w:eastAsia="Calibri" w:cs="Arial"/>
          <w:lang w:val="en-GB"/>
        </w:rPr>
        <w:t xml:space="preserve"> by the presence of one or more genes, </w:t>
      </w:r>
      <w:r w:rsidR="00F51AF8" w:rsidRPr="00027D8B">
        <w:rPr>
          <w:rFonts w:eastAsia="Calibri" w:cs="Arial"/>
          <w:lang w:val="en-GB"/>
        </w:rPr>
        <w:t>including</w:t>
      </w:r>
      <w:r w:rsidRPr="00027D8B">
        <w:rPr>
          <w:rFonts w:eastAsia="Calibri" w:cs="Arial"/>
          <w:lang w:val="en-GB"/>
        </w:rPr>
        <w:t xml:space="preserve"> Tm1; Tm2; and Tm2</w:t>
      </w:r>
      <w:r w:rsidRPr="00027D8B">
        <w:rPr>
          <w:rFonts w:eastAsia="Calibri" w:cs="Arial"/>
          <w:vertAlign w:val="superscript"/>
          <w:lang w:val="en-GB"/>
        </w:rPr>
        <w:t>2</w:t>
      </w:r>
      <w:r w:rsidRPr="00027D8B">
        <w:rPr>
          <w:rFonts w:eastAsia="Calibri" w:cs="Arial"/>
          <w:lang w:val="en-GB"/>
        </w:rPr>
        <w:t>.</w:t>
      </w:r>
    </w:p>
    <w:p w:rsidR="00F51AF8" w:rsidRPr="00027D8B" w:rsidRDefault="00F51AF8" w:rsidP="00F51AF8">
      <w:pPr>
        <w:autoSpaceDE w:val="0"/>
        <w:autoSpaceDN w:val="0"/>
        <w:adjustRightInd w:val="0"/>
        <w:rPr>
          <w:rFonts w:eastAsia="Calibri" w:cs="Arial"/>
        </w:rPr>
      </w:pPr>
    </w:p>
    <w:p w:rsidR="00F51AF8" w:rsidRPr="00027D8B" w:rsidRDefault="00F51AF8" w:rsidP="00F51AF8">
      <w:pPr>
        <w:autoSpaceDE w:val="0"/>
        <w:autoSpaceDN w:val="0"/>
        <w:adjustRightInd w:val="0"/>
        <w:rPr>
          <w:rFonts w:eastAsia="Calibri" w:cs="Arial"/>
          <w:lang w:val="en-GB"/>
        </w:rPr>
      </w:pPr>
      <w:r w:rsidRPr="00027D8B">
        <w:rPr>
          <w:rFonts w:eastAsia="Calibri" w:cs="Arial"/>
          <w:lang w:val="en-GB"/>
        </w:rPr>
        <w:t>Table 1:  Schematic overview of resistance to Tomato mosaic virus and resistance alleles:</w:t>
      </w:r>
    </w:p>
    <w:p w:rsidR="00F51AF8" w:rsidRPr="00B41AC5" w:rsidRDefault="00F51AF8" w:rsidP="00F51AF8">
      <w:pPr>
        <w:autoSpaceDE w:val="0"/>
        <w:autoSpaceDN w:val="0"/>
        <w:adjustRightInd w:val="0"/>
        <w:rPr>
          <w:rFonts w:eastAsia="Calibri" w:cs="Arial"/>
          <w:sz w:val="19"/>
          <w:szCs w:val="19"/>
          <w:lang w:val="en-GB"/>
        </w:rPr>
      </w:pPr>
    </w:p>
    <w:tbl>
      <w:tblPr>
        <w:tblStyle w:val="TableGrid"/>
        <w:tblW w:w="9634" w:type="dxa"/>
        <w:tblLook w:val="04A0" w:firstRow="1" w:lastRow="0" w:firstColumn="1" w:lastColumn="0" w:noHBand="0" w:noVBand="1"/>
      </w:tblPr>
      <w:tblGrid>
        <w:gridCol w:w="2122"/>
        <w:gridCol w:w="1842"/>
        <w:gridCol w:w="1985"/>
        <w:gridCol w:w="1843"/>
        <w:gridCol w:w="1842"/>
      </w:tblGrid>
      <w:tr w:rsidR="00F51AF8" w:rsidRPr="00B41AC5" w:rsidTr="003042D8">
        <w:tc>
          <w:tcPr>
            <w:tcW w:w="212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Genetic background</w:t>
            </w:r>
          </w:p>
        </w:tc>
        <w:tc>
          <w:tcPr>
            <w:tcW w:w="184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tm2/tm2 </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and </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tm1/tm1</w:t>
            </w:r>
          </w:p>
          <w:p w:rsidR="00F51AF8" w:rsidRPr="00B41AC5" w:rsidRDefault="00F51AF8" w:rsidP="003042D8">
            <w:pPr>
              <w:autoSpaceDE w:val="0"/>
              <w:autoSpaceDN w:val="0"/>
              <w:adjustRightInd w:val="0"/>
              <w:jc w:val="left"/>
              <w:rPr>
                <w:rFonts w:cs="Arial"/>
                <w:sz w:val="19"/>
                <w:szCs w:val="19"/>
                <w:lang w:val="en-GB"/>
              </w:rPr>
            </w:pPr>
          </w:p>
        </w:tc>
        <w:tc>
          <w:tcPr>
            <w:tcW w:w="1985" w:type="dxa"/>
            <w:vAlign w:val="center"/>
          </w:tcPr>
          <w:p w:rsidR="00F51AF8" w:rsidRPr="00B41AC5" w:rsidRDefault="00F51AF8" w:rsidP="003042D8">
            <w:pPr>
              <w:autoSpaceDE w:val="0"/>
              <w:autoSpaceDN w:val="0"/>
              <w:adjustRightInd w:val="0"/>
              <w:spacing w:before="60"/>
              <w:jc w:val="left"/>
              <w:rPr>
                <w:rFonts w:cs="Arial"/>
                <w:sz w:val="19"/>
                <w:szCs w:val="19"/>
                <w:lang w:val="en-GB"/>
              </w:rPr>
            </w:pPr>
            <w:r w:rsidRPr="00B41AC5">
              <w:rPr>
                <w:rFonts w:cs="Arial"/>
                <w:sz w:val="19"/>
                <w:szCs w:val="19"/>
                <w:lang w:val="en-GB"/>
              </w:rPr>
              <w:t xml:space="preserve">Tm2/Tm2 or Tm2/tm2 </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and </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spacing w:before="60"/>
              <w:jc w:val="left"/>
              <w:rPr>
                <w:rFonts w:cs="Arial"/>
                <w:sz w:val="19"/>
                <w:szCs w:val="19"/>
                <w:lang w:val="en-GB"/>
              </w:rPr>
            </w:pPr>
            <w:r w:rsidRPr="00B41AC5">
              <w:rPr>
                <w:rFonts w:cs="Arial"/>
                <w:sz w:val="19"/>
                <w:szCs w:val="19"/>
                <w:lang w:val="en-GB"/>
              </w:rPr>
              <w:t>Tm1/Tm1 or Tm1/tm1 or                tm1/tm1</w:t>
            </w:r>
          </w:p>
        </w:tc>
        <w:tc>
          <w:tcPr>
            <w:tcW w:w="1843" w:type="dxa"/>
            <w:vAlign w:val="center"/>
          </w:tcPr>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spacing w:before="60"/>
              <w:jc w:val="left"/>
              <w:rPr>
                <w:rFonts w:cs="Arial"/>
                <w:sz w:val="19"/>
                <w:szCs w:val="19"/>
                <w:lang w:val="en-GB"/>
              </w:rPr>
            </w:pPr>
            <w:r w:rsidRPr="00B41AC5">
              <w:rPr>
                <w:rFonts w:cs="Arial"/>
                <w:sz w:val="19"/>
                <w:szCs w:val="19"/>
                <w:lang w:val="en-GB"/>
              </w:rPr>
              <w:t>Tm2</w:t>
            </w:r>
            <w:r w:rsidRPr="00B41AC5">
              <w:rPr>
                <w:rFonts w:cs="Arial"/>
                <w:sz w:val="19"/>
                <w:szCs w:val="19"/>
                <w:vertAlign w:val="superscript"/>
                <w:lang w:val="en-GB"/>
              </w:rPr>
              <w:t>2</w:t>
            </w:r>
            <w:r w:rsidRPr="00B41AC5">
              <w:rPr>
                <w:rFonts w:cs="Arial"/>
                <w:sz w:val="19"/>
                <w:szCs w:val="19"/>
                <w:lang w:val="en-GB"/>
              </w:rPr>
              <w:t>/Tm2</w:t>
            </w:r>
            <w:r w:rsidRPr="00B41AC5">
              <w:rPr>
                <w:rFonts w:cs="Arial"/>
                <w:sz w:val="19"/>
                <w:szCs w:val="19"/>
                <w:vertAlign w:val="superscript"/>
                <w:lang w:val="en-GB"/>
              </w:rPr>
              <w:t>2</w:t>
            </w:r>
            <w:r w:rsidRPr="00B41AC5">
              <w:rPr>
                <w:rFonts w:cs="Arial"/>
                <w:sz w:val="19"/>
                <w:szCs w:val="19"/>
                <w:lang w:val="en-GB"/>
              </w:rPr>
              <w:t xml:space="preserve"> or Tm2</w:t>
            </w:r>
            <w:r w:rsidRPr="00B41AC5">
              <w:rPr>
                <w:rFonts w:cs="Arial"/>
                <w:sz w:val="19"/>
                <w:szCs w:val="19"/>
                <w:vertAlign w:val="superscript"/>
                <w:lang w:val="en-GB"/>
              </w:rPr>
              <w:t>2</w:t>
            </w:r>
            <w:r w:rsidRPr="00B41AC5">
              <w:rPr>
                <w:rFonts w:cs="Arial"/>
                <w:sz w:val="19"/>
                <w:szCs w:val="19"/>
                <w:lang w:val="en-GB"/>
              </w:rPr>
              <w:t>/Tm2 or        Tm2</w:t>
            </w:r>
            <w:r w:rsidRPr="00B41AC5">
              <w:rPr>
                <w:rFonts w:cs="Arial"/>
                <w:sz w:val="19"/>
                <w:szCs w:val="19"/>
                <w:vertAlign w:val="superscript"/>
                <w:lang w:val="en-GB"/>
              </w:rPr>
              <w:t>2</w:t>
            </w:r>
            <w:r w:rsidRPr="00B41AC5">
              <w:rPr>
                <w:rFonts w:cs="Arial"/>
                <w:sz w:val="19"/>
                <w:szCs w:val="19"/>
                <w:lang w:val="en-GB"/>
              </w:rPr>
              <w:t>/tm2</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and </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Tm1/Tm1 or Tm1/tm1 or </w:t>
            </w: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tm1/tm1</w:t>
            </w:r>
          </w:p>
          <w:p w:rsidR="00F51AF8" w:rsidRPr="00B41AC5" w:rsidRDefault="00F51AF8" w:rsidP="003042D8">
            <w:pPr>
              <w:autoSpaceDE w:val="0"/>
              <w:autoSpaceDN w:val="0"/>
              <w:adjustRightInd w:val="0"/>
              <w:jc w:val="left"/>
              <w:rPr>
                <w:rFonts w:cs="Arial"/>
                <w:sz w:val="19"/>
                <w:szCs w:val="19"/>
                <w:lang w:val="en-GB"/>
              </w:rPr>
            </w:pPr>
          </w:p>
        </w:tc>
        <w:tc>
          <w:tcPr>
            <w:tcW w:w="184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tm2tm2 </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and</w:t>
            </w:r>
          </w:p>
          <w:p w:rsidR="00F51AF8" w:rsidRPr="00B41AC5" w:rsidRDefault="00F51AF8" w:rsidP="003042D8">
            <w:pPr>
              <w:autoSpaceDE w:val="0"/>
              <w:autoSpaceDN w:val="0"/>
              <w:adjustRightInd w:val="0"/>
              <w:jc w:val="left"/>
              <w:rPr>
                <w:rFonts w:cs="Arial"/>
                <w:sz w:val="19"/>
                <w:szCs w:val="19"/>
                <w:lang w:val="en-GB"/>
              </w:rPr>
            </w:pP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Tm1/Tm1 or </w:t>
            </w:r>
          </w:p>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 xml:space="preserve">Tm1/tm1 </w:t>
            </w:r>
          </w:p>
        </w:tc>
      </w:tr>
      <w:tr w:rsidR="00F51AF8" w:rsidRPr="00B41AC5" w:rsidTr="003042D8">
        <w:trPr>
          <w:trHeight w:val="606"/>
        </w:trPr>
        <w:tc>
          <w:tcPr>
            <w:tcW w:w="212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Marker Tm2/2</w:t>
            </w:r>
            <w:r w:rsidRPr="00B41AC5">
              <w:rPr>
                <w:rFonts w:cs="Arial"/>
                <w:sz w:val="19"/>
                <w:szCs w:val="19"/>
                <w:vertAlign w:val="superscript"/>
                <w:lang w:val="en-GB"/>
              </w:rPr>
              <w:t>2</w:t>
            </w:r>
          </w:p>
        </w:tc>
        <w:tc>
          <w:tcPr>
            <w:tcW w:w="184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susceptible allele</w:t>
            </w:r>
          </w:p>
        </w:tc>
        <w:tc>
          <w:tcPr>
            <w:tcW w:w="1985"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resistant allele</w:t>
            </w:r>
          </w:p>
        </w:tc>
        <w:tc>
          <w:tcPr>
            <w:tcW w:w="1843"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resistant allele</w:t>
            </w:r>
          </w:p>
        </w:tc>
        <w:tc>
          <w:tcPr>
            <w:tcW w:w="184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susceptible allele</w:t>
            </w:r>
          </w:p>
        </w:tc>
      </w:tr>
      <w:tr w:rsidR="00F51AF8" w:rsidRPr="00B41AC5" w:rsidTr="003042D8">
        <w:trPr>
          <w:trHeight w:val="558"/>
        </w:trPr>
        <w:tc>
          <w:tcPr>
            <w:tcW w:w="2122" w:type="dxa"/>
            <w:vAlign w:val="center"/>
          </w:tcPr>
          <w:p w:rsidR="00F51AF8" w:rsidRPr="00B41AC5" w:rsidRDefault="00F51AF8" w:rsidP="003042D8">
            <w:pPr>
              <w:autoSpaceDE w:val="0"/>
              <w:autoSpaceDN w:val="0"/>
              <w:adjustRightInd w:val="0"/>
              <w:spacing w:before="120" w:after="120"/>
              <w:jc w:val="left"/>
              <w:rPr>
                <w:rFonts w:cs="Arial"/>
                <w:sz w:val="19"/>
                <w:szCs w:val="19"/>
                <w:lang w:val="en-GB"/>
              </w:rPr>
            </w:pPr>
            <w:r w:rsidRPr="00B41AC5">
              <w:rPr>
                <w:rFonts w:cs="Arial"/>
                <w:sz w:val="19"/>
                <w:szCs w:val="19"/>
                <w:lang w:val="en-GB"/>
              </w:rPr>
              <w:t xml:space="preserve">Resistance to </w:t>
            </w:r>
            <w:proofErr w:type="spellStart"/>
            <w:r w:rsidRPr="00B41AC5">
              <w:rPr>
                <w:rFonts w:cs="Arial"/>
                <w:sz w:val="19"/>
                <w:szCs w:val="19"/>
                <w:lang w:val="en-GB"/>
              </w:rPr>
              <w:t>ToMV</w:t>
            </w:r>
            <w:proofErr w:type="spellEnd"/>
            <w:r w:rsidRPr="00B41AC5">
              <w:rPr>
                <w:rFonts w:cs="Arial"/>
                <w:sz w:val="19"/>
                <w:szCs w:val="19"/>
                <w:lang w:val="en-GB"/>
              </w:rPr>
              <w:t xml:space="preserve"> - Strain 0</w:t>
            </w:r>
          </w:p>
        </w:tc>
        <w:tc>
          <w:tcPr>
            <w:tcW w:w="184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absent</w:t>
            </w:r>
          </w:p>
        </w:tc>
        <w:tc>
          <w:tcPr>
            <w:tcW w:w="1985"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present</w:t>
            </w:r>
          </w:p>
        </w:tc>
        <w:tc>
          <w:tcPr>
            <w:tcW w:w="1843"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present</w:t>
            </w:r>
          </w:p>
        </w:tc>
        <w:tc>
          <w:tcPr>
            <w:tcW w:w="1842" w:type="dxa"/>
            <w:vAlign w:val="center"/>
          </w:tcPr>
          <w:p w:rsidR="00F51AF8" w:rsidRPr="00B41AC5" w:rsidRDefault="00F51AF8" w:rsidP="003042D8">
            <w:pPr>
              <w:autoSpaceDE w:val="0"/>
              <w:autoSpaceDN w:val="0"/>
              <w:adjustRightInd w:val="0"/>
              <w:jc w:val="left"/>
              <w:rPr>
                <w:rFonts w:cs="Arial"/>
                <w:sz w:val="19"/>
                <w:szCs w:val="19"/>
                <w:lang w:val="en-GB"/>
              </w:rPr>
            </w:pPr>
            <w:r w:rsidRPr="00B41AC5">
              <w:rPr>
                <w:rFonts w:cs="Arial"/>
                <w:sz w:val="19"/>
                <w:szCs w:val="19"/>
                <w:lang w:val="en-GB"/>
              </w:rPr>
              <w:t>present</w:t>
            </w:r>
          </w:p>
        </w:tc>
      </w:tr>
    </w:tbl>
    <w:p w:rsidR="00F51AF8" w:rsidRPr="00B41AC5" w:rsidRDefault="00F51AF8" w:rsidP="00B41AC5">
      <w:pPr>
        <w:autoSpaceDE w:val="0"/>
        <w:autoSpaceDN w:val="0"/>
        <w:adjustRightInd w:val="0"/>
        <w:jc w:val="left"/>
        <w:rPr>
          <w:rFonts w:eastAsia="Calibri" w:cs="Arial"/>
          <w:sz w:val="19"/>
          <w:szCs w:val="19"/>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3.</w:t>
      </w:r>
      <w:r w:rsidRPr="00027D8B">
        <w:rPr>
          <w:rFonts w:eastAsia="Calibri" w:cs="Arial"/>
          <w:lang w:val="en-GB"/>
        </w:rPr>
        <w:tab/>
        <w:t xml:space="preserve">A marker </w:t>
      </w:r>
      <w:r w:rsidR="008F223E" w:rsidRPr="00027D8B">
        <w:rPr>
          <w:rFonts w:eastAsia="Calibri" w:cs="Arial"/>
          <w:lang w:val="en-GB"/>
        </w:rPr>
        <w:t>identifies</w:t>
      </w:r>
      <w:r w:rsidRPr="00027D8B">
        <w:rPr>
          <w:rFonts w:eastAsia="Calibri" w:cs="Arial"/>
          <w:lang w:val="en-GB"/>
        </w:rPr>
        <w:t xml:space="preserve"> the presence of resistance alleles Tm2 and Tm2</w:t>
      </w:r>
      <w:r w:rsidRPr="00027D8B">
        <w:rPr>
          <w:rFonts w:eastAsia="Calibri" w:cs="Arial"/>
          <w:vertAlign w:val="superscript"/>
          <w:lang w:val="en-GB"/>
        </w:rPr>
        <w:t>2</w:t>
      </w:r>
      <w:r w:rsidRPr="00027D8B">
        <w:rPr>
          <w:rFonts w:eastAsia="Calibri" w:cs="Arial"/>
          <w:lang w:val="en-GB"/>
        </w:rPr>
        <w:t xml:space="preserve"> and the susceptible allele tm2.  Marker Tm2/2</w:t>
      </w:r>
      <w:r w:rsidRPr="00027D8B">
        <w:rPr>
          <w:rFonts w:eastAsia="Calibri" w:cs="Arial"/>
          <w:vertAlign w:val="superscript"/>
          <w:lang w:val="en-GB"/>
        </w:rPr>
        <w:t>2</w:t>
      </w:r>
      <w:r w:rsidRPr="00027D8B">
        <w:rPr>
          <w:rFonts w:eastAsia="Calibri" w:cs="Arial"/>
          <w:lang w:val="en-GB"/>
        </w:rPr>
        <w:t xml:space="preserve"> </w:t>
      </w:r>
      <w:proofErr w:type="gramStart"/>
      <w:r w:rsidRPr="00027D8B">
        <w:rPr>
          <w:rFonts w:eastAsia="Calibri" w:cs="Arial"/>
          <w:lang w:val="en-GB"/>
        </w:rPr>
        <w:t>is positioned</w:t>
      </w:r>
      <w:proofErr w:type="gramEnd"/>
      <w:r w:rsidRPr="00027D8B">
        <w:rPr>
          <w:rFonts w:eastAsia="Calibri" w:cs="Arial"/>
          <w:lang w:val="en-GB"/>
        </w:rPr>
        <w:t xml:space="preserve"> in the protein coding sequence.</w:t>
      </w:r>
    </w:p>
    <w:p w:rsidR="00B41AC5" w:rsidRPr="00027D8B" w:rsidRDefault="00B41AC5" w:rsidP="00B41AC5">
      <w:pPr>
        <w:autoSpaceDE w:val="0"/>
        <w:autoSpaceDN w:val="0"/>
        <w:adjustRightInd w:val="0"/>
        <w:rPr>
          <w:rFonts w:eastAsia="Calibri" w:cs="Arial"/>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4.</w:t>
      </w:r>
      <w:r w:rsidRPr="00027D8B">
        <w:rPr>
          <w:rFonts w:eastAsia="Calibri" w:cs="Arial"/>
          <w:lang w:val="en-GB"/>
        </w:rPr>
        <w:tab/>
        <w:t xml:space="preserve">A variety will be resistant to </w:t>
      </w:r>
      <w:proofErr w:type="spellStart"/>
      <w:r w:rsidRPr="00027D8B">
        <w:rPr>
          <w:rFonts w:eastAsia="Calibri" w:cs="Arial"/>
          <w:lang w:val="en-GB"/>
        </w:rPr>
        <w:t>ToMV</w:t>
      </w:r>
      <w:proofErr w:type="spellEnd"/>
      <w:r w:rsidRPr="00027D8B">
        <w:rPr>
          <w:rFonts w:eastAsia="Calibri" w:cs="Arial"/>
          <w:lang w:val="en-GB"/>
        </w:rPr>
        <w:t xml:space="preserve"> Strain 0 if resistance allele Tm2 or resistance allele Tm2</w:t>
      </w:r>
      <w:r w:rsidRPr="00027D8B">
        <w:rPr>
          <w:rFonts w:eastAsia="Calibri" w:cs="Arial"/>
          <w:vertAlign w:val="superscript"/>
          <w:lang w:val="en-GB"/>
        </w:rPr>
        <w:t>2</w:t>
      </w:r>
      <w:r w:rsidRPr="00027D8B">
        <w:rPr>
          <w:rFonts w:eastAsia="Calibri" w:cs="Arial"/>
          <w:lang w:val="en-GB"/>
        </w:rPr>
        <w:t xml:space="preserve"> is present.  In this case, the DNA marker test could replace the traditional bioassay to assess resistance to </w:t>
      </w:r>
      <w:proofErr w:type="spellStart"/>
      <w:r w:rsidRPr="00027D8B">
        <w:rPr>
          <w:rFonts w:eastAsia="Calibri" w:cs="Arial"/>
          <w:lang w:val="en-GB"/>
        </w:rPr>
        <w:t>ToMV</w:t>
      </w:r>
      <w:proofErr w:type="spellEnd"/>
      <w:r w:rsidR="00CA248A">
        <w:rPr>
          <w:rFonts w:eastAsia="Calibri" w:cs="Arial"/>
          <w:lang w:val="en-GB"/>
        </w:rPr>
        <w:t> </w:t>
      </w:r>
      <w:r w:rsidRPr="00027D8B">
        <w:rPr>
          <w:rFonts w:eastAsia="Calibri" w:cs="Arial"/>
          <w:lang w:val="en-GB"/>
        </w:rPr>
        <w:t>Strain</w:t>
      </w:r>
      <w:r w:rsidR="00CA248A">
        <w:rPr>
          <w:rFonts w:eastAsia="Calibri" w:cs="Arial"/>
          <w:lang w:val="en-GB"/>
        </w:rPr>
        <w:t> </w:t>
      </w:r>
      <w:r w:rsidRPr="00027D8B">
        <w:rPr>
          <w:rFonts w:eastAsia="Calibri" w:cs="Arial"/>
          <w:lang w:val="en-GB"/>
        </w:rPr>
        <w:t>0.</w:t>
      </w:r>
    </w:p>
    <w:p w:rsidR="00B41AC5" w:rsidRPr="00027D8B" w:rsidRDefault="00B41AC5" w:rsidP="00B41AC5">
      <w:pPr>
        <w:autoSpaceDE w:val="0"/>
        <w:autoSpaceDN w:val="0"/>
        <w:adjustRightInd w:val="0"/>
        <w:rPr>
          <w:rFonts w:eastAsia="Calibri" w:cs="Arial"/>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5.</w:t>
      </w:r>
      <w:r w:rsidRPr="00027D8B">
        <w:rPr>
          <w:rFonts w:eastAsia="Calibri" w:cs="Arial"/>
          <w:lang w:val="en-GB"/>
        </w:rPr>
        <w:tab/>
        <w:t xml:space="preserve">A variety with homozygous allele tm2 will be susceptible to </w:t>
      </w:r>
      <w:proofErr w:type="spellStart"/>
      <w:r w:rsidRPr="00027D8B">
        <w:rPr>
          <w:rFonts w:eastAsia="Calibri" w:cs="Arial"/>
          <w:lang w:val="en-GB"/>
        </w:rPr>
        <w:t>ToMV</w:t>
      </w:r>
      <w:proofErr w:type="spellEnd"/>
      <w:r w:rsidRPr="00027D8B">
        <w:rPr>
          <w:rFonts w:eastAsia="Calibri" w:cs="Arial"/>
          <w:lang w:val="en-GB"/>
        </w:rPr>
        <w:t xml:space="preserve"> Strain 0 unless resistance </w:t>
      </w:r>
      <w:proofErr w:type="gramStart"/>
      <w:r w:rsidRPr="00027D8B">
        <w:rPr>
          <w:rFonts w:eastAsia="Calibri" w:cs="Arial"/>
          <w:lang w:val="en-GB"/>
        </w:rPr>
        <w:t>is coded</w:t>
      </w:r>
      <w:proofErr w:type="gramEnd"/>
      <w:r w:rsidRPr="00027D8B">
        <w:rPr>
          <w:rFonts w:eastAsia="Calibri" w:cs="Arial"/>
          <w:lang w:val="en-GB"/>
        </w:rPr>
        <w:t xml:space="preserve"> by resistance allele Tm1.  In this case, resistance to </w:t>
      </w:r>
      <w:proofErr w:type="spellStart"/>
      <w:r w:rsidRPr="00027D8B">
        <w:rPr>
          <w:rFonts w:eastAsia="Calibri" w:cs="Arial"/>
          <w:lang w:val="en-GB"/>
        </w:rPr>
        <w:t>ToMV</w:t>
      </w:r>
      <w:proofErr w:type="spellEnd"/>
      <w:r w:rsidRPr="00027D8B">
        <w:rPr>
          <w:rFonts w:eastAsia="Calibri" w:cs="Arial"/>
          <w:lang w:val="en-GB"/>
        </w:rPr>
        <w:t xml:space="preserve"> Strain 0 </w:t>
      </w:r>
      <w:proofErr w:type="gramStart"/>
      <w:r w:rsidRPr="00027D8B">
        <w:rPr>
          <w:rFonts w:eastAsia="Calibri" w:cs="Arial"/>
          <w:lang w:val="en-GB"/>
        </w:rPr>
        <w:t>cannot be assessed</w:t>
      </w:r>
      <w:proofErr w:type="gramEnd"/>
      <w:r w:rsidRPr="00027D8B">
        <w:rPr>
          <w:rFonts w:eastAsia="Calibri" w:cs="Arial"/>
          <w:lang w:val="en-GB"/>
        </w:rPr>
        <w:t xml:space="preserve"> by </w:t>
      </w:r>
      <w:r w:rsidR="00F51AF8" w:rsidRPr="00027D8B">
        <w:rPr>
          <w:rFonts w:eastAsia="Calibri" w:cs="Arial"/>
          <w:lang w:val="en-GB"/>
        </w:rPr>
        <w:t xml:space="preserve">a </w:t>
      </w:r>
      <w:r w:rsidRPr="00027D8B">
        <w:rPr>
          <w:rFonts w:eastAsia="Calibri" w:cs="Arial"/>
          <w:lang w:val="en-GB"/>
        </w:rPr>
        <w:t xml:space="preserve">DNA marker test </w:t>
      </w:r>
      <w:r w:rsidR="00F51AF8" w:rsidRPr="00027D8B">
        <w:rPr>
          <w:rFonts w:eastAsia="Calibri" w:cs="Arial"/>
          <w:lang w:val="en-GB"/>
        </w:rPr>
        <w:t>because</w:t>
      </w:r>
      <w:r w:rsidRPr="00027D8B">
        <w:rPr>
          <w:rFonts w:eastAsia="Calibri" w:cs="Arial"/>
          <w:lang w:val="en-GB"/>
        </w:rPr>
        <w:t xml:space="preserve"> there is no reliable marker for gene Tm1.  </w:t>
      </w:r>
    </w:p>
    <w:p w:rsidR="00B41AC5" w:rsidRPr="00027D8B" w:rsidRDefault="00B41AC5" w:rsidP="00B41AC5">
      <w:pPr>
        <w:autoSpaceDE w:val="0"/>
        <w:autoSpaceDN w:val="0"/>
        <w:adjustRightInd w:val="0"/>
        <w:rPr>
          <w:rFonts w:eastAsia="Calibri" w:cs="Arial"/>
          <w:lang w:val="en-GB"/>
        </w:rPr>
      </w:pPr>
    </w:p>
    <w:p w:rsidR="00B41AC5" w:rsidRPr="00027D8B" w:rsidRDefault="00B41AC5" w:rsidP="00B41AC5">
      <w:pPr>
        <w:autoSpaceDE w:val="0"/>
        <w:autoSpaceDN w:val="0"/>
        <w:adjustRightInd w:val="0"/>
        <w:rPr>
          <w:rFonts w:eastAsia="Calibri" w:cs="Arial"/>
          <w:lang w:val="en-GB"/>
        </w:rPr>
      </w:pPr>
      <w:r w:rsidRPr="00027D8B">
        <w:rPr>
          <w:rFonts w:eastAsia="Calibri" w:cs="Arial"/>
          <w:lang w:val="en-GB"/>
        </w:rPr>
        <w:t>6.</w:t>
      </w:r>
      <w:r w:rsidRPr="00027D8B">
        <w:rPr>
          <w:rFonts w:eastAsia="Calibri" w:cs="Arial"/>
          <w:lang w:val="en-GB"/>
        </w:rPr>
        <w:tab/>
        <w:t xml:space="preserve">If a variety is claimed to be resistant to </w:t>
      </w:r>
      <w:proofErr w:type="spellStart"/>
      <w:r w:rsidRPr="00027D8B">
        <w:rPr>
          <w:rFonts w:eastAsia="Calibri" w:cs="Arial"/>
          <w:lang w:val="en-GB"/>
        </w:rPr>
        <w:t>ToMV</w:t>
      </w:r>
      <w:proofErr w:type="spellEnd"/>
      <w:r w:rsidRPr="00027D8B">
        <w:rPr>
          <w:rFonts w:eastAsia="Calibri" w:cs="Arial"/>
          <w:lang w:val="en-GB"/>
        </w:rPr>
        <w:t xml:space="preserve"> </w:t>
      </w:r>
      <w:r w:rsidR="00315619">
        <w:rPr>
          <w:rFonts w:eastAsia="Calibri" w:cs="Arial"/>
          <w:lang w:val="en-GB"/>
        </w:rPr>
        <w:t>S</w:t>
      </w:r>
      <w:r w:rsidRPr="00027D8B">
        <w:rPr>
          <w:rFonts w:eastAsia="Calibri" w:cs="Arial"/>
          <w:lang w:val="en-GB"/>
        </w:rPr>
        <w:t xml:space="preserve">train 0 and the DNA marker test result is tm2/tm2 </w:t>
      </w:r>
      <w:r w:rsidRPr="00F269E6">
        <w:rPr>
          <w:rFonts w:eastAsia="Calibri" w:cs="Arial"/>
          <w:lang w:val="en-GB"/>
        </w:rPr>
        <w:t xml:space="preserve">(homozygous susceptible) a bioassay </w:t>
      </w:r>
      <w:r w:rsidR="00F51AF8" w:rsidRPr="00F269E6">
        <w:rPr>
          <w:rFonts w:eastAsia="Calibri" w:cs="Arial"/>
          <w:lang w:val="en-GB"/>
        </w:rPr>
        <w:t>needs to</w:t>
      </w:r>
      <w:r w:rsidRPr="00F269E6">
        <w:rPr>
          <w:rFonts w:eastAsia="Calibri" w:cs="Arial"/>
          <w:lang w:val="en-GB"/>
        </w:rPr>
        <w:t xml:space="preserve"> be performed to </w:t>
      </w:r>
      <w:r w:rsidR="00F269E6" w:rsidRPr="001043B3">
        <w:rPr>
          <w:rFonts w:eastAsia="Calibri" w:cs="Arial"/>
          <w:lang w:val="en-GB"/>
        </w:rPr>
        <w:t>determine</w:t>
      </w:r>
      <w:r w:rsidR="00F269E6" w:rsidRPr="00F269E6">
        <w:rPr>
          <w:rFonts w:eastAsia="Calibri" w:cs="Arial"/>
          <w:lang w:val="en-GB"/>
        </w:rPr>
        <w:t xml:space="preserve"> </w:t>
      </w:r>
      <w:r w:rsidRPr="00F269E6">
        <w:rPr>
          <w:rFonts w:eastAsia="Calibri" w:cs="Arial"/>
          <w:lang w:val="en-GB"/>
        </w:rPr>
        <w:t>whether the variety is</w:t>
      </w:r>
      <w:r w:rsidRPr="00027D8B">
        <w:rPr>
          <w:rFonts w:eastAsia="Calibri" w:cs="Arial"/>
          <w:lang w:val="en-GB"/>
        </w:rPr>
        <w:t xml:space="preserve"> resistant </w:t>
      </w:r>
      <w:proofErr w:type="gramStart"/>
      <w:r w:rsidRPr="00027D8B">
        <w:rPr>
          <w:rFonts w:eastAsia="Calibri" w:cs="Arial"/>
          <w:lang w:val="en-GB"/>
        </w:rPr>
        <w:t>on the basis of</w:t>
      </w:r>
      <w:proofErr w:type="gramEnd"/>
      <w:r w:rsidRPr="00027D8B">
        <w:rPr>
          <w:rFonts w:eastAsia="Calibri" w:cs="Arial"/>
          <w:lang w:val="en-GB"/>
        </w:rPr>
        <w:t xml:space="preserve"> another gene, such as Tm1.</w:t>
      </w:r>
      <w:r w:rsidR="00315619">
        <w:rPr>
          <w:rFonts w:eastAsia="Calibri" w:cs="Arial"/>
          <w:lang w:val="en-GB"/>
        </w:rPr>
        <w:t xml:space="preserve">  </w:t>
      </w:r>
      <w:r w:rsidR="00315619" w:rsidRPr="00315619">
        <w:rPr>
          <w:rFonts w:eastAsia="Calibri" w:cs="Arial"/>
          <w:highlight w:val="lightGray"/>
          <w:u w:val="single"/>
          <w:lang w:val="en-GB"/>
        </w:rPr>
        <w:t xml:space="preserve">If a variety </w:t>
      </w:r>
      <w:proofErr w:type="gramStart"/>
      <w:r w:rsidR="00315619" w:rsidRPr="00315619">
        <w:rPr>
          <w:rFonts w:eastAsia="Calibri" w:cs="Arial"/>
          <w:highlight w:val="lightGray"/>
          <w:u w:val="single"/>
          <w:lang w:val="en-GB"/>
        </w:rPr>
        <w:t>is claimed</w:t>
      </w:r>
      <w:proofErr w:type="gramEnd"/>
      <w:r w:rsidR="00315619" w:rsidRPr="00315619">
        <w:rPr>
          <w:rFonts w:eastAsia="Calibri" w:cs="Arial"/>
          <w:highlight w:val="lightGray"/>
          <w:u w:val="single"/>
          <w:lang w:val="en-GB"/>
        </w:rPr>
        <w:t xml:space="preserve"> to be susceptible to </w:t>
      </w:r>
      <w:proofErr w:type="spellStart"/>
      <w:r w:rsidR="00315619" w:rsidRPr="00315619">
        <w:rPr>
          <w:rFonts w:eastAsia="Calibri" w:cs="Arial"/>
          <w:highlight w:val="lightGray"/>
          <w:u w:val="single"/>
          <w:lang w:val="en-GB"/>
        </w:rPr>
        <w:t>ToMV</w:t>
      </w:r>
      <w:proofErr w:type="spellEnd"/>
      <w:r w:rsidR="00315619" w:rsidRPr="00315619">
        <w:rPr>
          <w:rFonts w:eastAsia="Calibri" w:cs="Arial"/>
          <w:highlight w:val="lightGray"/>
          <w:u w:val="single"/>
          <w:lang w:val="en-GB"/>
        </w:rPr>
        <w:t xml:space="preserve"> Strain 0, a bioassay should be performed to determine whether the variety is resistant.</w:t>
      </w:r>
      <w:r w:rsidR="00315619">
        <w:rPr>
          <w:rFonts w:eastAsia="Calibri" w:cs="Arial"/>
          <w:lang w:val="en-GB"/>
        </w:rPr>
        <w:t xml:space="preserve"> </w:t>
      </w:r>
    </w:p>
    <w:p w:rsidR="00B41AC5" w:rsidRPr="00027D8B" w:rsidRDefault="00B41AC5" w:rsidP="00B41AC5">
      <w:pPr>
        <w:autoSpaceDE w:val="0"/>
        <w:autoSpaceDN w:val="0"/>
        <w:adjustRightInd w:val="0"/>
        <w:rPr>
          <w:rFonts w:eastAsia="Calibri" w:cs="Arial"/>
        </w:rPr>
      </w:pPr>
    </w:p>
    <w:p w:rsidR="00B41AC5" w:rsidRPr="00B41AC5" w:rsidRDefault="00B41AC5" w:rsidP="00B41AC5"/>
    <w:p w:rsidR="00B41AC5" w:rsidRPr="00B41AC5" w:rsidRDefault="00B41AC5" w:rsidP="00B41AC5"/>
    <w:p w:rsidR="00050E16" w:rsidRPr="004B1215" w:rsidRDefault="00B41AC5" w:rsidP="00321EB4">
      <w:pPr>
        <w:jc w:val="right"/>
      </w:pPr>
      <w:r w:rsidRPr="00B41AC5">
        <w:t>[End of Annex and of document]</w:t>
      </w:r>
    </w:p>
    <w:sectPr w:rsidR="00050E16" w:rsidRPr="004B1215"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26" w:rsidRDefault="00A04A26" w:rsidP="006655D3">
      <w:r>
        <w:separator/>
      </w:r>
    </w:p>
    <w:p w:rsidR="00A04A26" w:rsidRDefault="00A04A26" w:rsidP="006655D3"/>
    <w:p w:rsidR="00A04A26" w:rsidRDefault="00A04A26" w:rsidP="006655D3"/>
  </w:endnote>
  <w:endnote w:type="continuationSeparator" w:id="0">
    <w:p w:rsidR="00A04A26" w:rsidRDefault="00A04A26" w:rsidP="006655D3">
      <w:r>
        <w:separator/>
      </w:r>
    </w:p>
    <w:p w:rsidR="00A04A26" w:rsidRPr="00294751" w:rsidRDefault="00A04A26">
      <w:pPr>
        <w:pStyle w:val="Footer"/>
        <w:spacing w:after="60"/>
        <w:rPr>
          <w:sz w:val="18"/>
          <w:lang w:val="fr-FR"/>
        </w:rPr>
      </w:pPr>
      <w:r w:rsidRPr="00294751">
        <w:rPr>
          <w:sz w:val="18"/>
          <w:lang w:val="fr-FR"/>
        </w:rPr>
        <w:t>[Suite de la note de la page précédente]</w:t>
      </w:r>
    </w:p>
    <w:p w:rsidR="00A04A26" w:rsidRPr="00294751" w:rsidRDefault="00A04A26" w:rsidP="006655D3">
      <w:pPr>
        <w:rPr>
          <w:lang w:val="fr-FR"/>
        </w:rPr>
      </w:pPr>
    </w:p>
    <w:p w:rsidR="00A04A26" w:rsidRPr="00294751" w:rsidRDefault="00A04A26" w:rsidP="006655D3">
      <w:pPr>
        <w:rPr>
          <w:lang w:val="fr-FR"/>
        </w:rPr>
      </w:pPr>
    </w:p>
  </w:endnote>
  <w:endnote w:type="continuationNotice" w:id="1">
    <w:p w:rsidR="00A04A26" w:rsidRPr="00294751" w:rsidRDefault="00A04A26" w:rsidP="006655D3">
      <w:pPr>
        <w:rPr>
          <w:lang w:val="fr-FR"/>
        </w:rPr>
      </w:pPr>
      <w:r w:rsidRPr="00294751">
        <w:rPr>
          <w:lang w:val="fr-FR"/>
        </w:rPr>
        <w:t>[Suite de la note page suivante]</w:t>
      </w:r>
    </w:p>
    <w:p w:rsidR="00A04A26" w:rsidRPr="00294751" w:rsidRDefault="00A04A26" w:rsidP="006655D3">
      <w:pPr>
        <w:rPr>
          <w:lang w:val="fr-FR"/>
        </w:rPr>
      </w:pPr>
    </w:p>
    <w:p w:rsidR="00A04A26" w:rsidRPr="00294751" w:rsidRDefault="00A04A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2B" w:rsidRDefault="00143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2B" w:rsidRDefault="00143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2B" w:rsidRDefault="00143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26" w:rsidRDefault="00A04A26" w:rsidP="006655D3">
      <w:r>
        <w:separator/>
      </w:r>
    </w:p>
  </w:footnote>
  <w:footnote w:type="continuationSeparator" w:id="0">
    <w:p w:rsidR="00A04A26" w:rsidRDefault="00A04A26" w:rsidP="006655D3">
      <w:r>
        <w:separator/>
      </w:r>
    </w:p>
  </w:footnote>
  <w:footnote w:type="continuationNotice" w:id="1">
    <w:p w:rsidR="00A04A26" w:rsidRPr="00AB530F" w:rsidRDefault="00A04A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C5" w:rsidRPr="00C5280D" w:rsidRDefault="003F57DE" w:rsidP="00EB048E">
    <w:pPr>
      <w:pStyle w:val="Header"/>
      <w:rPr>
        <w:rStyle w:val="PageNumber"/>
        <w:lang w:val="en-US"/>
      </w:rPr>
    </w:pPr>
    <w:r>
      <w:t>TC/55/15</w:t>
    </w:r>
  </w:p>
  <w:p w:rsidR="00B41AC5" w:rsidRPr="00C5280D" w:rsidRDefault="00B41AC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5803">
      <w:rPr>
        <w:rStyle w:val="PageNumber"/>
        <w:noProof/>
        <w:lang w:val="en-US"/>
      </w:rPr>
      <w:t>2</w:t>
    </w:r>
    <w:r w:rsidRPr="00C5280D">
      <w:rPr>
        <w:rStyle w:val="PageNumber"/>
        <w:lang w:val="en-US"/>
      </w:rPr>
      <w:fldChar w:fldCharType="end"/>
    </w:r>
  </w:p>
  <w:p w:rsidR="00B41AC5" w:rsidRPr="00C5280D" w:rsidRDefault="00B41AC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2B" w:rsidRDefault="00143A2B">
    <w:pPr>
      <w:pStyle w:val="Header"/>
    </w:pPr>
  </w:p>
  <w:p w:rsidR="00CB6AEA" w:rsidRDefault="00CB6A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4A6CF8">
      <w:rPr>
        <w:rStyle w:val="PageNumber"/>
        <w:lang w:val="en-US"/>
      </w:rPr>
      <w:t>55/1</w:t>
    </w:r>
    <w:r w:rsidR="00143A2B">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1AC5">
      <w:rPr>
        <w:rStyle w:val="PageNumber"/>
        <w:noProof/>
        <w:lang w:val="en-US"/>
      </w:rPr>
      <w:t>2</w:t>
    </w:r>
    <w:r w:rsidRPr="00C5280D">
      <w:rPr>
        <w:rStyle w:val="PageNumber"/>
        <w:lang w:val="en-US"/>
      </w:rPr>
      <w:fldChar w:fldCharType="end"/>
    </w:r>
  </w:p>
  <w:p w:rsidR="00182B99" w:rsidRPr="00C5280D" w:rsidRDefault="00182B99" w:rsidP="006655D3"/>
  <w:p w:rsidR="00CB6AEA" w:rsidRDefault="00CB6AE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2B" w:rsidRDefault="003F57DE">
    <w:pPr>
      <w:pStyle w:val="Header"/>
    </w:pPr>
    <w:r>
      <w:t>TC/55/15</w:t>
    </w:r>
  </w:p>
  <w:p w:rsidR="003F57DE" w:rsidRDefault="003F57DE">
    <w:pPr>
      <w:pStyle w:val="Header"/>
    </w:pPr>
  </w:p>
  <w:p w:rsidR="003F57DE" w:rsidRDefault="003F57DE">
    <w:pPr>
      <w:pStyle w:val="Header"/>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0D99"/>
    <w:multiLevelType w:val="hybridMultilevel"/>
    <w:tmpl w:val="41CEC9F2"/>
    <w:lvl w:ilvl="0" w:tplc="6B7860B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245754D9"/>
    <w:multiLevelType w:val="hybridMultilevel"/>
    <w:tmpl w:val="41CEC9F2"/>
    <w:lvl w:ilvl="0" w:tplc="6B7860B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27D8B"/>
    <w:rsid w:val="00030854"/>
    <w:rsid w:val="00036028"/>
    <w:rsid w:val="00044642"/>
    <w:rsid w:val="000446B9"/>
    <w:rsid w:val="00047E21"/>
    <w:rsid w:val="00050E16"/>
    <w:rsid w:val="000724B0"/>
    <w:rsid w:val="00085505"/>
    <w:rsid w:val="000C4E25"/>
    <w:rsid w:val="000C7021"/>
    <w:rsid w:val="000D6BBC"/>
    <w:rsid w:val="000D7780"/>
    <w:rsid w:val="000E636A"/>
    <w:rsid w:val="000F2F11"/>
    <w:rsid w:val="001043B3"/>
    <w:rsid w:val="00105929"/>
    <w:rsid w:val="001077EC"/>
    <w:rsid w:val="00110C36"/>
    <w:rsid w:val="001131D5"/>
    <w:rsid w:val="00141DB8"/>
    <w:rsid w:val="00143A2B"/>
    <w:rsid w:val="001548C8"/>
    <w:rsid w:val="00172084"/>
    <w:rsid w:val="0017474A"/>
    <w:rsid w:val="001758C6"/>
    <w:rsid w:val="00182B99"/>
    <w:rsid w:val="00183D24"/>
    <w:rsid w:val="001A473A"/>
    <w:rsid w:val="001D36AC"/>
    <w:rsid w:val="0021332C"/>
    <w:rsid w:val="00213982"/>
    <w:rsid w:val="002368AA"/>
    <w:rsid w:val="0024416D"/>
    <w:rsid w:val="00271911"/>
    <w:rsid w:val="002800A0"/>
    <w:rsid w:val="002801B3"/>
    <w:rsid w:val="00281060"/>
    <w:rsid w:val="002940E8"/>
    <w:rsid w:val="00294751"/>
    <w:rsid w:val="002A6E50"/>
    <w:rsid w:val="002B4298"/>
    <w:rsid w:val="002C256A"/>
    <w:rsid w:val="00304827"/>
    <w:rsid w:val="00305A7F"/>
    <w:rsid w:val="003152FE"/>
    <w:rsid w:val="00315619"/>
    <w:rsid w:val="00321EB4"/>
    <w:rsid w:val="00321EDE"/>
    <w:rsid w:val="00327436"/>
    <w:rsid w:val="003418E6"/>
    <w:rsid w:val="00344BD6"/>
    <w:rsid w:val="00352B9A"/>
    <w:rsid w:val="0035528D"/>
    <w:rsid w:val="00361821"/>
    <w:rsid w:val="00361E9E"/>
    <w:rsid w:val="00382007"/>
    <w:rsid w:val="00384702"/>
    <w:rsid w:val="003C7FBE"/>
    <w:rsid w:val="003D227C"/>
    <w:rsid w:val="003D2B4D"/>
    <w:rsid w:val="003D41CD"/>
    <w:rsid w:val="003E646B"/>
    <w:rsid w:val="003F57DE"/>
    <w:rsid w:val="00444A88"/>
    <w:rsid w:val="0045516B"/>
    <w:rsid w:val="00474DA4"/>
    <w:rsid w:val="00476B4D"/>
    <w:rsid w:val="004805FA"/>
    <w:rsid w:val="004935D2"/>
    <w:rsid w:val="004A6CF8"/>
    <w:rsid w:val="004B1215"/>
    <w:rsid w:val="004B5CF9"/>
    <w:rsid w:val="004D047D"/>
    <w:rsid w:val="004F1E9E"/>
    <w:rsid w:val="004F305A"/>
    <w:rsid w:val="004F6F55"/>
    <w:rsid w:val="00512164"/>
    <w:rsid w:val="00520297"/>
    <w:rsid w:val="005338F9"/>
    <w:rsid w:val="00536FFD"/>
    <w:rsid w:val="0054281C"/>
    <w:rsid w:val="00543967"/>
    <w:rsid w:val="00544581"/>
    <w:rsid w:val="0055268D"/>
    <w:rsid w:val="00576BE4"/>
    <w:rsid w:val="005A400A"/>
    <w:rsid w:val="005B46E9"/>
    <w:rsid w:val="005F640E"/>
    <w:rsid w:val="005F69D1"/>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3EFD"/>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31C9"/>
    <w:rsid w:val="008A743F"/>
    <w:rsid w:val="008B6E60"/>
    <w:rsid w:val="008C0970"/>
    <w:rsid w:val="008D0BC5"/>
    <w:rsid w:val="008D2CF7"/>
    <w:rsid w:val="008D7E86"/>
    <w:rsid w:val="008F223E"/>
    <w:rsid w:val="00900C26"/>
    <w:rsid w:val="00900C6F"/>
    <w:rsid w:val="0090197F"/>
    <w:rsid w:val="00906DDC"/>
    <w:rsid w:val="00925D4A"/>
    <w:rsid w:val="00934E09"/>
    <w:rsid w:val="00936253"/>
    <w:rsid w:val="00940D46"/>
    <w:rsid w:val="00952DD4"/>
    <w:rsid w:val="00965AE7"/>
    <w:rsid w:val="00970FED"/>
    <w:rsid w:val="00983ED6"/>
    <w:rsid w:val="00985803"/>
    <w:rsid w:val="00992D82"/>
    <w:rsid w:val="00997029"/>
    <w:rsid w:val="009A7339"/>
    <w:rsid w:val="009B440E"/>
    <w:rsid w:val="009D083B"/>
    <w:rsid w:val="009D690D"/>
    <w:rsid w:val="009E65B6"/>
    <w:rsid w:val="009F5253"/>
    <w:rsid w:val="00A0132D"/>
    <w:rsid w:val="00A04A26"/>
    <w:rsid w:val="00A24C10"/>
    <w:rsid w:val="00A25888"/>
    <w:rsid w:val="00A37713"/>
    <w:rsid w:val="00A37C2B"/>
    <w:rsid w:val="00A42AC3"/>
    <w:rsid w:val="00A430CF"/>
    <w:rsid w:val="00A54309"/>
    <w:rsid w:val="00AB2B93"/>
    <w:rsid w:val="00AB530F"/>
    <w:rsid w:val="00AB7E5B"/>
    <w:rsid w:val="00AC2491"/>
    <w:rsid w:val="00AC2883"/>
    <w:rsid w:val="00AE0EF1"/>
    <w:rsid w:val="00AE2937"/>
    <w:rsid w:val="00B07301"/>
    <w:rsid w:val="00B11F3E"/>
    <w:rsid w:val="00B15B96"/>
    <w:rsid w:val="00B224DE"/>
    <w:rsid w:val="00B324D4"/>
    <w:rsid w:val="00B41AC5"/>
    <w:rsid w:val="00B46575"/>
    <w:rsid w:val="00B61777"/>
    <w:rsid w:val="00B65691"/>
    <w:rsid w:val="00B74056"/>
    <w:rsid w:val="00B84BBD"/>
    <w:rsid w:val="00B90D32"/>
    <w:rsid w:val="00B91C9D"/>
    <w:rsid w:val="00BA43FB"/>
    <w:rsid w:val="00BC127D"/>
    <w:rsid w:val="00BC1FE6"/>
    <w:rsid w:val="00BF11ED"/>
    <w:rsid w:val="00C061B6"/>
    <w:rsid w:val="00C2446C"/>
    <w:rsid w:val="00C36AE5"/>
    <w:rsid w:val="00C41F17"/>
    <w:rsid w:val="00C527FA"/>
    <w:rsid w:val="00C5280D"/>
    <w:rsid w:val="00C53EB3"/>
    <w:rsid w:val="00C5791C"/>
    <w:rsid w:val="00C66290"/>
    <w:rsid w:val="00C72B7A"/>
    <w:rsid w:val="00C973F2"/>
    <w:rsid w:val="00C97512"/>
    <w:rsid w:val="00CA248A"/>
    <w:rsid w:val="00CA304C"/>
    <w:rsid w:val="00CA774A"/>
    <w:rsid w:val="00CB5DAA"/>
    <w:rsid w:val="00CB6AEA"/>
    <w:rsid w:val="00CC11B0"/>
    <w:rsid w:val="00CC2841"/>
    <w:rsid w:val="00CF1330"/>
    <w:rsid w:val="00CF7E36"/>
    <w:rsid w:val="00D1514A"/>
    <w:rsid w:val="00D326F9"/>
    <w:rsid w:val="00D3708D"/>
    <w:rsid w:val="00D40426"/>
    <w:rsid w:val="00D57C96"/>
    <w:rsid w:val="00D57D18"/>
    <w:rsid w:val="00D8568A"/>
    <w:rsid w:val="00D91203"/>
    <w:rsid w:val="00D95174"/>
    <w:rsid w:val="00DA4973"/>
    <w:rsid w:val="00DA6F36"/>
    <w:rsid w:val="00DB596E"/>
    <w:rsid w:val="00DB7773"/>
    <w:rsid w:val="00DC00EA"/>
    <w:rsid w:val="00DC3802"/>
    <w:rsid w:val="00DF67C6"/>
    <w:rsid w:val="00E07D87"/>
    <w:rsid w:val="00E2109F"/>
    <w:rsid w:val="00E32F7E"/>
    <w:rsid w:val="00E5267B"/>
    <w:rsid w:val="00E63C0E"/>
    <w:rsid w:val="00E72D49"/>
    <w:rsid w:val="00E7593C"/>
    <w:rsid w:val="00E7678A"/>
    <w:rsid w:val="00E935F1"/>
    <w:rsid w:val="00E94A81"/>
    <w:rsid w:val="00EA06CE"/>
    <w:rsid w:val="00EA1FFB"/>
    <w:rsid w:val="00EB048E"/>
    <w:rsid w:val="00EB4E9C"/>
    <w:rsid w:val="00EE1141"/>
    <w:rsid w:val="00EE34DF"/>
    <w:rsid w:val="00EF2F89"/>
    <w:rsid w:val="00F03E98"/>
    <w:rsid w:val="00F1237A"/>
    <w:rsid w:val="00F22CBD"/>
    <w:rsid w:val="00F269E6"/>
    <w:rsid w:val="00F272F1"/>
    <w:rsid w:val="00F45372"/>
    <w:rsid w:val="00F51AF8"/>
    <w:rsid w:val="00F524E3"/>
    <w:rsid w:val="00F560F7"/>
    <w:rsid w:val="00F6334D"/>
    <w:rsid w:val="00FA49AB"/>
    <w:rsid w:val="00FB6BDA"/>
    <w:rsid w:val="00FC18B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2368AA"/>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39"/>
    <w:rsid w:val="00B41AC5"/>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3</Pages>
  <Words>1173</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TC/55/16</vt:lpstr>
    </vt:vector>
  </TitlesOfParts>
  <Company>UPOV</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TC/55/16</dc:title>
  <dc:creator>SANCHEZ VIZCAINO GOMEZ Rosa Maria</dc:creator>
  <cp:lastModifiedBy>MAY Jessica</cp:lastModifiedBy>
  <cp:revision>29</cp:revision>
  <cp:lastPrinted>2019-08-02T18:00:00Z</cp:lastPrinted>
  <dcterms:created xsi:type="dcterms:W3CDTF">2019-04-16T10:30:00Z</dcterms:created>
  <dcterms:modified xsi:type="dcterms:W3CDTF">2019-09-04T12:50:00Z</dcterms:modified>
</cp:coreProperties>
</file>