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rsidRPr="00172084">
              <w:t>E</w:t>
            </w:r>
          </w:p>
        </w:tc>
      </w:tr>
      <w:tr w:rsidR="00DC3802" w:rsidRPr="00DA4973" w:rsidTr="00645CA8">
        <w:trPr>
          <w:trHeight w:val="219"/>
        </w:trPr>
        <w:tc>
          <w:tcPr>
            <w:tcW w:w="6522" w:type="dxa"/>
          </w:tcPr>
          <w:p w:rsidR="00DC3802" w:rsidRPr="00AC2883" w:rsidRDefault="00DC3802" w:rsidP="00AC2883">
            <w:pPr>
              <w:pStyle w:val="upove"/>
            </w:pPr>
            <w:r w:rsidRPr="00AC2883">
              <w:t>International Union for the Protection of New Varieties of Plants</w:t>
            </w:r>
          </w:p>
        </w:tc>
        <w:tc>
          <w:tcPr>
            <w:tcW w:w="3117" w:type="dxa"/>
          </w:tcPr>
          <w:p w:rsidR="00DC3802" w:rsidRPr="00DA4973" w:rsidRDefault="00DC3802" w:rsidP="00DA4973"/>
        </w:tc>
      </w:tr>
    </w:tbl>
    <w:p w:rsidR="00DC3802" w:rsidRDefault="00DC3802" w:rsidP="00DC3802"/>
    <w:p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5280D" w:rsidTr="00EB4E9C">
        <w:tc>
          <w:tcPr>
            <w:tcW w:w="6512" w:type="dxa"/>
          </w:tcPr>
          <w:p w:rsidR="00EB4E9C" w:rsidRPr="00AC2883" w:rsidRDefault="00EB4E9C" w:rsidP="00AC2883">
            <w:pPr>
              <w:pStyle w:val="Sessiontc"/>
              <w:spacing w:line="240" w:lineRule="auto"/>
            </w:pPr>
            <w:r w:rsidRPr="00DA4973">
              <w:t>Technical Committee</w:t>
            </w:r>
          </w:p>
          <w:p w:rsidR="00EB4E9C" w:rsidRPr="00DC3802" w:rsidRDefault="00EB4E9C" w:rsidP="006D7435">
            <w:pPr>
              <w:pStyle w:val="Sessiontcplacedate"/>
              <w:rPr>
                <w:sz w:val="22"/>
              </w:rPr>
            </w:pPr>
            <w:r w:rsidRPr="00DA4973">
              <w:t>Fifty-</w:t>
            </w:r>
            <w:r w:rsidR="008B6E60">
              <w:t>F</w:t>
            </w:r>
            <w:r w:rsidR="006D7435">
              <w:t>ifth</w:t>
            </w:r>
            <w:r w:rsidRPr="00DA4973">
              <w:t xml:space="preserve"> Session</w:t>
            </w:r>
            <w:r w:rsidRPr="00DA4973">
              <w:br/>
              <w:t xml:space="preserve">Geneva, </w:t>
            </w:r>
            <w:r w:rsidR="008B6E60">
              <w:t>October 2</w:t>
            </w:r>
            <w:r w:rsidR="006D7435">
              <w:t>8</w:t>
            </w:r>
            <w:r w:rsidR="008B6E60">
              <w:t xml:space="preserve"> and </w:t>
            </w:r>
            <w:r w:rsidR="006D7435">
              <w:t>29, 2019</w:t>
            </w:r>
          </w:p>
        </w:tc>
        <w:tc>
          <w:tcPr>
            <w:tcW w:w="3127" w:type="dxa"/>
          </w:tcPr>
          <w:p w:rsidR="00EB4E9C" w:rsidRPr="003C7FBE" w:rsidRDefault="006D7435" w:rsidP="003C7FBE">
            <w:pPr>
              <w:pStyle w:val="Doccode"/>
            </w:pPr>
            <w:r>
              <w:t>TC/</w:t>
            </w:r>
            <w:r w:rsidR="00F524E3">
              <w:t>55</w:t>
            </w:r>
            <w:r w:rsidR="00222DBE">
              <w:t>/13</w:t>
            </w:r>
            <w:r w:rsidR="00A354F0">
              <w:t xml:space="preserve"> Add.</w:t>
            </w:r>
          </w:p>
          <w:p w:rsidR="00EB4E9C" w:rsidRPr="003C7FBE" w:rsidRDefault="00EB4E9C" w:rsidP="003C7FBE">
            <w:pPr>
              <w:pStyle w:val="Docoriginal"/>
            </w:pPr>
            <w:r w:rsidRPr="00AC2883">
              <w:t>Original:</w:t>
            </w:r>
            <w:r w:rsidRPr="000E636A">
              <w:rPr>
                <w:b w:val="0"/>
                <w:spacing w:val="0"/>
              </w:rPr>
              <w:t xml:space="preserve">  English</w:t>
            </w:r>
          </w:p>
          <w:p w:rsidR="00EB4E9C" w:rsidRPr="007C1D92" w:rsidRDefault="00EB4E9C" w:rsidP="00143B4E">
            <w:pPr>
              <w:pStyle w:val="Docoriginal"/>
            </w:pPr>
            <w:r w:rsidRPr="00AC2883">
              <w:t>Date</w:t>
            </w:r>
            <w:r w:rsidRPr="00143B4E">
              <w:t>:</w:t>
            </w:r>
            <w:r w:rsidR="008B6E60" w:rsidRPr="00143B4E">
              <w:rPr>
                <w:b w:val="0"/>
                <w:spacing w:val="0"/>
              </w:rPr>
              <w:t xml:space="preserve">  </w:t>
            </w:r>
            <w:r w:rsidR="00533DA5" w:rsidRPr="00143B4E">
              <w:rPr>
                <w:b w:val="0"/>
                <w:spacing w:val="0"/>
              </w:rPr>
              <w:t xml:space="preserve">October </w:t>
            </w:r>
            <w:r w:rsidR="00A354F0" w:rsidRPr="00143B4E">
              <w:rPr>
                <w:b w:val="0"/>
                <w:spacing w:val="0"/>
              </w:rPr>
              <w:t>2</w:t>
            </w:r>
            <w:r w:rsidR="00143B4E" w:rsidRPr="00143B4E">
              <w:rPr>
                <w:b w:val="0"/>
                <w:spacing w:val="0"/>
              </w:rPr>
              <w:t>1</w:t>
            </w:r>
            <w:r w:rsidR="008B6E60" w:rsidRPr="00143B4E">
              <w:rPr>
                <w:b w:val="0"/>
                <w:spacing w:val="0"/>
              </w:rPr>
              <w:t>, 201</w:t>
            </w:r>
            <w:r w:rsidR="006D7435" w:rsidRPr="00143B4E">
              <w:rPr>
                <w:b w:val="0"/>
                <w:spacing w:val="0"/>
              </w:rPr>
              <w:t>9</w:t>
            </w:r>
            <w:bookmarkStart w:id="0" w:name="_GoBack"/>
            <w:bookmarkEnd w:id="0"/>
          </w:p>
        </w:tc>
      </w:tr>
    </w:tbl>
    <w:p w:rsidR="000D7780" w:rsidRPr="006A644A" w:rsidRDefault="00A354F0" w:rsidP="006A644A">
      <w:pPr>
        <w:pStyle w:val="Titleofdoc0"/>
      </w:pPr>
      <w:bookmarkStart w:id="1" w:name="TitleOfDoc"/>
      <w:bookmarkEnd w:id="1"/>
      <w:r>
        <w:t xml:space="preserve">addendum to </w:t>
      </w:r>
      <w:r w:rsidR="00F524E3" w:rsidRPr="00F524E3">
        <w:t>Data Processing for the Assessment of Distinctness and for Producing Variety Descriptions</w:t>
      </w:r>
    </w:p>
    <w:p w:rsidR="006A644A" w:rsidRPr="006A644A" w:rsidRDefault="00AE0EF1" w:rsidP="006A644A">
      <w:pPr>
        <w:pStyle w:val="preparedby1"/>
        <w:jc w:val="left"/>
      </w:pPr>
      <w:bookmarkStart w:id="2" w:name="Prepared"/>
      <w:bookmarkEnd w:id="2"/>
      <w:r w:rsidRPr="000C4E25">
        <w:t xml:space="preserve">Document </w:t>
      </w:r>
      <w:r w:rsidR="0061555F" w:rsidRPr="000C4E25">
        <w:t>prepared by the Office of the Union</w:t>
      </w:r>
    </w:p>
    <w:p w:rsidR="00050E16" w:rsidRPr="006A644A" w:rsidRDefault="00050E16" w:rsidP="006A644A">
      <w:pPr>
        <w:pStyle w:val="Disclaimer"/>
      </w:pPr>
      <w:r w:rsidRPr="006A644A">
        <w:t>Disclaimer:  this document does not represent UPOV policies or guidance</w:t>
      </w:r>
    </w:p>
    <w:p w:rsidR="00C050DC" w:rsidRPr="00C050DC" w:rsidRDefault="00C050DC" w:rsidP="00C050DC">
      <w:pPr>
        <w:keepNext/>
        <w:outlineLvl w:val="0"/>
        <w:rPr>
          <w:caps/>
        </w:rPr>
      </w:pPr>
      <w:bookmarkStart w:id="3" w:name="_Toc475955714"/>
      <w:bookmarkStart w:id="4" w:name="_Toc17894057"/>
      <w:r w:rsidRPr="00C050DC">
        <w:rPr>
          <w:caps/>
        </w:rPr>
        <w:t>EXECUTIVE SUMMARY</w:t>
      </w:r>
      <w:bookmarkEnd w:id="3"/>
      <w:bookmarkEnd w:id="4"/>
    </w:p>
    <w:p w:rsidR="00C050DC" w:rsidRPr="00C050DC" w:rsidRDefault="00C050DC" w:rsidP="00C050DC">
      <w:pPr>
        <w:rPr>
          <w:snapToGrid w:val="0"/>
        </w:rPr>
      </w:pPr>
    </w:p>
    <w:p w:rsidR="00C050DC" w:rsidRDefault="00C050DC" w:rsidP="00C050DC">
      <w:pPr>
        <w:rPr>
          <w:rFonts w:cs="Arial"/>
        </w:rPr>
      </w:pPr>
      <w:r w:rsidRPr="00C050DC">
        <w:rPr>
          <w:lang w:eastAsia="ja-JP"/>
        </w:rPr>
        <w:fldChar w:fldCharType="begin"/>
      </w:r>
      <w:r w:rsidRPr="00C050DC">
        <w:rPr>
          <w:lang w:eastAsia="ja-JP"/>
        </w:rPr>
        <w:instrText xml:space="preserve"> AUTONUM  </w:instrText>
      </w:r>
      <w:r w:rsidRPr="00C050DC">
        <w:rPr>
          <w:lang w:eastAsia="ja-JP"/>
        </w:rPr>
        <w:fldChar w:fldCharType="end"/>
      </w:r>
      <w:r w:rsidRPr="00C050DC">
        <w:rPr>
          <w:lang w:eastAsia="ja-JP"/>
        </w:rPr>
        <w:tab/>
        <w:t xml:space="preserve">The purpose of this </w:t>
      </w:r>
      <w:r w:rsidR="00A354F0">
        <w:rPr>
          <w:lang w:eastAsia="ja-JP"/>
        </w:rPr>
        <w:t>addendum</w:t>
      </w:r>
      <w:r w:rsidRPr="00C050DC">
        <w:rPr>
          <w:lang w:eastAsia="ja-JP"/>
        </w:rPr>
        <w:t xml:space="preserve"> is to </w:t>
      </w:r>
      <w:r w:rsidR="00A354F0">
        <w:rPr>
          <w:snapToGrid w:val="0"/>
        </w:rPr>
        <w:t xml:space="preserve">report on developments at the thirty-seventh session of the Technical Working Party on Automation and Computer Programs (TWC) </w:t>
      </w:r>
      <w:r w:rsidRPr="00C050DC">
        <w:rPr>
          <w:lang w:eastAsia="ja-JP"/>
        </w:rPr>
        <w:t xml:space="preserve">concerning possible new guidance </w:t>
      </w:r>
      <w:r w:rsidR="00B01EAC">
        <w:rPr>
          <w:lang w:eastAsia="ja-JP"/>
        </w:rPr>
        <w:t xml:space="preserve">on </w:t>
      </w:r>
      <w:r w:rsidR="00B01EAC" w:rsidRPr="00C050DC">
        <w:rPr>
          <w:rFonts w:cs="Arial"/>
        </w:rPr>
        <w:t xml:space="preserve">methods </w:t>
      </w:r>
      <w:r w:rsidR="00B01EAC" w:rsidRPr="00C050DC">
        <w:t>to convert observations into notes for producing variety descriptions of measured quantitative characteristics</w:t>
      </w:r>
      <w:r w:rsidR="00B01EAC" w:rsidRPr="00C050DC">
        <w:rPr>
          <w:lang w:eastAsia="ja-JP"/>
        </w:rPr>
        <w:t xml:space="preserve"> </w:t>
      </w:r>
      <w:r w:rsidRPr="00C050DC">
        <w:rPr>
          <w:lang w:eastAsia="ja-JP"/>
        </w:rPr>
        <w:t xml:space="preserve">for </w:t>
      </w:r>
      <w:r w:rsidR="00B01EAC">
        <w:rPr>
          <w:lang w:eastAsia="ja-JP"/>
        </w:rPr>
        <w:t xml:space="preserve">inclusion in </w:t>
      </w:r>
      <w:r w:rsidRPr="00C050DC">
        <w:rPr>
          <w:lang w:eastAsia="ja-JP"/>
        </w:rPr>
        <w:t xml:space="preserve">document </w:t>
      </w:r>
      <w:r w:rsidRPr="00C050DC">
        <w:rPr>
          <w:rFonts w:cs="Arial"/>
        </w:rPr>
        <w:t>TGP/8 on “Data Processing for the Assessment of Distinctness and for Producing Variety Descriptions”.</w:t>
      </w:r>
    </w:p>
    <w:p w:rsidR="00A354F0" w:rsidRDefault="00A354F0" w:rsidP="00C050DC">
      <w:pPr>
        <w:rPr>
          <w:rFonts w:cs="Arial"/>
        </w:rPr>
      </w:pPr>
    </w:p>
    <w:p w:rsidR="00A354F0" w:rsidRPr="00464B9C" w:rsidRDefault="00A354F0" w:rsidP="00A354F0">
      <w:pPr>
        <w:keepNext/>
      </w:pPr>
      <w:r w:rsidRPr="00464B9C">
        <w:fldChar w:fldCharType="begin"/>
      </w:r>
      <w:r w:rsidRPr="00464B9C">
        <w:instrText xml:space="preserve"> AUTONUM  </w:instrText>
      </w:r>
      <w:r w:rsidRPr="00464B9C">
        <w:fldChar w:fldCharType="end"/>
      </w:r>
      <w:r w:rsidRPr="00464B9C">
        <w:tab/>
        <w:t>The TWC considered document TWP/3/10</w:t>
      </w:r>
      <w:r w:rsidR="00AA2581">
        <w:t xml:space="preserve"> “</w:t>
      </w:r>
      <w:r w:rsidR="00AA2581" w:rsidRPr="00464B9C">
        <w:t xml:space="preserve">“Data processing for the </w:t>
      </w:r>
      <w:r w:rsidR="00AA2581" w:rsidRPr="00AA2581">
        <w:t>assessment of distinctness and for producing</w:t>
      </w:r>
      <w:r w:rsidR="00AA2581">
        <w:t xml:space="preserve"> </w:t>
      </w:r>
      <w:r w:rsidR="00AA2581" w:rsidRPr="00464B9C">
        <w:t>variety descriptions</w:t>
      </w:r>
      <w:r w:rsidR="00AA2581">
        <w:t>” (see document TWC/37/12 “Report”, paragraphs 26 to 34)</w:t>
      </w:r>
      <w:r w:rsidRPr="00464B9C">
        <w:t xml:space="preserve">. </w:t>
      </w:r>
    </w:p>
    <w:p w:rsidR="00A354F0" w:rsidRPr="00464B9C" w:rsidRDefault="00A354F0" w:rsidP="00A354F0"/>
    <w:p w:rsidR="00A354F0" w:rsidRPr="00464B9C" w:rsidRDefault="00A354F0" w:rsidP="00A354F0">
      <w:r w:rsidRPr="00464B9C">
        <w:fldChar w:fldCharType="begin"/>
      </w:r>
      <w:r w:rsidRPr="00464B9C">
        <w:instrText xml:space="preserve"> AUTONUM  </w:instrText>
      </w:r>
      <w:r w:rsidRPr="00464B9C">
        <w:fldChar w:fldCharType="end"/>
      </w:r>
      <w:r w:rsidRPr="00464B9C">
        <w:tab/>
        <w:t xml:space="preserve">The TWC considered the summary of different approaches used by members of the Union to convert observations into notes for producing variety descriptions of measured characteristics, as set out in document TWP/3/10, Annex II.  </w:t>
      </w:r>
    </w:p>
    <w:p w:rsidR="00A354F0" w:rsidRPr="00464B9C" w:rsidRDefault="00A354F0" w:rsidP="00A354F0">
      <w:pPr>
        <w:keepNext/>
      </w:pPr>
    </w:p>
    <w:p w:rsidR="00A354F0" w:rsidRPr="00464B9C" w:rsidRDefault="00A354F0" w:rsidP="00A354F0">
      <w:pPr>
        <w:keepNext/>
      </w:pPr>
      <w:r w:rsidRPr="00464B9C">
        <w:fldChar w:fldCharType="begin"/>
      </w:r>
      <w:r w:rsidRPr="00464B9C">
        <w:instrText xml:space="preserve"> AUTONUM  </w:instrText>
      </w:r>
      <w:r w:rsidRPr="00464B9C">
        <w:fldChar w:fldCharType="end"/>
      </w:r>
      <w:r w:rsidRPr="00464B9C">
        <w:tab/>
        <w:t xml:space="preserve">The TWC noted that the different approaches described in the document were used for producing variety descriptions </w:t>
      </w:r>
      <w:r>
        <w:t>and did not mention assessment of distinctness.  The TWC</w:t>
      </w:r>
      <w:r w:rsidRPr="00464B9C">
        <w:t xml:space="preserve"> agreed to propose amending the title of the document to read “Data processing for the </w:t>
      </w:r>
      <w:r w:rsidRPr="00274FA8">
        <w:rPr>
          <w:strike/>
          <w:highlight w:val="lightGray"/>
        </w:rPr>
        <w:t>assessment of distinctness and for producing</w:t>
      </w:r>
      <w:r>
        <w:t xml:space="preserve"> </w:t>
      </w:r>
      <w:r w:rsidRPr="00274FA8">
        <w:rPr>
          <w:highlight w:val="lightGray"/>
          <w:u w:val="single"/>
        </w:rPr>
        <w:t>production of</w:t>
      </w:r>
      <w:r w:rsidRPr="00464B9C">
        <w:t xml:space="preserve"> </w:t>
      </w:r>
      <w:proofErr w:type="gramStart"/>
      <w:r w:rsidRPr="00464B9C">
        <w:t>variety</w:t>
      </w:r>
      <w:proofErr w:type="gramEnd"/>
      <w:r w:rsidRPr="00464B9C">
        <w:t xml:space="preserve"> descriptions</w:t>
      </w:r>
      <w:r>
        <w:t xml:space="preserve"> for measured quantitative characteristics</w:t>
      </w:r>
      <w:r w:rsidRPr="00464B9C">
        <w:t>”.</w:t>
      </w:r>
    </w:p>
    <w:p w:rsidR="00A354F0" w:rsidRPr="00464B9C" w:rsidRDefault="00A354F0" w:rsidP="00A354F0"/>
    <w:p w:rsidR="00A354F0" w:rsidRPr="00464B9C" w:rsidRDefault="00A354F0" w:rsidP="00A354F0">
      <w:r w:rsidRPr="00464B9C">
        <w:fldChar w:fldCharType="begin"/>
      </w:r>
      <w:r w:rsidRPr="00464B9C">
        <w:instrText xml:space="preserve"> AUTONUM  </w:instrText>
      </w:r>
      <w:r w:rsidRPr="00464B9C">
        <w:fldChar w:fldCharType="end"/>
      </w:r>
      <w:r w:rsidRPr="00464B9C">
        <w:tab/>
        <w:t xml:space="preserve">The TWC noted the request by the TC for the experts from France, Germany, Japan and the United Kingdom to provide information on the circumstances in which their methods would be suitable, including the method of propagation of the variety and other factors </w:t>
      </w:r>
      <w:r>
        <w:t>considered</w:t>
      </w:r>
      <w:r w:rsidRPr="00464B9C">
        <w:t xml:space="preserve"> in deciding to use the method.</w:t>
      </w:r>
    </w:p>
    <w:p w:rsidR="00A354F0" w:rsidRPr="00464B9C" w:rsidRDefault="00A354F0" w:rsidP="00A354F0"/>
    <w:p w:rsidR="00A354F0" w:rsidRPr="00464B9C" w:rsidRDefault="00A354F0" w:rsidP="00A354F0">
      <w:r w:rsidRPr="00464B9C">
        <w:fldChar w:fldCharType="begin"/>
      </w:r>
      <w:r w:rsidRPr="00464B9C">
        <w:instrText xml:space="preserve"> AUTONUM  </w:instrText>
      </w:r>
      <w:r w:rsidRPr="00464B9C">
        <w:fldChar w:fldCharType="end"/>
      </w:r>
      <w:r w:rsidRPr="00464B9C">
        <w:tab/>
        <w:t xml:space="preserve">The TWC </w:t>
      </w:r>
      <w:r>
        <w:t>noted</w:t>
      </w:r>
      <w:r w:rsidRPr="00464B9C">
        <w:t xml:space="preserve"> that the descriptions of the methods </w:t>
      </w:r>
      <w:r>
        <w:t xml:space="preserve">was not sufficient for application, </w:t>
      </w:r>
      <w:r w:rsidRPr="00464B9C">
        <w:t xml:space="preserve">and the situations when the methods would or </w:t>
      </w:r>
      <w:r>
        <w:t xml:space="preserve">would </w:t>
      </w:r>
      <w:r w:rsidRPr="00464B9C">
        <w:t>not be suitable.</w:t>
      </w:r>
    </w:p>
    <w:p w:rsidR="00A354F0" w:rsidRPr="00464B9C" w:rsidRDefault="00A354F0" w:rsidP="00A354F0"/>
    <w:p w:rsidR="00A354F0" w:rsidRPr="00464B9C" w:rsidRDefault="00A354F0" w:rsidP="00A354F0">
      <w:r w:rsidRPr="00464B9C">
        <w:fldChar w:fldCharType="begin"/>
      </w:r>
      <w:r w:rsidRPr="00464B9C">
        <w:instrText xml:space="preserve"> AUTONUM  </w:instrText>
      </w:r>
      <w:r w:rsidRPr="00464B9C">
        <w:fldChar w:fldCharType="end"/>
      </w:r>
      <w:r w:rsidRPr="00464B9C">
        <w:tab/>
        <w:t xml:space="preserve">The TWC agreed </w:t>
      </w:r>
      <w:r>
        <w:t>that</w:t>
      </w:r>
      <w:r w:rsidRPr="00464B9C">
        <w:t xml:space="preserve"> the experts from France, Germany, Italy</w:t>
      </w:r>
      <w:r>
        <w:t xml:space="preserve"> and </w:t>
      </w:r>
      <w:r w:rsidRPr="00464B9C">
        <w:t xml:space="preserve">Japan </w:t>
      </w:r>
      <w:r>
        <w:t xml:space="preserve">should be invited </w:t>
      </w:r>
      <w:r w:rsidRPr="00464B9C">
        <w:t xml:space="preserve">to provide the information requested by the TC to the expert from the United Kingdom. </w:t>
      </w:r>
    </w:p>
    <w:p w:rsidR="00A354F0" w:rsidRPr="00464B9C" w:rsidRDefault="00A354F0" w:rsidP="00A354F0"/>
    <w:p w:rsidR="00A354F0" w:rsidRPr="00464B9C" w:rsidRDefault="00A354F0" w:rsidP="00A354F0">
      <w:r w:rsidRPr="00464B9C">
        <w:fldChar w:fldCharType="begin"/>
      </w:r>
      <w:r w:rsidRPr="00464B9C">
        <w:instrText xml:space="preserve"> AUTONUM  </w:instrText>
      </w:r>
      <w:r w:rsidRPr="00464B9C">
        <w:fldChar w:fldCharType="end"/>
      </w:r>
      <w:r w:rsidRPr="00464B9C">
        <w:tab/>
        <w:t xml:space="preserve">The TWC considered the proposal for developing a decision tree on requirements and situations for using the different approaches described.  The TWC agreed to invite the experts from France, Germany, Italy, Japan and the United Kingdom to </w:t>
      </w:r>
      <w:r>
        <w:t xml:space="preserve">consider </w:t>
      </w:r>
      <w:r w:rsidRPr="00464B9C">
        <w:t>provid</w:t>
      </w:r>
      <w:r>
        <w:t>ing</w:t>
      </w:r>
      <w:r w:rsidRPr="00464B9C">
        <w:t xml:space="preserve"> the following information as a starting point for describing the requirements of each approach</w:t>
      </w:r>
      <w:r>
        <w:t>, as appropriate</w:t>
      </w:r>
      <w:r w:rsidRPr="00464B9C">
        <w:t>:</w:t>
      </w:r>
    </w:p>
    <w:p w:rsidR="00A354F0" w:rsidRPr="00464B9C" w:rsidRDefault="00A354F0" w:rsidP="00A354F0"/>
    <w:p w:rsidR="00A354F0" w:rsidRPr="00464B9C" w:rsidRDefault="00A354F0" w:rsidP="00A354F0">
      <w:pPr>
        <w:pStyle w:val="ListParagraph"/>
        <w:numPr>
          <w:ilvl w:val="0"/>
          <w:numId w:val="11"/>
        </w:numPr>
      </w:pPr>
      <w:r w:rsidRPr="00464B9C">
        <w:t>Country</w:t>
      </w:r>
    </w:p>
    <w:p w:rsidR="00A354F0" w:rsidRPr="00464B9C" w:rsidRDefault="00A354F0" w:rsidP="00A354F0">
      <w:pPr>
        <w:pStyle w:val="ListParagraph"/>
        <w:numPr>
          <w:ilvl w:val="0"/>
          <w:numId w:val="11"/>
        </w:numPr>
      </w:pPr>
      <w:r w:rsidRPr="00464B9C">
        <w:t>Method</w:t>
      </w:r>
    </w:p>
    <w:p w:rsidR="00A354F0" w:rsidRPr="00464B9C" w:rsidRDefault="00A354F0" w:rsidP="00A354F0">
      <w:pPr>
        <w:pStyle w:val="ListParagraph"/>
        <w:numPr>
          <w:ilvl w:val="0"/>
          <w:numId w:val="11"/>
        </w:numPr>
      </w:pPr>
      <w:r w:rsidRPr="00464B9C">
        <w:t>Is a full set of example varieties required? [“yes”, “no” or “not applicable</w:t>
      </w:r>
      <w:r>
        <w:t>”</w:t>
      </w:r>
      <w:r w:rsidRPr="00464B9C">
        <w:t>]</w:t>
      </w:r>
    </w:p>
    <w:p w:rsidR="00A354F0" w:rsidRPr="00464B9C" w:rsidRDefault="00A354F0" w:rsidP="00A354F0">
      <w:pPr>
        <w:pStyle w:val="ListParagraph"/>
        <w:numPr>
          <w:ilvl w:val="0"/>
          <w:numId w:val="11"/>
        </w:numPr>
      </w:pPr>
      <w:r w:rsidRPr="00464B9C">
        <w:t>Is a partial set of example varieties required? [“yes”, “no” or “not applicable</w:t>
      </w:r>
      <w:r>
        <w:t>”</w:t>
      </w:r>
      <w:r w:rsidRPr="00464B9C">
        <w:t>]</w:t>
      </w:r>
    </w:p>
    <w:p w:rsidR="00A354F0" w:rsidRPr="00464B9C" w:rsidRDefault="00A354F0" w:rsidP="00A354F0">
      <w:pPr>
        <w:pStyle w:val="ListParagraph"/>
        <w:numPr>
          <w:ilvl w:val="0"/>
          <w:numId w:val="11"/>
        </w:numPr>
      </w:pPr>
      <w:r w:rsidRPr="00464B9C">
        <w:t>Varieties x Years degree of freedom &gt; 15? [“yes”, “no” or “not applicable</w:t>
      </w:r>
      <w:r>
        <w:t>”</w:t>
      </w:r>
      <w:r w:rsidRPr="00464B9C">
        <w:t>]</w:t>
      </w:r>
    </w:p>
    <w:p w:rsidR="00A354F0" w:rsidRPr="00464B9C" w:rsidRDefault="00A354F0" w:rsidP="00A354F0">
      <w:pPr>
        <w:pStyle w:val="ListParagraph"/>
        <w:numPr>
          <w:ilvl w:val="0"/>
          <w:numId w:val="11"/>
        </w:numPr>
      </w:pPr>
      <w:r w:rsidRPr="00464B9C">
        <w:t>Are delineating varieties required? [“yes”, “no” or “not applicable</w:t>
      </w:r>
      <w:r>
        <w:t>”</w:t>
      </w:r>
      <w:r w:rsidRPr="00464B9C">
        <w:t>]</w:t>
      </w:r>
    </w:p>
    <w:p w:rsidR="00A354F0" w:rsidRPr="00464B9C" w:rsidRDefault="00A354F0" w:rsidP="00A354F0">
      <w:pPr>
        <w:pStyle w:val="ListParagraph"/>
        <w:numPr>
          <w:ilvl w:val="0"/>
          <w:numId w:val="11"/>
        </w:numPr>
      </w:pPr>
      <w:r w:rsidRPr="00464B9C">
        <w:t>Is crop expert judgment required? [“yes”, “no” or “not applicable</w:t>
      </w:r>
      <w:r>
        <w:t>”</w:t>
      </w:r>
      <w:r w:rsidRPr="00464B9C">
        <w:t>]</w:t>
      </w:r>
    </w:p>
    <w:p w:rsidR="00A354F0" w:rsidRPr="00464B9C" w:rsidRDefault="00A354F0" w:rsidP="00A354F0">
      <w:pPr>
        <w:pStyle w:val="ListParagraph"/>
        <w:numPr>
          <w:ilvl w:val="0"/>
          <w:numId w:val="11"/>
        </w:numPr>
      </w:pPr>
      <w:r w:rsidRPr="00464B9C">
        <w:t>Is the full range of expression in growing trial required? [“yes”, “no” or “not applicable</w:t>
      </w:r>
      <w:r>
        <w:t>”</w:t>
      </w:r>
      <w:r w:rsidRPr="00464B9C">
        <w:t>]</w:t>
      </w:r>
    </w:p>
    <w:p w:rsidR="00A354F0" w:rsidRPr="00464B9C" w:rsidRDefault="00A354F0" w:rsidP="00A354F0">
      <w:pPr>
        <w:pStyle w:val="ListParagraph"/>
        <w:numPr>
          <w:ilvl w:val="0"/>
          <w:numId w:val="11"/>
        </w:numPr>
      </w:pPr>
      <w:r w:rsidRPr="00464B9C">
        <w:t>Can the method be used with cyclical planting? [“yes”, “no” or “not applicable</w:t>
      </w:r>
      <w:r>
        <w:t>”</w:t>
      </w:r>
      <w:r w:rsidRPr="00464B9C">
        <w:t>]</w:t>
      </w:r>
    </w:p>
    <w:p w:rsidR="00A354F0" w:rsidRPr="00464B9C" w:rsidRDefault="00A354F0" w:rsidP="00A354F0">
      <w:pPr>
        <w:pStyle w:val="ListParagraph"/>
        <w:numPr>
          <w:ilvl w:val="0"/>
          <w:numId w:val="11"/>
        </w:numPr>
      </w:pPr>
      <w:r w:rsidRPr="00464B9C">
        <w:t>Is a continuous range of expression required? [“yes”, “no” or “not applicable</w:t>
      </w:r>
      <w:r>
        <w:t>”</w:t>
      </w:r>
      <w:r w:rsidRPr="00464B9C">
        <w:t>]</w:t>
      </w:r>
    </w:p>
    <w:p w:rsidR="00A354F0" w:rsidRPr="00464B9C" w:rsidRDefault="00A354F0" w:rsidP="00A354F0">
      <w:pPr>
        <w:pStyle w:val="ListParagraph"/>
      </w:pPr>
    </w:p>
    <w:p w:rsidR="00A354F0" w:rsidRPr="00464B9C" w:rsidRDefault="00A354F0" w:rsidP="00A354F0">
      <w:pPr>
        <w:keepNext/>
        <w:keepLines/>
      </w:pPr>
      <w:r w:rsidRPr="00464B9C">
        <w:fldChar w:fldCharType="begin"/>
      </w:r>
      <w:r w:rsidRPr="00464B9C">
        <w:instrText xml:space="preserve"> AUTONUM  </w:instrText>
      </w:r>
      <w:r w:rsidRPr="00464B9C">
        <w:fldChar w:fldCharType="end"/>
      </w:r>
      <w:r w:rsidRPr="00464B9C">
        <w:tab/>
        <w:t>The TWC agreed the information provided could be displayed in the format of a table, as follows:</w:t>
      </w:r>
    </w:p>
    <w:p w:rsidR="00CE38FE" w:rsidRDefault="00CE38FE" w:rsidP="00A354F0">
      <w:pPr>
        <w:keepNext/>
        <w:keepLines/>
      </w:pPr>
    </w:p>
    <w:p w:rsidR="00CE38FE" w:rsidRDefault="00CE38FE" w:rsidP="00A354F0">
      <w:pPr>
        <w:keepNext/>
        <w:keepLines/>
      </w:pPr>
      <w:r w:rsidRPr="00CE38FE">
        <w:rPr>
          <w:rFonts w:cs="Arial"/>
          <w:color w:val="000000"/>
        </w:rPr>
        <w:t>Methods suit</w:t>
      </w:r>
      <w:r>
        <w:rPr>
          <w:rFonts w:cs="Arial"/>
          <w:color w:val="000000"/>
        </w:rPr>
        <w:t>able for quantitative characteristics</w:t>
      </w:r>
    </w:p>
    <w:tbl>
      <w:tblPr>
        <w:tblW w:w="9639" w:type="dxa"/>
        <w:tblInd w:w="-10" w:type="dxa"/>
        <w:tblLook w:val="04A0" w:firstRow="1" w:lastRow="0" w:firstColumn="1" w:lastColumn="0" w:noHBand="0" w:noVBand="1"/>
      </w:tblPr>
      <w:tblGrid>
        <w:gridCol w:w="1008"/>
        <w:gridCol w:w="990"/>
        <w:gridCol w:w="837"/>
        <w:gridCol w:w="851"/>
        <w:gridCol w:w="992"/>
        <w:gridCol w:w="1017"/>
        <w:gridCol w:w="968"/>
        <w:gridCol w:w="992"/>
        <w:gridCol w:w="992"/>
        <w:gridCol w:w="992"/>
      </w:tblGrid>
      <w:tr w:rsidR="00CE38FE" w:rsidRPr="00CE38FE" w:rsidTr="00CE38FE">
        <w:trPr>
          <w:trHeight w:val="1160"/>
        </w:trPr>
        <w:tc>
          <w:tcPr>
            <w:tcW w:w="1008" w:type="dxa"/>
            <w:tcBorders>
              <w:top w:val="single" w:sz="8" w:space="0" w:color="auto"/>
              <w:left w:val="single" w:sz="8" w:space="0" w:color="auto"/>
              <w:bottom w:val="single" w:sz="8" w:space="0" w:color="auto"/>
              <w:right w:val="single" w:sz="8" w:space="0" w:color="000000"/>
            </w:tcBorders>
            <w:shd w:val="clear" w:color="000000" w:fill="F2F2F2"/>
            <w:vAlign w:val="center"/>
            <w:hideMark/>
          </w:tcPr>
          <w:p w:rsidR="00CE38FE" w:rsidRPr="00CE38FE" w:rsidRDefault="00CE38FE" w:rsidP="00CE38FE">
            <w:pPr>
              <w:jc w:val="center"/>
              <w:rPr>
                <w:rFonts w:cs="Arial"/>
                <w:color w:val="000000"/>
                <w:sz w:val="16"/>
                <w:szCs w:val="18"/>
              </w:rPr>
            </w:pPr>
            <w:r w:rsidRPr="00CE38FE">
              <w:rPr>
                <w:rFonts w:cs="Arial"/>
                <w:color w:val="000000"/>
                <w:sz w:val="16"/>
                <w:szCs w:val="18"/>
              </w:rPr>
              <w:t>COUNTRY</w:t>
            </w:r>
          </w:p>
        </w:tc>
        <w:tc>
          <w:tcPr>
            <w:tcW w:w="990" w:type="dxa"/>
            <w:tcBorders>
              <w:top w:val="single" w:sz="8" w:space="0" w:color="auto"/>
              <w:left w:val="nil"/>
              <w:bottom w:val="single" w:sz="8" w:space="0" w:color="auto"/>
              <w:right w:val="single" w:sz="8" w:space="0" w:color="auto"/>
            </w:tcBorders>
            <w:shd w:val="clear" w:color="000000" w:fill="F2F2F2"/>
            <w:noWrap/>
            <w:vAlign w:val="center"/>
            <w:hideMark/>
          </w:tcPr>
          <w:p w:rsidR="00CE38FE" w:rsidRPr="00CE38FE" w:rsidRDefault="00CE38FE" w:rsidP="00CE38FE">
            <w:pPr>
              <w:jc w:val="center"/>
              <w:rPr>
                <w:rFonts w:cs="Arial"/>
                <w:color w:val="000000"/>
                <w:sz w:val="16"/>
                <w:szCs w:val="18"/>
              </w:rPr>
            </w:pPr>
            <w:r w:rsidRPr="00CE38FE">
              <w:rPr>
                <w:rFonts w:cs="Arial"/>
                <w:color w:val="000000"/>
                <w:sz w:val="16"/>
                <w:szCs w:val="18"/>
              </w:rPr>
              <w:t>Method : description</w:t>
            </w:r>
          </w:p>
        </w:tc>
        <w:tc>
          <w:tcPr>
            <w:tcW w:w="837" w:type="dxa"/>
            <w:tcBorders>
              <w:top w:val="single" w:sz="8" w:space="0" w:color="auto"/>
              <w:left w:val="nil"/>
              <w:bottom w:val="single" w:sz="8" w:space="0" w:color="auto"/>
              <w:right w:val="single" w:sz="8" w:space="0" w:color="auto"/>
            </w:tcBorders>
            <w:shd w:val="clear" w:color="000000" w:fill="F2F2F2"/>
            <w:vAlign w:val="center"/>
            <w:hideMark/>
          </w:tcPr>
          <w:p w:rsidR="00CE38FE" w:rsidRPr="00CE38FE" w:rsidRDefault="00CE38FE" w:rsidP="00CE38FE">
            <w:pPr>
              <w:jc w:val="center"/>
              <w:rPr>
                <w:rFonts w:cs="Arial"/>
                <w:color w:val="000000"/>
                <w:sz w:val="16"/>
                <w:szCs w:val="18"/>
              </w:rPr>
            </w:pPr>
            <w:r w:rsidRPr="00CE38FE">
              <w:rPr>
                <w:rFonts w:cs="Arial"/>
                <w:color w:val="000000"/>
                <w:sz w:val="16"/>
                <w:szCs w:val="18"/>
              </w:rPr>
              <w:t>Full set of example varieties</w:t>
            </w:r>
          </w:p>
        </w:tc>
        <w:tc>
          <w:tcPr>
            <w:tcW w:w="851" w:type="dxa"/>
            <w:tcBorders>
              <w:top w:val="single" w:sz="8" w:space="0" w:color="auto"/>
              <w:left w:val="nil"/>
              <w:bottom w:val="single" w:sz="8" w:space="0" w:color="auto"/>
              <w:right w:val="single" w:sz="8" w:space="0" w:color="auto"/>
            </w:tcBorders>
            <w:shd w:val="clear" w:color="000000" w:fill="F2F2F2"/>
            <w:vAlign w:val="center"/>
            <w:hideMark/>
          </w:tcPr>
          <w:p w:rsidR="00CE38FE" w:rsidRPr="00CE38FE" w:rsidRDefault="00CE38FE" w:rsidP="00CE38FE">
            <w:pPr>
              <w:jc w:val="center"/>
              <w:rPr>
                <w:rFonts w:cs="Arial"/>
                <w:color w:val="000000"/>
                <w:sz w:val="16"/>
                <w:szCs w:val="18"/>
              </w:rPr>
            </w:pPr>
            <w:r w:rsidRPr="00CE38FE">
              <w:rPr>
                <w:rFonts w:cs="Arial"/>
                <w:color w:val="000000"/>
                <w:sz w:val="16"/>
                <w:szCs w:val="18"/>
              </w:rPr>
              <w:t>Partial set of example varieties</w:t>
            </w:r>
          </w:p>
        </w:tc>
        <w:tc>
          <w:tcPr>
            <w:tcW w:w="992" w:type="dxa"/>
            <w:tcBorders>
              <w:top w:val="single" w:sz="8" w:space="0" w:color="auto"/>
              <w:left w:val="nil"/>
              <w:bottom w:val="single" w:sz="8" w:space="0" w:color="auto"/>
              <w:right w:val="single" w:sz="8" w:space="0" w:color="auto"/>
            </w:tcBorders>
            <w:shd w:val="clear" w:color="000000" w:fill="F2F2F2"/>
            <w:vAlign w:val="center"/>
            <w:hideMark/>
          </w:tcPr>
          <w:p w:rsidR="00CE38FE" w:rsidRPr="00CE38FE" w:rsidRDefault="00CE38FE" w:rsidP="00CE38FE">
            <w:pPr>
              <w:jc w:val="center"/>
              <w:rPr>
                <w:rFonts w:cs="Arial"/>
                <w:color w:val="000000"/>
                <w:sz w:val="16"/>
                <w:szCs w:val="18"/>
              </w:rPr>
            </w:pPr>
            <w:r w:rsidRPr="00CE38FE">
              <w:rPr>
                <w:rFonts w:cs="Arial"/>
                <w:color w:val="000000"/>
                <w:sz w:val="16"/>
                <w:szCs w:val="18"/>
              </w:rPr>
              <w:t>Varieties x Years degree of freedom &gt; 15</w:t>
            </w:r>
          </w:p>
        </w:tc>
        <w:tc>
          <w:tcPr>
            <w:tcW w:w="1017" w:type="dxa"/>
            <w:tcBorders>
              <w:top w:val="single" w:sz="8" w:space="0" w:color="auto"/>
              <w:left w:val="nil"/>
              <w:bottom w:val="single" w:sz="8" w:space="0" w:color="auto"/>
              <w:right w:val="single" w:sz="8" w:space="0" w:color="auto"/>
            </w:tcBorders>
            <w:shd w:val="clear" w:color="000000" w:fill="F2F2F2"/>
            <w:vAlign w:val="center"/>
            <w:hideMark/>
          </w:tcPr>
          <w:p w:rsidR="00CE38FE" w:rsidRPr="00CE38FE" w:rsidRDefault="00CE38FE" w:rsidP="00CE38FE">
            <w:pPr>
              <w:jc w:val="center"/>
              <w:rPr>
                <w:rFonts w:cs="Arial"/>
                <w:color w:val="000000"/>
                <w:sz w:val="16"/>
                <w:szCs w:val="18"/>
              </w:rPr>
            </w:pPr>
            <w:r w:rsidRPr="00CE38FE">
              <w:rPr>
                <w:rFonts w:cs="Arial"/>
                <w:color w:val="000000"/>
                <w:sz w:val="16"/>
                <w:szCs w:val="18"/>
              </w:rPr>
              <w:t>Delineating varieties</w:t>
            </w:r>
          </w:p>
        </w:tc>
        <w:tc>
          <w:tcPr>
            <w:tcW w:w="968" w:type="dxa"/>
            <w:tcBorders>
              <w:top w:val="single" w:sz="8" w:space="0" w:color="auto"/>
              <w:left w:val="nil"/>
              <w:bottom w:val="single" w:sz="8" w:space="0" w:color="auto"/>
              <w:right w:val="single" w:sz="8" w:space="0" w:color="auto"/>
            </w:tcBorders>
            <w:shd w:val="clear" w:color="000000" w:fill="F2F2F2"/>
            <w:vAlign w:val="center"/>
            <w:hideMark/>
          </w:tcPr>
          <w:p w:rsidR="00CE38FE" w:rsidRPr="00CE38FE" w:rsidRDefault="00CE38FE" w:rsidP="00CE38FE">
            <w:pPr>
              <w:jc w:val="center"/>
              <w:rPr>
                <w:rFonts w:cs="Arial"/>
                <w:color w:val="000000"/>
                <w:sz w:val="16"/>
                <w:szCs w:val="18"/>
              </w:rPr>
            </w:pPr>
            <w:r w:rsidRPr="00CE38FE">
              <w:rPr>
                <w:rFonts w:cs="Arial"/>
                <w:color w:val="000000"/>
                <w:sz w:val="16"/>
                <w:szCs w:val="18"/>
              </w:rPr>
              <w:t>Crop expert judgment</w:t>
            </w:r>
          </w:p>
        </w:tc>
        <w:tc>
          <w:tcPr>
            <w:tcW w:w="992" w:type="dxa"/>
            <w:tcBorders>
              <w:top w:val="single" w:sz="8" w:space="0" w:color="auto"/>
              <w:left w:val="nil"/>
              <w:bottom w:val="single" w:sz="8" w:space="0" w:color="auto"/>
              <w:right w:val="single" w:sz="8" w:space="0" w:color="auto"/>
            </w:tcBorders>
            <w:shd w:val="clear" w:color="000000" w:fill="F2F2F2"/>
            <w:vAlign w:val="center"/>
            <w:hideMark/>
          </w:tcPr>
          <w:p w:rsidR="00CE38FE" w:rsidRPr="00CE38FE" w:rsidRDefault="00CE38FE" w:rsidP="00CE38FE">
            <w:pPr>
              <w:jc w:val="center"/>
              <w:rPr>
                <w:rFonts w:cs="Arial"/>
                <w:color w:val="000000"/>
                <w:sz w:val="16"/>
                <w:szCs w:val="18"/>
              </w:rPr>
            </w:pPr>
            <w:r w:rsidRPr="00CE38FE">
              <w:rPr>
                <w:rFonts w:cs="Arial"/>
                <w:color w:val="000000"/>
                <w:sz w:val="16"/>
                <w:szCs w:val="18"/>
              </w:rPr>
              <w:t>Full range of expression in growing trial</w:t>
            </w:r>
          </w:p>
        </w:tc>
        <w:tc>
          <w:tcPr>
            <w:tcW w:w="992" w:type="dxa"/>
            <w:tcBorders>
              <w:top w:val="single" w:sz="8" w:space="0" w:color="auto"/>
              <w:left w:val="nil"/>
              <w:bottom w:val="single" w:sz="8" w:space="0" w:color="auto"/>
              <w:right w:val="single" w:sz="8" w:space="0" w:color="auto"/>
            </w:tcBorders>
            <w:shd w:val="clear" w:color="000000" w:fill="F2F2F2"/>
            <w:vAlign w:val="center"/>
            <w:hideMark/>
          </w:tcPr>
          <w:p w:rsidR="00CE38FE" w:rsidRPr="00CE38FE" w:rsidRDefault="00CE38FE" w:rsidP="00CE38FE">
            <w:pPr>
              <w:jc w:val="center"/>
              <w:rPr>
                <w:rFonts w:cs="Arial"/>
                <w:color w:val="000000"/>
                <w:sz w:val="16"/>
                <w:szCs w:val="18"/>
              </w:rPr>
            </w:pPr>
            <w:r w:rsidRPr="00CE38FE">
              <w:rPr>
                <w:rFonts w:cs="Arial"/>
                <w:color w:val="000000"/>
                <w:sz w:val="16"/>
                <w:szCs w:val="18"/>
              </w:rPr>
              <w:t>can be used with cyclical planting</w:t>
            </w:r>
          </w:p>
        </w:tc>
        <w:tc>
          <w:tcPr>
            <w:tcW w:w="992" w:type="dxa"/>
            <w:tcBorders>
              <w:top w:val="single" w:sz="8" w:space="0" w:color="auto"/>
              <w:left w:val="nil"/>
              <w:bottom w:val="single" w:sz="8" w:space="0" w:color="auto"/>
              <w:right w:val="single" w:sz="8" w:space="0" w:color="auto"/>
            </w:tcBorders>
            <w:shd w:val="clear" w:color="000000" w:fill="F2F2F2"/>
            <w:vAlign w:val="center"/>
            <w:hideMark/>
          </w:tcPr>
          <w:p w:rsidR="00CE38FE" w:rsidRPr="00CE38FE" w:rsidRDefault="00CE38FE" w:rsidP="00CE38FE">
            <w:pPr>
              <w:jc w:val="center"/>
              <w:rPr>
                <w:rFonts w:cs="Arial"/>
                <w:color w:val="000000"/>
                <w:sz w:val="16"/>
                <w:szCs w:val="18"/>
              </w:rPr>
            </w:pPr>
            <w:proofErr w:type="spellStart"/>
            <w:r w:rsidRPr="00CE38FE">
              <w:rPr>
                <w:rFonts w:cs="Arial"/>
                <w:color w:val="000000"/>
                <w:sz w:val="16"/>
                <w:szCs w:val="18"/>
              </w:rPr>
              <w:t>Continous</w:t>
            </w:r>
            <w:proofErr w:type="spellEnd"/>
            <w:r w:rsidRPr="00CE38FE">
              <w:rPr>
                <w:rFonts w:cs="Arial"/>
                <w:color w:val="000000"/>
                <w:sz w:val="16"/>
                <w:szCs w:val="18"/>
              </w:rPr>
              <w:t xml:space="preserve"> range of expression</w:t>
            </w:r>
          </w:p>
        </w:tc>
      </w:tr>
    </w:tbl>
    <w:p w:rsidR="00A354F0" w:rsidRPr="00464B9C" w:rsidRDefault="00A354F0" w:rsidP="00A354F0">
      <w:pPr>
        <w:pStyle w:val="ListParagraph"/>
      </w:pPr>
    </w:p>
    <w:p w:rsidR="00A354F0" w:rsidRDefault="00A354F0" w:rsidP="00A354F0">
      <w:r w:rsidRPr="00464B9C">
        <w:fldChar w:fldCharType="begin"/>
      </w:r>
      <w:r w:rsidRPr="00464B9C">
        <w:instrText xml:space="preserve"> AUTONUM  </w:instrText>
      </w:r>
      <w:r w:rsidRPr="00464B9C">
        <w:fldChar w:fldCharType="end"/>
      </w:r>
      <w:r w:rsidRPr="00464B9C">
        <w:tab/>
        <w:t>The TWC agreed that other criteria or requirements could be added by the experts providing information, as appropriate.</w:t>
      </w:r>
    </w:p>
    <w:p w:rsidR="00A354F0" w:rsidRDefault="00A354F0" w:rsidP="00A354F0"/>
    <w:p w:rsidR="00A354F0" w:rsidRDefault="00A354F0" w:rsidP="00C050DC">
      <w:pPr>
        <w:rPr>
          <w:lang w:eastAsia="ja-JP"/>
        </w:rPr>
      </w:pPr>
    </w:p>
    <w:p w:rsidR="00CE38FE" w:rsidRDefault="00CE38FE" w:rsidP="00C050DC">
      <w:pPr>
        <w:rPr>
          <w:lang w:eastAsia="ja-JP"/>
        </w:rPr>
      </w:pPr>
    </w:p>
    <w:p w:rsidR="00CE38FE" w:rsidRPr="00C050DC" w:rsidRDefault="00CE38FE" w:rsidP="00CE38FE">
      <w:pPr>
        <w:jc w:val="right"/>
        <w:rPr>
          <w:lang w:eastAsia="ja-JP"/>
        </w:rPr>
      </w:pPr>
      <w:r>
        <w:rPr>
          <w:lang w:eastAsia="ja-JP"/>
        </w:rPr>
        <w:t>[End of document]</w:t>
      </w:r>
    </w:p>
    <w:sectPr w:rsidR="00CE38FE" w:rsidRPr="00C050DC" w:rsidSect="00A354F0">
      <w:headerReference w:type="default" r:id="rId8"/>
      <w:pgSz w:w="11907" w:h="16840" w:code="9"/>
      <w:pgMar w:top="510" w:right="1134" w:bottom="851"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5F77" w:rsidRDefault="00225F77" w:rsidP="006655D3">
      <w:r>
        <w:separator/>
      </w:r>
    </w:p>
    <w:p w:rsidR="00225F77" w:rsidRDefault="00225F77" w:rsidP="006655D3"/>
    <w:p w:rsidR="00225F77" w:rsidRDefault="00225F77" w:rsidP="006655D3"/>
  </w:endnote>
  <w:endnote w:type="continuationSeparator" w:id="0">
    <w:p w:rsidR="00225F77" w:rsidRDefault="00225F77" w:rsidP="006655D3">
      <w:r>
        <w:separator/>
      </w:r>
    </w:p>
    <w:p w:rsidR="00225F77" w:rsidRPr="00294751" w:rsidRDefault="00225F77">
      <w:pPr>
        <w:pStyle w:val="Footer"/>
        <w:spacing w:after="60"/>
        <w:rPr>
          <w:sz w:val="18"/>
          <w:lang w:val="fr-FR"/>
        </w:rPr>
      </w:pPr>
      <w:r w:rsidRPr="00294751">
        <w:rPr>
          <w:sz w:val="18"/>
          <w:lang w:val="fr-FR"/>
        </w:rPr>
        <w:t>[Suite de la note de la page précédente]</w:t>
      </w:r>
    </w:p>
    <w:p w:rsidR="00225F77" w:rsidRPr="00294751" w:rsidRDefault="00225F77" w:rsidP="006655D3">
      <w:pPr>
        <w:rPr>
          <w:lang w:val="fr-FR"/>
        </w:rPr>
      </w:pPr>
    </w:p>
    <w:p w:rsidR="00225F77" w:rsidRPr="00294751" w:rsidRDefault="00225F77" w:rsidP="006655D3">
      <w:pPr>
        <w:rPr>
          <w:lang w:val="fr-FR"/>
        </w:rPr>
      </w:pPr>
    </w:p>
  </w:endnote>
  <w:endnote w:type="continuationNotice" w:id="1">
    <w:p w:rsidR="00225F77" w:rsidRPr="00294751" w:rsidRDefault="00225F77" w:rsidP="006655D3">
      <w:pPr>
        <w:rPr>
          <w:lang w:val="fr-FR"/>
        </w:rPr>
      </w:pPr>
      <w:r w:rsidRPr="00294751">
        <w:rPr>
          <w:lang w:val="fr-FR"/>
        </w:rPr>
        <w:t>[Suite de la note page suivante]</w:t>
      </w:r>
    </w:p>
    <w:p w:rsidR="00225F77" w:rsidRPr="00294751" w:rsidRDefault="00225F77" w:rsidP="006655D3">
      <w:pPr>
        <w:rPr>
          <w:lang w:val="fr-FR"/>
        </w:rPr>
      </w:pPr>
    </w:p>
    <w:p w:rsidR="00225F77" w:rsidRPr="00294751" w:rsidRDefault="00225F77"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5F77" w:rsidRDefault="00225F77" w:rsidP="006655D3">
      <w:r>
        <w:separator/>
      </w:r>
    </w:p>
  </w:footnote>
  <w:footnote w:type="continuationSeparator" w:id="0">
    <w:p w:rsidR="00225F77" w:rsidRDefault="00225F77" w:rsidP="006655D3">
      <w:r>
        <w:separator/>
      </w:r>
    </w:p>
  </w:footnote>
  <w:footnote w:type="continuationNotice" w:id="1">
    <w:p w:rsidR="00225F77" w:rsidRPr="00AB530F" w:rsidRDefault="00225F77"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3DA5" w:rsidRDefault="00533DA5" w:rsidP="00CE2882">
    <w:pPr>
      <w:pStyle w:val="Header"/>
    </w:pPr>
    <w:r>
      <w:t>TC/55/13</w:t>
    </w:r>
    <w:r w:rsidR="00A354F0">
      <w:t xml:space="preserve"> </w:t>
    </w:r>
    <w:proofErr w:type="spellStart"/>
    <w:r w:rsidR="00A354F0">
      <w:t>Add</w:t>
    </w:r>
    <w:proofErr w:type="spellEnd"/>
    <w:r w:rsidR="00A354F0">
      <w:t>.</w:t>
    </w:r>
  </w:p>
  <w:p w:rsidR="00533DA5" w:rsidRDefault="00533DA5" w:rsidP="00CE2882">
    <w:pPr>
      <w:pStyle w:val="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143B4E">
      <w:rPr>
        <w:rStyle w:val="PageNumber"/>
        <w:noProof/>
      </w:rPr>
      <w:t>2</w:t>
    </w:r>
    <w:r>
      <w:rPr>
        <w:rStyle w:val="PageNumber"/>
      </w:rPr>
      <w:fldChar w:fldCharType="end"/>
    </w:r>
  </w:p>
  <w:p w:rsidR="00A354F0" w:rsidRDefault="00A354F0" w:rsidP="00CE28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4112D"/>
    <w:multiLevelType w:val="hybridMultilevel"/>
    <w:tmpl w:val="3AA66AE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28450A25"/>
    <w:multiLevelType w:val="hybridMultilevel"/>
    <w:tmpl w:val="55CAC0BA"/>
    <w:lvl w:ilvl="0" w:tplc="763EABFC">
      <w:start w:val="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A8719E4"/>
    <w:multiLevelType w:val="hybridMultilevel"/>
    <w:tmpl w:val="DB0E6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BD371D"/>
    <w:multiLevelType w:val="hybridMultilevel"/>
    <w:tmpl w:val="46A23394"/>
    <w:lvl w:ilvl="0" w:tplc="C4FCA116">
      <w:start w:val="1"/>
      <w:numFmt w:val="lowerLetter"/>
      <w:lvlText w:val="(%1)"/>
      <w:lvlJc w:val="left"/>
      <w:pPr>
        <w:ind w:left="5960" w:hanging="570"/>
      </w:pPr>
      <w:rPr>
        <w:rFonts w:hint="default"/>
      </w:rPr>
    </w:lvl>
    <w:lvl w:ilvl="1" w:tplc="04090019" w:tentative="1">
      <w:start w:val="1"/>
      <w:numFmt w:val="lowerLetter"/>
      <w:lvlText w:val="%2."/>
      <w:lvlJc w:val="left"/>
      <w:pPr>
        <w:ind w:left="6470" w:hanging="360"/>
      </w:pPr>
    </w:lvl>
    <w:lvl w:ilvl="2" w:tplc="0409001B" w:tentative="1">
      <w:start w:val="1"/>
      <w:numFmt w:val="lowerRoman"/>
      <w:lvlText w:val="%3."/>
      <w:lvlJc w:val="right"/>
      <w:pPr>
        <w:ind w:left="7190" w:hanging="180"/>
      </w:pPr>
    </w:lvl>
    <w:lvl w:ilvl="3" w:tplc="0409000F" w:tentative="1">
      <w:start w:val="1"/>
      <w:numFmt w:val="decimal"/>
      <w:lvlText w:val="%4."/>
      <w:lvlJc w:val="left"/>
      <w:pPr>
        <w:ind w:left="7910" w:hanging="360"/>
      </w:pPr>
    </w:lvl>
    <w:lvl w:ilvl="4" w:tplc="04090019" w:tentative="1">
      <w:start w:val="1"/>
      <w:numFmt w:val="lowerLetter"/>
      <w:lvlText w:val="%5."/>
      <w:lvlJc w:val="left"/>
      <w:pPr>
        <w:ind w:left="8630" w:hanging="360"/>
      </w:pPr>
    </w:lvl>
    <w:lvl w:ilvl="5" w:tplc="0409001B" w:tentative="1">
      <w:start w:val="1"/>
      <w:numFmt w:val="lowerRoman"/>
      <w:lvlText w:val="%6."/>
      <w:lvlJc w:val="right"/>
      <w:pPr>
        <w:ind w:left="9350" w:hanging="180"/>
      </w:pPr>
    </w:lvl>
    <w:lvl w:ilvl="6" w:tplc="0409000F" w:tentative="1">
      <w:start w:val="1"/>
      <w:numFmt w:val="decimal"/>
      <w:lvlText w:val="%7."/>
      <w:lvlJc w:val="left"/>
      <w:pPr>
        <w:ind w:left="10070" w:hanging="360"/>
      </w:pPr>
    </w:lvl>
    <w:lvl w:ilvl="7" w:tplc="04090019" w:tentative="1">
      <w:start w:val="1"/>
      <w:numFmt w:val="lowerLetter"/>
      <w:lvlText w:val="%8."/>
      <w:lvlJc w:val="left"/>
      <w:pPr>
        <w:ind w:left="10790" w:hanging="360"/>
      </w:pPr>
    </w:lvl>
    <w:lvl w:ilvl="8" w:tplc="0409001B" w:tentative="1">
      <w:start w:val="1"/>
      <w:numFmt w:val="lowerRoman"/>
      <w:lvlText w:val="%9."/>
      <w:lvlJc w:val="right"/>
      <w:pPr>
        <w:ind w:left="11510" w:hanging="180"/>
      </w:pPr>
    </w:lvl>
  </w:abstractNum>
  <w:abstractNum w:abstractNumId="4" w15:restartNumberingAfterBreak="0">
    <w:nsid w:val="47E5580D"/>
    <w:multiLevelType w:val="hybridMultilevel"/>
    <w:tmpl w:val="3A426774"/>
    <w:lvl w:ilvl="0" w:tplc="5082E596">
      <w:start w:val="1"/>
      <w:numFmt w:val="decimal"/>
      <w:lvlText w:val="%1."/>
      <w:lvlJc w:val="left"/>
      <w:pPr>
        <w:ind w:left="930" w:hanging="57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15:restartNumberingAfterBreak="0">
    <w:nsid w:val="4B537A14"/>
    <w:multiLevelType w:val="hybridMultilevel"/>
    <w:tmpl w:val="46A23394"/>
    <w:lvl w:ilvl="0" w:tplc="C4FCA116">
      <w:start w:val="1"/>
      <w:numFmt w:val="lowerLetter"/>
      <w:lvlText w:val="(%1)"/>
      <w:lvlJc w:val="left"/>
      <w:pPr>
        <w:ind w:left="5960" w:hanging="570"/>
      </w:pPr>
      <w:rPr>
        <w:rFonts w:hint="default"/>
      </w:rPr>
    </w:lvl>
    <w:lvl w:ilvl="1" w:tplc="04090019" w:tentative="1">
      <w:start w:val="1"/>
      <w:numFmt w:val="lowerLetter"/>
      <w:lvlText w:val="%2."/>
      <w:lvlJc w:val="left"/>
      <w:pPr>
        <w:ind w:left="6470" w:hanging="360"/>
      </w:pPr>
    </w:lvl>
    <w:lvl w:ilvl="2" w:tplc="0409001B" w:tentative="1">
      <w:start w:val="1"/>
      <w:numFmt w:val="lowerRoman"/>
      <w:lvlText w:val="%3."/>
      <w:lvlJc w:val="right"/>
      <w:pPr>
        <w:ind w:left="7190" w:hanging="180"/>
      </w:pPr>
    </w:lvl>
    <w:lvl w:ilvl="3" w:tplc="0409000F" w:tentative="1">
      <w:start w:val="1"/>
      <w:numFmt w:val="decimal"/>
      <w:lvlText w:val="%4."/>
      <w:lvlJc w:val="left"/>
      <w:pPr>
        <w:ind w:left="7910" w:hanging="360"/>
      </w:pPr>
    </w:lvl>
    <w:lvl w:ilvl="4" w:tplc="04090019" w:tentative="1">
      <w:start w:val="1"/>
      <w:numFmt w:val="lowerLetter"/>
      <w:lvlText w:val="%5."/>
      <w:lvlJc w:val="left"/>
      <w:pPr>
        <w:ind w:left="8630" w:hanging="360"/>
      </w:pPr>
    </w:lvl>
    <w:lvl w:ilvl="5" w:tplc="0409001B" w:tentative="1">
      <w:start w:val="1"/>
      <w:numFmt w:val="lowerRoman"/>
      <w:lvlText w:val="%6."/>
      <w:lvlJc w:val="right"/>
      <w:pPr>
        <w:ind w:left="9350" w:hanging="180"/>
      </w:pPr>
    </w:lvl>
    <w:lvl w:ilvl="6" w:tplc="0409000F" w:tentative="1">
      <w:start w:val="1"/>
      <w:numFmt w:val="decimal"/>
      <w:lvlText w:val="%7."/>
      <w:lvlJc w:val="left"/>
      <w:pPr>
        <w:ind w:left="10070" w:hanging="360"/>
      </w:pPr>
    </w:lvl>
    <w:lvl w:ilvl="7" w:tplc="04090019" w:tentative="1">
      <w:start w:val="1"/>
      <w:numFmt w:val="lowerLetter"/>
      <w:lvlText w:val="%8."/>
      <w:lvlJc w:val="left"/>
      <w:pPr>
        <w:ind w:left="10790" w:hanging="360"/>
      </w:pPr>
    </w:lvl>
    <w:lvl w:ilvl="8" w:tplc="0409001B" w:tentative="1">
      <w:start w:val="1"/>
      <w:numFmt w:val="lowerRoman"/>
      <w:lvlText w:val="%9."/>
      <w:lvlJc w:val="right"/>
      <w:pPr>
        <w:ind w:left="11510" w:hanging="180"/>
      </w:pPr>
    </w:lvl>
  </w:abstractNum>
  <w:abstractNum w:abstractNumId="6" w15:restartNumberingAfterBreak="0">
    <w:nsid w:val="4CE064B1"/>
    <w:multiLevelType w:val="hybridMultilevel"/>
    <w:tmpl w:val="425AEF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E6F41F8"/>
    <w:multiLevelType w:val="hybridMultilevel"/>
    <w:tmpl w:val="29E0CB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5B7040"/>
    <w:multiLevelType w:val="hybridMultilevel"/>
    <w:tmpl w:val="08DC3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531762A"/>
    <w:multiLevelType w:val="hybridMultilevel"/>
    <w:tmpl w:val="FDB47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E5F13BC"/>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8"/>
  </w:num>
  <w:num w:numId="3">
    <w:abstractNumId w:val="0"/>
  </w:num>
  <w:num w:numId="4">
    <w:abstractNumId w:val="10"/>
    <w:lvlOverride w:ilvl="0">
      <w:startOverride w:val="1"/>
    </w:lvlOverride>
  </w:num>
  <w:num w:numId="5">
    <w:abstractNumId w:val="4"/>
  </w:num>
  <w:num w:numId="6">
    <w:abstractNumId w:val="6"/>
  </w:num>
  <w:num w:numId="7">
    <w:abstractNumId w:val="7"/>
  </w:num>
  <w:num w:numId="8">
    <w:abstractNumId w:val="3"/>
  </w:num>
  <w:num w:numId="9">
    <w:abstractNumId w:val="5"/>
  </w:num>
  <w:num w:numId="10">
    <w:abstractNumId w:val="2"/>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ctiveWritingStyle w:appName="MSWord" w:lang="fr-FR"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fr-CH" w:vendorID="64" w:dllVersion="131078"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A26"/>
    <w:rsid w:val="00010CF3"/>
    <w:rsid w:val="00011E27"/>
    <w:rsid w:val="000148BC"/>
    <w:rsid w:val="00024AB8"/>
    <w:rsid w:val="00030854"/>
    <w:rsid w:val="00036028"/>
    <w:rsid w:val="00041734"/>
    <w:rsid w:val="00044642"/>
    <w:rsid w:val="000446B9"/>
    <w:rsid w:val="00047E21"/>
    <w:rsid w:val="00050E16"/>
    <w:rsid w:val="000825EA"/>
    <w:rsid w:val="00085505"/>
    <w:rsid w:val="000A0684"/>
    <w:rsid w:val="000A60D0"/>
    <w:rsid w:val="000C4E25"/>
    <w:rsid w:val="000C7021"/>
    <w:rsid w:val="000D6BBC"/>
    <w:rsid w:val="000D7780"/>
    <w:rsid w:val="000E0CA2"/>
    <w:rsid w:val="000E636A"/>
    <w:rsid w:val="000F2F11"/>
    <w:rsid w:val="00105929"/>
    <w:rsid w:val="00110C36"/>
    <w:rsid w:val="001131D5"/>
    <w:rsid w:val="00141DB8"/>
    <w:rsid w:val="00143790"/>
    <w:rsid w:val="00143B4E"/>
    <w:rsid w:val="001548C8"/>
    <w:rsid w:val="00172084"/>
    <w:rsid w:val="0017474A"/>
    <w:rsid w:val="001758C6"/>
    <w:rsid w:val="00182B99"/>
    <w:rsid w:val="0019030A"/>
    <w:rsid w:val="00192965"/>
    <w:rsid w:val="001A0FDD"/>
    <w:rsid w:val="001A473A"/>
    <w:rsid w:val="001C22DC"/>
    <w:rsid w:val="001D36AC"/>
    <w:rsid w:val="001D5E1F"/>
    <w:rsid w:val="0021332C"/>
    <w:rsid w:val="00213982"/>
    <w:rsid w:val="0022039E"/>
    <w:rsid w:val="00222DBE"/>
    <w:rsid w:val="00225F77"/>
    <w:rsid w:val="0024416D"/>
    <w:rsid w:val="00271911"/>
    <w:rsid w:val="002800A0"/>
    <w:rsid w:val="002801B3"/>
    <w:rsid w:val="00281060"/>
    <w:rsid w:val="002940E8"/>
    <w:rsid w:val="00294751"/>
    <w:rsid w:val="002A6E50"/>
    <w:rsid w:val="002B4298"/>
    <w:rsid w:val="002C256A"/>
    <w:rsid w:val="002E1984"/>
    <w:rsid w:val="00304827"/>
    <w:rsid w:val="00305A7F"/>
    <w:rsid w:val="00306679"/>
    <w:rsid w:val="00314AC9"/>
    <w:rsid w:val="003152FE"/>
    <w:rsid w:val="00321EDE"/>
    <w:rsid w:val="00327436"/>
    <w:rsid w:val="003418E6"/>
    <w:rsid w:val="00344BD6"/>
    <w:rsid w:val="0035528D"/>
    <w:rsid w:val="00361821"/>
    <w:rsid w:val="00361E9E"/>
    <w:rsid w:val="00382007"/>
    <w:rsid w:val="003C7FBE"/>
    <w:rsid w:val="003D227C"/>
    <w:rsid w:val="003D2B4D"/>
    <w:rsid w:val="003D3DAB"/>
    <w:rsid w:val="003D41CD"/>
    <w:rsid w:val="003E646B"/>
    <w:rsid w:val="003F311F"/>
    <w:rsid w:val="00407992"/>
    <w:rsid w:val="00433EF2"/>
    <w:rsid w:val="00444A88"/>
    <w:rsid w:val="0045778D"/>
    <w:rsid w:val="00474DA4"/>
    <w:rsid w:val="00476B4D"/>
    <w:rsid w:val="004805FA"/>
    <w:rsid w:val="004935D2"/>
    <w:rsid w:val="004A5600"/>
    <w:rsid w:val="004B1215"/>
    <w:rsid w:val="004D047D"/>
    <w:rsid w:val="004E45BD"/>
    <w:rsid w:val="004F1E9E"/>
    <w:rsid w:val="004F305A"/>
    <w:rsid w:val="00512164"/>
    <w:rsid w:val="00520297"/>
    <w:rsid w:val="00521DA9"/>
    <w:rsid w:val="005338F9"/>
    <w:rsid w:val="00533DA5"/>
    <w:rsid w:val="00536FFD"/>
    <w:rsid w:val="0054281C"/>
    <w:rsid w:val="00544581"/>
    <w:rsid w:val="0055268D"/>
    <w:rsid w:val="005548B2"/>
    <w:rsid w:val="00576BE4"/>
    <w:rsid w:val="005A3301"/>
    <w:rsid w:val="005A400A"/>
    <w:rsid w:val="005B46E9"/>
    <w:rsid w:val="005F4329"/>
    <w:rsid w:val="005F7B92"/>
    <w:rsid w:val="00612379"/>
    <w:rsid w:val="006153B6"/>
    <w:rsid w:val="0061555F"/>
    <w:rsid w:val="00615C48"/>
    <w:rsid w:val="00636CA6"/>
    <w:rsid w:val="00641200"/>
    <w:rsid w:val="00645CA8"/>
    <w:rsid w:val="006655D3"/>
    <w:rsid w:val="00667404"/>
    <w:rsid w:val="00687EB4"/>
    <w:rsid w:val="00695C56"/>
    <w:rsid w:val="006A5CDE"/>
    <w:rsid w:val="006A644A"/>
    <w:rsid w:val="006B17D2"/>
    <w:rsid w:val="006C224E"/>
    <w:rsid w:val="006C4F54"/>
    <w:rsid w:val="006D5F8D"/>
    <w:rsid w:val="006D7435"/>
    <w:rsid w:val="006D780A"/>
    <w:rsid w:val="006E40FD"/>
    <w:rsid w:val="006F4340"/>
    <w:rsid w:val="0071271E"/>
    <w:rsid w:val="00732DEC"/>
    <w:rsid w:val="00735BD5"/>
    <w:rsid w:val="0074592B"/>
    <w:rsid w:val="00751613"/>
    <w:rsid w:val="007556F6"/>
    <w:rsid w:val="00757C95"/>
    <w:rsid w:val="00760EEF"/>
    <w:rsid w:val="00777EE5"/>
    <w:rsid w:val="00784836"/>
    <w:rsid w:val="0079023E"/>
    <w:rsid w:val="007A2854"/>
    <w:rsid w:val="007C11F4"/>
    <w:rsid w:val="007C1D92"/>
    <w:rsid w:val="007C4CB9"/>
    <w:rsid w:val="007D0B9D"/>
    <w:rsid w:val="007D19B0"/>
    <w:rsid w:val="007F498F"/>
    <w:rsid w:val="00800995"/>
    <w:rsid w:val="0080679D"/>
    <w:rsid w:val="008108B0"/>
    <w:rsid w:val="00811B20"/>
    <w:rsid w:val="008211B5"/>
    <w:rsid w:val="0082296E"/>
    <w:rsid w:val="00824099"/>
    <w:rsid w:val="00846D7C"/>
    <w:rsid w:val="008562D7"/>
    <w:rsid w:val="00867AC1"/>
    <w:rsid w:val="00876047"/>
    <w:rsid w:val="00885122"/>
    <w:rsid w:val="00890DF8"/>
    <w:rsid w:val="008A31C9"/>
    <w:rsid w:val="008A743F"/>
    <w:rsid w:val="008B3523"/>
    <w:rsid w:val="008B6E60"/>
    <w:rsid w:val="008C0970"/>
    <w:rsid w:val="008D0BC5"/>
    <w:rsid w:val="008D2CF7"/>
    <w:rsid w:val="008D7E86"/>
    <w:rsid w:val="00900C26"/>
    <w:rsid w:val="00900C6F"/>
    <w:rsid w:val="0090197F"/>
    <w:rsid w:val="00906172"/>
    <w:rsid w:val="00906DDC"/>
    <w:rsid w:val="00934E09"/>
    <w:rsid w:val="00936253"/>
    <w:rsid w:val="00940D46"/>
    <w:rsid w:val="00952DD4"/>
    <w:rsid w:val="009603AF"/>
    <w:rsid w:val="00965AE7"/>
    <w:rsid w:val="00970FED"/>
    <w:rsid w:val="00983ED6"/>
    <w:rsid w:val="00992D82"/>
    <w:rsid w:val="00997029"/>
    <w:rsid w:val="009A7339"/>
    <w:rsid w:val="009A78EE"/>
    <w:rsid w:val="009A7E44"/>
    <w:rsid w:val="009B440E"/>
    <w:rsid w:val="009B4462"/>
    <w:rsid w:val="009C0B25"/>
    <w:rsid w:val="009D083B"/>
    <w:rsid w:val="009D690D"/>
    <w:rsid w:val="009E31DB"/>
    <w:rsid w:val="009E65B6"/>
    <w:rsid w:val="00A00C17"/>
    <w:rsid w:val="00A04A26"/>
    <w:rsid w:val="00A1578C"/>
    <w:rsid w:val="00A1617A"/>
    <w:rsid w:val="00A24C10"/>
    <w:rsid w:val="00A27419"/>
    <w:rsid w:val="00A354F0"/>
    <w:rsid w:val="00A37C2B"/>
    <w:rsid w:val="00A42AC3"/>
    <w:rsid w:val="00A430CF"/>
    <w:rsid w:val="00A54309"/>
    <w:rsid w:val="00A61AAD"/>
    <w:rsid w:val="00AA2581"/>
    <w:rsid w:val="00AB2B93"/>
    <w:rsid w:val="00AB530F"/>
    <w:rsid w:val="00AB7E5B"/>
    <w:rsid w:val="00AC2491"/>
    <w:rsid w:val="00AC2883"/>
    <w:rsid w:val="00AE0EF1"/>
    <w:rsid w:val="00AE2937"/>
    <w:rsid w:val="00AF22DD"/>
    <w:rsid w:val="00B01EAC"/>
    <w:rsid w:val="00B07301"/>
    <w:rsid w:val="00B11F3E"/>
    <w:rsid w:val="00B224DE"/>
    <w:rsid w:val="00B324D4"/>
    <w:rsid w:val="00B4007F"/>
    <w:rsid w:val="00B46575"/>
    <w:rsid w:val="00B528F7"/>
    <w:rsid w:val="00B61777"/>
    <w:rsid w:val="00B65691"/>
    <w:rsid w:val="00B74056"/>
    <w:rsid w:val="00B84BBD"/>
    <w:rsid w:val="00B91C9D"/>
    <w:rsid w:val="00BA2833"/>
    <w:rsid w:val="00BA43FB"/>
    <w:rsid w:val="00BA671D"/>
    <w:rsid w:val="00BC127D"/>
    <w:rsid w:val="00BC1FE6"/>
    <w:rsid w:val="00BE6C8E"/>
    <w:rsid w:val="00BF11ED"/>
    <w:rsid w:val="00C050DC"/>
    <w:rsid w:val="00C061B6"/>
    <w:rsid w:val="00C2446C"/>
    <w:rsid w:val="00C24E56"/>
    <w:rsid w:val="00C36AE5"/>
    <w:rsid w:val="00C41F17"/>
    <w:rsid w:val="00C527FA"/>
    <w:rsid w:val="00C5280D"/>
    <w:rsid w:val="00C53EB3"/>
    <w:rsid w:val="00C5791C"/>
    <w:rsid w:val="00C60FD2"/>
    <w:rsid w:val="00C66290"/>
    <w:rsid w:val="00C71068"/>
    <w:rsid w:val="00C72B7A"/>
    <w:rsid w:val="00C973F2"/>
    <w:rsid w:val="00CA304C"/>
    <w:rsid w:val="00CA774A"/>
    <w:rsid w:val="00CA7FFA"/>
    <w:rsid w:val="00CC11B0"/>
    <w:rsid w:val="00CC2841"/>
    <w:rsid w:val="00CE2882"/>
    <w:rsid w:val="00CE38FE"/>
    <w:rsid w:val="00CF1330"/>
    <w:rsid w:val="00CF7E36"/>
    <w:rsid w:val="00D07A28"/>
    <w:rsid w:val="00D30D7F"/>
    <w:rsid w:val="00D326F9"/>
    <w:rsid w:val="00D3708D"/>
    <w:rsid w:val="00D40426"/>
    <w:rsid w:val="00D57C96"/>
    <w:rsid w:val="00D57D18"/>
    <w:rsid w:val="00D91203"/>
    <w:rsid w:val="00D95174"/>
    <w:rsid w:val="00DA4973"/>
    <w:rsid w:val="00DA6F36"/>
    <w:rsid w:val="00DB596E"/>
    <w:rsid w:val="00DB7773"/>
    <w:rsid w:val="00DC00EA"/>
    <w:rsid w:val="00DC3802"/>
    <w:rsid w:val="00DE02F2"/>
    <w:rsid w:val="00DF28F9"/>
    <w:rsid w:val="00DF67C6"/>
    <w:rsid w:val="00E05CE3"/>
    <w:rsid w:val="00E07D87"/>
    <w:rsid w:val="00E116E1"/>
    <w:rsid w:val="00E138E9"/>
    <w:rsid w:val="00E2109F"/>
    <w:rsid w:val="00E32F7E"/>
    <w:rsid w:val="00E5267B"/>
    <w:rsid w:val="00E63C0E"/>
    <w:rsid w:val="00E725EA"/>
    <w:rsid w:val="00E72D49"/>
    <w:rsid w:val="00E7593C"/>
    <w:rsid w:val="00E7678A"/>
    <w:rsid w:val="00E935F1"/>
    <w:rsid w:val="00E94A81"/>
    <w:rsid w:val="00EA1FFB"/>
    <w:rsid w:val="00EB048E"/>
    <w:rsid w:val="00EB4E9C"/>
    <w:rsid w:val="00EE34DF"/>
    <w:rsid w:val="00EF2F89"/>
    <w:rsid w:val="00EF4A4C"/>
    <w:rsid w:val="00F03E98"/>
    <w:rsid w:val="00F1237A"/>
    <w:rsid w:val="00F12865"/>
    <w:rsid w:val="00F17349"/>
    <w:rsid w:val="00F22CBD"/>
    <w:rsid w:val="00F272F1"/>
    <w:rsid w:val="00F34E69"/>
    <w:rsid w:val="00F45372"/>
    <w:rsid w:val="00F524E3"/>
    <w:rsid w:val="00F560F7"/>
    <w:rsid w:val="00F6334D"/>
    <w:rsid w:val="00F67D7A"/>
    <w:rsid w:val="00F937B9"/>
    <w:rsid w:val="00FA49AB"/>
    <w:rsid w:val="00FB6BDA"/>
    <w:rsid w:val="00FC20CA"/>
    <w:rsid w:val="00FC3439"/>
    <w:rsid w:val="00FE39C7"/>
    <w:rsid w:val="00FE64CD"/>
    <w:rsid w:val="00FF360A"/>
    <w:rsid w:val="00FF4D07"/>
    <w:rsid w:val="00FF60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E05CD67"/>
  <w15:docId w15:val="{B603EDB1-AA95-436E-A322-32C15F71C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rsid w:val="00D3708D"/>
    <w:pPr>
      <w:spacing w:before="60"/>
      <w:jc w:val="center"/>
    </w:pPr>
    <w:rPr>
      <w:b/>
    </w:rPr>
  </w:style>
  <w:style w:type="paragraph" w:customStyle="1" w:styleId="Organizer">
    <w:name w:val="Organizer"/>
    <w:basedOn w:val="Normal"/>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304827"/>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rsid w:val="00D3708D"/>
    <w:pPr>
      <w:spacing w:before="1200"/>
      <w:jc w:val="center"/>
    </w:pPr>
    <w:rPr>
      <w:caps/>
    </w:rPr>
  </w:style>
  <w:style w:type="paragraph" w:customStyle="1" w:styleId="preparedby0">
    <w:name w:val="prepared by"/>
    <w:basedOn w:val="Normal"/>
    <w:rsid w:val="00D3708D"/>
    <w:pPr>
      <w:spacing w:before="600" w:after="600"/>
      <w:jc w:val="center"/>
    </w:pPr>
    <w:rPr>
      <w:i/>
    </w:rPr>
  </w:style>
  <w:style w:type="paragraph" w:customStyle="1" w:styleId="PlaceAndDate">
    <w:name w:val="PlaceAndDate"/>
    <w:basedOn w:val="Sessio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rsid w:val="00D3708D"/>
    <w:pPr>
      <w:spacing w:before="60"/>
      <w:ind w:left="1276"/>
    </w:pPr>
    <w:rPr>
      <w:b/>
      <w:sz w:val="22"/>
    </w:rPr>
  </w:style>
  <w:style w:type="paragraph" w:styleId="Date">
    <w:name w:val="Date"/>
    <w:basedOn w:val="Normal"/>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304827"/>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uiPriority w:val="39"/>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basedOn w:val="Normal"/>
    <w:next w:val="Normal"/>
    <w:autoRedefine/>
    <w:uiPriority w:val="39"/>
    <w:rsid w:val="00A1578C"/>
    <w:pPr>
      <w:tabs>
        <w:tab w:val="right" w:leader="dot" w:pos="9639"/>
      </w:tabs>
      <w:spacing w:before="60"/>
      <w:ind w:right="1418"/>
      <w:contextualSpacing/>
    </w:pPr>
    <w:rPr>
      <w:caps/>
      <w:sz w:val="18"/>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erChar">
    <w:name w:val="Header Char"/>
    <w:basedOn w:val="DefaultParagraphFont"/>
    <w:link w:val="Header"/>
    <w:rsid w:val="00C050DC"/>
    <w:rPr>
      <w:rFonts w:ascii="Arial" w:hAnsi="Arial"/>
      <w:lang w:val="fr-FR"/>
    </w:rPr>
  </w:style>
  <w:style w:type="table" w:styleId="TableGrid">
    <w:name w:val="Table Grid"/>
    <w:basedOn w:val="TableNormal"/>
    <w:uiPriority w:val="59"/>
    <w:rsid w:val="00C050D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D5F8D"/>
    <w:pPr>
      <w:ind w:left="720"/>
      <w:contextualSpacing/>
    </w:pPr>
    <w:rPr>
      <w:rFonts w:eastAsia="MS Minch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05676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Tc55\templates\TC_55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TC_55_EN</Template>
  <TotalTime>0</TotalTime>
  <Pages>2</Pages>
  <Words>597</Words>
  <Characters>3444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TC/55/13</vt:lpstr>
    </vt:vector>
  </TitlesOfParts>
  <Company>UPOV</Company>
  <LinksUpToDate>false</LinksUpToDate>
  <CharactersWithSpaces>4033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TC/55/13</dc:title>
  <dc:creator>SANCHEZ VIZCAINO GOMEZ Rosa Maria</dc:creator>
  <cp:lastModifiedBy>MAY Jessica</cp:lastModifiedBy>
  <cp:revision>6</cp:revision>
  <cp:lastPrinted>2019-08-28T14:31:00Z</cp:lastPrinted>
  <dcterms:created xsi:type="dcterms:W3CDTF">2019-10-20T05:19:00Z</dcterms:created>
  <dcterms:modified xsi:type="dcterms:W3CDTF">2019-10-21T16:13:00Z</dcterms:modified>
</cp:coreProperties>
</file>