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TC/55</w:t>
            </w:r>
            <w:r w:rsidR="00EB4E9C" w:rsidRPr="00AC2883">
              <w:t>/</w:t>
            </w:r>
            <w:r w:rsidR="00915DF2">
              <w:t>12 Add.</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0594F">
            <w:pPr>
              <w:pStyle w:val="Docoriginal"/>
            </w:pPr>
            <w:r w:rsidRPr="00AC2883">
              <w:t>Date:</w:t>
            </w:r>
            <w:r w:rsidR="008B6E60">
              <w:rPr>
                <w:b w:val="0"/>
                <w:spacing w:val="0"/>
              </w:rPr>
              <w:t xml:space="preserve">  </w:t>
            </w:r>
            <w:r w:rsidR="001031C0" w:rsidRPr="0080594F">
              <w:rPr>
                <w:b w:val="0"/>
                <w:spacing w:val="0"/>
              </w:rPr>
              <w:t xml:space="preserve">October </w:t>
            </w:r>
            <w:r w:rsidR="0080594F" w:rsidRPr="0080594F">
              <w:rPr>
                <w:b w:val="0"/>
                <w:spacing w:val="0"/>
              </w:rPr>
              <w:t>3</w:t>
            </w:r>
            <w:r w:rsidR="008B6E60" w:rsidRPr="0080594F">
              <w:rPr>
                <w:b w:val="0"/>
                <w:spacing w:val="0"/>
              </w:rPr>
              <w:t>, 201</w:t>
            </w:r>
            <w:r w:rsidR="006D7435" w:rsidRPr="0080594F">
              <w:rPr>
                <w:b w:val="0"/>
                <w:spacing w:val="0"/>
              </w:rPr>
              <w:t>9</w:t>
            </w:r>
          </w:p>
        </w:tc>
      </w:tr>
    </w:tbl>
    <w:p w:rsidR="000D7780" w:rsidRPr="006A644A" w:rsidRDefault="00915DF2" w:rsidP="006A644A">
      <w:pPr>
        <w:pStyle w:val="Titleofdoc0"/>
      </w:pPr>
      <w:bookmarkStart w:id="0" w:name="TitleOfDoc"/>
      <w:bookmarkEnd w:id="0"/>
      <w:r>
        <w:t xml:space="preserve">addendum to </w:t>
      </w:r>
      <w:proofErr w:type="gramStart"/>
      <w:r w:rsidRPr="00015534">
        <w:t>Characteristics which</w:t>
      </w:r>
      <w:proofErr w:type="gramEnd"/>
      <w:r w:rsidRPr="00015534">
        <w:t xml:space="preserve"> only apply to certain varieties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025F28" w:rsidRDefault="00025F28" w:rsidP="00025F28">
      <w:pPr>
        <w:pStyle w:val="Heading1"/>
        <w:rPr>
          <w:snapToGrid w:val="0"/>
        </w:rPr>
      </w:pPr>
      <w:bookmarkStart w:id="2" w:name="_Toc20839457"/>
      <w:r>
        <w:rPr>
          <w:snapToGrid w:val="0"/>
        </w:rPr>
        <w:t>Executive Summary</w:t>
      </w:r>
      <w:bookmarkEnd w:id="2"/>
    </w:p>
    <w:p w:rsidR="00025F28" w:rsidRDefault="00025F28" w:rsidP="00025F28">
      <w:pPr>
        <w:rPr>
          <w:snapToGrid w:val="0"/>
        </w:rPr>
      </w:pPr>
    </w:p>
    <w:p w:rsidR="00025F28" w:rsidRPr="00FA628E" w:rsidRDefault="001031C0" w:rsidP="00025F28">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proofErr w:type="gramStart"/>
      <w:r>
        <w:rPr>
          <w:snapToGrid w:val="0"/>
        </w:rPr>
        <w:t xml:space="preserve">The purpose of this addendum is to report on developments at the </w:t>
      </w:r>
      <w:r w:rsidR="00000F72">
        <w:rPr>
          <w:snapToGrid w:val="0"/>
        </w:rPr>
        <w:t>forty-eighth</w:t>
      </w:r>
      <w:r>
        <w:rPr>
          <w:snapToGrid w:val="0"/>
        </w:rPr>
        <w:t xml:space="preserve"> session of the Technical Working Party for A</w:t>
      </w:r>
      <w:r w:rsidR="00025F28">
        <w:rPr>
          <w:snapToGrid w:val="0"/>
        </w:rPr>
        <w:t xml:space="preserve">gricultural Crops (TWA) and </w:t>
      </w:r>
      <w:r w:rsidR="00025F28" w:rsidRPr="00015534">
        <w:rPr>
          <w:snapToGrid w:val="0"/>
        </w:rPr>
        <w:t xml:space="preserve">present a </w:t>
      </w:r>
      <w:r w:rsidR="00025F28">
        <w:rPr>
          <w:snapToGrid w:val="0"/>
        </w:rPr>
        <w:t xml:space="preserve">revised </w:t>
      </w:r>
      <w:r w:rsidR="00025F28" w:rsidRPr="00015534">
        <w:rPr>
          <w:snapToGrid w:val="0"/>
        </w:rPr>
        <w:t>proposal to amend the current guidance in document TGP/7 “Development of Test Guidelines” to allow for the exclusion of the observation of a characteristic on the basis of a state of expression of a preceding quantitative or pseudo-qualitative characteristic.</w:t>
      </w:r>
      <w:proofErr w:type="gramEnd"/>
    </w:p>
    <w:p w:rsidR="001031C0" w:rsidRDefault="001031C0" w:rsidP="004B1215">
      <w:pPr>
        <w:rPr>
          <w:snapToGrid w:val="0"/>
        </w:rPr>
      </w:pPr>
    </w:p>
    <w:p w:rsidR="00025F28" w:rsidRPr="00A35554" w:rsidRDefault="00025F28" w:rsidP="00025F28">
      <w:pPr>
        <w:rPr>
          <w:rFonts w:cs="Arial"/>
          <w:bCs/>
          <w:snapToGrid w:val="0"/>
        </w:rPr>
      </w:pPr>
      <w:r w:rsidRPr="00A35554">
        <w:rPr>
          <w:rFonts w:cs="Arial"/>
          <w:bCs/>
          <w:snapToGrid w:val="0"/>
        </w:rPr>
        <w:fldChar w:fldCharType="begin"/>
      </w:r>
      <w:r w:rsidRPr="00A35554">
        <w:rPr>
          <w:rFonts w:cs="Arial"/>
          <w:bCs/>
          <w:snapToGrid w:val="0"/>
        </w:rPr>
        <w:instrText xml:space="preserve"> AUTONUM  </w:instrText>
      </w:r>
      <w:r w:rsidRPr="00A35554">
        <w:rPr>
          <w:rFonts w:cs="Arial"/>
          <w:bCs/>
          <w:snapToGrid w:val="0"/>
        </w:rPr>
        <w:fldChar w:fldCharType="end"/>
      </w:r>
      <w:r w:rsidRPr="00A35554">
        <w:rPr>
          <w:rFonts w:cs="Arial"/>
          <w:bCs/>
          <w:snapToGrid w:val="0"/>
        </w:rPr>
        <w:tab/>
        <w:t xml:space="preserve">The TC </w:t>
      </w:r>
      <w:proofErr w:type="gramStart"/>
      <w:r w:rsidRPr="00A35554">
        <w:rPr>
          <w:rFonts w:cs="Arial"/>
          <w:bCs/>
          <w:snapToGrid w:val="0"/>
        </w:rPr>
        <w:t>is invited</w:t>
      </w:r>
      <w:proofErr w:type="gramEnd"/>
      <w:r w:rsidRPr="00A35554">
        <w:rPr>
          <w:rFonts w:cs="Arial"/>
          <w:bCs/>
          <w:snapToGrid w:val="0"/>
        </w:rPr>
        <w:t xml:space="preserve"> to consider:</w:t>
      </w:r>
    </w:p>
    <w:p w:rsidR="00025F28" w:rsidRPr="00A35554" w:rsidRDefault="00025F28" w:rsidP="00025F28">
      <w:pPr>
        <w:rPr>
          <w:rFonts w:cs="Arial"/>
          <w:bCs/>
          <w:snapToGrid w:val="0"/>
        </w:rPr>
      </w:pPr>
    </w:p>
    <w:p w:rsidR="00025F28" w:rsidRPr="000C3AC4" w:rsidRDefault="00025F28" w:rsidP="00025F28">
      <w:pPr>
        <w:rPr>
          <w:rFonts w:cs="Arial"/>
          <w:bCs/>
          <w:snapToGrid w:val="0"/>
        </w:rPr>
      </w:pPr>
      <w:r w:rsidRPr="00A35554">
        <w:rPr>
          <w:rFonts w:cs="Arial"/>
          <w:bCs/>
          <w:snapToGrid w:val="0"/>
        </w:rPr>
        <w:tab/>
      </w:r>
      <w:r w:rsidRPr="00EF6077">
        <w:rPr>
          <w:rFonts w:cs="Arial"/>
          <w:bCs/>
          <w:snapToGrid w:val="0"/>
        </w:rPr>
        <w:t>(a)</w:t>
      </w:r>
      <w:r w:rsidRPr="00EF6077">
        <w:rPr>
          <w:rFonts w:cs="Arial"/>
          <w:bCs/>
          <w:snapToGrid w:val="0"/>
        </w:rPr>
        <w:tab/>
        <w:t>the examples of quantitative and pseudo</w:t>
      </w:r>
      <w:r w:rsidRPr="00EF6077">
        <w:rPr>
          <w:rFonts w:cs="Arial"/>
          <w:bCs/>
          <w:snapToGrid w:val="0"/>
        </w:rPr>
        <w:noBreakHyphen/>
        <w:t>qualitative characteristics provided by the TWPs, at their sessions in 2019, to demonstrate how the proposed approach might be used in a way that would not present risks for decisions on distinctness,</w:t>
      </w:r>
      <w:r w:rsidRPr="00EF6077">
        <w:t xml:space="preserve"> </w:t>
      </w:r>
      <w:r w:rsidRPr="00EF6077">
        <w:rPr>
          <w:rFonts w:cs="Arial"/>
          <w:bCs/>
          <w:snapToGrid w:val="0"/>
        </w:rPr>
        <w:t xml:space="preserve">as set out </w:t>
      </w:r>
      <w:r w:rsidRPr="000C3AC4">
        <w:rPr>
          <w:rFonts w:cs="Arial"/>
          <w:bCs/>
          <w:snapToGrid w:val="0"/>
        </w:rPr>
        <w:t xml:space="preserve">in paragraph </w:t>
      </w:r>
      <w:r w:rsidR="00D72930" w:rsidRPr="000C3AC4">
        <w:rPr>
          <w:rFonts w:cs="Arial"/>
          <w:bCs/>
          <w:snapToGrid w:val="0"/>
        </w:rPr>
        <w:t>13</w:t>
      </w:r>
      <w:r w:rsidRPr="000C3AC4">
        <w:rPr>
          <w:rFonts w:cs="Arial"/>
          <w:bCs/>
          <w:snapToGrid w:val="0"/>
        </w:rPr>
        <w:t xml:space="preserve"> of this document; and</w:t>
      </w:r>
    </w:p>
    <w:p w:rsidR="00025F28" w:rsidRPr="000C3AC4" w:rsidRDefault="00025F28" w:rsidP="00025F28">
      <w:pPr>
        <w:rPr>
          <w:rFonts w:cs="Arial"/>
          <w:bCs/>
          <w:snapToGrid w:val="0"/>
        </w:rPr>
      </w:pPr>
    </w:p>
    <w:p w:rsidR="00025F28" w:rsidRPr="00EF6077" w:rsidRDefault="00025F28" w:rsidP="00025F28">
      <w:pPr>
        <w:rPr>
          <w:rFonts w:cs="Arial"/>
          <w:bCs/>
          <w:snapToGrid w:val="0"/>
        </w:rPr>
      </w:pPr>
      <w:r w:rsidRPr="000C3AC4">
        <w:rPr>
          <w:rFonts w:cs="Arial"/>
          <w:bCs/>
          <w:snapToGrid w:val="0"/>
        </w:rPr>
        <w:tab/>
        <w:t>(b)</w:t>
      </w:r>
      <w:r w:rsidRPr="000C3AC4">
        <w:rPr>
          <w:rFonts w:cs="Arial"/>
          <w:bCs/>
          <w:snapToGrid w:val="0"/>
        </w:rPr>
        <w:tab/>
        <w:t xml:space="preserve">the proposal to amend the guidance in document TGP/7, Guidance Note 18 (GN 18), to allow the exclusion of a characteristic from observation on the basis of a state of expression of a preceding pseudo qualitative or quantitative characteristic, as set out in paragraph </w:t>
      </w:r>
      <w:r w:rsidR="00D72930" w:rsidRPr="000C3AC4">
        <w:rPr>
          <w:rFonts w:cs="Arial"/>
          <w:bCs/>
          <w:snapToGrid w:val="0"/>
        </w:rPr>
        <w:t>14</w:t>
      </w:r>
      <w:r w:rsidRPr="000C3AC4">
        <w:rPr>
          <w:rFonts w:cs="Arial"/>
          <w:bCs/>
          <w:snapToGrid w:val="0"/>
        </w:rPr>
        <w:t xml:space="preserve"> of this document.</w:t>
      </w:r>
    </w:p>
    <w:p w:rsidR="00915DF2" w:rsidRDefault="00915DF2" w:rsidP="004B1215">
      <w:pPr>
        <w:rPr>
          <w:snapToGrid w:val="0"/>
        </w:rPr>
      </w:pPr>
    </w:p>
    <w:p w:rsidR="00000F72" w:rsidRPr="00FA628E" w:rsidRDefault="00000F72" w:rsidP="00000F72">
      <w:pPr>
        <w:jc w:val="left"/>
        <w:rPr>
          <w:rFonts w:cs="Arial"/>
          <w:color w:val="000000"/>
        </w:rPr>
      </w:pPr>
      <w:r w:rsidRPr="00EF6077">
        <w:rPr>
          <w:rFonts w:cs="Arial"/>
          <w:color w:val="000000"/>
        </w:rPr>
        <w:fldChar w:fldCharType="begin"/>
      </w:r>
      <w:r w:rsidRPr="00EF6077">
        <w:rPr>
          <w:rFonts w:cs="Arial"/>
          <w:color w:val="000000"/>
        </w:rPr>
        <w:instrText xml:space="preserve"> AUTONUM  </w:instrText>
      </w:r>
      <w:r w:rsidRPr="00EF6077">
        <w:rPr>
          <w:rFonts w:cs="Arial"/>
          <w:color w:val="000000"/>
        </w:rPr>
        <w:fldChar w:fldCharType="end"/>
      </w:r>
      <w:r w:rsidRPr="00EF6077">
        <w:rPr>
          <w:rFonts w:cs="Arial"/>
          <w:color w:val="000000"/>
        </w:rPr>
        <w:tab/>
        <w:t xml:space="preserve">The following abbreviations </w:t>
      </w:r>
      <w:proofErr w:type="gramStart"/>
      <w:r w:rsidRPr="00EF6077">
        <w:rPr>
          <w:rFonts w:cs="Arial"/>
          <w:color w:val="000000"/>
        </w:rPr>
        <w:t>are used</w:t>
      </w:r>
      <w:proofErr w:type="gramEnd"/>
      <w:r w:rsidRPr="00EF6077">
        <w:rPr>
          <w:rFonts w:cs="Arial"/>
          <w:color w:val="000000"/>
        </w:rPr>
        <w:t xml:space="preserve"> in th</w:t>
      </w:r>
      <w:r w:rsidRPr="00FA628E">
        <w:rPr>
          <w:rFonts w:cs="Arial"/>
          <w:color w:val="000000"/>
        </w:rPr>
        <w:t>is document:</w:t>
      </w:r>
    </w:p>
    <w:p w:rsidR="00000F72" w:rsidRPr="00FA628E" w:rsidRDefault="00000F72" w:rsidP="00000F72">
      <w:pPr>
        <w:jc w:val="left"/>
        <w:rPr>
          <w:rFonts w:cs="Arial"/>
          <w:color w:val="000000"/>
        </w:rPr>
      </w:pPr>
    </w:p>
    <w:p w:rsidR="00000F72" w:rsidRPr="00FA628E" w:rsidRDefault="00000F72" w:rsidP="00000F72">
      <w:pPr>
        <w:tabs>
          <w:tab w:val="left" w:pos="1134"/>
        </w:tabs>
        <w:jc w:val="left"/>
        <w:rPr>
          <w:rFonts w:cs="Arial"/>
          <w:color w:val="000000"/>
        </w:rPr>
      </w:pPr>
      <w:r w:rsidRPr="00FA628E">
        <w:rPr>
          <w:rFonts w:cs="Arial"/>
          <w:color w:val="000000"/>
        </w:rPr>
        <w:t xml:space="preserve">TC:  </w:t>
      </w:r>
      <w:r w:rsidRPr="00FA628E">
        <w:rPr>
          <w:rFonts w:cs="Arial"/>
          <w:color w:val="000000"/>
        </w:rPr>
        <w:tab/>
        <w:t>Technical Committee</w:t>
      </w:r>
    </w:p>
    <w:p w:rsidR="00000F72" w:rsidRPr="00FA628E" w:rsidRDefault="00000F72" w:rsidP="00000F72">
      <w:pPr>
        <w:jc w:val="left"/>
        <w:rPr>
          <w:rFonts w:cs="Arial"/>
          <w:color w:val="000000"/>
        </w:rPr>
      </w:pPr>
      <w:r w:rsidRPr="00FA628E">
        <w:rPr>
          <w:rFonts w:cs="Arial"/>
          <w:color w:val="000000"/>
        </w:rPr>
        <w:t xml:space="preserve">TC-EDC:  </w:t>
      </w:r>
      <w:r w:rsidRPr="00FA628E">
        <w:rPr>
          <w:rFonts w:cs="Arial"/>
          <w:color w:val="000000"/>
        </w:rPr>
        <w:tab/>
        <w:t>Enlarged Editorial Committee</w:t>
      </w:r>
    </w:p>
    <w:p w:rsidR="00000F72" w:rsidRPr="00FA628E" w:rsidRDefault="00000F72" w:rsidP="00000F72">
      <w:pPr>
        <w:jc w:val="left"/>
        <w:rPr>
          <w:rFonts w:cs="Arial"/>
          <w:color w:val="000000"/>
        </w:rPr>
      </w:pPr>
      <w:r w:rsidRPr="00FA628E">
        <w:rPr>
          <w:rFonts w:cs="Arial"/>
          <w:color w:val="000000"/>
        </w:rPr>
        <w:t xml:space="preserve">TWA:  </w:t>
      </w:r>
      <w:r w:rsidRPr="00FA628E">
        <w:rPr>
          <w:rFonts w:cs="Arial"/>
          <w:color w:val="000000"/>
        </w:rPr>
        <w:tab/>
        <w:t>Technical Working Party for Agricultural Crops</w:t>
      </w:r>
    </w:p>
    <w:p w:rsidR="00000F72" w:rsidRPr="00FA628E" w:rsidRDefault="00000F72" w:rsidP="00000F72">
      <w:pPr>
        <w:jc w:val="left"/>
        <w:rPr>
          <w:rFonts w:cs="Arial"/>
          <w:color w:val="000000"/>
        </w:rPr>
      </w:pPr>
      <w:r w:rsidRPr="00FA628E">
        <w:rPr>
          <w:rFonts w:cs="Arial"/>
          <w:color w:val="000000"/>
        </w:rPr>
        <w:t xml:space="preserve">TWC:  </w:t>
      </w:r>
      <w:r w:rsidRPr="00FA628E">
        <w:rPr>
          <w:rFonts w:cs="Arial"/>
          <w:color w:val="000000"/>
        </w:rPr>
        <w:tab/>
        <w:t>Technical Working Party on Automation and Computer Programs</w:t>
      </w:r>
    </w:p>
    <w:p w:rsidR="00000F72" w:rsidRPr="00FA628E" w:rsidRDefault="00000F72" w:rsidP="00000F72">
      <w:pPr>
        <w:jc w:val="left"/>
        <w:rPr>
          <w:rFonts w:cs="Arial"/>
          <w:color w:val="000000"/>
        </w:rPr>
      </w:pPr>
      <w:r w:rsidRPr="00FA628E">
        <w:rPr>
          <w:rFonts w:cs="Arial"/>
          <w:color w:val="000000"/>
        </w:rPr>
        <w:t xml:space="preserve">TWF:  </w:t>
      </w:r>
      <w:r w:rsidRPr="00FA628E">
        <w:rPr>
          <w:rFonts w:cs="Arial"/>
          <w:color w:val="000000"/>
        </w:rPr>
        <w:tab/>
        <w:t xml:space="preserve">Technical Working Party for Fruit Crops </w:t>
      </w:r>
    </w:p>
    <w:p w:rsidR="00000F72" w:rsidRPr="00FA628E" w:rsidRDefault="00000F72" w:rsidP="00000F72">
      <w:pPr>
        <w:jc w:val="left"/>
        <w:rPr>
          <w:rFonts w:cs="Arial"/>
          <w:color w:val="000000"/>
        </w:rPr>
      </w:pPr>
      <w:r w:rsidRPr="00FA628E">
        <w:rPr>
          <w:rFonts w:cs="Arial"/>
          <w:color w:val="000000"/>
        </w:rPr>
        <w:t xml:space="preserve">TWO:  </w:t>
      </w:r>
      <w:r w:rsidRPr="00FA628E">
        <w:rPr>
          <w:rFonts w:cs="Arial"/>
          <w:color w:val="000000"/>
        </w:rPr>
        <w:tab/>
        <w:t xml:space="preserve">Technical Working Party for Ornamental Plants and Forest Trees </w:t>
      </w:r>
    </w:p>
    <w:p w:rsidR="00000F72" w:rsidRPr="00FA628E" w:rsidRDefault="00000F72" w:rsidP="00000F72">
      <w:pPr>
        <w:jc w:val="left"/>
        <w:rPr>
          <w:rFonts w:cs="Arial"/>
          <w:color w:val="000000"/>
        </w:rPr>
      </w:pPr>
      <w:r w:rsidRPr="00FA628E">
        <w:rPr>
          <w:rFonts w:cs="Arial"/>
          <w:color w:val="000000"/>
        </w:rPr>
        <w:t xml:space="preserve">TWV:  </w:t>
      </w:r>
      <w:r w:rsidRPr="00FA628E">
        <w:rPr>
          <w:rFonts w:cs="Arial"/>
          <w:color w:val="000000"/>
        </w:rPr>
        <w:tab/>
        <w:t>Technical Working Party for Vegetables</w:t>
      </w:r>
    </w:p>
    <w:p w:rsidR="00000F72" w:rsidRPr="00FA628E" w:rsidRDefault="00000F72" w:rsidP="00000F72">
      <w:pPr>
        <w:jc w:val="left"/>
        <w:rPr>
          <w:rFonts w:cs="Arial"/>
          <w:color w:val="000000"/>
        </w:rPr>
      </w:pPr>
      <w:r w:rsidRPr="00FA628E">
        <w:rPr>
          <w:rFonts w:cs="Arial"/>
          <w:color w:val="000000"/>
        </w:rPr>
        <w:t>TWPs:</w:t>
      </w:r>
      <w:r w:rsidRPr="00FA628E">
        <w:rPr>
          <w:rFonts w:cs="Arial"/>
          <w:color w:val="000000"/>
        </w:rPr>
        <w:tab/>
        <w:t>Technical Working Parties</w:t>
      </w:r>
    </w:p>
    <w:p w:rsidR="00000F72" w:rsidRPr="00FA628E" w:rsidRDefault="00000F72" w:rsidP="00000F72">
      <w:pPr>
        <w:tabs>
          <w:tab w:val="left" w:pos="567"/>
          <w:tab w:val="left" w:pos="1134"/>
        </w:tabs>
        <w:rPr>
          <w:snapToGrid w:val="0"/>
          <w:highlight w:val="yellow"/>
        </w:rPr>
      </w:pPr>
    </w:p>
    <w:p w:rsidR="00000F72" w:rsidRDefault="00000F72" w:rsidP="00000F72">
      <w:pPr>
        <w:rPr>
          <w:lang w:eastAsia="ja-JP"/>
        </w:rPr>
      </w:pPr>
      <w:r w:rsidRPr="00FA628E">
        <w:fldChar w:fldCharType="begin"/>
      </w:r>
      <w:r w:rsidRPr="00FA628E">
        <w:instrText xml:space="preserve"> AUTONUM  </w:instrText>
      </w:r>
      <w:r w:rsidRPr="00FA628E">
        <w:fldChar w:fldCharType="end"/>
      </w:r>
      <w:r w:rsidRPr="00FA628E">
        <w:tab/>
      </w:r>
      <w:r w:rsidRPr="00FA628E">
        <w:rPr>
          <w:lang w:eastAsia="ja-JP"/>
        </w:rPr>
        <w:t>The structure of this document is as follows:</w:t>
      </w:r>
    </w:p>
    <w:p w:rsidR="00000F72" w:rsidRPr="00FA628E" w:rsidRDefault="00000F72" w:rsidP="00000F72">
      <w:pPr>
        <w:rPr>
          <w:lang w:eastAsia="ja-JP"/>
        </w:rPr>
      </w:pPr>
    </w:p>
    <w:p w:rsidR="000D3722" w:rsidRDefault="00000F72">
      <w:pPr>
        <w:pStyle w:val="TOC1"/>
        <w:rPr>
          <w:rFonts w:asciiTheme="minorHAnsi" w:eastAsiaTheme="minorEastAsia" w:hAnsiTheme="minorHAnsi" w:cstheme="minorBidi"/>
          <w:caps w:val="0"/>
          <w:noProof/>
          <w:sz w:val="22"/>
          <w:szCs w:val="22"/>
        </w:rPr>
      </w:pPr>
      <w:r w:rsidRPr="008B1AC5">
        <w:rPr>
          <w:b/>
          <w:bCs/>
          <w:noProof/>
          <w:sz w:val="20"/>
          <w:highlight w:val="yellow"/>
        </w:rPr>
        <w:fldChar w:fldCharType="begin"/>
      </w:r>
      <w:r w:rsidRPr="008B1AC5">
        <w:rPr>
          <w:rFonts w:cs="Arial"/>
          <w:b/>
          <w:bCs/>
          <w:noProof/>
          <w:highlight w:val="yellow"/>
        </w:rPr>
        <w:instrText xml:space="preserve"> TOC \o "1-3" \h \z \u </w:instrText>
      </w:r>
      <w:r w:rsidRPr="008B1AC5">
        <w:rPr>
          <w:b/>
          <w:bCs/>
          <w:noProof/>
          <w:sz w:val="20"/>
          <w:highlight w:val="yellow"/>
        </w:rPr>
        <w:fldChar w:fldCharType="separate"/>
      </w:r>
      <w:hyperlink w:anchor="_Toc20839457" w:history="1">
        <w:r w:rsidR="000D3722" w:rsidRPr="00441460">
          <w:rPr>
            <w:rStyle w:val="Hyperlink"/>
            <w:noProof/>
            <w:snapToGrid w:val="0"/>
          </w:rPr>
          <w:t>Executive Summary</w:t>
        </w:r>
        <w:r w:rsidR="000D3722">
          <w:rPr>
            <w:noProof/>
            <w:webHidden/>
          </w:rPr>
          <w:tab/>
        </w:r>
        <w:r w:rsidR="000D3722">
          <w:rPr>
            <w:noProof/>
            <w:webHidden/>
          </w:rPr>
          <w:fldChar w:fldCharType="begin"/>
        </w:r>
        <w:r w:rsidR="000D3722">
          <w:rPr>
            <w:noProof/>
            <w:webHidden/>
          </w:rPr>
          <w:instrText xml:space="preserve"> PAGEREF _Toc20839457 \h </w:instrText>
        </w:r>
        <w:r w:rsidR="000D3722">
          <w:rPr>
            <w:noProof/>
            <w:webHidden/>
          </w:rPr>
        </w:r>
        <w:r w:rsidR="000D3722">
          <w:rPr>
            <w:noProof/>
            <w:webHidden/>
          </w:rPr>
          <w:fldChar w:fldCharType="separate"/>
        </w:r>
        <w:r w:rsidR="000D3722">
          <w:rPr>
            <w:noProof/>
            <w:webHidden/>
          </w:rPr>
          <w:t>1</w:t>
        </w:r>
        <w:r w:rsidR="000D3722">
          <w:rPr>
            <w:noProof/>
            <w:webHidden/>
          </w:rPr>
          <w:fldChar w:fldCharType="end"/>
        </w:r>
      </w:hyperlink>
    </w:p>
    <w:p w:rsidR="000D3722" w:rsidRDefault="000C3AC4">
      <w:pPr>
        <w:pStyle w:val="TOC1"/>
        <w:rPr>
          <w:rFonts w:asciiTheme="minorHAnsi" w:eastAsiaTheme="minorEastAsia" w:hAnsiTheme="minorHAnsi" w:cstheme="minorBidi"/>
          <w:caps w:val="0"/>
          <w:noProof/>
          <w:sz w:val="22"/>
          <w:szCs w:val="22"/>
        </w:rPr>
      </w:pPr>
      <w:hyperlink w:anchor="_Toc20839458" w:history="1">
        <w:r w:rsidR="000D3722" w:rsidRPr="00441460">
          <w:rPr>
            <w:rStyle w:val="Hyperlink"/>
            <w:noProof/>
            <w:snapToGrid w:val="0"/>
          </w:rPr>
          <w:t xml:space="preserve">Developments at the </w:t>
        </w:r>
        <w:r w:rsidR="000D3722" w:rsidRPr="00441460">
          <w:rPr>
            <w:rStyle w:val="Hyperlink"/>
            <w:noProof/>
          </w:rPr>
          <w:t>Technical Working Party for Agricultural Crops</w:t>
        </w:r>
        <w:r w:rsidR="000D3722">
          <w:rPr>
            <w:noProof/>
            <w:webHidden/>
          </w:rPr>
          <w:tab/>
        </w:r>
        <w:r w:rsidR="000D3722">
          <w:rPr>
            <w:noProof/>
            <w:webHidden/>
          </w:rPr>
          <w:fldChar w:fldCharType="begin"/>
        </w:r>
        <w:r w:rsidR="000D3722">
          <w:rPr>
            <w:noProof/>
            <w:webHidden/>
          </w:rPr>
          <w:instrText xml:space="preserve"> PAGEREF _Toc20839458 \h </w:instrText>
        </w:r>
        <w:r w:rsidR="000D3722">
          <w:rPr>
            <w:noProof/>
            <w:webHidden/>
          </w:rPr>
        </w:r>
        <w:r w:rsidR="000D3722">
          <w:rPr>
            <w:noProof/>
            <w:webHidden/>
          </w:rPr>
          <w:fldChar w:fldCharType="separate"/>
        </w:r>
        <w:r w:rsidR="000D3722">
          <w:rPr>
            <w:noProof/>
            <w:webHidden/>
          </w:rPr>
          <w:t>1</w:t>
        </w:r>
        <w:r w:rsidR="000D3722">
          <w:rPr>
            <w:noProof/>
            <w:webHidden/>
          </w:rPr>
          <w:fldChar w:fldCharType="end"/>
        </w:r>
      </w:hyperlink>
    </w:p>
    <w:p w:rsidR="000D3722" w:rsidRDefault="000C3AC4">
      <w:pPr>
        <w:pStyle w:val="TOC1"/>
        <w:rPr>
          <w:rFonts w:asciiTheme="minorHAnsi" w:eastAsiaTheme="minorEastAsia" w:hAnsiTheme="minorHAnsi" w:cstheme="minorBidi"/>
          <w:caps w:val="0"/>
          <w:noProof/>
          <w:sz w:val="22"/>
          <w:szCs w:val="22"/>
        </w:rPr>
      </w:pPr>
      <w:hyperlink w:anchor="_Toc20839459" w:history="1">
        <w:r w:rsidR="000D3722" w:rsidRPr="00441460">
          <w:rPr>
            <w:rStyle w:val="Hyperlink"/>
            <w:noProof/>
          </w:rPr>
          <w:t>PROPOSAL</w:t>
        </w:r>
        <w:r w:rsidR="000D3722">
          <w:rPr>
            <w:noProof/>
            <w:webHidden/>
          </w:rPr>
          <w:tab/>
        </w:r>
        <w:r w:rsidR="000D3722">
          <w:rPr>
            <w:noProof/>
            <w:webHidden/>
          </w:rPr>
          <w:fldChar w:fldCharType="begin"/>
        </w:r>
        <w:r w:rsidR="000D3722">
          <w:rPr>
            <w:noProof/>
            <w:webHidden/>
          </w:rPr>
          <w:instrText xml:space="preserve"> PAGEREF _Toc20839459 \h </w:instrText>
        </w:r>
        <w:r w:rsidR="000D3722">
          <w:rPr>
            <w:noProof/>
            <w:webHidden/>
          </w:rPr>
        </w:r>
        <w:r w:rsidR="000D3722">
          <w:rPr>
            <w:noProof/>
            <w:webHidden/>
          </w:rPr>
          <w:fldChar w:fldCharType="separate"/>
        </w:r>
        <w:r w:rsidR="000D3722">
          <w:rPr>
            <w:noProof/>
            <w:webHidden/>
          </w:rPr>
          <w:t>2</w:t>
        </w:r>
        <w:r w:rsidR="000D3722">
          <w:rPr>
            <w:noProof/>
            <w:webHidden/>
          </w:rPr>
          <w:fldChar w:fldCharType="end"/>
        </w:r>
      </w:hyperlink>
    </w:p>
    <w:p w:rsidR="00915DF2" w:rsidRDefault="00000F72" w:rsidP="004B1215">
      <w:pPr>
        <w:rPr>
          <w:sz w:val="18"/>
          <w:szCs w:val="18"/>
        </w:rPr>
      </w:pPr>
      <w:r w:rsidRPr="008B1AC5">
        <w:rPr>
          <w:sz w:val="18"/>
          <w:szCs w:val="18"/>
          <w:highlight w:val="yellow"/>
        </w:rPr>
        <w:fldChar w:fldCharType="end"/>
      </w:r>
    </w:p>
    <w:p w:rsidR="000D3722" w:rsidRDefault="000D3722" w:rsidP="004B1215">
      <w:pPr>
        <w:rPr>
          <w:sz w:val="18"/>
          <w:szCs w:val="18"/>
        </w:rPr>
      </w:pPr>
    </w:p>
    <w:p w:rsidR="00000F72" w:rsidRDefault="00000F72" w:rsidP="00000F72">
      <w:pPr>
        <w:pStyle w:val="Heading1"/>
        <w:rPr>
          <w:snapToGrid w:val="0"/>
        </w:rPr>
      </w:pPr>
      <w:bookmarkStart w:id="3" w:name="_Toc20839458"/>
      <w:r>
        <w:rPr>
          <w:snapToGrid w:val="0"/>
        </w:rPr>
        <w:t xml:space="preserve">Developments at the </w:t>
      </w:r>
      <w:r w:rsidRPr="00FA628E">
        <w:t>Technical Working Party for Agricultural Crops</w:t>
      </w:r>
      <w:bookmarkEnd w:id="3"/>
    </w:p>
    <w:p w:rsidR="00000F72" w:rsidRDefault="00000F72" w:rsidP="004B1215">
      <w:pPr>
        <w:rPr>
          <w:snapToGrid w:val="0"/>
        </w:rPr>
      </w:pPr>
    </w:p>
    <w:p w:rsidR="00915DF2" w:rsidRPr="00A84523" w:rsidRDefault="0094406E" w:rsidP="0094406E">
      <w:r>
        <w:rPr>
          <w:snapToGrid w:val="0"/>
        </w:rPr>
        <w:fldChar w:fldCharType="begin"/>
      </w:r>
      <w:r>
        <w:rPr>
          <w:snapToGrid w:val="0"/>
        </w:rPr>
        <w:instrText xml:space="preserve"> AUTONUM  </w:instrText>
      </w:r>
      <w:r>
        <w:rPr>
          <w:snapToGrid w:val="0"/>
        </w:rPr>
        <w:fldChar w:fldCharType="end"/>
      </w:r>
      <w:r>
        <w:rPr>
          <w:snapToGrid w:val="0"/>
        </w:rPr>
        <w:tab/>
        <w:t xml:space="preserve">The TWA, at its forty-eighth session, held in Montevideo, Uruguay, from September 16 to 20, 2019, </w:t>
      </w:r>
      <w:r w:rsidR="00915DF2" w:rsidRPr="00A84523">
        <w:t>considered document TWP/3/9</w:t>
      </w:r>
      <w:r w:rsidR="001031C0">
        <w:t xml:space="preserve"> “Characteristics which only apply to certain varieties” (see document TWA/48/9 “Report”, paragraphs 10 to 17).</w:t>
      </w:r>
    </w:p>
    <w:p w:rsidR="00915DF2" w:rsidRPr="00A84523" w:rsidRDefault="00915DF2" w:rsidP="00915DF2"/>
    <w:p w:rsidR="00915DF2" w:rsidRPr="00A84523" w:rsidRDefault="00915DF2" w:rsidP="00915DF2">
      <w:r w:rsidRPr="00A84523">
        <w:fldChar w:fldCharType="begin"/>
      </w:r>
      <w:r w:rsidRPr="00A84523">
        <w:instrText xml:space="preserve"> AUTONUM  </w:instrText>
      </w:r>
      <w:r w:rsidRPr="00A84523">
        <w:fldChar w:fldCharType="end"/>
      </w:r>
      <w:r w:rsidRPr="00A84523">
        <w:tab/>
        <w:t>The TWA considered the request to provide suitable exam</w:t>
      </w:r>
      <w:r>
        <w:t>ples of a quantitative and of a </w:t>
      </w:r>
      <w:r w:rsidRPr="00A84523">
        <w:t>pseudo</w:t>
      </w:r>
      <w:r w:rsidRPr="00A84523">
        <w:noBreakHyphen/>
        <w:t xml:space="preserve">qualitative characteristic to demonstrate how the proposed approach </w:t>
      </w:r>
      <w:proofErr w:type="gramStart"/>
      <w:r w:rsidRPr="00A84523">
        <w:t>might be used</w:t>
      </w:r>
      <w:proofErr w:type="gramEnd"/>
      <w:r w:rsidRPr="00A84523">
        <w:t xml:space="preserve"> in a way that would not present risks for decisions on distinctness.</w:t>
      </w:r>
    </w:p>
    <w:p w:rsidR="00915DF2" w:rsidRPr="00A84523" w:rsidRDefault="00915DF2" w:rsidP="00915DF2"/>
    <w:p w:rsidR="00915DF2" w:rsidRPr="00A84523" w:rsidRDefault="00915DF2" w:rsidP="00915DF2">
      <w:pPr>
        <w:rPr>
          <w:snapToGrid w:val="0"/>
        </w:rPr>
      </w:pPr>
      <w:r w:rsidRPr="00A84523">
        <w:fldChar w:fldCharType="begin"/>
      </w:r>
      <w:r w:rsidRPr="00A84523">
        <w:instrText xml:space="preserve"> AUTONUM  </w:instrText>
      </w:r>
      <w:r w:rsidRPr="00A84523">
        <w:fldChar w:fldCharType="end"/>
      </w:r>
      <w:r w:rsidRPr="00A84523">
        <w:tab/>
        <w:t>The TWA agreed with the TWO that w</w:t>
      </w:r>
      <w:r w:rsidRPr="00A84523">
        <w:rPr>
          <w:snapToGrid w:val="0"/>
        </w:rPr>
        <w:t xml:space="preserve">hen a structure was “absent or </w:t>
      </w:r>
      <w:r>
        <w:rPr>
          <w:snapToGrid w:val="0"/>
        </w:rPr>
        <w:t>very weak” on a plant part, the </w:t>
      </w:r>
      <w:r w:rsidRPr="00A84523">
        <w:rPr>
          <w:snapToGrid w:val="0"/>
        </w:rPr>
        <w:t xml:space="preserve">observation of further characteristics on that structure could be difficult or impractical.  The TWA agreed that the following example provided by the TWO was suitable to demonstrate how the proposed approach </w:t>
      </w:r>
      <w:proofErr w:type="gramStart"/>
      <w:r w:rsidRPr="00A84523">
        <w:rPr>
          <w:snapToGrid w:val="0"/>
        </w:rPr>
        <w:t>could be used</w:t>
      </w:r>
      <w:proofErr w:type="gramEnd"/>
      <w:r w:rsidRPr="00A84523">
        <w:rPr>
          <w:snapToGrid w:val="0"/>
        </w:rPr>
        <w:t xml:space="preserve"> in a way that would not present risks for decisions on distinctness:</w:t>
      </w:r>
    </w:p>
    <w:p w:rsidR="00915DF2" w:rsidRPr="00A84523" w:rsidRDefault="00915DF2" w:rsidP="00915DF2">
      <w:pPr>
        <w:rPr>
          <w:snapToGrid w:val="0"/>
        </w:rPr>
      </w:pPr>
    </w:p>
    <w:p w:rsidR="00915DF2" w:rsidRPr="00A84523" w:rsidRDefault="00915DF2" w:rsidP="00915DF2">
      <w:pPr>
        <w:ind w:left="567"/>
        <w:rPr>
          <w:snapToGrid w:val="0"/>
        </w:rPr>
      </w:pPr>
      <w:r w:rsidRPr="00A84523">
        <w:rPr>
          <w:snapToGrid w:val="0"/>
        </w:rPr>
        <w:t>(QN) “</w:t>
      </w:r>
      <w:r>
        <w:rPr>
          <w:snapToGrid w:val="0"/>
        </w:rPr>
        <w:t>P</w:t>
      </w:r>
      <w:r w:rsidRPr="00A84523">
        <w:rPr>
          <w:snapToGrid w:val="0"/>
        </w:rPr>
        <w:t>resence of hairs: absent or very weak.”</w:t>
      </w:r>
    </w:p>
    <w:p w:rsidR="00915DF2" w:rsidRPr="00A84523" w:rsidRDefault="00915DF2" w:rsidP="00915DF2">
      <w:pPr>
        <w:ind w:left="567"/>
        <w:rPr>
          <w:snapToGrid w:val="0"/>
        </w:rPr>
      </w:pPr>
      <w:r w:rsidRPr="00A84523">
        <w:rPr>
          <w:snapToGrid w:val="0"/>
        </w:rPr>
        <w:t>(PQ) “</w:t>
      </w:r>
      <w:r>
        <w:rPr>
          <w:snapToGrid w:val="0"/>
        </w:rPr>
        <w:t>H</w:t>
      </w:r>
      <w:r w:rsidRPr="00A84523">
        <w:rPr>
          <w:snapToGrid w:val="0"/>
        </w:rPr>
        <w:t>air: color”</w:t>
      </w:r>
    </w:p>
    <w:p w:rsidR="00915DF2" w:rsidRPr="00A84523" w:rsidRDefault="00915DF2" w:rsidP="00915DF2"/>
    <w:p w:rsidR="00915DF2" w:rsidRPr="00A84523" w:rsidRDefault="00915DF2" w:rsidP="00915DF2">
      <w:r w:rsidRPr="00A84523">
        <w:fldChar w:fldCharType="begin"/>
      </w:r>
      <w:r w:rsidRPr="00A84523">
        <w:instrText xml:space="preserve"> AUTONUM  </w:instrText>
      </w:r>
      <w:r w:rsidRPr="00A84523">
        <w:fldChar w:fldCharType="end"/>
      </w:r>
      <w:r w:rsidRPr="00A84523">
        <w:tab/>
        <w:t xml:space="preserve">The TWA noted that the following example provided by the TWF contained a qualitative </w:t>
      </w:r>
      <w:r>
        <w:t>characteristic</w:t>
      </w:r>
      <w:r w:rsidRPr="00A84523">
        <w:t xml:space="preserve"> and agreed that might not be a suitable example to demonstrate how the proposed approach </w:t>
      </w:r>
      <w:proofErr w:type="gramStart"/>
      <w:r w:rsidRPr="00A84523">
        <w:t>might be used</w:t>
      </w:r>
      <w:proofErr w:type="gramEnd"/>
      <w:r w:rsidRPr="00A84523">
        <w:t xml:space="preserve"> without further information about the characteristic:</w:t>
      </w:r>
    </w:p>
    <w:p w:rsidR="00915DF2" w:rsidRPr="00A84523" w:rsidRDefault="00915DF2" w:rsidP="00915DF2"/>
    <w:p w:rsidR="00915DF2" w:rsidRPr="00A84523" w:rsidRDefault="00915DF2" w:rsidP="00915DF2">
      <w:pPr>
        <w:ind w:firstLine="567"/>
      </w:pPr>
      <w:r w:rsidRPr="00A84523">
        <w:t>Characteristic 17 (QN): “Leaf: predominant type: entire (1); three-lobed (2); five-lobed (3)</w:t>
      </w:r>
    </w:p>
    <w:p w:rsidR="00915DF2" w:rsidRPr="00A84523" w:rsidRDefault="00915DF2" w:rsidP="00915DF2">
      <w:pPr>
        <w:ind w:firstLine="567"/>
      </w:pPr>
      <w:r w:rsidRPr="00A84523">
        <w:t>Characteristic 18: “</w:t>
      </w:r>
      <w:r w:rsidRPr="00A84523">
        <w:rPr>
          <w:u w:val="single"/>
        </w:rPr>
        <w:t>Only varieties with predominant leaf type: entire</w:t>
      </w:r>
      <w:r w:rsidRPr="00A84523">
        <w:t>: Leaf: shape…”</w:t>
      </w:r>
    </w:p>
    <w:p w:rsidR="00915DF2" w:rsidRPr="00A84523" w:rsidRDefault="00915DF2" w:rsidP="00915DF2"/>
    <w:p w:rsidR="00915DF2" w:rsidRDefault="00915DF2" w:rsidP="00915DF2">
      <w:r w:rsidRPr="00A84523">
        <w:fldChar w:fldCharType="begin"/>
      </w:r>
      <w:r w:rsidRPr="00A84523">
        <w:instrText xml:space="preserve"> AUTONUM  </w:instrText>
      </w:r>
      <w:r w:rsidRPr="00A84523">
        <w:fldChar w:fldCharType="end"/>
      </w:r>
      <w:r w:rsidRPr="00A84523">
        <w:tab/>
        <w:t xml:space="preserve">The TWA considered the request to provide suitable examples of unsuitable cases to demonstrate the risks for decisions on distinctness of excluding varieties from observation </w:t>
      </w:r>
      <w:proofErr w:type="gramStart"/>
      <w:r w:rsidRPr="00A84523">
        <w:t>on the basis of</w:t>
      </w:r>
      <w:proofErr w:type="gramEnd"/>
      <w:r w:rsidRPr="00A84523">
        <w:t xml:space="preserve"> a preceding quantitative or pseudo-qualitative characteristic.  </w:t>
      </w:r>
    </w:p>
    <w:p w:rsidR="00915DF2" w:rsidRDefault="00915DF2" w:rsidP="00915DF2"/>
    <w:p w:rsidR="00915DF2" w:rsidRDefault="00915DF2" w:rsidP="00915DF2">
      <w:r>
        <w:fldChar w:fldCharType="begin"/>
      </w:r>
      <w:r>
        <w:instrText xml:space="preserve"> AUTONUM  </w:instrText>
      </w:r>
      <w:r>
        <w:fldChar w:fldCharType="end"/>
      </w:r>
      <w:r>
        <w:tab/>
        <w:t xml:space="preserve">The TWA </w:t>
      </w:r>
      <w:r w:rsidRPr="002C0BA2">
        <w:t>agreed that the risk for distinctness</w:t>
      </w:r>
      <w:r>
        <w:t xml:space="preserve"> due to the proposed approach </w:t>
      </w:r>
      <w:r w:rsidRPr="002C0BA2">
        <w:t xml:space="preserve">was low </w:t>
      </w:r>
      <w:r>
        <w:t xml:space="preserve">because a variety would not be considered distinct from another </w:t>
      </w:r>
      <w:proofErr w:type="gramStart"/>
      <w:r>
        <w:t>on the basis of</w:t>
      </w:r>
      <w:proofErr w:type="gramEnd"/>
      <w:r>
        <w:t xml:space="preserve"> missing information about a characteristic and the varieties would have to be grown for side-by-side comparison.</w:t>
      </w:r>
    </w:p>
    <w:p w:rsidR="00915DF2" w:rsidRDefault="00915DF2" w:rsidP="00915DF2"/>
    <w:p w:rsidR="00915DF2" w:rsidRDefault="00915DF2" w:rsidP="00915DF2">
      <w:r>
        <w:fldChar w:fldCharType="begin"/>
      </w:r>
      <w:r>
        <w:instrText xml:space="preserve"> AUTONUM  </w:instrText>
      </w:r>
      <w:r>
        <w:fldChar w:fldCharType="end"/>
      </w:r>
      <w:r>
        <w:tab/>
        <w:t xml:space="preserve">The TWA agreed that </w:t>
      </w:r>
      <w:r w:rsidRPr="002C0BA2">
        <w:t xml:space="preserve">the proposed approach </w:t>
      </w:r>
      <w:r>
        <w:t>could increase the difficulty to exclude varieties for comparison and increase the size of</w:t>
      </w:r>
      <w:r w:rsidRPr="002C0BA2">
        <w:t xml:space="preserve"> growing trial</w:t>
      </w:r>
      <w:r>
        <w:t xml:space="preserve">s </w:t>
      </w:r>
      <w:proofErr w:type="gramStart"/>
      <w:r>
        <w:t>however</w:t>
      </w:r>
      <w:proofErr w:type="gramEnd"/>
      <w:r>
        <w:t xml:space="preserve"> that is unlikely to have a significant effect</w:t>
      </w:r>
      <w:r w:rsidRPr="002C0BA2">
        <w:t>.</w:t>
      </w:r>
    </w:p>
    <w:p w:rsidR="00915DF2" w:rsidRDefault="00915DF2" w:rsidP="00915DF2"/>
    <w:p w:rsidR="00915DF2" w:rsidRDefault="00915DF2" w:rsidP="00915DF2">
      <w:r>
        <w:fldChar w:fldCharType="begin"/>
      </w:r>
      <w:r>
        <w:instrText xml:space="preserve"> AUTONUM  </w:instrText>
      </w:r>
      <w:r>
        <w:fldChar w:fldCharType="end"/>
      </w:r>
      <w:r>
        <w:tab/>
        <w:t xml:space="preserve">The TWA agreed that the risk of two examiners making different decisions was present but the probability of the proposed approach </w:t>
      </w:r>
      <w:proofErr w:type="gramStart"/>
      <w:r>
        <w:t>impacting</w:t>
      </w:r>
      <w:proofErr w:type="gramEnd"/>
      <w:r>
        <w:t xml:space="preserve"> the final distinctness decision was low.</w:t>
      </w:r>
    </w:p>
    <w:p w:rsidR="00544581" w:rsidRDefault="00544581">
      <w:pPr>
        <w:jc w:val="left"/>
      </w:pPr>
    </w:p>
    <w:p w:rsidR="00DB31CC" w:rsidRDefault="00DB31CC">
      <w:pPr>
        <w:jc w:val="left"/>
      </w:pPr>
    </w:p>
    <w:p w:rsidR="0094406E" w:rsidRDefault="0094406E" w:rsidP="0094406E">
      <w:pPr>
        <w:pStyle w:val="Heading1"/>
      </w:pPr>
      <w:bookmarkStart w:id="4" w:name="_Toc20839459"/>
      <w:r>
        <w:t>PROPOSAL</w:t>
      </w:r>
      <w:bookmarkEnd w:id="4"/>
    </w:p>
    <w:p w:rsidR="0094406E" w:rsidRDefault="0094406E" w:rsidP="0094406E">
      <w:pPr>
        <w:keepNext/>
      </w:pPr>
    </w:p>
    <w:p w:rsidR="0094406E" w:rsidRDefault="0094406E" w:rsidP="0094406E">
      <w:r>
        <w:fldChar w:fldCharType="begin"/>
      </w:r>
      <w:r>
        <w:instrText xml:space="preserve"> AUTONUM  </w:instrText>
      </w:r>
      <w:r>
        <w:fldChar w:fldCharType="end"/>
      </w:r>
      <w:r>
        <w:tab/>
      </w:r>
      <w:proofErr w:type="gramStart"/>
      <w:r>
        <w:t>On the basis of</w:t>
      </w:r>
      <w:proofErr w:type="gramEnd"/>
      <w:r>
        <w:t xml:space="preserve"> the comments by the TWPs, at their sessions in 2019, t</w:t>
      </w:r>
      <w:r w:rsidRPr="00FA628E">
        <w:t>he TC</w:t>
      </w:r>
      <w:r>
        <w:t xml:space="preserve"> is invited to consider </w:t>
      </w:r>
      <w:r w:rsidRPr="00FA628E">
        <w:t>the</w:t>
      </w:r>
      <w:r>
        <w:t xml:space="preserve"> following characteristics as examples of quantitative and pseudo-qualitative characteristics to demonstrate how the approach might be used in a way that would not present risk for distinctness:</w:t>
      </w:r>
    </w:p>
    <w:p w:rsidR="0094406E" w:rsidRDefault="0094406E" w:rsidP="0094406E"/>
    <w:p w:rsidR="0094406E" w:rsidRPr="000A2B49" w:rsidRDefault="0094406E" w:rsidP="0094406E">
      <w:pPr>
        <w:keepNext/>
        <w:keepLines/>
        <w:ind w:left="1276" w:hanging="567"/>
        <w:rPr>
          <w:i/>
          <w:snapToGrid w:val="0"/>
        </w:rPr>
      </w:pPr>
      <w:r w:rsidRPr="000A2B49">
        <w:rPr>
          <w:i/>
        </w:rPr>
        <w:t>Test Guidelines for Dahlia (TG/226/1):</w:t>
      </w:r>
    </w:p>
    <w:p w:rsidR="0094406E" w:rsidRPr="00A35554" w:rsidRDefault="0094406E" w:rsidP="0094406E">
      <w:pPr>
        <w:keepNext/>
        <w:keepLines/>
        <w:ind w:left="1276" w:hanging="567"/>
        <w:rPr>
          <w:snapToGrid w:val="0"/>
        </w:rPr>
      </w:pPr>
    </w:p>
    <w:p w:rsidR="0094406E" w:rsidRDefault="0094406E" w:rsidP="0094406E">
      <w:pPr>
        <w:keepNext/>
        <w:keepLines/>
        <w:ind w:left="1276" w:hanging="567"/>
        <w:rPr>
          <w:snapToGrid w:val="0"/>
        </w:rPr>
      </w:pPr>
      <w:r w:rsidRPr="00A35554">
        <w:rPr>
          <w:snapToGrid w:val="0"/>
        </w:rPr>
        <w:t xml:space="preserve">(PQ) </w:t>
      </w:r>
      <w:r>
        <w:rPr>
          <w:snapToGrid w:val="0"/>
        </w:rPr>
        <w:t xml:space="preserve">Characteristic 21: </w:t>
      </w:r>
      <w:r w:rsidRPr="00A35554">
        <w:rPr>
          <w:snapToGrid w:val="0"/>
        </w:rPr>
        <w:t>Flower head: type: single (1); semi-double (2); daisy-eyed double (3); double</w:t>
      </w:r>
      <w:r>
        <w:rPr>
          <w:snapToGrid w:val="0"/>
        </w:rPr>
        <w:t> </w:t>
      </w:r>
      <w:r w:rsidRPr="00A35554">
        <w:rPr>
          <w:snapToGrid w:val="0"/>
        </w:rPr>
        <w:t>(4)</w:t>
      </w:r>
    </w:p>
    <w:p w:rsidR="0094406E" w:rsidRPr="00A35554" w:rsidRDefault="0094406E" w:rsidP="0094406E">
      <w:pPr>
        <w:keepNext/>
        <w:keepLines/>
        <w:ind w:left="1276" w:hanging="567"/>
        <w:rPr>
          <w:snapToGrid w:val="0"/>
        </w:rPr>
      </w:pPr>
      <w:r>
        <w:rPr>
          <w:snapToGrid w:val="0"/>
        </w:rPr>
        <w:t xml:space="preserve">(QN) Characteristic 26: </w:t>
      </w:r>
      <w:r w:rsidRPr="00B1091F">
        <w:rPr>
          <w:u w:val="single"/>
        </w:rPr>
        <w:t>Only double and daisy-eyed double varieties</w:t>
      </w:r>
      <w:r>
        <w:t>: Flower head: height: short (3); medium (5); tall (7)</w:t>
      </w:r>
    </w:p>
    <w:p w:rsidR="0094406E" w:rsidRPr="00A35554" w:rsidRDefault="0094406E" w:rsidP="0094406E">
      <w:pPr>
        <w:ind w:left="1276" w:hanging="567"/>
      </w:pPr>
    </w:p>
    <w:p w:rsidR="0094406E" w:rsidRPr="000A2B49" w:rsidRDefault="0094406E" w:rsidP="0094406E">
      <w:pPr>
        <w:keepNext/>
        <w:ind w:left="1276" w:hanging="567"/>
        <w:rPr>
          <w:i/>
        </w:rPr>
      </w:pPr>
      <w:r w:rsidRPr="000A2B49">
        <w:rPr>
          <w:i/>
        </w:rPr>
        <w:t>Test Guidelines for Leaf Chicory (TG/154/4):</w:t>
      </w:r>
    </w:p>
    <w:p w:rsidR="0094406E" w:rsidRDefault="0094406E" w:rsidP="0094406E">
      <w:pPr>
        <w:keepNext/>
        <w:ind w:left="1276" w:hanging="567"/>
      </w:pPr>
    </w:p>
    <w:p w:rsidR="0094406E" w:rsidRDefault="0094406E" w:rsidP="0094406E">
      <w:pPr>
        <w:keepNext/>
        <w:ind w:left="1276" w:hanging="567"/>
      </w:pPr>
      <w:r>
        <w:t>(PQ) Characteristic 16: “Plant: head formation: absent (1); open (2); closed (3)</w:t>
      </w:r>
    </w:p>
    <w:p w:rsidR="0094406E" w:rsidRDefault="0094406E" w:rsidP="0094406E">
      <w:pPr>
        <w:keepNext/>
        <w:ind w:left="1276" w:hanging="567"/>
      </w:pPr>
      <w:r>
        <w:t>(QN) Characteristic 17: “</w:t>
      </w:r>
      <w:r w:rsidRPr="00B1091F">
        <w:rPr>
          <w:u w:val="single"/>
        </w:rPr>
        <w:t>Only for varieties with head formation</w:t>
      </w:r>
      <w:r>
        <w:t>: Time of head formation: very early (1); early (3); medium (5); late (7); very late (9)”</w:t>
      </w:r>
    </w:p>
    <w:p w:rsidR="0094406E" w:rsidRDefault="0094406E" w:rsidP="0094406E">
      <w:pPr>
        <w:ind w:left="1276" w:hanging="567"/>
      </w:pPr>
    </w:p>
    <w:p w:rsidR="0094406E" w:rsidRPr="000A2B49" w:rsidRDefault="0094406E" w:rsidP="0094406E">
      <w:pPr>
        <w:ind w:left="1276" w:hanging="567"/>
        <w:rPr>
          <w:i/>
        </w:rPr>
      </w:pPr>
      <w:r w:rsidRPr="000A2B49">
        <w:rPr>
          <w:i/>
        </w:rPr>
        <w:t>Test Guidelines for Fig (TG/265/1):</w:t>
      </w:r>
    </w:p>
    <w:p w:rsidR="0094406E" w:rsidRDefault="0094406E" w:rsidP="0094406E">
      <w:pPr>
        <w:ind w:left="1276" w:hanging="567"/>
      </w:pPr>
    </w:p>
    <w:p w:rsidR="0094406E" w:rsidRDefault="0094406E" w:rsidP="0094406E">
      <w:pPr>
        <w:ind w:left="1276" w:hanging="567"/>
      </w:pPr>
      <w:r>
        <w:t>(QN) Characteristic 17: “Leaf: predominant type: entire (1); three-lobed (2); five-lobed (3)</w:t>
      </w:r>
    </w:p>
    <w:p w:rsidR="0094406E" w:rsidRDefault="0094406E" w:rsidP="0094406E">
      <w:pPr>
        <w:ind w:left="1276" w:hanging="567"/>
      </w:pPr>
      <w:r>
        <w:t>(PQ) Characteristic 18: “</w:t>
      </w:r>
      <w:r>
        <w:rPr>
          <w:u w:val="single"/>
        </w:rPr>
        <w:t>Only varieties with predominant leaf type: entire</w:t>
      </w:r>
      <w:r>
        <w:t>: Leaf: shape: cordate (1); triangular (2); lanceolate (3); elliptic (4)”</w:t>
      </w:r>
    </w:p>
    <w:p w:rsidR="0094406E" w:rsidRDefault="0094406E" w:rsidP="0094406E">
      <w:pPr>
        <w:ind w:left="709"/>
        <w:rPr>
          <w:snapToGrid w:val="0"/>
        </w:rPr>
      </w:pPr>
    </w:p>
    <w:p w:rsidR="0094406E" w:rsidRPr="0094406E" w:rsidRDefault="0094406E" w:rsidP="0094406E">
      <w:pPr>
        <w:ind w:left="709"/>
        <w:rPr>
          <w:i/>
          <w:snapToGrid w:val="0"/>
        </w:rPr>
      </w:pPr>
      <w:r w:rsidRPr="0094406E">
        <w:rPr>
          <w:i/>
          <w:snapToGrid w:val="0"/>
        </w:rPr>
        <w:t>Hypothetical example:</w:t>
      </w:r>
    </w:p>
    <w:p w:rsidR="0094406E" w:rsidRPr="00A84523" w:rsidRDefault="0094406E" w:rsidP="0094406E">
      <w:pPr>
        <w:ind w:left="709"/>
        <w:rPr>
          <w:snapToGrid w:val="0"/>
        </w:rPr>
      </w:pPr>
    </w:p>
    <w:p w:rsidR="0094406E" w:rsidRPr="00A84523" w:rsidRDefault="0094406E" w:rsidP="0094406E">
      <w:pPr>
        <w:ind w:left="709"/>
        <w:rPr>
          <w:snapToGrid w:val="0"/>
        </w:rPr>
      </w:pPr>
      <w:r w:rsidRPr="00A84523">
        <w:rPr>
          <w:snapToGrid w:val="0"/>
        </w:rPr>
        <w:t>(QN) “</w:t>
      </w:r>
      <w:r>
        <w:rPr>
          <w:snapToGrid w:val="0"/>
        </w:rPr>
        <w:t>P</w:t>
      </w:r>
      <w:r w:rsidRPr="00A84523">
        <w:rPr>
          <w:snapToGrid w:val="0"/>
        </w:rPr>
        <w:t>resence of hairs: absent or very weak.”</w:t>
      </w:r>
    </w:p>
    <w:p w:rsidR="0094406E" w:rsidRPr="00A84523" w:rsidRDefault="0094406E" w:rsidP="0094406E">
      <w:pPr>
        <w:ind w:left="709"/>
        <w:rPr>
          <w:snapToGrid w:val="0"/>
        </w:rPr>
      </w:pPr>
      <w:r w:rsidRPr="00A84523">
        <w:rPr>
          <w:snapToGrid w:val="0"/>
        </w:rPr>
        <w:t>(PQ) “</w:t>
      </w:r>
      <w:r>
        <w:rPr>
          <w:snapToGrid w:val="0"/>
        </w:rPr>
        <w:t>H</w:t>
      </w:r>
      <w:r w:rsidRPr="00A84523">
        <w:rPr>
          <w:snapToGrid w:val="0"/>
        </w:rPr>
        <w:t>air: color”</w:t>
      </w:r>
    </w:p>
    <w:p w:rsidR="0094406E" w:rsidRPr="00FA628E" w:rsidRDefault="0094406E" w:rsidP="0094406E"/>
    <w:p w:rsidR="0094406E" w:rsidRPr="00FA628E" w:rsidRDefault="0094406E" w:rsidP="00000F72">
      <w:pPr>
        <w:keepLines/>
      </w:pPr>
      <w:r w:rsidRPr="00FA628E">
        <w:lastRenderedPageBreak/>
        <w:fldChar w:fldCharType="begin"/>
      </w:r>
      <w:r w:rsidRPr="00FA628E">
        <w:instrText xml:space="preserve"> AUTONUM  </w:instrText>
      </w:r>
      <w:r w:rsidRPr="00FA628E">
        <w:fldChar w:fldCharType="end"/>
      </w:r>
      <w:r w:rsidRPr="00FA628E">
        <w:tab/>
      </w:r>
      <w:proofErr w:type="gramStart"/>
      <w:r>
        <w:t>On the basis of the comments by the TWPs, at their sessions in 2019, t</w:t>
      </w:r>
      <w:r w:rsidRPr="00FA628E">
        <w:t>he TC</w:t>
      </w:r>
      <w:r>
        <w:t xml:space="preserve"> is invited to consider </w:t>
      </w:r>
      <w:r w:rsidRPr="00FA628E">
        <w:t xml:space="preserve">the proposal to amend the guidance in document TGP/7, Guidance Note 18 (GN 18), </w:t>
      </w:r>
      <w:r w:rsidRPr="00FA628E">
        <w:rPr>
          <w:snapToGrid w:val="0"/>
        </w:rPr>
        <w:t>to allow the exclusion of a characteristic from observation on the basis of a state of expression of a preceding pseudo</w:t>
      </w:r>
      <w:r w:rsidRPr="00FA628E">
        <w:rPr>
          <w:snapToGrid w:val="0"/>
        </w:rPr>
        <w:noBreakHyphen/>
        <w:t>qualitative or quantitative characteristic,</w:t>
      </w:r>
      <w:r w:rsidRPr="00FA628E">
        <w:t xml:space="preserve"> as follows </w:t>
      </w:r>
      <w:r w:rsidRPr="00FA628E">
        <w:rPr>
          <w:rFonts w:cs="Arial"/>
          <w:bCs/>
          <w:snapToGrid w:val="0"/>
        </w:rPr>
        <w:t>(proposed text deletion</w:t>
      </w:r>
      <w:r>
        <w:rPr>
          <w:rFonts w:cs="Arial"/>
          <w:bCs/>
          <w:snapToGrid w:val="0"/>
        </w:rPr>
        <w:t>s</w:t>
      </w:r>
      <w:r w:rsidRPr="00FA628E">
        <w:rPr>
          <w:rFonts w:cs="Arial"/>
          <w:bCs/>
          <w:snapToGrid w:val="0"/>
        </w:rPr>
        <w:t xml:space="preserve"> indicated by </w:t>
      </w:r>
      <w:r w:rsidRPr="00FA628E">
        <w:rPr>
          <w:rFonts w:cs="Arial"/>
          <w:bCs/>
          <w:strike/>
          <w:snapToGrid w:val="0"/>
          <w:highlight w:val="lightGray"/>
        </w:rPr>
        <w:t>highlighting and strikethrough</w:t>
      </w:r>
      <w:r>
        <w:rPr>
          <w:rFonts w:cs="Arial"/>
          <w:bCs/>
          <w:snapToGrid w:val="0"/>
        </w:rPr>
        <w:t xml:space="preserve"> and insertions indicated by </w:t>
      </w:r>
      <w:r w:rsidRPr="0034340F">
        <w:rPr>
          <w:rFonts w:cs="Arial"/>
          <w:bCs/>
          <w:snapToGrid w:val="0"/>
          <w:highlight w:val="lightGray"/>
          <w:u w:val="single"/>
        </w:rPr>
        <w:t xml:space="preserve">highlighting </w:t>
      </w:r>
      <w:r>
        <w:rPr>
          <w:rFonts w:cs="Arial"/>
          <w:bCs/>
          <w:snapToGrid w:val="0"/>
          <w:highlight w:val="lightGray"/>
          <w:u w:val="single"/>
        </w:rPr>
        <w:t xml:space="preserve">and </w:t>
      </w:r>
      <w:r w:rsidRPr="0034340F">
        <w:rPr>
          <w:rFonts w:cs="Arial"/>
          <w:bCs/>
          <w:snapToGrid w:val="0"/>
          <w:highlight w:val="lightGray"/>
          <w:u w:val="single"/>
        </w:rPr>
        <w:t>underlining</w:t>
      </w:r>
      <w:r w:rsidRPr="00FA628E">
        <w:rPr>
          <w:rFonts w:cs="Arial"/>
          <w:bCs/>
          <w:snapToGrid w:val="0"/>
        </w:rPr>
        <w:t>)</w:t>
      </w:r>
      <w:r w:rsidRPr="00FA628E">
        <w:t>:</w:t>
      </w:r>
      <w:proofErr w:type="gramEnd"/>
    </w:p>
    <w:p w:rsidR="0094406E" w:rsidRPr="00FA628E" w:rsidRDefault="0094406E" w:rsidP="0094406E"/>
    <w:p w:rsidR="0094406E" w:rsidRPr="00FA628E" w:rsidRDefault="0094406E" w:rsidP="0094406E">
      <w:pPr>
        <w:ind w:left="567" w:right="565"/>
        <w:rPr>
          <w:rFonts w:cs="Arial"/>
          <w:bCs/>
          <w:i/>
          <w:snapToGrid w:val="0"/>
          <w:sz w:val="18"/>
        </w:rPr>
      </w:pPr>
      <w:r w:rsidRPr="00FA628E">
        <w:rPr>
          <w:rFonts w:cs="Arial"/>
          <w:bCs/>
          <w:i/>
          <w:snapToGrid w:val="0"/>
          <w:sz w:val="18"/>
        </w:rPr>
        <w:t xml:space="preserve">3. </w:t>
      </w:r>
      <w:proofErr w:type="gramStart"/>
      <w:r w:rsidRPr="00FA628E">
        <w:rPr>
          <w:rFonts w:cs="Arial"/>
          <w:bCs/>
          <w:i/>
          <w:snapToGrid w:val="0"/>
          <w:sz w:val="18"/>
        </w:rPr>
        <w:t>Characteristics which</w:t>
      </w:r>
      <w:proofErr w:type="gramEnd"/>
      <w:r w:rsidRPr="00FA628E">
        <w:rPr>
          <w:rFonts w:cs="Arial"/>
          <w:bCs/>
          <w:i/>
          <w:snapToGrid w:val="0"/>
          <w:sz w:val="18"/>
        </w:rPr>
        <w:t xml:space="preserve"> only apply to certain varieties</w:t>
      </w:r>
    </w:p>
    <w:p w:rsidR="0094406E" w:rsidRPr="00FA628E" w:rsidRDefault="0094406E" w:rsidP="0094406E">
      <w:pPr>
        <w:ind w:left="567" w:right="565"/>
        <w:rPr>
          <w:rFonts w:cs="Arial"/>
          <w:bCs/>
          <w:snapToGrid w:val="0"/>
          <w:sz w:val="18"/>
        </w:rPr>
      </w:pPr>
    </w:p>
    <w:p w:rsidR="0094406E" w:rsidRDefault="0094406E" w:rsidP="0094406E">
      <w:pPr>
        <w:ind w:left="567" w:right="565"/>
        <w:rPr>
          <w:rFonts w:cs="Arial"/>
          <w:bCs/>
          <w:snapToGrid w:val="0"/>
          <w:sz w:val="18"/>
        </w:rPr>
      </w:pPr>
      <w:r w:rsidRPr="00FA628E">
        <w:rPr>
          <w:rFonts w:cs="Arial"/>
          <w:bCs/>
          <w:snapToGrid w:val="0"/>
          <w:sz w:val="18"/>
        </w:rPr>
        <w:t>In some cases, the state of expression of a preceding</w:t>
      </w:r>
      <w:r>
        <w:rPr>
          <w:rFonts w:cs="Arial"/>
          <w:bCs/>
          <w:snapToGrid w:val="0"/>
          <w:sz w:val="18"/>
        </w:rPr>
        <w:t xml:space="preserve"> </w:t>
      </w:r>
      <w:r w:rsidRPr="004167EA">
        <w:rPr>
          <w:rFonts w:cs="Arial"/>
          <w:bCs/>
          <w:strike/>
          <w:snapToGrid w:val="0"/>
          <w:sz w:val="18"/>
          <w:highlight w:val="lightGray"/>
        </w:rPr>
        <w:t>qualitative</w:t>
      </w:r>
      <w:r w:rsidRPr="004167EA">
        <w:rPr>
          <w:rFonts w:cs="Arial"/>
          <w:bCs/>
          <w:snapToGrid w:val="0"/>
          <w:sz w:val="18"/>
        </w:rPr>
        <w:t xml:space="preserve"> </w:t>
      </w:r>
      <w:r w:rsidRPr="00FA628E">
        <w:rPr>
          <w:rFonts w:cs="Arial"/>
          <w:bCs/>
          <w:snapToGrid w:val="0"/>
          <w:sz w:val="18"/>
        </w:rPr>
        <w:t xml:space="preserve">characteristic determines that a subsequent characteristic is not applicable </w:t>
      </w:r>
      <w:proofErr w:type="gramStart"/>
      <w:r w:rsidRPr="00FA628E">
        <w:rPr>
          <w:rFonts w:cs="Arial"/>
          <w:bCs/>
          <w:snapToGrid w:val="0"/>
          <w:sz w:val="18"/>
        </w:rPr>
        <w:t>e.g.</w:t>
      </w:r>
      <w:proofErr w:type="gramEnd"/>
      <w:r w:rsidRPr="00FA628E">
        <w:rPr>
          <w:rFonts w:cs="Arial"/>
          <w:bCs/>
          <w:snapToGrid w:val="0"/>
          <w:sz w:val="18"/>
        </w:rPr>
        <w:t xml:space="preserve"> it would not be possible to describe the shape of leaf lobes for a variety which did not have leaf lobes. </w:t>
      </w:r>
    </w:p>
    <w:p w:rsidR="0094406E" w:rsidRPr="005378E6" w:rsidRDefault="0094406E" w:rsidP="0094406E">
      <w:pPr>
        <w:ind w:left="567" w:right="565"/>
        <w:rPr>
          <w:rFonts w:cs="Arial"/>
          <w:bCs/>
          <w:snapToGrid w:val="0"/>
          <w:sz w:val="18"/>
          <w:szCs w:val="18"/>
          <w:highlight w:val="lightGray"/>
          <w:u w:val="single"/>
        </w:rPr>
      </w:pPr>
    </w:p>
    <w:p w:rsidR="0094406E" w:rsidRPr="00FA628E" w:rsidRDefault="0094406E" w:rsidP="0094406E">
      <w:pPr>
        <w:ind w:left="567" w:right="565"/>
        <w:rPr>
          <w:rFonts w:cs="Arial"/>
          <w:bCs/>
          <w:snapToGrid w:val="0"/>
          <w:sz w:val="18"/>
        </w:rPr>
      </w:pPr>
      <w:r w:rsidRPr="00FA628E">
        <w:rPr>
          <w:rFonts w:cs="Arial"/>
          <w:bCs/>
          <w:snapToGrid w:val="0"/>
          <w:sz w:val="18"/>
        </w:rPr>
        <w:t xml:space="preserve">In cases where this is not obvious, or where the characteristics are separated in the Table of Characteristics, the heading of the subsequent characteristic is preceded by an underlined reference to the types of varieties to which it applies, </w:t>
      </w:r>
      <w:proofErr w:type="gramStart"/>
      <w:r w:rsidRPr="00FA628E">
        <w:rPr>
          <w:rFonts w:cs="Arial"/>
          <w:bCs/>
          <w:snapToGrid w:val="0"/>
          <w:sz w:val="18"/>
        </w:rPr>
        <w:t>on the basis of</w:t>
      </w:r>
      <w:proofErr w:type="gramEnd"/>
      <w:r w:rsidRPr="00FA628E">
        <w:rPr>
          <w:rFonts w:cs="Arial"/>
          <w:bCs/>
          <w:snapToGrid w:val="0"/>
          <w:sz w:val="18"/>
        </w:rPr>
        <w:t xml:space="preserve"> th</w:t>
      </w:r>
      <w:r>
        <w:rPr>
          <w:rFonts w:cs="Arial"/>
          <w:bCs/>
          <w:snapToGrid w:val="0"/>
          <w:sz w:val="18"/>
        </w:rPr>
        <w:t>e preceding characteristic.</w:t>
      </w:r>
    </w:p>
    <w:p w:rsidR="0094406E" w:rsidRDefault="0094406E" w:rsidP="0094406E">
      <w:pPr>
        <w:ind w:left="567" w:right="565"/>
        <w:rPr>
          <w:rFonts w:cs="Arial"/>
          <w:bCs/>
          <w:snapToGrid w:val="0"/>
          <w:sz w:val="18"/>
        </w:rPr>
      </w:pPr>
    </w:p>
    <w:p w:rsidR="0094406E" w:rsidRPr="005378E6" w:rsidRDefault="0094406E" w:rsidP="0094406E">
      <w:pPr>
        <w:ind w:left="567" w:right="565"/>
        <w:rPr>
          <w:rFonts w:cs="Arial"/>
          <w:bCs/>
          <w:snapToGrid w:val="0"/>
          <w:sz w:val="18"/>
          <w:szCs w:val="18"/>
          <w:highlight w:val="lightGray"/>
          <w:u w:val="single"/>
        </w:rPr>
      </w:pPr>
      <w:r w:rsidRPr="005378E6">
        <w:rPr>
          <w:sz w:val="18"/>
          <w:szCs w:val="18"/>
          <w:highlight w:val="lightGray"/>
          <w:u w:val="single"/>
        </w:rPr>
        <w:t xml:space="preserve">The following examples demonstrate how the proposed approach </w:t>
      </w:r>
      <w:proofErr w:type="gramStart"/>
      <w:r w:rsidRPr="005378E6">
        <w:rPr>
          <w:sz w:val="18"/>
          <w:szCs w:val="18"/>
          <w:highlight w:val="lightGray"/>
          <w:u w:val="single"/>
        </w:rPr>
        <w:t>might be used</w:t>
      </w:r>
      <w:proofErr w:type="gramEnd"/>
      <w:r w:rsidRPr="005378E6">
        <w:rPr>
          <w:sz w:val="18"/>
          <w:szCs w:val="18"/>
          <w:highlight w:val="lightGray"/>
          <w:u w:val="single"/>
        </w:rPr>
        <w:t xml:space="preserve"> </w:t>
      </w:r>
      <w:r>
        <w:rPr>
          <w:sz w:val="18"/>
          <w:szCs w:val="18"/>
          <w:highlight w:val="lightGray"/>
          <w:u w:val="single"/>
        </w:rPr>
        <w:t xml:space="preserve">for QL, PQ and QN characteristics </w:t>
      </w:r>
      <w:r w:rsidRPr="005378E6">
        <w:rPr>
          <w:sz w:val="18"/>
          <w:szCs w:val="18"/>
          <w:highlight w:val="lightGray"/>
          <w:u w:val="single"/>
        </w:rPr>
        <w:t>in a way that would not present risks for decisions on distinctness</w:t>
      </w:r>
    </w:p>
    <w:p w:rsidR="0094406E" w:rsidRPr="00FA628E" w:rsidRDefault="0094406E" w:rsidP="0094406E">
      <w:pPr>
        <w:ind w:left="567" w:right="565"/>
        <w:rPr>
          <w:rFonts w:cs="Arial"/>
          <w:bCs/>
          <w:snapToGrid w:val="0"/>
          <w:sz w:val="18"/>
        </w:rPr>
      </w:pPr>
    </w:p>
    <w:p w:rsidR="0094406E" w:rsidRPr="00FA628E" w:rsidRDefault="0094406E" w:rsidP="0094406E">
      <w:pPr>
        <w:ind w:left="1134" w:right="565"/>
        <w:rPr>
          <w:rFonts w:cs="Arial"/>
          <w:bCs/>
          <w:snapToGrid w:val="0"/>
          <w:sz w:val="18"/>
        </w:rPr>
      </w:pPr>
      <w:r w:rsidRPr="002E2494">
        <w:rPr>
          <w:rFonts w:cs="Arial"/>
          <w:bCs/>
          <w:snapToGrid w:val="0"/>
          <w:sz w:val="18"/>
          <w:highlight w:val="lightGray"/>
          <w:u w:val="single"/>
        </w:rPr>
        <w:t>(QL)</w:t>
      </w:r>
      <w:r>
        <w:rPr>
          <w:rFonts w:cs="Arial"/>
          <w:bCs/>
          <w:snapToGrid w:val="0"/>
          <w:sz w:val="18"/>
          <w:u w:val="single"/>
        </w:rPr>
        <w:t xml:space="preserve"> </w:t>
      </w:r>
      <w:r w:rsidRPr="00FA628E">
        <w:rPr>
          <w:rFonts w:cs="Arial"/>
          <w:bCs/>
          <w:snapToGrid w:val="0"/>
          <w:sz w:val="18"/>
          <w:u w:val="single"/>
        </w:rPr>
        <w:t>Only varieties with flower type: single</w:t>
      </w:r>
      <w:r>
        <w:rPr>
          <w:rFonts w:cs="Arial"/>
          <w:bCs/>
          <w:snapToGrid w:val="0"/>
          <w:sz w:val="18"/>
        </w:rPr>
        <w:t>: Flower: shape</w:t>
      </w:r>
    </w:p>
    <w:p w:rsidR="0094406E" w:rsidRDefault="0094406E" w:rsidP="0094406E">
      <w:pPr>
        <w:ind w:left="567" w:right="565"/>
        <w:rPr>
          <w:rFonts w:cs="Arial"/>
          <w:bCs/>
          <w:snapToGrid w:val="0"/>
          <w:sz w:val="18"/>
          <w:szCs w:val="18"/>
          <w:highlight w:val="lightGray"/>
          <w:u w:val="single"/>
        </w:rPr>
      </w:pPr>
    </w:p>
    <w:p w:rsidR="0094406E" w:rsidRPr="00D217C6" w:rsidRDefault="0094406E" w:rsidP="0094406E">
      <w:pPr>
        <w:ind w:left="567" w:right="565" w:firstLine="567"/>
        <w:rPr>
          <w:rFonts w:cs="Arial"/>
          <w:bCs/>
          <w:snapToGrid w:val="0"/>
          <w:sz w:val="18"/>
          <w:szCs w:val="18"/>
          <w:u w:val="single"/>
        </w:rPr>
      </w:pPr>
      <w:r w:rsidRPr="00926B80">
        <w:rPr>
          <w:rFonts w:cs="Arial"/>
          <w:bCs/>
          <w:snapToGrid w:val="0"/>
          <w:sz w:val="18"/>
          <w:szCs w:val="18"/>
          <w:highlight w:val="lightGray"/>
          <w:u w:val="single"/>
        </w:rPr>
        <w:t>[</w:t>
      </w:r>
      <w:proofErr w:type="gramStart"/>
      <w:r w:rsidRPr="00926B80">
        <w:rPr>
          <w:rFonts w:cs="Arial"/>
          <w:bCs/>
          <w:snapToGrid w:val="0"/>
          <w:sz w:val="18"/>
          <w:szCs w:val="18"/>
          <w:highlight w:val="lightGray"/>
          <w:u w:val="single"/>
        </w:rPr>
        <w:t>to</w:t>
      </w:r>
      <w:proofErr w:type="gramEnd"/>
      <w:r w:rsidRPr="00926B80">
        <w:rPr>
          <w:rFonts w:cs="Arial"/>
          <w:bCs/>
          <w:snapToGrid w:val="0"/>
          <w:sz w:val="18"/>
          <w:szCs w:val="18"/>
          <w:highlight w:val="lightGray"/>
          <w:u w:val="single"/>
        </w:rPr>
        <w:t xml:space="preserve"> be completed</w:t>
      </w:r>
      <w:r w:rsidR="00926B80" w:rsidRPr="00926B80">
        <w:rPr>
          <w:rFonts w:cs="Arial"/>
          <w:bCs/>
          <w:snapToGrid w:val="0"/>
          <w:sz w:val="18"/>
          <w:szCs w:val="18"/>
          <w:highlight w:val="lightGray"/>
          <w:u w:val="single"/>
        </w:rPr>
        <w:t xml:space="preserve"> with examples of QN and PQ characteristics</w:t>
      </w:r>
      <w:r w:rsidRPr="00926B80">
        <w:rPr>
          <w:rFonts w:cs="Arial"/>
          <w:bCs/>
          <w:snapToGrid w:val="0"/>
          <w:sz w:val="18"/>
          <w:szCs w:val="18"/>
          <w:highlight w:val="lightGray"/>
          <w:u w:val="single"/>
        </w:rPr>
        <w:t>]</w:t>
      </w:r>
    </w:p>
    <w:p w:rsidR="0094406E" w:rsidRDefault="0094406E" w:rsidP="0094406E">
      <w:pPr>
        <w:ind w:left="567" w:right="565"/>
        <w:rPr>
          <w:rFonts w:cs="Arial"/>
          <w:bCs/>
          <w:snapToGrid w:val="0"/>
          <w:sz w:val="18"/>
          <w:szCs w:val="18"/>
          <w:highlight w:val="lightGray"/>
          <w:u w:val="single"/>
        </w:rPr>
      </w:pPr>
    </w:p>
    <w:p w:rsidR="0094406E" w:rsidRPr="00FA628E" w:rsidRDefault="0094406E" w:rsidP="0094406E">
      <w:pPr>
        <w:ind w:left="567" w:right="565"/>
        <w:rPr>
          <w:rFonts w:cs="Arial"/>
          <w:bCs/>
          <w:snapToGrid w:val="0"/>
          <w:sz w:val="18"/>
          <w:u w:val="single"/>
        </w:rPr>
      </w:pPr>
      <w:r w:rsidRPr="00FA628E">
        <w:rPr>
          <w:sz w:val="18"/>
          <w:highlight w:val="lightGray"/>
          <w:u w:val="single"/>
        </w:rPr>
        <w:t xml:space="preserve">The exclusion of characteristics from observation </w:t>
      </w:r>
      <w:proofErr w:type="gramStart"/>
      <w:r w:rsidRPr="00FA628E">
        <w:rPr>
          <w:sz w:val="18"/>
          <w:highlight w:val="lightGray"/>
          <w:u w:val="single"/>
        </w:rPr>
        <w:t>on the basis of</w:t>
      </w:r>
      <w:proofErr w:type="gramEnd"/>
      <w:r w:rsidRPr="00FA628E">
        <w:rPr>
          <w:sz w:val="18"/>
          <w:highlight w:val="lightGray"/>
          <w:u w:val="single"/>
        </w:rPr>
        <w:t xml:space="preserve"> a preceding </w:t>
      </w:r>
      <w:r w:rsidRPr="00FA628E">
        <w:rPr>
          <w:rFonts w:cs="Arial"/>
          <w:bCs/>
          <w:snapToGrid w:val="0"/>
          <w:sz w:val="18"/>
          <w:highlight w:val="lightGray"/>
          <w:u w:val="single"/>
        </w:rPr>
        <w:t xml:space="preserve">pseudo-qualitative </w:t>
      </w:r>
      <w:r>
        <w:rPr>
          <w:rFonts w:cs="Arial"/>
          <w:bCs/>
          <w:snapToGrid w:val="0"/>
          <w:sz w:val="18"/>
          <w:highlight w:val="lightGray"/>
          <w:u w:val="single"/>
        </w:rPr>
        <w:t xml:space="preserve">(PQ) </w:t>
      </w:r>
      <w:r w:rsidRPr="00FA628E">
        <w:rPr>
          <w:rFonts w:cs="Arial"/>
          <w:bCs/>
          <w:snapToGrid w:val="0"/>
          <w:sz w:val="18"/>
          <w:highlight w:val="lightGray"/>
          <w:u w:val="single"/>
        </w:rPr>
        <w:t xml:space="preserve">or quantitative </w:t>
      </w:r>
      <w:r>
        <w:rPr>
          <w:rFonts w:cs="Arial"/>
          <w:bCs/>
          <w:snapToGrid w:val="0"/>
          <w:sz w:val="18"/>
          <w:highlight w:val="lightGray"/>
          <w:u w:val="single"/>
        </w:rPr>
        <w:t xml:space="preserve">(QN) </w:t>
      </w:r>
      <w:r w:rsidRPr="00FA628E">
        <w:rPr>
          <w:rFonts w:cs="Arial"/>
          <w:bCs/>
          <w:snapToGrid w:val="0"/>
          <w:sz w:val="18"/>
          <w:highlight w:val="lightGray"/>
          <w:u w:val="single"/>
        </w:rPr>
        <w:t>characteristic</w:t>
      </w:r>
      <w:r w:rsidRPr="00FA628E">
        <w:rPr>
          <w:sz w:val="18"/>
          <w:highlight w:val="lightGray"/>
          <w:u w:val="single"/>
        </w:rPr>
        <w:t xml:space="preserve"> should be used with caution, taking into account the consequences for the examination of distinctness</w:t>
      </w:r>
      <w:r>
        <w:rPr>
          <w:rFonts w:cs="Arial"/>
          <w:bCs/>
          <w:snapToGrid w:val="0"/>
          <w:sz w:val="18"/>
          <w:highlight w:val="lightGray"/>
          <w:u w:val="single"/>
        </w:rPr>
        <w:t>.</w:t>
      </w:r>
    </w:p>
    <w:p w:rsidR="0094406E" w:rsidRDefault="0094406E" w:rsidP="0094406E"/>
    <w:p w:rsidR="00102B4A" w:rsidRDefault="00102B4A" w:rsidP="0094406E"/>
    <w:p w:rsidR="0094406E" w:rsidRPr="00015534" w:rsidRDefault="0094406E" w:rsidP="0094406E">
      <w:pPr>
        <w:pStyle w:val="DecisionParagraphs"/>
        <w:rPr>
          <w:snapToGrid w:val="0"/>
        </w:rPr>
      </w:pPr>
      <w:r w:rsidRPr="00015534">
        <w:rPr>
          <w:snapToGrid w:val="0"/>
        </w:rPr>
        <w:fldChar w:fldCharType="begin"/>
      </w:r>
      <w:r w:rsidRPr="00015534">
        <w:rPr>
          <w:snapToGrid w:val="0"/>
        </w:rPr>
        <w:instrText xml:space="preserve"> AUTONUM  </w:instrText>
      </w:r>
      <w:r w:rsidRPr="00015534">
        <w:rPr>
          <w:snapToGrid w:val="0"/>
        </w:rPr>
        <w:fldChar w:fldCharType="end"/>
      </w:r>
      <w:r w:rsidRPr="00015534">
        <w:rPr>
          <w:snapToGrid w:val="0"/>
        </w:rPr>
        <w:tab/>
        <w:t xml:space="preserve">The TC </w:t>
      </w:r>
      <w:proofErr w:type="gramStart"/>
      <w:r w:rsidRPr="00015534">
        <w:rPr>
          <w:snapToGrid w:val="0"/>
        </w:rPr>
        <w:t>is invited</w:t>
      </w:r>
      <w:proofErr w:type="gramEnd"/>
      <w:r w:rsidRPr="00015534">
        <w:rPr>
          <w:snapToGrid w:val="0"/>
        </w:rPr>
        <w:t xml:space="preserve"> to consider:</w:t>
      </w:r>
    </w:p>
    <w:p w:rsidR="0094406E" w:rsidRPr="00015534" w:rsidRDefault="0094406E" w:rsidP="0094406E">
      <w:pPr>
        <w:pStyle w:val="DecisionParagraphs"/>
        <w:rPr>
          <w:snapToGrid w:val="0"/>
        </w:rPr>
      </w:pPr>
    </w:p>
    <w:p w:rsidR="0094406E" w:rsidRPr="000C3AC4" w:rsidRDefault="0094406E" w:rsidP="0094406E">
      <w:pPr>
        <w:pStyle w:val="DecisionParagraphs"/>
        <w:tabs>
          <w:tab w:val="left" w:pos="5954"/>
        </w:tabs>
        <w:rPr>
          <w:snapToGrid w:val="0"/>
        </w:rPr>
      </w:pPr>
      <w:r w:rsidRPr="00015534">
        <w:rPr>
          <w:snapToGrid w:val="0"/>
        </w:rPr>
        <w:tab/>
        <w:t>(a)</w:t>
      </w:r>
      <w:r w:rsidRPr="00015534">
        <w:rPr>
          <w:snapToGrid w:val="0"/>
        </w:rPr>
        <w:tab/>
        <w:t>the examples of quantitative and pseudo</w:t>
      </w:r>
      <w:r w:rsidRPr="00015534">
        <w:rPr>
          <w:snapToGrid w:val="0"/>
        </w:rPr>
        <w:noBreakHyphen/>
        <w:t xml:space="preserve">qualitative characteristics provided by the TWPs, at their sessions in 2019, to demonstrate how the proposed approach might be used in a way that would not present risks for decisions on distinctness; as set out in </w:t>
      </w:r>
      <w:r w:rsidRPr="000C3AC4">
        <w:rPr>
          <w:snapToGrid w:val="0"/>
        </w:rPr>
        <w:t xml:space="preserve">paragraph </w:t>
      </w:r>
      <w:r w:rsidR="00D72930" w:rsidRPr="000C3AC4">
        <w:rPr>
          <w:snapToGrid w:val="0"/>
        </w:rPr>
        <w:t>13</w:t>
      </w:r>
      <w:r w:rsidRPr="000C3AC4">
        <w:rPr>
          <w:snapToGrid w:val="0"/>
        </w:rPr>
        <w:t xml:space="preserve"> of this document; and</w:t>
      </w:r>
    </w:p>
    <w:p w:rsidR="0094406E" w:rsidRPr="000C3AC4" w:rsidRDefault="0094406E" w:rsidP="0094406E">
      <w:pPr>
        <w:pStyle w:val="DecisionParagraphs"/>
        <w:rPr>
          <w:snapToGrid w:val="0"/>
        </w:rPr>
      </w:pPr>
    </w:p>
    <w:p w:rsidR="0094406E" w:rsidRPr="00015534" w:rsidRDefault="0094406E" w:rsidP="0094406E">
      <w:pPr>
        <w:pStyle w:val="DecisionParagraphs"/>
        <w:tabs>
          <w:tab w:val="left" w:pos="5954"/>
        </w:tabs>
        <w:rPr>
          <w:snapToGrid w:val="0"/>
        </w:rPr>
      </w:pPr>
      <w:r w:rsidRPr="000C3AC4">
        <w:rPr>
          <w:snapToGrid w:val="0"/>
        </w:rPr>
        <w:tab/>
        <w:t>(b)</w:t>
      </w:r>
      <w:r w:rsidRPr="000C3AC4">
        <w:rPr>
          <w:snapToGrid w:val="0"/>
        </w:rPr>
        <w:tab/>
        <w:t xml:space="preserve">the proposal to amend the guidance in document TGP/7, Guidance Note 18 (GN 18), to allow the exclusion of a characteristic from observation on the basis of a state of expression of a preceding pseudo qualitative or quantitative characteristic, as set out in paragraph </w:t>
      </w:r>
      <w:r w:rsidR="00D72930" w:rsidRPr="000C3AC4">
        <w:rPr>
          <w:snapToGrid w:val="0"/>
        </w:rPr>
        <w:t>14</w:t>
      </w:r>
      <w:r w:rsidRPr="000C3AC4">
        <w:rPr>
          <w:snapToGrid w:val="0"/>
        </w:rPr>
        <w:t xml:space="preserve"> of this</w:t>
      </w:r>
      <w:bookmarkStart w:id="5" w:name="_GoBack"/>
      <w:bookmarkEnd w:id="5"/>
      <w:r w:rsidRPr="00015534">
        <w:rPr>
          <w:snapToGrid w:val="0"/>
        </w:rPr>
        <w:t xml:space="preserve"> document.</w:t>
      </w:r>
    </w:p>
    <w:p w:rsidR="0094406E" w:rsidRPr="00015534" w:rsidRDefault="0094406E" w:rsidP="0094406E"/>
    <w:p w:rsidR="00050E16" w:rsidRDefault="00050E16" w:rsidP="00050E16"/>
    <w:p w:rsidR="00F32D33" w:rsidRPr="00C651CE" w:rsidRDefault="00F32D33" w:rsidP="00050E16"/>
    <w:p w:rsidR="009B440E" w:rsidRDefault="00050E16" w:rsidP="00050E16">
      <w:pPr>
        <w:jc w:val="right"/>
      </w:pPr>
      <w:r w:rsidRPr="00C5280D">
        <w:t xml:space="preserve"> [End of document]</w:t>
      </w:r>
    </w:p>
    <w:p w:rsidR="00050E16" w:rsidRPr="00C5280D" w:rsidRDefault="00050E16" w:rsidP="009B440E">
      <w:pPr>
        <w:jc w:val="left"/>
      </w:pPr>
    </w:p>
    <w:sectPr w:rsidR="00050E16" w:rsidRPr="00C5280D"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DF2" w:rsidRDefault="00915DF2" w:rsidP="006655D3">
      <w:r>
        <w:separator/>
      </w:r>
    </w:p>
    <w:p w:rsidR="00915DF2" w:rsidRDefault="00915DF2" w:rsidP="006655D3"/>
    <w:p w:rsidR="00915DF2" w:rsidRDefault="00915DF2" w:rsidP="006655D3"/>
  </w:endnote>
  <w:endnote w:type="continuationSeparator" w:id="0">
    <w:p w:rsidR="00915DF2" w:rsidRDefault="00915DF2" w:rsidP="006655D3">
      <w:r>
        <w:separator/>
      </w:r>
    </w:p>
    <w:p w:rsidR="00915DF2" w:rsidRPr="00294751" w:rsidRDefault="00915DF2">
      <w:pPr>
        <w:pStyle w:val="Footer"/>
        <w:spacing w:after="60"/>
        <w:rPr>
          <w:sz w:val="18"/>
          <w:lang w:val="fr-FR"/>
        </w:rPr>
      </w:pPr>
      <w:r w:rsidRPr="00294751">
        <w:rPr>
          <w:sz w:val="18"/>
          <w:lang w:val="fr-FR"/>
        </w:rPr>
        <w:t>[Suite de la note de la page précédente]</w:t>
      </w:r>
    </w:p>
    <w:p w:rsidR="00915DF2" w:rsidRPr="00294751" w:rsidRDefault="00915DF2" w:rsidP="006655D3">
      <w:pPr>
        <w:rPr>
          <w:lang w:val="fr-FR"/>
        </w:rPr>
      </w:pPr>
    </w:p>
    <w:p w:rsidR="00915DF2" w:rsidRPr="00294751" w:rsidRDefault="00915DF2" w:rsidP="006655D3">
      <w:pPr>
        <w:rPr>
          <w:lang w:val="fr-FR"/>
        </w:rPr>
      </w:pPr>
    </w:p>
  </w:endnote>
  <w:endnote w:type="continuationNotice" w:id="1">
    <w:p w:rsidR="00915DF2" w:rsidRPr="00294751" w:rsidRDefault="00915DF2" w:rsidP="006655D3">
      <w:pPr>
        <w:rPr>
          <w:lang w:val="fr-FR"/>
        </w:rPr>
      </w:pPr>
      <w:r w:rsidRPr="00294751">
        <w:rPr>
          <w:lang w:val="fr-FR"/>
        </w:rPr>
        <w:t>[Suite de la note page suivante]</w:t>
      </w:r>
    </w:p>
    <w:p w:rsidR="00915DF2" w:rsidRPr="00294751" w:rsidRDefault="00915DF2" w:rsidP="006655D3">
      <w:pPr>
        <w:rPr>
          <w:lang w:val="fr-FR"/>
        </w:rPr>
      </w:pPr>
    </w:p>
    <w:p w:rsidR="00915DF2" w:rsidRPr="00294751" w:rsidRDefault="00915D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DF2" w:rsidRDefault="00915DF2" w:rsidP="006655D3">
      <w:r>
        <w:separator/>
      </w:r>
    </w:p>
  </w:footnote>
  <w:footnote w:type="continuationSeparator" w:id="0">
    <w:p w:rsidR="00915DF2" w:rsidRDefault="00915DF2" w:rsidP="006655D3">
      <w:r>
        <w:separator/>
      </w:r>
    </w:p>
  </w:footnote>
  <w:footnote w:type="continuationNotice" w:id="1">
    <w:p w:rsidR="00915DF2" w:rsidRPr="00AB530F" w:rsidRDefault="00915DF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TC/55</w:t>
    </w:r>
    <w:r w:rsidR="00667404">
      <w:rPr>
        <w:rStyle w:val="PageNumber"/>
        <w:lang w:val="en-US"/>
      </w:rPr>
      <w:t>/</w:t>
    </w:r>
    <w:r w:rsidR="001031C0">
      <w:rPr>
        <w:rStyle w:val="PageNumber"/>
        <w:lang w:val="en-US"/>
      </w:rPr>
      <w:t>12 Add.</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3AC4">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DF2"/>
    <w:rsid w:val="00000F72"/>
    <w:rsid w:val="00010CF3"/>
    <w:rsid w:val="00011E27"/>
    <w:rsid w:val="000148BC"/>
    <w:rsid w:val="00024AB8"/>
    <w:rsid w:val="00025F28"/>
    <w:rsid w:val="00030854"/>
    <w:rsid w:val="00036028"/>
    <w:rsid w:val="00044642"/>
    <w:rsid w:val="000446B9"/>
    <w:rsid w:val="00047E21"/>
    <w:rsid w:val="00050E16"/>
    <w:rsid w:val="00085505"/>
    <w:rsid w:val="000C3AC4"/>
    <w:rsid w:val="000C4E25"/>
    <w:rsid w:val="000C7021"/>
    <w:rsid w:val="000D3722"/>
    <w:rsid w:val="000D6BBC"/>
    <w:rsid w:val="000D7780"/>
    <w:rsid w:val="000E636A"/>
    <w:rsid w:val="000F2F11"/>
    <w:rsid w:val="00102B4A"/>
    <w:rsid w:val="001031C0"/>
    <w:rsid w:val="00105929"/>
    <w:rsid w:val="00110C36"/>
    <w:rsid w:val="001131D5"/>
    <w:rsid w:val="00141DB8"/>
    <w:rsid w:val="00172084"/>
    <w:rsid w:val="0017474A"/>
    <w:rsid w:val="001758C6"/>
    <w:rsid w:val="00182B99"/>
    <w:rsid w:val="0021332C"/>
    <w:rsid w:val="00213982"/>
    <w:rsid w:val="00227AC8"/>
    <w:rsid w:val="0024416D"/>
    <w:rsid w:val="00271911"/>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1821"/>
    <w:rsid w:val="00361E9E"/>
    <w:rsid w:val="003C7FBE"/>
    <w:rsid w:val="003D227C"/>
    <w:rsid w:val="003D2B4D"/>
    <w:rsid w:val="00444A88"/>
    <w:rsid w:val="00474DA4"/>
    <w:rsid w:val="00476B4D"/>
    <w:rsid w:val="004805FA"/>
    <w:rsid w:val="00487C2A"/>
    <w:rsid w:val="004935D2"/>
    <w:rsid w:val="004B1215"/>
    <w:rsid w:val="004D047D"/>
    <w:rsid w:val="004F1E9E"/>
    <w:rsid w:val="004F305A"/>
    <w:rsid w:val="00512164"/>
    <w:rsid w:val="00520297"/>
    <w:rsid w:val="005338F9"/>
    <w:rsid w:val="0054281C"/>
    <w:rsid w:val="00544581"/>
    <w:rsid w:val="0055268D"/>
    <w:rsid w:val="00576BE4"/>
    <w:rsid w:val="005A400A"/>
    <w:rsid w:val="005E1CF3"/>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94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900C26"/>
    <w:rsid w:val="0090197F"/>
    <w:rsid w:val="00906DDC"/>
    <w:rsid w:val="00915DF2"/>
    <w:rsid w:val="00926B80"/>
    <w:rsid w:val="00934E09"/>
    <w:rsid w:val="00936253"/>
    <w:rsid w:val="00940D46"/>
    <w:rsid w:val="0094406E"/>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72930"/>
    <w:rsid w:val="00D91203"/>
    <w:rsid w:val="00D95174"/>
    <w:rsid w:val="00DA4973"/>
    <w:rsid w:val="00DA6F36"/>
    <w:rsid w:val="00DB31CC"/>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07F5"/>
    <w:rsid w:val="00EB4E9C"/>
    <w:rsid w:val="00EE34DF"/>
    <w:rsid w:val="00EF2F89"/>
    <w:rsid w:val="00F03E98"/>
    <w:rsid w:val="00F1237A"/>
    <w:rsid w:val="00F22CBD"/>
    <w:rsid w:val="00F272F1"/>
    <w:rsid w:val="00F32D33"/>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5DDD1D"/>
  <w15:docId w15:val="{520272E0-A811-4D34-9346-B722C0CD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B31CC"/>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3</Pages>
  <Words>1221</Words>
  <Characters>7100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REZENDE TAVEIRA Leontino</dc:creator>
  <cp:lastModifiedBy>MAY Jessica</cp:lastModifiedBy>
  <cp:revision>13</cp:revision>
  <cp:lastPrinted>2019-10-01T14:21:00Z</cp:lastPrinted>
  <dcterms:created xsi:type="dcterms:W3CDTF">2019-10-01T09:20:00Z</dcterms:created>
  <dcterms:modified xsi:type="dcterms:W3CDTF">2019-10-10T12:06:00Z</dcterms:modified>
</cp:coreProperties>
</file>