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322D4D">
              <w:t>29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85BE6">
            <w:pPr>
              <w:pStyle w:val="Docoriginal"/>
            </w:pPr>
            <w:r w:rsidRPr="00AC2883">
              <w:t>Date</w:t>
            </w:r>
            <w:r w:rsidRPr="00715943">
              <w:t>:</w:t>
            </w:r>
            <w:r w:rsidR="00322D4D" w:rsidRPr="00715943">
              <w:rPr>
                <w:b w:val="0"/>
                <w:spacing w:val="0"/>
              </w:rPr>
              <w:t xml:space="preserve">  </w:t>
            </w:r>
            <w:r w:rsidR="00931E4D" w:rsidRPr="00715943">
              <w:rPr>
                <w:b w:val="0"/>
                <w:spacing w:val="0"/>
              </w:rPr>
              <w:t>August</w:t>
            </w:r>
            <w:r w:rsidR="00322D4D" w:rsidRPr="00715943">
              <w:rPr>
                <w:b w:val="0"/>
                <w:spacing w:val="0"/>
              </w:rPr>
              <w:t xml:space="preserve"> </w:t>
            </w:r>
            <w:r w:rsidR="002A46DC" w:rsidRPr="00715943">
              <w:rPr>
                <w:b w:val="0"/>
                <w:spacing w:val="0"/>
              </w:rPr>
              <w:t>2</w:t>
            </w:r>
            <w:r w:rsidR="00715943" w:rsidRPr="00715943">
              <w:rPr>
                <w:b w:val="0"/>
                <w:spacing w:val="0"/>
              </w:rPr>
              <w:t>7</w:t>
            </w:r>
            <w:r w:rsidR="008B6E60" w:rsidRPr="00715943">
              <w:rPr>
                <w:b w:val="0"/>
                <w:spacing w:val="0"/>
              </w:rPr>
              <w:t>, 2018</w:t>
            </w:r>
          </w:p>
        </w:tc>
      </w:tr>
    </w:tbl>
    <w:p w:rsidR="00322D4D" w:rsidRPr="00CB3A47" w:rsidRDefault="00322D4D" w:rsidP="00322D4D">
      <w:pPr>
        <w:tabs>
          <w:tab w:val="left" w:pos="5760"/>
        </w:tabs>
        <w:spacing w:before="600" w:after="240"/>
        <w:jc w:val="left"/>
        <w:rPr>
          <w:b/>
          <w:caps/>
        </w:rPr>
      </w:pPr>
      <w:bookmarkStart w:id="1" w:name="TitleOfDoc"/>
      <w:bookmarkEnd w:id="1"/>
      <w:r w:rsidRPr="00CB3A47">
        <w:rPr>
          <w:b/>
          <w:caps/>
        </w:rPr>
        <w:t>Development of calculated thresholds for excluding varieties of common knowledge from the second growing cycle when COYD is used</w:t>
      </w:r>
    </w:p>
    <w:p w:rsidR="00322D4D" w:rsidRPr="00CB3A47" w:rsidRDefault="00322D4D" w:rsidP="00322D4D">
      <w:pPr>
        <w:spacing w:after="240"/>
        <w:jc w:val="left"/>
        <w:rPr>
          <w:i/>
          <w:iCs/>
        </w:rPr>
      </w:pPr>
      <w:r w:rsidRPr="00CB3A47">
        <w:rPr>
          <w:i/>
          <w:iCs/>
        </w:rPr>
        <w:t>Document prepared by the Office of the Union</w:t>
      </w:r>
    </w:p>
    <w:p w:rsidR="00322D4D" w:rsidRPr="00CB3A47" w:rsidRDefault="00322D4D" w:rsidP="00322D4D">
      <w:pPr>
        <w:spacing w:after="600"/>
        <w:jc w:val="left"/>
        <w:rPr>
          <w:i/>
          <w:iCs/>
          <w:color w:val="A6A6A6" w:themeColor="background1" w:themeShade="A6"/>
        </w:rPr>
      </w:pPr>
      <w:r w:rsidRPr="00CB3A47">
        <w:rPr>
          <w:i/>
          <w:iCs/>
          <w:color w:val="A6A6A6" w:themeColor="background1" w:themeShade="A6"/>
        </w:rPr>
        <w:t>Disclaimer:  this document does not represent UPOV policies or guidance</w:t>
      </w:r>
    </w:p>
    <w:p w:rsidR="00322D4D" w:rsidRPr="00CB3A47" w:rsidRDefault="00322D4D" w:rsidP="00322D4D">
      <w:pPr>
        <w:pStyle w:val="Heading1"/>
        <w:rPr>
          <w:lang w:eastAsia="ja-JP"/>
        </w:rPr>
      </w:pPr>
      <w:bookmarkStart w:id="2" w:name="_Toc475544290"/>
      <w:bookmarkStart w:id="3" w:name="_Toc525573301"/>
      <w:r w:rsidRPr="00CB3A47">
        <w:rPr>
          <w:lang w:eastAsia="ja-JP"/>
        </w:rPr>
        <w:t>EXECUTIVE SUMMARY</w:t>
      </w:r>
      <w:bookmarkEnd w:id="2"/>
      <w:bookmarkEnd w:id="3"/>
    </w:p>
    <w:p w:rsidR="00322D4D" w:rsidRPr="00CB3A47" w:rsidRDefault="00322D4D" w:rsidP="00322D4D"/>
    <w:p w:rsidR="00322D4D" w:rsidRPr="00CB3A47" w:rsidRDefault="00322D4D" w:rsidP="00322D4D">
      <w:r w:rsidRPr="00CB3A47">
        <w:fldChar w:fldCharType="begin"/>
      </w:r>
      <w:r w:rsidRPr="00CB3A47">
        <w:instrText xml:space="preserve"> AUTONUM  </w:instrText>
      </w:r>
      <w:r w:rsidRPr="00CB3A47">
        <w:fldChar w:fldCharType="end"/>
      </w:r>
      <w:r w:rsidRPr="00CB3A47">
        <w:tab/>
        <w:t>The purpose of this document is to report on developments concerning the development of calculated thresholds for excluding varieties of common knowledge from the second growing cycle when COYD is used.</w:t>
      </w:r>
    </w:p>
    <w:p w:rsidR="000428CA" w:rsidRDefault="000428CA" w:rsidP="000428CA">
      <w:pPr>
        <w:tabs>
          <w:tab w:val="left" w:pos="567"/>
          <w:tab w:val="left" w:pos="1134"/>
          <w:tab w:val="left" w:pos="5387"/>
        </w:tabs>
        <w:rPr>
          <w:lang w:eastAsia="ja-JP"/>
        </w:rPr>
      </w:pPr>
    </w:p>
    <w:p w:rsidR="00697EA4" w:rsidRPr="00697EA4" w:rsidRDefault="000428CA" w:rsidP="000428CA">
      <w:pPr>
        <w:tabs>
          <w:tab w:val="left" w:pos="567"/>
          <w:tab w:val="left" w:pos="1134"/>
          <w:tab w:val="left" w:pos="5387"/>
        </w:tabs>
        <w:rPr>
          <w:lang w:eastAsia="ja-JP"/>
        </w:rPr>
      </w:pPr>
      <w:r w:rsidRPr="00697EA4">
        <w:rPr>
          <w:lang w:eastAsia="ja-JP"/>
        </w:rPr>
        <w:fldChar w:fldCharType="begin"/>
      </w:r>
      <w:r w:rsidRPr="00697EA4">
        <w:rPr>
          <w:lang w:eastAsia="ja-JP"/>
        </w:rPr>
        <w:instrText xml:space="preserve"> AUTONUM  </w:instrText>
      </w:r>
      <w:r w:rsidRPr="00697EA4">
        <w:rPr>
          <w:lang w:eastAsia="ja-JP"/>
        </w:rPr>
        <w:fldChar w:fldCharType="end"/>
      </w:r>
      <w:r w:rsidRPr="00697EA4">
        <w:rPr>
          <w:lang w:eastAsia="ja-JP"/>
        </w:rPr>
        <w:tab/>
        <w:t xml:space="preserve">The TC is invited to note </w:t>
      </w:r>
      <w:r w:rsidR="00697EA4" w:rsidRPr="00697EA4">
        <w:rPr>
          <w:lang w:eastAsia="ja-JP"/>
        </w:rPr>
        <w:t>that</w:t>
      </w:r>
      <w:r w:rsidR="00C47AF6" w:rsidRPr="00C47AF6">
        <w:rPr>
          <w:lang w:eastAsia="ja-JP"/>
        </w:rPr>
        <w:t xml:space="preserve"> the TWC, at its thirty-fifth session, noted</w:t>
      </w:r>
      <w:r w:rsidR="00697EA4" w:rsidRPr="00C47AF6">
        <w:rPr>
          <w:lang w:eastAsia="ja-JP"/>
        </w:rPr>
        <w:t>:</w:t>
      </w:r>
    </w:p>
    <w:p w:rsidR="00697EA4" w:rsidRDefault="00697EA4" w:rsidP="000428CA">
      <w:pPr>
        <w:tabs>
          <w:tab w:val="left" w:pos="567"/>
          <w:tab w:val="left" w:pos="1134"/>
          <w:tab w:val="left" w:pos="5387"/>
        </w:tabs>
        <w:rPr>
          <w:highlight w:val="yellow"/>
          <w:lang w:eastAsia="ja-JP"/>
        </w:rPr>
      </w:pPr>
    </w:p>
    <w:p w:rsidR="00697EA4" w:rsidRDefault="00697EA4" w:rsidP="00697EA4">
      <w:pPr>
        <w:tabs>
          <w:tab w:val="left" w:pos="567"/>
          <w:tab w:val="left" w:pos="1134"/>
          <w:tab w:val="left" w:pos="5387"/>
        </w:tabs>
        <w:rPr>
          <w:lang w:eastAsia="ja-JP"/>
        </w:rPr>
      </w:pPr>
      <w:r>
        <w:rPr>
          <w:lang w:eastAsia="ja-JP"/>
        </w:rPr>
        <w:tab/>
        <w:t>(a)</w:t>
      </w:r>
      <w:r>
        <w:rPr>
          <w:lang w:eastAsia="ja-JP"/>
        </w:rPr>
        <w:tab/>
        <w:t xml:space="preserve">the recent developments and the indications of COYD thresholds for excluding varieties of common knowledge from the second growing cycle on the basis of data sets of meadow fescue, red clover, timothy, perennial ryegrass, pea (semi-leafless) and pea (conventional), as set out in </w:t>
      </w:r>
      <w:r w:rsidRPr="00715943">
        <w:rPr>
          <w:lang w:eastAsia="ja-JP"/>
        </w:rPr>
        <w:t>paragraph</w:t>
      </w:r>
      <w:r w:rsidR="00C47AF6" w:rsidRPr="00715943">
        <w:rPr>
          <w:lang w:eastAsia="ja-JP"/>
        </w:rPr>
        <w:t>s 9 and</w:t>
      </w:r>
      <w:r w:rsidRPr="00715943">
        <w:rPr>
          <w:lang w:eastAsia="ja-JP"/>
        </w:rPr>
        <w:t xml:space="preserve"> </w:t>
      </w:r>
      <w:r w:rsidR="00E85BE6" w:rsidRPr="00715943">
        <w:rPr>
          <w:lang w:eastAsia="ja-JP"/>
        </w:rPr>
        <w:t>10</w:t>
      </w:r>
      <w:r w:rsidR="00C47AF6">
        <w:rPr>
          <w:lang w:eastAsia="ja-JP"/>
        </w:rPr>
        <w:t xml:space="preserve"> and the Annex to this document</w:t>
      </w:r>
      <w:r>
        <w:rPr>
          <w:lang w:eastAsia="ja-JP"/>
        </w:rPr>
        <w:t xml:space="preserve">;  </w:t>
      </w:r>
    </w:p>
    <w:p w:rsidR="00697EA4" w:rsidRDefault="00697EA4" w:rsidP="00697EA4">
      <w:pPr>
        <w:tabs>
          <w:tab w:val="left" w:pos="567"/>
          <w:tab w:val="left" w:pos="1134"/>
          <w:tab w:val="left" w:pos="5387"/>
        </w:tabs>
        <w:rPr>
          <w:lang w:eastAsia="ja-JP"/>
        </w:rPr>
      </w:pPr>
    </w:p>
    <w:p w:rsidR="00697EA4" w:rsidRDefault="00697EA4" w:rsidP="00697EA4">
      <w:pPr>
        <w:tabs>
          <w:tab w:val="left" w:pos="567"/>
          <w:tab w:val="left" w:pos="1134"/>
          <w:tab w:val="left" w:pos="5387"/>
        </w:tabs>
        <w:rPr>
          <w:lang w:eastAsia="ja-JP"/>
        </w:rPr>
      </w:pPr>
      <w:r>
        <w:rPr>
          <w:lang w:eastAsia="ja-JP"/>
        </w:rPr>
        <w:tab/>
        <w:t>(b)</w:t>
      </w:r>
      <w:r>
        <w:rPr>
          <w:lang w:eastAsia="ja-JP"/>
        </w:rPr>
        <w:tab/>
        <w:t xml:space="preserve">the method was most applicable to crops with large numbers of varieties of common knowledge and where current trial sizes </w:t>
      </w:r>
      <w:r w:rsidR="002A46DC">
        <w:rPr>
          <w:lang w:eastAsia="ja-JP"/>
        </w:rPr>
        <w:t>we</w:t>
      </w:r>
      <w:r>
        <w:rPr>
          <w:lang w:eastAsia="ja-JP"/>
        </w:rPr>
        <w:t>re large; and</w:t>
      </w:r>
    </w:p>
    <w:p w:rsidR="00697EA4" w:rsidRDefault="00697EA4" w:rsidP="00697EA4">
      <w:pPr>
        <w:tabs>
          <w:tab w:val="left" w:pos="567"/>
          <w:tab w:val="left" w:pos="1134"/>
          <w:tab w:val="left" w:pos="5387"/>
        </w:tabs>
        <w:rPr>
          <w:lang w:eastAsia="ja-JP"/>
        </w:rPr>
      </w:pPr>
    </w:p>
    <w:p w:rsidR="000428CA" w:rsidRPr="00EA41E2" w:rsidRDefault="00697EA4" w:rsidP="00697EA4">
      <w:pPr>
        <w:tabs>
          <w:tab w:val="left" w:pos="567"/>
          <w:tab w:val="left" w:pos="1134"/>
          <w:tab w:val="left" w:pos="5387"/>
        </w:tabs>
        <w:rPr>
          <w:lang w:eastAsia="ja-JP"/>
        </w:rPr>
      </w:pPr>
      <w:r>
        <w:rPr>
          <w:lang w:eastAsia="ja-JP"/>
        </w:rPr>
        <w:tab/>
        <w:t>(c)</w:t>
      </w:r>
      <w:r>
        <w:rPr>
          <w:lang w:eastAsia="ja-JP"/>
        </w:rPr>
        <w:tab/>
        <w:t xml:space="preserve">the plans of the United Kingdom to test the method on </w:t>
      </w:r>
      <w:r w:rsidR="00931E4D">
        <w:rPr>
          <w:lang w:eastAsia="ja-JP"/>
        </w:rPr>
        <w:t>two</w:t>
      </w:r>
      <w:r>
        <w:rPr>
          <w:lang w:eastAsia="ja-JP"/>
        </w:rPr>
        <w:t xml:space="preserve"> large data set of oilseed rape.</w:t>
      </w:r>
      <w:r w:rsidR="000428CA" w:rsidRPr="00EA41E2">
        <w:rPr>
          <w:lang w:eastAsia="ja-JP"/>
        </w:rPr>
        <w:t xml:space="preserve"> </w:t>
      </w:r>
    </w:p>
    <w:p w:rsidR="00322D4D" w:rsidRPr="00CB3A47" w:rsidRDefault="00322D4D" w:rsidP="00322D4D">
      <w:pPr>
        <w:rPr>
          <w:noProof/>
          <w:snapToGrid w:val="0"/>
        </w:rPr>
      </w:pPr>
    </w:p>
    <w:p w:rsidR="00322D4D" w:rsidRPr="00CB3A47" w:rsidRDefault="00322D4D" w:rsidP="00322D4D">
      <w:pPr>
        <w:keepNext/>
      </w:pPr>
      <w:r w:rsidRPr="00CB3A47">
        <w:fldChar w:fldCharType="begin"/>
      </w:r>
      <w:r w:rsidRPr="00CB3A47">
        <w:instrText xml:space="preserve"> AUTONUM  </w:instrText>
      </w:r>
      <w:r w:rsidRPr="00CB3A47">
        <w:fldChar w:fldCharType="end"/>
      </w:r>
      <w:r w:rsidRPr="00CB3A47">
        <w:tab/>
        <w:t>The structure of this document is as follows:</w:t>
      </w:r>
    </w:p>
    <w:sdt>
      <w:sdtPr>
        <w:rPr>
          <w:smallCaps/>
        </w:rPr>
        <w:id w:val="-1800911247"/>
        <w:docPartObj>
          <w:docPartGallery w:val="Table of Contents"/>
          <w:docPartUnique/>
        </w:docPartObj>
      </w:sdtPr>
      <w:sdtEndPr>
        <w:rPr>
          <w:b/>
          <w:bCs/>
          <w:smallCaps w:val="0"/>
          <w:noProof/>
        </w:rPr>
      </w:sdtEndPr>
      <w:sdtContent>
        <w:p w:rsidR="00322D4D" w:rsidRPr="00CB3A47" w:rsidRDefault="00322D4D" w:rsidP="00322D4D">
          <w:pPr>
            <w:keepNext/>
            <w:rPr>
              <w:rFonts w:cs="Arial"/>
              <w:b/>
            </w:rPr>
          </w:pPr>
        </w:p>
        <w:p w:rsidR="00842E7C" w:rsidRDefault="00322D4D">
          <w:pPr>
            <w:pStyle w:val="TOC1"/>
            <w:rPr>
              <w:rFonts w:asciiTheme="minorHAnsi" w:hAnsiTheme="minorHAnsi" w:cstheme="minorBidi"/>
              <w:bCs w:val="0"/>
              <w:caps w:val="0"/>
              <w:sz w:val="22"/>
              <w:szCs w:val="22"/>
              <w:lang w:eastAsia="en-US"/>
            </w:rPr>
          </w:pPr>
          <w:r w:rsidRPr="00CB3A47">
            <w:rPr>
              <w:bCs w:val="0"/>
              <w:noProof w:val="0"/>
              <w:sz w:val="20"/>
            </w:rPr>
            <w:fldChar w:fldCharType="begin"/>
          </w:r>
          <w:r w:rsidRPr="00CB3A47">
            <w:instrText xml:space="preserve"> TOC \o "1-3" \h \z \u </w:instrText>
          </w:r>
          <w:r w:rsidRPr="00CB3A47">
            <w:rPr>
              <w:bCs w:val="0"/>
              <w:noProof w:val="0"/>
              <w:sz w:val="20"/>
            </w:rPr>
            <w:fldChar w:fldCharType="separate"/>
          </w:r>
          <w:hyperlink w:anchor="_Toc525573301" w:history="1">
            <w:r w:rsidR="00842E7C" w:rsidRPr="001D14E6">
              <w:rPr>
                <w:rStyle w:val="Hyperlink"/>
              </w:rPr>
              <w:t>EXECUTIVE SUMMARY</w:t>
            </w:r>
            <w:r w:rsidR="00842E7C">
              <w:rPr>
                <w:webHidden/>
              </w:rPr>
              <w:tab/>
            </w:r>
            <w:r w:rsidR="00842E7C">
              <w:rPr>
                <w:webHidden/>
              </w:rPr>
              <w:fldChar w:fldCharType="begin"/>
            </w:r>
            <w:r w:rsidR="00842E7C">
              <w:rPr>
                <w:webHidden/>
              </w:rPr>
              <w:instrText xml:space="preserve"> PAGEREF _Toc525573301 \h </w:instrText>
            </w:r>
            <w:r w:rsidR="00842E7C">
              <w:rPr>
                <w:webHidden/>
              </w:rPr>
            </w:r>
            <w:r w:rsidR="00842E7C">
              <w:rPr>
                <w:webHidden/>
              </w:rPr>
              <w:fldChar w:fldCharType="separate"/>
            </w:r>
            <w:r w:rsidR="000825E4">
              <w:rPr>
                <w:webHidden/>
              </w:rPr>
              <w:t>1</w:t>
            </w:r>
            <w:r w:rsidR="00842E7C">
              <w:rPr>
                <w:webHidden/>
              </w:rPr>
              <w:fldChar w:fldCharType="end"/>
            </w:r>
          </w:hyperlink>
        </w:p>
        <w:p w:rsidR="00842E7C" w:rsidRDefault="000825E4">
          <w:pPr>
            <w:pStyle w:val="TOC1"/>
            <w:rPr>
              <w:rFonts w:asciiTheme="minorHAnsi" w:hAnsiTheme="minorHAnsi" w:cstheme="minorBidi"/>
              <w:bCs w:val="0"/>
              <w:caps w:val="0"/>
              <w:sz w:val="22"/>
              <w:szCs w:val="22"/>
              <w:lang w:eastAsia="en-US"/>
            </w:rPr>
          </w:pPr>
          <w:hyperlink w:anchor="_Toc525573302" w:history="1">
            <w:r w:rsidR="00842E7C" w:rsidRPr="001D14E6">
              <w:rPr>
                <w:rStyle w:val="Hyperlink"/>
              </w:rPr>
              <w:t>Background</w:t>
            </w:r>
            <w:r w:rsidR="00842E7C">
              <w:rPr>
                <w:webHidden/>
              </w:rPr>
              <w:tab/>
            </w:r>
            <w:r w:rsidR="00842E7C">
              <w:rPr>
                <w:webHidden/>
              </w:rPr>
              <w:fldChar w:fldCharType="begin"/>
            </w:r>
            <w:r w:rsidR="00842E7C">
              <w:rPr>
                <w:webHidden/>
              </w:rPr>
              <w:instrText xml:space="preserve"> PAGEREF _Toc525573302 \h </w:instrText>
            </w:r>
            <w:r w:rsidR="00842E7C">
              <w:rPr>
                <w:webHidden/>
              </w:rPr>
            </w:r>
            <w:r w:rsidR="00842E7C">
              <w:rPr>
                <w:webHidden/>
              </w:rPr>
              <w:fldChar w:fldCharType="separate"/>
            </w:r>
            <w:r>
              <w:rPr>
                <w:webHidden/>
              </w:rPr>
              <w:t>1</w:t>
            </w:r>
            <w:r w:rsidR="00842E7C">
              <w:rPr>
                <w:webHidden/>
              </w:rPr>
              <w:fldChar w:fldCharType="end"/>
            </w:r>
          </w:hyperlink>
        </w:p>
        <w:p w:rsidR="00842E7C" w:rsidRDefault="000825E4">
          <w:pPr>
            <w:pStyle w:val="TOC1"/>
            <w:rPr>
              <w:rFonts w:asciiTheme="minorHAnsi" w:hAnsiTheme="minorHAnsi" w:cstheme="minorBidi"/>
              <w:bCs w:val="0"/>
              <w:caps w:val="0"/>
              <w:sz w:val="22"/>
              <w:szCs w:val="22"/>
              <w:lang w:eastAsia="en-US"/>
            </w:rPr>
          </w:pPr>
          <w:hyperlink w:anchor="_Toc525573303" w:history="1">
            <w:r w:rsidR="00842E7C" w:rsidRPr="001D14E6">
              <w:rPr>
                <w:rStyle w:val="Hyperlink"/>
              </w:rPr>
              <w:t>Developments in 2017</w:t>
            </w:r>
            <w:r w:rsidR="00842E7C">
              <w:rPr>
                <w:webHidden/>
              </w:rPr>
              <w:tab/>
            </w:r>
            <w:r w:rsidR="00842E7C">
              <w:rPr>
                <w:webHidden/>
              </w:rPr>
              <w:fldChar w:fldCharType="begin"/>
            </w:r>
            <w:r w:rsidR="00842E7C">
              <w:rPr>
                <w:webHidden/>
              </w:rPr>
              <w:instrText xml:space="preserve"> PAGEREF _Toc525573303 \h </w:instrText>
            </w:r>
            <w:r w:rsidR="00842E7C">
              <w:rPr>
                <w:webHidden/>
              </w:rPr>
            </w:r>
            <w:r w:rsidR="00842E7C">
              <w:rPr>
                <w:webHidden/>
              </w:rPr>
              <w:fldChar w:fldCharType="separate"/>
            </w:r>
            <w:r>
              <w:rPr>
                <w:webHidden/>
              </w:rPr>
              <w:t>2</w:t>
            </w:r>
            <w:r w:rsidR="00842E7C">
              <w:rPr>
                <w:webHidden/>
              </w:rPr>
              <w:fldChar w:fldCharType="end"/>
            </w:r>
          </w:hyperlink>
        </w:p>
        <w:p w:rsidR="00842E7C" w:rsidRDefault="000825E4">
          <w:pPr>
            <w:pStyle w:val="TOC2"/>
            <w:rPr>
              <w:rFonts w:asciiTheme="minorHAnsi" w:eastAsiaTheme="minorEastAsia" w:hAnsiTheme="minorHAnsi" w:cstheme="minorBidi"/>
              <w:sz w:val="22"/>
              <w:szCs w:val="22"/>
              <w:lang w:eastAsia="en-US"/>
            </w:rPr>
          </w:pPr>
          <w:hyperlink w:anchor="_Toc525573304" w:history="1">
            <w:r w:rsidR="00842E7C" w:rsidRPr="001D14E6">
              <w:rPr>
                <w:rStyle w:val="Hyperlink"/>
                <w:snapToGrid w:val="0"/>
              </w:rPr>
              <w:t>Technical Committee</w:t>
            </w:r>
            <w:r w:rsidR="00842E7C">
              <w:rPr>
                <w:webHidden/>
              </w:rPr>
              <w:tab/>
            </w:r>
            <w:r w:rsidR="00842E7C">
              <w:rPr>
                <w:webHidden/>
              </w:rPr>
              <w:fldChar w:fldCharType="begin"/>
            </w:r>
            <w:r w:rsidR="00842E7C">
              <w:rPr>
                <w:webHidden/>
              </w:rPr>
              <w:instrText xml:space="preserve"> PAGEREF _Toc525573304 \h </w:instrText>
            </w:r>
            <w:r w:rsidR="00842E7C">
              <w:rPr>
                <w:webHidden/>
              </w:rPr>
            </w:r>
            <w:r w:rsidR="00842E7C">
              <w:rPr>
                <w:webHidden/>
              </w:rPr>
              <w:fldChar w:fldCharType="separate"/>
            </w:r>
            <w:r>
              <w:rPr>
                <w:webHidden/>
              </w:rPr>
              <w:t>2</w:t>
            </w:r>
            <w:r w:rsidR="00842E7C">
              <w:rPr>
                <w:webHidden/>
              </w:rPr>
              <w:fldChar w:fldCharType="end"/>
            </w:r>
          </w:hyperlink>
        </w:p>
        <w:p w:rsidR="00842E7C" w:rsidRDefault="000825E4">
          <w:pPr>
            <w:pStyle w:val="TOC2"/>
            <w:rPr>
              <w:rFonts w:asciiTheme="minorHAnsi" w:eastAsiaTheme="minorEastAsia" w:hAnsiTheme="minorHAnsi" w:cstheme="minorBidi"/>
              <w:sz w:val="22"/>
              <w:szCs w:val="22"/>
              <w:lang w:eastAsia="en-US"/>
            </w:rPr>
          </w:pPr>
          <w:hyperlink w:anchor="_Toc525573305" w:history="1">
            <w:r w:rsidR="00842E7C" w:rsidRPr="001D14E6">
              <w:rPr>
                <w:rStyle w:val="Hyperlink"/>
                <w:snapToGrid w:val="0"/>
              </w:rPr>
              <w:t>Technical Working Party on Automation and Computer Programs</w:t>
            </w:r>
            <w:r w:rsidR="00842E7C">
              <w:rPr>
                <w:webHidden/>
              </w:rPr>
              <w:tab/>
            </w:r>
            <w:r w:rsidR="00842E7C">
              <w:rPr>
                <w:webHidden/>
              </w:rPr>
              <w:fldChar w:fldCharType="begin"/>
            </w:r>
            <w:r w:rsidR="00842E7C">
              <w:rPr>
                <w:webHidden/>
              </w:rPr>
              <w:instrText xml:space="preserve"> PAGEREF _Toc525573305 \h </w:instrText>
            </w:r>
            <w:r w:rsidR="00842E7C">
              <w:rPr>
                <w:webHidden/>
              </w:rPr>
            </w:r>
            <w:r w:rsidR="00842E7C">
              <w:rPr>
                <w:webHidden/>
              </w:rPr>
              <w:fldChar w:fldCharType="separate"/>
            </w:r>
            <w:r>
              <w:rPr>
                <w:webHidden/>
              </w:rPr>
              <w:t>2</w:t>
            </w:r>
            <w:r w:rsidR="00842E7C">
              <w:rPr>
                <w:webHidden/>
              </w:rPr>
              <w:fldChar w:fldCharType="end"/>
            </w:r>
          </w:hyperlink>
        </w:p>
        <w:p w:rsidR="00842E7C" w:rsidRDefault="000825E4">
          <w:pPr>
            <w:pStyle w:val="TOC1"/>
            <w:rPr>
              <w:rFonts w:asciiTheme="minorHAnsi" w:hAnsiTheme="minorHAnsi" w:cstheme="minorBidi"/>
              <w:bCs w:val="0"/>
              <w:caps w:val="0"/>
              <w:sz w:val="22"/>
              <w:szCs w:val="22"/>
              <w:lang w:eastAsia="en-US"/>
            </w:rPr>
          </w:pPr>
          <w:hyperlink w:anchor="_Toc525573306" w:history="1">
            <w:r w:rsidR="00842E7C" w:rsidRPr="001D14E6">
              <w:rPr>
                <w:rStyle w:val="Hyperlink"/>
              </w:rPr>
              <w:t>Developments in 2018</w:t>
            </w:r>
            <w:r w:rsidR="00842E7C">
              <w:rPr>
                <w:webHidden/>
              </w:rPr>
              <w:tab/>
            </w:r>
            <w:r w:rsidR="00842E7C">
              <w:rPr>
                <w:webHidden/>
              </w:rPr>
              <w:fldChar w:fldCharType="begin"/>
            </w:r>
            <w:r w:rsidR="00842E7C">
              <w:rPr>
                <w:webHidden/>
              </w:rPr>
              <w:instrText xml:space="preserve"> PAGEREF _Toc525573306 \h </w:instrText>
            </w:r>
            <w:r w:rsidR="00842E7C">
              <w:rPr>
                <w:webHidden/>
              </w:rPr>
            </w:r>
            <w:r w:rsidR="00842E7C">
              <w:rPr>
                <w:webHidden/>
              </w:rPr>
              <w:fldChar w:fldCharType="separate"/>
            </w:r>
            <w:r>
              <w:rPr>
                <w:webHidden/>
              </w:rPr>
              <w:t>2</w:t>
            </w:r>
            <w:r w:rsidR="00842E7C">
              <w:rPr>
                <w:webHidden/>
              </w:rPr>
              <w:fldChar w:fldCharType="end"/>
            </w:r>
          </w:hyperlink>
        </w:p>
        <w:p w:rsidR="000428CA" w:rsidRPr="00CB3A47" w:rsidRDefault="00322D4D" w:rsidP="00CB0C08">
          <w:pPr>
            <w:rPr>
              <w:noProof/>
              <w:snapToGrid w:val="0"/>
            </w:rPr>
          </w:pPr>
          <w:r w:rsidRPr="00CB3A47">
            <w:rPr>
              <w:b/>
              <w:bCs/>
              <w:noProof/>
              <w:sz w:val="18"/>
            </w:rPr>
            <w:fldChar w:fldCharType="end"/>
          </w:r>
        </w:p>
      </w:sdtContent>
    </w:sdt>
    <w:p w:rsidR="00553C36" w:rsidRPr="00553C36" w:rsidRDefault="00553C36" w:rsidP="00553C36">
      <w:pPr>
        <w:keepNext/>
        <w:ind w:left="1134" w:hanging="1134"/>
        <w:rPr>
          <w:sz w:val="18"/>
          <w:szCs w:val="18"/>
        </w:rPr>
      </w:pPr>
      <w:r w:rsidRPr="00553C36">
        <w:rPr>
          <w:sz w:val="18"/>
          <w:szCs w:val="18"/>
        </w:rPr>
        <w:t>ANNEX</w:t>
      </w:r>
      <w:r w:rsidRPr="00553C36">
        <w:rPr>
          <w:sz w:val="18"/>
          <w:szCs w:val="18"/>
        </w:rPr>
        <w:tab/>
        <w:t xml:space="preserve">THRESHOLDS FOR EXCLUDING VARIETIES OF COMMON KNOWLEDGE FROM THE SECOND GROWING CYCLE WHEN COYD IS USED </w:t>
      </w:r>
    </w:p>
    <w:p w:rsidR="00553C36" w:rsidRDefault="00553C36" w:rsidP="00322D4D">
      <w:pPr>
        <w:keepNext/>
      </w:pPr>
    </w:p>
    <w:p w:rsidR="00322D4D" w:rsidRPr="00CB3A47" w:rsidRDefault="00322D4D" w:rsidP="00322D4D">
      <w:pPr>
        <w:keepNext/>
        <w:rPr>
          <w:rFonts w:cs="Arial"/>
          <w:color w:val="000000"/>
        </w:rPr>
      </w:pPr>
      <w:r w:rsidRPr="00CB3A47">
        <w:fldChar w:fldCharType="begin"/>
      </w:r>
      <w:r w:rsidRPr="00CB3A47">
        <w:instrText xml:space="preserve"> AUTONUM  </w:instrText>
      </w:r>
      <w:r w:rsidRPr="00CB3A47">
        <w:fldChar w:fldCharType="end"/>
      </w:r>
      <w:r w:rsidRPr="00CB3A47">
        <w:tab/>
      </w:r>
      <w:r w:rsidRPr="00CB3A47">
        <w:rPr>
          <w:rFonts w:cs="Arial"/>
          <w:color w:val="000000"/>
        </w:rPr>
        <w:t>The following abbreviations are used in this document:</w:t>
      </w:r>
    </w:p>
    <w:p w:rsidR="00322D4D" w:rsidRPr="00CB3A47" w:rsidRDefault="00322D4D" w:rsidP="00322D4D">
      <w:pPr>
        <w:keepNext/>
        <w:rPr>
          <w:rFonts w:cs="Arial"/>
          <w:color w:val="000000"/>
        </w:rPr>
      </w:pPr>
    </w:p>
    <w:p w:rsidR="00322D4D" w:rsidRPr="00CB3A47" w:rsidRDefault="00322D4D" w:rsidP="00322D4D">
      <w:pPr>
        <w:keepNext/>
        <w:rPr>
          <w:rFonts w:cs="Arial"/>
        </w:rPr>
      </w:pPr>
      <w:r w:rsidRPr="00CB3A47">
        <w:rPr>
          <w:rFonts w:cs="Arial"/>
        </w:rPr>
        <w:tab/>
        <w:t>TC:</w:t>
      </w:r>
      <w:r w:rsidRPr="00CB3A47">
        <w:rPr>
          <w:rFonts w:cs="Arial"/>
        </w:rPr>
        <w:tab/>
      </w:r>
      <w:r w:rsidRPr="00CB3A47">
        <w:rPr>
          <w:rFonts w:cs="Arial"/>
        </w:rPr>
        <w:tab/>
        <w:t>Technical Committee</w:t>
      </w:r>
    </w:p>
    <w:p w:rsidR="00322D4D" w:rsidRPr="00CB3A47" w:rsidRDefault="00322D4D" w:rsidP="00586D43">
      <w:pPr>
        <w:keepNext/>
        <w:rPr>
          <w:rFonts w:eastAsia="PMingLiU" w:cs="Arial"/>
          <w:szCs w:val="24"/>
        </w:rPr>
      </w:pPr>
      <w:r w:rsidRPr="00CB3A47">
        <w:rPr>
          <w:rFonts w:eastAsia="PMingLiU" w:cs="Arial"/>
          <w:szCs w:val="24"/>
        </w:rPr>
        <w:tab/>
        <w:t>TWC:</w:t>
      </w:r>
      <w:r w:rsidRPr="00CB3A47">
        <w:rPr>
          <w:rFonts w:eastAsia="PMingLiU" w:cs="Arial"/>
          <w:szCs w:val="24"/>
        </w:rPr>
        <w:tab/>
      </w:r>
      <w:r w:rsidRPr="00CB3A47">
        <w:rPr>
          <w:rFonts w:eastAsia="PMingLiU" w:cs="Arial"/>
          <w:szCs w:val="24"/>
        </w:rPr>
        <w:tab/>
        <w:t>Technical Working Party on Automation and Computer Programs</w:t>
      </w:r>
    </w:p>
    <w:p w:rsidR="00322D4D" w:rsidRPr="00CB3A47" w:rsidRDefault="00322D4D" w:rsidP="00322D4D">
      <w:r w:rsidRPr="00CB3A47">
        <w:rPr>
          <w:rFonts w:eastAsia="PMingLiU" w:cs="Arial"/>
          <w:szCs w:val="24"/>
        </w:rPr>
        <w:tab/>
      </w:r>
      <w:r w:rsidRPr="00CB3A47">
        <w:rPr>
          <w:rFonts w:eastAsia="PMingLiU" w:cs="Arial"/>
          <w:szCs w:val="24"/>
        </w:rPr>
        <w:tab/>
      </w:r>
    </w:p>
    <w:p w:rsidR="00322D4D" w:rsidRDefault="00322D4D" w:rsidP="00322D4D"/>
    <w:p w:rsidR="00715943" w:rsidRPr="00CB3A47" w:rsidRDefault="00715943" w:rsidP="00322D4D"/>
    <w:p w:rsidR="00322D4D" w:rsidRPr="00CB3A47" w:rsidRDefault="00322D4D" w:rsidP="00322D4D">
      <w:pPr>
        <w:pStyle w:val="Heading1"/>
        <w:rPr>
          <w:lang w:eastAsia="ja-JP"/>
        </w:rPr>
      </w:pPr>
      <w:bookmarkStart w:id="4" w:name="_Toc475544291"/>
      <w:bookmarkStart w:id="5" w:name="_Toc525573302"/>
      <w:r w:rsidRPr="00CB3A47">
        <w:rPr>
          <w:lang w:eastAsia="ja-JP"/>
        </w:rPr>
        <w:t>Background</w:t>
      </w:r>
      <w:bookmarkEnd w:id="4"/>
      <w:bookmarkEnd w:id="5"/>
    </w:p>
    <w:p w:rsidR="00322D4D" w:rsidRPr="00CB3A47" w:rsidRDefault="00322D4D" w:rsidP="00322D4D">
      <w:pPr>
        <w:tabs>
          <w:tab w:val="left" w:pos="567"/>
        </w:tabs>
        <w:autoSpaceDE w:val="0"/>
        <w:autoSpaceDN w:val="0"/>
        <w:adjustRightInd w:val="0"/>
        <w:rPr>
          <w:lang w:eastAsia="ja-JP"/>
        </w:rPr>
      </w:pPr>
    </w:p>
    <w:p w:rsidR="000428CA" w:rsidRDefault="000428CA" w:rsidP="000428CA">
      <w:pPr>
        <w:keepNext/>
        <w:rPr>
          <w:rFonts w:eastAsiaTheme="minorEastAsia"/>
          <w:lang w:eastAsia="ja-JP"/>
        </w:rPr>
      </w:pPr>
      <w:r>
        <w:fldChar w:fldCharType="begin"/>
      </w:r>
      <w:r>
        <w:instrText xml:space="preserve"> AUTONUM  </w:instrText>
      </w:r>
      <w:r>
        <w:fldChar w:fldCharType="end"/>
      </w:r>
      <w:r>
        <w:tab/>
      </w:r>
      <w:r w:rsidRPr="00580889">
        <w:rPr>
          <w:rFonts w:eastAsiaTheme="minorEastAsia"/>
          <w:lang w:eastAsia="ja-JP"/>
        </w:rPr>
        <w:t>The background</w:t>
      </w:r>
      <w:r w:rsidRPr="00580889">
        <w:rPr>
          <w:rFonts w:eastAsiaTheme="minorEastAsia" w:hint="eastAsia"/>
          <w:lang w:eastAsia="ja-JP"/>
        </w:rPr>
        <w:t xml:space="preserve"> to this matter is provided in document </w:t>
      </w:r>
      <w:r>
        <w:rPr>
          <w:rFonts w:eastAsiaTheme="minorEastAsia"/>
          <w:lang w:eastAsia="ja-JP"/>
        </w:rPr>
        <w:t>TC</w:t>
      </w:r>
      <w:r w:rsidRPr="00A13B64">
        <w:rPr>
          <w:rFonts w:hint="eastAsia"/>
          <w:lang w:eastAsia="ja-JP"/>
        </w:rPr>
        <w:t>/</w:t>
      </w:r>
      <w:r>
        <w:rPr>
          <w:lang w:eastAsia="ja-JP"/>
        </w:rPr>
        <w:t>53</w:t>
      </w:r>
      <w:r w:rsidRPr="00A13B64">
        <w:rPr>
          <w:rFonts w:hint="eastAsia"/>
          <w:lang w:eastAsia="ja-JP"/>
        </w:rPr>
        <w:t>/</w:t>
      </w:r>
      <w:r>
        <w:rPr>
          <w:lang w:eastAsia="ja-JP"/>
        </w:rPr>
        <w:t>23</w:t>
      </w:r>
      <w:r w:rsidRPr="00A13B64">
        <w:rPr>
          <w:rFonts w:hint="eastAsia"/>
          <w:lang w:eastAsia="ja-JP"/>
        </w:rPr>
        <w:t xml:space="preserve"> </w:t>
      </w:r>
      <w:r w:rsidRPr="00A13B64">
        <w:rPr>
          <w:lang w:eastAsia="ja-JP"/>
        </w:rPr>
        <w:t>“</w:t>
      </w:r>
      <w:r w:rsidRPr="000428CA">
        <w:rPr>
          <w:lang w:eastAsia="ja-JP"/>
        </w:rPr>
        <w:t>Development of calculated thresholds for excluding varieties of common knowledge from the second growing cycle when COYD is used</w:t>
      </w:r>
      <w:r w:rsidRPr="00A13B64">
        <w:rPr>
          <w:lang w:eastAsia="ja-JP"/>
        </w:rPr>
        <w:t>”</w:t>
      </w:r>
      <w:r>
        <w:rPr>
          <w:lang w:eastAsia="ja-JP"/>
        </w:rPr>
        <w:t xml:space="preserve">, paragraphs </w:t>
      </w:r>
      <w:r w:rsidR="00695115">
        <w:rPr>
          <w:lang w:eastAsia="ja-JP"/>
        </w:rPr>
        <w:t>9</w:t>
      </w:r>
      <w:r>
        <w:rPr>
          <w:lang w:eastAsia="ja-JP"/>
        </w:rPr>
        <w:t xml:space="preserve"> to </w:t>
      </w:r>
      <w:r w:rsidR="00695115">
        <w:rPr>
          <w:lang w:eastAsia="ja-JP"/>
        </w:rPr>
        <w:t>13 and</w:t>
      </w:r>
      <w:r w:rsidR="00695115" w:rsidRPr="00580889">
        <w:rPr>
          <w:rFonts w:eastAsiaTheme="minorEastAsia" w:hint="eastAsia"/>
          <w:lang w:eastAsia="ja-JP"/>
        </w:rPr>
        <w:t xml:space="preserve"> </w:t>
      </w:r>
      <w:r w:rsidR="00C83C5F">
        <w:rPr>
          <w:rFonts w:eastAsiaTheme="minorEastAsia"/>
          <w:lang w:eastAsia="ja-JP"/>
        </w:rPr>
        <w:t xml:space="preserve">document </w:t>
      </w:r>
      <w:r w:rsidR="00695115">
        <w:rPr>
          <w:rFonts w:eastAsiaTheme="minorEastAsia"/>
          <w:lang w:eastAsia="ja-JP"/>
        </w:rPr>
        <w:t>TC</w:t>
      </w:r>
      <w:r w:rsidR="00695115" w:rsidRPr="00A13B64">
        <w:rPr>
          <w:rFonts w:hint="eastAsia"/>
          <w:lang w:eastAsia="ja-JP"/>
        </w:rPr>
        <w:t>/</w:t>
      </w:r>
      <w:r w:rsidR="00695115">
        <w:rPr>
          <w:lang w:eastAsia="ja-JP"/>
        </w:rPr>
        <w:t>53</w:t>
      </w:r>
      <w:r w:rsidR="00695115" w:rsidRPr="00A13B64">
        <w:rPr>
          <w:rFonts w:hint="eastAsia"/>
          <w:lang w:eastAsia="ja-JP"/>
        </w:rPr>
        <w:t>/</w:t>
      </w:r>
      <w:r w:rsidR="00695115">
        <w:rPr>
          <w:lang w:eastAsia="ja-JP"/>
        </w:rPr>
        <w:t>23 A</w:t>
      </w:r>
      <w:r w:rsidR="00F206ED">
        <w:rPr>
          <w:lang w:eastAsia="ja-JP"/>
        </w:rPr>
        <w:t>dd</w:t>
      </w:r>
      <w:r w:rsidR="00695115">
        <w:rPr>
          <w:lang w:eastAsia="ja-JP"/>
        </w:rPr>
        <w:t>. “</w:t>
      </w:r>
      <w:r w:rsidR="00695115" w:rsidRPr="00695115">
        <w:rPr>
          <w:lang w:eastAsia="ja-JP"/>
        </w:rPr>
        <w:t>Addendum to document TC/53/23</w:t>
      </w:r>
      <w:r w:rsidR="00695115">
        <w:rPr>
          <w:lang w:eastAsia="ja-JP"/>
        </w:rPr>
        <w:t>”</w:t>
      </w:r>
      <w:r w:rsidRPr="00580889">
        <w:rPr>
          <w:rFonts w:eastAsiaTheme="minorEastAsia" w:hint="eastAsia"/>
          <w:lang w:eastAsia="ja-JP"/>
        </w:rPr>
        <w:t>.</w:t>
      </w:r>
    </w:p>
    <w:p w:rsidR="000428CA" w:rsidRDefault="000428CA" w:rsidP="00322D4D">
      <w:pPr>
        <w:tabs>
          <w:tab w:val="left" w:pos="567"/>
        </w:tabs>
        <w:autoSpaceDE w:val="0"/>
        <w:autoSpaceDN w:val="0"/>
        <w:adjustRightInd w:val="0"/>
        <w:rPr>
          <w:lang w:eastAsia="ja-JP"/>
        </w:rPr>
      </w:pPr>
    </w:p>
    <w:p w:rsidR="00695115" w:rsidRDefault="00695115" w:rsidP="00322D4D">
      <w:pPr>
        <w:tabs>
          <w:tab w:val="left" w:pos="567"/>
        </w:tabs>
        <w:autoSpaceDE w:val="0"/>
        <w:autoSpaceDN w:val="0"/>
        <w:adjustRightInd w:val="0"/>
        <w:rPr>
          <w:lang w:eastAsia="ja-JP"/>
        </w:rPr>
      </w:pPr>
    </w:p>
    <w:p w:rsidR="00322D4D" w:rsidRPr="00CB3A47" w:rsidRDefault="002A46DC" w:rsidP="00CB0C08">
      <w:pPr>
        <w:pStyle w:val="Heading1"/>
        <w:rPr>
          <w:lang w:eastAsia="ja-JP"/>
        </w:rPr>
      </w:pPr>
      <w:bookmarkStart w:id="6" w:name="_Toc525573303"/>
      <w:r>
        <w:rPr>
          <w:lang w:eastAsia="ja-JP"/>
        </w:rPr>
        <w:lastRenderedPageBreak/>
        <w:t>Developments in 2017</w:t>
      </w:r>
      <w:bookmarkEnd w:id="6"/>
    </w:p>
    <w:p w:rsidR="00E85BE6" w:rsidRPr="006A396C" w:rsidRDefault="00E85BE6" w:rsidP="00E85BE6">
      <w:pPr>
        <w:keepNext/>
        <w:rPr>
          <w:snapToGrid w:val="0"/>
          <w:color w:val="000000"/>
          <w:sz w:val="19"/>
          <w:szCs w:val="19"/>
          <w:lang w:eastAsia="ja-JP"/>
        </w:rPr>
      </w:pPr>
    </w:p>
    <w:p w:rsidR="00E85BE6" w:rsidRDefault="00E85BE6" w:rsidP="00E85BE6">
      <w:pPr>
        <w:pStyle w:val="Heading2"/>
        <w:rPr>
          <w:rFonts w:eastAsiaTheme="minorEastAsia"/>
          <w:snapToGrid w:val="0"/>
          <w:lang w:eastAsia="ja-JP"/>
        </w:rPr>
      </w:pPr>
      <w:bookmarkStart w:id="7" w:name="_Toc475545602"/>
      <w:bookmarkStart w:id="8" w:name="_Toc522550595"/>
      <w:bookmarkStart w:id="9" w:name="_Toc525573304"/>
      <w:r>
        <w:rPr>
          <w:rFonts w:eastAsiaTheme="minorEastAsia"/>
          <w:snapToGrid w:val="0"/>
          <w:lang w:eastAsia="ja-JP"/>
        </w:rPr>
        <w:t>Technical Committee</w:t>
      </w:r>
      <w:bookmarkEnd w:id="7"/>
      <w:bookmarkEnd w:id="8"/>
      <w:bookmarkEnd w:id="9"/>
    </w:p>
    <w:p w:rsidR="00E85BE6" w:rsidRPr="006A396C" w:rsidRDefault="00E85BE6" w:rsidP="00E85BE6">
      <w:pPr>
        <w:ind w:left="567" w:hanging="567"/>
        <w:rPr>
          <w:rFonts w:cs="Arial"/>
          <w:snapToGrid w:val="0"/>
          <w:sz w:val="19"/>
          <w:szCs w:val="19"/>
        </w:rPr>
      </w:pPr>
    </w:p>
    <w:p w:rsidR="00E85BE6" w:rsidRPr="00D51062" w:rsidRDefault="00E85BE6" w:rsidP="00E85BE6">
      <w:pPr>
        <w:rPr>
          <w:snapToGrid w:val="0"/>
        </w:rPr>
      </w:pPr>
      <w:r w:rsidRPr="00E85BE6">
        <w:fldChar w:fldCharType="begin"/>
      </w:r>
      <w:r w:rsidRPr="00E85BE6">
        <w:instrText xml:space="preserve"> AUTONUM  </w:instrText>
      </w:r>
      <w:r w:rsidRPr="00E85BE6">
        <w:fldChar w:fldCharType="end"/>
      </w:r>
      <w:r w:rsidRPr="00E85BE6">
        <w:tab/>
      </w:r>
      <w:r w:rsidRPr="00E85BE6">
        <w:rPr>
          <w:snapToGrid w:val="0"/>
        </w:rPr>
        <w:t>The TC</w:t>
      </w:r>
      <w:r w:rsidRPr="00E85BE6">
        <w:rPr>
          <w:rFonts w:cs="Arial"/>
          <w:lang w:eastAsia="ja-JP"/>
        </w:rPr>
        <w:t>, at its fifty-third session, held in Geneva, from April 3 to 5, 2015,</w:t>
      </w:r>
      <w:r w:rsidRPr="00E85BE6">
        <w:rPr>
          <w:rFonts w:cs="Arial"/>
        </w:rPr>
        <w:t xml:space="preserve"> </w:t>
      </w:r>
      <w:r w:rsidR="00A04F5F">
        <w:rPr>
          <w:snapToGrid w:val="0"/>
        </w:rPr>
        <w:t xml:space="preserve">considered </w:t>
      </w:r>
      <w:r w:rsidR="00A04F5F" w:rsidRPr="00715943">
        <w:rPr>
          <w:snapToGrid w:val="0"/>
          <w:spacing w:val="-2"/>
        </w:rPr>
        <w:t>document </w:t>
      </w:r>
      <w:r w:rsidRPr="00715943">
        <w:rPr>
          <w:snapToGrid w:val="0"/>
          <w:spacing w:val="-2"/>
        </w:rPr>
        <w:t>TC/53/23 “Development of calculated thresholds for excluding varieties of common knowledge</w:t>
      </w:r>
      <w:r w:rsidRPr="00E85BE6">
        <w:rPr>
          <w:snapToGrid w:val="0"/>
        </w:rPr>
        <w:t xml:space="preserve"> </w:t>
      </w:r>
      <w:r w:rsidRPr="00715943">
        <w:rPr>
          <w:snapToGrid w:val="0"/>
          <w:spacing w:val="-2"/>
        </w:rPr>
        <w:t xml:space="preserve">from </w:t>
      </w:r>
      <w:r w:rsidRPr="00715943">
        <w:rPr>
          <w:snapToGrid w:val="0"/>
        </w:rPr>
        <w:t>the second growing cycle when COYD is used”</w:t>
      </w:r>
      <w:r w:rsidRPr="00715943">
        <w:rPr>
          <w:rFonts w:hint="eastAsia"/>
          <w:lang w:eastAsia="ja-JP"/>
        </w:rPr>
        <w:t xml:space="preserve"> (see</w:t>
      </w:r>
      <w:r w:rsidRPr="00715943">
        <w:rPr>
          <w:lang w:eastAsia="ja-JP"/>
        </w:rPr>
        <w:t> </w:t>
      </w:r>
      <w:r w:rsidRPr="00715943">
        <w:rPr>
          <w:rFonts w:hint="eastAsia"/>
          <w:lang w:eastAsia="ja-JP"/>
        </w:rPr>
        <w:t>document</w:t>
      </w:r>
      <w:r w:rsidRPr="00715943">
        <w:rPr>
          <w:lang w:eastAsia="ja-JP"/>
        </w:rPr>
        <w:t> </w:t>
      </w:r>
      <w:r w:rsidRPr="00715943">
        <w:rPr>
          <w:rFonts w:hint="eastAsia"/>
          <w:lang w:eastAsia="ja-JP"/>
        </w:rPr>
        <w:t>TC/</w:t>
      </w:r>
      <w:r w:rsidRPr="00715943">
        <w:rPr>
          <w:lang w:eastAsia="ja-JP"/>
        </w:rPr>
        <w:t>53</w:t>
      </w:r>
      <w:r w:rsidRPr="00715943">
        <w:rPr>
          <w:rFonts w:hint="eastAsia"/>
          <w:lang w:eastAsia="ja-JP"/>
        </w:rPr>
        <w:t>/</w:t>
      </w:r>
      <w:r w:rsidRPr="00715943">
        <w:rPr>
          <w:lang w:eastAsia="ja-JP"/>
        </w:rPr>
        <w:t>31</w:t>
      </w:r>
      <w:r w:rsidRPr="00715943">
        <w:rPr>
          <w:rFonts w:hint="eastAsia"/>
          <w:lang w:eastAsia="ja-JP"/>
        </w:rPr>
        <w:t xml:space="preserve"> </w:t>
      </w:r>
      <w:r w:rsidRPr="00715943">
        <w:rPr>
          <w:lang w:eastAsia="ja-JP"/>
        </w:rPr>
        <w:t>“</w:t>
      </w:r>
      <w:r w:rsidRPr="00715943">
        <w:rPr>
          <w:rFonts w:hint="eastAsia"/>
          <w:lang w:eastAsia="ja-JP"/>
        </w:rPr>
        <w:t>Report</w:t>
      </w:r>
      <w:r w:rsidRPr="00715943">
        <w:rPr>
          <w:lang w:eastAsia="ja-JP"/>
        </w:rPr>
        <w:t>”</w:t>
      </w:r>
      <w:r w:rsidRPr="00715943">
        <w:rPr>
          <w:rFonts w:hint="eastAsia"/>
          <w:lang w:eastAsia="ja-JP"/>
        </w:rPr>
        <w:t>, paragraph</w:t>
      </w:r>
      <w:r w:rsidRPr="00715943">
        <w:rPr>
          <w:lang w:eastAsia="ja-JP"/>
        </w:rPr>
        <w:t>s</w:t>
      </w:r>
      <w:r w:rsidRPr="00715943">
        <w:rPr>
          <w:rFonts w:hint="eastAsia"/>
          <w:lang w:eastAsia="ja-JP"/>
        </w:rPr>
        <w:t xml:space="preserve"> </w:t>
      </w:r>
      <w:r w:rsidRPr="00715943">
        <w:rPr>
          <w:lang w:eastAsia="ja-JP"/>
        </w:rPr>
        <w:t>190</w:t>
      </w:r>
      <w:r w:rsidRPr="00715943">
        <w:rPr>
          <w:rFonts w:hint="eastAsia"/>
          <w:lang w:eastAsia="ja-JP"/>
        </w:rPr>
        <w:t xml:space="preserve"> </w:t>
      </w:r>
      <w:r w:rsidRPr="00715943">
        <w:rPr>
          <w:lang w:eastAsia="ja-JP"/>
        </w:rPr>
        <w:t>to</w:t>
      </w:r>
      <w:r w:rsidR="00715943" w:rsidRPr="00715943">
        <w:rPr>
          <w:rFonts w:hint="eastAsia"/>
          <w:lang w:eastAsia="ja-JP"/>
        </w:rPr>
        <w:t> </w:t>
      </w:r>
      <w:r w:rsidRPr="00715943">
        <w:rPr>
          <w:lang w:eastAsia="ja-JP"/>
        </w:rPr>
        <w:t>192</w:t>
      </w:r>
      <w:r w:rsidRPr="00715943">
        <w:rPr>
          <w:rFonts w:hint="eastAsia"/>
          <w:lang w:eastAsia="ja-JP"/>
        </w:rPr>
        <w:t>)</w:t>
      </w:r>
      <w:r w:rsidRPr="00715943">
        <w:rPr>
          <w:snapToGrid w:val="0"/>
        </w:rPr>
        <w:t>.</w:t>
      </w:r>
    </w:p>
    <w:p w:rsidR="00E85BE6" w:rsidRPr="006A396C" w:rsidRDefault="00E85BE6" w:rsidP="00E85BE6">
      <w:pPr>
        <w:rPr>
          <w:sz w:val="19"/>
          <w:szCs w:val="19"/>
          <w:lang w:eastAsia="ja-JP"/>
        </w:rPr>
      </w:pPr>
    </w:p>
    <w:p w:rsidR="00E85BE6" w:rsidRPr="00D51062" w:rsidRDefault="00E85BE6" w:rsidP="00E85BE6">
      <w:pPr>
        <w:rPr>
          <w:lang w:eastAsia="ja-JP"/>
        </w:rPr>
      </w:pPr>
      <w:r w:rsidRPr="00D51062">
        <w:rPr>
          <w:lang w:eastAsia="ja-JP"/>
        </w:rPr>
        <w:fldChar w:fldCharType="begin"/>
      </w:r>
      <w:r w:rsidRPr="00D51062">
        <w:rPr>
          <w:lang w:eastAsia="ja-JP"/>
        </w:rPr>
        <w:instrText xml:space="preserve"> AUTONUM  </w:instrText>
      </w:r>
      <w:r w:rsidRPr="00D51062">
        <w:rPr>
          <w:lang w:eastAsia="ja-JP"/>
        </w:rPr>
        <w:fldChar w:fldCharType="end"/>
      </w:r>
      <w:r w:rsidRPr="00D51062">
        <w:rPr>
          <w:lang w:eastAsia="ja-JP"/>
        </w:rPr>
        <w:tab/>
        <w:t xml:space="preserve">The TC received a presentation by the experts from the United Kingdom on excluding varieties of common knowledge from the second growing cycle when COYD was used, a copy of which is reproduced in document TC/53/23 </w:t>
      </w:r>
      <w:proofErr w:type="gramStart"/>
      <w:r w:rsidRPr="00D51062">
        <w:rPr>
          <w:lang w:eastAsia="ja-JP"/>
        </w:rPr>
        <w:t>Add..</w:t>
      </w:r>
      <w:proofErr w:type="gramEnd"/>
      <w:r w:rsidRPr="00D51062">
        <w:rPr>
          <w:lang w:eastAsia="ja-JP"/>
        </w:rPr>
        <w:t xml:space="preserve"> </w:t>
      </w:r>
    </w:p>
    <w:p w:rsidR="00E85BE6" w:rsidRPr="006A396C" w:rsidRDefault="00E85BE6" w:rsidP="00E85BE6">
      <w:pPr>
        <w:rPr>
          <w:sz w:val="19"/>
          <w:szCs w:val="19"/>
          <w:lang w:eastAsia="ja-JP"/>
        </w:rPr>
      </w:pPr>
    </w:p>
    <w:p w:rsidR="00E85BE6" w:rsidRPr="00D51062" w:rsidRDefault="00E85BE6" w:rsidP="00E85BE6">
      <w:pPr>
        <w:rPr>
          <w:lang w:eastAsia="ja-JP"/>
        </w:rPr>
      </w:pPr>
      <w:r w:rsidRPr="00D51062">
        <w:rPr>
          <w:lang w:eastAsia="ja-JP"/>
        </w:rPr>
        <w:fldChar w:fldCharType="begin"/>
      </w:r>
      <w:r w:rsidRPr="00D51062">
        <w:rPr>
          <w:lang w:eastAsia="ja-JP"/>
        </w:rPr>
        <w:instrText xml:space="preserve"> AUTONUM  </w:instrText>
      </w:r>
      <w:r w:rsidRPr="00D51062">
        <w:rPr>
          <w:lang w:eastAsia="ja-JP"/>
        </w:rPr>
        <w:fldChar w:fldCharType="end"/>
      </w:r>
      <w:r w:rsidRPr="00D51062">
        <w:rPr>
          <w:lang w:eastAsia="ja-JP"/>
        </w:rPr>
        <w:tab/>
        <w:t xml:space="preserve">The TC noted that further developments on </w:t>
      </w:r>
      <w:r w:rsidRPr="00D51062">
        <w:t>calculated thresholds for excluding varieties of common knowledge from the second growing cycle when COYD was used</w:t>
      </w:r>
      <w:r w:rsidRPr="00D51062">
        <w:rPr>
          <w:lang w:eastAsia="ja-JP"/>
        </w:rPr>
        <w:t xml:space="preserve"> would</w:t>
      </w:r>
      <w:r w:rsidR="00715943">
        <w:rPr>
          <w:lang w:eastAsia="ja-JP"/>
        </w:rPr>
        <w:t xml:space="preserve"> be reported to the TWC, at its </w:t>
      </w:r>
      <w:r w:rsidRPr="00D51062">
        <w:rPr>
          <w:lang w:eastAsia="ja-JP"/>
        </w:rPr>
        <w:t>thirty</w:t>
      </w:r>
      <w:r w:rsidRPr="00D51062">
        <w:rPr>
          <w:lang w:eastAsia="ja-JP"/>
        </w:rPr>
        <w:noBreakHyphen/>
        <w:t>fifth session.</w:t>
      </w:r>
    </w:p>
    <w:p w:rsidR="00E85BE6" w:rsidRPr="006A396C" w:rsidRDefault="00E85BE6" w:rsidP="00E85BE6">
      <w:pPr>
        <w:keepNext/>
        <w:rPr>
          <w:snapToGrid w:val="0"/>
          <w:color w:val="000000"/>
          <w:sz w:val="19"/>
          <w:szCs w:val="19"/>
          <w:lang w:eastAsia="ja-JP"/>
        </w:rPr>
      </w:pPr>
    </w:p>
    <w:p w:rsidR="00E85BE6" w:rsidRDefault="00E85BE6" w:rsidP="00E85BE6">
      <w:pPr>
        <w:pStyle w:val="Heading2"/>
        <w:rPr>
          <w:rFonts w:eastAsiaTheme="minorEastAsia"/>
          <w:snapToGrid w:val="0"/>
          <w:lang w:eastAsia="ja-JP"/>
        </w:rPr>
      </w:pPr>
      <w:bookmarkStart w:id="10" w:name="_Toc522550596"/>
      <w:bookmarkStart w:id="11" w:name="_Toc525573305"/>
      <w:r w:rsidRPr="004048E0">
        <w:rPr>
          <w:rFonts w:eastAsiaTheme="minorEastAsia"/>
          <w:snapToGrid w:val="0"/>
          <w:lang w:eastAsia="ja-JP"/>
        </w:rPr>
        <w:t>Technical Working Party on Automation and Computer Programs</w:t>
      </w:r>
      <w:bookmarkEnd w:id="10"/>
      <w:bookmarkEnd w:id="11"/>
    </w:p>
    <w:p w:rsidR="00322D4D" w:rsidRPr="006A396C" w:rsidRDefault="00322D4D" w:rsidP="00CB0C08">
      <w:pPr>
        <w:keepNext/>
        <w:keepLines/>
        <w:outlineLvl w:val="0"/>
        <w:rPr>
          <w:caps/>
          <w:sz w:val="19"/>
          <w:szCs w:val="19"/>
          <w:lang w:eastAsia="ja-JP"/>
        </w:rPr>
      </w:pPr>
    </w:p>
    <w:p w:rsidR="00C83C5F" w:rsidRPr="004E2894" w:rsidRDefault="00C83C5F" w:rsidP="00CB0C08">
      <w:pPr>
        <w:keepNext/>
        <w:keepLines/>
      </w:pPr>
      <w:r w:rsidRPr="005948AF">
        <w:fldChar w:fldCharType="begin"/>
      </w:r>
      <w:r w:rsidRPr="004E2894">
        <w:instrText xml:space="preserve"> AUTONUM  </w:instrText>
      </w:r>
      <w:r w:rsidRPr="005948AF">
        <w:fldChar w:fldCharType="end"/>
      </w:r>
      <w:r w:rsidRPr="004E2894">
        <w:tab/>
        <w:t>The TWC</w:t>
      </w:r>
      <w:r>
        <w:t>,</w:t>
      </w:r>
      <w:r w:rsidRPr="004E2894">
        <w:t xml:space="preserve"> </w:t>
      </w:r>
      <w:r>
        <w:t xml:space="preserve">at </w:t>
      </w:r>
      <w:r w:rsidRPr="00C83C5F">
        <w:t>its thirty</w:t>
      </w:r>
      <w:r>
        <w:t>-</w:t>
      </w:r>
      <w:r w:rsidRPr="00C83C5F">
        <w:t>fifth session</w:t>
      </w:r>
      <w:r>
        <w:t>, held</w:t>
      </w:r>
      <w:r w:rsidRPr="00C83C5F">
        <w:t xml:space="preserve"> in Buenos Aires, Argentina, from November 14 to 17, 2017</w:t>
      </w:r>
      <w:r>
        <w:t xml:space="preserve">, </w:t>
      </w:r>
      <w:r w:rsidRPr="004E2894">
        <w:t xml:space="preserve">considered </w:t>
      </w:r>
      <w:r w:rsidRPr="004E2894">
        <w:rPr>
          <w:lang w:eastAsia="ja-JP"/>
        </w:rPr>
        <w:t>d</w:t>
      </w:r>
      <w:r w:rsidRPr="004E2894">
        <w:t xml:space="preserve">ocuments </w:t>
      </w:r>
      <w:r w:rsidRPr="00F206ED">
        <w:t>TWP/1/22</w:t>
      </w:r>
      <w:r w:rsidRPr="004E2894">
        <w:t xml:space="preserve"> </w:t>
      </w:r>
      <w:r w:rsidR="00F206ED" w:rsidRPr="004E2894">
        <w:t>“</w:t>
      </w:r>
      <w:r w:rsidR="00F206ED" w:rsidRPr="00F206ED">
        <w:t>Development of calculated thresholds for excluding varieties of common knowledge from the second growing cycle when COYD is used</w:t>
      </w:r>
      <w:r w:rsidR="00F206ED" w:rsidRPr="004E2894">
        <w:rPr>
          <w:snapToGrid w:val="0"/>
        </w:rPr>
        <w:t>”</w:t>
      </w:r>
      <w:r w:rsidR="00F206ED">
        <w:rPr>
          <w:snapToGrid w:val="0"/>
        </w:rPr>
        <w:t xml:space="preserve"> </w:t>
      </w:r>
      <w:r w:rsidRPr="004E2894">
        <w:t xml:space="preserve">and </w:t>
      </w:r>
      <w:r w:rsidRPr="00F206ED">
        <w:t>TWC/35/13</w:t>
      </w:r>
      <w:r w:rsidRPr="004E2894">
        <w:t xml:space="preserve"> “</w:t>
      </w:r>
      <w:r w:rsidRPr="004E2894">
        <w:rPr>
          <w:snapToGrid w:val="0"/>
        </w:rPr>
        <w:t xml:space="preserve">Thresholds for Excluding Varieties of Common Knowledge from the Second Growing Cycle when COYD is used” and </w:t>
      </w:r>
      <w:r w:rsidRPr="004E2894">
        <w:t xml:space="preserve">received a presentation by an expert from the United Kingdom, a copy of which is reproduced in the Annex to </w:t>
      </w:r>
      <w:r w:rsidR="00BE40B4">
        <w:t xml:space="preserve">this </w:t>
      </w:r>
      <w:r w:rsidRPr="004E2894">
        <w:t>document</w:t>
      </w:r>
      <w:r w:rsidRPr="00C83C5F">
        <w:rPr>
          <w:rStyle w:val="Hyperlink"/>
          <w:u w:val="none"/>
        </w:rPr>
        <w:t xml:space="preserve"> </w:t>
      </w:r>
      <w:r w:rsidRPr="006A27CC">
        <w:rPr>
          <w:rFonts w:eastAsia="MS Mincho" w:cs="Arial" w:hint="eastAsia"/>
          <w:lang w:eastAsia="ja-JP"/>
        </w:rPr>
        <w:t>(see document TW</w:t>
      </w:r>
      <w:r>
        <w:rPr>
          <w:rFonts w:eastAsia="MS Mincho" w:cs="Arial"/>
          <w:lang w:eastAsia="ja-JP"/>
        </w:rPr>
        <w:t>C</w:t>
      </w:r>
      <w:r w:rsidRPr="006A27CC">
        <w:rPr>
          <w:rFonts w:eastAsia="MS Mincho" w:cs="Arial" w:hint="eastAsia"/>
          <w:lang w:eastAsia="ja-JP"/>
        </w:rPr>
        <w:t>/</w:t>
      </w:r>
      <w:r>
        <w:rPr>
          <w:rFonts w:eastAsia="MS Mincho" w:cs="Arial"/>
          <w:lang w:eastAsia="ja-JP"/>
        </w:rPr>
        <w:t>35</w:t>
      </w:r>
      <w:r w:rsidRPr="006A27CC">
        <w:rPr>
          <w:rFonts w:eastAsia="MS Mincho" w:cs="Arial" w:hint="eastAsia"/>
          <w:lang w:eastAsia="ja-JP"/>
        </w:rPr>
        <w:t>/</w:t>
      </w:r>
      <w:r>
        <w:rPr>
          <w:rFonts w:eastAsia="MS Mincho" w:cs="Arial"/>
          <w:lang w:eastAsia="ja-JP"/>
        </w:rPr>
        <w:t>2</w:t>
      </w:r>
      <w:r w:rsidRPr="006A27CC">
        <w:rPr>
          <w:rFonts w:eastAsia="MS Mincho" w:cs="Arial"/>
          <w:lang w:eastAsia="ja-JP"/>
        </w:rPr>
        <w:t>1</w:t>
      </w:r>
      <w:r w:rsidRPr="006A27CC">
        <w:rPr>
          <w:rFonts w:eastAsia="MS Mincho" w:cs="Arial" w:hint="eastAsia"/>
          <w:lang w:eastAsia="ja-JP"/>
        </w:rPr>
        <w:t xml:space="preserve"> </w:t>
      </w:r>
      <w:r w:rsidRPr="006A27CC">
        <w:rPr>
          <w:rFonts w:eastAsia="MS Mincho" w:cs="Arial"/>
          <w:lang w:eastAsia="ja-JP"/>
        </w:rPr>
        <w:t>“</w:t>
      </w:r>
      <w:r w:rsidRPr="006A27CC">
        <w:rPr>
          <w:rFonts w:eastAsia="MS Mincho" w:cs="Arial" w:hint="eastAsia"/>
          <w:lang w:eastAsia="ja-JP"/>
        </w:rPr>
        <w:t>Report</w:t>
      </w:r>
      <w:r w:rsidRPr="006A27CC">
        <w:rPr>
          <w:rFonts w:eastAsia="MS Mincho" w:cs="Arial"/>
          <w:lang w:eastAsia="ja-JP"/>
        </w:rPr>
        <w:t>”</w:t>
      </w:r>
      <w:r w:rsidRPr="006A27CC">
        <w:rPr>
          <w:rFonts w:eastAsia="MS Mincho" w:cs="Arial" w:hint="eastAsia"/>
          <w:lang w:eastAsia="ja-JP"/>
        </w:rPr>
        <w:t>, paragraph</w:t>
      </w:r>
      <w:r>
        <w:rPr>
          <w:rFonts w:eastAsia="MS Mincho" w:cs="Arial"/>
          <w:lang w:eastAsia="ja-JP"/>
        </w:rPr>
        <w:t>s</w:t>
      </w:r>
      <w:r w:rsidRPr="006A27CC">
        <w:rPr>
          <w:rFonts w:eastAsia="MS Mincho" w:cs="Arial" w:hint="eastAsia"/>
          <w:lang w:eastAsia="ja-JP"/>
        </w:rPr>
        <w:t xml:space="preserve"> </w:t>
      </w:r>
      <w:r>
        <w:rPr>
          <w:rFonts w:eastAsia="MS Mincho" w:cs="Arial"/>
          <w:lang w:eastAsia="ja-JP"/>
        </w:rPr>
        <w:t>73 to 76</w:t>
      </w:r>
      <w:r w:rsidRPr="006A27CC">
        <w:rPr>
          <w:rFonts w:eastAsia="MS Mincho" w:cs="Arial" w:hint="eastAsia"/>
          <w:lang w:eastAsia="ja-JP"/>
        </w:rPr>
        <w:t>)</w:t>
      </w:r>
      <w:r w:rsidRPr="004E2894">
        <w:t>.</w:t>
      </w:r>
    </w:p>
    <w:p w:rsidR="00C83C5F" w:rsidRPr="006A396C" w:rsidRDefault="00C83C5F" w:rsidP="00C83C5F">
      <w:pPr>
        <w:rPr>
          <w:rFonts w:eastAsia="MS Mincho"/>
          <w:sz w:val="19"/>
          <w:szCs w:val="19"/>
        </w:rPr>
      </w:pPr>
    </w:p>
    <w:p w:rsidR="00C83C5F" w:rsidRPr="004E2894" w:rsidRDefault="00C83C5F" w:rsidP="00C83C5F">
      <w:r w:rsidRPr="005948AF">
        <w:rPr>
          <w:snapToGrid w:val="0"/>
        </w:rPr>
        <w:fldChar w:fldCharType="begin"/>
      </w:r>
      <w:r w:rsidRPr="004E2894">
        <w:rPr>
          <w:snapToGrid w:val="0"/>
        </w:rPr>
        <w:instrText xml:space="preserve"> AUTONUM  </w:instrText>
      </w:r>
      <w:r w:rsidRPr="005948AF">
        <w:rPr>
          <w:snapToGrid w:val="0"/>
        </w:rPr>
        <w:fldChar w:fldCharType="end"/>
      </w:r>
      <w:r w:rsidRPr="004E2894">
        <w:rPr>
          <w:snapToGrid w:val="0"/>
        </w:rPr>
        <w:tab/>
        <w:t xml:space="preserve">The TWC </w:t>
      </w:r>
      <w:r w:rsidRPr="004E2894">
        <w:t>noted the recent developments and the indications of COYD thresholds for excluding varieties of common knowledge from the second growing cycle on the basis of data sets of meadow fescue, red clover, timothy, perennial ryegrass, pea (semi-leafless) and pea (conventional).</w:t>
      </w:r>
    </w:p>
    <w:p w:rsidR="00C83C5F" w:rsidRPr="006A396C" w:rsidRDefault="00C83C5F" w:rsidP="00C83C5F">
      <w:pPr>
        <w:rPr>
          <w:sz w:val="19"/>
          <w:szCs w:val="19"/>
        </w:rPr>
      </w:pPr>
    </w:p>
    <w:p w:rsidR="00C83C5F" w:rsidRPr="004E2894" w:rsidRDefault="00C83C5F" w:rsidP="00C83C5F">
      <w:pPr>
        <w:rPr>
          <w:rFonts w:eastAsia="MS Mincho"/>
        </w:rPr>
      </w:pPr>
      <w:r w:rsidRPr="005948AF">
        <w:rPr>
          <w:rFonts w:eastAsia="MS Mincho"/>
        </w:rPr>
        <w:fldChar w:fldCharType="begin"/>
      </w:r>
      <w:r w:rsidRPr="004E2894">
        <w:rPr>
          <w:rFonts w:eastAsia="MS Mincho"/>
        </w:rPr>
        <w:instrText xml:space="preserve"> AUTONUM  </w:instrText>
      </w:r>
      <w:r w:rsidRPr="005948AF">
        <w:rPr>
          <w:rFonts w:eastAsia="MS Mincho"/>
        </w:rPr>
        <w:fldChar w:fldCharType="end"/>
      </w:r>
      <w:r w:rsidRPr="004E2894">
        <w:rPr>
          <w:rFonts w:eastAsia="MS Mincho"/>
        </w:rPr>
        <w:tab/>
      </w:r>
      <w:r w:rsidR="00931E4D" w:rsidRPr="00931E4D">
        <w:rPr>
          <w:rFonts w:eastAsia="MS Mincho"/>
        </w:rPr>
        <w:t xml:space="preserve">The TWC noted that the method was most applicable to crops with large numbers of varieties of </w:t>
      </w:r>
      <w:r w:rsidR="00931E4D" w:rsidRPr="00715943">
        <w:rPr>
          <w:rFonts w:eastAsia="MS Mincho"/>
          <w:spacing w:val="-2"/>
        </w:rPr>
        <w:t xml:space="preserve">common knowledge and where current trial sizes </w:t>
      </w:r>
      <w:r w:rsidR="002A46DC" w:rsidRPr="00715943">
        <w:rPr>
          <w:rFonts w:eastAsia="MS Mincho"/>
          <w:spacing w:val="-2"/>
        </w:rPr>
        <w:t>we</w:t>
      </w:r>
      <w:r w:rsidR="00715943" w:rsidRPr="00715943">
        <w:rPr>
          <w:rFonts w:eastAsia="MS Mincho"/>
          <w:spacing w:val="-2"/>
        </w:rPr>
        <w:t xml:space="preserve">re large.  </w:t>
      </w:r>
      <w:r w:rsidR="00931E4D" w:rsidRPr="00715943">
        <w:rPr>
          <w:rFonts w:eastAsia="MS Mincho"/>
          <w:spacing w:val="-2"/>
        </w:rPr>
        <w:t>The TW</w:t>
      </w:r>
      <w:r w:rsidR="00715943" w:rsidRPr="00715943">
        <w:rPr>
          <w:rFonts w:eastAsia="MS Mincho"/>
          <w:spacing w:val="-2"/>
        </w:rPr>
        <w:t>C noted the plans of the United </w:t>
      </w:r>
      <w:r w:rsidR="00931E4D" w:rsidRPr="00715943">
        <w:rPr>
          <w:rFonts w:eastAsia="MS Mincho"/>
          <w:spacing w:val="-2"/>
        </w:rPr>
        <w:t>Kingdom to test the method on large data sets of oilseed rape</w:t>
      </w:r>
      <w:r w:rsidRPr="00715943">
        <w:rPr>
          <w:rFonts w:eastAsia="MS Mincho"/>
          <w:spacing w:val="-2"/>
        </w:rPr>
        <w:t>.</w:t>
      </w:r>
    </w:p>
    <w:p w:rsidR="00C83C5F" w:rsidRPr="006A396C" w:rsidRDefault="00C83C5F" w:rsidP="00C83C5F">
      <w:pPr>
        <w:rPr>
          <w:rFonts w:eastAsia="MS Mincho"/>
          <w:sz w:val="19"/>
          <w:szCs w:val="19"/>
        </w:rPr>
      </w:pPr>
    </w:p>
    <w:p w:rsidR="00C83C5F" w:rsidRPr="004E2894" w:rsidRDefault="00C83C5F" w:rsidP="00C83C5F">
      <w:pPr>
        <w:rPr>
          <w:rFonts w:eastAsia="MS Mincho"/>
        </w:rPr>
      </w:pPr>
      <w:r w:rsidRPr="005948AF">
        <w:rPr>
          <w:rFonts w:eastAsia="MS Mincho"/>
        </w:rPr>
        <w:fldChar w:fldCharType="begin"/>
      </w:r>
      <w:r w:rsidRPr="004E2894">
        <w:rPr>
          <w:rFonts w:eastAsia="MS Mincho"/>
        </w:rPr>
        <w:instrText xml:space="preserve"> AUTONUM  </w:instrText>
      </w:r>
      <w:r w:rsidRPr="005948AF">
        <w:rPr>
          <w:rFonts w:eastAsia="MS Mincho"/>
        </w:rPr>
        <w:fldChar w:fldCharType="end"/>
      </w:r>
      <w:r w:rsidRPr="004E2894">
        <w:rPr>
          <w:rFonts w:eastAsia="MS Mincho"/>
        </w:rPr>
        <w:tab/>
      </w:r>
      <w:r w:rsidR="00931E4D" w:rsidRPr="00931E4D">
        <w:rPr>
          <w:rFonts w:eastAsia="MS Mincho"/>
        </w:rPr>
        <w:t>The TWC noted that the code had been developed using “R” software</w:t>
      </w:r>
      <w:r w:rsidR="00E85BE6">
        <w:rPr>
          <w:rFonts w:eastAsia="MS Mincho"/>
        </w:rPr>
        <w:t xml:space="preserve"> and</w:t>
      </w:r>
      <w:r w:rsidR="00931E4D" w:rsidRPr="00931E4D">
        <w:rPr>
          <w:rFonts w:eastAsia="MS Mincho"/>
        </w:rPr>
        <w:t xml:space="preserve"> </w:t>
      </w:r>
      <w:r w:rsidR="00E85BE6">
        <w:rPr>
          <w:rFonts w:eastAsia="MS Mincho"/>
        </w:rPr>
        <w:t>that</w:t>
      </w:r>
      <w:r w:rsidR="00931E4D">
        <w:rPr>
          <w:rFonts w:eastAsia="MS Mincho"/>
        </w:rPr>
        <w:t xml:space="preserve"> </w:t>
      </w:r>
      <w:r w:rsidR="00E85BE6">
        <w:rPr>
          <w:rFonts w:eastAsia="MS Mincho"/>
        </w:rPr>
        <w:t>i</w:t>
      </w:r>
      <w:r w:rsidR="00931E4D" w:rsidRPr="00931E4D">
        <w:rPr>
          <w:rFonts w:eastAsia="MS Mincho"/>
        </w:rPr>
        <w:t>t m</w:t>
      </w:r>
      <w:r w:rsidR="00E85BE6">
        <w:rPr>
          <w:rFonts w:eastAsia="MS Mincho"/>
        </w:rPr>
        <w:t>ight</w:t>
      </w:r>
      <w:r w:rsidR="00931E4D" w:rsidRPr="00931E4D">
        <w:rPr>
          <w:rFonts w:eastAsia="MS Mincho"/>
        </w:rPr>
        <w:t xml:space="preserve"> be possible to link this to the GAIA software to support determining the thresholds for excluding varieties from the second growing cycle when COYD was used.</w:t>
      </w:r>
    </w:p>
    <w:p w:rsidR="002A46DC" w:rsidRPr="006A396C" w:rsidRDefault="002A46DC" w:rsidP="002A46DC">
      <w:pPr>
        <w:tabs>
          <w:tab w:val="left" w:pos="567"/>
        </w:tabs>
        <w:autoSpaceDE w:val="0"/>
        <w:autoSpaceDN w:val="0"/>
        <w:adjustRightInd w:val="0"/>
        <w:rPr>
          <w:sz w:val="19"/>
          <w:szCs w:val="19"/>
          <w:lang w:eastAsia="ja-JP"/>
        </w:rPr>
      </w:pPr>
    </w:p>
    <w:p w:rsidR="002A46DC" w:rsidRPr="006A396C" w:rsidRDefault="002A46DC" w:rsidP="002A46DC">
      <w:pPr>
        <w:tabs>
          <w:tab w:val="left" w:pos="567"/>
        </w:tabs>
        <w:autoSpaceDE w:val="0"/>
        <w:autoSpaceDN w:val="0"/>
        <w:adjustRightInd w:val="0"/>
        <w:rPr>
          <w:sz w:val="19"/>
          <w:szCs w:val="19"/>
          <w:lang w:eastAsia="ja-JP"/>
        </w:rPr>
      </w:pPr>
    </w:p>
    <w:p w:rsidR="002A46DC" w:rsidRPr="00CB3A47" w:rsidRDefault="002A46DC" w:rsidP="002A46DC">
      <w:pPr>
        <w:pStyle w:val="Heading1"/>
        <w:rPr>
          <w:lang w:eastAsia="ja-JP"/>
        </w:rPr>
      </w:pPr>
      <w:bookmarkStart w:id="12" w:name="_Toc525573306"/>
      <w:r>
        <w:rPr>
          <w:lang w:eastAsia="ja-JP"/>
        </w:rPr>
        <w:t>Developments in 2018</w:t>
      </w:r>
      <w:bookmarkEnd w:id="12"/>
    </w:p>
    <w:p w:rsidR="00FF4BC0" w:rsidRPr="006A396C" w:rsidRDefault="00FF4BC0" w:rsidP="00FF4BC0">
      <w:pPr>
        <w:rPr>
          <w:sz w:val="19"/>
          <w:szCs w:val="19"/>
        </w:rPr>
      </w:pPr>
    </w:p>
    <w:p w:rsidR="00FF4BC0" w:rsidRPr="004E2894" w:rsidRDefault="00FF4BC0" w:rsidP="00FF4BC0">
      <w:r w:rsidRPr="005948AF">
        <w:fldChar w:fldCharType="begin"/>
      </w:r>
      <w:r w:rsidRPr="004E2894">
        <w:instrText xml:space="preserve"> AUTONUM  </w:instrText>
      </w:r>
      <w:r w:rsidRPr="005948AF">
        <w:fldChar w:fldCharType="end"/>
      </w:r>
      <w:r w:rsidRPr="004E2894">
        <w:tab/>
        <w:t>The TWC</w:t>
      </w:r>
      <w:r>
        <w:t>, at its thirty-sixth session,</w:t>
      </w:r>
      <w:r w:rsidRPr="004E2894">
        <w:t xml:space="preserve"> </w:t>
      </w:r>
      <w:r>
        <w:t>held</w:t>
      </w:r>
      <w:r w:rsidRPr="00C83C5F">
        <w:t xml:space="preserve"> in </w:t>
      </w:r>
      <w:r>
        <w:t>Hanover</w:t>
      </w:r>
      <w:r w:rsidRPr="00C83C5F">
        <w:t xml:space="preserve">, </w:t>
      </w:r>
      <w:r>
        <w:t>Germany</w:t>
      </w:r>
      <w:r w:rsidRPr="00C83C5F">
        <w:t xml:space="preserve">, from </w:t>
      </w:r>
      <w:r>
        <w:t>July</w:t>
      </w:r>
      <w:r w:rsidRPr="00C83C5F">
        <w:t xml:space="preserve"> </w:t>
      </w:r>
      <w:r>
        <w:t>2</w:t>
      </w:r>
      <w:r w:rsidRPr="00C83C5F">
        <w:t xml:space="preserve"> to </w:t>
      </w:r>
      <w:r>
        <w:t>6</w:t>
      </w:r>
      <w:r w:rsidRPr="00C83C5F">
        <w:t>, 201</w:t>
      </w:r>
      <w:r>
        <w:t>8, did not receive a document on this matter.</w:t>
      </w:r>
      <w:r w:rsidRPr="004E2894">
        <w:t xml:space="preserve"> </w:t>
      </w:r>
    </w:p>
    <w:p w:rsidR="00FF4BC0" w:rsidRPr="006A396C" w:rsidRDefault="00FF4BC0" w:rsidP="00FF4BC0">
      <w:pPr>
        <w:rPr>
          <w:rFonts w:eastAsia="MS Mincho"/>
          <w:sz w:val="19"/>
          <w:szCs w:val="19"/>
        </w:rPr>
      </w:pPr>
    </w:p>
    <w:p w:rsidR="002A46DC" w:rsidRDefault="00FF4BC0" w:rsidP="00322D4D">
      <w:r w:rsidRPr="005948AF">
        <w:rPr>
          <w:rFonts w:eastAsia="MS Mincho"/>
        </w:rPr>
        <w:fldChar w:fldCharType="begin"/>
      </w:r>
      <w:r w:rsidRPr="004E2894">
        <w:rPr>
          <w:rFonts w:eastAsia="MS Mincho"/>
        </w:rPr>
        <w:instrText xml:space="preserve"> AUTONUM  </w:instrText>
      </w:r>
      <w:r w:rsidRPr="005948AF">
        <w:rPr>
          <w:rFonts w:eastAsia="MS Mincho"/>
        </w:rPr>
        <w:fldChar w:fldCharType="end"/>
      </w:r>
      <w:r w:rsidRPr="004E2894">
        <w:rPr>
          <w:rFonts w:eastAsia="MS Mincho"/>
        </w:rPr>
        <w:tab/>
      </w:r>
      <w:r>
        <w:rPr>
          <w:rFonts w:eastAsia="MS Mincho"/>
        </w:rPr>
        <w:t>On July 24, 2018, t</w:t>
      </w:r>
      <w:r w:rsidRPr="00931E4D">
        <w:rPr>
          <w:rFonts w:eastAsia="MS Mincho"/>
        </w:rPr>
        <w:t xml:space="preserve">he </w:t>
      </w:r>
      <w:r>
        <w:rPr>
          <w:rFonts w:eastAsia="MS Mincho"/>
        </w:rPr>
        <w:t>Office of the Union received information that t</w:t>
      </w:r>
      <w:r w:rsidR="00715943">
        <w:rPr>
          <w:rFonts w:eastAsia="MS Mincho"/>
        </w:rPr>
        <w:t>he expert from the United </w:t>
      </w:r>
      <w:r w:rsidR="002A46DC" w:rsidRPr="00931E4D">
        <w:rPr>
          <w:rFonts w:eastAsia="MS Mincho"/>
        </w:rPr>
        <w:t xml:space="preserve">Kingdom expects to be able to report on progress at the </w:t>
      </w:r>
      <w:r w:rsidR="002A46DC">
        <w:rPr>
          <w:rFonts w:eastAsia="MS Mincho"/>
        </w:rPr>
        <w:t>thirty</w:t>
      </w:r>
      <w:r w:rsidR="002A46DC">
        <w:rPr>
          <w:rFonts w:eastAsia="MS Mincho"/>
        </w:rPr>
        <w:noBreakHyphen/>
        <w:t>seventh</w:t>
      </w:r>
      <w:r w:rsidR="002A46DC" w:rsidRPr="00931E4D">
        <w:rPr>
          <w:rFonts w:eastAsia="MS Mincho"/>
        </w:rPr>
        <w:t xml:space="preserve"> session of the TWC</w:t>
      </w:r>
      <w:r w:rsidRPr="00FF4BC0">
        <w:rPr>
          <w:rFonts w:eastAsia="MS Mincho"/>
        </w:rPr>
        <w:t>, to be held in Hangzhou, China, from October 14 to 16, 2019</w:t>
      </w:r>
      <w:r>
        <w:rPr>
          <w:rFonts w:eastAsia="MS Mincho"/>
        </w:rPr>
        <w:t xml:space="preserve">. </w:t>
      </w:r>
    </w:p>
    <w:p w:rsidR="00322D4D" w:rsidRPr="006A396C" w:rsidRDefault="00322D4D" w:rsidP="00322D4D">
      <w:pPr>
        <w:rPr>
          <w:sz w:val="19"/>
          <w:szCs w:val="19"/>
          <w:lang w:eastAsia="ja-JP"/>
        </w:rPr>
      </w:pPr>
    </w:p>
    <w:p w:rsidR="00F206ED" w:rsidRDefault="00322D4D" w:rsidP="00322D4D">
      <w:pPr>
        <w:tabs>
          <w:tab w:val="left" w:pos="5387"/>
          <w:tab w:val="left" w:pos="5954"/>
        </w:tabs>
        <w:ind w:left="4820"/>
        <w:rPr>
          <w:i/>
          <w:lang w:eastAsia="ja-JP"/>
        </w:rPr>
      </w:pPr>
      <w:r w:rsidRPr="00CB3A47">
        <w:rPr>
          <w:i/>
          <w:lang w:eastAsia="ja-JP"/>
        </w:rPr>
        <w:fldChar w:fldCharType="begin"/>
      </w:r>
      <w:r w:rsidRPr="00CB3A47">
        <w:rPr>
          <w:i/>
          <w:lang w:eastAsia="ja-JP"/>
        </w:rPr>
        <w:instrText xml:space="preserve"> AUTONUM  </w:instrText>
      </w:r>
      <w:r w:rsidRPr="00CB3A47">
        <w:rPr>
          <w:i/>
          <w:lang w:eastAsia="ja-JP"/>
        </w:rPr>
        <w:fldChar w:fldCharType="end"/>
      </w:r>
      <w:r w:rsidRPr="00CB3A47">
        <w:rPr>
          <w:i/>
          <w:lang w:eastAsia="ja-JP"/>
        </w:rPr>
        <w:tab/>
      </w:r>
      <w:r w:rsidR="00453F4A" w:rsidRPr="00453F4A">
        <w:rPr>
          <w:i/>
          <w:lang w:eastAsia="ja-JP"/>
        </w:rPr>
        <w:t xml:space="preserve">The TC is invited to note </w:t>
      </w:r>
      <w:r w:rsidR="00F206ED">
        <w:rPr>
          <w:i/>
          <w:lang w:eastAsia="ja-JP"/>
        </w:rPr>
        <w:t>that</w:t>
      </w:r>
      <w:r w:rsidR="00A04F5F">
        <w:rPr>
          <w:i/>
          <w:lang w:eastAsia="ja-JP"/>
        </w:rPr>
        <w:t xml:space="preserve"> the TWC, at its thirty-fifth session, noted</w:t>
      </w:r>
      <w:r w:rsidR="00F206ED">
        <w:rPr>
          <w:i/>
          <w:lang w:eastAsia="ja-JP"/>
        </w:rPr>
        <w:t>:</w:t>
      </w:r>
    </w:p>
    <w:p w:rsidR="00F206ED" w:rsidRPr="006A396C" w:rsidRDefault="00F206ED" w:rsidP="00322D4D">
      <w:pPr>
        <w:tabs>
          <w:tab w:val="left" w:pos="5387"/>
          <w:tab w:val="left" w:pos="5954"/>
        </w:tabs>
        <w:ind w:left="4820"/>
        <w:rPr>
          <w:i/>
          <w:sz w:val="19"/>
          <w:szCs w:val="19"/>
          <w:lang w:eastAsia="ja-JP"/>
        </w:rPr>
      </w:pPr>
    </w:p>
    <w:p w:rsidR="00F206ED" w:rsidRPr="00F206ED" w:rsidRDefault="00F206ED" w:rsidP="00B55D16">
      <w:pPr>
        <w:pStyle w:val="DecisionParagraphs"/>
        <w:tabs>
          <w:tab w:val="left" w:pos="5954"/>
        </w:tabs>
        <w:rPr>
          <w:lang w:eastAsia="ja-JP"/>
        </w:rPr>
      </w:pPr>
      <w:r>
        <w:rPr>
          <w:lang w:eastAsia="ja-JP"/>
        </w:rPr>
        <w:tab/>
      </w:r>
      <w:r w:rsidRPr="00F206ED">
        <w:rPr>
          <w:lang w:eastAsia="ja-JP"/>
        </w:rPr>
        <w:t>(a)</w:t>
      </w:r>
      <w:r w:rsidR="00B55D16">
        <w:rPr>
          <w:lang w:eastAsia="ja-JP"/>
        </w:rPr>
        <w:tab/>
      </w:r>
      <w:r w:rsidRPr="004E2894">
        <w:t>the recent developments and the indications of COYD thresholds for excluding varieties of common knowledge from the second growing cycle on the basis of data sets of meadow fescue, red clover, timothy</w:t>
      </w:r>
      <w:r w:rsidR="00715943">
        <w:t>, perennial ryegrass, pea (semi</w:t>
      </w:r>
      <w:r w:rsidR="00715943">
        <w:noBreakHyphen/>
      </w:r>
      <w:r w:rsidRPr="004E2894">
        <w:t>leafless) and pea (conventional)</w:t>
      </w:r>
      <w:r w:rsidRPr="00F206ED">
        <w:rPr>
          <w:lang w:eastAsia="ja-JP"/>
        </w:rPr>
        <w:t xml:space="preserve">, as set out in </w:t>
      </w:r>
      <w:r w:rsidRPr="00715943">
        <w:rPr>
          <w:lang w:eastAsia="ja-JP"/>
        </w:rPr>
        <w:t>paragraph</w:t>
      </w:r>
      <w:r w:rsidR="00A04F5F" w:rsidRPr="00715943">
        <w:rPr>
          <w:lang w:eastAsia="ja-JP"/>
        </w:rPr>
        <w:t>s 9 and</w:t>
      </w:r>
      <w:r w:rsidRPr="00715943">
        <w:rPr>
          <w:lang w:eastAsia="ja-JP"/>
        </w:rPr>
        <w:t xml:space="preserve"> </w:t>
      </w:r>
      <w:r w:rsidR="00E85BE6" w:rsidRPr="00715943">
        <w:rPr>
          <w:lang w:eastAsia="ja-JP"/>
        </w:rPr>
        <w:t>10</w:t>
      </w:r>
      <w:r w:rsidR="00A04F5F" w:rsidRPr="00715943">
        <w:rPr>
          <w:lang w:eastAsia="ja-JP"/>
        </w:rPr>
        <w:t xml:space="preserve"> and the Annex to this document</w:t>
      </w:r>
      <w:r w:rsidRPr="00715943">
        <w:rPr>
          <w:lang w:eastAsia="ja-JP"/>
        </w:rPr>
        <w:t>;</w:t>
      </w:r>
      <w:r w:rsidRPr="00F206ED">
        <w:rPr>
          <w:lang w:eastAsia="ja-JP"/>
        </w:rPr>
        <w:t xml:space="preserve">  </w:t>
      </w:r>
    </w:p>
    <w:p w:rsidR="00F206ED" w:rsidRPr="006A396C" w:rsidRDefault="00F206ED" w:rsidP="00697EA4">
      <w:pPr>
        <w:pStyle w:val="DecisionParagraphs"/>
        <w:jc w:val="center"/>
        <w:rPr>
          <w:sz w:val="19"/>
          <w:szCs w:val="19"/>
          <w:lang w:eastAsia="ja-JP"/>
        </w:rPr>
      </w:pPr>
    </w:p>
    <w:p w:rsidR="00B55D16" w:rsidRDefault="00F206ED" w:rsidP="00B55D16">
      <w:pPr>
        <w:pStyle w:val="DecisionParagraphs"/>
        <w:tabs>
          <w:tab w:val="left" w:pos="5954"/>
        </w:tabs>
        <w:rPr>
          <w:rFonts w:eastAsia="MS Mincho"/>
        </w:rPr>
      </w:pPr>
      <w:r>
        <w:rPr>
          <w:lang w:eastAsia="ja-JP"/>
        </w:rPr>
        <w:tab/>
      </w:r>
      <w:r w:rsidRPr="00F206ED">
        <w:rPr>
          <w:lang w:eastAsia="ja-JP"/>
        </w:rPr>
        <w:t>(b)</w:t>
      </w:r>
      <w:r w:rsidRPr="00F206ED">
        <w:rPr>
          <w:lang w:eastAsia="ja-JP"/>
        </w:rPr>
        <w:tab/>
      </w:r>
      <w:r w:rsidR="00B55D16" w:rsidRPr="004E2894">
        <w:rPr>
          <w:rFonts w:eastAsia="MS Mincho"/>
        </w:rPr>
        <w:t xml:space="preserve">the method was most applicable to crops with large numbers of varieties of common knowledge and where current trial sizes </w:t>
      </w:r>
      <w:r w:rsidR="002A46DC">
        <w:rPr>
          <w:rFonts w:eastAsia="MS Mincho"/>
        </w:rPr>
        <w:t>we</w:t>
      </w:r>
      <w:r w:rsidR="00B55D16" w:rsidRPr="004E2894">
        <w:rPr>
          <w:rFonts w:eastAsia="MS Mincho"/>
        </w:rPr>
        <w:t>re large</w:t>
      </w:r>
      <w:r w:rsidR="00B55D16">
        <w:rPr>
          <w:rFonts w:eastAsia="MS Mincho"/>
        </w:rPr>
        <w:t>; and</w:t>
      </w:r>
    </w:p>
    <w:p w:rsidR="00B55D16" w:rsidRPr="006A396C" w:rsidRDefault="00B55D16" w:rsidP="00B55D16">
      <w:pPr>
        <w:pStyle w:val="DecisionParagraphs"/>
        <w:rPr>
          <w:sz w:val="19"/>
          <w:szCs w:val="19"/>
          <w:lang w:eastAsia="ja-JP"/>
        </w:rPr>
      </w:pPr>
    </w:p>
    <w:p w:rsidR="00BE40B4" w:rsidRDefault="006A396C" w:rsidP="006A396C">
      <w:pPr>
        <w:pStyle w:val="DecisionParagraphs"/>
        <w:tabs>
          <w:tab w:val="left" w:pos="5954"/>
        </w:tabs>
      </w:pPr>
      <w:r>
        <w:rPr>
          <w:rFonts w:cs="Arial"/>
          <w:noProof/>
        </w:rPr>
        <mc:AlternateContent>
          <mc:Choice Requires="wps">
            <w:drawing>
              <wp:anchor distT="0" distB="0" distL="114300" distR="114300" simplePos="0" relativeHeight="251660288" behindDoc="0" locked="0" layoutInCell="0" allowOverlap="1" wp14:anchorId="0A78300B" wp14:editId="3FD7CA26">
                <wp:simplePos x="0" y="0"/>
                <wp:positionH relativeFrom="column">
                  <wp:posOffset>3419475</wp:posOffset>
                </wp:positionH>
                <wp:positionV relativeFrom="paragraph">
                  <wp:posOffset>487680</wp:posOffset>
                </wp:positionV>
                <wp:extent cx="2738120" cy="228600"/>
                <wp:effectExtent l="0" t="0" r="508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1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96C" w:rsidRPr="003E05BD" w:rsidRDefault="006A396C" w:rsidP="006A396C">
                            <w:pPr>
                              <w:ind w:right="53"/>
                              <w:jc w:val="right"/>
                              <w:rPr>
                                <w:rFonts w:cs="Arial"/>
                                <w:lang w:val="es-ES_tradnl"/>
                              </w:rPr>
                            </w:pPr>
                            <w:r w:rsidRPr="003E05BD">
                              <w:rPr>
                                <w:lang w:val="es-ES_tradnl"/>
                              </w:rPr>
                              <w:t>[</w:t>
                            </w:r>
                            <w:r>
                              <w:t>A</w:t>
                            </w:r>
                            <w:r w:rsidRPr="000F7C86">
                              <w:t>nnex follow</w:t>
                            </w:r>
                            <w:r>
                              <w:t>s</w:t>
                            </w:r>
                            <w:r w:rsidRPr="003E05BD">
                              <w:rPr>
                                <w:lang w:val="es-ES_trad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300B" id="_x0000_t202" coordsize="21600,21600" o:spt="202" path="m,l,21600r21600,l21600,xe">
                <v:stroke joinstyle="miter"/>
                <v:path gradientshapeok="t" o:connecttype="rect"/>
              </v:shapetype>
              <v:shape id="Text Box 20" o:spid="_x0000_s1026" type="#_x0000_t202" style="position:absolute;left:0;text-align:left;margin-left:269.25pt;margin-top:38.4pt;width:215.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xZrg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" o:allowincell="f" filled="f" stroked="f">
                <v:textbox inset="0,0,0,0">
                  <w:txbxContent>
                    <w:p w:rsidR="006A396C" w:rsidRPr="003E05BD" w:rsidRDefault="006A396C" w:rsidP="006A396C">
                      <w:pPr>
                        <w:ind w:right="53"/>
                        <w:jc w:val="right"/>
                        <w:rPr>
                          <w:rFonts w:cs="Arial"/>
                          <w:lang w:val="es-ES_tradnl"/>
                        </w:rPr>
                      </w:pPr>
                      <w:r w:rsidRPr="003E05BD">
                        <w:rPr>
                          <w:lang w:val="es-ES_tradnl"/>
                        </w:rPr>
                        <w:t>[</w:t>
                      </w:r>
                      <w:r>
                        <w:t>A</w:t>
                      </w:r>
                      <w:r w:rsidRPr="000F7C86">
                        <w:t>nnex follow</w:t>
                      </w:r>
                      <w:r>
                        <w:t>s</w:t>
                      </w:r>
                      <w:r w:rsidRPr="003E05BD">
                        <w:rPr>
                          <w:lang w:val="es-ES_tradnl"/>
                        </w:rPr>
                        <w:t>]</w:t>
                      </w:r>
                    </w:p>
                  </w:txbxContent>
                </v:textbox>
              </v:shape>
            </w:pict>
          </mc:Fallback>
        </mc:AlternateContent>
      </w:r>
      <w:r w:rsidR="00B55D16">
        <w:rPr>
          <w:lang w:eastAsia="ja-JP"/>
        </w:rPr>
        <w:tab/>
      </w:r>
      <w:r w:rsidR="00B55D16" w:rsidRPr="00F206ED">
        <w:rPr>
          <w:lang w:eastAsia="ja-JP"/>
        </w:rPr>
        <w:t>(</w:t>
      </w:r>
      <w:r w:rsidR="00B55D16">
        <w:rPr>
          <w:lang w:eastAsia="ja-JP"/>
        </w:rPr>
        <w:t>c</w:t>
      </w:r>
      <w:r w:rsidR="00B55D16" w:rsidRPr="00F206ED">
        <w:rPr>
          <w:lang w:eastAsia="ja-JP"/>
        </w:rPr>
        <w:t>)</w:t>
      </w:r>
      <w:r w:rsidR="00B55D16" w:rsidRPr="00F206ED">
        <w:rPr>
          <w:lang w:eastAsia="ja-JP"/>
        </w:rPr>
        <w:tab/>
      </w:r>
      <w:r w:rsidR="00B55D16" w:rsidRPr="00B55D16">
        <w:rPr>
          <w:rFonts w:eastAsia="MS Mincho"/>
        </w:rPr>
        <w:t>the plans of the</w:t>
      </w:r>
      <w:r w:rsidR="00FF4BC0">
        <w:rPr>
          <w:rFonts w:eastAsia="MS Mincho"/>
        </w:rPr>
        <w:t> </w:t>
      </w:r>
      <w:r w:rsidR="00B55D16" w:rsidRPr="00B55D16">
        <w:rPr>
          <w:rFonts w:eastAsia="MS Mincho"/>
        </w:rPr>
        <w:t>United</w:t>
      </w:r>
      <w:r w:rsidR="00FF4BC0">
        <w:rPr>
          <w:rFonts w:eastAsia="MS Mincho"/>
        </w:rPr>
        <w:t> </w:t>
      </w:r>
      <w:r w:rsidR="00B55D16" w:rsidRPr="00B55D16">
        <w:rPr>
          <w:rFonts w:eastAsia="MS Mincho"/>
        </w:rPr>
        <w:t xml:space="preserve">Kingdom to test the method on </w:t>
      </w:r>
      <w:r w:rsidR="00931E4D">
        <w:rPr>
          <w:rFonts w:eastAsia="MS Mincho"/>
        </w:rPr>
        <w:t>two</w:t>
      </w:r>
      <w:r w:rsidR="00B55D16" w:rsidRPr="00B55D16">
        <w:rPr>
          <w:rFonts w:eastAsia="MS Mincho"/>
        </w:rPr>
        <w:t xml:space="preserve"> large data set of oilseed rape</w:t>
      </w:r>
      <w:r>
        <w:rPr>
          <w:rFonts w:eastAsia="MS Mincho"/>
        </w:rPr>
        <w:t>.</w:t>
      </w:r>
    </w:p>
    <w:p w:rsidR="00BE40B4" w:rsidRPr="007C25BD" w:rsidRDefault="00BE40B4" w:rsidP="00BE40B4">
      <w:pPr>
        <w:jc w:val="right"/>
        <w:sectPr w:rsidR="00BE40B4" w:rsidRPr="007C25BD" w:rsidSect="00715943">
          <w:headerReference w:type="default" r:id="rId8"/>
          <w:pgSz w:w="11907" w:h="16840" w:code="9"/>
          <w:pgMar w:top="510" w:right="1134" w:bottom="851" w:left="1134" w:header="510" w:footer="680" w:gutter="0"/>
          <w:cols w:space="720"/>
          <w:titlePg/>
        </w:sectPr>
      </w:pPr>
    </w:p>
    <w:p w:rsidR="00BE40B4" w:rsidRDefault="00BE40B4" w:rsidP="00BE40B4">
      <w:pPr>
        <w:jc w:val="center"/>
      </w:pPr>
    </w:p>
    <w:p w:rsidR="00BE40B4" w:rsidRDefault="00BE40B4" w:rsidP="00BE40B4">
      <w:pPr>
        <w:jc w:val="center"/>
      </w:pPr>
      <w:r w:rsidRPr="009763A9">
        <w:rPr>
          <w:snapToGrid w:val="0"/>
        </w:rPr>
        <w:t>THRESHOLDS FOR EXCLUDING VARIETIES OF COMMON KNOWLEDGE FROM THE SECOND GROWING CYCLE WHEN COYD IS USED</w:t>
      </w:r>
    </w:p>
    <w:p w:rsidR="00BE40B4" w:rsidRDefault="00BE40B4" w:rsidP="00BE40B4">
      <w:pPr>
        <w:jc w:val="center"/>
      </w:pPr>
    </w:p>
    <w:p w:rsidR="00BE40B4" w:rsidRDefault="00BE40B4" w:rsidP="00BE40B4">
      <w:pPr>
        <w:spacing w:line="360" w:lineRule="auto"/>
        <w:jc w:val="center"/>
      </w:pPr>
      <w:r>
        <w:t>Presentation prepared by</w:t>
      </w:r>
      <w:r w:rsidRPr="0098080E">
        <w:t xml:space="preserve"> expert</w:t>
      </w:r>
      <w:r>
        <w:t>s</w:t>
      </w:r>
      <w:r w:rsidRPr="0098080E">
        <w:t xml:space="preserve"> from </w:t>
      </w:r>
      <w:r>
        <w:t>the United Kingdom</w:t>
      </w:r>
    </w:p>
    <w:p w:rsidR="00BE40B4" w:rsidRDefault="00BE40B4" w:rsidP="00BE40B4">
      <w:pPr>
        <w:jc w:val="center"/>
      </w:pPr>
    </w:p>
    <w:p w:rsidR="00BE40B4" w:rsidRDefault="00BE40B4" w:rsidP="00BE40B4">
      <w:pPr>
        <w:jc w:val="center"/>
      </w:pPr>
      <w:r w:rsidRPr="00BA27D7">
        <w:rPr>
          <w:noProof/>
        </w:rPr>
        <w:drawing>
          <wp:inline distT="0" distB="0" distL="0" distR="0" wp14:anchorId="5B6F1DFE" wp14:editId="50DE8B8A">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049C070D" wp14:editId="70C72FFF">
            <wp:extent cx="4572638" cy="3429479"/>
            <wp:effectExtent l="19050" t="19050" r="1841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24894545" wp14:editId="413336D1">
            <wp:extent cx="4572638" cy="3429479"/>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64CAC617" wp14:editId="521E5C36">
            <wp:extent cx="4572638" cy="3429479"/>
            <wp:effectExtent l="19050" t="19050" r="1841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71C4671F" wp14:editId="16B4F27F">
            <wp:extent cx="4572638" cy="3429479"/>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36C7AAB5" wp14:editId="24ECC0EA">
            <wp:extent cx="4572638" cy="3429479"/>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29B19EB6" wp14:editId="1E226D75">
            <wp:extent cx="4572638" cy="3429479"/>
            <wp:effectExtent l="19050" t="19050" r="1841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29CDE3F8" wp14:editId="5AAF58FD">
            <wp:extent cx="4572638" cy="3429479"/>
            <wp:effectExtent l="19050" t="19050" r="1841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13F5CF15" wp14:editId="5816250E">
            <wp:extent cx="4572638" cy="3429479"/>
            <wp:effectExtent l="19050" t="19050" r="1841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64986E6A" wp14:editId="46D0BAAA">
            <wp:extent cx="4572638" cy="3429479"/>
            <wp:effectExtent l="19050" t="19050" r="1841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5095E3A6" wp14:editId="214B339E">
            <wp:extent cx="4572638" cy="3429479"/>
            <wp:effectExtent l="19050" t="19050" r="18415"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5D0805D8" wp14:editId="17D51A52">
            <wp:extent cx="4572638" cy="3429479"/>
            <wp:effectExtent l="19050" t="19050" r="1841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655F7003" wp14:editId="19591416">
            <wp:extent cx="4572638" cy="3429479"/>
            <wp:effectExtent l="19050" t="19050" r="1841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0964402D" wp14:editId="65FEA9F4">
            <wp:extent cx="4572638" cy="3429479"/>
            <wp:effectExtent l="19050" t="19050" r="18415"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75CAEAE7" wp14:editId="04A28407">
            <wp:extent cx="4572638" cy="3429479"/>
            <wp:effectExtent l="19050" t="19050" r="1841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69AFA76E" wp14:editId="12B70B38">
            <wp:extent cx="4572638" cy="3429479"/>
            <wp:effectExtent l="19050" t="19050" r="1841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1336182C" wp14:editId="1D4A05A3">
            <wp:extent cx="4572638" cy="3429479"/>
            <wp:effectExtent l="19050" t="19050" r="1841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r w:rsidRPr="00BA27D7">
        <w:rPr>
          <w:noProof/>
        </w:rPr>
        <w:drawing>
          <wp:inline distT="0" distB="0" distL="0" distR="0" wp14:anchorId="3BC6F3CA" wp14:editId="5A83615A">
            <wp:extent cx="4572638" cy="3429479"/>
            <wp:effectExtent l="19050" t="19050" r="1841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w="3175">
                      <a:solidFill>
                        <a:sysClr val="windowText" lastClr="000000"/>
                      </a:solidFill>
                    </a:ln>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right"/>
      </w:pPr>
      <w:r w:rsidRPr="00612D26">
        <w:rPr>
          <w:rFonts w:hint="eastAsia"/>
          <w:iCs/>
          <w:spacing w:val="-4"/>
          <w:lang w:eastAsia="ja-JP"/>
        </w:rPr>
        <w:t>[</w:t>
      </w:r>
      <w:r>
        <w:rPr>
          <w:rFonts w:hint="eastAsia"/>
          <w:iCs/>
          <w:spacing w:val="-4"/>
          <w:lang w:eastAsia="ja-JP"/>
        </w:rPr>
        <w:t xml:space="preserve">End of </w:t>
      </w:r>
      <w:r>
        <w:rPr>
          <w:iCs/>
          <w:spacing w:val="-4"/>
          <w:lang w:eastAsia="ja-JP"/>
        </w:rPr>
        <w:t>A</w:t>
      </w:r>
      <w:r>
        <w:rPr>
          <w:rFonts w:hint="eastAsia"/>
          <w:iCs/>
          <w:spacing w:val="-4"/>
          <w:lang w:eastAsia="ja-JP"/>
        </w:rPr>
        <w:t>nnex and of document</w:t>
      </w:r>
      <w:r w:rsidRPr="00612D26">
        <w:rPr>
          <w:rFonts w:hint="eastAsia"/>
          <w:iCs/>
          <w:spacing w:val="-4"/>
          <w:lang w:eastAsia="ja-JP"/>
        </w:rPr>
        <w:t>]</w:t>
      </w:r>
    </w:p>
    <w:sectPr w:rsidR="00BE40B4" w:rsidSect="00322D4D">
      <w:headerReference w:type="default" r:id="rId27"/>
      <w:footerReference w:type="default" r:id="rId28"/>
      <w:headerReference w:type="first" r:id="rId29"/>
      <w:footerReference w:type="first" r:id="rId3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25" w:rsidRDefault="004B0825" w:rsidP="006655D3">
      <w:r>
        <w:separator/>
      </w:r>
    </w:p>
    <w:p w:rsidR="004B0825" w:rsidRDefault="004B0825" w:rsidP="006655D3"/>
    <w:p w:rsidR="004B0825" w:rsidRDefault="004B0825" w:rsidP="006655D3"/>
  </w:endnote>
  <w:endnote w:type="continuationSeparator" w:id="0">
    <w:p w:rsidR="004B0825" w:rsidRDefault="004B0825" w:rsidP="006655D3">
      <w:r>
        <w:separator/>
      </w:r>
    </w:p>
    <w:p w:rsidR="004B0825" w:rsidRPr="00294751" w:rsidRDefault="004B0825" w:rsidP="006A396C">
      <w:pPr>
        <w:pStyle w:val="Footer"/>
        <w:rPr>
          <w:lang w:val="fr-FR"/>
        </w:rPr>
      </w:pPr>
      <w:r w:rsidRPr="00294751">
        <w:rPr>
          <w:lang w:val="fr-FR"/>
        </w:rPr>
        <w:t>[Suite de la note de la page précédente]</w:t>
      </w:r>
    </w:p>
    <w:p w:rsidR="004B0825" w:rsidRPr="00294751" w:rsidRDefault="004B0825" w:rsidP="006655D3">
      <w:pPr>
        <w:rPr>
          <w:lang w:val="fr-FR"/>
        </w:rPr>
      </w:pPr>
    </w:p>
    <w:p w:rsidR="004B0825" w:rsidRPr="00294751" w:rsidRDefault="004B0825" w:rsidP="006655D3">
      <w:pPr>
        <w:rPr>
          <w:lang w:val="fr-FR"/>
        </w:rPr>
      </w:pPr>
    </w:p>
  </w:endnote>
  <w:endnote w:type="continuationNotice" w:id="1">
    <w:p w:rsidR="004B0825" w:rsidRPr="00294751" w:rsidRDefault="004B0825" w:rsidP="006655D3">
      <w:pPr>
        <w:rPr>
          <w:lang w:val="fr-FR"/>
        </w:rPr>
      </w:pPr>
      <w:r w:rsidRPr="00294751">
        <w:rPr>
          <w:lang w:val="fr-FR"/>
        </w:rPr>
        <w:t>[Suite de la note page suivante]</w:t>
      </w:r>
    </w:p>
    <w:p w:rsidR="004B0825" w:rsidRPr="00294751" w:rsidRDefault="004B0825" w:rsidP="006655D3">
      <w:pPr>
        <w:rPr>
          <w:lang w:val="fr-FR"/>
        </w:rPr>
      </w:pPr>
    </w:p>
    <w:p w:rsidR="004B0825" w:rsidRPr="00294751" w:rsidRDefault="004B082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Default="00BE40B4" w:rsidP="006A3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Default="00BE40B4" w:rsidP="006A3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25" w:rsidRDefault="004B0825" w:rsidP="006655D3">
      <w:r>
        <w:separator/>
      </w:r>
    </w:p>
  </w:footnote>
  <w:footnote w:type="continuationSeparator" w:id="0">
    <w:p w:rsidR="004B0825" w:rsidRDefault="004B0825" w:rsidP="006655D3">
      <w:r>
        <w:separator/>
      </w:r>
    </w:p>
  </w:footnote>
  <w:footnote w:type="continuationNotice" w:id="1">
    <w:p w:rsidR="004B0825" w:rsidRPr="00AB530F" w:rsidRDefault="004B0825" w:rsidP="006A396C">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Pr="00C5280D" w:rsidRDefault="00BE40B4" w:rsidP="00D73243">
    <w:pPr>
      <w:pStyle w:val="Header"/>
      <w:rPr>
        <w:rStyle w:val="PageNumber"/>
        <w:lang w:val="en-US"/>
      </w:rPr>
    </w:pPr>
    <w:r>
      <w:rPr>
        <w:rStyle w:val="PageNumber"/>
        <w:lang w:val="en-US"/>
      </w:rPr>
      <w:t>TC/54/29</w:t>
    </w:r>
  </w:p>
  <w:p w:rsidR="00BE40B4" w:rsidRPr="00C5280D" w:rsidRDefault="00BE40B4" w:rsidP="00EB048E">
    <w:pPr>
      <w:pStyle w:val="Header"/>
      <w:rPr>
        <w:lang w:val="en-US"/>
      </w:rPr>
    </w:pPr>
    <w:r w:rsidRPr="00C5280D">
      <w:rPr>
        <w:lang w:val="en-US"/>
      </w:rPr>
      <w:t xml:space="preserve">page </w:t>
    </w:r>
    <w:bookmarkStart w:id="13" w:name="_Toc410822398"/>
    <w:bookmarkStart w:id="14" w:name="_Toc410822802"/>
    <w:r>
      <w:rPr>
        <w:rStyle w:val="PageNumber"/>
        <w:lang w:val="en-US"/>
      </w:rPr>
      <w:t>2</w:t>
    </w:r>
  </w:p>
  <w:p w:rsidR="00BE40B4" w:rsidRPr="00C5280D" w:rsidRDefault="00BE40B4" w:rsidP="006655D3">
    <w:bookmarkStart w:id="15" w:name="_Toc441145847"/>
    <w:bookmarkStart w:id="16" w:name="_Toc374716168"/>
    <w:bookmarkEnd w:id="13"/>
    <w:bookmarkEnd w:id="14"/>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Default="00BE40B4" w:rsidP="00BE40B4">
    <w:pPr>
      <w:pStyle w:val="Header"/>
      <w:tabs>
        <w:tab w:val="center" w:pos="4819"/>
        <w:tab w:val="left" w:pos="6007"/>
      </w:tabs>
      <w:jc w:val="left"/>
      <w:rPr>
        <w:rStyle w:val="PageNumber"/>
        <w:lang w:val="en-US"/>
      </w:rPr>
    </w:pPr>
    <w:r>
      <w:rPr>
        <w:rStyle w:val="PageNumber"/>
        <w:lang w:val="en-US"/>
      </w:rPr>
      <w:tab/>
      <w:t>TC/54/29</w:t>
    </w:r>
    <w:r>
      <w:rPr>
        <w:rStyle w:val="PageNumber"/>
        <w:lang w:val="en-US"/>
      </w:rPr>
      <w:tab/>
    </w:r>
  </w:p>
  <w:p w:rsidR="00BE40B4" w:rsidRPr="00C5280D" w:rsidRDefault="00BE40B4" w:rsidP="00BE40B4">
    <w:pPr>
      <w:pStyle w:val="Header"/>
      <w:rPr>
        <w:lang w:val="en-US"/>
      </w:rPr>
    </w:pPr>
    <w:r>
      <w:rPr>
        <w:lang w:val="en-US"/>
      </w:rPr>
      <w:t xml:space="preserve">Annex, </w:t>
    </w:r>
    <w:r w:rsidRPr="00C5280D">
      <w:rPr>
        <w:lang w:val="en-US"/>
      </w:rPr>
      <w:t xml:space="preserve">page </w:t>
    </w:r>
    <w:r w:rsidRPr="00097DB9">
      <w:rPr>
        <w:lang w:val="en-US"/>
      </w:rPr>
      <w:fldChar w:fldCharType="begin"/>
    </w:r>
    <w:r w:rsidRPr="00097DB9">
      <w:rPr>
        <w:lang w:val="en-US"/>
      </w:rPr>
      <w:instrText xml:space="preserve"> PAGE   \* MERGEFORMAT </w:instrText>
    </w:r>
    <w:r w:rsidRPr="00097DB9">
      <w:rPr>
        <w:lang w:val="en-US"/>
      </w:rPr>
      <w:fldChar w:fldCharType="separate"/>
    </w:r>
    <w:r w:rsidR="000825E4">
      <w:rPr>
        <w:noProof/>
        <w:lang w:val="en-US"/>
      </w:rPr>
      <w:t>9</w:t>
    </w:r>
    <w:r w:rsidRPr="00097DB9">
      <w:rPr>
        <w:noProof/>
        <w:lang w:val="en-US"/>
      </w:rPr>
      <w:fldChar w:fldCharType="end"/>
    </w:r>
  </w:p>
  <w:p w:rsidR="00F206ED" w:rsidRPr="00BE40B4" w:rsidRDefault="00F206ED" w:rsidP="00BE4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Pr="00BE40B4" w:rsidRDefault="00BE40B4" w:rsidP="00BE40B4">
    <w:pPr>
      <w:pStyle w:val="Header"/>
      <w:rPr>
        <w:lang w:val="fr-CH"/>
      </w:rPr>
    </w:pPr>
    <w:r w:rsidRPr="00BE40B4">
      <w:rPr>
        <w:lang w:val="fr-CH"/>
      </w:rPr>
      <w:t>TC/5</w:t>
    </w:r>
    <w:r>
      <w:rPr>
        <w:lang w:val="fr-CH"/>
      </w:rPr>
      <w:t>4</w:t>
    </w:r>
    <w:r w:rsidRPr="00BE40B4">
      <w:rPr>
        <w:lang w:val="fr-CH"/>
      </w:rPr>
      <w:t>/</w:t>
    </w:r>
    <w:r>
      <w:rPr>
        <w:lang w:val="fr-CH"/>
      </w:rPr>
      <w:t>29</w:t>
    </w:r>
  </w:p>
  <w:p w:rsidR="00BE40B4" w:rsidRPr="00BE40B4" w:rsidRDefault="00BE40B4" w:rsidP="00BE40B4">
    <w:pPr>
      <w:pStyle w:val="Header"/>
      <w:rPr>
        <w:lang w:val="fr-CH"/>
      </w:rPr>
    </w:pPr>
  </w:p>
  <w:p w:rsidR="00BE40B4" w:rsidRPr="00BE40B4" w:rsidRDefault="00BE40B4" w:rsidP="00BE40B4">
    <w:pPr>
      <w:pStyle w:val="Header"/>
      <w:rPr>
        <w:lang w:val="fr-CH"/>
      </w:rPr>
    </w:pPr>
    <w:r w:rsidRPr="00BE40B4">
      <w:rPr>
        <w:lang w:val="fr-CH"/>
      </w:rPr>
      <w:t>ANNEX</w:t>
    </w:r>
  </w:p>
  <w:p w:rsidR="00BE40B4" w:rsidRDefault="00BE4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4D"/>
    <w:rsid w:val="00010CF3"/>
    <w:rsid w:val="00011E27"/>
    <w:rsid w:val="000148BC"/>
    <w:rsid w:val="00024AB8"/>
    <w:rsid w:val="00030854"/>
    <w:rsid w:val="00036028"/>
    <w:rsid w:val="000428CA"/>
    <w:rsid w:val="00044642"/>
    <w:rsid w:val="000446B9"/>
    <w:rsid w:val="00047E21"/>
    <w:rsid w:val="00050E16"/>
    <w:rsid w:val="000825E4"/>
    <w:rsid w:val="00085505"/>
    <w:rsid w:val="000C4E25"/>
    <w:rsid w:val="000C7021"/>
    <w:rsid w:val="000D6BBC"/>
    <w:rsid w:val="000D7780"/>
    <w:rsid w:val="000E636A"/>
    <w:rsid w:val="000F2F11"/>
    <w:rsid w:val="00100FFA"/>
    <w:rsid w:val="00105929"/>
    <w:rsid w:val="00110C36"/>
    <w:rsid w:val="001131D5"/>
    <w:rsid w:val="00141DB8"/>
    <w:rsid w:val="001422B4"/>
    <w:rsid w:val="00150A6A"/>
    <w:rsid w:val="00172084"/>
    <w:rsid w:val="0017474A"/>
    <w:rsid w:val="001758C6"/>
    <w:rsid w:val="0017633D"/>
    <w:rsid w:val="00182B99"/>
    <w:rsid w:val="0021332C"/>
    <w:rsid w:val="00213982"/>
    <w:rsid w:val="0024416D"/>
    <w:rsid w:val="00271911"/>
    <w:rsid w:val="002800A0"/>
    <w:rsid w:val="002801B3"/>
    <w:rsid w:val="00281060"/>
    <w:rsid w:val="002940E8"/>
    <w:rsid w:val="00294751"/>
    <w:rsid w:val="002A46DC"/>
    <w:rsid w:val="002A6E50"/>
    <w:rsid w:val="002B4298"/>
    <w:rsid w:val="002C256A"/>
    <w:rsid w:val="00304827"/>
    <w:rsid w:val="00305A7F"/>
    <w:rsid w:val="003152FE"/>
    <w:rsid w:val="00322D4D"/>
    <w:rsid w:val="00327436"/>
    <w:rsid w:val="00344BD6"/>
    <w:rsid w:val="0035528D"/>
    <w:rsid w:val="00361821"/>
    <w:rsid w:val="00361E9E"/>
    <w:rsid w:val="00377D7D"/>
    <w:rsid w:val="003C7FBE"/>
    <w:rsid w:val="003D227C"/>
    <w:rsid w:val="003D2B4D"/>
    <w:rsid w:val="00444A88"/>
    <w:rsid w:val="004506EB"/>
    <w:rsid w:val="00453F4A"/>
    <w:rsid w:val="00474DA4"/>
    <w:rsid w:val="00476B4D"/>
    <w:rsid w:val="004805FA"/>
    <w:rsid w:val="004935D2"/>
    <w:rsid w:val="004B0825"/>
    <w:rsid w:val="004B1215"/>
    <w:rsid w:val="004D047D"/>
    <w:rsid w:val="004F1E9E"/>
    <w:rsid w:val="004F305A"/>
    <w:rsid w:val="00512164"/>
    <w:rsid w:val="00520297"/>
    <w:rsid w:val="005338F9"/>
    <w:rsid w:val="00536891"/>
    <w:rsid w:val="0054281C"/>
    <w:rsid w:val="00544581"/>
    <w:rsid w:val="0055268D"/>
    <w:rsid w:val="00553C36"/>
    <w:rsid w:val="00576BE4"/>
    <w:rsid w:val="00586D43"/>
    <w:rsid w:val="005A400A"/>
    <w:rsid w:val="005E5483"/>
    <w:rsid w:val="005F7B92"/>
    <w:rsid w:val="00612379"/>
    <w:rsid w:val="006153B6"/>
    <w:rsid w:val="0061555F"/>
    <w:rsid w:val="00636CA6"/>
    <w:rsid w:val="00641200"/>
    <w:rsid w:val="00645CA8"/>
    <w:rsid w:val="006655D3"/>
    <w:rsid w:val="00667404"/>
    <w:rsid w:val="00687EB4"/>
    <w:rsid w:val="00695115"/>
    <w:rsid w:val="00695C56"/>
    <w:rsid w:val="00697EA4"/>
    <w:rsid w:val="006A396C"/>
    <w:rsid w:val="006A5CDE"/>
    <w:rsid w:val="006A644A"/>
    <w:rsid w:val="006B17D2"/>
    <w:rsid w:val="006C224E"/>
    <w:rsid w:val="006D780A"/>
    <w:rsid w:val="006E7CD7"/>
    <w:rsid w:val="0071271E"/>
    <w:rsid w:val="00715943"/>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654"/>
    <w:rsid w:val="00811B20"/>
    <w:rsid w:val="008211B5"/>
    <w:rsid w:val="0082296E"/>
    <w:rsid w:val="00824099"/>
    <w:rsid w:val="00842E7C"/>
    <w:rsid w:val="00846D7C"/>
    <w:rsid w:val="00867AC1"/>
    <w:rsid w:val="00880387"/>
    <w:rsid w:val="00890DF8"/>
    <w:rsid w:val="008A743F"/>
    <w:rsid w:val="008B302A"/>
    <w:rsid w:val="008B6E60"/>
    <w:rsid w:val="008C0970"/>
    <w:rsid w:val="008D0BC5"/>
    <w:rsid w:val="008D2CF7"/>
    <w:rsid w:val="008D7E86"/>
    <w:rsid w:val="00900C26"/>
    <w:rsid w:val="0090197F"/>
    <w:rsid w:val="00906DDC"/>
    <w:rsid w:val="00931E4D"/>
    <w:rsid w:val="00934E09"/>
    <w:rsid w:val="00936253"/>
    <w:rsid w:val="00940D46"/>
    <w:rsid w:val="00952DD4"/>
    <w:rsid w:val="00965AE7"/>
    <w:rsid w:val="00970FED"/>
    <w:rsid w:val="00992D82"/>
    <w:rsid w:val="00997029"/>
    <w:rsid w:val="009A7339"/>
    <w:rsid w:val="009B440E"/>
    <w:rsid w:val="009D690D"/>
    <w:rsid w:val="009E65B6"/>
    <w:rsid w:val="00A04F5F"/>
    <w:rsid w:val="00A067F9"/>
    <w:rsid w:val="00A24C10"/>
    <w:rsid w:val="00A42AC3"/>
    <w:rsid w:val="00A430CF"/>
    <w:rsid w:val="00A54309"/>
    <w:rsid w:val="00A55B58"/>
    <w:rsid w:val="00AB2B93"/>
    <w:rsid w:val="00AB530F"/>
    <w:rsid w:val="00AB7E5B"/>
    <w:rsid w:val="00AC2883"/>
    <w:rsid w:val="00AE0EF1"/>
    <w:rsid w:val="00AE2937"/>
    <w:rsid w:val="00AF741C"/>
    <w:rsid w:val="00B072B7"/>
    <w:rsid w:val="00B07301"/>
    <w:rsid w:val="00B11F3E"/>
    <w:rsid w:val="00B224DE"/>
    <w:rsid w:val="00B324D4"/>
    <w:rsid w:val="00B46575"/>
    <w:rsid w:val="00B55D16"/>
    <w:rsid w:val="00B61777"/>
    <w:rsid w:val="00B84BBD"/>
    <w:rsid w:val="00BA43FB"/>
    <w:rsid w:val="00BC127D"/>
    <w:rsid w:val="00BC1FE6"/>
    <w:rsid w:val="00BE40B4"/>
    <w:rsid w:val="00BF030D"/>
    <w:rsid w:val="00C061B6"/>
    <w:rsid w:val="00C2446C"/>
    <w:rsid w:val="00C36AE5"/>
    <w:rsid w:val="00C41F17"/>
    <w:rsid w:val="00C45C00"/>
    <w:rsid w:val="00C47AF6"/>
    <w:rsid w:val="00C527FA"/>
    <w:rsid w:val="00C5280D"/>
    <w:rsid w:val="00C53EB3"/>
    <w:rsid w:val="00C5791C"/>
    <w:rsid w:val="00C66290"/>
    <w:rsid w:val="00C72B7A"/>
    <w:rsid w:val="00C83C5F"/>
    <w:rsid w:val="00C973F2"/>
    <w:rsid w:val="00CA304C"/>
    <w:rsid w:val="00CA774A"/>
    <w:rsid w:val="00CB0C08"/>
    <w:rsid w:val="00CC11B0"/>
    <w:rsid w:val="00CC2841"/>
    <w:rsid w:val="00CF1330"/>
    <w:rsid w:val="00CF2CC5"/>
    <w:rsid w:val="00CF7E36"/>
    <w:rsid w:val="00D3708D"/>
    <w:rsid w:val="00D40426"/>
    <w:rsid w:val="00D57C96"/>
    <w:rsid w:val="00D57D18"/>
    <w:rsid w:val="00D91203"/>
    <w:rsid w:val="00D95174"/>
    <w:rsid w:val="00DA4973"/>
    <w:rsid w:val="00DA6F36"/>
    <w:rsid w:val="00DB596E"/>
    <w:rsid w:val="00DB7773"/>
    <w:rsid w:val="00DC00EA"/>
    <w:rsid w:val="00DC3802"/>
    <w:rsid w:val="00DE74C3"/>
    <w:rsid w:val="00E07D87"/>
    <w:rsid w:val="00E32F7E"/>
    <w:rsid w:val="00E5267B"/>
    <w:rsid w:val="00E63C0E"/>
    <w:rsid w:val="00E72D49"/>
    <w:rsid w:val="00E7593C"/>
    <w:rsid w:val="00E7678A"/>
    <w:rsid w:val="00E85BE6"/>
    <w:rsid w:val="00E935F1"/>
    <w:rsid w:val="00E94A81"/>
    <w:rsid w:val="00EA1FFB"/>
    <w:rsid w:val="00EB048E"/>
    <w:rsid w:val="00EB4E9C"/>
    <w:rsid w:val="00EE34DF"/>
    <w:rsid w:val="00EF2F89"/>
    <w:rsid w:val="00F03E98"/>
    <w:rsid w:val="00F1237A"/>
    <w:rsid w:val="00F206ED"/>
    <w:rsid w:val="00F22CBD"/>
    <w:rsid w:val="00F272F1"/>
    <w:rsid w:val="00F45372"/>
    <w:rsid w:val="00F560F7"/>
    <w:rsid w:val="00F6334D"/>
    <w:rsid w:val="00FA49AB"/>
    <w:rsid w:val="00FE39C7"/>
    <w:rsid w:val="00FF4BC0"/>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B3106FA-9223-4068-B915-7BDC3884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6A396C"/>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322D4D"/>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322D4D"/>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22D4D"/>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322D4D"/>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322D4D"/>
    <w:rPr>
      <w:rFonts w:ascii="Arial" w:hAnsi="Arial"/>
      <w:lang w:val="fr-FR"/>
    </w:rPr>
  </w:style>
  <w:style w:type="table" w:styleId="TableGrid">
    <w:name w:val="Table Grid"/>
    <w:basedOn w:val="TableNormal"/>
    <w:rsid w:val="00322D4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5BE6"/>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C150-0420-49EE-A22C-AB9E931F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TC_54_EN.dotx</Template>
  <TotalTime>16</TotalTime>
  <Pages>11</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TC/54/29</vt:lpstr>
    </vt:vector>
  </TitlesOfParts>
  <Company>UPOV</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TC/54/29</dc:title>
  <dc:creator>FALQUET Kasumi</dc:creator>
  <cp:lastModifiedBy>SANTOS Carla Marina</cp:lastModifiedBy>
  <cp:revision>14</cp:revision>
  <cp:lastPrinted>2018-09-24T15:36:00Z</cp:lastPrinted>
  <dcterms:created xsi:type="dcterms:W3CDTF">2018-08-21T08:32:00Z</dcterms:created>
  <dcterms:modified xsi:type="dcterms:W3CDTF">2018-09-24T15:37:00Z</dcterms:modified>
</cp:coreProperties>
</file>