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8B6E60">
            <w:pPr>
              <w:pStyle w:val="Sessiontcplacedate"/>
              <w:rPr>
                <w:sz w:val="22"/>
              </w:rPr>
            </w:pPr>
            <w:r w:rsidRPr="00DA4973">
              <w:t>Fifty-</w:t>
            </w:r>
            <w:r w:rsidR="008B6E60">
              <w:t>Fourth</w:t>
            </w:r>
            <w:r w:rsidRPr="00DA4973">
              <w:t xml:space="preserve"> Session</w:t>
            </w:r>
            <w:r w:rsidRPr="00DA4973">
              <w:br/>
              <w:t xml:space="preserve">Geneva, </w:t>
            </w:r>
            <w:r w:rsidR="008B6E60">
              <w:t>October 29 and 30, 2018</w:t>
            </w:r>
          </w:p>
        </w:tc>
        <w:tc>
          <w:tcPr>
            <w:tcW w:w="3127" w:type="dxa"/>
          </w:tcPr>
          <w:p w:rsidR="00EB4E9C" w:rsidRPr="003C7FBE" w:rsidRDefault="008B6E60" w:rsidP="003C7FBE">
            <w:pPr>
              <w:pStyle w:val="Doccode"/>
            </w:pPr>
            <w:r>
              <w:t>TC/54</w:t>
            </w:r>
            <w:r w:rsidR="00EB4E9C" w:rsidRPr="00AC2883">
              <w:t>/</w:t>
            </w:r>
            <w:r w:rsidR="008B1B3A">
              <w:t>28</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ED496D">
            <w:pPr>
              <w:pStyle w:val="Docoriginal"/>
            </w:pPr>
            <w:r w:rsidRPr="00AC2883">
              <w:t>Date:</w:t>
            </w:r>
            <w:r w:rsidR="008B6E60">
              <w:rPr>
                <w:b w:val="0"/>
                <w:spacing w:val="0"/>
              </w:rPr>
              <w:t xml:space="preserve">  </w:t>
            </w:r>
            <w:r w:rsidR="007B34BE" w:rsidRPr="00ED496D">
              <w:rPr>
                <w:b w:val="0"/>
                <w:spacing w:val="0"/>
              </w:rPr>
              <w:t xml:space="preserve">August </w:t>
            </w:r>
            <w:r w:rsidR="003E5321" w:rsidRPr="00ED496D">
              <w:rPr>
                <w:b w:val="0"/>
                <w:spacing w:val="0"/>
              </w:rPr>
              <w:t>2</w:t>
            </w:r>
            <w:r w:rsidR="00ED496D">
              <w:rPr>
                <w:b w:val="0"/>
                <w:spacing w:val="0"/>
              </w:rPr>
              <w:t>3</w:t>
            </w:r>
            <w:r w:rsidR="008B6E60">
              <w:rPr>
                <w:b w:val="0"/>
                <w:spacing w:val="0"/>
              </w:rPr>
              <w:t>, 2018</w:t>
            </w:r>
          </w:p>
        </w:tc>
      </w:tr>
    </w:tbl>
    <w:p w:rsidR="008B1B3A" w:rsidRPr="008B1B3A" w:rsidRDefault="008B1B3A" w:rsidP="00AA6955">
      <w:pPr>
        <w:pStyle w:val="Titleofdoc0"/>
      </w:pPr>
      <w:bookmarkStart w:id="0" w:name="TitleOfDoc"/>
      <w:bookmarkEnd w:id="0"/>
      <w:r w:rsidRPr="008B1B3A">
        <w:t>Matters concerning variety descriptions</w:t>
      </w:r>
    </w:p>
    <w:p w:rsidR="008B1B3A" w:rsidRPr="008B1B3A" w:rsidRDefault="008B1B3A" w:rsidP="008B1B3A">
      <w:pPr>
        <w:spacing w:after="240"/>
        <w:jc w:val="left"/>
        <w:rPr>
          <w:i/>
          <w:iCs/>
        </w:rPr>
      </w:pPr>
      <w:bookmarkStart w:id="1" w:name="Prepared"/>
      <w:bookmarkEnd w:id="1"/>
      <w:r w:rsidRPr="008B1B3A">
        <w:rPr>
          <w:i/>
          <w:iCs/>
        </w:rPr>
        <w:t>Document prepared by the Office of the Union</w:t>
      </w:r>
    </w:p>
    <w:p w:rsidR="008B1B3A" w:rsidRPr="008B1B3A" w:rsidRDefault="008B1B3A" w:rsidP="00AA6955">
      <w:pPr>
        <w:pStyle w:val="Disclaimer"/>
      </w:pPr>
      <w:r w:rsidRPr="008B1B3A">
        <w:t>Disclaimer:  this document does not represent UPOV policies or guidance</w:t>
      </w:r>
    </w:p>
    <w:p w:rsidR="008B1B3A" w:rsidRPr="008B1B3A" w:rsidRDefault="008B1B3A" w:rsidP="008B1B3A">
      <w:pPr>
        <w:keepNext/>
        <w:outlineLvl w:val="0"/>
        <w:rPr>
          <w:caps/>
        </w:rPr>
      </w:pPr>
      <w:bookmarkStart w:id="2" w:name="_Toc519866297"/>
      <w:bookmarkStart w:id="3" w:name="_Toc418531189"/>
      <w:r w:rsidRPr="008B1B3A">
        <w:rPr>
          <w:caps/>
        </w:rPr>
        <w:t>EXECUTIVE SUMMARY</w:t>
      </w:r>
      <w:bookmarkEnd w:id="2"/>
    </w:p>
    <w:p w:rsidR="008B1B3A" w:rsidRPr="008B1B3A" w:rsidRDefault="008B1B3A" w:rsidP="008B1B3A"/>
    <w:p w:rsidR="008B1B3A" w:rsidRPr="008B1B3A" w:rsidRDefault="008B1B3A" w:rsidP="008B1B3A">
      <w:pPr>
        <w:rPr>
          <w:snapToGrid w:val="0"/>
        </w:rPr>
      </w:pPr>
      <w:r w:rsidRPr="008B1B3A">
        <w:rPr>
          <w:snapToGrid w:val="0"/>
        </w:rPr>
        <w:fldChar w:fldCharType="begin"/>
      </w:r>
      <w:r w:rsidRPr="008B1B3A">
        <w:rPr>
          <w:snapToGrid w:val="0"/>
        </w:rPr>
        <w:instrText xml:space="preserve"> AUTONUM  </w:instrText>
      </w:r>
      <w:r w:rsidRPr="008B1B3A">
        <w:rPr>
          <w:snapToGrid w:val="0"/>
        </w:rPr>
        <w:fldChar w:fldCharType="end"/>
      </w:r>
      <w:r w:rsidRPr="008B1B3A">
        <w:rPr>
          <w:snapToGrid w:val="0"/>
        </w:rPr>
        <w:tab/>
        <w:t xml:space="preserve">The purpose of this document is to consider </w:t>
      </w:r>
      <w:r w:rsidR="004A4485">
        <w:rPr>
          <w:snapToGrid w:val="0"/>
        </w:rPr>
        <w:t xml:space="preserve">draft guidance on </w:t>
      </w:r>
      <w:r w:rsidR="00AF1050">
        <w:rPr>
          <w:snapToGrid w:val="0"/>
        </w:rPr>
        <w:t xml:space="preserve">the role </w:t>
      </w:r>
      <w:r w:rsidR="00440F2A">
        <w:rPr>
          <w:snapToGrid w:val="0"/>
        </w:rPr>
        <w:t xml:space="preserve">and status </w:t>
      </w:r>
      <w:r w:rsidR="00AF1050">
        <w:rPr>
          <w:snapToGrid w:val="0"/>
        </w:rPr>
        <w:t xml:space="preserve">of the variety description </w:t>
      </w:r>
      <w:r w:rsidR="00AF1050" w:rsidRPr="00AF1050">
        <w:rPr>
          <w:snapToGrid w:val="0"/>
        </w:rPr>
        <w:t xml:space="preserve">developed at the time of the grant of the breeder’s right </w:t>
      </w:r>
      <w:r w:rsidR="00AF1050">
        <w:rPr>
          <w:snapToGrid w:val="0"/>
        </w:rPr>
        <w:t>and the role of plant material used as the basis for the DUS examination.</w:t>
      </w:r>
    </w:p>
    <w:p w:rsidR="008B1B3A" w:rsidRPr="008B1B3A" w:rsidRDefault="008B1B3A" w:rsidP="008B1B3A">
      <w:pPr>
        <w:rPr>
          <w:snapToGrid w:val="0"/>
        </w:rPr>
      </w:pPr>
    </w:p>
    <w:p w:rsidR="008B1B3A" w:rsidRPr="008B1B3A" w:rsidRDefault="008B1B3A" w:rsidP="008B1B3A">
      <w:pPr>
        <w:tabs>
          <w:tab w:val="left" w:pos="567"/>
          <w:tab w:val="left" w:pos="5387"/>
          <w:tab w:val="left" w:pos="5954"/>
          <w:tab w:val="left" w:pos="6521"/>
        </w:tabs>
        <w:rPr>
          <w:rFonts w:eastAsia="SimSun"/>
        </w:rPr>
      </w:pPr>
      <w:r w:rsidRPr="008B1B3A">
        <w:fldChar w:fldCharType="begin"/>
      </w:r>
      <w:r w:rsidRPr="008B1B3A">
        <w:instrText xml:space="preserve"> AUTONUM  </w:instrText>
      </w:r>
      <w:r w:rsidRPr="008B1B3A">
        <w:fldChar w:fldCharType="end"/>
      </w:r>
      <w:r w:rsidRPr="008B1B3A">
        <w:tab/>
      </w:r>
      <w:r w:rsidR="006C66C5" w:rsidRPr="006C66C5">
        <w:t xml:space="preserve">The TC </w:t>
      </w:r>
      <w:proofErr w:type="gramStart"/>
      <w:r w:rsidR="006C66C5" w:rsidRPr="006C66C5">
        <w:t>is invited</w:t>
      </w:r>
      <w:proofErr w:type="gramEnd"/>
      <w:r w:rsidR="006C66C5" w:rsidRPr="006C66C5">
        <w:t xml:space="preserve"> to consider the draft guidance in the Annex to this document as the basis for a revision of document TGP/5 Section 6 “UPOV Report on Technical Examination and UPOV Variety Description.”</w:t>
      </w:r>
    </w:p>
    <w:p w:rsidR="008B1B3A" w:rsidRPr="008B1B3A" w:rsidRDefault="008B1B3A" w:rsidP="008B1B3A">
      <w:pPr>
        <w:tabs>
          <w:tab w:val="left" w:pos="567"/>
        </w:tabs>
        <w:rPr>
          <w:rFonts w:cs="Arial"/>
        </w:rPr>
      </w:pPr>
    </w:p>
    <w:p w:rsidR="008B1B3A" w:rsidRPr="008B1B3A" w:rsidRDefault="008B1B3A" w:rsidP="008B1B3A">
      <w:pPr>
        <w:rPr>
          <w:rFonts w:cs="Arial"/>
        </w:rPr>
      </w:pPr>
      <w:r w:rsidRPr="008B1B3A">
        <w:rPr>
          <w:rFonts w:cs="Arial"/>
        </w:rPr>
        <w:fldChar w:fldCharType="begin"/>
      </w:r>
      <w:r w:rsidRPr="008B1B3A">
        <w:rPr>
          <w:rFonts w:cs="Arial"/>
        </w:rPr>
        <w:instrText xml:space="preserve"> AUTONUM  </w:instrText>
      </w:r>
      <w:r w:rsidRPr="008B1B3A">
        <w:rPr>
          <w:rFonts w:cs="Arial"/>
        </w:rPr>
        <w:fldChar w:fldCharType="end"/>
      </w:r>
      <w:r w:rsidRPr="008B1B3A">
        <w:rPr>
          <w:rFonts w:cs="Arial"/>
        </w:rPr>
        <w:tab/>
        <w:t xml:space="preserve">The following abbreviations </w:t>
      </w:r>
      <w:proofErr w:type="gramStart"/>
      <w:r w:rsidRPr="008B1B3A">
        <w:rPr>
          <w:rFonts w:cs="Arial"/>
        </w:rPr>
        <w:t>are used</w:t>
      </w:r>
      <w:proofErr w:type="gramEnd"/>
      <w:r w:rsidRPr="008B1B3A">
        <w:rPr>
          <w:rFonts w:cs="Arial"/>
        </w:rPr>
        <w:t xml:space="preserve"> in this document:</w:t>
      </w:r>
    </w:p>
    <w:p w:rsidR="008B1B3A" w:rsidRPr="008B1B3A" w:rsidRDefault="008B1B3A" w:rsidP="008B1B3A">
      <w:pPr>
        <w:ind w:left="1701" w:hanging="1134"/>
        <w:rPr>
          <w:rFonts w:cs="Arial"/>
        </w:rPr>
      </w:pPr>
    </w:p>
    <w:p w:rsidR="008B1B3A" w:rsidRDefault="008B1B3A" w:rsidP="008B1B3A">
      <w:pPr>
        <w:ind w:left="1701" w:hanging="1134"/>
        <w:rPr>
          <w:rFonts w:cs="Arial"/>
        </w:rPr>
      </w:pPr>
      <w:r w:rsidRPr="008B1B3A">
        <w:rPr>
          <w:rFonts w:cs="Arial"/>
        </w:rPr>
        <w:t xml:space="preserve">CAJ:  </w:t>
      </w:r>
      <w:r w:rsidRPr="008B1B3A">
        <w:rPr>
          <w:rFonts w:cs="Arial"/>
        </w:rPr>
        <w:tab/>
        <w:t xml:space="preserve">Administrative and Legal Committee </w:t>
      </w:r>
    </w:p>
    <w:p w:rsidR="00136139" w:rsidRPr="008B1B3A" w:rsidRDefault="00136139" w:rsidP="008B1B3A">
      <w:pPr>
        <w:ind w:left="1701" w:hanging="1134"/>
        <w:rPr>
          <w:rFonts w:cs="Arial"/>
        </w:rPr>
      </w:pPr>
      <w:r>
        <w:rPr>
          <w:rFonts w:cs="Arial"/>
        </w:rPr>
        <w:t>CAJ-AG</w:t>
      </w:r>
      <w:r>
        <w:rPr>
          <w:rFonts w:cs="Arial"/>
        </w:rPr>
        <w:tab/>
      </w:r>
      <w:r w:rsidRPr="008B1B3A">
        <w:rPr>
          <w:rFonts w:cs="Arial"/>
        </w:rPr>
        <w:t>Administrative and Legal Committee</w:t>
      </w:r>
      <w:r>
        <w:rPr>
          <w:rFonts w:cs="Arial"/>
        </w:rPr>
        <w:t xml:space="preserve"> Advisory Group</w:t>
      </w:r>
    </w:p>
    <w:p w:rsidR="008B1B3A" w:rsidRPr="008B1B3A" w:rsidRDefault="008B1B3A" w:rsidP="008B1B3A">
      <w:pPr>
        <w:ind w:left="1701" w:hanging="1134"/>
        <w:rPr>
          <w:rFonts w:cs="Arial"/>
        </w:rPr>
      </w:pPr>
      <w:r w:rsidRPr="008B1B3A">
        <w:rPr>
          <w:rFonts w:cs="Arial"/>
        </w:rPr>
        <w:t xml:space="preserve">TC:  </w:t>
      </w:r>
      <w:r w:rsidRPr="008B1B3A">
        <w:rPr>
          <w:rFonts w:cs="Arial"/>
        </w:rPr>
        <w:tab/>
        <w:t>Technical Committee</w:t>
      </w:r>
    </w:p>
    <w:p w:rsidR="008B1B3A" w:rsidRPr="008B1B3A" w:rsidRDefault="008B1B3A" w:rsidP="008B1B3A">
      <w:pPr>
        <w:tabs>
          <w:tab w:val="left" w:pos="567"/>
          <w:tab w:val="left" w:pos="1134"/>
          <w:tab w:val="left" w:pos="12333"/>
        </w:tabs>
        <w:rPr>
          <w:rFonts w:eastAsia="SimSun"/>
        </w:rPr>
      </w:pPr>
    </w:p>
    <w:p w:rsidR="00A74C61" w:rsidRDefault="00A74C61" w:rsidP="00D76A42">
      <w:bookmarkStart w:id="4" w:name="_Toc418531190"/>
      <w:bookmarkEnd w:id="3"/>
    </w:p>
    <w:p w:rsidR="00D76A42" w:rsidRDefault="00D76A42" w:rsidP="00D76A42"/>
    <w:p w:rsidR="008B1B3A" w:rsidRPr="008B1B3A" w:rsidRDefault="008B1B3A" w:rsidP="008B1B3A">
      <w:pPr>
        <w:keepNext/>
        <w:outlineLvl w:val="0"/>
        <w:rPr>
          <w:caps/>
        </w:rPr>
      </w:pPr>
      <w:bookmarkStart w:id="5" w:name="_Toc519866298"/>
      <w:r w:rsidRPr="008B1B3A">
        <w:rPr>
          <w:caps/>
        </w:rPr>
        <w:t>Background</w:t>
      </w:r>
      <w:bookmarkEnd w:id="5"/>
    </w:p>
    <w:p w:rsidR="008B1B3A" w:rsidRPr="008B1B3A" w:rsidRDefault="008B1B3A" w:rsidP="008B1B3A"/>
    <w:bookmarkStart w:id="6" w:name="_Toc440377316"/>
    <w:bookmarkEnd w:id="4"/>
    <w:p w:rsidR="00A52CCA" w:rsidRDefault="008B1B3A" w:rsidP="008B1B3A">
      <w:r w:rsidRPr="008B1B3A">
        <w:rPr>
          <w:rFonts w:cs="Arial"/>
        </w:rPr>
        <w:fldChar w:fldCharType="begin"/>
      </w:r>
      <w:r w:rsidRPr="008B1B3A">
        <w:rPr>
          <w:rFonts w:cs="Arial"/>
        </w:rPr>
        <w:instrText xml:space="preserve"> AUTONUM  </w:instrText>
      </w:r>
      <w:r w:rsidRPr="008B1B3A">
        <w:rPr>
          <w:rFonts w:cs="Arial"/>
        </w:rPr>
        <w:fldChar w:fldCharType="end"/>
      </w:r>
      <w:r w:rsidRPr="008B1B3A">
        <w:rPr>
          <w:rFonts w:cs="Arial"/>
        </w:rPr>
        <w:tab/>
      </w:r>
      <w:r w:rsidRPr="008B1B3A">
        <w:rPr>
          <w:szCs w:val="24"/>
        </w:rPr>
        <w:t xml:space="preserve">The background to this matter </w:t>
      </w:r>
      <w:proofErr w:type="gramStart"/>
      <w:r w:rsidRPr="008B1B3A">
        <w:rPr>
          <w:szCs w:val="24"/>
        </w:rPr>
        <w:t>is provided</w:t>
      </w:r>
      <w:proofErr w:type="gramEnd"/>
      <w:r w:rsidRPr="008B1B3A">
        <w:rPr>
          <w:szCs w:val="24"/>
        </w:rPr>
        <w:t xml:space="preserve"> in document </w:t>
      </w:r>
      <w:r w:rsidRPr="008B1B3A">
        <w:t>TC/5</w:t>
      </w:r>
      <w:r w:rsidR="00C4565D">
        <w:t>3</w:t>
      </w:r>
      <w:r w:rsidRPr="008B1B3A">
        <w:t>/2</w:t>
      </w:r>
      <w:r w:rsidR="00C4565D">
        <w:t>2</w:t>
      </w:r>
      <w:r w:rsidRPr="008B1B3A">
        <w:t xml:space="preserve"> “Matters concerning variety descriptions”.</w:t>
      </w:r>
      <w:r w:rsidR="00A52CCA">
        <w:t xml:space="preserve">  </w:t>
      </w:r>
    </w:p>
    <w:p w:rsidR="00A52CCA" w:rsidRDefault="00A52CCA" w:rsidP="008B1B3A"/>
    <w:bookmarkEnd w:id="6"/>
    <w:p w:rsidR="00A52CCA" w:rsidRPr="00D51062" w:rsidRDefault="00A52CCA" w:rsidP="00A52CCA">
      <w:pPr>
        <w:rPr>
          <w:snapToGrid w:val="0"/>
        </w:rPr>
      </w:pPr>
      <w:r w:rsidRPr="00D51062">
        <w:fldChar w:fldCharType="begin"/>
      </w:r>
      <w:r w:rsidRPr="00D51062">
        <w:instrText xml:space="preserve"> AUTONUM  </w:instrText>
      </w:r>
      <w:r w:rsidRPr="00D51062">
        <w:fldChar w:fldCharType="end"/>
      </w:r>
      <w:r w:rsidRPr="00D51062">
        <w:tab/>
      </w:r>
      <w:r w:rsidRPr="00D51062">
        <w:rPr>
          <w:snapToGrid w:val="0"/>
        </w:rPr>
        <w:t>The TC</w:t>
      </w:r>
      <w:r>
        <w:rPr>
          <w:snapToGrid w:val="0"/>
        </w:rPr>
        <w:t>, at its fifty-third session, held in Geneva from April 3 to 5, 2017, considered document T</w:t>
      </w:r>
      <w:r w:rsidRPr="00D51062">
        <w:rPr>
          <w:snapToGrid w:val="0"/>
        </w:rPr>
        <w:t>C/53/22</w:t>
      </w:r>
      <w:r w:rsidR="007C74A2">
        <w:rPr>
          <w:snapToGrid w:val="0"/>
        </w:rPr>
        <w:t xml:space="preserve"> (see document TC/53/31 “Report”, paragraphs 188 and 189)</w:t>
      </w:r>
      <w:r w:rsidRPr="00D51062">
        <w:rPr>
          <w:snapToGrid w:val="0"/>
        </w:rPr>
        <w:t>.</w:t>
      </w:r>
    </w:p>
    <w:p w:rsidR="00A52CCA" w:rsidRDefault="00A52CCA" w:rsidP="00A52CCA">
      <w:pPr>
        <w:rPr>
          <w:rFonts w:cs="Arial"/>
        </w:rPr>
      </w:pPr>
    </w:p>
    <w:p w:rsidR="00A52CCA" w:rsidRPr="008B1B3A" w:rsidRDefault="00A52CCA" w:rsidP="00A52CCA">
      <w:pPr>
        <w:rPr>
          <w:rFonts w:cs="Arial"/>
        </w:rPr>
      </w:pPr>
      <w:r w:rsidRPr="008B1B3A">
        <w:rPr>
          <w:rFonts w:cs="Arial"/>
        </w:rPr>
        <w:fldChar w:fldCharType="begin"/>
      </w:r>
      <w:r w:rsidRPr="008B1B3A">
        <w:rPr>
          <w:rFonts w:cs="Arial"/>
        </w:rPr>
        <w:instrText xml:space="preserve"> AUTONUM  </w:instrText>
      </w:r>
      <w:r w:rsidRPr="008B1B3A">
        <w:rPr>
          <w:rFonts w:cs="Arial"/>
        </w:rPr>
        <w:fldChar w:fldCharType="end"/>
      </w:r>
      <w:r w:rsidRPr="008B1B3A">
        <w:rPr>
          <w:rFonts w:cs="Arial"/>
        </w:rPr>
        <w:tab/>
      </w:r>
      <w:r>
        <w:rPr>
          <w:rFonts w:cs="Arial"/>
        </w:rPr>
        <w:t>T</w:t>
      </w:r>
      <w:r w:rsidRPr="008B1B3A">
        <w:rPr>
          <w:rFonts w:cs="Arial"/>
        </w:rPr>
        <w:t>he TC consider</w:t>
      </w:r>
      <w:r w:rsidR="004E6EF0">
        <w:rPr>
          <w:rFonts w:cs="Arial"/>
        </w:rPr>
        <w:t>ed</w:t>
      </w:r>
      <w:r w:rsidRPr="008B1B3A">
        <w:rPr>
          <w:rFonts w:cs="Arial"/>
        </w:rPr>
        <w:t xml:space="preserve"> whether new guidance </w:t>
      </w:r>
      <w:r w:rsidRPr="008B1B3A">
        <w:t>on the role of the variety description and plant material should be drafted, taking into consideration (</w:t>
      </w:r>
      <w:r w:rsidR="007B34BE">
        <w:t>a</w:t>
      </w:r>
      <w:r w:rsidRPr="008B1B3A">
        <w:t>) the purpose of the variety description developed at the time of the grant of the breeder’s right; (</w:t>
      </w:r>
      <w:r w:rsidR="007B34BE">
        <w:t>b</w:t>
      </w:r>
      <w:r w:rsidRPr="008B1B3A">
        <w:t>) the status of the original variety description in relation to the verification of the conformity of plant material to a protected variety for enforcement of the breeder’s right; and (</w:t>
      </w:r>
      <w:r w:rsidR="007B34BE">
        <w:t>c</w:t>
      </w:r>
      <w:r w:rsidR="00D76A42">
        <w:t>) the </w:t>
      </w:r>
      <w:r w:rsidRPr="008B1B3A">
        <w:t>conclusions provided by the expert from the European Union in document TWV/50/14 Add., Annex II, slide</w:t>
      </w:r>
      <w:r>
        <w:t> </w:t>
      </w:r>
      <w:r w:rsidRPr="008B1B3A">
        <w:t>19, as follows:</w:t>
      </w:r>
    </w:p>
    <w:p w:rsidR="00A52CCA" w:rsidRPr="008B1B3A" w:rsidRDefault="00A52CCA" w:rsidP="00A52CCA"/>
    <w:p w:rsidR="00A52CCA" w:rsidRPr="008B1B3A" w:rsidRDefault="00A52CCA" w:rsidP="007B7237">
      <w:pPr>
        <w:numPr>
          <w:ilvl w:val="0"/>
          <w:numId w:val="2"/>
        </w:numPr>
        <w:ind w:left="1134" w:hanging="567"/>
        <w:contextualSpacing/>
      </w:pPr>
      <w:r w:rsidRPr="008B1B3A">
        <w:t>Notes of similar varieties shall come from the same growing trial as for the candidate variety</w:t>
      </w:r>
    </w:p>
    <w:p w:rsidR="00A52CCA" w:rsidRPr="008B1B3A" w:rsidRDefault="00A52CCA" w:rsidP="007B7237">
      <w:pPr>
        <w:numPr>
          <w:ilvl w:val="0"/>
          <w:numId w:val="2"/>
        </w:numPr>
        <w:ind w:left="1134" w:hanging="567"/>
        <w:contextualSpacing/>
      </w:pPr>
      <w:r w:rsidRPr="008B1B3A">
        <w:t>To inform parties concerned on amendments for the Official VD (variety description)</w:t>
      </w:r>
    </w:p>
    <w:p w:rsidR="00A52CCA" w:rsidRPr="008B1B3A" w:rsidRDefault="00A52CCA" w:rsidP="007B7237">
      <w:pPr>
        <w:numPr>
          <w:ilvl w:val="0"/>
          <w:numId w:val="2"/>
        </w:numPr>
        <w:ind w:left="1134" w:hanging="567"/>
        <w:contextualSpacing/>
      </w:pPr>
      <w:r w:rsidRPr="008B1B3A">
        <w:t>Agreement on data supplied to share databases</w:t>
      </w:r>
    </w:p>
    <w:p w:rsidR="00A52CCA" w:rsidRPr="00D51062" w:rsidRDefault="00A52CCA" w:rsidP="00A52CCA">
      <w:pPr>
        <w:rPr>
          <w:snapToGrid w:val="0"/>
        </w:rPr>
      </w:pPr>
    </w:p>
    <w:p w:rsidR="00A52CCA" w:rsidRPr="00D51062" w:rsidRDefault="00A52CCA" w:rsidP="00D76A42">
      <w:pPr>
        <w:keepNext/>
        <w:keepLines/>
      </w:pPr>
      <w:r w:rsidRPr="00D51062">
        <w:lastRenderedPageBreak/>
        <w:fldChar w:fldCharType="begin"/>
      </w:r>
      <w:r w:rsidRPr="00D51062">
        <w:instrText xml:space="preserve"> AUTONUM  </w:instrText>
      </w:r>
      <w:r w:rsidRPr="00D51062">
        <w:fldChar w:fldCharType="end"/>
      </w:r>
      <w:r w:rsidRPr="00D51062">
        <w:tab/>
        <w:t xml:space="preserve">The TC noted the existence of different elements that could support the identification of plant material, such as the original and other official variety descriptions, including molecular markers.  The TC </w:t>
      </w:r>
      <w:r w:rsidRPr="00D51062">
        <w:rPr>
          <w:rFonts w:cs="Arial"/>
        </w:rPr>
        <w:t xml:space="preserve">agreed </w:t>
      </w:r>
      <w:r w:rsidRPr="00D51062">
        <w:rPr>
          <w:rFonts w:eastAsia="SimSun"/>
        </w:rPr>
        <w:t xml:space="preserve">to invite the European Union </w:t>
      </w:r>
      <w:r w:rsidRPr="00D51062">
        <w:rPr>
          <w:rFonts w:cs="Arial"/>
        </w:rPr>
        <w:t xml:space="preserve">to elaborate further guidance </w:t>
      </w:r>
      <w:r w:rsidRPr="00D51062">
        <w:t>on the role of the variety description and role of plant material used as the basis for the DUS examination, but incorporating unchanged the text of document TC/53/22, Annex</w:t>
      </w:r>
      <w:r>
        <w:t>, and also taking into account the following aspects</w:t>
      </w:r>
      <w:r w:rsidRPr="00D51062">
        <w:t>:</w:t>
      </w:r>
    </w:p>
    <w:p w:rsidR="00914813" w:rsidRDefault="00914813" w:rsidP="00D76A42">
      <w:pPr>
        <w:keepNext/>
        <w:keepLines/>
      </w:pPr>
    </w:p>
    <w:p w:rsidR="00A52CCA" w:rsidRPr="00D51062" w:rsidRDefault="00A52CCA" w:rsidP="00D76A42">
      <w:pPr>
        <w:keepNext/>
        <w:keepLines/>
        <w:tabs>
          <w:tab w:val="left" w:pos="1134"/>
        </w:tabs>
        <w:ind w:left="1134" w:hanging="567"/>
      </w:pPr>
      <w:r w:rsidRPr="00D51062">
        <w:t>(</w:t>
      </w:r>
      <w:r w:rsidR="007B34BE">
        <w:t>a</w:t>
      </w:r>
      <w:r w:rsidRPr="00D51062">
        <w:t>)</w:t>
      </w:r>
      <w:r w:rsidRPr="00D51062">
        <w:tab/>
      </w:r>
      <w:proofErr w:type="gramStart"/>
      <w:r w:rsidRPr="00D51062">
        <w:t>the</w:t>
      </w:r>
      <w:proofErr w:type="gramEnd"/>
      <w:r w:rsidRPr="00D51062">
        <w:t xml:space="preserve"> purpose of the variety description developed at the time of the grant of the breeder’s right; </w:t>
      </w:r>
    </w:p>
    <w:p w:rsidR="00A52CCA" w:rsidRPr="00D51062" w:rsidRDefault="00A52CCA" w:rsidP="00D76A42">
      <w:pPr>
        <w:keepNext/>
        <w:keepLines/>
        <w:tabs>
          <w:tab w:val="left" w:pos="1134"/>
        </w:tabs>
        <w:ind w:left="1134" w:hanging="567"/>
      </w:pPr>
      <w:r w:rsidRPr="00D51062">
        <w:t>(</w:t>
      </w:r>
      <w:r w:rsidR="007B34BE">
        <w:t>b</w:t>
      </w:r>
      <w:r w:rsidRPr="00D51062">
        <w:t>)</w:t>
      </w:r>
      <w:r w:rsidRPr="00D51062">
        <w:tab/>
      </w:r>
      <w:proofErr w:type="gramStart"/>
      <w:r w:rsidRPr="00D51062">
        <w:t>the</w:t>
      </w:r>
      <w:proofErr w:type="gramEnd"/>
      <w:r w:rsidRPr="00D51062">
        <w:t xml:space="preserve"> status of the original variety description in relation to the verification of the conformity of plant material to a protected variety for enforcement of the breeder’s right; and </w:t>
      </w:r>
    </w:p>
    <w:p w:rsidR="00A52CCA" w:rsidRPr="00D51062" w:rsidRDefault="00A52CCA" w:rsidP="00D76A42">
      <w:pPr>
        <w:keepNext/>
        <w:keepLines/>
        <w:tabs>
          <w:tab w:val="left" w:pos="1134"/>
        </w:tabs>
        <w:ind w:left="1134" w:hanging="567"/>
        <w:rPr>
          <w:rFonts w:cs="Arial"/>
        </w:rPr>
      </w:pPr>
      <w:r w:rsidRPr="00D51062">
        <w:t>(</w:t>
      </w:r>
      <w:r w:rsidR="007B34BE">
        <w:t>c</w:t>
      </w:r>
      <w:r w:rsidRPr="00D51062">
        <w:t>)</w:t>
      </w:r>
      <w:r w:rsidRPr="00D51062">
        <w:tab/>
        <w:t>the conclusions provided by the expert from the European Union in document TWV/50/14 Add., Annex II, slide 19, as follows:</w:t>
      </w:r>
    </w:p>
    <w:p w:rsidR="00A52CCA" w:rsidRPr="00D51062" w:rsidRDefault="00A52CCA" w:rsidP="00D76A42">
      <w:pPr>
        <w:pStyle w:val="ListParagraph"/>
        <w:keepNext/>
        <w:keepLines/>
        <w:numPr>
          <w:ilvl w:val="0"/>
          <w:numId w:val="2"/>
        </w:numPr>
        <w:spacing w:after="0" w:line="240" w:lineRule="auto"/>
        <w:ind w:left="1701" w:hanging="567"/>
        <w:jc w:val="both"/>
        <w:rPr>
          <w:rFonts w:ascii="Arial" w:hAnsi="Arial" w:cs="Arial"/>
          <w:sz w:val="20"/>
        </w:rPr>
      </w:pPr>
      <w:r w:rsidRPr="00D51062">
        <w:rPr>
          <w:rFonts w:ascii="Arial" w:hAnsi="Arial" w:cs="Arial"/>
          <w:sz w:val="20"/>
        </w:rPr>
        <w:t>Notes of similar varieties shall come from the same growing trial as for the candidate variety</w:t>
      </w:r>
    </w:p>
    <w:p w:rsidR="00A52CCA" w:rsidRPr="00D51062" w:rsidRDefault="00A52CCA" w:rsidP="00D76A42">
      <w:pPr>
        <w:pStyle w:val="ListParagraph"/>
        <w:keepNext/>
        <w:keepLines/>
        <w:numPr>
          <w:ilvl w:val="0"/>
          <w:numId w:val="2"/>
        </w:numPr>
        <w:spacing w:after="0" w:line="240" w:lineRule="auto"/>
        <w:ind w:left="1701" w:hanging="567"/>
        <w:jc w:val="both"/>
        <w:rPr>
          <w:rFonts w:ascii="Arial" w:hAnsi="Arial" w:cs="Arial"/>
          <w:sz w:val="20"/>
        </w:rPr>
      </w:pPr>
      <w:r w:rsidRPr="00D51062">
        <w:rPr>
          <w:rFonts w:ascii="Arial" w:hAnsi="Arial" w:cs="Arial"/>
          <w:sz w:val="20"/>
        </w:rPr>
        <w:t>To inform parties concerned on amendments for the Official VD (variety description)</w:t>
      </w:r>
    </w:p>
    <w:p w:rsidR="00A52CCA" w:rsidRPr="00D51062" w:rsidRDefault="00A52CCA" w:rsidP="00D76A42">
      <w:pPr>
        <w:pStyle w:val="ListParagraph"/>
        <w:keepNext/>
        <w:keepLines/>
        <w:numPr>
          <w:ilvl w:val="0"/>
          <w:numId w:val="2"/>
        </w:numPr>
        <w:spacing w:after="0" w:line="240" w:lineRule="auto"/>
        <w:ind w:left="1701" w:hanging="567"/>
        <w:jc w:val="both"/>
        <w:rPr>
          <w:rFonts w:ascii="Arial" w:hAnsi="Arial" w:cs="Arial"/>
          <w:sz w:val="20"/>
        </w:rPr>
      </w:pPr>
      <w:r w:rsidRPr="00D51062">
        <w:rPr>
          <w:rFonts w:ascii="Arial" w:hAnsi="Arial" w:cs="Arial"/>
          <w:sz w:val="20"/>
        </w:rPr>
        <w:t>Agreement on data supplied to share</w:t>
      </w:r>
      <w:r w:rsidR="009F7CDF">
        <w:rPr>
          <w:rFonts w:ascii="Arial" w:hAnsi="Arial" w:cs="Arial"/>
          <w:sz w:val="20"/>
        </w:rPr>
        <w:t>d</w:t>
      </w:r>
      <w:r w:rsidRPr="00D51062">
        <w:rPr>
          <w:rFonts w:ascii="Arial" w:hAnsi="Arial" w:cs="Arial"/>
          <w:sz w:val="20"/>
        </w:rPr>
        <w:t xml:space="preserve"> databases</w:t>
      </w:r>
    </w:p>
    <w:p w:rsidR="00A52CCA" w:rsidRDefault="00A52CCA" w:rsidP="008B1B3A">
      <w:pPr>
        <w:rPr>
          <w:rFonts w:cs="Arial"/>
        </w:rPr>
      </w:pPr>
    </w:p>
    <w:p w:rsidR="00FA1517" w:rsidRDefault="00FA1517" w:rsidP="008B1B3A">
      <w:pPr>
        <w:rPr>
          <w:rFonts w:cs="Arial"/>
        </w:rPr>
      </w:pPr>
    </w:p>
    <w:p w:rsidR="00D76A42" w:rsidRDefault="00D76A42" w:rsidP="008B1B3A">
      <w:pPr>
        <w:rPr>
          <w:rFonts w:cs="Arial"/>
        </w:rPr>
      </w:pPr>
    </w:p>
    <w:p w:rsidR="0016023C" w:rsidRDefault="0016023C" w:rsidP="0016023C">
      <w:pPr>
        <w:pStyle w:val="Heading1"/>
      </w:pPr>
      <w:bookmarkStart w:id="7" w:name="_Toc519866299"/>
      <w:r>
        <w:t>PROPOSAL</w:t>
      </w:r>
      <w:bookmarkEnd w:id="7"/>
    </w:p>
    <w:p w:rsidR="0016023C" w:rsidRDefault="0016023C" w:rsidP="008B1B3A">
      <w:pPr>
        <w:rPr>
          <w:rFonts w:cs="Arial"/>
        </w:rPr>
      </w:pPr>
    </w:p>
    <w:p w:rsidR="00136139" w:rsidRPr="002D6590" w:rsidRDefault="00136139" w:rsidP="008B1B3A">
      <w:pPr>
        <w:rPr>
          <w:rFonts w:cs="Arial"/>
        </w:rPr>
      </w:pPr>
      <w:r>
        <w:fldChar w:fldCharType="begin"/>
      </w:r>
      <w:r>
        <w:instrText xml:space="preserve"> AUTONUM  </w:instrText>
      </w:r>
      <w:r>
        <w:fldChar w:fldCharType="end"/>
      </w:r>
      <w:r>
        <w:tab/>
      </w:r>
      <w:proofErr w:type="gramStart"/>
      <w:r>
        <w:t xml:space="preserve">In response to the invitation by the TC, the </w:t>
      </w:r>
      <w:r w:rsidRPr="00D51062">
        <w:rPr>
          <w:rFonts w:eastAsia="SimSun"/>
        </w:rPr>
        <w:t xml:space="preserve">European Union </w:t>
      </w:r>
      <w:r w:rsidR="007B34BE">
        <w:rPr>
          <w:rFonts w:eastAsia="SimSun"/>
        </w:rPr>
        <w:t xml:space="preserve">has </w:t>
      </w:r>
      <w:r>
        <w:rPr>
          <w:rFonts w:eastAsia="SimSun"/>
        </w:rPr>
        <w:t xml:space="preserve">provided </w:t>
      </w:r>
      <w:r w:rsidR="0016023C">
        <w:rPr>
          <w:rFonts w:eastAsia="SimSun"/>
        </w:rPr>
        <w:t>draft guidance on t</w:t>
      </w:r>
      <w:r w:rsidR="0016023C">
        <w:t>he p</w:t>
      </w:r>
      <w:r w:rsidR="0016023C" w:rsidRPr="008B1B3A">
        <w:t xml:space="preserve">urpose of the variety description developed at the time of the grant of the breeder’s right and </w:t>
      </w:r>
      <w:r w:rsidR="0016023C">
        <w:t xml:space="preserve">the </w:t>
      </w:r>
      <w:r w:rsidR="0016023C" w:rsidRPr="008B1B3A">
        <w:t>status of the original variety description in relation to the verification of the conformity of plant material to a protected variety for enforcement of the breeder’s right</w:t>
      </w:r>
      <w:r w:rsidR="0016023C">
        <w:t xml:space="preserve">, in </w:t>
      </w:r>
      <w:r w:rsidR="0016023C" w:rsidRPr="002D6590">
        <w:t>the Annex to this document.</w:t>
      </w:r>
      <w:proofErr w:type="gramEnd"/>
    </w:p>
    <w:p w:rsidR="00136139" w:rsidRPr="002D6590" w:rsidRDefault="00136139" w:rsidP="008B1B3A">
      <w:pPr>
        <w:rPr>
          <w:rFonts w:cs="Arial"/>
        </w:rPr>
      </w:pPr>
    </w:p>
    <w:p w:rsidR="007C74A2" w:rsidRDefault="00DD01BD" w:rsidP="00DD01BD">
      <w:pPr>
        <w:rPr>
          <w:rFonts w:cs="Arial"/>
        </w:rPr>
      </w:pPr>
      <w:r w:rsidRPr="002D6590">
        <w:rPr>
          <w:rFonts w:cs="Arial"/>
        </w:rPr>
        <w:fldChar w:fldCharType="begin"/>
      </w:r>
      <w:r w:rsidRPr="002D6590">
        <w:rPr>
          <w:rFonts w:cs="Arial"/>
        </w:rPr>
        <w:instrText xml:space="preserve"> AUTONUM  </w:instrText>
      </w:r>
      <w:r w:rsidRPr="002D6590">
        <w:rPr>
          <w:rFonts w:cs="Arial"/>
        </w:rPr>
        <w:fldChar w:fldCharType="end"/>
      </w:r>
      <w:r w:rsidRPr="002D6590">
        <w:rPr>
          <w:rFonts w:cs="Arial"/>
        </w:rPr>
        <w:tab/>
        <w:t xml:space="preserve">It </w:t>
      </w:r>
      <w:proofErr w:type="gramStart"/>
      <w:r w:rsidRPr="002D6590">
        <w:rPr>
          <w:rFonts w:cs="Arial"/>
        </w:rPr>
        <w:t>is proposed</w:t>
      </w:r>
      <w:proofErr w:type="gramEnd"/>
      <w:r w:rsidRPr="002D6590">
        <w:rPr>
          <w:rFonts w:cs="Arial"/>
        </w:rPr>
        <w:t xml:space="preserve"> that the TC consider the draft guidance in the Annex to this document</w:t>
      </w:r>
      <w:r>
        <w:rPr>
          <w:rFonts w:cs="Arial"/>
        </w:rPr>
        <w:t xml:space="preserve"> as the basis for a revision of document TGP/5 Section 6 “U</w:t>
      </w:r>
      <w:r w:rsidRPr="00DD01BD">
        <w:rPr>
          <w:rFonts w:cs="Arial"/>
        </w:rPr>
        <w:t>POV Report on Technical Examination and UPOV Variety Description</w:t>
      </w:r>
      <w:r>
        <w:rPr>
          <w:rFonts w:cs="Arial"/>
        </w:rPr>
        <w:t xml:space="preserve">.” </w:t>
      </w:r>
    </w:p>
    <w:p w:rsidR="00A013CC" w:rsidRPr="00A013CC" w:rsidRDefault="00A013CC" w:rsidP="008B1B3A">
      <w:pPr>
        <w:rPr>
          <w:rFonts w:cs="Arial"/>
          <w:i/>
        </w:rPr>
      </w:pPr>
    </w:p>
    <w:p w:rsidR="00A013CC" w:rsidRPr="00A013CC" w:rsidRDefault="00A013CC" w:rsidP="00914813">
      <w:pPr>
        <w:tabs>
          <w:tab w:val="left" w:pos="5387"/>
        </w:tabs>
        <w:ind w:left="4820"/>
        <w:rPr>
          <w:rFonts w:cs="Arial"/>
          <w:i/>
        </w:rPr>
      </w:pPr>
      <w:r w:rsidRPr="00A013CC">
        <w:rPr>
          <w:rFonts w:cs="Arial"/>
          <w:i/>
        </w:rPr>
        <w:fldChar w:fldCharType="begin"/>
      </w:r>
      <w:r w:rsidRPr="00A013CC">
        <w:rPr>
          <w:rFonts w:cs="Arial"/>
          <w:i/>
        </w:rPr>
        <w:instrText xml:space="preserve"> AUTONUM  </w:instrText>
      </w:r>
      <w:r w:rsidRPr="00A013CC">
        <w:rPr>
          <w:rFonts w:cs="Arial"/>
          <w:i/>
        </w:rPr>
        <w:fldChar w:fldCharType="end"/>
      </w:r>
      <w:r w:rsidRPr="00A013CC">
        <w:rPr>
          <w:rFonts w:cs="Arial"/>
          <w:i/>
        </w:rPr>
        <w:tab/>
        <w:t xml:space="preserve">The TC </w:t>
      </w:r>
      <w:proofErr w:type="gramStart"/>
      <w:r w:rsidRPr="00A013CC">
        <w:rPr>
          <w:rFonts w:cs="Arial"/>
          <w:i/>
        </w:rPr>
        <w:t>is invited</w:t>
      </w:r>
      <w:proofErr w:type="gramEnd"/>
      <w:r w:rsidRPr="00A013CC">
        <w:rPr>
          <w:rFonts w:cs="Arial"/>
          <w:i/>
        </w:rPr>
        <w:t xml:space="preserve"> to consider the draft guidance in the Annex to this document as the basis for a revision of document TGP/5 Section 6 “UPOV Report on Technical Examination and UPOV Variety Description.”</w:t>
      </w:r>
    </w:p>
    <w:p w:rsidR="00A013CC" w:rsidRDefault="00A013CC" w:rsidP="00914813">
      <w:pPr>
        <w:tabs>
          <w:tab w:val="left" w:pos="5387"/>
        </w:tabs>
        <w:ind w:left="4820"/>
        <w:rPr>
          <w:rFonts w:cs="Arial"/>
        </w:rPr>
      </w:pPr>
    </w:p>
    <w:p w:rsidR="00A013CC" w:rsidRDefault="00A013CC" w:rsidP="00A013CC">
      <w:pPr>
        <w:tabs>
          <w:tab w:val="left" w:pos="5387"/>
        </w:tabs>
        <w:ind w:left="4820"/>
        <w:jc w:val="left"/>
        <w:rPr>
          <w:rFonts w:cs="Arial"/>
        </w:rPr>
      </w:pPr>
    </w:p>
    <w:p w:rsidR="00A013CC" w:rsidRDefault="00A013CC" w:rsidP="00A013CC">
      <w:pPr>
        <w:tabs>
          <w:tab w:val="left" w:pos="5387"/>
        </w:tabs>
        <w:ind w:left="4820"/>
        <w:jc w:val="right"/>
        <w:rPr>
          <w:rFonts w:cs="Arial"/>
        </w:rPr>
      </w:pPr>
      <w:r>
        <w:rPr>
          <w:rFonts w:cs="Arial"/>
        </w:rPr>
        <w:t>[Annex follows]</w:t>
      </w:r>
    </w:p>
    <w:p w:rsidR="00D76A42" w:rsidRDefault="00D76A42" w:rsidP="00A013CC">
      <w:pPr>
        <w:tabs>
          <w:tab w:val="left" w:pos="5387"/>
        </w:tabs>
        <w:ind w:left="4820"/>
        <w:jc w:val="right"/>
        <w:rPr>
          <w:rFonts w:cs="Arial"/>
        </w:rPr>
      </w:pPr>
    </w:p>
    <w:p w:rsidR="00A013CC" w:rsidRDefault="00A013CC" w:rsidP="008B1B3A">
      <w:pPr>
        <w:rPr>
          <w:rFonts w:cs="Arial"/>
        </w:rPr>
      </w:pPr>
    </w:p>
    <w:p w:rsidR="00A013CC" w:rsidRDefault="00A013CC" w:rsidP="008B1B3A">
      <w:pPr>
        <w:rPr>
          <w:rFonts w:cs="Arial"/>
        </w:rPr>
        <w:sectPr w:rsidR="00A013CC" w:rsidSect="00906DDC">
          <w:headerReference w:type="default" r:id="rId8"/>
          <w:pgSz w:w="11907" w:h="16840" w:code="9"/>
          <w:pgMar w:top="510" w:right="1134" w:bottom="1134" w:left="1134" w:header="510" w:footer="680" w:gutter="0"/>
          <w:cols w:space="720"/>
          <w:titlePg/>
        </w:sectPr>
      </w:pPr>
    </w:p>
    <w:p w:rsidR="008B1B3A" w:rsidRPr="008B1B3A" w:rsidRDefault="008B1B3A" w:rsidP="008B1B3A">
      <w:pPr>
        <w:jc w:val="center"/>
      </w:pPr>
      <w:r w:rsidRPr="008B1B3A">
        <w:lastRenderedPageBreak/>
        <w:t>PURPOSE OF THE VARIETY DESCRIPTION DEVELOPED AT THE TIME OF THE GRANT OF THE BREEDER’S RIGHT AND STATUS OF THE ORIGINAL VARIETY DESCRIPTION IN RELATION TO THE VERIFICATION OF THE CONFORMITY OF PLANT MATERIAL TO A PROTECTED VARIETY FOR ENFORCEMENT OF THE BREEDER’S RIGHT</w:t>
      </w:r>
    </w:p>
    <w:p w:rsidR="008B1B3A" w:rsidRPr="008B1B3A" w:rsidRDefault="008B1B3A" w:rsidP="008B1B3A"/>
    <w:p w:rsidR="008B1B3A" w:rsidRPr="008B1B3A" w:rsidRDefault="008B1B3A" w:rsidP="008B1B3A">
      <w:r w:rsidRPr="008B1B3A">
        <w:t>The CAJ, at its seventy-first session, endorsed the conclusion of the CAJ-AG, at its ninth session, on the:</w:t>
      </w:r>
    </w:p>
    <w:p w:rsidR="008B1B3A" w:rsidRPr="008B1B3A" w:rsidRDefault="008B1B3A" w:rsidP="008B1B3A"/>
    <w:p w:rsidR="008B1B3A" w:rsidRPr="008B1B3A" w:rsidRDefault="008B1B3A" w:rsidP="008B1B3A">
      <w:r w:rsidRPr="008B1B3A">
        <w:tab/>
        <w:t>(</w:t>
      </w:r>
      <w:proofErr w:type="spellStart"/>
      <w:r w:rsidRPr="008B1B3A">
        <w:t>i</w:t>
      </w:r>
      <w:proofErr w:type="spellEnd"/>
      <w:r w:rsidRPr="008B1B3A">
        <w:t>)</w:t>
      </w:r>
      <w:r w:rsidRPr="008B1B3A">
        <w:tab/>
      </w:r>
      <w:proofErr w:type="gramStart"/>
      <w:r w:rsidRPr="008B1B3A">
        <w:t>purpose(s)</w:t>
      </w:r>
      <w:proofErr w:type="gramEnd"/>
      <w:r w:rsidRPr="008B1B3A">
        <w:t xml:space="preserve"> of the variety description developed at the time of the grant of the breeder’s right (original variety description), as follows:</w:t>
      </w:r>
    </w:p>
    <w:p w:rsidR="008B1B3A" w:rsidRPr="008B1B3A" w:rsidRDefault="008B1B3A" w:rsidP="008B1B3A"/>
    <w:p w:rsidR="008B1B3A" w:rsidRPr="008B1B3A" w:rsidRDefault="008B1B3A" w:rsidP="008B1B3A">
      <w:r w:rsidRPr="008B1B3A">
        <w:t>The CAJ-AG agreed that, on the basis of document TGP/5 “Experience and Cooperation in DUS Testing”, Section 6 “UPOV Report on Technical Examination and UPOV Variety Description”, the purpose of the variety description developed at the time of the grant of the breeder’s right (original variety description) might be summarized as follows:</w:t>
      </w:r>
    </w:p>
    <w:p w:rsidR="008B1B3A" w:rsidRPr="008B1B3A" w:rsidRDefault="008B1B3A" w:rsidP="008B1B3A">
      <w:pPr>
        <w:ind w:left="567" w:right="567"/>
      </w:pPr>
    </w:p>
    <w:p w:rsidR="008B1B3A" w:rsidRPr="008B1B3A" w:rsidRDefault="008B1B3A" w:rsidP="008B1B3A">
      <w:pPr>
        <w:keepNext/>
        <w:ind w:left="1134" w:right="567"/>
      </w:pPr>
      <w:r w:rsidRPr="008B1B3A">
        <w:t>(a)</w:t>
      </w:r>
      <w:r w:rsidRPr="008B1B3A">
        <w:tab/>
      </w:r>
      <w:proofErr w:type="gramStart"/>
      <w:r w:rsidRPr="008B1B3A">
        <w:t>to</w:t>
      </w:r>
      <w:proofErr w:type="gramEnd"/>
      <w:r w:rsidRPr="008B1B3A">
        <w:t xml:space="preserve"> describe the characteristics of the variety; and</w:t>
      </w:r>
    </w:p>
    <w:p w:rsidR="008B1B3A" w:rsidRPr="008B1B3A" w:rsidRDefault="008B1B3A" w:rsidP="008B1B3A">
      <w:pPr>
        <w:ind w:left="1134" w:right="567"/>
      </w:pPr>
      <w:r w:rsidRPr="008B1B3A">
        <w:t>(b)</w:t>
      </w:r>
      <w:r w:rsidRPr="008B1B3A">
        <w:tab/>
      </w:r>
      <w:proofErr w:type="gramStart"/>
      <w:r w:rsidRPr="008B1B3A">
        <w:t>to</w:t>
      </w:r>
      <w:proofErr w:type="gramEnd"/>
      <w:r w:rsidRPr="008B1B3A">
        <w:t xml:space="preserve"> identify and list similar varieties and differences from these varieties; </w:t>
      </w:r>
    </w:p>
    <w:p w:rsidR="008B1B3A" w:rsidRPr="008B1B3A" w:rsidRDefault="008B1B3A" w:rsidP="008B1B3A">
      <w:pPr>
        <w:ind w:left="2835" w:right="567" w:hanging="1134"/>
      </w:pPr>
      <w:proofErr w:type="gramStart"/>
      <w:r w:rsidRPr="008B1B3A">
        <w:t>combined</w:t>
      </w:r>
      <w:proofErr w:type="gramEnd"/>
      <w:r w:rsidRPr="008B1B3A">
        <w:t xml:space="preserve"> with the information on the basis for (a) and (b), namely:</w:t>
      </w:r>
    </w:p>
    <w:p w:rsidR="008B1B3A" w:rsidRPr="008B1B3A" w:rsidRDefault="008B1B3A" w:rsidP="008B1B3A">
      <w:pPr>
        <w:ind w:left="1701" w:right="567"/>
      </w:pPr>
      <w:r w:rsidRPr="008B1B3A">
        <w:rPr>
          <w:rFonts w:cs="Arial"/>
        </w:rPr>
        <w:t>▪</w:t>
      </w:r>
      <w:r w:rsidRPr="008B1B3A">
        <w:tab/>
        <w:t>Date and document number of UPOV Test Guidelines;</w:t>
      </w:r>
    </w:p>
    <w:p w:rsidR="008B1B3A" w:rsidRPr="008B1B3A" w:rsidRDefault="008B1B3A" w:rsidP="008B1B3A">
      <w:pPr>
        <w:ind w:left="1701" w:right="567"/>
      </w:pPr>
      <w:r w:rsidRPr="008B1B3A">
        <w:rPr>
          <w:rFonts w:cs="Arial"/>
        </w:rPr>
        <w:t>▪</w:t>
      </w:r>
      <w:r w:rsidRPr="008B1B3A">
        <w:tab/>
        <w:t>Date and/or document number of Reporting Authority’s test guidelines;</w:t>
      </w:r>
    </w:p>
    <w:p w:rsidR="008B1B3A" w:rsidRPr="008B1B3A" w:rsidRDefault="008B1B3A" w:rsidP="008B1B3A">
      <w:pPr>
        <w:ind w:left="1701" w:right="567"/>
      </w:pPr>
      <w:r w:rsidRPr="008B1B3A">
        <w:rPr>
          <w:rFonts w:cs="Arial"/>
        </w:rPr>
        <w:t>▪</w:t>
      </w:r>
      <w:r w:rsidRPr="008B1B3A">
        <w:tab/>
        <w:t>Reporting Authority;</w:t>
      </w:r>
    </w:p>
    <w:p w:rsidR="008B1B3A" w:rsidRPr="008B1B3A" w:rsidRDefault="008B1B3A" w:rsidP="008B1B3A">
      <w:pPr>
        <w:ind w:left="1701" w:right="567"/>
      </w:pPr>
      <w:r w:rsidRPr="008B1B3A">
        <w:rPr>
          <w:rFonts w:cs="Arial"/>
        </w:rPr>
        <w:t>▪</w:t>
      </w:r>
      <w:r w:rsidRPr="008B1B3A">
        <w:tab/>
        <w:t>Testing station(s) and place(s);</w:t>
      </w:r>
    </w:p>
    <w:p w:rsidR="008B1B3A" w:rsidRPr="008B1B3A" w:rsidRDefault="008B1B3A" w:rsidP="008B1B3A">
      <w:pPr>
        <w:ind w:left="1701" w:right="567"/>
      </w:pPr>
      <w:r w:rsidRPr="008B1B3A">
        <w:rPr>
          <w:rFonts w:cs="Arial"/>
        </w:rPr>
        <w:t>▪</w:t>
      </w:r>
      <w:r w:rsidRPr="008B1B3A">
        <w:tab/>
        <w:t>Period of testing;</w:t>
      </w:r>
    </w:p>
    <w:p w:rsidR="008B1B3A" w:rsidRPr="008B1B3A" w:rsidRDefault="008B1B3A" w:rsidP="008B1B3A">
      <w:pPr>
        <w:ind w:left="1701" w:right="567"/>
      </w:pPr>
      <w:r w:rsidRPr="008B1B3A">
        <w:rPr>
          <w:rFonts w:cs="Arial"/>
        </w:rPr>
        <w:t>▪</w:t>
      </w:r>
      <w:r w:rsidRPr="008B1B3A">
        <w:tab/>
        <w:t>Date and place of issue of document;</w:t>
      </w:r>
    </w:p>
    <w:p w:rsidR="008B1B3A" w:rsidRPr="008B1B3A" w:rsidRDefault="008B1B3A" w:rsidP="008B1B3A">
      <w:pPr>
        <w:ind w:left="1701" w:right="567"/>
      </w:pPr>
      <w:r w:rsidRPr="008B1B3A">
        <w:rPr>
          <w:rFonts w:cs="Arial"/>
        </w:rPr>
        <w:t>▪</w:t>
      </w:r>
      <w:r w:rsidRPr="008B1B3A">
        <w:tab/>
        <w:t>Group: (Table: Characteristics; States of Expression; Note; Remarks);</w:t>
      </w:r>
    </w:p>
    <w:p w:rsidR="008B1B3A" w:rsidRPr="008B1B3A" w:rsidRDefault="008B1B3A" w:rsidP="008B1B3A">
      <w:pPr>
        <w:ind w:left="1701" w:right="567"/>
      </w:pPr>
      <w:r w:rsidRPr="008B1B3A">
        <w:rPr>
          <w:rFonts w:cs="Arial"/>
        </w:rPr>
        <w:t>▪</w:t>
      </w:r>
      <w:r w:rsidRPr="008B1B3A">
        <w:tab/>
        <w:t>Additional Information:</w:t>
      </w:r>
    </w:p>
    <w:p w:rsidR="008B1B3A" w:rsidRPr="008B1B3A" w:rsidRDefault="008B1B3A" w:rsidP="008B1B3A">
      <w:pPr>
        <w:tabs>
          <w:tab w:val="left" w:pos="2268"/>
          <w:tab w:val="left" w:pos="2835"/>
        </w:tabs>
        <w:ind w:left="1701" w:right="567"/>
      </w:pPr>
      <w:r w:rsidRPr="008B1B3A">
        <w:tab/>
        <w:t>(a)</w:t>
      </w:r>
      <w:r w:rsidRPr="008B1B3A">
        <w:tab/>
        <w:t>Additional Data</w:t>
      </w:r>
    </w:p>
    <w:p w:rsidR="008B1B3A" w:rsidRPr="008B1B3A" w:rsidRDefault="008B1B3A" w:rsidP="008B1B3A">
      <w:pPr>
        <w:tabs>
          <w:tab w:val="left" w:pos="2268"/>
          <w:tab w:val="left" w:pos="2835"/>
        </w:tabs>
        <w:ind w:left="1701" w:right="567"/>
      </w:pPr>
      <w:r w:rsidRPr="008B1B3A">
        <w:tab/>
        <w:t>(b)</w:t>
      </w:r>
      <w:r w:rsidRPr="008B1B3A">
        <w:tab/>
        <w:t>Photograph (if appropriate)</w:t>
      </w:r>
    </w:p>
    <w:p w:rsidR="008B1B3A" w:rsidRPr="008B1B3A" w:rsidRDefault="008B1B3A" w:rsidP="008B1B3A">
      <w:pPr>
        <w:tabs>
          <w:tab w:val="left" w:pos="2268"/>
          <w:tab w:val="left" w:pos="2835"/>
        </w:tabs>
        <w:ind w:left="1701" w:right="567"/>
      </w:pPr>
      <w:r w:rsidRPr="008B1B3A">
        <w:tab/>
        <w:t>(c)</w:t>
      </w:r>
      <w:r w:rsidRPr="008B1B3A">
        <w:tab/>
        <w:t xml:space="preserve">RHS </w:t>
      </w:r>
      <w:proofErr w:type="spellStart"/>
      <w:r w:rsidRPr="008B1B3A">
        <w:t>Colour</w:t>
      </w:r>
      <w:proofErr w:type="spellEnd"/>
      <w:r w:rsidRPr="008B1B3A">
        <w:t xml:space="preserve"> Chart version used (if appropriate)</w:t>
      </w:r>
    </w:p>
    <w:p w:rsidR="008B1B3A" w:rsidRPr="008B1B3A" w:rsidRDefault="008B1B3A" w:rsidP="008B1B3A">
      <w:pPr>
        <w:tabs>
          <w:tab w:val="left" w:pos="2268"/>
          <w:tab w:val="left" w:pos="2835"/>
        </w:tabs>
        <w:ind w:left="1701" w:right="567"/>
      </w:pPr>
      <w:r w:rsidRPr="008B1B3A">
        <w:tab/>
        <w:t>(d)</w:t>
      </w:r>
      <w:r w:rsidRPr="008B1B3A">
        <w:tab/>
        <w:t>Remarks.”</w:t>
      </w:r>
    </w:p>
    <w:p w:rsidR="008B1B3A" w:rsidRPr="008B1B3A" w:rsidRDefault="008B1B3A" w:rsidP="008B1B3A"/>
    <w:p w:rsidR="008B1B3A" w:rsidRPr="008B1B3A" w:rsidRDefault="008B1B3A" w:rsidP="008B1B3A">
      <w:pPr>
        <w:ind w:left="567"/>
      </w:pPr>
      <w:proofErr w:type="gramStart"/>
      <w:r w:rsidRPr="008B1B3A">
        <w:t>and</w:t>
      </w:r>
      <w:proofErr w:type="gramEnd"/>
    </w:p>
    <w:p w:rsidR="008B1B3A" w:rsidRPr="008B1B3A" w:rsidRDefault="008B1B3A" w:rsidP="008B1B3A"/>
    <w:p w:rsidR="008B1B3A" w:rsidRPr="008B1B3A" w:rsidRDefault="008B1B3A" w:rsidP="008B1B3A">
      <w:r w:rsidRPr="008B1B3A">
        <w:tab/>
        <w:t>(ii)</w:t>
      </w:r>
      <w:r w:rsidRPr="008B1B3A">
        <w:tab/>
      </w:r>
      <w:proofErr w:type="gramStart"/>
      <w:r w:rsidRPr="008B1B3A">
        <w:t>status</w:t>
      </w:r>
      <w:proofErr w:type="gramEnd"/>
      <w:r w:rsidRPr="008B1B3A">
        <w:t xml:space="preserve"> of the original variety description in relation to the verification of the conformity of plant material to a protected variety for enforcement of the breeder’s right, as follows:</w:t>
      </w:r>
    </w:p>
    <w:p w:rsidR="008B1B3A" w:rsidRPr="008B1B3A" w:rsidRDefault="008B1B3A" w:rsidP="008B1B3A"/>
    <w:p w:rsidR="008B1B3A" w:rsidRPr="008B1B3A" w:rsidRDefault="008B1B3A" w:rsidP="008B1B3A">
      <w:pPr>
        <w:rPr>
          <w:snapToGrid w:val="0"/>
          <w:spacing w:val="-2"/>
          <w:szCs w:val="18"/>
        </w:rPr>
      </w:pPr>
      <w:proofErr w:type="gramStart"/>
      <w:r w:rsidRPr="008B1B3A">
        <w:rPr>
          <w:snapToGrid w:val="0"/>
          <w:spacing w:val="-2"/>
          <w:szCs w:val="18"/>
        </w:rPr>
        <w:t>The CAJ-AG</w:t>
      </w:r>
      <w:r w:rsidRPr="008B1B3A">
        <w:rPr>
          <w:spacing w:val="-2"/>
          <w:szCs w:val="18"/>
        </w:rPr>
        <w:t xml:space="preserve"> </w:t>
      </w:r>
      <w:r w:rsidRPr="008B1B3A">
        <w:rPr>
          <w:snapToGrid w:val="0"/>
          <w:spacing w:val="-2"/>
          <w:szCs w:val="18"/>
        </w:rPr>
        <w:t>considered the status of the original variety description in relation to the verification of plant material of a protected variety for the purposes of enforcement of the breeder’s right and noted that UPOV guidance on the enforcement of breeders’ rights contained in document UPOV/EXN/ENF/1 “Explanatory notes on the enforcement of breeders’ rights under the UPOV Convention” explains as follows:</w:t>
      </w:r>
      <w:proofErr w:type="gramEnd"/>
      <w:r w:rsidRPr="008B1B3A">
        <w:rPr>
          <w:snapToGrid w:val="0"/>
          <w:spacing w:val="-2"/>
          <w:szCs w:val="18"/>
        </w:rPr>
        <w:t xml:space="preserve"> </w:t>
      </w:r>
    </w:p>
    <w:p w:rsidR="008B1B3A" w:rsidRPr="008B1B3A" w:rsidRDefault="008B1B3A" w:rsidP="008B1B3A">
      <w:pPr>
        <w:contextualSpacing/>
        <w:rPr>
          <w:snapToGrid w:val="0"/>
          <w:szCs w:val="18"/>
        </w:rPr>
      </w:pPr>
    </w:p>
    <w:p w:rsidR="008B1B3A" w:rsidRPr="008B1B3A" w:rsidRDefault="008B1B3A" w:rsidP="008B1B3A">
      <w:pPr>
        <w:ind w:left="567" w:right="567"/>
        <w:contextualSpacing/>
        <w:rPr>
          <w:rFonts w:cs="Arial"/>
          <w:snapToGrid w:val="0"/>
          <w:szCs w:val="18"/>
        </w:rPr>
      </w:pPr>
      <w:r w:rsidRPr="008B1B3A">
        <w:rPr>
          <w:rFonts w:cs="Arial"/>
          <w:snapToGrid w:val="0"/>
          <w:szCs w:val="18"/>
        </w:rPr>
        <w:t xml:space="preserve">“SECTION II: Some possible measures for the enforcement of breeders’ rights </w:t>
      </w:r>
    </w:p>
    <w:p w:rsidR="008B1B3A" w:rsidRPr="008B1B3A" w:rsidRDefault="008B1B3A" w:rsidP="008B1B3A">
      <w:pPr>
        <w:ind w:left="567" w:right="567"/>
        <w:contextualSpacing/>
        <w:rPr>
          <w:rFonts w:cs="Arial"/>
          <w:snapToGrid w:val="0"/>
          <w:szCs w:val="18"/>
        </w:rPr>
      </w:pPr>
    </w:p>
    <w:p w:rsidR="008B1B3A" w:rsidRPr="008B1B3A" w:rsidRDefault="008B1B3A" w:rsidP="008B1B3A">
      <w:pPr>
        <w:ind w:left="567" w:right="567"/>
        <w:contextualSpacing/>
        <w:rPr>
          <w:rFonts w:cs="Arial"/>
          <w:snapToGrid w:val="0"/>
          <w:szCs w:val="18"/>
        </w:rPr>
      </w:pPr>
      <w:r w:rsidRPr="008B1B3A">
        <w:rPr>
          <w:rFonts w:cs="Arial"/>
          <w:snapToGrid w:val="0"/>
          <w:szCs w:val="18"/>
        </w:rPr>
        <w:t>“While the UPOV Convention requires members of the Union to provide for appropriate legal remedies for the effective enforcement of breeders’ rights, it is a matter for breeders to enforce their rights.”</w:t>
      </w:r>
    </w:p>
    <w:p w:rsidR="008B1B3A" w:rsidRPr="008B1B3A" w:rsidRDefault="008B1B3A" w:rsidP="008B1B3A">
      <w:pPr>
        <w:contextualSpacing/>
        <w:rPr>
          <w:rFonts w:cs="Arial"/>
          <w:snapToGrid w:val="0"/>
          <w:szCs w:val="18"/>
        </w:rPr>
      </w:pPr>
    </w:p>
    <w:p w:rsidR="008B1B3A" w:rsidRPr="008B1B3A" w:rsidRDefault="008B1B3A" w:rsidP="008B1B3A">
      <w:pPr>
        <w:rPr>
          <w:rFonts w:cs="Arial"/>
          <w:snapToGrid w:val="0"/>
          <w:szCs w:val="18"/>
        </w:rPr>
      </w:pPr>
      <w:r w:rsidRPr="008B1B3A">
        <w:rPr>
          <w:rFonts w:cs="Arial"/>
          <w:snapToGrid w:val="0"/>
          <w:szCs w:val="18"/>
        </w:rPr>
        <w:t xml:space="preserve">The CAJ-AG agreed that, in relation to the use of the original variety description, it </w:t>
      </w:r>
      <w:proofErr w:type="gramStart"/>
      <w:r w:rsidRPr="008B1B3A">
        <w:rPr>
          <w:rFonts w:cs="Arial"/>
          <w:snapToGrid w:val="0"/>
          <w:szCs w:val="18"/>
        </w:rPr>
        <w:t>should be recalled</w:t>
      </w:r>
      <w:proofErr w:type="gramEnd"/>
      <w:r w:rsidRPr="008B1B3A">
        <w:rPr>
          <w:rFonts w:cs="Arial"/>
          <w:snapToGrid w:val="0"/>
          <w:szCs w:val="18"/>
        </w:rPr>
        <w:t xml:space="preserve"> that the description of the variety characteristics and the basis for distinctness from the most similar variety are linked to the circumstances of the DUS examination, namely:</w:t>
      </w:r>
    </w:p>
    <w:p w:rsidR="008B1B3A" w:rsidRPr="008B1B3A" w:rsidRDefault="008B1B3A" w:rsidP="008B1B3A">
      <w:pPr>
        <w:ind w:left="567" w:right="567"/>
        <w:rPr>
          <w:rFonts w:cs="Arial"/>
          <w:snapToGrid w:val="0"/>
          <w:szCs w:val="18"/>
        </w:rPr>
      </w:pPr>
    </w:p>
    <w:p w:rsidR="008B1B3A" w:rsidRPr="008B1B3A" w:rsidRDefault="008B1B3A" w:rsidP="008B1B3A">
      <w:pPr>
        <w:keepNext/>
        <w:numPr>
          <w:ilvl w:val="2"/>
          <w:numId w:val="1"/>
        </w:numPr>
        <w:tabs>
          <w:tab w:val="left" w:pos="1134"/>
          <w:tab w:val="left" w:pos="1701"/>
        </w:tabs>
        <w:spacing w:line="276" w:lineRule="auto"/>
        <w:ind w:left="1134" w:right="567"/>
        <w:contextualSpacing/>
        <w:rPr>
          <w:rFonts w:cs="Arial"/>
          <w:szCs w:val="18"/>
        </w:rPr>
      </w:pPr>
      <w:r w:rsidRPr="008B1B3A">
        <w:rPr>
          <w:rFonts w:cs="Arial"/>
          <w:szCs w:val="18"/>
        </w:rPr>
        <w:t>Date and document number of UPOV Test Guidelines</w:t>
      </w:r>
      <w:r w:rsidRPr="008B1B3A">
        <w:rPr>
          <w:rFonts w:cs="Arial"/>
          <w:snapToGrid w:val="0"/>
          <w:szCs w:val="18"/>
        </w:rPr>
        <w:t>;</w:t>
      </w:r>
    </w:p>
    <w:p w:rsidR="008B1B3A" w:rsidRPr="008B1B3A" w:rsidRDefault="008B1B3A" w:rsidP="008B1B3A">
      <w:pPr>
        <w:numPr>
          <w:ilvl w:val="2"/>
          <w:numId w:val="1"/>
        </w:numPr>
        <w:tabs>
          <w:tab w:val="left" w:pos="1134"/>
          <w:tab w:val="left" w:pos="1701"/>
          <w:tab w:val="left" w:pos="5103"/>
        </w:tabs>
        <w:spacing w:line="276" w:lineRule="auto"/>
        <w:ind w:left="1134" w:right="567"/>
        <w:contextualSpacing/>
        <w:rPr>
          <w:rFonts w:cs="Arial"/>
          <w:szCs w:val="18"/>
        </w:rPr>
      </w:pPr>
      <w:r w:rsidRPr="008B1B3A">
        <w:rPr>
          <w:rFonts w:cs="Arial"/>
          <w:szCs w:val="18"/>
        </w:rPr>
        <w:t>Date and/or document number of Reporting Authority’s test guidelines</w:t>
      </w:r>
      <w:r w:rsidRPr="008B1B3A">
        <w:rPr>
          <w:rFonts w:cs="Arial"/>
          <w:snapToGrid w:val="0"/>
          <w:szCs w:val="18"/>
        </w:rPr>
        <w:t>;</w:t>
      </w:r>
    </w:p>
    <w:p w:rsidR="008B1B3A" w:rsidRPr="008B1B3A" w:rsidRDefault="008B1B3A" w:rsidP="008B1B3A">
      <w:pPr>
        <w:numPr>
          <w:ilvl w:val="2"/>
          <w:numId w:val="1"/>
        </w:numPr>
        <w:tabs>
          <w:tab w:val="left" w:pos="1134"/>
          <w:tab w:val="left" w:pos="1701"/>
          <w:tab w:val="left" w:pos="5103"/>
        </w:tabs>
        <w:spacing w:line="276" w:lineRule="auto"/>
        <w:ind w:left="1134" w:right="567"/>
        <w:contextualSpacing/>
        <w:rPr>
          <w:rFonts w:cs="Arial"/>
          <w:szCs w:val="18"/>
        </w:rPr>
      </w:pPr>
      <w:r w:rsidRPr="008B1B3A">
        <w:rPr>
          <w:rFonts w:cs="Arial"/>
          <w:szCs w:val="18"/>
        </w:rPr>
        <w:t>Reporting Authority</w:t>
      </w:r>
      <w:r w:rsidRPr="008B1B3A">
        <w:rPr>
          <w:rFonts w:cs="Arial"/>
          <w:snapToGrid w:val="0"/>
          <w:szCs w:val="18"/>
        </w:rPr>
        <w:t>;</w:t>
      </w:r>
    </w:p>
    <w:p w:rsidR="008B1B3A" w:rsidRPr="008B1B3A" w:rsidRDefault="008B1B3A" w:rsidP="008B1B3A">
      <w:pPr>
        <w:numPr>
          <w:ilvl w:val="2"/>
          <w:numId w:val="1"/>
        </w:numPr>
        <w:tabs>
          <w:tab w:val="left" w:pos="1134"/>
          <w:tab w:val="left" w:pos="1701"/>
          <w:tab w:val="left" w:pos="5103"/>
        </w:tabs>
        <w:spacing w:line="276" w:lineRule="auto"/>
        <w:ind w:left="1134" w:right="567"/>
        <w:contextualSpacing/>
        <w:rPr>
          <w:rFonts w:cs="Arial"/>
          <w:szCs w:val="18"/>
        </w:rPr>
      </w:pPr>
      <w:r w:rsidRPr="008B1B3A">
        <w:rPr>
          <w:rFonts w:cs="Arial"/>
          <w:szCs w:val="18"/>
        </w:rPr>
        <w:t>Testing station(s) and place(s)</w:t>
      </w:r>
      <w:r w:rsidRPr="008B1B3A">
        <w:rPr>
          <w:rFonts w:cs="Arial"/>
          <w:snapToGrid w:val="0"/>
          <w:szCs w:val="18"/>
        </w:rPr>
        <w:t>;</w:t>
      </w:r>
    </w:p>
    <w:p w:rsidR="008B1B3A" w:rsidRPr="008B1B3A" w:rsidRDefault="008B1B3A" w:rsidP="008B1B3A">
      <w:pPr>
        <w:numPr>
          <w:ilvl w:val="2"/>
          <w:numId w:val="1"/>
        </w:numPr>
        <w:tabs>
          <w:tab w:val="left" w:pos="1134"/>
          <w:tab w:val="left" w:pos="1701"/>
          <w:tab w:val="left" w:pos="5103"/>
        </w:tabs>
        <w:spacing w:line="276" w:lineRule="auto"/>
        <w:ind w:left="1134" w:right="567"/>
        <w:contextualSpacing/>
        <w:rPr>
          <w:rFonts w:cs="Arial"/>
          <w:szCs w:val="18"/>
        </w:rPr>
      </w:pPr>
      <w:r w:rsidRPr="008B1B3A">
        <w:rPr>
          <w:rFonts w:cs="Arial"/>
          <w:szCs w:val="18"/>
        </w:rPr>
        <w:t>Period of testing</w:t>
      </w:r>
      <w:r w:rsidRPr="008B1B3A">
        <w:rPr>
          <w:rFonts w:cs="Arial"/>
          <w:snapToGrid w:val="0"/>
          <w:szCs w:val="18"/>
        </w:rPr>
        <w:t>;</w:t>
      </w:r>
    </w:p>
    <w:p w:rsidR="008B1B3A" w:rsidRPr="008B1B3A" w:rsidRDefault="008B1B3A" w:rsidP="008B1B3A">
      <w:pPr>
        <w:numPr>
          <w:ilvl w:val="2"/>
          <w:numId w:val="1"/>
        </w:numPr>
        <w:tabs>
          <w:tab w:val="left" w:pos="1134"/>
          <w:tab w:val="left" w:pos="1701"/>
          <w:tab w:val="left" w:pos="5103"/>
        </w:tabs>
        <w:spacing w:line="276" w:lineRule="auto"/>
        <w:ind w:left="1134" w:right="567"/>
        <w:contextualSpacing/>
        <w:rPr>
          <w:rFonts w:cs="Arial"/>
          <w:szCs w:val="18"/>
        </w:rPr>
      </w:pPr>
      <w:r w:rsidRPr="008B1B3A">
        <w:rPr>
          <w:rFonts w:cs="Arial"/>
          <w:szCs w:val="18"/>
        </w:rPr>
        <w:t>Date and place of issue of document</w:t>
      </w:r>
      <w:r w:rsidRPr="008B1B3A">
        <w:rPr>
          <w:rFonts w:cs="Arial"/>
          <w:snapToGrid w:val="0"/>
          <w:szCs w:val="18"/>
        </w:rPr>
        <w:t>;</w:t>
      </w:r>
    </w:p>
    <w:p w:rsidR="008B1B3A" w:rsidRPr="008B1B3A" w:rsidRDefault="008B1B3A" w:rsidP="008B1B3A">
      <w:pPr>
        <w:numPr>
          <w:ilvl w:val="2"/>
          <w:numId w:val="1"/>
        </w:numPr>
        <w:tabs>
          <w:tab w:val="left" w:pos="1134"/>
          <w:tab w:val="left" w:pos="1701"/>
        </w:tabs>
        <w:spacing w:line="276" w:lineRule="auto"/>
        <w:ind w:left="1134" w:right="567"/>
        <w:contextualSpacing/>
        <w:rPr>
          <w:rFonts w:cs="Arial"/>
          <w:szCs w:val="18"/>
        </w:rPr>
      </w:pPr>
      <w:r w:rsidRPr="008B1B3A">
        <w:rPr>
          <w:rFonts w:cs="Arial"/>
          <w:szCs w:val="18"/>
        </w:rPr>
        <w:t>Group: (Table: Characteristics; States of Expression; Note; Remarks)</w:t>
      </w:r>
      <w:r w:rsidRPr="008B1B3A">
        <w:rPr>
          <w:rFonts w:cs="Arial"/>
          <w:snapToGrid w:val="0"/>
          <w:szCs w:val="18"/>
        </w:rPr>
        <w:t>.</w:t>
      </w:r>
    </w:p>
    <w:p w:rsidR="008B1B3A" w:rsidRPr="008B1B3A" w:rsidRDefault="008B1B3A" w:rsidP="008B1B3A">
      <w:pPr>
        <w:keepNext/>
        <w:numPr>
          <w:ilvl w:val="2"/>
          <w:numId w:val="1"/>
        </w:numPr>
        <w:tabs>
          <w:tab w:val="left" w:pos="1134"/>
          <w:tab w:val="left" w:pos="1701"/>
        </w:tabs>
        <w:spacing w:line="276" w:lineRule="auto"/>
        <w:ind w:left="1134" w:right="567"/>
        <w:contextualSpacing/>
        <w:rPr>
          <w:rFonts w:cs="Arial"/>
          <w:szCs w:val="18"/>
        </w:rPr>
      </w:pPr>
      <w:r w:rsidRPr="008B1B3A">
        <w:rPr>
          <w:rFonts w:cs="Arial"/>
          <w:szCs w:val="18"/>
        </w:rPr>
        <w:lastRenderedPageBreak/>
        <w:t>Additional Information:</w:t>
      </w:r>
    </w:p>
    <w:p w:rsidR="008B1B3A" w:rsidRPr="008B1B3A" w:rsidRDefault="008B1B3A" w:rsidP="008B1B3A">
      <w:pPr>
        <w:keepNext/>
        <w:tabs>
          <w:tab w:val="left" w:pos="1134"/>
          <w:tab w:val="left" w:pos="1701"/>
          <w:tab w:val="left" w:pos="2268"/>
          <w:tab w:val="left" w:pos="2835"/>
        </w:tabs>
        <w:spacing w:line="276" w:lineRule="auto"/>
        <w:ind w:left="1134" w:right="567"/>
        <w:rPr>
          <w:rFonts w:cs="Arial"/>
          <w:szCs w:val="18"/>
        </w:rPr>
      </w:pPr>
      <w:r w:rsidRPr="008B1B3A">
        <w:rPr>
          <w:rFonts w:cs="Arial"/>
          <w:szCs w:val="18"/>
        </w:rPr>
        <w:tab/>
        <w:t>(a)</w:t>
      </w:r>
      <w:r w:rsidRPr="008B1B3A">
        <w:rPr>
          <w:rFonts w:cs="Arial"/>
          <w:szCs w:val="18"/>
        </w:rPr>
        <w:tab/>
        <w:t>Additional Data</w:t>
      </w:r>
    </w:p>
    <w:p w:rsidR="008B1B3A" w:rsidRPr="008B1B3A" w:rsidRDefault="008B1B3A" w:rsidP="008B1B3A">
      <w:pPr>
        <w:keepNext/>
        <w:tabs>
          <w:tab w:val="left" w:pos="1134"/>
          <w:tab w:val="left" w:pos="1701"/>
          <w:tab w:val="left" w:pos="2268"/>
          <w:tab w:val="left" w:pos="2835"/>
        </w:tabs>
        <w:spacing w:line="276" w:lineRule="auto"/>
        <w:ind w:left="1134" w:right="567"/>
        <w:rPr>
          <w:rFonts w:cs="Arial"/>
          <w:color w:val="000000"/>
          <w:szCs w:val="18"/>
        </w:rPr>
      </w:pPr>
      <w:r w:rsidRPr="008B1B3A">
        <w:rPr>
          <w:rFonts w:cs="Arial"/>
          <w:szCs w:val="18"/>
        </w:rPr>
        <w:tab/>
      </w:r>
      <w:r w:rsidRPr="008B1B3A">
        <w:rPr>
          <w:rFonts w:cs="Arial"/>
          <w:color w:val="000000"/>
          <w:szCs w:val="18"/>
        </w:rPr>
        <w:t>(b)</w:t>
      </w:r>
      <w:r w:rsidRPr="008B1B3A">
        <w:rPr>
          <w:rFonts w:cs="Arial"/>
          <w:color w:val="000000"/>
          <w:szCs w:val="18"/>
        </w:rPr>
        <w:tab/>
        <w:t>Photograph (if appropriate)</w:t>
      </w:r>
    </w:p>
    <w:p w:rsidR="008B1B3A" w:rsidRPr="008B1B3A" w:rsidRDefault="008B1B3A" w:rsidP="008B1B3A">
      <w:pPr>
        <w:keepNext/>
        <w:tabs>
          <w:tab w:val="left" w:pos="1134"/>
          <w:tab w:val="left" w:pos="1701"/>
          <w:tab w:val="left" w:pos="2268"/>
          <w:tab w:val="left" w:pos="2835"/>
        </w:tabs>
        <w:spacing w:line="276" w:lineRule="auto"/>
        <w:ind w:left="1134" w:right="567"/>
        <w:rPr>
          <w:rFonts w:cs="Arial"/>
          <w:color w:val="000000"/>
          <w:szCs w:val="18"/>
        </w:rPr>
      </w:pPr>
      <w:r w:rsidRPr="008B1B3A">
        <w:rPr>
          <w:rFonts w:cs="Arial"/>
          <w:szCs w:val="18"/>
        </w:rPr>
        <w:tab/>
      </w:r>
      <w:r w:rsidRPr="008B1B3A">
        <w:rPr>
          <w:rFonts w:cs="Arial"/>
          <w:color w:val="000000"/>
          <w:szCs w:val="18"/>
        </w:rPr>
        <w:t>(c)</w:t>
      </w:r>
      <w:r w:rsidRPr="008B1B3A">
        <w:rPr>
          <w:rFonts w:cs="Arial"/>
          <w:color w:val="000000"/>
          <w:szCs w:val="18"/>
        </w:rPr>
        <w:tab/>
        <w:t xml:space="preserve">RHS </w:t>
      </w:r>
      <w:proofErr w:type="spellStart"/>
      <w:r w:rsidRPr="008B1B3A">
        <w:rPr>
          <w:rFonts w:cs="Arial"/>
          <w:color w:val="000000"/>
          <w:szCs w:val="18"/>
        </w:rPr>
        <w:t>Colour</w:t>
      </w:r>
      <w:proofErr w:type="spellEnd"/>
      <w:r w:rsidRPr="008B1B3A">
        <w:rPr>
          <w:rFonts w:cs="Arial"/>
          <w:color w:val="000000"/>
          <w:szCs w:val="18"/>
        </w:rPr>
        <w:t xml:space="preserve"> Chart version used (if appropriate)</w:t>
      </w:r>
    </w:p>
    <w:p w:rsidR="008B1B3A" w:rsidRPr="008B1B3A" w:rsidRDefault="008B1B3A" w:rsidP="008B1B3A">
      <w:pPr>
        <w:keepNext/>
        <w:tabs>
          <w:tab w:val="left" w:pos="284"/>
          <w:tab w:val="left" w:pos="1134"/>
          <w:tab w:val="left" w:pos="1701"/>
          <w:tab w:val="left" w:pos="2268"/>
          <w:tab w:val="left" w:pos="2835"/>
        </w:tabs>
        <w:spacing w:line="276" w:lineRule="auto"/>
        <w:ind w:left="1134" w:right="567"/>
        <w:rPr>
          <w:rFonts w:cs="Arial"/>
          <w:szCs w:val="18"/>
        </w:rPr>
      </w:pPr>
      <w:r w:rsidRPr="008B1B3A">
        <w:rPr>
          <w:rFonts w:cs="Arial"/>
          <w:szCs w:val="18"/>
        </w:rPr>
        <w:tab/>
        <w:t>(d)</w:t>
      </w:r>
      <w:r w:rsidRPr="008B1B3A">
        <w:rPr>
          <w:rFonts w:cs="Arial"/>
          <w:szCs w:val="18"/>
        </w:rPr>
        <w:tab/>
        <w:t>Remarks</w:t>
      </w:r>
    </w:p>
    <w:p w:rsidR="008B1B3A" w:rsidRPr="008B1B3A" w:rsidRDefault="008B1B3A" w:rsidP="008B1B3A">
      <w:pPr>
        <w:jc w:val="right"/>
      </w:pPr>
    </w:p>
    <w:p w:rsidR="004F5247" w:rsidRDefault="004F5247" w:rsidP="004F5247">
      <w:pPr>
        <w:rPr>
          <w:lang w:val="en-GB"/>
        </w:rPr>
      </w:pPr>
    </w:p>
    <w:p w:rsidR="00D76A42" w:rsidRDefault="00D76A42" w:rsidP="004F5247">
      <w:pPr>
        <w:rPr>
          <w:lang w:val="en-GB"/>
        </w:rPr>
      </w:pPr>
    </w:p>
    <w:p w:rsidR="002D6590" w:rsidRPr="004F5247" w:rsidRDefault="002D6590" w:rsidP="004F5247">
      <w:pPr>
        <w:rPr>
          <w:lang w:val="en-GB"/>
        </w:rPr>
      </w:pPr>
    </w:p>
    <w:p w:rsidR="004F5247" w:rsidRPr="004F5247" w:rsidRDefault="004F5247" w:rsidP="004F5247">
      <w:pPr>
        <w:rPr>
          <w:caps/>
          <w:lang w:val="en-GB"/>
        </w:rPr>
      </w:pPr>
      <w:r w:rsidRPr="004F5247">
        <w:rPr>
          <w:caps/>
          <w:lang w:val="en-GB"/>
        </w:rPr>
        <w:t xml:space="preserve">Conclusions of the European Union </w:t>
      </w:r>
    </w:p>
    <w:p w:rsidR="004F5247" w:rsidRPr="004F5247" w:rsidRDefault="004F5247" w:rsidP="004F5247">
      <w:pPr>
        <w:rPr>
          <w:lang w:val="en-GB"/>
        </w:rPr>
      </w:pPr>
    </w:p>
    <w:p w:rsidR="004F5247" w:rsidRPr="004F5247" w:rsidRDefault="004F5247" w:rsidP="004F5247">
      <w:pPr>
        <w:rPr>
          <w:lang w:val="en-GB"/>
        </w:rPr>
      </w:pPr>
      <w:r w:rsidRPr="004F5247">
        <w:rPr>
          <w:lang w:val="en-GB"/>
        </w:rPr>
        <w:t xml:space="preserve">The TC agreed to invite the European Union to compile further guidance on the role of the variety description and role of plant material used as the basis for the DUS examination. It </w:t>
      </w:r>
      <w:proofErr w:type="gramStart"/>
      <w:r w:rsidRPr="004F5247">
        <w:rPr>
          <w:lang w:val="en-GB"/>
        </w:rPr>
        <w:t>was in particular requested</w:t>
      </w:r>
      <w:proofErr w:type="gramEnd"/>
      <w:r w:rsidRPr="004F5247">
        <w:rPr>
          <w:lang w:val="en-GB"/>
        </w:rPr>
        <w:t xml:space="preserve"> to provide the Conclusion the European Union drew from a survey conducted amongst the examination offices working on behalf of the CPVO. </w:t>
      </w:r>
    </w:p>
    <w:p w:rsidR="004F5247" w:rsidRPr="004F5247" w:rsidRDefault="004F5247" w:rsidP="004F5247">
      <w:pPr>
        <w:rPr>
          <w:rFonts w:cs="Arial"/>
          <w:lang w:val="en-GB"/>
        </w:rPr>
      </w:pPr>
    </w:p>
    <w:p w:rsidR="004F5247" w:rsidRPr="004F5247" w:rsidRDefault="004F5247" w:rsidP="00F40352">
      <w:pPr>
        <w:numPr>
          <w:ilvl w:val="0"/>
          <w:numId w:val="3"/>
        </w:numPr>
        <w:tabs>
          <w:tab w:val="left" w:pos="567"/>
        </w:tabs>
        <w:ind w:left="709"/>
        <w:rPr>
          <w:lang w:val="en-GB"/>
        </w:rPr>
      </w:pPr>
      <w:r w:rsidRPr="004F5247">
        <w:rPr>
          <w:lang w:val="en-GB"/>
        </w:rPr>
        <w:t xml:space="preserve">Notes of similar varieties in official variety descriptions </w:t>
      </w:r>
    </w:p>
    <w:p w:rsidR="004F5247" w:rsidRPr="004F5247" w:rsidRDefault="004F5247" w:rsidP="004F5247">
      <w:pPr>
        <w:ind w:left="1080"/>
        <w:rPr>
          <w:lang w:val="en-GB"/>
        </w:rPr>
      </w:pPr>
    </w:p>
    <w:p w:rsidR="004F5247" w:rsidRPr="004F5247" w:rsidRDefault="004F5247" w:rsidP="00A013CC">
      <w:pPr>
        <w:rPr>
          <w:lang w:val="en-GB"/>
        </w:rPr>
      </w:pPr>
      <w:r w:rsidRPr="004F5247">
        <w:rPr>
          <w:lang w:val="en-GB"/>
        </w:rPr>
        <w:t xml:space="preserve">In the survey conducted about 50% of the CPVO examination offices reported that the notes to describe the state of expression of similar varieties listed in the description of the candidate </w:t>
      </w:r>
      <w:proofErr w:type="gramStart"/>
      <w:r w:rsidRPr="004F5247">
        <w:rPr>
          <w:lang w:val="en-GB"/>
        </w:rPr>
        <w:t>were taken over</w:t>
      </w:r>
      <w:proofErr w:type="gramEnd"/>
      <w:r w:rsidRPr="004F5247">
        <w:rPr>
          <w:lang w:val="en-GB"/>
        </w:rPr>
        <w:t xml:space="preserve"> from the official variety description. The other 50% of the examination offices reported that all notes are describing the reference </w:t>
      </w:r>
      <w:proofErr w:type="gramStart"/>
      <w:r w:rsidRPr="004F5247">
        <w:rPr>
          <w:lang w:val="en-GB"/>
        </w:rPr>
        <w:t>variety</w:t>
      </w:r>
      <w:proofErr w:type="gramEnd"/>
      <w:r w:rsidRPr="004F5247">
        <w:rPr>
          <w:lang w:val="en-GB"/>
        </w:rPr>
        <w:t xml:space="preserve"> as it appeared when it was grown side-by-side to the candidate. </w:t>
      </w:r>
    </w:p>
    <w:p w:rsidR="004F5247" w:rsidRPr="004F5247" w:rsidRDefault="004F5247" w:rsidP="00A013CC">
      <w:pPr>
        <w:rPr>
          <w:lang w:val="en-GB"/>
        </w:rPr>
      </w:pPr>
    </w:p>
    <w:p w:rsidR="004F5247" w:rsidRPr="004F5247" w:rsidRDefault="004F5247" w:rsidP="00A013CC">
      <w:pPr>
        <w:rPr>
          <w:lang w:val="en-GB"/>
        </w:rPr>
      </w:pPr>
      <w:r w:rsidRPr="004F5247">
        <w:rPr>
          <w:lang w:val="en-GB"/>
        </w:rPr>
        <w:t xml:space="preserve">It </w:t>
      </w:r>
      <w:proofErr w:type="gramStart"/>
      <w:r w:rsidRPr="004F5247">
        <w:rPr>
          <w:lang w:val="en-GB"/>
        </w:rPr>
        <w:t>was concluded</w:t>
      </w:r>
      <w:proofErr w:type="gramEnd"/>
      <w:r w:rsidRPr="004F5247">
        <w:rPr>
          <w:lang w:val="en-GB"/>
        </w:rPr>
        <w:t xml:space="preserve"> that the purpose of listing similar varieties in the description is not to substantiate the continued existence unchanged of the reference variety but to corroborate the distinctness declaration made in the examination report. Therefore, the notes describing the similar varieties shall reflect the expression of the relevant characteristics as observed in the growing trial of the candidate variety. </w:t>
      </w:r>
    </w:p>
    <w:p w:rsidR="004F5247" w:rsidRPr="004F5247" w:rsidRDefault="004F5247" w:rsidP="004F5247">
      <w:pPr>
        <w:rPr>
          <w:lang w:val="en-GB"/>
        </w:rPr>
      </w:pPr>
    </w:p>
    <w:p w:rsidR="004F5247" w:rsidRPr="004F5247" w:rsidRDefault="004F5247" w:rsidP="00F40352">
      <w:pPr>
        <w:numPr>
          <w:ilvl w:val="0"/>
          <w:numId w:val="3"/>
        </w:numPr>
        <w:tabs>
          <w:tab w:val="left" w:pos="567"/>
        </w:tabs>
        <w:ind w:left="709"/>
        <w:rPr>
          <w:rFonts w:cs="Tahoma"/>
          <w:szCs w:val="18"/>
          <w:lang w:val="en-GB" w:eastAsia="fr-FR"/>
        </w:rPr>
      </w:pPr>
      <w:r w:rsidRPr="004F5247">
        <w:rPr>
          <w:rFonts w:cs="Tahoma"/>
          <w:szCs w:val="18"/>
          <w:lang w:val="en-GB" w:eastAsia="fr-FR"/>
        </w:rPr>
        <w:t>Amending variety descriptions</w:t>
      </w:r>
    </w:p>
    <w:p w:rsidR="004F5247" w:rsidRPr="004F5247" w:rsidRDefault="004F5247" w:rsidP="004F5247">
      <w:pPr>
        <w:ind w:left="1080"/>
        <w:rPr>
          <w:rFonts w:cs="Tahoma"/>
          <w:szCs w:val="18"/>
          <w:lang w:val="en-GB" w:eastAsia="fr-FR"/>
        </w:rPr>
      </w:pPr>
    </w:p>
    <w:p w:rsidR="004F5247" w:rsidRPr="004F5247" w:rsidRDefault="00A013CC" w:rsidP="00A013CC">
      <w:pPr>
        <w:rPr>
          <w:rFonts w:cs="Tahoma"/>
          <w:szCs w:val="18"/>
          <w:lang w:val="en-GB" w:eastAsia="fr-FR"/>
        </w:rPr>
      </w:pPr>
      <w:r>
        <w:rPr>
          <w:rFonts w:cs="Tahoma"/>
          <w:szCs w:val="18"/>
          <w:lang w:val="en-GB" w:eastAsia="fr-FR"/>
        </w:rPr>
        <w:t xml:space="preserve">Document </w:t>
      </w:r>
      <w:r w:rsidR="004F5247" w:rsidRPr="004F5247">
        <w:rPr>
          <w:rFonts w:cs="Tahoma"/>
          <w:szCs w:val="18"/>
          <w:lang w:val="en-GB" w:eastAsia="fr-FR"/>
        </w:rPr>
        <w:t>TGP/4</w:t>
      </w:r>
      <w:r>
        <w:rPr>
          <w:rFonts w:cs="Tahoma"/>
          <w:szCs w:val="18"/>
          <w:lang w:val="en-GB" w:eastAsia="fr-FR"/>
        </w:rPr>
        <w:t xml:space="preserve"> “</w:t>
      </w:r>
      <w:r w:rsidRPr="00A013CC">
        <w:rPr>
          <w:rFonts w:cs="Tahoma"/>
          <w:szCs w:val="18"/>
          <w:lang w:val="en-GB" w:eastAsia="fr-FR"/>
        </w:rPr>
        <w:t>Constitution and Maintenance of Variety Collections</w:t>
      </w:r>
      <w:r>
        <w:rPr>
          <w:rFonts w:cs="Tahoma"/>
          <w:szCs w:val="18"/>
          <w:lang w:val="en-GB" w:eastAsia="fr-FR"/>
        </w:rPr>
        <w:t>”</w:t>
      </w:r>
      <w:r w:rsidR="004F5247" w:rsidRPr="004F5247">
        <w:rPr>
          <w:rFonts w:cs="Tahoma"/>
          <w:szCs w:val="18"/>
          <w:lang w:val="en-GB" w:eastAsia="fr-FR"/>
        </w:rPr>
        <w:t xml:space="preserve"> explains in section 3.1.1: “</w:t>
      </w:r>
      <w:r w:rsidR="004F5247" w:rsidRPr="004F5247">
        <w:rPr>
          <w:rFonts w:cs="Tahoma"/>
          <w:i/>
          <w:szCs w:val="18"/>
          <w:lang w:val="en-GB" w:eastAsia="fr-FR"/>
        </w:rPr>
        <w:t xml:space="preserve">With regard to descriptions based on the relevant UPOV Test Guidelines, it is important to note that UPOV Test Guidelines may be revised (see document TGP/7), possibly leading to the introduction of some new characteristics and the deletion of some others from the table of characteristics. Furthermore, the states of expression of a characteristic </w:t>
      </w:r>
      <w:proofErr w:type="gramStart"/>
      <w:r w:rsidR="004F5247" w:rsidRPr="004F5247">
        <w:rPr>
          <w:rFonts w:cs="Tahoma"/>
          <w:i/>
          <w:szCs w:val="18"/>
          <w:lang w:val="en-GB" w:eastAsia="fr-FR"/>
        </w:rPr>
        <w:t>may be amended</w:t>
      </w:r>
      <w:proofErr w:type="gramEnd"/>
      <w:r w:rsidR="004F5247" w:rsidRPr="004F5247">
        <w:rPr>
          <w:rFonts w:cs="Tahoma"/>
          <w:i/>
          <w:szCs w:val="18"/>
          <w:lang w:val="en-GB" w:eastAsia="fr-FR"/>
        </w:rPr>
        <w:t xml:space="preserve">. Therefore, </w:t>
      </w:r>
      <w:proofErr w:type="gramStart"/>
      <w:r w:rsidR="004F5247" w:rsidRPr="004F5247">
        <w:rPr>
          <w:rFonts w:cs="Tahoma"/>
          <w:i/>
          <w:szCs w:val="18"/>
          <w:lang w:val="en-GB" w:eastAsia="fr-FR"/>
        </w:rPr>
        <w:t>descriptions which have been prepared using different versions of the UPOV Test Guidelines for the same species or group of species</w:t>
      </w:r>
      <w:proofErr w:type="gramEnd"/>
      <w:r w:rsidR="004F5247" w:rsidRPr="004F5247">
        <w:rPr>
          <w:rFonts w:cs="Tahoma"/>
          <w:i/>
          <w:szCs w:val="18"/>
          <w:lang w:val="en-GB" w:eastAsia="fr-FR"/>
        </w:rPr>
        <w:t xml:space="preserve"> may not be fully compatible. In these cases, the descriptions should be aligned as far as possible.</w:t>
      </w:r>
      <w:r w:rsidR="004F5247" w:rsidRPr="004F5247">
        <w:rPr>
          <w:rFonts w:cs="Tahoma"/>
          <w:szCs w:val="18"/>
          <w:lang w:val="en-GB" w:eastAsia="fr-FR"/>
        </w:rPr>
        <w:t xml:space="preserve">”  </w:t>
      </w:r>
    </w:p>
    <w:p w:rsidR="004F5247" w:rsidRPr="004F5247" w:rsidRDefault="004F5247" w:rsidP="00A013CC">
      <w:pPr>
        <w:rPr>
          <w:rFonts w:cs="Tahoma"/>
          <w:szCs w:val="18"/>
          <w:lang w:val="en-GB" w:eastAsia="fr-FR"/>
        </w:rPr>
      </w:pPr>
    </w:p>
    <w:p w:rsidR="004F5247" w:rsidRPr="004F5247" w:rsidRDefault="004F5247" w:rsidP="00A013CC">
      <w:pPr>
        <w:rPr>
          <w:rFonts w:cs="Tahoma"/>
          <w:szCs w:val="18"/>
          <w:lang w:val="en-GB" w:eastAsia="fr-FR"/>
        </w:rPr>
      </w:pPr>
      <w:r w:rsidRPr="004F5247">
        <w:rPr>
          <w:rFonts w:cs="Tahoma"/>
          <w:szCs w:val="18"/>
          <w:lang w:val="en-GB" w:eastAsia="fr-FR"/>
        </w:rPr>
        <w:t xml:space="preserve">The legislation on plant variety rights in the European Union foresees the possibility to adapt the official variety description in the light of the current principles in order to render the description of a variety for which plant breeder’s rights </w:t>
      </w:r>
      <w:proofErr w:type="gramStart"/>
      <w:r w:rsidRPr="004F5247">
        <w:rPr>
          <w:rFonts w:cs="Tahoma"/>
          <w:szCs w:val="18"/>
          <w:lang w:val="en-GB" w:eastAsia="fr-FR"/>
        </w:rPr>
        <w:t>were granted</w:t>
      </w:r>
      <w:proofErr w:type="gramEnd"/>
      <w:r w:rsidRPr="004F5247">
        <w:rPr>
          <w:rFonts w:cs="Tahoma"/>
          <w:szCs w:val="18"/>
          <w:lang w:val="en-GB" w:eastAsia="fr-FR"/>
        </w:rPr>
        <w:t xml:space="preserve"> in the past comparable with descriptions of other varieties. As </w:t>
      </w:r>
      <w:proofErr w:type="gramStart"/>
      <w:r w:rsidRPr="004F5247">
        <w:rPr>
          <w:rFonts w:cs="Tahoma"/>
          <w:szCs w:val="18"/>
          <w:lang w:val="en-GB" w:eastAsia="fr-FR"/>
        </w:rPr>
        <w:t>such</w:t>
      </w:r>
      <w:proofErr w:type="gramEnd"/>
      <w:r w:rsidRPr="004F5247">
        <w:rPr>
          <w:rFonts w:cs="Tahoma"/>
          <w:szCs w:val="18"/>
          <w:lang w:val="en-GB" w:eastAsia="fr-FR"/>
        </w:rPr>
        <w:t xml:space="preserve"> amendments have official character all stakeholders need to be aware: the title holder receives a document, the plant variety rights authorities and the general public are informed on the amended official variety descriptions in the same way as on the initial official variety description. This means for the CPVO, a publication in the official Gazette and public access to the document upon req</w:t>
      </w:r>
      <w:r w:rsidR="00973DE9">
        <w:rPr>
          <w:rFonts w:cs="Tahoma"/>
          <w:szCs w:val="18"/>
          <w:lang w:val="en-GB" w:eastAsia="fr-FR"/>
        </w:rPr>
        <w:t>uest. In practice, however, the </w:t>
      </w:r>
      <w:bookmarkStart w:id="8" w:name="_GoBack"/>
      <w:bookmarkEnd w:id="8"/>
      <w:r w:rsidRPr="004F5247">
        <w:rPr>
          <w:rFonts w:cs="Tahoma"/>
          <w:szCs w:val="18"/>
          <w:lang w:val="en-GB" w:eastAsia="fr-FR"/>
        </w:rPr>
        <w:t xml:space="preserve">CPVO has hardly ever made use of this possibility provided by the legislator. </w:t>
      </w:r>
    </w:p>
    <w:p w:rsidR="004F5247" w:rsidRPr="004F5247" w:rsidRDefault="004F5247" w:rsidP="00A013CC">
      <w:pPr>
        <w:rPr>
          <w:rFonts w:cs="Tahoma"/>
          <w:szCs w:val="18"/>
          <w:lang w:val="en-GB" w:eastAsia="fr-FR"/>
        </w:rPr>
      </w:pPr>
    </w:p>
    <w:p w:rsidR="004F5247" w:rsidRPr="004F5247" w:rsidRDefault="004F5247" w:rsidP="00A013CC">
      <w:pPr>
        <w:rPr>
          <w:rFonts w:cs="Tahoma"/>
          <w:szCs w:val="18"/>
          <w:lang w:val="en-GB" w:eastAsia="fr-FR"/>
        </w:rPr>
      </w:pPr>
      <w:r w:rsidRPr="004F5247">
        <w:rPr>
          <w:rFonts w:cs="Tahoma"/>
          <w:szCs w:val="18"/>
          <w:lang w:val="en-GB" w:eastAsia="fr-FR"/>
        </w:rPr>
        <w:t xml:space="preserve">Irrespective of amendments of official variety descriptions, examination offices do regularly update their descriptive data to reflect the evolution of test guidelines. Such updates </w:t>
      </w:r>
      <w:proofErr w:type="gramStart"/>
      <w:r w:rsidRPr="004F5247">
        <w:rPr>
          <w:rFonts w:cs="Tahoma"/>
          <w:szCs w:val="18"/>
          <w:lang w:val="en-GB" w:eastAsia="fr-FR"/>
        </w:rPr>
        <w:t>are made</w:t>
      </w:r>
      <w:proofErr w:type="gramEnd"/>
      <w:r w:rsidRPr="004F5247">
        <w:rPr>
          <w:rFonts w:cs="Tahoma"/>
          <w:szCs w:val="18"/>
          <w:lang w:val="en-GB" w:eastAsia="fr-FR"/>
        </w:rPr>
        <w:t xml:space="preserve"> for working purpose and have no impact on the official variety description.  </w:t>
      </w:r>
    </w:p>
    <w:p w:rsidR="004F5247" w:rsidRPr="004F5247" w:rsidRDefault="004F5247" w:rsidP="004F5247">
      <w:pPr>
        <w:ind w:left="1080"/>
        <w:rPr>
          <w:rFonts w:cs="Tahoma"/>
          <w:szCs w:val="18"/>
          <w:lang w:val="en-GB" w:eastAsia="fr-FR"/>
        </w:rPr>
      </w:pPr>
    </w:p>
    <w:p w:rsidR="004F5247" w:rsidRPr="004F5247" w:rsidRDefault="004F5247" w:rsidP="00F40352">
      <w:pPr>
        <w:numPr>
          <w:ilvl w:val="0"/>
          <w:numId w:val="3"/>
        </w:numPr>
        <w:tabs>
          <w:tab w:val="left" w:pos="567"/>
        </w:tabs>
        <w:ind w:left="709"/>
        <w:rPr>
          <w:rFonts w:cs="Tahoma"/>
          <w:szCs w:val="18"/>
          <w:lang w:val="en-GB" w:eastAsia="fr-FR"/>
        </w:rPr>
      </w:pPr>
      <w:r w:rsidRPr="004F5247">
        <w:rPr>
          <w:rFonts w:cs="Tahoma"/>
          <w:szCs w:val="18"/>
          <w:lang w:val="en-GB" w:eastAsia="fr-FR"/>
        </w:rPr>
        <w:t>Variety descriptions in shared databases</w:t>
      </w:r>
    </w:p>
    <w:p w:rsidR="004F5247" w:rsidRPr="004F5247" w:rsidRDefault="004F5247" w:rsidP="004F5247">
      <w:pPr>
        <w:ind w:left="1080"/>
        <w:rPr>
          <w:rFonts w:cs="Tahoma"/>
          <w:szCs w:val="18"/>
          <w:lang w:val="en-GB" w:eastAsia="fr-FR"/>
        </w:rPr>
      </w:pPr>
    </w:p>
    <w:p w:rsidR="004F5247" w:rsidRPr="004F5247" w:rsidRDefault="004F5247" w:rsidP="00A013CC">
      <w:pPr>
        <w:rPr>
          <w:rFonts w:cs="Tahoma"/>
          <w:szCs w:val="18"/>
          <w:lang w:val="en-GB" w:eastAsia="fr-FR"/>
        </w:rPr>
      </w:pPr>
      <w:r w:rsidRPr="004F5247">
        <w:rPr>
          <w:rFonts w:cs="Tahoma"/>
          <w:szCs w:val="18"/>
          <w:lang w:val="en-GB" w:eastAsia="fr-FR"/>
        </w:rPr>
        <w:t xml:space="preserve">The purpose of shared databases is to provide examiners with information on varieties so that relevant reference varieties </w:t>
      </w:r>
      <w:proofErr w:type="gramStart"/>
      <w:r w:rsidRPr="004F5247">
        <w:rPr>
          <w:rFonts w:cs="Tahoma"/>
          <w:szCs w:val="18"/>
          <w:lang w:val="en-GB" w:eastAsia="fr-FR"/>
        </w:rPr>
        <w:t>can be identified</w:t>
      </w:r>
      <w:proofErr w:type="gramEnd"/>
      <w:r w:rsidRPr="004F5247">
        <w:rPr>
          <w:rFonts w:cs="Tahoma"/>
          <w:szCs w:val="18"/>
          <w:lang w:val="en-GB" w:eastAsia="fr-FR"/>
        </w:rPr>
        <w:t xml:space="preserve"> efficiently. Where the examiner has not yet grown the reference variety in question information from other official sources may be very useful. </w:t>
      </w:r>
    </w:p>
    <w:p w:rsidR="004F5247" w:rsidRPr="004F5247" w:rsidRDefault="004F5247" w:rsidP="00A013CC">
      <w:pPr>
        <w:rPr>
          <w:rFonts w:cs="Tahoma"/>
          <w:szCs w:val="18"/>
          <w:lang w:val="en-GB" w:eastAsia="fr-FR"/>
        </w:rPr>
      </w:pPr>
    </w:p>
    <w:p w:rsidR="004F5247" w:rsidRPr="004F5247" w:rsidRDefault="004F5247" w:rsidP="00A013CC">
      <w:pPr>
        <w:rPr>
          <w:rFonts w:cs="Tahoma"/>
          <w:szCs w:val="18"/>
          <w:lang w:val="en-GB" w:eastAsia="fr-FR"/>
        </w:rPr>
      </w:pPr>
      <w:r w:rsidRPr="004F5247">
        <w:rPr>
          <w:rFonts w:cs="Tahoma"/>
          <w:szCs w:val="18"/>
          <w:lang w:val="en-GB" w:eastAsia="fr-FR"/>
        </w:rPr>
        <w:t xml:space="preserve">The survey conducted by the CPVO amongst its Examination Offices revealed different approaches. Some Examination Offices are providing only official variety descriptions whereas others provide all descriptive data collected over several growing </w:t>
      </w:r>
      <w:proofErr w:type="gramStart"/>
      <w:r w:rsidRPr="004F5247">
        <w:rPr>
          <w:rFonts w:cs="Tahoma"/>
          <w:szCs w:val="18"/>
          <w:lang w:val="en-GB" w:eastAsia="fr-FR"/>
        </w:rPr>
        <w:t>seasons which</w:t>
      </w:r>
      <w:proofErr w:type="gramEnd"/>
      <w:r w:rsidRPr="004F5247">
        <w:rPr>
          <w:rFonts w:cs="Tahoma"/>
          <w:szCs w:val="18"/>
          <w:lang w:val="en-GB" w:eastAsia="fr-FR"/>
        </w:rPr>
        <w:t xml:space="preserve"> may include also data collected after the grant of plant breeder’s rights. Storing the official variety descriptions may be simple; however, the variety in question </w:t>
      </w:r>
      <w:proofErr w:type="gramStart"/>
      <w:r w:rsidRPr="004F5247">
        <w:rPr>
          <w:rFonts w:cs="Tahoma"/>
          <w:szCs w:val="18"/>
          <w:lang w:val="en-GB" w:eastAsia="fr-FR"/>
        </w:rPr>
        <w:t>has been described</w:t>
      </w:r>
      <w:proofErr w:type="gramEnd"/>
      <w:r w:rsidRPr="004F5247">
        <w:rPr>
          <w:rFonts w:cs="Tahoma"/>
          <w:szCs w:val="18"/>
          <w:lang w:val="en-GB" w:eastAsia="fr-FR"/>
        </w:rPr>
        <w:t xml:space="preserve"> in a specific year under specific environmental conditions and its description may thus not be </w:t>
      </w:r>
      <w:r w:rsidRPr="004F5247">
        <w:rPr>
          <w:rFonts w:cs="Tahoma"/>
          <w:szCs w:val="18"/>
          <w:lang w:val="en-GB" w:eastAsia="fr-FR"/>
        </w:rPr>
        <w:lastRenderedPageBreak/>
        <w:t xml:space="preserve">truly representative for other locations. Examiners from other plant breeder’s rights authorities are mostly not aware of the conditions under which the description of a given variety was prepared and may consequently </w:t>
      </w:r>
      <w:proofErr w:type="gramStart"/>
      <w:r w:rsidRPr="004F5247">
        <w:rPr>
          <w:rFonts w:cs="Tahoma"/>
          <w:szCs w:val="18"/>
          <w:lang w:val="en-GB" w:eastAsia="fr-FR"/>
        </w:rPr>
        <w:t>be misled</w:t>
      </w:r>
      <w:proofErr w:type="gramEnd"/>
      <w:r w:rsidRPr="004F5247">
        <w:rPr>
          <w:rFonts w:cs="Tahoma"/>
          <w:szCs w:val="18"/>
          <w:lang w:val="en-GB" w:eastAsia="fr-FR"/>
        </w:rPr>
        <w:t xml:space="preserve">. By contrast, where such database </w:t>
      </w:r>
      <w:proofErr w:type="gramStart"/>
      <w:r w:rsidRPr="004F5247">
        <w:rPr>
          <w:rFonts w:cs="Tahoma"/>
          <w:szCs w:val="18"/>
          <w:lang w:val="en-GB" w:eastAsia="fr-FR"/>
        </w:rPr>
        <w:t>is regularly fed</w:t>
      </w:r>
      <w:proofErr w:type="gramEnd"/>
      <w:r w:rsidRPr="004F5247">
        <w:rPr>
          <w:rFonts w:cs="Tahoma"/>
          <w:szCs w:val="18"/>
          <w:lang w:val="en-GB" w:eastAsia="fr-FR"/>
        </w:rPr>
        <w:t xml:space="preserve"> with data for a specific variety, descriptive data collected over several years provide valuable information on the range of variation that </w:t>
      </w:r>
      <w:r w:rsidR="002C22C7">
        <w:rPr>
          <w:rFonts w:cs="Tahoma"/>
          <w:szCs w:val="18"/>
          <w:lang w:val="en-GB" w:eastAsia="fr-FR"/>
        </w:rPr>
        <w:t xml:space="preserve">a </w:t>
      </w:r>
      <w:r w:rsidRPr="004F5247">
        <w:rPr>
          <w:rFonts w:cs="Tahoma"/>
          <w:szCs w:val="18"/>
          <w:lang w:val="en-GB" w:eastAsia="fr-FR"/>
        </w:rPr>
        <w:t>variety may express.</w:t>
      </w:r>
    </w:p>
    <w:p w:rsidR="004F5247" w:rsidRPr="004F5247" w:rsidRDefault="004F5247" w:rsidP="00A013CC">
      <w:pPr>
        <w:rPr>
          <w:rFonts w:cs="Tahoma"/>
          <w:szCs w:val="18"/>
          <w:lang w:val="en-GB" w:eastAsia="fr-FR"/>
        </w:rPr>
      </w:pPr>
    </w:p>
    <w:p w:rsidR="004F5247" w:rsidRPr="004F5247" w:rsidRDefault="004F5247" w:rsidP="00A013CC">
      <w:pPr>
        <w:rPr>
          <w:rFonts w:cs="Tahoma"/>
          <w:szCs w:val="18"/>
          <w:lang w:val="en-GB" w:eastAsia="fr-FR"/>
        </w:rPr>
      </w:pPr>
      <w:proofErr w:type="gramStart"/>
      <w:r w:rsidRPr="004F5247">
        <w:rPr>
          <w:rFonts w:cs="Tahoma"/>
          <w:szCs w:val="18"/>
          <w:lang w:val="en-GB" w:eastAsia="fr-FR"/>
        </w:rPr>
        <w:t>It was therefore concluded that a shared database can fulfil its purpose – supporting the efficient selection of relevant reference varieties – only under the condition that the content (the data) to be provided is clearly defined and agreed upon amongst the users and furthermore that all users of such database are aware of precautions to be taken with regard to the comparability of the data.</w:t>
      </w:r>
      <w:proofErr w:type="gramEnd"/>
      <w:r w:rsidRPr="004F5247">
        <w:rPr>
          <w:rFonts w:cs="Tahoma"/>
          <w:szCs w:val="18"/>
          <w:lang w:val="en-GB" w:eastAsia="fr-FR"/>
        </w:rPr>
        <w:t xml:space="preserve"> </w:t>
      </w:r>
    </w:p>
    <w:p w:rsidR="004F5247" w:rsidRDefault="004F5247" w:rsidP="004F5247">
      <w:pPr>
        <w:rPr>
          <w:rFonts w:cs="Tahoma"/>
          <w:szCs w:val="18"/>
          <w:lang w:val="en-GB" w:eastAsia="fr-FR"/>
        </w:rPr>
      </w:pPr>
    </w:p>
    <w:p w:rsidR="004F5247" w:rsidRPr="004F5247" w:rsidRDefault="004F5247" w:rsidP="004F5247"/>
    <w:p w:rsidR="00050E16" w:rsidRDefault="001D6E7A" w:rsidP="00D76A42">
      <w:pPr>
        <w:jc w:val="right"/>
      </w:pPr>
      <w:r>
        <w:t>[End of Annex and of document]</w:t>
      </w:r>
    </w:p>
    <w:p w:rsidR="00D76A42" w:rsidRPr="00C5280D" w:rsidRDefault="00D76A42" w:rsidP="00D76A42">
      <w:pPr>
        <w:jc w:val="right"/>
      </w:pPr>
    </w:p>
    <w:sectPr w:rsidR="00D76A42" w:rsidRPr="00C5280D" w:rsidSect="001D6E7A">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B3A" w:rsidRDefault="008B1B3A" w:rsidP="006655D3">
      <w:r>
        <w:separator/>
      </w:r>
    </w:p>
    <w:p w:rsidR="008B1B3A" w:rsidRDefault="008B1B3A" w:rsidP="006655D3"/>
    <w:p w:rsidR="008B1B3A" w:rsidRDefault="008B1B3A" w:rsidP="006655D3"/>
  </w:endnote>
  <w:endnote w:type="continuationSeparator" w:id="0">
    <w:p w:rsidR="008B1B3A" w:rsidRDefault="008B1B3A" w:rsidP="006655D3">
      <w:r>
        <w:separator/>
      </w:r>
    </w:p>
    <w:p w:rsidR="008B1B3A" w:rsidRPr="00294751" w:rsidRDefault="008B1B3A">
      <w:pPr>
        <w:pStyle w:val="Footer"/>
        <w:spacing w:after="60"/>
        <w:rPr>
          <w:sz w:val="18"/>
          <w:lang w:val="fr-FR"/>
        </w:rPr>
      </w:pPr>
      <w:r w:rsidRPr="00294751">
        <w:rPr>
          <w:sz w:val="18"/>
          <w:lang w:val="fr-FR"/>
        </w:rPr>
        <w:t>[Suite de la note de la page précédente]</w:t>
      </w:r>
    </w:p>
    <w:p w:rsidR="008B1B3A" w:rsidRPr="00294751" w:rsidRDefault="008B1B3A" w:rsidP="006655D3">
      <w:pPr>
        <w:rPr>
          <w:lang w:val="fr-FR"/>
        </w:rPr>
      </w:pPr>
    </w:p>
    <w:p w:rsidR="008B1B3A" w:rsidRPr="00294751" w:rsidRDefault="008B1B3A" w:rsidP="006655D3">
      <w:pPr>
        <w:rPr>
          <w:lang w:val="fr-FR"/>
        </w:rPr>
      </w:pPr>
    </w:p>
  </w:endnote>
  <w:endnote w:type="continuationNotice" w:id="1">
    <w:p w:rsidR="008B1B3A" w:rsidRPr="00294751" w:rsidRDefault="008B1B3A" w:rsidP="006655D3">
      <w:pPr>
        <w:rPr>
          <w:lang w:val="fr-FR"/>
        </w:rPr>
      </w:pPr>
      <w:r w:rsidRPr="00294751">
        <w:rPr>
          <w:lang w:val="fr-FR"/>
        </w:rPr>
        <w:t>[Suite de la note page suivante]</w:t>
      </w:r>
    </w:p>
    <w:p w:rsidR="008B1B3A" w:rsidRPr="00294751" w:rsidRDefault="008B1B3A" w:rsidP="006655D3">
      <w:pPr>
        <w:rPr>
          <w:lang w:val="fr-FR"/>
        </w:rPr>
      </w:pPr>
    </w:p>
    <w:p w:rsidR="008B1B3A" w:rsidRPr="00294751" w:rsidRDefault="008B1B3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B3A" w:rsidRDefault="008B1B3A" w:rsidP="006655D3">
      <w:r>
        <w:separator/>
      </w:r>
    </w:p>
  </w:footnote>
  <w:footnote w:type="continuationSeparator" w:id="0">
    <w:p w:rsidR="008B1B3A" w:rsidRDefault="008B1B3A" w:rsidP="006655D3">
      <w:r>
        <w:separator/>
      </w:r>
    </w:p>
  </w:footnote>
  <w:footnote w:type="continuationNotice" w:id="1">
    <w:p w:rsidR="008B1B3A" w:rsidRPr="00AB530F" w:rsidRDefault="008B1B3A"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8B6E60" w:rsidP="00EB048E">
    <w:pPr>
      <w:pStyle w:val="Header"/>
      <w:rPr>
        <w:rStyle w:val="PageNumber"/>
        <w:lang w:val="en-US"/>
      </w:rPr>
    </w:pPr>
    <w:r>
      <w:rPr>
        <w:rStyle w:val="PageNumber"/>
        <w:lang w:val="en-US"/>
      </w:rPr>
      <w:t>TC/54</w:t>
    </w:r>
    <w:r w:rsidR="00667404">
      <w:rPr>
        <w:rStyle w:val="PageNumber"/>
        <w:lang w:val="en-US"/>
      </w:rPr>
      <w:t>/</w:t>
    </w:r>
    <w:r w:rsidR="00A52CCA">
      <w:rPr>
        <w:rStyle w:val="PageNumber"/>
        <w:lang w:val="en-US"/>
      </w:rPr>
      <w:t>28</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73DE9">
      <w:rPr>
        <w:rStyle w:val="PageNumber"/>
        <w:noProof/>
        <w:lang w:val="en-US"/>
      </w:rPr>
      <w:t>2</w:t>
    </w:r>
    <w:r w:rsidRPr="00C5280D">
      <w:rPr>
        <w:rStyle w:val="PageNumber"/>
        <w:lang w:val="en-US"/>
      </w:rPr>
      <w:fldChar w:fldCharType="end"/>
    </w:r>
  </w:p>
  <w:p w:rsidR="00DE74EE" w:rsidRDefault="00DE74E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E7A" w:rsidRPr="00C5280D" w:rsidRDefault="001D6E7A" w:rsidP="00EB048E">
    <w:pPr>
      <w:pStyle w:val="Header"/>
      <w:rPr>
        <w:rStyle w:val="PageNumber"/>
        <w:lang w:val="en-US"/>
      </w:rPr>
    </w:pPr>
    <w:r>
      <w:rPr>
        <w:rStyle w:val="PageNumber"/>
        <w:lang w:val="en-US"/>
      </w:rPr>
      <w:t>TC/54/28</w:t>
    </w:r>
  </w:p>
  <w:p w:rsidR="001D6E7A" w:rsidRPr="00C5280D" w:rsidRDefault="001D6E7A"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73DE9">
      <w:rPr>
        <w:rStyle w:val="PageNumber"/>
        <w:noProof/>
        <w:lang w:val="en-US"/>
      </w:rPr>
      <w:t>3</w:t>
    </w:r>
    <w:r w:rsidRPr="00C5280D">
      <w:rPr>
        <w:rStyle w:val="PageNumber"/>
        <w:lang w:val="en-US"/>
      </w:rPr>
      <w:fldChar w:fldCharType="end"/>
    </w:r>
  </w:p>
  <w:p w:rsidR="001D6E7A" w:rsidRDefault="001D6E7A" w:rsidP="00D76A42">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E7A" w:rsidRPr="00C5280D" w:rsidRDefault="001D6E7A" w:rsidP="001D6E7A">
    <w:pPr>
      <w:pStyle w:val="Header"/>
      <w:rPr>
        <w:rStyle w:val="PageNumber"/>
        <w:lang w:val="en-US"/>
      </w:rPr>
    </w:pPr>
    <w:r>
      <w:rPr>
        <w:rStyle w:val="PageNumber"/>
        <w:lang w:val="en-US"/>
      </w:rPr>
      <w:t>TC/54/28</w:t>
    </w:r>
  </w:p>
  <w:p w:rsidR="001D6E7A" w:rsidRDefault="001D6E7A" w:rsidP="001D6E7A">
    <w:pPr>
      <w:pStyle w:val="Header"/>
      <w:rPr>
        <w:lang w:val="en-US"/>
      </w:rPr>
    </w:pPr>
  </w:p>
  <w:p w:rsidR="001D6E7A" w:rsidRDefault="001D6E7A">
    <w:pPr>
      <w:pStyle w:val="Header"/>
      <w:rPr>
        <w:lang w:val="en-US"/>
      </w:rPr>
    </w:pPr>
    <w:r>
      <w:rPr>
        <w:lang w:val="en-US"/>
      </w:rPr>
      <w:t>ANNEX</w:t>
    </w:r>
  </w:p>
  <w:p w:rsidR="00D76A42" w:rsidRDefault="00D76A42">
    <w:pPr>
      <w:pStyle w:val="Header"/>
      <w:rPr>
        <w:lang w:val="en-US"/>
      </w:rPr>
    </w:pPr>
  </w:p>
  <w:p w:rsidR="00D76A42" w:rsidRDefault="00D76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638F6"/>
    <w:multiLevelType w:val="hybridMultilevel"/>
    <w:tmpl w:val="0194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E66ED6"/>
    <w:multiLevelType w:val="hybridMultilevel"/>
    <w:tmpl w:val="E5AC7AB2"/>
    <w:lvl w:ilvl="0" w:tplc="224AF9DA">
      <w:start w:val="1"/>
      <w:numFmt w:val="lowerRoman"/>
      <w:lvlText w:val="(%1)"/>
      <w:lvlJc w:val="left"/>
      <w:pPr>
        <w:ind w:left="1080" w:hanging="72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B3A"/>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0F0A"/>
    <w:rsid w:val="00105929"/>
    <w:rsid w:val="00110C36"/>
    <w:rsid w:val="001131D5"/>
    <w:rsid w:val="00136139"/>
    <w:rsid w:val="00141DB8"/>
    <w:rsid w:val="0016023C"/>
    <w:rsid w:val="00172084"/>
    <w:rsid w:val="0017474A"/>
    <w:rsid w:val="001758C6"/>
    <w:rsid w:val="00182B99"/>
    <w:rsid w:val="001D6E7A"/>
    <w:rsid w:val="0021332C"/>
    <w:rsid w:val="00213982"/>
    <w:rsid w:val="0024416D"/>
    <w:rsid w:val="00271911"/>
    <w:rsid w:val="002800A0"/>
    <w:rsid w:val="002801B3"/>
    <w:rsid w:val="00281060"/>
    <w:rsid w:val="002940E8"/>
    <w:rsid w:val="00294751"/>
    <w:rsid w:val="002A6E50"/>
    <w:rsid w:val="002B4298"/>
    <w:rsid w:val="002C22C7"/>
    <w:rsid w:val="002C256A"/>
    <w:rsid w:val="002D6590"/>
    <w:rsid w:val="00304827"/>
    <w:rsid w:val="00305A7F"/>
    <w:rsid w:val="003152FE"/>
    <w:rsid w:val="00327436"/>
    <w:rsid w:val="00344BD6"/>
    <w:rsid w:val="0035528D"/>
    <w:rsid w:val="00361821"/>
    <w:rsid w:val="00361E9E"/>
    <w:rsid w:val="003C7FBE"/>
    <w:rsid w:val="003D227C"/>
    <w:rsid w:val="003D2B4D"/>
    <w:rsid w:val="003E5321"/>
    <w:rsid w:val="00440F2A"/>
    <w:rsid w:val="00444A88"/>
    <w:rsid w:val="00474DA4"/>
    <w:rsid w:val="00476B4D"/>
    <w:rsid w:val="004805FA"/>
    <w:rsid w:val="004935D2"/>
    <w:rsid w:val="004A4485"/>
    <w:rsid w:val="004B1215"/>
    <w:rsid w:val="004D047D"/>
    <w:rsid w:val="004E6EF0"/>
    <w:rsid w:val="004F1E9E"/>
    <w:rsid w:val="004F305A"/>
    <w:rsid w:val="004F5247"/>
    <w:rsid w:val="00512164"/>
    <w:rsid w:val="00520297"/>
    <w:rsid w:val="005338F9"/>
    <w:rsid w:val="0054281C"/>
    <w:rsid w:val="00544581"/>
    <w:rsid w:val="0055268D"/>
    <w:rsid w:val="00576BE4"/>
    <w:rsid w:val="005A400A"/>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C66C5"/>
    <w:rsid w:val="006D780A"/>
    <w:rsid w:val="0071271E"/>
    <w:rsid w:val="00732DEC"/>
    <w:rsid w:val="00735BD5"/>
    <w:rsid w:val="00751613"/>
    <w:rsid w:val="007556F6"/>
    <w:rsid w:val="00760EEF"/>
    <w:rsid w:val="00777EE5"/>
    <w:rsid w:val="00784836"/>
    <w:rsid w:val="0079023E"/>
    <w:rsid w:val="007A2854"/>
    <w:rsid w:val="007B34BE"/>
    <w:rsid w:val="007B7237"/>
    <w:rsid w:val="007C1D92"/>
    <w:rsid w:val="007C4CB9"/>
    <w:rsid w:val="007C74A2"/>
    <w:rsid w:val="007D0B9D"/>
    <w:rsid w:val="007D19B0"/>
    <w:rsid w:val="007F498F"/>
    <w:rsid w:val="0080679D"/>
    <w:rsid w:val="008108B0"/>
    <w:rsid w:val="00811B20"/>
    <w:rsid w:val="008211B5"/>
    <w:rsid w:val="0082296E"/>
    <w:rsid w:val="00824099"/>
    <w:rsid w:val="00846D7C"/>
    <w:rsid w:val="00867AC1"/>
    <w:rsid w:val="00890DF8"/>
    <w:rsid w:val="008A743F"/>
    <w:rsid w:val="008B1B3A"/>
    <w:rsid w:val="008B6E60"/>
    <w:rsid w:val="008C0970"/>
    <w:rsid w:val="008C42CC"/>
    <w:rsid w:val="008D0BC5"/>
    <w:rsid w:val="008D2CF7"/>
    <w:rsid w:val="008D7E86"/>
    <w:rsid w:val="00900C26"/>
    <w:rsid w:val="0090197F"/>
    <w:rsid w:val="00906DDC"/>
    <w:rsid w:val="00914813"/>
    <w:rsid w:val="00934E09"/>
    <w:rsid w:val="00936253"/>
    <w:rsid w:val="00940D46"/>
    <w:rsid w:val="009445AD"/>
    <w:rsid w:val="00952DD4"/>
    <w:rsid w:val="00965AE7"/>
    <w:rsid w:val="00970FED"/>
    <w:rsid w:val="00973DE9"/>
    <w:rsid w:val="00992D82"/>
    <w:rsid w:val="00997029"/>
    <w:rsid w:val="009A7339"/>
    <w:rsid w:val="009B440E"/>
    <w:rsid w:val="009C685A"/>
    <w:rsid w:val="009D690D"/>
    <w:rsid w:val="009E65B6"/>
    <w:rsid w:val="009F7CDF"/>
    <w:rsid w:val="00A013CC"/>
    <w:rsid w:val="00A24C10"/>
    <w:rsid w:val="00A35FEB"/>
    <w:rsid w:val="00A42AC3"/>
    <w:rsid w:val="00A430CF"/>
    <w:rsid w:val="00A52CCA"/>
    <w:rsid w:val="00A54309"/>
    <w:rsid w:val="00A74C61"/>
    <w:rsid w:val="00A754D4"/>
    <w:rsid w:val="00AA6955"/>
    <w:rsid w:val="00AB2B93"/>
    <w:rsid w:val="00AB530F"/>
    <w:rsid w:val="00AB7E5B"/>
    <w:rsid w:val="00AC2883"/>
    <w:rsid w:val="00AE0EF1"/>
    <w:rsid w:val="00AE2937"/>
    <w:rsid w:val="00AF1050"/>
    <w:rsid w:val="00B07301"/>
    <w:rsid w:val="00B11F3E"/>
    <w:rsid w:val="00B224DE"/>
    <w:rsid w:val="00B324D4"/>
    <w:rsid w:val="00B46575"/>
    <w:rsid w:val="00B61777"/>
    <w:rsid w:val="00B84BBD"/>
    <w:rsid w:val="00BA43FB"/>
    <w:rsid w:val="00BC127D"/>
    <w:rsid w:val="00BC1FE6"/>
    <w:rsid w:val="00C061B6"/>
    <w:rsid w:val="00C2446C"/>
    <w:rsid w:val="00C36AE5"/>
    <w:rsid w:val="00C41F17"/>
    <w:rsid w:val="00C4565D"/>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57C96"/>
    <w:rsid w:val="00D57D18"/>
    <w:rsid w:val="00D76A42"/>
    <w:rsid w:val="00D91203"/>
    <w:rsid w:val="00D95174"/>
    <w:rsid w:val="00DA4973"/>
    <w:rsid w:val="00DA6F36"/>
    <w:rsid w:val="00DB596E"/>
    <w:rsid w:val="00DB7773"/>
    <w:rsid w:val="00DC00EA"/>
    <w:rsid w:val="00DC3802"/>
    <w:rsid w:val="00DD01BD"/>
    <w:rsid w:val="00DE74EE"/>
    <w:rsid w:val="00E07D87"/>
    <w:rsid w:val="00E32F7E"/>
    <w:rsid w:val="00E5267B"/>
    <w:rsid w:val="00E63C0E"/>
    <w:rsid w:val="00E72D49"/>
    <w:rsid w:val="00E7593C"/>
    <w:rsid w:val="00E7678A"/>
    <w:rsid w:val="00E931D7"/>
    <w:rsid w:val="00E935F1"/>
    <w:rsid w:val="00E94A81"/>
    <w:rsid w:val="00EA1FFB"/>
    <w:rsid w:val="00EB048E"/>
    <w:rsid w:val="00EB4E9C"/>
    <w:rsid w:val="00ED06DA"/>
    <w:rsid w:val="00ED496D"/>
    <w:rsid w:val="00EE34DF"/>
    <w:rsid w:val="00EF2F89"/>
    <w:rsid w:val="00F03E98"/>
    <w:rsid w:val="00F1237A"/>
    <w:rsid w:val="00F22CBD"/>
    <w:rsid w:val="00F272F1"/>
    <w:rsid w:val="00F40352"/>
    <w:rsid w:val="00F45372"/>
    <w:rsid w:val="00F560F7"/>
    <w:rsid w:val="00F6334D"/>
    <w:rsid w:val="00FA1517"/>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A9A79D8"/>
  <w15:docId w15:val="{3165565B-FDE0-452E-8878-8237FB00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8B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0F0A"/>
    <w:pPr>
      <w:spacing w:after="200" w:line="276" w:lineRule="auto"/>
      <w:ind w:left="720"/>
      <w:contextualSpacing/>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97712">
      <w:bodyDiv w:val="1"/>
      <w:marLeft w:val="0"/>
      <w:marRight w:val="0"/>
      <w:marTop w:val="0"/>
      <w:marBottom w:val="0"/>
      <w:divBdr>
        <w:top w:val="none" w:sz="0" w:space="0" w:color="auto"/>
        <w:left w:val="none" w:sz="0" w:space="0" w:color="auto"/>
        <w:bottom w:val="none" w:sz="0" w:space="0" w:color="auto"/>
        <w:right w:val="none" w:sz="0" w:space="0" w:color="auto"/>
      </w:divBdr>
    </w:div>
    <w:div w:id="1640377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4\templates\TC_5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TC_54_EN.dotx</Template>
  <TotalTime>4</TotalTime>
  <Pages>5</Pages>
  <Words>1824</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TC/54</vt:lpstr>
    </vt:vector>
  </TitlesOfParts>
  <Company>UPOV</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dc:title>
  <dc:creator>TAVEIRA Leontino</dc:creator>
  <cp:lastModifiedBy>SANTOS Carla Marina</cp:lastModifiedBy>
  <cp:revision>28</cp:revision>
  <cp:lastPrinted>2018-09-14T12:34:00Z</cp:lastPrinted>
  <dcterms:created xsi:type="dcterms:W3CDTF">2018-07-20T11:39:00Z</dcterms:created>
  <dcterms:modified xsi:type="dcterms:W3CDTF">2018-09-14T12:34:00Z</dcterms:modified>
</cp:coreProperties>
</file>