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E55D79">
              <w:t>27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C2E6E">
            <w:pPr>
              <w:pStyle w:val="Docoriginal"/>
            </w:pPr>
            <w:r w:rsidRPr="00AC2883">
              <w:t>Date:</w:t>
            </w:r>
            <w:r w:rsidR="008B6E60">
              <w:rPr>
                <w:b w:val="0"/>
                <w:spacing w:val="0"/>
              </w:rPr>
              <w:t xml:space="preserve">  </w:t>
            </w:r>
            <w:r w:rsidR="003D755A" w:rsidRPr="00F71004">
              <w:rPr>
                <w:b w:val="0"/>
                <w:spacing w:val="0"/>
              </w:rPr>
              <w:t xml:space="preserve">October </w:t>
            </w:r>
            <w:r w:rsidR="00BC2E6E" w:rsidRPr="00F71004">
              <w:rPr>
                <w:b w:val="0"/>
                <w:spacing w:val="0"/>
              </w:rPr>
              <w:t>3</w:t>
            </w:r>
            <w:r w:rsidR="008B6E60" w:rsidRPr="00F71004">
              <w:rPr>
                <w:b w:val="0"/>
                <w:spacing w:val="0"/>
              </w:rPr>
              <w:t>,</w:t>
            </w:r>
            <w:r w:rsidR="008B6E60">
              <w:rPr>
                <w:b w:val="0"/>
                <w:spacing w:val="0"/>
              </w:rPr>
              <w:t xml:space="preserve"> 2018</w:t>
            </w:r>
          </w:p>
        </w:tc>
      </w:tr>
    </w:tbl>
    <w:p w:rsidR="00416F6E" w:rsidRPr="00212D71" w:rsidRDefault="00416F6E" w:rsidP="00416F6E">
      <w:pPr>
        <w:pStyle w:val="Titleofdoc0"/>
        <w:tabs>
          <w:tab w:val="left" w:pos="5760"/>
        </w:tabs>
      </w:pPr>
      <w:bookmarkStart w:id="0" w:name="TitleOfDoc"/>
      <w:bookmarkEnd w:id="0"/>
      <w:r w:rsidRPr="00AC6984">
        <w:t>Number of growing cycles</w:t>
      </w:r>
    </w:p>
    <w:p w:rsidR="00416F6E" w:rsidRPr="006A644A" w:rsidRDefault="00416F6E" w:rsidP="00416F6E">
      <w:pPr>
        <w:pStyle w:val="preparedby1"/>
        <w:jc w:val="left"/>
      </w:pPr>
      <w:bookmarkStart w:id="1" w:name="Prepared"/>
      <w:bookmarkEnd w:id="1"/>
      <w:r w:rsidRPr="000C4E25">
        <w:t>Document prepared by the Office of the Union</w:t>
      </w:r>
    </w:p>
    <w:p w:rsidR="00416F6E" w:rsidRPr="006A644A" w:rsidRDefault="00416F6E" w:rsidP="00416F6E">
      <w:pPr>
        <w:pStyle w:val="Disclaimer"/>
      </w:pPr>
      <w:r w:rsidRPr="006A644A">
        <w:t>Disclaimer:  this document does not represent UPOV policies or guidance</w:t>
      </w:r>
    </w:p>
    <w:p w:rsidR="00416F6E" w:rsidRDefault="00416F6E" w:rsidP="00416F6E">
      <w:pPr>
        <w:pStyle w:val="Heading1"/>
      </w:pPr>
      <w:bookmarkStart w:id="2" w:name="_Toc525913125"/>
      <w:r>
        <w:t>EXECUTIVE SUMMARY</w:t>
      </w:r>
      <w:bookmarkEnd w:id="2"/>
    </w:p>
    <w:p w:rsidR="00416F6E" w:rsidRDefault="00416F6E" w:rsidP="00416F6E">
      <w:pPr>
        <w:rPr>
          <w:rFonts w:cs="Arial"/>
        </w:rPr>
      </w:pPr>
    </w:p>
    <w:p w:rsidR="00416F6E" w:rsidRPr="000B7667" w:rsidRDefault="00416F6E" w:rsidP="00416F6E">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w:t>
      </w:r>
      <w:r>
        <w:rPr>
          <w:rFonts w:cs="Arial"/>
        </w:rPr>
        <w:t>report on the consideration of the number of growing cycles in DUS examination</w:t>
      </w:r>
      <w:r w:rsidRPr="009F09D0">
        <w:rPr>
          <w:rFonts w:cs="Arial"/>
          <w:snapToGrid w:val="0"/>
          <w:szCs w:val="24"/>
        </w:rPr>
        <w:t xml:space="preserve">. </w:t>
      </w:r>
    </w:p>
    <w:p w:rsidR="00416F6E" w:rsidRDefault="00416F6E" w:rsidP="00416F6E">
      <w:pPr>
        <w:rPr>
          <w:rFonts w:cs="Arial"/>
        </w:rPr>
      </w:pPr>
    </w:p>
    <w:p w:rsidR="00416F6E" w:rsidRDefault="00DE67D3" w:rsidP="00416F6E">
      <w:pPr>
        <w:tabs>
          <w:tab w:val="left" w:pos="567"/>
          <w:tab w:val="left" w:pos="1134"/>
        </w:tabs>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Pr="00DE67D3">
        <w:rPr>
          <w:color w:val="000000"/>
        </w:rPr>
        <w:t xml:space="preserve">The TC </w:t>
      </w:r>
      <w:proofErr w:type="gramStart"/>
      <w:r w:rsidRPr="00DE67D3">
        <w:rPr>
          <w:color w:val="000000"/>
        </w:rPr>
        <w:t>is invited</w:t>
      </w:r>
      <w:proofErr w:type="gramEnd"/>
      <w:r w:rsidRPr="00DE67D3">
        <w:rPr>
          <w:color w:val="000000"/>
        </w:rPr>
        <w:t xml:space="preserve"> to note the discussions by the TWPs, at their sessions in 2017 and 2018, on the impact of using different numbers of growing cycles on DUS decisions using actual data.</w:t>
      </w:r>
    </w:p>
    <w:p w:rsidR="00DE67D3" w:rsidRDefault="00DE67D3" w:rsidP="00416F6E">
      <w:pPr>
        <w:tabs>
          <w:tab w:val="left" w:pos="567"/>
          <w:tab w:val="left" w:pos="1134"/>
        </w:tabs>
        <w:rPr>
          <w:rFonts w:cs="Arial"/>
        </w:rPr>
      </w:pPr>
    </w:p>
    <w:p w:rsidR="00416F6E" w:rsidRPr="007C7880" w:rsidRDefault="00416F6E" w:rsidP="00416F6E">
      <w:pPr>
        <w:rPr>
          <w:lang w:eastAsia="ja-JP"/>
        </w:rPr>
      </w:pPr>
      <w:r w:rsidRPr="007C7880">
        <w:fldChar w:fldCharType="begin"/>
      </w:r>
      <w:r w:rsidRPr="007C7880">
        <w:instrText xml:space="preserve"> AUTONUM  </w:instrText>
      </w:r>
      <w:r w:rsidRPr="007C7880">
        <w:fldChar w:fldCharType="end"/>
      </w:r>
      <w:r w:rsidRPr="007C7880">
        <w:tab/>
      </w:r>
      <w:r w:rsidRPr="007C7880">
        <w:rPr>
          <w:lang w:eastAsia="ja-JP"/>
        </w:rPr>
        <w:t>The structure of this document is as follows:</w:t>
      </w:r>
    </w:p>
    <w:p w:rsidR="00416F6E" w:rsidRDefault="00416F6E" w:rsidP="00416F6E">
      <w:pPr>
        <w:rPr>
          <w:rFonts w:cs="Arial"/>
          <w:highlight w:val="yellow"/>
        </w:rPr>
      </w:pPr>
    </w:p>
    <w:p w:rsidR="00A633BE" w:rsidRPr="00C72A88" w:rsidRDefault="00A633BE" w:rsidP="00416F6E">
      <w:pPr>
        <w:rPr>
          <w:rFonts w:cs="Arial"/>
          <w:highlight w:val="yellow"/>
        </w:rPr>
      </w:pPr>
    </w:p>
    <w:p w:rsidR="005320CB" w:rsidRPr="003D755A" w:rsidRDefault="00416F6E">
      <w:pPr>
        <w:pStyle w:val="TOC1"/>
        <w:rPr>
          <w:rFonts w:asciiTheme="minorHAnsi" w:eastAsiaTheme="minorEastAsia" w:hAnsiTheme="minorHAnsi" w:cstheme="minorBidi"/>
          <w:caps w:val="0"/>
          <w:noProof/>
          <w:sz w:val="22"/>
          <w:szCs w:val="22"/>
        </w:rPr>
      </w:pPr>
      <w:r w:rsidRPr="003D755A">
        <w:rPr>
          <w:b/>
          <w:bCs/>
          <w:noProof/>
          <w:sz w:val="20"/>
        </w:rPr>
        <w:fldChar w:fldCharType="begin"/>
      </w:r>
      <w:r w:rsidRPr="003D755A">
        <w:rPr>
          <w:b/>
        </w:rPr>
        <w:instrText xml:space="preserve"> TOC \o "1-3" \h \z \u </w:instrText>
      </w:r>
      <w:r w:rsidRPr="003D755A">
        <w:rPr>
          <w:b/>
          <w:bCs/>
          <w:noProof/>
          <w:sz w:val="20"/>
        </w:rPr>
        <w:fldChar w:fldCharType="separate"/>
      </w:r>
      <w:hyperlink w:anchor="_Toc525913125" w:history="1">
        <w:r w:rsidR="005320CB" w:rsidRPr="003D755A">
          <w:rPr>
            <w:rStyle w:val="Hyperlink"/>
            <w:noProof/>
          </w:rPr>
          <w:t>EXECUTIVE SUMMARY</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_Toc525913125 \h </w:instrText>
        </w:r>
        <w:r w:rsidR="005320CB" w:rsidRPr="003D755A">
          <w:rPr>
            <w:noProof/>
            <w:webHidden/>
          </w:rPr>
        </w:r>
        <w:r w:rsidR="005320CB" w:rsidRPr="003D755A">
          <w:rPr>
            <w:noProof/>
            <w:webHidden/>
          </w:rPr>
          <w:fldChar w:fldCharType="separate"/>
        </w:r>
        <w:r w:rsidR="005320CB" w:rsidRPr="003D755A">
          <w:rPr>
            <w:noProof/>
            <w:webHidden/>
          </w:rPr>
          <w:t>1</w:t>
        </w:r>
        <w:r w:rsidR="005320CB" w:rsidRPr="003D755A">
          <w:rPr>
            <w:noProof/>
            <w:webHidden/>
          </w:rPr>
          <w:fldChar w:fldCharType="end"/>
        </w:r>
      </w:hyperlink>
    </w:p>
    <w:p w:rsidR="005320CB" w:rsidRPr="003D755A" w:rsidRDefault="004026A3">
      <w:pPr>
        <w:pStyle w:val="TOC1"/>
        <w:rPr>
          <w:rFonts w:asciiTheme="minorHAnsi" w:eastAsiaTheme="minorEastAsia" w:hAnsiTheme="minorHAnsi" w:cstheme="minorBidi"/>
          <w:caps w:val="0"/>
          <w:noProof/>
          <w:sz w:val="22"/>
          <w:szCs w:val="22"/>
        </w:rPr>
      </w:pPr>
      <w:hyperlink w:anchor="_Toc525913126" w:history="1">
        <w:r w:rsidR="005320CB" w:rsidRPr="003D755A">
          <w:rPr>
            <w:rStyle w:val="Hyperlink"/>
            <w:noProof/>
          </w:rPr>
          <w:t>Background</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_Toc525913126 \h </w:instrText>
        </w:r>
        <w:r w:rsidR="005320CB" w:rsidRPr="003D755A">
          <w:rPr>
            <w:noProof/>
            <w:webHidden/>
          </w:rPr>
        </w:r>
        <w:r w:rsidR="005320CB" w:rsidRPr="003D755A">
          <w:rPr>
            <w:noProof/>
            <w:webHidden/>
          </w:rPr>
          <w:fldChar w:fldCharType="separate"/>
        </w:r>
        <w:r w:rsidR="005320CB" w:rsidRPr="003D755A">
          <w:rPr>
            <w:noProof/>
            <w:webHidden/>
          </w:rPr>
          <w:t>2</w:t>
        </w:r>
        <w:r w:rsidR="005320CB" w:rsidRPr="003D755A">
          <w:rPr>
            <w:noProof/>
            <w:webHidden/>
          </w:rPr>
          <w:fldChar w:fldCharType="end"/>
        </w:r>
      </w:hyperlink>
    </w:p>
    <w:p w:rsidR="005320CB" w:rsidRPr="003D755A" w:rsidRDefault="004026A3">
      <w:pPr>
        <w:pStyle w:val="TOC1"/>
        <w:rPr>
          <w:rFonts w:asciiTheme="minorHAnsi" w:eastAsiaTheme="minorEastAsia" w:hAnsiTheme="minorHAnsi" w:cstheme="minorBidi"/>
          <w:caps w:val="0"/>
          <w:noProof/>
          <w:sz w:val="22"/>
          <w:szCs w:val="22"/>
        </w:rPr>
      </w:pPr>
      <w:hyperlink w:anchor="_Toc525913127" w:history="1">
        <w:r w:rsidR="005320CB" w:rsidRPr="003D755A">
          <w:rPr>
            <w:rStyle w:val="Hyperlink"/>
            <w:noProof/>
          </w:rPr>
          <w:t>PRESENTATIONS TO THE TWPS AT THEIR SESSIONS IN 2017</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_Toc525913127 \h </w:instrText>
        </w:r>
        <w:r w:rsidR="005320CB" w:rsidRPr="003D755A">
          <w:rPr>
            <w:noProof/>
            <w:webHidden/>
          </w:rPr>
        </w:r>
        <w:r w:rsidR="005320CB" w:rsidRPr="003D755A">
          <w:rPr>
            <w:noProof/>
            <w:webHidden/>
          </w:rPr>
          <w:fldChar w:fldCharType="separate"/>
        </w:r>
        <w:r w:rsidR="005320CB" w:rsidRPr="003D755A">
          <w:rPr>
            <w:noProof/>
            <w:webHidden/>
          </w:rPr>
          <w:t>2</w:t>
        </w:r>
        <w:r w:rsidR="005320CB" w:rsidRPr="003D755A">
          <w:rPr>
            <w:noProof/>
            <w:webHidden/>
          </w:rPr>
          <w:fldChar w:fldCharType="end"/>
        </w:r>
      </w:hyperlink>
    </w:p>
    <w:p w:rsidR="005320CB" w:rsidRPr="003D755A" w:rsidRDefault="004026A3" w:rsidP="00A633BE">
      <w:pPr>
        <w:pStyle w:val="TOC2"/>
        <w:rPr>
          <w:rFonts w:asciiTheme="minorHAnsi" w:eastAsiaTheme="minorEastAsia" w:hAnsiTheme="minorHAnsi" w:cstheme="minorBidi"/>
          <w:smallCaps/>
          <w:noProof/>
          <w:sz w:val="22"/>
          <w:szCs w:val="22"/>
        </w:rPr>
      </w:pPr>
      <w:hyperlink w:anchor="_Toc525913128" w:history="1">
        <w:r w:rsidR="005320CB" w:rsidRPr="003D755A">
          <w:rPr>
            <w:rStyle w:val="Hyperlink"/>
            <w:noProof/>
          </w:rPr>
          <w:t>Technical Working Party for Agricultural Crops</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_Toc525913128 \h </w:instrText>
        </w:r>
        <w:r w:rsidR="005320CB" w:rsidRPr="003D755A">
          <w:rPr>
            <w:noProof/>
            <w:webHidden/>
          </w:rPr>
        </w:r>
        <w:r w:rsidR="005320CB" w:rsidRPr="003D755A">
          <w:rPr>
            <w:noProof/>
            <w:webHidden/>
          </w:rPr>
          <w:fldChar w:fldCharType="separate"/>
        </w:r>
        <w:r w:rsidR="005320CB" w:rsidRPr="003D755A">
          <w:rPr>
            <w:noProof/>
            <w:webHidden/>
          </w:rPr>
          <w:t>2</w:t>
        </w:r>
        <w:r w:rsidR="005320CB" w:rsidRPr="003D755A">
          <w:rPr>
            <w:noProof/>
            <w:webHidden/>
          </w:rPr>
          <w:fldChar w:fldCharType="end"/>
        </w:r>
      </w:hyperlink>
    </w:p>
    <w:p w:rsidR="005320CB" w:rsidRPr="003D755A" w:rsidRDefault="004026A3" w:rsidP="00A633BE">
      <w:pPr>
        <w:pStyle w:val="TOC2"/>
        <w:rPr>
          <w:rFonts w:asciiTheme="minorHAnsi" w:eastAsiaTheme="minorEastAsia" w:hAnsiTheme="minorHAnsi" w:cstheme="minorBidi"/>
          <w:smallCaps/>
          <w:noProof/>
          <w:sz w:val="22"/>
          <w:szCs w:val="22"/>
        </w:rPr>
      </w:pPr>
      <w:hyperlink w:anchor="_Toc525913129" w:history="1">
        <w:r w:rsidR="005320CB" w:rsidRPr="003D755A">
          <w:rPr>
            <w:rStyle w:val="Hyperlink"/>
            <w:noProof/>
          </w:rPr>
          <w:t>Technical Working Party on Fruit Crops</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_Toc525913129 \h </w:instrText>
        </w:r>
        <w:r w:rsidR="005320CB" w:rsidRPr="003D755A">
          <w:rPr>
            <w:noProof/>
            <w:webHidden/>
          </w:rPr>
        </w:r>
        <w:r w:rsidR="005320CB" w:rsidRPr="003D755A">
          <w:rPr>
            <w:noProof/>
            <w:webHidden/>
          </w:rPr>
          <w:fldChar w:fldCharType="separate"/>
        </w:r>
        <w:r w:rsidR="005320CB" w:rsidRPr="003D755A">
          <w:rPr>
            <w:noProof/>
            <w:webHidden/>
          </w:rPr>
          <w:t>3</w:t>
        </w:r>
        <w:r w:rsidR="005320CB" w:rsidRPr="003D755A">
          <w:rPr>
            <w:noProof/>
            <w:webHidden/>
          </w:rPr>
          <w:fldChar w:fldCharType="end"/>
        </w:r>
      </w:hyperlink>
    </w:p>
    <w:p w:rsidR="005320CB" w:rsidRPr="003D755A" w:rsidRDefault="004026A3" w:rsidP="00A633BE">
      <w:pPr>
        <w:pStyle w:val="TOC2"/>
        <w:rPr>
          <w:rFonts w:asciiTheme="minorHAnsi" w:eastAsiaTheme="minorEastAsia" w:hAnsiTheme="minorHAnsi" w:cstheme="minorBidi"/>
          <w:smallCaps/>
          <w:noProof/>
          <w:sz w:val="22"/>
          <w:szCs w:val="22"/>
        </w:rPr>
      </w:pPr>
      <w:hyperlink w:anchor="_Toc525913130" w:history="1">
        <w:r w:rsidR="005320CB" w:rsidRPr="003D755A">
          <w:rPr>
            <w:rStyle w:val="Hyperlink"/>
            <w:noProof/>
          </w:rPr>
          <w:t>Technical Working Party on Automation and Computer Programs</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_Toc525913130 \h </w:instrText>
        </w:r>
        <w:r w:rsidR="005320CB" w:rsidRPr="003D755A">
          <w:rPr>
            <w:noProof/>
            <w:webHidden/>
          </w:rPr>
        </w:r>
        <w:r w:rsidR="005320CB" w:rsidRPr="003D755A">
          <w:rPr>
            <w:noProof/>
            <w:webHidden/>
          </w:rPr>
          <w:fldChar w:fldCharType="separate"/>
        </w:r>
        <w:r w:rsidR="005320CB" w:rsidRPr="003D755A">
          <w:rPr>
            <w:noProof/>
            <w:webHidden/>
          </w:rPr>
          <w:t>3</w:t>
        </w:r>
        <w:r w:rsidR="005320CB" w:rsidRPr="003D755A">
          <w:rPr>
            <w:noProof/>
            <w:webHidden/>
          </w:rPr>
          <w:fldChar w:fldCharType="end"/>
        </w:r>
      </w:hyperlink>
    </w:p>
    <w:p w:rsidR="005320CB" w:rsidRPr="003D755A" w:rsidRDefault="004026A3">
      <w:pPr>
        <w:pStyle w:val="TOC1"/>
        <w:rPr>
          <w:rFonts w:asciiTheme="minorHAnsi" w:eastAsiaTheme="minorEastAsia" w:hAnsiTheme="minorHAnsi" w:cstheme="minorBidi"/>
          <w:caps w:val="0"/>
          <w:noProof/>
          <w:sz w:val="22"/>
          <w:szCs w:val="22"/>
        </w:rPr>
      </w:pPr>
      <w:hyperlink w:anchor="_Toc525913131" w:history="1">
        <w:r w:rsidR="005320CB" w:rsidRPr="003D755A">
          <w:rPr>
            <w:rStyle w:val="Hyperlink"/>
            <w:noProof/>
          </w:rPr>
          <w:t>PRESENTATIONS TO THE TWPS AT THEIR SESSIONS IN 2018</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_Toc525913131 \h </w:instrText>
        </w:r>
        <w:r w:rsidR="005320CB" w:rsidRPr="003D755A">
          <w:rPr>
            <w:noProof/>
            <w:webHidden/>
          </w:rPr>
        </w:r>
        <w:r w:rsidR="005320CB" w:rsidRPr="003D755A">
          <w:rPr>
            <w:noProof/>
            <w:webHidden/>
          </w:rPr>
          <w:fldChar w:fldCharType="separate"/>
        </w:r>
        <w:r w:rsidR="005320CB" w:rsidRPr="003D755A">
          <w:rPr>
            <w:noProof/>
            <w:webHidden/>
          </w:rPr>
          <w:t>3</w:t>
        </w:r>
        <w:r w:rsidR="005320CB" w:rsidRPr="003D755A">
          <w:rPr>
            <w:noProof/>
            <w:webHidden/>
          </w:rPr>
          <w:fldChar w:fldCharType="end"/>
        </w:r>
      </w:hyperlink>
    </w:p>
    <w:p w:rsidR="005320CB" w:rsidRPr="003D755A" w:rsidRDefault="004026A3" w:rsidP="00A633BE">
      <w:pPr>
        <w:pStyle w:val="TOC2"/>
        <w:rPr>
          <w:rFonts w:asciiTheme="minorHAnsi" w:eastAsiaTheme="minorEastAsia" w:hAnsiTheme="minorHAnsi" w:cstheme="minorBidi"/>
          <w:smallCaps/>
          <w:noProof/>
          <w:sz w:val="22"/>
          <w:szCs w:val="22"/>
        </w:rPr>
      </w:pPr>
      <w:hyperlink w:anchor="_Toc525913132" w:history="1">
        <w:r w:rsidR="005320CB" w:rsidRPr="003D755A">
          <w:rPr>
            <w:rStyle w:val="Hyperlink"/>
            <w:noProof/>
          </w:rPr>
          <w:t>Technical Working Party for Agricultural Crops</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_Toc525913132 \h </w:instrText>
        </w:r>
        <w:r w:rsidR="005320CB" w:rsidRPr="003D755A">
          <w:rPr>
            <w:noProof/>
            <w:webHidden/>
          </w:rPr>
        </w:r>
        <w:r w:rsidR="005320CB" w:rsidRPr="003D755A">
          <w:rPr>
            <w:noProof/>
            <w:webHidden/>
          </w:rPr>
          <w:fldChar w:fldCharType="separate"/>
        </w:r>
        <w:r w:rsidR="005320CB" w:rsidRPr="003D755A">
          <w:rPr>
            <w:noProof/>
            <w:webHidden/>
          </w:rPr>
          <w:t>3</w:t>
        </w:r>
        <w:r w:rsidR="005320CB" w:rsidRPr="003D755A">
          <w:rPr>
            <w:noProof/>
            <w:webHidden/>
          </w:rPr>
          <w:fldChar w:fldCharType="end"/>
        </w:r>
      </w:hyperlink>
    </w:p>
    <w:p w:rsidR="005320CB" w:rsidRPr="003D755A" w:rsidRDefault="004026A3" w:rsidP="00A633BE">
      <w:pPr>
        <w:pStyle w:val="TOC2"/>
        <w:rPr>
          <w:rFonts w:asciiTheme="minorHAnsi" w:eastAsiaTheme="minorEastAsia" w:hAnsiTheme="minorHAnsi" w:cstheme="minorBidi"/>
          <w:smallCaps/>
          <w:noProof/>
          <w:sz w:val="22"/>
          <w:szCs w:val="22"/>
        </w:rPr>
      </w:pPr>
      <w:hyperlink w:anchor="_Toc525913133" w:history="1">
        <w:r w:rsidR="005320CB" w:rsidRPr="003D755A">
          <w:rPr>
            <w:rStyle w:val="Hyperlink"/>
            <w:noProof/>
          </w:rPr>
          <w:t>Technical Working Party on Automation and Computer Programs</w:t>
        </w:r>
        <w:r w:rsidR="005320CB" w:rsidRPr="003D755A">
          <w:rPr>
            <w:noProof/>
            <w:webHidden/>
          </w:rPr>
          <w:tab/>
        </w:r>
        <w:r w:rsidR="005320CB" w:rsidRPr="003D755A">
          <w:rPr>
            <w:noProof/>
            <w:webHidden/>
          </w:rPr>
          <w:fldChar w:fldCharType="begin"/>
        </w:r>
        <w:r w:rsidR="005320CB" w:rsidRPr="003D755A">
          <w:rPr>
            <w:noProof/>
            <w:webHidden/>
          </w:rPr>
          <w:instrText xml:space="preserve"> PAGEREF _Toc525913133 \h </w:instrText>
        </w:r>
        <w:r w:rsidR="005320CB" w:rsidRPr="003D755A">
          <w:rPr>
            <w:noProof/>
            <w:webHidden/>
          </w:rPr>
        </w:r>
        <w:r w:rsidR="005320CB" w:rsidRPr="003D755A">
          <w:rPr>
            <w:noProof/>
            <w:webHidden/>
          </w:rPr>
          <w:fldChar w:fldCharType="separate"/>
        </w:r>
        <w:r w:rsidR="005320CB" w:rsidRPr="003D755A">
          <w:rPr>
            <w:noProof/>
            <w:webHidden/>
          </w:rPr>
          <w:t>3</w:t>
        </w:r>
        <w:r w:rsidR="005320CB" w:rsidRPr="003D755A">
          <w:rPr>
            <w:noProof/>
            <w:webHidden/>
          </w:rPr>
          <w:fldChar w:fldCharType="end"/>
        </w:r>
      </w:hyperlink>
    </w:p>
    <w:p w:rsidR="00416F6E" w:rsidRPr="003D755A" w:rsidRDefault="00416F6E" w:rsidP="00416F6E">
      <w:pPr>
        <w:spacing w:before="120"/>
        <w:ind w:left="1134" w:hanging="1134"/>
        <w:rPr>
          <w:rFonts w:cs="Arial"/>
          <w:sz w:val="18"/>
        </w:rPr>
      </w:pPr>
      <w:r w:rsidRPr="003D755A">
        <w:rPr>
          <w:rFonts w:cs="Arial"/>
          <w:sz w:val="18"/>
        </w:rPr>
        <w:fldChar w:fldCharType="end"/>
      </w:r>
      <w:r w:rsidRPr="003D755A">
        <w:rPr>
          <w:rFonts w:cs="Arial"/>
          <w:caps/>
          <w:sz w:val="18"/>
        </w:rPr>
        <w:t>ANNEX I</w:t>
      </w:r>
      <w:r w:rsidRPr="003D755A">
        <w:rPr>
          <w:rFonts w:cs="Arial"/>
          <w:caps/>
          <w:sz w:val="18"/>
        </w:rPr>
        <w:tab/>
      </w:r>
      <w:proofErr w:type="gramStart"/>
      <w:r w:rsidR="004F4848" w:rsidRPr="003D755A">
        <w:rPr>
          <w:rFonts w:cs="Arial"/>
          <w:sz w:val="18"/>
        </w:rPr>
        <w:t>Impact</w:t>
      </w:r>
      <w:proofErr w:type="gramEnd"/>
      <w:r w:rsidR="004F4848" w:rsidRPr="003D755A">
        <w:rPr>
          <w:rFonts w:cs="Arial"/>
          <w:sz w:val="18"/>
        </w:rPr>
        <w:t xml:space="preserve"> of number of growing cycles on variety descriptions and discrimination power in wheat and barley</w:t>
      </w:r>
    </w:p>
    <w:p w:rsidR="004F4848" w:rsidRPr="003D755A" w:rsidRDefault="004F4848" w:rsidP="004F4848">
      <w:pPr>
        <w:spacing w:before="120"/>
        <w:ind w:left="1134" w:hanging="1134"/>
        <w:rPr>
          <w:rFonts w:cs="Arial"/>
          <w:sz w:val="18"/>
        </w:rPr>
      </w:pPr>
      <w:r w:rsidRPr="003D755A">
        <w:rPr>
          <w:rFonts w:cs="Arial"/>
          <w:caps/>
          <w:sz w:val="18"/>
        </w:rPr>
        <w:t>ANNEX II</w:t>
      </w:r>
      <w:r w:rsidRPr="003D755A">
        <w:rPr>
          <w:rFonts w:cs="Arial"/>
          <w:caps/>
          <w:sz w:val="18"/>
        </w:rPr>
        <w:tab/>
      </w:r>
      <w:r w:rsidRPr="003D755A">
        <w:rPr>
          <w:rFonts w:cs="Arial"/>
          <w:sz w:val="18"/>
        </w:rPr>
        <w:t>Number of growing cycles: the impact on cereal variety descriptions</w:t>
      </w:r>
    </w:p>
    <w:p w:rsidR="004F4848" w:rsidRPr="003D755A" w:rsidRDefault="004F4848" w:rsidP="004F4848">
      <w:pPr>
        <w:spacing w:before="120"/>
        <w:ind w:left="1134" w:hanging="1134"/>
        <w:rPr>
          <w:rFonts w:cs="Arial"/>
          <w:sz w:val="18"/>
        </w:rPr>
      </w:pPr>
      <w:r w:rsidRPr="003D755A">
        <w:rPr>
          <w:rFonts w:cs="Arial"/>
          <w:caps/>
          <w:sz w:val="18"/>
        </w:rPr>
        <w:t>ANNEX III</w:t>
      </w:r>
      <w:r w:rsidRPr="003D755A">
        <w:rPr>
          <w:rFonts w:cs="Arial"/>
          <w:caps/>
          <w:sz w:val="18"/>
        </w:rPr>
        <w:tab/>
      </w:r>
      <w:r w:rsidRPr="003D755A">
        <w:rPr>
          <w:rFonts w:cs="Arial"/>
          <w:sz w:val="18"/>
        </w:rPr>
        <w:t>Number of growing cycles in potato</w:t>
      </w:r>
    </w:p>
    <w:p w:rsidR="004F4848" w:rsidRPr="003D755A" w:rsidRDefault="004F4848" w:rsidP="004F4848">
      <w:pPr>
        <w:spacing w:before="120"/>
        <w:ind w:left="1134" w:hanging="1134"/>
        <w:rPr>
          <w:rFonts w:cs="Arial"/>
          <w:sz w:val="18"/>
        </w:rPr>
      </w:pPr>
      <w:r w:rsidRPr="003D755A">
        <w:rPr>
          <w:rFonts w:cs="Arial"/>
          <w:caps/>
          <w:sz w:val="18"/>
        </w:rPr>
        <w:t>ANNEX IV</w:t>
      </w:r>
      <w:r w:rsidRPr="003D755A">
        <w:rPr>
          <w:rFonts w:cs="Arial"/>
          <w:caps/>
          <w:sz w:val="18"/>
        </w:rPr>
        <w:tab/>
      </w:r>
      <w:r w:rsidRPr="003D755A">
        <w:rPr>
          <w:rFonts w:cs="Arial"/>
          <w:sz w:val="18"/>
        </w:rPr>
        <w:t>Number of growing cycles in potato varieties</w:t>
      </w:r>
      <w:r w:rsidR="003D755A">
        <w:rPr>
          <w:rFonts w:cs="Arial"/>
          <w:sz w:val="18"/>
        </w:rPr>
        <w:t xml:space="preserve"> -</w:t>
      </w:r>
      <w:r w:rsidRPr="003D755A">
        <w:rPr>
          <w:rFonts w:cs="Arial"/>
          <w:sz w:val="18"/>
        </w:rPr>
        <w:t xml:space="preserve"> DUS examination of </w:t>
      </w:r>
      <w:proofErr w:type="spellStart"/>
      <w:r w:rsidRPr="003D755A">
        <w:rPr>
          <w:rFonts w:cs="Arial"/>
          <w:sz w:val="18"/>
        </w:rPr>
        <w:t>lightsprouts</w:t>
      </w:r>
      <w:proofErr w:type="spellEnd"/>
    </w:p>
    <w:p w:rsidR="00937ED0" w:rsidRDefault="00937ED0" w:rsidP="00937ED0">
      <w:pPr>
        <w:spacing w:before="120"/>
        <w:ind w:left="1134" w:hanging="1134"/>
        <w:rPr>
          <w:rFonts w:cs="Arial"/>
          <w:sz w:val="18"/>
        </w:rPr>
      </w:pPr>
      <w:r w:rsidRPr="003D755A">
        <w:rPr>
          <w:rFonts w:cs="Arial"/>
          <w:caps/>
          <w:sz w:val="18"/>
        </w:rPr>
        <w:t>ANNEX V</w:t>
      </w:r>
      <w:r w:rsidRPr="003D755A">
        <w:rPr>
          <w:rFonts w:cs="Arial"/>
          <w:caps/>
          <w:sz w:val="18"/>
        </w:rPr>
        <w:tab/>
      </w:r>
      <w:r w:rsidRPr="003D755A">
        <w:rPr>
          <w:rFonts w:cs="Arial"/>
          <w:sz w:val="18"/>
        </w:rPr>
        <w:t>Impact of number of growing cycles on variety descriptions and discrimination power in potato</w:t>
      </w:r>
    </w:p>
    <w:p w:rsidR="00D902DE" w:rsidRDefault="00D902DE" w:rsidP="00D902DE">
      <w:pPr>
        <w:spacing w:before="120"/>
        <w:ind w:left="1134" w:hanging="1134"/>
        <w:rPr>
          <w:rFonts w:cs="Arial"/>
          <w:sz w:val="18"/>
        </w:rPr>
      </w:pPr>
      <w:r w:rsidRPr="003D755A">
        <w:rPr>
          <w:rFonts w:cs="Arial"/>
          <w:caps/>
          <w:sz w:val="18"/>
        </w:rPr>
        <w:t>ANNEX V</w:t>
      </w:r>
      <w:r>
        <w:rPr>
          <w:rFonts w:cs="Arial"/>
          <w:caps/>
          <w:sz w:val="18"/>
        </w:rPr>
        <w:t>I</w:t>
      </w:r>
      <w:r w:rsidRPr="003D755A">
        <w:rPr>
          <w:rFonts w:cs="Arial"/>
          <w:caps/>
          <w:sz w:val="18"/>
        </w:rPr>
        <w:tab/>
      </w:r>
      <w:r w:rsidRPr="003D755A">
        <w:rPr>
          <w:rFonts w:cs="Arial"/>
          <w:sz w:val="18"/>
        </w:rPr>
        <w:t xml:space="preserve">Impact of number of growing cycles on variety descriptions and discrimination power </w:t>
      </w:r>
    </w:p>
    <w:p w:rsidR="00416F6E" w:rsidRDefault="00416F6E" w:rsidP="00416F6E">
      <w:pPr>
        <w:rPr>
          <w:rFonts w:cs="Arial"/>
          <w:color w:val="000000"/>
        </w:rPr>
      </w:pPr>
    </w:p>
    <w:p w:rsidR="00416F6E" w:rsidRPr="004F1C91" w:rsidRDefault="00416F6E" w:rsidP="00416F6E">
      <w:pPr>
        <w:keepNext/>
        <w:keepLines/>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 xml:space="preserve">The following abbreviations </w:t>
      </w:r>
      <w:proofErr w:type="gramStart"/>
      <w:r w:rsidRPr="004F1C91">
        <w:rPr>
          <w:rFonts w:cs="Arial"/>
          <w:color w:val="000000"/>
        </w:rPr>
        <w:t>are used</w:t>
      </w:r>
      <w:proofErr w:type="gramEnd"/>
      <w:r w:rsidRPr="004F1C91">
        <w:rPr>
          <w:rFonts w:cs="Arial"/>
          <w:color w:val="000000"/>
        </w:rPr>
        <w:t xml:space="preserve"> in this document:</w:t>
      </w:r>
    </w:p>
    <w:p w:rsidR="00416F6E" w:rsidRPr="004F1C91" w:rsidRDefault="00416F6E" w:rsidP="00416F6E">
      <w:pPr>
        <w:keepNext/>
        <w:keepLines/>
        <w:rPr>
          <w:rFonts w:cs="Arial"/>
          <w:color w:val="000000"/>
        </w:rPr>
      </w:pPr>
    </w:p>
    <w:p w:rsidR="00416F6E" w:rsidRPr="004F1C91" w:rsidRDefault="00416F6E" w:rsidP="00416F6E">
      <w:pPr>
        <w:rPr>
          <w:rFonts w:cs="Arial"/>
        </w:rPr>
      </w:pPr>
      <w:r w:rsidRPr="004F1C91">
        <w:rPr>
          <w:rFonts w:cs="Arial"/>
        </w:rPr>
        <w:tab/>
        <w:t>TC:</w:t>
      </w:r>
      <w:r w:rsidRPr="004F1C91">
        <w:rPr>
          <w:rFonts w:cs="Arial"/>
        </w:rPr>
        <w:tab/>
      </w:r>
      <w:r w:rsidRPr="004F1C91">
        <w:rPr>
          <w:rFonts w:cs="Arial"/>
        </w:rPr>
        <w:tab/>
        <w:t>Technical Committee</w:t>
      </w:r>
    </w:p>
    <w:p w:rsidR="00416F6E" w:rsidRPr="004F1C91" w:rsidRDefault="00416F6E" w:rsidP="00416F6E">
      <w:pPr>
        <w:rPr>
          <w:rFonts w:eastAsia="PMingLiU" w:cs="Arial"/>
        </w:rPr>
      </w:pPr>
      <w:r w:rsidRPr="004F1C91">
        <w:rPr>
          <w:rFonts w:eastAsia="PMingLiU" w:cs="Arial"/>
        </w:rPr>
        <w:tab/>
        <w:t>TC-EDC:</w:t>
      </w:r>
      <w:r w:rsidRPr="004F1C91">
        <w:rPr>
          <w:rFonts w:eastAsia="PMingLiU" w:cs="Arial"/>
        </w:rPr>
        <w:tab/>
        <w:t>Enlarged Editorial Committee</w:t>
      </w:r>
    </w:p>
    <w:p w:rsidR="00416F6E" w:rsidRPr="004F1C91" w:rsidRDefault="00416F6E" w:rsidP="00416F6E">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416F6E" w:rsidRPr="004F1C91" w:rsidRDefault="00416F6E" w:rsidP="00416F6E">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416F6E" w:rsidRPr="004F1C91" w:rsidRDefault="00416F6E" w:rsidP="00416F6E">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416F6E" w:rsidRPr="004F1C91" w:rsidRDefault="00416F6E" w:rsidP="00416F6E">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416F6E" w:rsidRPr="004F1C91" w:rsidRDefault="00416F6E" w:rsidP="00416F6E">
      <w:pPr>
        <w:rPr>
          <w:rFonts w:eastAsia="PMingLiU" w:cs="Arial"/>
        </w:rPr>
      </w:pPr>
      <w:r w:rsidRPr="004F1C91">
        <w:rPr>
          <w:rFonts w:eastAsia="PMingLiU" w:cs="Arial"/>
        </w:rPr>
        <w:tab/>
        <w:t>TWPs:</w:t>
      </w:r>
      <w:r w:rsidRPr="004F1C91">
        <w:rPr>
          <w:rFonts w:eastAsia="PMingLiU" w:cs="Arial"/>
        </w:rPr>
        <w:tab/>
        <w:t>Technical Working Parties</w:t>
      </w:r>
    </w:p>
    <w:p w:rsidR="00416F6E" w:rsidRDefault="00416F6E" w:rsidP="00416F6E">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DE67D3" w:rsidRDefault="00DE67D3" w:rsidP="00416F6E">
      <w:pPr>
        <w:rPr>
          <w:rFonts w:eastAsia="PMingLiU" w:cs="Arial"/>
        </w:rPr>
      </w:pPr>
    </w:p>
    <w:p w:rsidR="00DE67D3" w:rsidRDefault="00DE67D3" w:rsidP="00416F6E">
      <w:pPr>
        <w:rPr>
          <w:rFonts w:eastAsia="PMingLiU" w:cs="Arial"/>
        </w:rPr>
      </w:pPr>
    </w:p>
    <w:p w:rsidR="00DE67D3" w:rsidRDefault="00DE67D3" w:rsidP="00416F6E">
      <w:pPr>
        <w:rPr>
          <w:rFonts w:eastAsia="PMingLiU" w:cs="Arial"/>
        </w:rPr>
      </w:pPr>
    </w:p>
    <w:p w:rsidR="00DE67D3" w:rsidRDefault="00DE67D3" w:rsidP="00416F6E">
      <w:pPr>
        <w:rPr>
          <w:rFonts w:eastAsia="PMingLiU" w:cs="Arial"/>
        </w:rPr>
      </w:pPr>
    </w:p>
    <w:p w:rsidR="00DE67D3" w:rsidRDefault="00DE67D3" w:rsidP="00416F6E">
      <w:pPr>
        <w:rPr>
          <w:rFonts w:eastAsia="PMingLiU" w:cs="Arial"/>
        </w:rPr>
      </w:pPr>
    </w:p>
    <w:p w:rsidR="00416F6E" w:rsidRPr="006D54BA" w:rsidRDefault="00416F6E" w:rsidP="00416F6E">
      <w:pPr>
        <w:pStyle w:val="Heading1"/>
      </w:pPr>
      <w:bookmarkStart w:id="3" w:name="_Toc525913126"/>
      <w:r w:rsidRPr="006D54BA">
        <w:lastRenderedPageBreak/>
        <w:t>Background</w:t>
      </w:r>
      <w:bookmarkEnd w:id="3"/>
    </w:p>
    <w:p w:rsidR="00017E9D" w:rsidRDefault="00017E9D" w:rsidP="00017E9D"/>
    <w:p w:rsidR="00BC2E6E" w:rsidRPr="00BC2E6E" w:rsidRDefault="00BC2E6E" w:rsidP="00BC2E6E">
      <w:pPr>
        <w:keepNext/>
      </w:pPr>
      <w:r w:rsidRPr="00BC2E6E">
        <w:fldChar w:fldCharType="begin"/>
      </w:r>
      <w:r w:rsidRPr="00BC2E6E">
        <w:instrText xml:space="preserve"> AUTONUM  </w:instrText>
      </w:r>
      <w:r w:rsidRPr="00BC2E6E">
        <w:fldChar w:fldCharType="end"/>
      </w:r>
      <w:r w:rsidRPr="00BC2E6E">
        <w:tab/>
        <w:t>The TC, at its fifty-second session, held in Geneva from March 14 to 16, 2016, received the following presentations on variety descriptions and the role of plant material, including minimum number of growing cycles for DUS examination (in order of presentation)</w:t>
      </w:r>
      <w:r w:rsidRPr="00BC2E6E">
        <w:rPr>
          <w:rFonts w:cs="Arial"/>
          <w:lang w:eastAsia="ja-JP"/>
        </w:rPr>
        <w:t xml:space="preserve"> (see document TC/52/29 Rev. “Revised Report”, paragraph 204)</w:t>
      </w:r>
      <w:r w:rsidRPr="00BC2E6E">
        <w:t>:</w:t>
      </w:r>
    </w:p>
    <w:p w:rsidR="00BC2E6E" w:rsidRPr="00BC2E6E" w:rsidRDefault="00BC2E6E" w:rsidP="00BC2E6E"/>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37"/>
        <w:gridCol w:w="3544"/>
      </w:tblGrid>
      <w:tr w:rsidR="00BC2E6E" w:rsidRPr="00BC2E6E" w:rsidTr="00545C95">
        <w:tc>
          <w:tcPr>
            <w:tcW w:w="6237" w:type="dxa"/>
            <w:vAlign w:val="center"/>
          </w:tcPr>
          <w:p w:rsidR="00BC2E6E" w:rsidRPr="00BC2E6E" w:rsidRDefault="00BC2E6E" w:rsidP="00BC2E6E">
            <w:pPr>
              <w:keepNext/>
              <w:spacing w:before="60" w:after="60"/>
              <w:ind w:right="34"/>
            </w:pPr>
            <w:r w:rsidRPr="00BC2E6E">
              <w:t>Variety descriptions and the role of plant material, including minimum number of growing cycles for DUS examination</w:t>
            </w:r>
          </w:p>
        </w:tc>
        <w:tc>
          <w:tcPr>
            <w:tcW w:w="3544" w:type="dxa"/>
          </w:tcPr>
          <w:p w:rsidR="00BC2E6E" w:rsidRPr="00BC2E6E" w:rsidRDefault="00BC2E6E" w:rsidP="00BC2E6E">
            <w:pPr>
              <w:keepNext/>
              <w:spacing w:before="60" w:after="60"/>
              <w:ind w:left="34" w:right="-108"/>
              <w:jc w:val="left"/>
            </w:pPr>
            <w:r w:rsidRPr="00BC2E6E">
              <w:t>France (Mr. Richard Brand)</w:t>
            </w:r>
          </w:p>
        </w:tc>
      </w:tr>
      <w:tr w:rsidR="00BC2E6E" w:rsidRPr="00BC2E6E" w:rsidTr="00545C95">
        <w:tc>
          <w:tcPr>
            <w:tcW w:w="6237" w:type="dxa"/>
            <w:vAlign w:val="center"/>
          </w:tcPr>
          <w:p w:rsidR="00BC2E6E" w:rsidRPr="00BC2E6E" w:rsidRDefault="00BC2E6E" w:rsidP="00BC2E6E">
            <w:pPr>
              <w:keepNext/>
              <w:spacing w:before="60" w:after="60"/>
              <w:ind w:right="34"/>
            </w:pPr>
            <w:r w:rsidRPr="00BC2E6E">
              <w:t>Development and use of variety descriptions</w:t>
            </w:r>
          </w:p>
        </w:tc>
        <w:tc>
          <w:tcPr>
            <w:tcW w:w="3544" w:type="dxa"/>
          </w:tcPr>
          <w:p w:rsidR="00BC2E6E" w:rsidRPr="00BC2E6E" w:rsidRDefault="00BC2E6E" w:rsidP="00BC2E6E">
            <w:pPr>
              <w:keepNext/>
              <w:spacing w:before="60" w:after="60"/>
              <w:ind w:left="34" w:right="-108"/>
              <w:jc w:val="left"/>
            </w:pPr>
            <w:r w:rsidRPr="00BC2E6E">
              <w:t xml:space="preserve">Germany (Ms. </w:t>
            </w:r>
            <w:proofErr w:type="spellStart"/>
            <w:r w:rsidRPr="00BC2E6E">
              <w:t>Beate</w:t>
            </w:r>
            <w:proofErr w:type="spellEnd"/>
            <w:r w:rsidRPr="00BC2E6E">
              <w:t xml:space="preserve"> </w:t>
            </w:r>
            <w:proofErr w:type="spellStart"/>
            <w:r w:rsidRPr="00BC2E6E">
              <w:t>Rücker</w:t>
            </w:r>
            <w:proofErr w:type="spellEnd"/>
            <w:r w:rsidRPr="00BC2E6E">
              <w:t>)</w:t>
            </w:r>
          </w:p>
        </w:tc>
      </w:tr>
      <w:tr w:rsidR="00BC2E6E" w:rsidRPr="00BC2E6E" w:rsidTr="00545C95">
        <w:tc>
          <w:tcPr>
            <w:tcW w:w="6237" w:type="dxa"/>
            <w:vAlign w:val="center"/>
          </w:tcPr>
          <w:p w:rsidR="00BC2E6E" w:rsidRPr="00BC2E6E" w:rsidRDefault="00BC2E6E" w:rsidP="00BC2E6E">
            <w:pPr>
              <w:keepNext/>
              <w:spacing w:before="60" w:after="60"/>
              <w:ind w:right="34"/>
            </w:pPr>
            <w:r w:rsidRPr="00BC2E6E">
              <w:t>Minimum number of growing cycles</w:t>
            </w:r>
          </w:p>
        </w:tc>
        <w:tc>
          <w:tcPr>
            <w:tcW w:w="3544" w:type="dxa"/>
          </w:tcPr>
          <w:p w:rsidR="00BC2E6E" w:rsidRPr="00BC2E6E" w:rsidRDefault="00BC2E6E" w:rsidP="00BC2E6E">
            <w:pPr>
              <w:keepNext/>
              <w:spacing w:before="60" w:after="60"/>
              <w:ind w:left="34" w:right="-108"/>
              <w:jc w:val="left"/>
            </w:pPr>
            <w:r w:rsidRPr="00BC2E6E">
              <w:t xml:space="preserve">Netherlands (Mr. </w:t>
            </w:r>
            <w:proofErr w:type="spellStart"/>
            <w:r w:rsidRPr="00BC2E6E">
              <w:t>Kees</w:t>
            </w:r>
            <w:proofErr w:type="spellEnd"/>
            <w:r w:rsidRPr="00BC2E6E">
              <w:t xml:space="preserve"> van </w:t>
            </w:r>
            <w:proofErr w:type="spellStart"/>
            <w:r w:rsidRPr="00BC2E6E">
              <w:t>Ettekoven</w:t>
            </w:r>
            <w:proofErr w:type="spellEnd"/>
            <w:r w:rsidRPr="00BC2E6E">
              <w:t>)</w:t>
            </w:r>
          </w:p>
        </w:tc>
      </w:tr>
      <w:tr w:rsidR="00BC2E6E" w:rsidRPr="00BC2E6E" w:rsidTr="00545C95">
        <w:tc>
          <w:tcPr>
            <w:tcW w:w="6237" w:type="dxa"/>
            <w:vAlign w:val="center"/>
          </w:tcPr>
          <w:p w:rsidR="00BC2E6E" w:rsidRPr="00BC2E6E" w:rsidRDefault="00BC2E6E" w:rsidP="00BC2E6E">
            <w:pPr>
              <w:keepNext/>
              <w:spacing w:before="60" w:after="60"/>
              <w:ind w:right="34"/>
            </w:pPr>
            <w:r w:rsidRPr="00BC2E6E">
              <w:t>Using variety descriptions and length of testing – A New Zealand perspective</w:t>
            </w:r>
          </w:p>
        </w:tc>
        <w:tc>
          <w:tcPr>
            <w:tcW w:w="3544" w:type="dxa"/>
          </w:tcPr>
          <w:p w:rsidR="00BC2E6E" w:rsidRPr="00BC2E6E" w:rsidRDefault="00BC2E6E" w:rsidP="00BC2E6E">
            <w:pPr>
              <w:keepNext/>
              <w:spacing w:before="60" w:after="60"/>
              <w:ind w:left="34" w:right="-108"/>
              <w:jc w:val="left"/>
            </w:pPr>
            <w:r w:rsidRPr="00BC2E6E">
              <w:t>New Zealand (Mr. Chris Barnaby)</w:t>
            </w:r>
          </w:p>
        </w:tc>
      </w:tr>
    </w:tbl>
    <w:p w:rsidR="00BC2E6E" w:rsidRPr="00BC2E6E" w:rsidRDefault="00BC2E6E" w:rsidP="00BC2E6E">
      <w:pPr>
        <w:ind w:firstLine="567"/>
      </w:pPr>
    </w:p>
    <w:p w:rsidR="00BC2E6E" w:rsidRPr="00BC2E6E" w:rsidRDefault="00BC2E6E" w:rsidP="00BC2E6E">
      <w:r w:rsidRPr="00BC2E6E">
        <w:fldChar w:fldCharType="begin"/>
      </w:r>
      <w:r w:rsidRPr="00BC2E6E">
        <w:instrText xml:space="preserve"> AUTONUM  </w:instrText>
      </w:r>
      <w:r w:rsidRPr="00BC2E6E">
        <w:fldChar w:fldCharType="end"/>
      </w:r>
      <w:r w:rsidRPr="00BC2E6E">
        <w:tab/>
        <w:t>The TC 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rsidRPr="00BC2E6E">
        <w:noBreakHyphen/>
        <w:t xml:space="preserve">third session of the TC. </w:t>
      </w:r>
    </w:p>
    <w:p w:rsidR="00336EAF" w:rsidRPr="00081C46" w:rsidRDefault="00336EAF" w:rsidP="00017E9D">
      <w:pPr>
        <w:rPr>
          <w:rFonts w:cs="Arial"/>
          <w:color w:val="000000"/>
        </w:rPr>
      </w:pPr>
    </w:p>
    <w:p w:rsidR="00017E9D" w:rsidRPr="00D51062" w:rsidRDefault="00017E9D" w:rsidP="00017E9D">
      <w:pPr>
        <w:rPr>
          <w:snapToGrid w:val="0"/>
        </w:rPr>
      </w:pPr>
      <w:r w:rsidRPr="00D51062">
        <w:fldChar w:fldCharType="begin"/>
      </w:r>
      <w:r w:rsidRPr="00D51062">
        <w:instrText xml:space="preserve"> AUTONUM  </w:instrText>
      </w:r>
      <w:r w:rsidRPr="00D51062">
        <w:fldChar w:fldCharType="end"/>
      </w:r>
      <w:r w:rsidRPr="00D51062">
        <w:tab/>
      </w:r>
      <w:r>
        <w:t>The TC, at its fifty-third session, held in Geneva from April 3 to 7, 2017, c</w:t>
      </w:r>
      <w:r w:rsidRPr="00D51062">
        <w:rPr>
          <w:snapToGrid w:val="0"/>
        </w:rPr>
        <w:t>onsidered document TC/53/21</w:t>
      </w:r>
      <w:r>
        <w:rPr>
          <w:snapToGrid w:val="0"/>
        </w:rPr>
        <w:t xml:space="preserve"> </w:t>
      </w:r>
      <w:r>
        <w:t>“Number of growing cycles” (see document TC/53/31 “Report”, paragraphs 183 to 187)</w:t>
      </w:r>
      <w:r w:rsidRPr="00D51062">
        <w:rPr>
          <w:snapToGrid w:val="0"/>
        </w:rPr>
        <w:t>.</w:t>
      </w:r>
    </w:p>
    <w:p w:rsidR="00017E9D" w:rsidRPr="00D51062" w:rsidRDefault="00017E9D" w:rsidP="00017E9D">
      <w:pPr>
        <w:rPr>
          <w:snapToGrid w:val="0"/>
        </w:rPr>
      </w:pPr>
    </w:p>
    <w:p w:rsidR="00017E9D" w:rsidRPr="00D51062" w:rsidRDefault="00017E9D" w:rsidP="00017E9D">
      <w:r w:rsidRPr="00D51062">
        <w:rPr>
          <w:color w:val="000000"/>
        </w:rPr>
        <w:fldChar w:fldCharType="begin"/>
      </w:r>
      <w:r w:rsidRPr="00D51062">
        <w:rPr>
          <w:color w:val="000000"/>
        </w:rPr>
        <w:instrText xml:space="preserve"> AUTONUM  </w:instrText>
      </w:r>
      <w:r w:rsidRPr="00D51062">
        <w:rPr>
          <w:color w:val="000000"/>
        </w:rPr>
        <w:fldChar w:fldCharType="end"/>
      </w:r>
      <w:r w:rsidRPr="00D51062">
        <w:rPr>
          <w:color w:val="000000"/>
        </w:rPr>
        <w:tab/>
      </w:r>
      <w:r w:rsidRPr="00D51062">
        <w:rPr>
          <w:rFonts w:cs="Arial"/>
        </w:rPr>
        <w:t>The TC considered the presentations made by experts at the TWP sessions in 2016, simulating the impact of using different numbers of growing cycles on DUS decisions using actual data, as set out in the Annexes to document TC/53/21.</w:t>
      </w:r>
    </w:p>
    <w:p w:rsidR="00017E9D" w:rsidRPr="00D51062" w:rsidRDefault="00017E9D" w:rsidP="00017E9D">
      <w:pPr>
        <w:rPr>
          <w:rFonts w:cs="Arial"/>
        </w:rPr>
      </w:pPr>
    </w:p>
    <w:p w:rsidR="00017E9D" w:rsidRPr="00D51062" w:rsidRDefault="00017E9D" w:rsidP="00017E9D">
      <w:r w:rsidRPr="00D51062">
        <w:rPr>
          <w:color w:val="000000"/>
        </w:rPr>
        <w:fldChar w:fldCharType="begin"/>
      </w:r>
      <w:r w:rsidRPr="00D51062">
        <w:rPr>
          <w:color w:val="000000"/>
        </w:rPr>
        <w:instrText xml:space="preserve"> AUTONUM  </w:instrText>
      </w:r>
      <w:r w:rsidRPr="00D51062">
        <w:rPr>
          <w:color w:val="000000"/>
        </w:rPr>
        <w:fldChar w:fldCharType="end"/>
      </w:r>
      <w:r w:rsidRPr="00D51062">
        <w:rPr>
          <w:color w:val="000000"/>
        </w:rPr>
        <w:tab/>
      </w:r>
      <w:r w:rsidRPr="00D51062">
        <w:rPr>
          <w:rFonts w:cs="Arial"/>
        </w:rPr>
        <w:t xml:space="preserve">The TC noted the offers by members of the Union to make presentations to the TWPs, at their sessions in 2017, </w:t>
      </w:r>
      <w:r w:rsidRPr="00D51062">
        <w:t>on the impact of using different numbers of growing cycles on DUS decisions using actual data and agreed to invite the TWPs to report to the TC, at its session in 2018.</w:t>
      </w:r>
    </w:p>
    <w:p w:rsidR="00017E9D" w:rsidRPr="00D51062" w:rsidRDefault="00017E9D" w:rsidP="00017E9D"/>
    <w:p w:rsidR="00017E9D" w:rsidRPr="00D51062" w:rsidRDefault="00017E9D" w:rsidP="00017E9D">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 xml:space="preserve">The TC </w:t>
      </w:r>
      <w:r w:rsidRPr="00D51062">
        <w:t xml:space="preserve">noted the expression of interest by Authorities to reduce the costs associated with DUS examination and agreed that </w:t>
      </w:r>
      <w:r w:rsidRPr="00D51062">
        <w:rPr>
          <w:rFonts w:cs="Arial"/>
        </w:rPr>
        <w:t xml:space="preserve">the number of growing cycles for DUS examination should be the minimum necessary for a robust DUS decision and the establishment of a </w:t>
      </w:r>
      <w:r w:rsidRPr="00D51062">
        <w:t xml:space="preserve">reliable variety description.  </w:t>
      </w:r>
    </w:p>
    <w:p w:rsidR="00017E9D" w:rsidRPr="00D51062" w:rsidRDefault="00017E9D" w:rsidP="00017E9D"/>
    <w:p w:rsidR="00017E9D" w:rsidRPr="00D51062" w:rsidRDefault="00017E9D" w:rsidP="00017E9D">
      <w:r w:rsidRPr="00D51062">
        <w:fldChar w:fldCharType="begin"/>
      </w:r>
      <w:r w:rsidRPr="00D51062">
        <w:instrText xml:space="preserve"> AUTONUM  </w:instrText>
      </w:r>
      <w:r w:rsidRPr="00D51062">
        <w:fldChar w:fldCharType="end"/>
      </w:r>
      <w:r w:rsidRPr="00D51062">
        <w:tab/>
        <w:t>The TC agreed that it was not appropriate to generalize that ornamental varieties should be examined in a single growing trial while other types of crops should be examined in two growing cycles and agreed that the typical number of growing cycles should be established on a crop-by-crop basis.</w:t>
      </w:r>
    </w:p>
    <w:p w:rsidR="00BC2E6E" w:rsidRDefault="00BC2E6E" w:rsidP="000C17B3">
      <w:pPr>
        <w:ind w:left="567" w:hanging="567"/>
      </w:pPr>
    </w:p>
    <w:p w:rsidR="00DE67D3" w:rsidRPr="00D51062" w:rsidRDefault="00DE67D3" w:rsidP="000C17B3">
      <w:pPr>
        <w:ind w:left="567" w:hanging="567"/>
      </w:pPr>
    </w:p>
    <w:p w:rsidR="00017E9D" w:rsidRPr="004B1215" w:rsidRDefault="0092099E" w:rsidP="0092099E">
      <w:pPr>
        <w:pStyle w:val="Heading1"/>
      </w:pPr>
      <w:bookmarkStart w:id="4" w:name="_Toc525913127"/>
      <w:r>
        <w:t>PRESENTATIONS TO THE TWPS AT THEIR SESSIONS IN 2017</w:t>
      </w:r>
      <w:bookmarkEnd w:id="4"/>
    </w:p>
    <w:p w:rsidR="00050E16" w:rsidRDefault="00050E16" w:rsidP="00050E16"/>
    <w:p w:rsidR="006C741E" w:rsidRDefault="006C741E" w:rsidP="00E671E3">
      <w:pPr>
        <w:pStyle w:val="Heading2"/>
      </w:pPr>
      <w:bookmarkStart w:id="5" w:name="_Toc525913128"/>
      <w:r>
        <w:t>Technical Working Party for Agricultural Crops</w:t>
      </w:r>
      <w:bookmarkEnd w:id="5"/>
    </w:p>
    <w:p w:rsidR="006C741E" w:rsidRDefault="006C741E" w:rsidP="00050E16"/>
    <w:p w:rsidR="006C741E" w:rsidRDefault="006C741E" w:rsidP="006C741E">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w:t>
      </w:r>
      <w:r>
        <w:rPr>
          <w:snapToGrid w:val="0"/>
        </w:rPr>
        <w:t>, at its forty-sixt</w:t>
      </w:r>
      <w:r w:rsidR="00C03B0C">
        <w:rPr>
          <w:snapToGrid w:val="0"/>
        </w:rPr>
        <w:t>h</w:t>
      </w:r>
      <w:r>
        <w:rPr>
          <w:snapToGrid w:val="0"/>
        </w:rPr>
        <w:t xml:space="preserve"> session, held in Hannover, Germany, </w:t>
      </w:r>
      <w:r w:rsidR="00C03B0C">
        <w:rPr>
          <w:snapToGrid w:val="0"/>
        </w:rPr>
        <w:t xml:space="preserve">June 19 to 23, 2017, </w:t>
      </w:r>
      <w:r w:rsidRPr="00540418">
        <w:rPr>
          <w:snapToGrid w:val="0"/>
        </w:rPr>
        <w:t xml:space="preserve">considered </w:t>
      </w:r>
      <w:r w:rsidRPr="00540418">
        <w:t xml:space="preserve">documents </w:t>
      </w:r>
      <w:hyperlink r:id="rId7" w:history="1">
        <w:r w:rsidRPr="00540418">
          <w:rPr>
            <w:rStyle w:val="Hyperlink"/>
          </w:rPr>
          <w:t>TWP/1/21</w:t>
        </w:r>
      </w:hyperlink>
      <w:r w:rsidR="00C03B0C">
        <w:t xml:space="preserve"> “Number of growing cycles”,</w:t>
      </w:r>
      <w:r w:rsidRPr="00540418">
        <w:t xml:space="preserve"> </w:t>
      </w:r>
      <w:hyperlink r:id="rId8" w:history="1">
        <w:r w:rsidRPr="00540418">
          <w:rPr>
            <w:rStyle w:val="Hyperlink"/>
          </w:rPr>
          <w:t>TWA/46/8</w:t>
        </w:r>
      </w:hyperlink>
      <w:r w:rsidRPr="00540418">
        <w:t xml:space="preserve"> and </w:t>
      </w:r>
      <w:hyperlink r:id="rId9" w:history="1">
        <w:r w:rsidRPr="00540418">
          <w:rPr>
            <w:rStyle w:val="Hyperlink"/>
          </w:rPr>
          <w:t>TWA/46/8 Add</w:t>
        </w:r>
      </w:hyperlink>
      <w:r>
        <w:t xml:space="preserve"> </w:t>
      </w:r>
      <w:r w:rsidR="00C03B0C">
        <w:t>“</w:t>
      </w:r>
      <w:r w:rsidR="00C03B0C" w:rsidRPr="00C03B0C">
        <w:t>Impact of using different numbers of growing cycles on DUS decisions using actual data</w:t>
      </w:r>
      <w:r w:rsidR="00C03B0C">
        <w:t>”</w:t>
      </w:r>
      <w:r w:rsidR="00C03B0C" w:rsidRPr="00C03B0C">
        <w:t xml:space="preserve"> </w:t>
      </w:r>
      <w:r>
        <w:t>(see document TWA/46/10 “Report”, paragraphs 36 to 41).</w:t>
      </w:r>
    </w:p>
    <w:p w:rsidR="00C03B0C" w:rsidRPr="00540418" w:rsidRDefault="00C03B0C" w:rsidP="006C741E"/>
    <w:p w:rsidR="006C741E" w:rsidRPr="00540418" w:rsidRDefault="006C741E" w:rsidP="006C741E">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 received the following presentations</w:t>
      </w:r>
      <w:r w:rsidRPr="00540418">
        <w:t>, as reproduced in documents TWA/46/8 and TWA/46/8 Add.</w:t>
      </w:r>
      <w:r w:rsidR="00A209E0">
        <w:t xml:space="preserve"> </w:t>
      </w:r>
      <w:r w:rsidRPr="00540418">
        <w:t>:</w:t>
      </w:r>
    </w:p>
    <w:p w:rsidR="006C741E" w:rsidRPr="00540418" w:rsidRDefault="006C741E" w:rsidP="006C741E">
      <w:pPr>
        <w:keepNext/>
      </w:pP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6C741E" w:rsidRPr="00D13778" w:rsidTr="005573A4">
        <w:tc>
          <w:tcPr>
            <w:tcW w:w="8647" w:type="dxa"/>
            <w:vAlign w:val="center"/>
          </w:tcPr>
          <w:p w:rsidR="006C741E" w:rsidRPr="00D13778" w:rsidRDefault="006C741E" w:rsidP="005573A4">
            <w:pPr>
              <w:keepNext/>
              <w:spacing w:before="120" w:after="120"/>
              <w:jc w:val="left"/>
            </w:pPr>
            <w:r w:rsidRPr="00D13778">
              <w:t>(a)</w:t>
            </w:r>
            <w:r w:rsidRPr="00D13778">
              <w:tab/>
              <w:t>“Impact of number of growing cycles on variety descriptions and discrimination power in wheat and barley”, prepared by an expert from Germany</w:t>
            </w:r>
          </w:p>
        </w:tc>
      </w:tr>
      <w:tr w:rsidR="006C741E" w:rsidRPr="00D13778" w:rsidTr="005573A4">
        <w:tc>
          <w:tcPr>
            <w:tcW w:w="8647" w:type="dxa"/>
            <w:vAlign w:val="center"/>
          </w:tcPr>
          <w:p w:rsidR="006C741E" w:rsidRPr="00D13778" w:rsidRDefault="006C741E" w:rsidP="005573A4">
            <w:pPr>
              <w:spacing w:before="120" w:after="120"/>
              <w:jc w:val="left"/>
            </w:pPr>
            <w:r w:rsidRPr="00D13778">
              <w:rPr>
                <w:snapToGrid w:val="0"/>
              </w:rPr>
              <w:t>(b)</w:t>
            </w:r>
            <w:r w:rsidRPr="00D13778">
              <w:rPr>
                <w:snapToGrid w:val="0"/>
              </w:rPr>
              <w:tab/>
              <w:t>“Number of Growing Cycles in Potato”, prepared by an expert from the Netherlands</w:t>
            </w:r>
          </w:p>
        </w:tc>
      </w:tr>
      <w:tr w:rsidR="006C741E" w:rsidRPr="00D13778" w:rsidTr="005573A4">
        <w:tc>
          <w:tcPr>
            <w:tcW w:w="8647" w:type="dxa"/>
            <w:vAlign w:val="center"/>
          </w:tcPr>
          <w:p w:rsidR="006C741E" w:rsidRPr="00DE67D3" w:rsidRDefault="006C741E" w:rsidP="005573A4">
            <w:pPr>
              <w:spacing w:before="120" w:after="120"/>
              <w:jc w:val="left"/>
              <w:rPr>
                <w:lang w:val="pt-BR"/>
              </w:rPr>
            </w:pPr>
            <w:r w:rsidRPr="00D13778">
              <w:t>(c)</w:t>
            </w:r>
            <w:r w:rsidRPr="00D13778">
              <w:tab/>
              <w:t xml:space="preserve">“Number of growing cycles in potato varieties - DUS examination of </w:t>
            </w:r>
            <w:proofErr w:type="spellStart"/>
            <w:r w:rsidRPr="00D13778">
              <w:t>lightsprouts</w:t>
            </w:r>
            <w:proofErr w:type="spellEnd"/>
            <w:r w:rsidRPr="00D13778">
              <w:t>”, prepared by an expert from Poland</w:t>
            </w:r>
          </w:p>
        </w:tc>
      </w:tr>
      <w:tr w:rsidR="006C741E" w:rsidRPr="00540418" w:rsidTr="005573A4">
        <w:tc>
          <w:tcPr>
            <w:tcW w:w="8647" w:type="dxa"/>
            <w:vAlign w:val="center"/>
          </w:tcPr>
          <w:p w:rsidR="006C741E" w:rsidRPr="00540418" w:rsidRDefault="006C741E" w:rsidP="005573A4">
            <w:pPr>
              <w:spacing w:before="120" w:after="120"/>
              <w:jc w:val="left"/>
            </w:pPr>
            <w:r w:rsidRPr="00D13778">
              <w:rPr>
                <w:snapToGrid w:val="0"/>
              </w:rPr>
              <w:lastRenderedPageBreak/>
              <w:t>(d)</w:t>
            </w:r>
            <w:r w:rsidRPr="00D13778">
              <w:rPr>
                <w:snapToGrid w:val="0"/>
              </w:rPr>
              <w:tab/>
              <w:t xml:space="preserve">“Number of growing cycles:  the impact on cereal variety descriptions”, </w:t>
            </w:r>
            <w:r w:rsidRPr="00D13778">
              <w:t xml:space="preserve">prepared </w:t>
            </w:r>
            <w:r w:rsidRPr="00D13778">
              <w:rPr>
                <w:snapToGrid w:val="0"/>
              </w:rPr>
              <w:t>by an expert from the United Kingdom</w:t>
            </w:r>
          </w:p>
        </w:tc>
      </w:tr>
    </w:tbl>
    <w:p w:rsidR="006C741E" w:rsidRPr="00540418" w:rsidRDefault="006C741E" w:rsidP="006C741E"/>
    <w:p w:rsidR="006C741E" w:rsidRPr="00540418" w:rsidRDefault="006C741E" w:rsidP="006C741E">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 agreed that discussions on the number of growing cycles in DUS examination for agricultural crops should continue and welcomed the offers by Australia, Denmark, France, Germany, the United Kingdom and ISF to make presentations at its forty-sevent</w:t>
      </w:r>
      <w:r w:rsidR="00C03B0C">
        <w:rPr>
          <w:snapToGrid w:val="0"/>
        </w:rPr>
        <w:t>h</w:t>
      </w:r>
      <w:r w:rsidRPr="00540418">
        <w:rPr>
          <w:snapToGrid w:val="0"/>
        </w:rPr>
        <w:t xml:space="preserve"> session.  </w:t>
      </w:r>
    </w:p>
    <w:p w:rsidR="00E02A18" w:rsidRDefault="00E02A18" w:rsidP="00E671E3"/>
    <w:p w:rsidR="00E02A18" w:rsidRDefault="00E02A18" w:rsidP="00E02A18">
      <w:pPr>
        <w:pStyle w:val="Heading2"/>
      </w:pPr>
      <w:bookmarkStart w:id="6" w:name="_Toc525913129"/>
      <w:r>
        <w:t>Technical Working Party on Fruit Crops</w:t>
      </w:r>
      <w:bookmarkEnd w:id="6"/>
    </w:p>
    <w:p w:rsidR="00E02A18" w:rsidRPr="00E671E3" w:rsidRDefault="00E02A18" w:rsidP="00E671E3"/>
    <w:p w:rsidR="00E02A18" w:rsidRPr="000A6A84" w:rsidRDefault="00E02A18" w:rsidP="00E02A18">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t xml:space="preserve">documents </w:t>
      </w:r>
      <w:hyperlink r:id="rId10" w:history="1">
        <w:r w:rsidRPr="000A6A84">
          <w:rPr>
            <w:rStyle w:val="Hyperlink"/>
          </w:rPr>
          <w:t>TWP/1/21</w:t>
        </w:r>
      </w:hyperlink>
      <w:r w:rsidRPr="000A6A84">
        <w:t xml:space="preserve"> </w:t>
      </w:r>
      <w:r w:rsidR="009957AA">
        <w:t xml:space="preserve">“Number of growing cycles” </w:t>
      </w:r>
      <w:r w:rsidR="000C17B3">
        <w:t>(see document TWF/48/13 “Report”, paragraphs 81 to 84)</w:t>
      </w:r>
    </w:p>
    <w:p w:rsidR="00E02A18" w:rsidRPr="000A6A84" w:rsidRDefault="00E02A18" w:rsidP="00E02A18"/>
    <w:p w:rsidR="00E02A18" w:rsidRPr="0095679A" w:rsidRDefault="00E02A18" w:rsidP="00E02A18">
      <w:r w:rsidRPr="000A6A84">
        <w:fldChar w:fldCharType="begin"/>
      </w:r>
      <w:r w:rsidRPr="000A6A84">
        <w:instrText xml:space="preserve"> AUTONUM  </w:instrText>
      </w:r>
      <w:r w:rsidRPr="000A6A84">
        <w:fldChar w:fldCharType="end"/>
      </w:r>
      <w:r w:rsidRPr="000A6A84">
        <w:tab/>
        <w:t xml:space="preserve">The TWF noted that the TC had agreed that it was not appropriate to generalize that ornamental varieties </w:t>
      </w:r>
      <w:proofErr w:type="gramStart"/>
      <w:r w:rsidRPr="000A6A84">
        <w:t>should be examined</w:t>
      </w:r>
      <w:proofErr w:type="gramEnd"/>
      <w:r w:rsidRPr="000A6A84">
        <w:t xml:space="preserve"> in a single growing trial while other types of crops should be examined in two growing cycles.  It noted further that the TC had agreed that the typical number of growing cycles </w:t>
      </w:r>
      <w:proofErr w:type="gramStart"/>
      <w:r w:rsidRPr="000A6A84">
        <w:t>should be established</w:t>
      </w:r>
      <w:proofErr w:type="gramEnd"/>
      <w:r w:rsidRPr="000A6A84">
        <w:t xml:space="preserve"> </w:t>
      </w:r>
      <w:r w:rsidRPr="009629E1">
        <w:t>on a crop-by-crop basis.  However the TWF agreed to clarify to the TC that, in some cases in the fruit sector, the normal number of growing cycles needed to be established on variety-type by variety-type basis (for example rootstock varieties, male-female varieties).</w:t>
      </w:r>
      <w:r>
        <w:t xml:space="preserve"> </w:t>
      </w:r>
    </w:p>
    <w:p w:rsidR="009957AA" w:rsidRDefault="009957AA" w:rsidP="00E02A18"/>
    <w:p w:rsidR="00E02A18" w:rsidRDefault="00E02A18" w:rsidP="00E02A18">
      <w:pPr>
        <w:pStyle w:val="Heading2"/>
      </w:pPr>
      <w:bookmarkStart w:id="7" w:name="_Toc525913130"/>
      <w:r>
        <w:t>Technical Working Party on Automation and Computer Programs</w:t>
      </w:r>
      <w:bookmarkEnd w:id="7"/>
    </w:p>
    <w:p w:rsidR="00E02A18" w:rsidRDefault="00E02A18" w:rsidP="00E02A18"/>
    <w:p w:rsidR="00E02A18" w:rsidRPr="004E2894" w:rsidRDefault="00E02A18" w:rsidP="00E02A18">
      <w:r w:rsidRPr="005948AF">
        <w:fldChar w:fldCharType="begin"/>
      </w:r>
      <w:r w:rsidRPr="004E2894">
        <w:instrText xml:space="preserve"> AUTONUM  </w:instrText>
      </w:r>
      <w:r w:rsidRPr="005948AF">
        <w:fldChar w:fldCharType="end"/>
      </w:r>
      <w:r w:rsidRPr="004E2894">
        <w:tab/>
        <w:t xml:space="preserve">The TWC considered </w:t>
      </w:r>
      <w:r w:rsidRPr="004E2894">
        <w:rPr>
          <w:lang w:eastAsia="ja-JP"/>
        </w:rPr>
        <w:t>d</w:t>
      </w:r>
      <w:r w:rsidRPr="004E2894">
        <w:t>ocument TWP/1/21</w:t>
      </w:r>
      <w:r>
        <w:t xml:space="preserve"> </w:t>
      </w:r>
      <w:r w:rsidR="009957AA">
        <w:t xml:space="preserve">“Number of growing cycles” </w:t>
      </w:r>
      <w:r w:rsidR="000C17B3">
        <w:t xml:space="preserve">(see document TWC/35/21 “Report”, paragraphs </w:t>
      </w:r>
      <w:r>
        <w:t>45 to 51).</w:t>
      </w:r>
    </w:p>
    <w:p w:rsidR="00E02A18" w:rsidRPr="004E2894" w:rsidRDefault="00E02A18" w:rsidP="00E02A18"/>
    <w:p w:rsidR="00E02A18" w:rsidRPr="004E2894" w:rsidRDefault="00E02A18" w:rsidP="00E02A18">
      <w:r w:rsidRPr="009629E1">
        <w:fldChar w:fldCharType="begin"/>
      </w:r>
      <w:r w:rsidRPr="009629E1">
        <w:instrText xml:space="preserve"> AUTONUM  </w:instrText>
      </w:r>
      <w:r w:rsidRPr="009629E1">
        <w:fldChar w:fldCharType="end"/>
      </w:r>
      <w:r w:rsidRPr="009629E1">
        <w:tab/>
        <w:t xml:space="preserve">The TWC considered </w:t>
      </w:r>
      <w:r w:rsidRPr="009629E1">
        <w:rPr>
          <w:lang w:eastAsia="ja-JP"/>
        </w:rPr>
        <w:t>d</w:t>
      </w:r>
      <w:r w:rsidRPr="009629E1">
        <w:t xml:space="preserve">ocument TWC/35/7 </w:t>
      </w:r>
      <w:r w:rsidR="009957AA" w:rsidRPr="009629E1">
        <w:t>“</w:t>
      </w:r>
      <w:r w:rsidR="009957AA" w:rsidRPr="009629E1">
        <w:rPr>
          <w:bCs/>
        </w:rPr>
        <w:t>Number of Growing Cycles in Potato</w:t>
      </w:r>
      <w:r w:rsidR="009957AA" w:rsidRPr="009629E1">
        <w:t xml:space="preserve">” </w:t>
      </w:r>
      <w:r w:rsidRPr="009629E1">
        <w:t>and received a presentation by an expert from the Netherlands</w:t>
      </w:r>
      <w:r w:rsidR="009957AA" w:rsidRPr="009629E1">
        <w:t xml:space="preserve"> </w:t>
      </w:r>
      <w:r w:rsidRPr="009629E1">
        <w:t>containing the results of the simulation on the impact of using</w:t>
      </w:r>
      <w:r w:rsidRPr="004E2894">
        <w:t xml:space="preserve"> different numbers of growing cycles on DUS decisions using actual data for potato.  A copy of the presentation </w:t>
      </w:r>
      <w:proofErr w:type="gramStart"/>
      <w:r w:rsidRPr="004E2894">
        <w:t>is reproduced</w:t>
      </w:r>
      <w:proofErr w:type="gramEnd"/>
      <w:r w:rsidRPr="004E2894">
        <w:t xml:space="preserve"> in the Annex to document TWC/35/7.  </w:t>
      </w:r>
    </w:p>
    <w:p w:rsidR="00E02A18" w:rsidRPr="004E2894" w:rsidRDefault="00E02A18" w:rsidP="00E02A18"/>
    <w:p w:rsidR="00E02A18" w:rsidRPr="004E2894" w:rsidRDefault="00E02A18" w:rsidP="00E02A18">
      <w:r w:rsidRPr="005948AF">
        <w:fldChar w:fldCharType="begin"/>
      </w:r>
      <w:r w:rsidRPr="004E2894">
        <w:instrText xml:space="preserve"> AUTONUM  </w:instrText>
      </w:r>
      <w:r w:rsidRPr="005948AF">
        <w:fldChar w:fldCharType="end"/>
      </w:r>
      <w:r w:rsidRPr="004E2894">
        <w:tab/>
        <w:t xml:space="preserve">The TWC noted that the results demonstrated that from the 37 characteristics observed, 73% would have had the same score and 24% would have had differences of only one note between the first growing cycle and the note from the first and second growing cycles combined. </w:t>
      </w:r>
    </w:p>
    <w:p w:rsidR="00E02A18" w:rsidRPr="004E2894" w:rsidRDefault="00E02A18" w:rsidP="00E02A18"/>
    <w:p w:rsidR="00E02A18" w:rsidRPr="004E2894" w:rsidRDefault="00E02A18" w:rsidP="00E02A18">
      <w:r w:rsidRPr="005948AF">
        <w:fldChar w:fldCharType="begin"/>
      </w:r>
      <w:r w:rsidRPr="004E2894">
        <w:instrText xml:space="preserve"> AUTONUM  </w:instrText>
      </w:r>
      <w:r w:rsidRPr="005948AF">
        <w:fldChar w:fldCharType="end"/>
      </w:r>
      <w:r w:rsidRPr="004E2894">
        <w:tab/>
        <w:t xml:space="preserve">The TWC noted that the Netherlands was exploring the possibility of using molecular marker information to reduce the number of growing cycles for DUS examination of potato varieties.  </w:t>
      </w:r>
    </w:p>
    <w:p w:rsidR="006C741E" w:rsidRDefault="006C741E" w:rsidP="00050E16"/>
    <w:p w:rsidR="009957AA" w:rsidRDefault="009957AA" w:rsidP="00050E16"/>
    <w:p w:rsidR="006C741E" w:rsidRPr="004B1215" w:rsidRDefault="006C741E" w:rsidP="006C741E">
      <w:pPr>
        <w:pStyle w:val="Heading1"/>
      </w:pPr>
      <w:bookmarkStart w:id="8" w:name="_Toc525913131"/>
      <w:r>
        <w:t>PRESENTATIONS TO THE TWPS AT THEIR SESSIONS IN 2018</w:t>
      </w:r>
      <w:bookmarkEnd w:id="8"/>
    </w:p>
    <w:p w:rsidR="006C741E" w:rsidRPr="000C17B3" w:rsidRDefault="006C741E" w:rsidP="000C17B3"/>
    <w:p w:rsidR="000C17B3" w:rsidRPr="000C17B3" w:rsidRDefault="000C17B3" w:rsidP="000C17B3">
      <w:pPr>
        <w:pStyle w:val="Heading2"/>
      </w:pPr>
      <w:bookmarkStart w:id="9" w:name="_Toc525913132"/>
      <w:r w:rsidRPr="000C17B3">
        <w:t>Technical Working Party for Agricultural Crops</w:t>
      </w:r>
      <w:bookmarkEnd w:id="9"/>
    </w:p>
    <w:p w:rsidR="000C17B3" w:rsidRPr="000C17B3" w:rsidRDefault="000C17B3" w:rsidP="000C17B3"/>
    <w:p w:rsidR="006C741E" w:rsidRPr="00CF2F9C" w:rsidRDefault="006C741E" w:rsidP="006C741E">
      <w:r w:rsidRPr="00D13778">
        <w:fldChar w:fldCharType="begin"/>
      </w:r>
      <w:r w:rsidRPr="00D13778">
        <w:instrText xml:space="preserve"> AUTONUM  </w:instrText>
      </w:r>
      <w:r w:rsidRPr="00D13778">
        <w:fldChar w:fldCharType="end"/>
      </w:r>
      <w:r w:rsidRPr="00D13778">
        <w:tab/>
        <w:t xml:space="preserve">The TWA, at its forty-seventh session, held in </w:t>
      </w:r>
      <w:proofErr w:type="spellStart"/>
      <w:r w:rsidRPr="00D13778">
        <w:t>Naivasha</w:t>
      </w:r>
      <w:proofErr w:type="spellEnd"/>
      <w:r w:rsidRPr="00D13778">
        <w:t xml:space="preserve"> Kenya from</w:t>
      </w:r>
      <w:r w:rsidR="009957AA" w:rsidRPr="00D13778">
        <w:t xml:space="preserve"> May 21 to 25, 2018,</w:t>
      </w:r>
      <w:r w:rsidRPr="00D13778">
        <w:t xml:space="preserve"> considered document </w:t>
      </w:r>
      <w:hyperlink r:id="rId11" w:history="1">
        <w:r w:rsidRPr="00D13778">
          <w:rPr>
            <w:rStyle w:val="Hyperlink"/>
            <w:rFonts w:cs="Arial"/>
          </w:rPr>
          <w:t>TWA/47/5</w:t>
        </w:r>
      </w:hyperlink>
      <w:r w:rsidRPr="00D13778">
        <w:t xml:space="preserve"> “Impact of the number of growing cycles on variety descriptions and discrimination power in potato” and received a presentation by an expert from Germany, a copy of which </w:t>
      </w:r>
      <w:proofErr w:type="gramStart"/>
      <w:r w:rsidRPr="00D13778">
        <w:t>would be provided</w:t>
      </w:r>
      <w:proofErr w:type="gramEnd"/>
      <w:r w:rsidRPr="00D13778">
        <w:t xml:space="preserve"> as document TWA/47/5 Add</w:t>
      </w:r>
      <w:r w:rsidR="009957AA" w:rsidRPr="00D13778">
        <w:t>. (</w:t>
      </w:r>
      <w:proofErr w:type="gramStart"/>
      <w:r w:rsidR="009957AA" w:rsidRPr="00D13778">
        <w:t>see</w:t>
      </w:r>
      <w:proofErr w:type="gramEnd"/>
      <w:r w:rsidR="009957AA" w:rsidRPr="00D13778">
        <w:t xml:space="preserve"> document TWA/47/7 “Report”, paragraphs 35 to 38).</w:t>
      </w:r>
    </w:p>
    <w:p w:rsidR="006C741E" w:rsidRPr="00CF2F9C" w:rsidRDefault="006C741E" w:rsidP="006C741E"/>
    <w:p w:rsidR="006C741E" w:rsidRPr="009629E1" w:rsidRDefault="006C741E" w:rsidP="006C741E">
      <w:r w:rsidRPr="009629E1">
        <w:fldChar w:fldCharType="begin"/>
      </w:r>
      <w:r w:rsidRPr="009629E1">
        <w:instrText xml:space="preserve"> AUTONUM  </w:instrText>
      </w:r>
      <w:r w:rsidRPr="009629E1">
        <w:fldChar w:fldCharType="end"/>
      </w:r>
      <w:r w:rsidRPr="009629E1">
        <w:tab/>
        <w:t xml:space="preserve">The TWA agreed that variety descriptions generated over two growing cycles were more robust than those generated over a single growing </w:t>
      </w:r>
      <w:proofErr w:type="gramStart"/>
      <w:r w:rsidRPr="009629E1">
        <w:t>cycle</w:t>
      </w:r>
      <w:proofErr w:type="gramEnd"/>
      <w:r w:rsidRPr="009629E1">
        <w:t xml:space="preserve">.  The TWA also agreed that two growing cycles allowed a more robust assessment of individual characteristics. </w:t>
      </w:r>
    </w:p>
    <w:p w:rsidR="006C741E" w:rsidRPr="009629E1" w:rsidRDefault="006C741E" w:rsidP="006C741E"/>
    <w:p w:rsidR="006C741E" w:rsidRPr="00CF2F9C" w:rsidRDefault="006C741E" w:rsidP="006C741E">
      <w:r w:rsidRPr="009629E1">
        <w:fldChar w:fldCharType="begin"/>
      </w:r>
      <w:r w:rsidRPr="009629E1">
        <w:instrText xml:space="preserve"> AUTONUM  </w:instrText>
      </w:r>
      <w:r w:rsidRPr="009629E1">
        <w:fldChar w:fldCharType="end"/>
      </w:r>
      <w:r w:rsidRPr="009629E1">
        <w:tab/>
        <w:t xml:space="preserve">The TWA agreed that a robust decision on distinctness could be reached after a single growing cycle </w:t>
      </w:r>
      <w:proofErr w:type="gramStart"/>
      <w:r w:rsidRPr="009629E1">
        <w:t>on the basis of</w:t>
      </w:r>
      <w:proofErr w:type="gramEnd"/>
      <w:r w:rsidRPr="009629E1">
        <w:t xml:space="preserve"> a sufficiently large difference in characteristics.</w:t>
      </w:r>
    </w:p>
    <w:p w:rsidR="006C741E" w:rsidRPr="00CF2F9C" w:rsidRDefault="006C741E" w:rsidP="006C741E"/>
    <w:p w:rsidR="006C741E" w:rsidRPr="00CF2F9C" w:rsidRDefault="006C741E" w:rsidP="006C741E">
      <w:r w:rsidRPr="002E42C1">
        <w:fldChar w:fldCharType="begin"/>
      </w:r>
      <w:r w:rsidRPr="00CF2F9C">
        <w:instrText xml:space="preserve"> AUTONUM  </w:instrText>
      </w:r>
      <w:r w:rsidRPr="002E42C1">
        <w:fldChar w:fldCharType="end"/>
      </w:r>
      <w:r w:rsidRPr="00CF2F9C">
        <w:tab/>
        <w:t xml:space="preserve">The TWA noted that DNA-marker information could provide supporting information </w:t>
      </w:r>
      <w:r>
        <w:t>in the</w:t>
      </w:r>
      <w:r w:rsidRPr="00CF2F9C">
        <w:t xml:space="preserve"> DUS examination</w:t>
      </w:r>
      <w:r>
        <w:t>, as set out in document TGP/15 “</w:t>
      </w:r>
      <w:r w:rsidRPr="00583B4F">
        <w:t>Guidance on the Use of Biochemical and Molecular Markers in the Examination of Distinctness, Uniformity and Stability (DUS)</w:t>
      </w:r>
      <w:r>
        <w:t>”.</w:t>
      </w:r>
      <w:r w:rsidRPr="00CF2F9C">
        <w:t xml:space="preserve"> </w:t>
      </w:r>
      <w:r>
        <w:t xml:space="preserve"> The TWA noted the experience reported by the Netherlands that DNA-marker information </w:t>
      </w:r>
      <w:proofErr w:type="gramStart"/>
      <w:r w:rsidRPr="00CF2F9C">
        <w:t xml:space="preserve">was </w:t>
      </w:r>
      <w:r>
        <w:t>also</w:t>
      </w:r>
      <w:r w:rsidRPr="00CF2F9C">
        <w:t xml:space="preserve"> used</w:t>
      </w:r>
      <w:proofErr w:type="gramEnd"/>
      <w:r w:rsidRPr="00CF2F9C">
        <w:t xml:space="preserve"> for enforcing plant breeders’ rights </w:t>
      </w:r>
      <w:r>
        <w:t xml:space="preserve">in combination </w:t>
      </w:r>
      <w:r w:rsidRPr="00CF2F9C">
        <w:t>with side-by-side verification of conformity of plant material to a protected variety.</w:t>
      </w:r>
    </w:p>
    <w:p w:rsidR="006C741E" w:rsidRDefault="006C741E" w:rsidP="006C741E"/>
    <w:p w:rsidR="00BC2E6E" w:rsidRPr="00CF2F9C" w:rsidRDefault="00BC2E6E" w:rsidP="006C741E"/>
    <w:p w:rsidR="00050E16" w:rsidRDefault="000C17B3" w:rsidP="000C17B3">
      <w:pPr>
        <w:pStyle w:val="Heading2"/>
      </w:pPr>
      <w:bookmarkStart w:id="10" w:name="_Toc525913133"/>
      <w:r>
        <w:lastRenderedPageBreak/>
        <w:t>Technical Working Party on Automation and Computer Programs</w:t>
      </w:r>
      <w:bookmarkEnd w:id="10"/>
    </w:p>
    <w:p w:rsidR="00E02A18" w:rsidRPr="004C636E" w:rsidRDefault="00E02A18" w:rsidP="00E02A18"/>
    <w:p w:rsidR="00E02A18" w:rsidRDefault="00E02A18" w:rsidP="00E02A18">
      <w:r w:rsidRPr="004C636E">
        <w:fldChar w:fldCharType="begin"/>
      </w:r>
      <w:r w:rsidRPr="004C636E">
        <w:instrText xml:space="preserve"> AUTONUM  </w:instrText>
      </w:r>
      <w:r w:rsidRPr="004C636E">
        <w:fldChar w:fldCharType="end"/>
      </w:r>
      <w:r w:rsidRPr="004C636E">
        <w:tab/>
        <w:t>The TW</w:t>
      </w:r>
      <w:r>
        <w:t>C</w:t>
      </w:r>
      <w:r w:rsidRPr="004C636E">
        <w:t xml:space="preserve"> considered document</w:t>
      </w:r>
      <w:r>
        <w:t>s</w:t>
      </w:r>
      <w:r w:rsidRPr="004C636E">
        <w:t xml:space="preserve"> </w:t>
      </w:r>
      <w:hyperlink r:id="rId12" w:history="1">
        <w:r w:rsidRPr="004C636E">
          <w:rPr>
            <w:color w:val="0000FF"/>
            <w:u w:val="single"/>
          </w:rPr>
          <w:t>TW</w:t>
        </w:r>
        <w:r>
          <w:rPr>
            <w:color w:val="0000FF"/>
            <w:u w:val="single"/>
          </w:rPr>
          <w:t>C</w:t>
        </w:r>
        <w:r w:rsidRPr="004C636E">
          <w:rPr>
            <w:color w:val="0000FF"/>
            <w:u w:val="single"/>
          </w:rPr>
          <w:t>/</w:t>
        </w:r>
        <w:r>
          <w:rPr>
            <w:color w:val="0000FF"/>
            <w:u w:val="single"/>
          </w:rPr>
          <w:t>36</w:t>
        </w:r>
        <w:r w:rsidRPr="004C636E">
          <w:rPr>
            <w:color w:val="0000FF"/>
            <w:u w:val="single"/>
          </w:rPr>
          <w:t>/</w:t>
        </w:r>
        <w:r>
          <w:rPr>
            <w:color w:val="0000FF"/>
            <w:u w:val="single"/>
          </w:rPr>
          <w:t>6</w:t>
        </w:r>
      </w:hyperlink>
      <w:r w:rsidRPr="004C636E">
        <w:t xml:space="preserve"> </w:t>
      </w:r>
      <w:r>
        <w:t xml:space="preserve">and </w:t>
      </w:r>
      <w:hyperlink r:id="rId13" w:history="1">
        <w:r w:rsidRPr="00095CA3">
          <w:rPr>
            <w:rStyle w:val="Hyperlink"/>
          </w:rPr>
          <w:t>TWC/36/6 Add.</w:t>
        </w:r>
      </w:hyperlink>
      <w:r w:rsidRPr="004C636E">
        <w:t xml:space="preserve"> “</w:t>
      </w:r>
      <w:r w:rsidRPr="0089749F">
        <w:t>Impact of the number of growing cycles on variety descriptions and discrimination power</w:t>
      </w:r>
      <w:r w:rsidRPr="004C636E">
        <w:t xml:space="preserve">” and received a presentation by an expert from </w:t>
      </w:r>
      <w:r>
        <w:t>Germany</w:t>
      </w:r>
      <w:r w:rsidR="009957AA">
        <w:t xml:space="preserve"> (see document TWC/36/15 “Report”, paragraphs </w:t>
      </w:r>
      <w:r>
        <w:t>24 to 28).</w:t>
      </w:r>
    </w:p>
    <w:p w:rsidR="00E02A18" w:rsidRDefault="00E02A18" w:rsidP="00E02A18"/>
    <w:p w:rsidR="00E02A18" w:rsidRPr="00503F2C" w:rsidRDefault="00E02A18" w:rsidP="00E02A18">
      <w:r w:rsidRPr="004C636E">
        <w:fldChar w:fldCharType="begin"/>
      </w:r>
      <w:r w:rsidRPr="004C636E">
        <w:instrText xml:space="preserve"> AUTONUM  </w:instrText>
      </w:r>
      <w:r w:rsidRPr="004C636E">
        <w:fldChar w:fldCharType="end"/>
      </w:r>
      <w:r w:rsidRPr="004C636E">
        <w:tab/>
      </w:r>
      <w:r w:rsidRPr="00503F2C">
        <w:t>The TWC welcomed the statistical analysis quantif</w:t>
      </w:r>
      <w:r>
        <w:t>ying</w:t>
      </w:r>
      <w:r w:rsidRPr="00503F2C">
        <w:t xml:space="preserve"> the </w:t>
      </w:r>
      <w:r>
        <w:t>genotype-by-environment interaction</w:t>
      </w:r>
      <w:r w:rsidRPr="007B468B">
        <w:t xml:space="preserve"> </w:t>
      </w:r>
      <w:r w:rsidRPr="00503F2C">
        <w:t>for descriptions generated over years.</w:t>
      </w:r>
      <w:r>
        <w:t xml:space="preserve"> </w:t>
      </w:r>
    </w:p>
    <w:p w:rsidR="00E02A18" w:rsidRPr="00503F2C" w:rsidRDefault="00E02A18" w:rsidP="00E02A18"/>
    <w:p w:rsidR="00E02A18" w:rsidRDefault="00E02A18" w:rsidP="00E02A18">
      <w:r w:rsidRPr="004C636E">
        <w:fldChar w:fldCharType="begin"/>
      </w:r>
      <w:r w:rsidRPr="004C636E">
        <w:instrText xml:space="preserve"> AUTONUM  </w:instrText>
      </w:r>
      <w:r w:rsidRPr="004C636E">
        <w:fldChar w:fldCharType="end"/>
      </w:r>
      <w:r w:rsidRPr="004C636E">
        <w:tab/>
      </w:r>
      <w:r>
        <w:t>T</w:t>
      </w:r>
      <w:r w:rsidRPr="00503F2C">
        <w:t xml:space="preserve">he TWC agreed that variety descriptions generated over two growing cycles were more robust than those generated in one growing cycle </w:t>
      </w:r>
      <w:proofErr w:type="gramStart"/>
      <w:r w:rsidRPr="00503F2C">
        <w:t>only</w:t>
      </w:r>
      <w:proofErr w:type="gramEnd"/>
      <w:r w:rsidRPr="00503F2C">
        <w:t>.</w:t>
      </w:r>
      <w:r>
        <w:t xml:space="preserve">  </w:t>
      </w:r>
    </w:p>
    <w:p w:rsidR="00E02A18" w:rsidRDefault="00E02A18" w:rsidP="00E02A18"/>
    <w:p w:rsidR="00E02A18" w:rsidRPr="004C636E" w:rsidRDefault="00E02A18" w:rsidP="00E02A18">
      <w:r w:rsidRPr="004C636E">
        <w:fldChar w:fldCharType="begin"/>
      </w:r>
      <w:r w:rsidRPr="004C636E">
        <w:instrText xml:space="preserve"> AUTONUM  </w:instrText>
      </w:r>
      <w:r w:rsidRPr="004C636E">
        <w:fldChar w:fldCharType="end"/>
      </w:r>
      <w:r w:rsidRPr="004C636E">
        <w:tab/>
      </w:r>
      <w:r>
        <w:t>T</w:t>
      </w:r>
      <w:r w:rsidRPr="00503F2C">
        <w:t xml:space="preserve">he TWC </w:t>
      </w:r>
      <w:r>
        <w:t xml:space="preserve">agreed that it </w:t>
      </w:r>
      <w:proofErr w:type="gramStart"/>
      <w:r>
        <w:t xml:space="preserve">should be </w:t>
      </w:r>
      <w:r w:rsidRPr="00503F2C">
        <w:t>clarified</w:t>
      </w:r>
      <w:proofErr w:type="gramEnd"/>
      <w:r w:rsidRPr="00503F2C">
        <w:t xml:space="preserve"> that document</w:t>
      </w:r>
      <w:r>
        <w:t>s</w:t>
      </w:r>
      <w:r w:rsidRPr="004C636E">
        <w:t xml:space="preserve"> </w:t>
      </w:r>
      <w:r w:rsidRPr="00D04C57">
        <w:t xml:space="preserve">TWC/36/6 </w:t>
      </w:r>
      <w:r>
        <w:t xml:space="preserve">and </w:t>
      </w:r>
      <w:r w:rsidRPr="00D04C57">
        <w:t>TWC/36/6 Add.</w:t>
      </w:r>
      <w:r w:rsidRPr="00503F2C">
        <w:t xml:space="preserve"> </w:t>
      </w:r>
      <w:proofErr w:type="gramStart"/>
      <w:r w:rsidRPr="00503F2C">
        <w:t>analy</w:t>
      </w:r>
      <w:r>
        <w:t>z</w:t>
      </w:r>
      <w:r w:rsidRPr="00503F2C">
        <w:t>e</w:t>
      </w:r>
      <w:r>
        <w:t>d</w:t>
      </w:r>
      <w:proofErr w:type="gramEnd"/>
      <w:r w:rsidRPr="00503F2C">
        <w:t xml:space="preserve"> differences in individual characteristics over cycles and </w:t>
      </w:r>
      <w:r>
        <w:t xml:space="preserve">did </w:t>
      </w:r>
      <w:r w:rsidRPr="00503F2C">
        <w:t xml:space="preserve">not assess </w:t>
      </w:r>
      <w:r>
        <w:t>differences</w:t>
      </w:r>
      <w:r w:rsidRPr="00503F2C">
        <w:t xml:space="preserve"> of varieties over all characteristics.</w:t>
      </w:r>
    </w:p>
    <w:p w:rsidR="00E02A18" w:rsidRPr="00503F2C" w:rsidRDefault="00E02A18" w:rsidP="00E02A18"/>
    <w:p w:rsidR="00E02A18" w:rsidRPr="00A633BE" w:rsidRDefault="00E02A18" w:rsidP="00E02A18">
      <w:r w:rsidRPr="004C636E">
        <w:fldChar w:fldCharType="begin"/>
      </w:r>
      <w:r w:rsidRPr="004C636E">
        <w:instrText xml:space="preserve"> AUTONUM  </w:instrText>
      </w:r>
      <w:r w:rsidRPr="004C636E">
        <w:fldChar w:fldCharType="end"/>
      </w:r>
      <w:r w:rsidRPr="004C636E">
        <w:tab/>
      </w:r>
      <w:r>
        <w:t>T</w:t>
      </w:r>
      <w:r w:rsidRPr="00503F2C">
        <w:t>he TWC note</w:t>
      </w:r>
      <w:r>
        <w:t>d</w:t>
      </w:r>
      <w:r w:rsidRPr="00503F2C">
        <w:t xml:space="preserve"> the </w:t>
      </w:r>
      <w:r>
        <w:t xml:space="preserve">oral </w:t>
      </w:r>
      <w:r w:rsidRPr="00503F2C">
        <w:t xml:space="preserve">report by the Netherlands that a study </w:t>
      </w:r>
      <w:proofErr w:type="gramStart"/>
      <w:r w:rsidRPr="00503F2C">
        <w:t>was being conducted</w:t>
      </w:r>
      <w:proofErr w:type="gramEnd"/>
      <w:r w:rsidRPr="00503F2C">
        <w:t xml:space="preserve"> on </w:t>
      </w:r>
      <w:r>
        <w:t xml:space="preserve">the use of </w:t>
      </w:r>
      <w:r w:rsidRPr="00503F2C">
        <w:t>DNA</w:t>
      </w:r>
      <w:r>
        <w:noBreakHyphen/>
        <w:t>markers</w:t>
      </w:r>
      <w:r w:rsidRPr="00503F2C">
        <w:t xml:space="preserve"> as supporting information for decisions </w:t>
      </w:r>
      <w:r>
        <w:t xml:space="preserve">on </w:t>
      </w:r>
      <w:r w:rsidRPr="00503F2C">
        <w:t xml:space="preserve">distinctness and </w:t>
      </w:r>
      <w:r>
        <w:t xml:space="preserve">the TWC </w:t>
      </w:r>
      <w:r w:rsidRPr="00503F2C">
        <w:t xml:space="preserve">agreed to invite </w:t>
      </w:r>
      <w:r w:rsidR="00A633BE">
        <w:t>the </w:t>
      </w:r>
      <w:r w:rsidRPr="00A633BE">
        <w:t>Netherlands to report their work in a future meeting.</w:t>
      </w:r>
    </w:p>
    <w:p w:rsidR="00E02A18" w:rsidRDefault="00E02A18" w:rsidP="00E02A18">
      <w:pPr>
        <w:keepNext/>
      </w:pPr>
    </w:p>
    <w:p w:rsidR="007E08CD" w:rsidRDefault="007E08CD" w:rsidP="00E02A18">
      <w:pPr>
        <w:keepNext/>
      </w:pPr>
    </w:p>
    <w:p w:rsidR="00DE67D3" w:rsidRPr="00336EAF" w:rsidRDefault="00336EAF" w:rsidP="00DE67D3">
      <w:pPr>
        <w:tabs>
          <w:tab w:val="left" w:pos="5387"/>
          <w:tab w:val="left" w:pos="5954"/>
        </w:tabs>
        <w:ind w:left="4820"/>
        <w:rPr>
          <w:i/>
        </w:rPr>
      </w:pPr>
      <w:r w:rsidRPr="00336EAF">
        <w:rPr>
          <w:i/>
          <w:color w:val="000000"/>
        </w:rPr>
        <w:fldChar w:fldCharType="begin"/>
      </w:r>
      <w:r w:rsidRPr="00336EAF">
        <w:rPr>
          <w:i/>
          <w:color w:val="000000"/>
        </w:rPr>
        <w:instrText xml:space="preserve"> AUTONUM  </w:instrText>
      </w:r>
      <w:r w:rsidRPr="00336EAF">
        <w:rPr>
          <w:i/>
          <w:color w:val="000000"/>
        </w:rPr>
        <w:fldChar w:fldCharType="end"/>
      </w:r>
      <w:r w:rsidRPr="00336EAF">
        <w:rPr>
          <w:i/>
          <w:color w:val="000000"/>
        </w:rPr>
        <w:tab/>
      </w:r>
      <w:r w:rsidRPr="00336EAF">
        <w:rPr>
          <w:i/>
        </w:rPr>
        <w:t xml:space="preserve">The TC </w:t>
      </w:r>
      <w:proofErr w:type="gramStart"/>
      <w:r w:rsidRPr="00336EAF">
        <w:rPr>
          <w:i/>
        </w:rPr>
        <w:t>is invited</w:t>
      </w:r>
      <w:proofErr w:type="gramEnd"/>
      <w:r w:rsidRPr="00336EAF">
        <w:rPr>
          <w:i/>
        </w:rPr>
        <w:t xml:space="preserve"> to</w:t>
      </w:r>
      <w:r w:rsidR="00DE67D3">
        <w:rPr>
          <w:i/>
        </w:rPr>
        <w:t xml:space="preserve"> </w:t>
      </w:r>
      <w:r w:rsidRPr="00336EAF">
        <w:rPr>
          <w:i/>
          <w:snapToGrid w:val="0"/>
        </w:rPr>
        <w:t xml:space="preserve">note the discussions by the TWPs, at their sessions in 2017 and 2018, </w:t>
      </w:r>
      <w:r w:rsidRPr="00336EAF">
        <w:rPr>
          <w:i/>
        </w:rPr>
        <w:t>on the impact of using different numbers of growing cycles on DUS decisions using actual data</w:t>
      </w:r>
      <w:r w:rsidR="00DE67D3">
        <w:rPr>
          <w:i/>
        </w:rPr>
        <w:t>.</w:t>
      </w:r>
    </w:p>
    <w:p w:rsidR="006C741E" w:rsidRDefault="006C741E" w:rsidP="00336EAF">
      <w:pPr>
        <w:ind w:left="4820"/>
        <w:rPr>
          <w:i/>
        </w:rPr>
      </w:pPr>
    </w:p>
    <w:p w:rsidR="00336EAF" w:rsidRDefault="00336EAF" w:rsidP="00336EAF">
      <w:pPr>
        <w:ind w:left="4820"/>
        <w:rPr>
          <w:i/>
        </w:rPr>
      </w:pPr>
    </w:p>
    <w:p w:rsidR="00336EAF" w:rsidRPr="00336EAF" w:rsidRDefault="00336EAF" w:rsidP="00336EAF">
      <w:pPr>
        <w:ind w:left="4820"/>
        <w:rPr>
          <w:i/>
        </w:rPr>
      </w:pPr>
    </w:p>
    <w:p w:rsidR="00050E16" w:rsidRDefault="00050E16" w:rsidP="00942232">
      <w:pPr>
        <w:jc w:val="right"/>
      </w:pPr>
      <w:r w:rsidRPr="00C5280D">
        <w:t xml:space="preserve"> [</w:t>
      </w:r>
      <w:r w:rsidR="00824749">
        <w:t>Annexes follow</w:t>
      </w:r>
      <w:r w:rsidRPr="00C5280D">
        <w:t>]</w:t>
      </w:r>
    </w:p>
    <w:p w:rsidR="0070006F" w:rsidRDefault="0070006F" w:rsidP="00942232">
      <w:pPr>
        <w:jc w:val="right"/>
      </w:pPr>
    </w:p>
    <w:p w:rsidR="0070006F" w:rsidRDefault="0070006F" w:rsidP="0070006F">
      <w:pPr>
        <w:sectPr w:rsidR="0070006F" w:rsidSect="00906DDC">
          <w:headerReference w:type="default" r:id="rId14"/>
          <w:pgSz w:w="11907" w:h="16840" w:code="9"/>
          <w:pgMar w:top="510" w:right="1134" w:bottom="1134" w:left="1134" w:header="510" w:footer="680" w:gutter="0"/>
          <w:cols w:space="720"/>
          <w:titlePg/>
        </w:sectPr>
      </w:pPr>
    </w:p>
    <w:p w:rsidR="00300D3D" w:rsidRDefault="00300D3D" w:rsidP="00300D3D">
      <w:pPr>
        <w:rPr>
          <w:snapToGrid w:val="0"/>
        </w:rPr>
      </w:pPr>
      <w:bookmarkStart w:id="11" w:name="_GoBack"/>
      <w:bookmarkEnd w:id="11"/>
    </w:p>
    <w:p w:rsidR="00300D3D" w:rsidRDefault="00300D3D" w:rsidP="00300D3D">
      <w:pPr>
        <w:rPr>
          <w:snapToGrid w:val="0"/>
        </w:rPr>
      </w:pPr>
    </w:p>
    <w:p w:rsidR="00300D3D" w:rsidRPr="00D302CA" w:rsidRDefault="00300D3D" w:rsidP="00300D3D">
      <w:pPr>
        <w:jc w:val="center"/>
        <w:rPr>
          <w:rFonts w:cs="Arial"/>
          <w:i/>
        </w:rPr>
      </w:pPr>
      <w:r w:rsidRPr="00D302CA">
        <w:rPr>
          <w:rFonts w:cs="Arial"/>
          <w:i/>
        </w:rPr>
        <w:t>Please see the pdf version</w:t>
      </w:r>
    </w:p>
    <w:p w:rsidR="00300D3D" w:rsidRDefault="00300D3D" w:rsidP="00300D3D">
      <w:pPr>
        <w:jc w:val="center"/>
        <w:rPr>
          <w:rFonts w:cs="Arial"/>
        </w:rPr>
      </w:pPr>
    </w:p>
    <w:p w:rsidR="00300D3D" w:rsidRDefault="00300D3D" w:rsidP="00300D3D">
      <w:pPr>
        <w:rPr>
          <w:snapToGrid w:val="0"/>
        </w:rPr>
      </w:pPr>
    </w:p>
    <w:p w:rsidR="00300D3D" w:rsidRDefault="00300D3D" w:rsidP="00300D3D">
      <w:pPr>
        <w:jc w:val="right"/>
        <w:rPr>
          <w:snapToGrid w:val="0"/>
        </w:rPr>
      </w:pPr>
      <w:r>
        <w:rPr>
          <w:snapToGrid w:val="0"/>
        </w:rPr>
        <w:t>[End of document]</w:t>
      </w:r>
    </w:p>
    <w:p w:rsidR="0070006F" w:rsidRPr="00C5280D" w:rsidRDefault="0070006F" w:rsidP="0070006F"/>
    <w:sectPr w:rsidR="0070006F" w:rsidRPr="00C5280D" w:rsidSect="00906DDC">
      <w:headerReference w:type="default" r:id="rId15"/>
      <w:head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79" w:rsidRDefault="00E55D79" w:rsidP="006655D3">
      <w:r>
        <w:separator/>
      </w:r>
    </w:p>
    <w:p w:rsidR="00E55D79" w:rsidRDefault="00E55D79" w:rsidP="006655D3"/>
    <w:p w:rsidR="00E55D79" w:rsidRDefault="00E55D79" w:rsidP="006655D3"/>
  </w:endnote>
  <w:endnote w:type="continuationSeparator" w:id="0">
    <w:p w:rsidR="00E55D79" w:rsidRDefault="00E55D79" w:rsidP="006655D3">
      <w:r>
        <w:separator/>
      </w:r>
    </w:p>
    <w:p w:rsidR="00E55D79" w:rsidRPr="00294751" w:rsidRDefault="00E55D79">
      <w:pPr>
        <w:pStyle w:val="Footer"/>
        <w:spacing w:after="60"/>
        <w:rPr>
          <w:sz w:val="18"/>
          <w:lang w:val="fr-FR"/>
        </w:rPr>
      </w:pPr>
      <w:r w:rsidRPr="00294751">
        <w:rPr>
          <w:sz w:val="18"/>
          <w:lang w:val="fr-FR"/>
        </w:rPr>
        <w:t>[Suite de la note de la page précédente]</w:t>
      </w:r>
    </w:p>
    <w:p w:rsidR="00E55D79" w:rsidRPr="00294751" w:rsidRDefault="00E55D79" w:rsidP="006655D3">
      <w:pPr>
        <w:rPr>
          <w:lang w:val="fr-FR"/>
        </w:rPr>
      </w:pPr>
    </w:p>
    <w:p w:rsidR="00E55D79" w:rsidRPr="00294751" w:rsidRDefault="00E55D79" w:rsidP="006655D3">
      <w:pPr>
        <w:rPr>
          <w:lang w:val="fr-FR"/>
        </w:rPr>
      </w:pPr>
    </w:p>
  </w:endnote>
  <w:endnote w:type="continuationNotice" w:id="1">
    <w:p w:rsidR="00E55D79" w:rsidRPr="00294751" w:rsidRDefault="00E55D79" w:rsidP="006655D3">
      <w:pPr>
        <w:rPr>
          <w:lang w:val="fr-FR"/>
        </w:rPr>
      </w:pPr>
      <w:r w:rsidRPr="00294751">
        <w:rPr>
          <w:lang w:val="fr-FR"/>
        </w:rPr>
        <w:t>[Suite de la note page suivante]</w:t>
      </w:r>
    </w:p>
    <w:p w:rsidR="00E55D79" w:rsidRPr="00294751" w:rsidRDefault="00E55D79" w:rsidP="006655D3">
      <w:pPr>
        <w:rPr>
          <w:lang w:val="fr-FR"/>
        </w:rPr>
      </w:pPr>
    </w:p>
    <w:p w:rsidR="00E55D79" w:rsidRPr="00294751" w:rsidRDefault="00E55D7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79" w:rsidRDefault="00E55D79" w:rsidP="006655D3">
      <w:r>
        <w:separator/>
      </w:r>
    </w:p>
  </w:footnote>
  <w:footnote w:type="continuationSeparator" w:id="0">
    <w:p w:rsidR="00E55D79" w:rsidRDefault="00E55D79" w:rsidP="006655D3">
      <w:r>
        <w:separator/>
      </w:r>
    </w:p>
  </w:footnote>
  <w:footnote w:type="continuationNotice" w:id="1">
    <w:p w:rsidR="00E55D79" w:rsidRPr="00AB530F" w:rsidRDefault="00E55D7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416F6E">
      <w:rPr>
        <w:rStyle w:val="PageNumber"/>
        <w:lang w:val="en-US"/>
      </w:rPr>
      <w:t>27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26A3">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656" w:rsidRPr="00832298" w:rsidRDefault="00300D3D" w:rsidP="00832298">
    <w:pPr>
      <w:pStyle w:val="Header"/>
    </w:pPr>
    <w:r w:rsidRPr="00832298">
      <w:t>TW</w:t>
    </w:r>
    <w:r>
      <w:t xml:space="preserve">V/50/21 </w:t>
    </w:r>
    <w:proofErr w:type="spellStart"/>
    <w:r>
      <w:t>Add</w:t>
    </w:r>
    <w:proofErr w:type="spellEnd"/>
    <w:r>
      <w:t>.</w:t>
    </w:r>
  </w:p>
  <w:p w:rsidR="00903656" w:rsidRDefault="004026A3" w:rsidP="00832298">
    <w:pPr>
      <w:pStyle w:val="Header"/>
    </w:pPr>
  </w:p>
  <w:p w:rsidR="00AC78D1" w:rsidRPr="00C5280D" w:rsidRDefault="00300D3D" w:rsidP="00832298">
    <w:pPr>
      <w:pStyle w:val="Header"/>
    </w:pPr>
    <w:r>
      <w:t>ANNEX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6A3" w:rsidRPr="00C5280D" w:rsidRDefault="004026A3" w:rsidP="0070006F">
    <w:pPr>
      <w:pStyle w:val="Header"/>
      <w:rPr>
        <w:rStyle w:val="PageNumber"/>
        <w:lang w:val="en-US"/>
      </w:rPr>
    </w:pPr>
    <w:r>
      <w:rPr>
        <w:rStyle w:val="PageNumber"/>
        <w:lang w:val="en-US"/>
      </w:rPr>
      <w:t>TC/54/27</w:t>
    </w:r>
  </w:p>
  <w:p w:rsidR="004026A3" w:rsidRDefault="004026A3" w:rsidP="0070006F">
    <w:pPr>
      <w:pStyle w:val="Header"/>
    </w:pPr>
  </w:p>
  <w:p w:rsidR="004026A3" w:rsidRDefault="004026A3" w:rsidP="0070006F">
    <w:pPr>
      <w:pStyle w:val="Header"/>
    </w:pPr>
    <w:r>
      <w:t>ANNEX</w:t>
    </w:r>
  </w:p>
  <w:p w:rsidR="004026A3" w:rsidRPr="0070006F" w:rsidRDefault="004026A3" w:rsidP="007000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D79"/>
    <w:rsid w:val="00010CF3"/>
    <w:rsid w:val="00011E27"/>
    <w:rsid w:val="000148BC"/>
    <w:rsid w:val="00017E9D"/>
    <w:rsid w:val="00024AB8"/>
    <w:rsid w:val="00030854"/>
    <w:rsid w:val="00036028"/>
    <w:rsid w:val="00044642"/>
    <w:rsid w:val="000446B9"/>
    <w:rsid w:val="00047E21"/>
    <w:rsid w:val="00050E16"/>
    <w:rsid w:val="00085505"/>
    <w:rsid w:val="000C17B3"/>
    <w:rsid w:val="000C4E25"/>
    <w:rsid w:val="000C7021"/>
    <w:rsid w:val="000D6BBC"/>
    <w:rsid w:val="000D7780"/>
    <w:rsid w:val="000E636A"/>
    <w:rsid w:val="000F2F11"/>
    <w:rsid w:val="00105929"/>
    <w:rsid w:val="00110C36"/>
    <w:rsid w:val="00111D22"/>
    <w:rsid w:val="001131D5"/>
    <w:rsid w:val="00141DB8"/>
    <w:rsid w:val="00172084"/>
    <w:rsid w:val="0017474A"/>
    <w:rsid w:val="001758C6"/>
    <w:rsid w:val="00182B99"/>
    <w:rsid w:val="001D4052"/>
    <w:rsid w:val="0021332C"/>
    <w:rsid w:val="00213982"/>
    <w:rsid w:val="0024416D"/>
    <w:rsid w:val="00271911"/>
    <w:rsid w:val="002800A0"/>
    <w:rsid w:val="002801B3"/>
    <w:rsid w:val="00281060"/>
    <w:rsid w:val="002940E8"/>
    <w:rsid w:val="00294751"/>
    <w:rsid w:val="002A5B1A"/>
    <w:rsid w:val="002A6E50"/>
    <w:rsid w:val="002B4298"/>
    <w:rsid w:val="002C256A"/>
    <w:rsid w:val="002D63A8"/>
    <w:rsid w:val="00300D3D"/>
    <w:rsid w:val="00304827"/>
    <w:rsid w:val="00305A7F"/>
    <w:rsid w:val="003152FE"/>
    <w:rsid w:val="00327436"/>
    <w:rsid w:val="00336EAF"/>
    <w:rsid w:val="00344BD6"/>
    <w:rsid w:val="0035528D"/>
    <w:rsid w:val="00361821"/>
    <w:rsid w:val="00361E9E"/>
    <w:rsid w:val="003C7FBE"/>
    <w:rsid w:val="003D227C"/>
    <w:rsid w:val="003D2B4D"/>
    <w:rsid w:val="003D755A"/>
    <w:rsid w:val="00400E8F"/>
    <w:rsid w:val="004026A3"/>
    <w:rsid w:val="00416F6E"/>
    <w:rsid w:val="00444A88"/>
    <w:rsid w:val="00474DA4"/>
    <w:rsid w:val="00476B4D"/>
    <w:rsid w:val="004805FA"/>
    <w:rsid w:val="004935D2"/>
    <w:rsid w:val="004B1215"/>
    <w:rsid w:val="004D047D"/>
    <w:rsid w:val="004F1E9E"/>
    <w:rsid w:val="004F305A"/>
    <w:rsid w:val="004F4848"/>
    <w:rsid w:val="00512164"/>
    <w:rsid w:val="00520297"/>
    <w:rsid w:val="005320CB"/>
    <w:rsid w:val="005338F9"/>
    <w:rsid w:val="0054281C"/>
    <w:rsid w:val="00544581"/>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C741E"/>
    <w:rsid w:val="006D780A"/>
    <w:rsid w:val="0070006F"/>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E08CD"/>
    <w:rsid w:val="007F498F"/>
    <w:rsid w:val="0080679D"/>
    <w:rsid w:val="008108B0"/>
    <w:rsid w:val="00811B20"/>
    <w:rsid w:val="008211B5"/>
    <w:rsid w:val="0082296E"/>
    <w:rsid w:val="00824099"/>
    <w:rsid w:val="00824749"/>
    <w:rsid w:val="00846D7C"/>
    <w:rsid w:val="00867AC1"/>
    <w:rsid w:val="00890DF8"/>
    <w:rsid w:val="008A743F"/>
    <w:rsid w:val="008B0B1D"/>
    <w:rsid w:val="008B6E60"/>
    <w:rsid w:val="008C0970"/>
    <w:rsid w:val="008D0BC5"/>
    <w:rsid w:val="008D2CF7"/>
    <w:rsid w:val="008D7E86"/>
    <w:rsid w:val="00900C26"/>
    <w:rsid w:val="0090197F"/>
    <w:rsid w:val="00906DDC"/>
    <w:rsid w:val="0092099E"/>
    <w:rsid w:val="00934E09"/>
    <w:rsid w:val="00936253"/>
    <w:rsid w:val="00937ED0"/>
    <w:rsid w:val="00940D46"/>
    <w:rsid w:val="00942232"/>
    <w:rsid w:val="00952DD4"/>
    <w:rsid w:val="009629E1"/>
    <w:rsid w:val="00965AE7"/>
    <w:rsid w:val="00970FED"/>
    <w:rsid w:val="00992D82"/>
    <w:rsid w:val="009957AA"/>
    <w:rsid w:val="00997029"/>
    <w:rsid w:val="009A7339"/>
    <w:rsid w:val="009B440E"/>
    <w:rsid w:val="009D690D"/>
    <w:rsid w:val="009E65B6"/>
    <w:rsid w:val="00A209E0"/>
    <w:rsid w:val="00A24C10"/>
    <w:rsid w:val="00A42AC3"/>
    <w:rsid w:val="00A430CF"/>
    <w:rsid w:val="00A54309"/>
    <w:rsid w:val="00A633BE"/>
    <w:rsid w:val="00AB2B93"/>
    <w:rsid w:val="00AB530F"/>
    <w:rsid w:val="00AB7E5B"/>
    <w:rsid w:val="00AC2883"/>
    <w:rsid w:val="00AD4672"/>
    <w:rsid w:val="00AE0EF1"/>
    <w:rsid w:val="00AE2937"/>
    <w:rsid w:val="00B07301"/>
    <w:rsid w:val="00B11F3E"/>
    <w:rsid w:val="00B224DE"/>
    <w:rsid w:val="00B324D4"/>
    <w:rsid w:val="00B46575"/>
    <w:rsid w:val="00B52BD2"/>
    <w:rsid w:val="00B61777"/>
    <w:rsid w:val="00B82AE6"/>
    <w:rsid w:val="00B84BBD"/>
    <w:rsid w:val="00BA43FB"/>
    <w:rsid w:val="00BC127D"/>
    <w:rsid w:val="00BC1FE6"/>
    <w:rsid w:val="00BC2E6E"/>
    <w:rsid w:val="00BF4A4B"/>
    <w:rsid w:val="00C03B0C"/>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3778"/>
    <w:rsid w:val="00D3708D"/>
    <w:rsid w:val="00D40426"/>
    <w:rsid w:val="00D57C96"/>
    <w:rsid w:val="00D57D18"/>
    <w:rsid w:val="00D902DE"/>
    <w:rsid w:val="00D91203"/>
    <w:rsid w:val="00D95174"/>
    <w:rsid w:val="00DA4973"/>
    <w:rsid w:val="00DA6F36"/>
    <w:rsid w:val="00DB596E"/>
    <w:rsid w:val="00DB74CE"/>
    <w:rsid w:val="00DB7773"/>
    <w:rsid w:val="00DC00EA"/>
    <w:rsid w:val="00DC3802"/>
    <w:rsid w:val="00DE67D3"/>
    <w:rsid w:val="00E02A18"/>
    <w:rsid w:val="00E07D87"/>
    <w:rsid w:val="00E32F7E"/>
    <w:rsid w:val="00E5267B"/>
    <w:rsid w:val="00E55D79"/>
    <w:rsid w:val="00E63C0E"/>
    <w:rsid w:val="00E671E3"/>
    <w:rsid w:val="00E72D49"/>
    <w:rsid w:val="00E7593C"/>
    <w:rsid w:val="00E7678A"/>
    <w:rsid w:val="00E935F1"/>
    <w:rsid w:val="00E94A81"/>
    <w:rsid w:val="00EA1FFB"/>
    <w:rsid w:val="00EB048E"/>
    <w:rsid w:val="00EB4E9C"/>
    <w:rsid w:val="00ED0802"/>
    <w:rsid w:val="00EE34DF"/>
    <w:rsid w:val="00EF2F89"/>
    <w:rsid w:val="00F03E98"/>
    <w:rsid w:val="00F1237A"/>
    <w:rsid w:val="00F22CBD"/>
    <w:rsid w:val="00F272F1"/>
    <w:rsid w:val="00F45372"/>
    <w:rsid w:val="00F560F7"/>
    <w:rsid w:val="00F6334D"/>
    <w:rsid w:val="00F71004"/>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917D8CB-55EB-4479-8AF4-7516A979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633BE"/>
    <w:pPr>
      <w:tabs>
        <w:tab w:val="right" w:leader="dot" w:pos="9639"/>
      </w:tabs>
      <w:ind w:left="568" w:right="851" w:hanging="284"/>
      <w:contextualSpacing/>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2A5B1A"/>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link w:val="Heading1"/>
    <w:rsid w:val="00416F6E"/>
    <w:rPr>
      <w:rFonts w:ascii="Arial" w:hAnsi="Arial"/>
      <w:caps/>
    </w:rPr>
  </w:style>
  <w:style w:type="character" w:styleId="FollowedHyperlink">
    <w:name w:val="FollowedHyperlink"/>
    <w:basedOn w:val="DefaultParagraphFont"/>
    <w:semiHidden/>
    <w:unhideWhenUsed/>
    <w:rsid w:val="00C03B0C"/>
    <w:rPr>
      <w:color w:val="800080" w:themeColor="followedHyperlink"/>
      <w:u w:val="single"/>
    </w:rPr>
  </w:style>
  <w:style w:type="paragraph" w:styleId="ListParagraph">
    <w:name w:val="List Paragraph"/>
    <w:basedOn w:val="Normal"/>
    <w:uiPriority w:val="34"/>
    <w:qFormat/>
    <w:rsid w:val="00336EAF"/>
    <w:pPr>
      <w:ind w:left="720"/>
      <w:contextualSpacing/>
    </w:pPr>
  </w:style>
  <w:style w:type="table" w:styleId="TableGrid">
    <w:name w:val="Table Grid"/>
    <w:basedOn w:val="TableNormal"/>
    <w:uiPriority w:val="59"/>
    <w:rsid w:val="00BC2E6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edocs/mdocs/upov/en/twa_46/twa_46_8.pdf" TargetMode="External"/><Relationship Id="rId13" Type="http://schemas.openxmlformats.org/officeDocument/2006/relationships/hyperlink" Target="http://www.upov.int/meetings/en/doc_details.jsp?meeting_id=47210&amp;doc_id=40951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upov.int/edocs/mdocs/upov/en/twa_46/twp_1_21.pdf" TargetMode="External"/><Relationship Id="rId12" Type="http://schemas.openxmlformats.org/officeDocument/2006/relationships/hyperlink" Target="http://www.upov.int/meetings/en/doc_details.jsp?meeting_id=47210&amp;doc_id=40893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pov.int/meetings/en/doc_details.jsp?meeting_id=47206&amp;doc_id=405872"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upov.int/edocs/mdocs/upov/en/twa_46/twp_1_21.pdf" TargetMode="External"/><Relationship Id="rId4" Type="http://schemas.openxmlformats.org/officeDocument/2006/relationships/footnotes" Target="footnotes.xml"/><Relationship Id="rId9" Type="http://schemas.openxmlformats.org/officeDocument/2006/relationships/hyperlink" Target="http://www.upov.int/edocs/mdocs/upov/en/twa_46/twa_46_8_add.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0</TotalTime>
  <Pages>5</Pages>
  <Words>1617</Words>
  <Characters>10157</Characters>
  <Application>Microsoft Office Word</Application>
  <DocSecurity>0</DocSecurity>
  <Lines>260</Lines>
  <Paragraphs>120</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REZENDE TAVEIRA Leontino</dc:creator>
  <cp:lastModifiedBy>MAY Jessica</cp:lastModifiedBy>
  <cp:revision>27</cp:revision>
  <cp:lastPrinted>2018-09-27T16:44:00Z</cp:lastPrinted>
  <dcterms:created xsi:type="dcterms:W3CDTF">2018-09-27T13:28:00Z</dcterms:created>
  <dcterms:modified xsi:type="dcterms:W3CDTF">2018-10-09T09:26:00Z</dcterms:modified>
</cp:coreProperties>
</file>