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BD2981" w:rsidRDefault="00EB4E9C" w:rsidP="00AC2883">
            <w:pPr>
              <w:pStyle w:val="Sessiontc"/>
              <w:spacing w:line="240" w:lineRule="auto"/>
            </w:pPr>
            <w:r w:rsidRPr="00BD2981">
              <w:t>Technical Committee</w:t>
            </w:r>
          </w:p>
          <w:p w:rsidR="00EB4E9C" w:rsidRPr="00BD2981" w:rsidRDefault="00EB4E9C" w:rsidP="008B6E60">
            <w:pPr>
              <w:pStyle w:val="Sessiontcplacedate"/>
              <w:rPr>
                <w:sz w:val="22"/>
              </w:rPr>
            </w:pPr>
            <w:r w:rsidRPr="00BD2981">
              <w:t>Fifty-</w:t>
            </w:r>
            <w:r w:rsidR="008B6E60" w:rsidRPr="00BD2981">
              <w:t>Fourth</w:t>
            </w:r>
            <w:r w:rsidRPr="00BD2981">
              <w:t xml:space="preserve"> Session</w:t>
            </w:r>
            <w:r w:rsidRPr="00BD2981">
              <w:br/>
              <w:t xml:space="preserve">Geneva, </w:t>
            </w:r>
            <w:r w:rsidR="008B6E60" w:rsidRPr="00BD2981">
              <w:t>October 29 and 30, 2018</w:t>
            </w:r>
          </w:p>
        </w:tc>
        <w:tc>
          <w:tcPr>
            <w:tcW w:w="3127" w:type="dxa"/>
          </w:tcPr>
          <w:p w:rsidR="00EB4E9C" w:rsidRPr="00BD2981" w:rsidRDefault="008B6E60" w:rsidP="003C7FBE">
            <w:pPr>
              <w:pStyle w:val="Doccode"/>
            </w:pPr>
            <w:r w:rsidRPr="00BD2981">
              <w:t>TC/54</w:t>
            </w:r>
            <w:r w:rsidR="00EB4E9C" w:rsidRPr="00BD2981">
              <w:t>/</w:t>
            </w:r>
            <w:r w:rsidR="00355E3C" w:rsidRPr="00BD2981">
              <w:t>19</w:t>
            </w:r>
          </w:p>
          <w:p w:rsidR="00EB4E9C" w:rsidRPr="00BD2981" w:rsidRDefault="00EB4E9C" w:rsidP="003C7FBE">
            <w:pPr>
              <w:pStyle w:val="Docoriginal"/>
            </w:pPr>
            <w:r w:rsidRPr="00BD2981">
              <w:t>Original:</w:t>
            </w:r>
            <w:r w:rsidRPr="00BD2981">
              <w:rPr>
                <w:b w:val="0"/>
                <w:spacing w:val="0"/>
              </w:rPr>
              <w:t xml:space="preserve">  English</w:t>
            </w:r>
          </w:p>
          <w:p w:rsidR="00EB4E9C" w:rsidRPr="007C1D92" w:rsidRDefault="00EB4E9C" w:rsidP="003A1915">
            <w:pPr>
              <w:pStyle w:val="Docoriginal"/>
            </w:pPr>
            <w:r w:rsidRPr="00BD2981">
              <w:t>Date:</w:t>
            </w:r>
            <w:r w:rsidR="008B6E60" w:rsidRPr="00BD2981">
              <w:rPr>
                <w:b w:val="0"/>
                <w:spacing w:val="0"/>
              </w:rPr>
              <w:t xml:space="preserve">  </w:t>
            </w:r>
            <w:r w:rsidR="00355E3C" w:rsidRPr="00BD2981">
              <w:rPr>
                <w:b w:val="0"/>
                <w:spacing w:val="0"/>
              </w:rPr>
              <w:t xml:space="preserve">September </w:t>
            </w:r>
            <w:r w:rsidR="00A56E3A" w:rsidRPr="00BD2981">
              <w:rPr>
                <w:b w:val="0"/>
                <w:spacing w:val="0"/>
              </w:rPr>
              <w:t>2</w:t>
            </w:r>
            <w:r w:rsidR="003A1915" w:rsidRPr="00BD2981">
              <w:rPr>
                <w:b w:val="0"/>
                <w:spacing w:val="0"/>
              </w:rPr>
              <w:t>5</w:t>
            </w:r>
            <w:r w:rsidR="008B6E60" w:rsidRPr="00BD2981">
              <w:rPr>
                <w:b w:val="0"/>
                <w:spacing w:val="0"/>
              </w:rPr>
              <w:t>, 2018</w:t>
            </w:r>
          </w:p>
        </w:tc>
      </w:tr>
    </w:tbl>
    <w:p w:rsidR="00245109" w:rsidRPr="00245109" w:rsidRDefault="00245109" w:rsidP="00A56E3A">
      <w:pPr>
        <w:spacing w:before="600" w:after="240"/>
        <w:rPr>
          <w:b/>
          <w:caps/>
        </w:rPr>
      </w:pPr>
      <w:bookmarkStart w:id="1" w:name="TitleOfDoc"/>
      <w:bookmarkEnd w:id="1"/>
      <w:r w:rsidRPr="00245109">
        <w:rPr>
          <w:b/>
          <w:caps/>
          <w:lang w:val="en-GB"/>
        </w:rPr>
        <w:t>uniformity assessment on the basis of off</w:t>
      </w:r>
      <w:r w:rsidRPr="00245109">
        <w:rPr>
          <w:b/>
          <w:caps/>
          <w:lang w:val="en-GB"/>
        </w:rPr>
        <w:noBreakHyphen/>
        <w:t>types</w:t>
      </w:r>
      <w:r w:rsidRPr="00245109">
        <w:rPr>
          <w:b/>
          <w:caps/>
        </w:rPr>
        <w:t xml:space="preserve">:  Method for more than one single test (year) </w:t>
      </w:r>
    </w:p>
    <w:p w:rsidR="00245109" w:rsidRPr="00245109" w:rsidRDefault="00245109" w:rsidP="00245109">
      <w:pPr>
        <w:spacing w:after="240"/>
        <w:jc w:val="left"/>
        <w:rPr>
          <w:i/>
          <w:iCs/>
        </w:rPr>
      </w:pPr>
      <w:r w:rsidRPr="00245109">
        <w:rPr>
          <w:i/>
          <w:iCs/>
        </w:rPr>
        <w:t>Document prepared by the Office of the Union</w:t>
      </w:r>
    </w:p>
    <w:p w:rsidR="00245109" w:rsidRPr="00245109" w:rsidRDefault="00245109" w:rsidP="00245109">
      <w:pPr>
        <w:spacing w:after="600"/>
        <w:jc w:val="left"/>
        <w:rPr>
          <w:i/>
          <w:iCs/>
          <w:color w:val="A6A6A6" w:themeColor="background1" w:themeShade="A6"/>
        </w:rPr>
      </w:pPr>
      <w:r w:rsidRPr="00245109">
        <w:rPr>
          <w:i/>
          <w:iCs/>
          <w:color w:val="A6A6A6" w:themeColor="background1" w:themeShade="A6"/>
        </w:rPr>
        <w:t>Disclaimer:  this document does not represent UPOV policies or guidance</w:t>
      </w:r>
    </w:p>
    <w:p w:rsidR="00245109" w:rsidRPr="00245109" w:rsidRDefault="00245109" w:rsidP="00BD2981">
      <w:pPr>
        <w:pStyle w:val="Heading1"/>
      </w:pPr>
      <w:bookmarkStart w:id="2" w:name="_Toc484625146"/>
      <w:bookmarkStart w:id="3" w:name="_Toc503881393"/>
      <w:bookmarkStart w:id="4" w:name="_Toc504464833"/>
      <w:bookmarkStart w:id="5" w:name="_Toc525661372"/>
      <w:bookmarkStart w:id="6" w:name="_Toc525721992"/>
      <w:bookmarkStart w:id="7" w:name="_Toc525722156"/>
      <w:r w:rsidRPr="00245109">
        <w:t>EXECUTIVE SUMMARY</w:t>
      </w:r>
      <w:bookmarkEnd w:id="2"/>
      <w:bookmarkEnd w:id="3"/>
      <w:bookmarkEnd w:id="4"/>
      <w:bookmarkEnd w:id="5"/>
      <w:bookmarkEnd w:id="6"/>
      <w:bookmarkEnd w:id="7"/>
    </w:p>
    <w:p w:rsidR="00245109" w:rsidRPr="00245109" w:rsidRDefault="00245109" w:rsidP="00245109">
      <w:pPr>
        <w:autoSpaceDE w:val="0"/>
        <w:autoSpaceDN w:val="0"/>
        <w:adjustRightInd w:val="0"/>
        <w:rPr>
          <w:szCs w:val="24"/>
        </w:rPr>
      </w:pPr>
    </w:p>
    <w:p w:rsidR="00245109" w:rsidRPr="00245109" w:rsidRDefault="00245109" w:rsidP="00245109">
      <w:pPr>
        <w:autoSpaceDE w:val="0"/>
        <w:autoSpaceDN w:val="0"/>
        <w:adjustRightInd w:val="0"/>
        <w:rPr>
          <w:rFonts w:eastAsia="MS Mincho"/>
          <w:color w:val="000000"/>
          <w:szCs w:val="24"/>
          <w:lang w:eastAsia="ja-JP"/>
        </w:rPr>
      </w:pPr>
      <w:r w:rsidRPr="00245109">
        <w:rPr>
          <w:szCs w:val="24"/>
        </w:rPr>
        <w:fldChar w:fldCharType="begin"/>
      </w:r>
      <w:r w:rsidRPr="00245109">
        <w:rPr>
          <w:szCs w:val="24"/>
        </w:rPr>
        <w:instrText xml:space="preserve"> AUTONUM  </w:instrText>
      </w:r>
      <w:r w:rsidRPr="00245109">
        <w:rPr>
          <w:szCs w:val="24"/>
        </w:rPr>
        <w:fldChar w:fldCharType="end"/>
      </w:r>
      <w:r w:rsidRPr="00245109">
        <w:rPr>
          <w:szCs w:val="24"/>
        </w:rPr>
        <w:tab/>
      </w:r>
      <w:r w:rsidRPr="00245109">
        <w:rPr>
          <w:rFonts w:eastAsia="MS Mincho"/>
          <w:color w:val="000000"/>
          <w:szCs w:val="24"/>
          <w:lang w:eastAsia="ja-JP"/>
        </w:rPr>
        <w:t>The purpose of this document is to report on developments concerning the revision of guidance in document TGP/8/2: Part II: Section 8: “The method of uniformity assessment on the basis of off</w:t>
      </w:r>
      <w:r w:rsidRPr="00245109">
        <w:rPr>
          <w:rFonts w:eastAsia="MS Mincho"/>
          <w:color w:val="000000"/>
          <w:szCs w:val="24"/>
          <w:lang w:eastAsia="ja-JP"/>
        </w:rPr>
        <w:noBreakHyphen/>
        <w:t>types” to reflect the practice within members of the Union on the use of methods for more than one single test (year), in conjunction with the revision of document TGP/10 on “Assessing uniformity by off-types on the basis of more than one growing cycle or on the basis of sub-samples”.</w:t>
      </w:r>
    </w:p>
    <w:p w:rsidR="00245109" w:rsidRPr="00245109" w:rsidRDefault="00245109" w:rsidP="00245109"/>
    <w:p w:rsidR="00A56E3A" w:rsidRDefault="00BE66C5" w:rsidP="00BE66C5">
      <w:r>
        <w:fldChar w:fldCharType="begin"/>
      </w:r>
      <w:r>
        <w:instrText xml:space="preserve"> AUTONUM  </w:instrText>
      </w:r>
      <w:r>
        <w:fldChar w:fldCharType="end"/>
      </w:r>
      <w:r>
        <w:tab/>
        <w:t xml:space="preserve">The TC is invited to consider the proposal for the revision of guidance in document TGP/8/2: Part II: Section 8: Subsection 8.1.7: “Method for more than one single test (year)”, on the basis of the draft set out in Annex II to this document </w:t>
      </w:r>
      <w:r w:rsidR="00B139D6">
        <w:t xml:space="preserve">in conjunction with </w:t>
      </w:r>
      <w:r>
        <w:t>the comments by the TWPs, at their sessions in 2018.</w:t>
      </w:r>
    </w:p>
    <w:p w:rsidR="00BE66C5" w:rsidRPr="003059C0" w:rsidRDefault="00BE66C5" w:rsidP="00BE66C5">
      <w:pPr>
        <w:rPr>
          <w:sz w:val="16"/>
        </w:rPr>
      </w:pPr>
    </w:p>
    <w:p w:rsidR="00A56E3A" w:rsidRPr="00577EC0" w:rsidRDefault="00A56E3A" w:rsidP="00BD2981">
      <w:pPr>
        <w:rPr>
          <w:snapToGrid w:val="0"/>
        </w:rPr>
      </w:pPr>
      <w:r w:rsidRPr="00577EC0">
        <w:fldChar w:fldCharType="begin"/>
      </w:r>
      <w:r w:rsidRPr="00577EC0">
        <w:instrText xml:space="preserve"> AUTONUM  </w:instrText>
      </w:r>
      <w:r w:rsidRPr="00577EC0">
        <w:fldChar w:fldCharType="end"/>
      </w:r>
      <w:r w:rsidRPr="00577EC0">
        <w:tab/>
      </w:r>
      <w:r w:rsidRPr="00577EC0">
        <w:rPr>
          <w:snapToGrid w:val="0"/>
        </w:rPr>
        <w:t>The structure of this document is as follows:</w:t>
      </w:r>
    </w:p>
    <w:p w:rsidR="00BD2981" w:rsidRDefault="00BD2981" w:rsidP="00BD2981">
      <w:pPr>
        <w:rPr>
          <w:rFonts w:cs="Arial"/>
          <w:snapToGrid w:val="0"/>
        </w:rPr>
      </w:pPr>
    </w:p>
    <w:p w:rsidR="00BD2981" w:rsidRDefault="00BD2981" w:rsidP="00BD2981">
      <w:pPr>
        <w:pStyle w:val="TOC1"/>
        <w:rPr>
          <w:rFonts w:asciiTheme="minorHAnsi" w:eastAsiaTheme="minorEastAsia" w:hAnsiTheme="minorHAnsi" w:cstheme="minorBidi"/>
          <w:noProof/>
          <w:sz w:val="22"/>
          <w:szCs w:val="22"/>
        </w:rPr>
      </w:pPr>
      <w:r>
        <w:rPr>
          <w:rFonts w:cs="Arial"/>
          <w:snapToGrid w:val="0"/>
        </w:rPr>
        <w:fldChar w:fldCharType="begin"/>
      </w:r>
      <w:r>
        <w:rPr>
          <w:rFonts w:cs="Arial"/>
          <w:snapToGrid w:val="0"/>
        </w:rPr>
        <w:instrText xml:space="preserve"> TOC \o "1-2" \u </w:instrText>
      </w:r>
      <w:r>
        <w:rPr>
          <w:rFonts w:cs="Arial"/>
          <w:snapToGrid w:val="0"/>
        </w:rPr>
        <w:fldChar w:fldCharType="separate"/>
      </w:r>
      <w:r>
        <w:rPr>
          <w:noProof/>
        </w:rPr>
        <w:t>EXECUTIVE SUMMARY</w:t>
      </w:r>
      <w:r>
        <w:rPr>
          <w:noProof/>
        </w:rPr>
        <w:tab/>
      </w:r>
      <w:r>
        <w:rPr>
          <w:noProof/>
        </w:rPr>
        <w:fldChar w:fldCharType="begin"/>
      </w:r>
      <w:r>
        <w:rPr>
          <w:noProof/>
        </w:rPr>
        <w:instrText xml:space="preserve"> PAGEREF _Toc525722156 \h </w:instrText>
      </w:r>
      <w:r>
        <w:rPr>
          <w:noProof/>
        </w:rPr>
      </w:r>
      <w:r>
        <w:rPr>
          <w:noProof/>
        </w:rPr>
        <w:fldChar w:fldCharType="separate"/>
      </w:r>
      <w:r>
        <w:rPr>
          <w:noProof/>
        </w:rPr>
        <w:t>1</w:t>
      </w:r>
      <w:r>
        <w:rPr>
          <w:noProof/>
        </w:rPr>
        <w:fldChar w:fldCharType="end"/>
      </w:r>
    </w:p>
    <w:p w:rsidR="00BD2981" w:rsidRDefault="00BD2981" w:rsidP="00BD2981">
      <w:pPr>
        <w:pStyle w:val="TOC1"/>
        <w:rPr>
          <w:rFonts w:asciiTheme="minorHAnsi" w:eastAsiaTheme="minorEastAsia" w:hAnsiTheme="minorHAnsi" w:cstheme="minorBidi"/>
          <w:noProof/>
          <w:sz w:val="22"/>
          <w:szCs w:val="22"/>
        </w:rPr>
      </w:pPr>
      <w:r w:rsidRPr="00EF24F2">
        <w:rPr>
          <w:rFonts w:eastAsia="MS Mincho"/>
          <w:noProof/>
          <w:lang w:eastAsia="ja-JP"/>
        </w:rPr>
        <w:t>BACKGROUND</w:t>
      </w:r>
      <w:r>
        <w:rPr>
          <w:noProof/>
        </w:rPr>
        <w:tab/>
      </w:r>
      <w:r>
        <w:rPr>
          <w:noProof/>
        </w:rPr>
        <w:fldChar w:fldCharType="begin"/>
      </w:r>
      <w:r>
        <w:rPr>
          <w:noProof/>
        </w:rPr>
        <w:instrText xml:space="preserve"> PAGEREF _Toc525722157 \h </w:instrText>
      </w:r>
      <w:r>
        <w:rPr>
          <w:noProof/>
        </w:rPr>
      </w:r>
      <w:r>
        <w:rPr>
          <w:noProof/>
        </w:rPr>
        <w:fldChar w:fldCharType="separate"/>
      </w:r>
      <w:r>
        <w:rPr>
          <w:noProof/>
        </w:rPr>
        <w:t>2</w:t>
      </w:r>
      <w:r>
        <w:rPr>
          <w:noProof/>
        </w:rPr>
        <w:fldChar w:fldCharType="end"/>
      </w:r>
    </w:p>
    <w:p w:rsidR="00BD2981" w:rsidRDefault="00BD2981">
      <w:pPr>
        <w:pStyle w:val="TOC2"/>
        <w:rPr>
          <w:rFonts w:asciiTheme="minorHAnsi" w:eastAsiaTheme="minorEastAsia" w:hAnsiTheme="minorHAnsi" w:cstheme="minorBidi"/>
          <w:smallCaps w:val="0"/>
          <w:noProof/>
          <w:sz w:val="22"/>
          <w:szCs w:val="22"/>
        </w:rPr>
      </w:pPr>
      <w:r w:rsidRPr="00EF24F2">
        <w:rPr>
          <w:rFonts w:eastAsia="PMingLiU"/>
          <w:noProof/>
          <w:lang w:val="en-GB"/>
        </w:rPr>
        <w:t>Current guidance in document TGP/8</w:t>
      </w:r>
      <w:r>
        <w:rPr>
          <w:noProof/>
        </w:rPr>
        <w:tab/>
      </w:r>
      <w:r>
        <w:rPr>
          <w:noProof/>
        </w:rPr>
        <w:fldChar w:fldCharType="begin"/>
      </w:r>
      <w:r>
        <w:rPr>
          <w:noProof/>
        </w:rPr>
        <w:instrText xml:space="preserve"> PAGEREF _Toc525722158 \h </w:instrText>
      </w:r>
      <w:r>
        <w:rPr>
          <w:noProof/>
        </w:rPr>
      </w:r>
      <w:r>
        <w:rPr>
          <w:noProof/>
        </w:rPr>
        <w:fldChar w:fldCharType="separate"/>
      </w:r>
      <w:r>
        <w:rPr>
          <w:noProof/>
        </w:rPr>
        <w:t>2</w:t>
      </w:r>
      <w:r>
        <w:rPr>
          <w:noProof/>
        </w:rPr>
        <w:fldChar w:fldCharType="end"/>
      </w:r>
    </w:p>
    <w:p w:rsidR="00BD2981" w:rsidRDefault="00BD2981" w:rsidP="00BD2981">
      <w:pPr>
        <w:pStyle w:val="TOC1"/>
        <w:rPr>
          <w:rFonts w:asciiTheme="minorHAnsi" w:eastAsiaTheme="minorEastAsia" w:hAnsiTheme="minorHAnsi" w:cstheme="minorBidi"/>
          <w:noProof/>
          <w:sz w:val="22"/>
          <w:szCs w:val="22"/>
        </w:rPr>
      </w:pPr>
      <w:r>
        <w:rPr>
          <w:noProof/>
        </w:rPr>
        <w:t>Consideration by the Enlarged Editorial Committee</w:t>
      </w:r>
      <w:r>
        <w:rPr>
          <w:noProof/>
        </w:rPr>
        <w:tab/>
      </w:r>
      <w:r>
        <w:rPr>
          <w:noProof/>
        </w:rPr>
        <w:fldChar w:fldCharType="begin"/>
      </w:r>
      <w:r>
        <w:rPr>
          <w:noProof/>
        </w:rPr>
        <w:instrText xml:space="preserve"> PAGEREF _Toc525722159 \h </w:instrText>
      </w:r>
      <w:r>
        <w:rPr>
          <w:noProof/>
        </w:rPr>
      </w:r>
      <w:r>
        <w:rPr>
          <w:noProof/>
        </w:rPr>
        <w:fldChar w:fldCharType="separate"/>
      </w:r>
      <w:r>
        <w:rPr>
          <w:noProof/>
        </w:rPr>
        <w:t>2</w:t>
      </w:r>
      <w:r>
        <w:rPr>
          <w:noProof/>
        </w:rPr>
        <w:fldChar w:fldCharType="end"/>
      </w:r>
    </w:p>
    <w:p w:rsidR="00BD2981" w:rsidRDefault="00BD2981" w:rsidP="00BD2981">
      <w:pPr>
        <w:pStyle w:val="TOC1"/>
        <w:rPr>
          <w:rFonts w:asciiTheme="minorHAnsi" w:eastAsiaTheme="minorEastAsia" w:hAnsiTheme="minorHAnsi" w:cstheme="minorBidi"/>
          <w:noProof/>
          <w:sz w:val="22"/>
          <w:szCs w:val="22"/>
        </w:rPr>
      </w:pPr>
      <w:r>
        <w:rPr>
          <w:noProof/>
        </w:rPr>
        <w:t>Consideration by the technical working parties</w:t>
      </w:r>
      <w:r>
        <w:rPr>
          <w:noProof/>
        </w:rPr>
        <w:tab/>
      </w:r>
      <w:r>
        <w:rPr>
          <w:noProof/>
        </w:rPr>
        <w:fldChar w:fldCharType="begin"/>
      </w:r>
      <w:r>
        <w:rPr>
          <w:noProof/>
        </w:rPr>
        <w:instrText xml:space="preserve"> PAGEREF _Toc525722160 \h </w:instrText>
      </w:r>
      <w:r>
        <w:rPr>
          <w:noProof/>
        </w:rPr>
      </w:r>
      <w:r>
        <w:rPr>
          <w:noProof/>
        </w:rPr>
        <w:fldChar w:fldCharType="separate"/>
      </w:r>
      <w:r>
        <w:rPr>
          <w:noProof/>
        </w:rPr>
        <w:t>2</w:t>
      </w:r>
      <w:r>
        <w:rPr>
          <w:noProof/>
        </w:rPr>
        <w:fldChar w:fldCharType="end"/>
      </w:r>
    </w:p>
    <w:p w:rsidR="00A56E3A" w:rsidRPr="008331F5" w:rsidRDefault="00BD2981" w:rsidP="00E13C80">
      <w:pPr>
        <w:ind w:left="1134" w:hanging="1134"/>
      </w:pPr>
      <w:r>
        <w:rPr>
          <w:rFonts w:cs="Arial"/>
          <w:snapToGrid w:val="0"/>
        </w:rPr>
        <w:fldChar w:fldCharType="end"/>
      </w:r>
      <w:r w:rsidR="00A56E3A" w:rsidRPr="008331F5">
        <w:rPr>
          <w:rFonts w:cs="Arial"/>
          <w:snapToGrid w:val="0"/>
        </w:rPr>
        <w:t>ANNEX I</w:t>
      </w:r>
      <w:r w:rsidR="00A56E3A" w:rsidRPr="008331F5">
        <w:rPr>
          <w:rFonts w:cs="Arial"/>
          <w:snapToGrid w:val="0"/>
        </w:rPr>
        <w:tab/>
      </w:r>
      <w:r w:rsidR="00685D2F" w:rsidRPr="00685D2F">
        <w:rPr>
          <w:rFonts w:cs="Arial"/>
          <w:snapToGrid w:val="0"/>
        </w:rPr>
        <w:t>E</w:t>
      </w:r>
      <w:r w:rsidR="00685D2F">
        <w:rPr>
          <w:rFonts w:cs="Arial"/>
          <w:snapToGrid w:val="0"/>
        </w:rPr>
        <w:t>xtract from document TGP/8: Part</w:t>
      </w:r>
      <w:r w:rsidR="00685D2F" w:rsidRPr="00685D2F">
        <w:rPr>
          <w:rFonts w:cs="Arial"/>
          <w:snapToGrid w:val="0"/>
        </w:rPr>
        <w:t xml:space="preserve"> II: S</w:t>
      </w:r>
      <w:r w:rsidR="00685D2F">
        <w:rPr>
          <w:rFonts w:cs="Arial"/>
          <w:snapToGrid w:val="0"/>
        </w:rPr>
        <w:t>ection</w:t>
      </w:r>
      <w:r w:rsidR="00685D2F" w:rsidRPr="00685D2F">
        <w:rPr>
          <w:rFonts w:cs="Arial"/>
          <w:snapToGrid w:val="0"/>
        </w:rPr>
        <w:t xml:space="preserve"> 8: “</w:t>
      </w:r>
      <w:r w:rsidR="00685D2F">
        <w:rPr>
          <w:rFonts w:cs="Arial"/>
          <w:snapToGrid w:val="0"/>
        </w:rPr>
        <w:t>The method of uniformity assessment on the basis of off-types”</w:t>
      </w:r>
    </w:p>
    <w:p w:rsidR="00A56E3A" w:rsidRPr="008331F5" w:rsidRDefault="00A56E3A" w:rsidP="00E13C80">
      <w:pPr>
        <w:keepNext/>
        <w:tabs>
          <w:tab w:val="left" w:pos="1418"/>
        </w:tabs>
        <w:spacing w:before="120"/>
        <w:ind w:left="1134" w:right="283" w:hanging="1134"/>
      </w:pPr>
      <w:r w:rsidRPr="008331F5">
        <w:rPr>
          <w:rFonts w:cs="Arial"/>
          <w:snapToGrid w:val="0"/>
        </w:rPr>
        <w:t>ANNEX II</w:t>
      </w:r>
      <w:r w:rsidRPr="008331F5">
        <w:rPr>
          <w:rFonts w:cs="Arial"/>
          <w:snapToGrid w:val="0"/>
        </w:rPr>
        <w:tab/>
      </w:r>
      <w:r w:rsidR="00685D2F">
        <w:rPr>
          <w:rFonts w:cs="Arial"/>
          <w:snapToGrid w:val="0"/>
        </w:rPr>
        <w:t>Draft proposal for the revision of document TGP/8: Part</w:t>
      </w:r>
      <w:r w:rsidR="00685D2F" w:rsidRPr="00685D2F">
        <w:rPr>
          <w:rFonts w:cs="Arial"/>
          <w:snapToGrid w:val="0"/>
        </w:rPr>
        <w:t xml:space="preserve"> II: S</w:t>
      </w:r>
      <w:r w:rsidR="00685D2F">
        <w:rPr>
          <w:rFonts w:cs="Arial"/>
          <w:snapToGrid w:val="0"/>
        </w:rPr>
        <w:t>ection</w:t>
      </w:r>
      <w:r w:rsidR="00685D2F" w:rsidRPr="00685D2F">
        <w:rPr>
          <w:rFonts w:cs="Arial"/>
          <w:snapToGrid w:val="0"/>
        </w:rPr>
        <w:t xml:space="preserve"> 8: “</w:t>
      </w:r>
      <w:r w:rsidR="00685D2F">
        <w:rPr>
          <w:rFonts w:cs="Arial"/>
          <w:snapToGrid w:val="0"/>
        </w:rPr>
        <w:t>The method of uniformity assessment on the basis of off-types”</w:t>
      </w:r>
    </w:p>
    <w:p w:rsidR="00A56E3A" w:rsidRPr="00577EC0" w:rsidRDefault="00A56E3A" w:rsidP="00A56E3A">
      <w:pPr>
        <w:rPr>
          <w:lang w:eastAsia="ja-JP"/>
        </w:rPr>
      </w:pPr>
    </w:p>
    <w:p w:rsidR="00A56E3A" w:rsidRPr="00577EC0" w:rsidRDefault="00A56E3A" w:rsidP="00A56E3A">
      <w:r w:rsidRPr="00577EC0">
        <w:fldChar w:fldCharType="begin"/>
      </w:r>
      <w:r w:rsidRPr="00577EC0">
        <w:instrText xml:space="preserve"> AUTONUM  </w:instrText>
      </w:r>
      <w:r w:rsidRPr="00577EC0">
        <w:fldChar w:fldCharType="end"/>
      </w:r>
      <w:r w:rsidRPr="00577EC0">
        <w:tab/>
        <w:t>The following abbreviations are used in this document:</w:t>
      </w:r>
    </w:p>
    <w:p w:rsidR="00A56E3A" w:rsidRPr="00577EC0" w:rsidRDefault="00A56E3A" w:rsidP="00A56E3A">
      <w:pPr>
        <w:rPr>
          <w:color w:val="000000"/>
          <w:sz w:val="16"/>
        </w:rPr>
      </w:pPr>
    </w:p>
    <w:p w:rsidR="00A56E3A" w:rsidRPr="00577EC0" w:rsidRDefault="00A56E3A" w:rsidP="00A56E3A">
      <w:pPr>
        <w:ind w:left="1701" w:hanging="1134"/>
      </w:pPr>
      <w:r w:rsidRPr="00577EC0">
        <w:t xml:space="preserve">CAJ:  </w:t>
      </w:r>
      <w:r w:rsidRPr="00577EC0">
        <w:tab/>
        <w:t xml:space="preserve">Administrative and Legal Committee </w:t>
      </w:r>
    </w:p>
    <w:p w:rsidR="00A56E3A" w:rsidRPr="00577EC0" w:rsidRDefault="00A56E3A" w:rsidP="00A56E3A">
      <w:pPr>
        <w:ind w:left="1701" w:hanging="1134"/>
      </w:pPr>
      <w:r w:rsidRPr="00577EC0">
        <w:t xml:space="preserve">TC:  </w:t>
      </w:r>
      <w:r w:rsidRPr="00577EC0">
        <w:tab/>
        <w:t>Technical Committee</w:t>
      </w:r>
    </w:p>
    <w:p w:rsidR="00A56E3A" w:rsidRPr="00577EC0" w:rsidRDefault="00A56E3A" w:rsidP="00A56E3A">
      <w:pPr>
        <w:ind w:left="1701" w:hanging="1134"/>
      </w:pPr>
      <w:r w:rsidRPr="00577EC0">
        <w:t xml:space="preserve">TC-EDC:  </w:t>
      </w:r>
      <w:r w:rsidRPr="00577EC0">
        <w:tab/>
        <w:t>Enlarged Editorial Committee</w:t>
      </w:r>
    </w:p>
    <w:p w:rsidR="00A56E3A" w:rsidRPr="00577EC0" w:rsidRDefault="00A56E3A" w:rsidP="00A56E3A">
      <w:pPr>
        <w:ind w:left="1701" w:hanging="1134"/>
      </w:pPr>
      <w:r w:rsidRPr="00577EC0">
        <w:t xml:space="preserve">TWA:  </w:t>
      </w:r>
      <w:r w:rsidRPr="00577EC0">
        <w:tab/>
        <w:t>Technical Working Party for Agricultural Crops</w:t>
      </w:r>
    </w:p>
    <w:p w:rsidR="00A56E3A" w:rsidRPr="00577EC0" w:rsidRDefault="00A56E3A" w:rsidP="00A56E3A">
      <w:pPr>
        <w:ind w:left="1701" w:hanging="1134"/>
      </w:pPr>
      <w:r w:rsidRPr="00577EC0">
        <w:t xml:space="preserve">TWC:  </w:t>
      </w:r>
      <w:r w:rsidRPr="00577EC0">
        <w:tab/>
        <w:t>Technical Working Party on Automation and Computer Programs</w:t>
      </w:r>
    </w:p>
    <w:p w:rsidR="00A56E3A" w:rsidRPr="00577EC0" w:rsidRDefault="00A56E3A" w:rsidP="00A56E3A">
      <w:pPr>
        <w:ind w:left="1701" w:hanging="1134"/>
      </w:pPr>
      <w:r w:rsidRPr="00577EC0">
        <w:t xml:space="preserve">TWF:  </w:t>
      </w:r>
      <w:r w:rsidRPr="00577EC0">
        <w:tab/>
        <w:t xml:space="preserve">Technical Working Party for Fruit Crops </w:t>
      </w:r>
    </w:p>
    <w:p w:rsidR="00A56E3A" w:rsidRPr="00577EC0" w:rsidRDefault="00A56E3A" w:rsidP="00A56E3A">
      <w:pPr>
        <w:ind w:left="1701" w:hanging="1134"/>
      </w:pPr>
      <w:r w:rsidRPr="00577EC0">
        <w:t xml:space="preserve">TWO:  </w:t>
      </w:r>
      <w:r w:rsidRPr="00577EC0">
        <w:tab/>
        <w:t xml:space="preserve">Technical Working Party for Ornamental Plants and Forest Trees </w:t>
      </w:r>
    </w:p>
    <w:p w:rsidR="00A56E3A" w:rsidRPr="00577EC0" w:rsidRDefault="00A56E3A" w:rsidP="00A56E3A">
      <w:pPr>
        <w:ind w:left="1701" w:hanging="1134"/>
        <w:rPr>
          <w:color w:val="000000"/>
        </w:rPr>
      </w:pPr>
      <w:r w:rsidRPr="00577EC0">
        <w:rPr>
          <w:color w:val="000000"/>
        </w:rPr>
        <w:t>TWPs:</w:t>
      </w:r>
      <w:r w:rsidRPr="00577EC0">
        <w:rPr>
          <w:color w:val="000000"/>
        </w:rPr>
        <w:tab/>
        <w:t>Technical Working Parties</w:t>
      </w:r>
    </w:p>
    <w:p w:rsidR="00A56E3A" w:rsidRPr="00577EC0" w:rsidRDefault="00A56E3A" w:rsidP="00A56E3A">
      <w:pPr>
        <w:ind w:left="1701" w:hanging="1134"/>
      </w:pPr>
      <w:r w:rsidRPr="00577EC0">
        <w:t xml:space="preserve">TWV:  </w:t>
      </w:r>
      <w:r w:rsidRPr="00577EC0">
        <w:tab/>
        <w:t>Technical Working Party for Vegetables</w:t>
      </w:r>
    </w:p>
    <w:p w:rsidR="00A56E3A" w:rsidRDefault="00A56E3A" w:rsidP="00245109"/>
    <w:p w:rsidR="00BD2981" w:rsidRPr="00245109" w:rsidRDefault="00BD2981" w:rsidP="00245109"/>
    <w:p w:rsidR="00E13C80" w:rsidRDefault="00E13C80">
      <w:pPr>
        <w:jc w:val="left"/>
        <w:rPr>
          <w:rFonts w:eastAsia="MS Mincho"/>
          <w:caps/>
          <w:lang w:eastAsia="ja-JP"/>
        </w:rPr>
      </w:pPr>
      <w:bookmarkStart w:id="8" w:name="_Toc484625147"/>
      <w:bookmarkStart w:id="9" w:name="_Toc503881394"/>
      <w:bookmarkStart w:id="10" w:name="_Toc504464834"/>
      <w:bookmarkStart w:id="11" w:name="_Toc525661373"/>
      <w:bookmarkStart w:id="12" w:name="_Toc525721993"/>
      <w:bookmarkStart w:id="13" w:name="_Toc525722157"/>
      <w:r>
        <w:rPr>
          <w:rFonts w:eastAsia="MS Mincho"/>
          <w:lang w:eastAsia="ja-JP"/>
        </w:rPr>
        <w:lastRenderedPageBreak/>
        <w:br w:type="page"/>
      </w:r>
    </w:p>
    <w:p w:rsidR="00245109" w:rsidRPr="00245109" w:rsidRDefault="00245109" w:rsidP="00BD2981">
      <w:pPr>
        <w:pStyle w:val="Heading1"/>
        <w:rPr>
          <w:rFonts w:eastAsia="MS Mincho"/>
          <w:lang w:eastAsia="ja-JP"/>
        </w:rPr>
      </w:pPr>
      <w:r w:rsidRPr="00245109">
        <w:rPr>
          <w:rFonts w:eastAsia="MS Mincho"/>
          <w:lang w:eastAsia="ja-JP"/>
        </w:rPr>
        <w:t>BACKGROUND</w:t>
      </w:r>
      <w:bookmarkEnd w:id="8"/>
      <w:bookmarkEnd w:id="9"/>
      <w:bookmarkEnd w:id="10"/>
      <w:bookmarkEnd w:id="11"/>
      <w:bookmarkEnd w:id="12"/>
      <w:bookmarkEnd w:id="13"/>
    </w:p>
    <w:p w:rsidR="00245109" w:rsidRPr="00245109" w:rsidRDefault="00245109" w:rsidP="00BD2981">
      <w:pPr>
        <w:keepNext/>
        <w:rPr>
          <w:rFonts w:eastAsia="PMingLiU"/>
        </w:rPr>
      </w:pPr>
    </w:p>
    <w:p w:rsidR="00245109" w:rsidRPr="00245109" w:rsidRDefault="00245109" w:rsidP="00245109">
      <w:pPr>
        <w:rPr>
          <w:rFonts w:eastAsia="PMingLiU"/>
          <w:lang w:val="en-GB"/>
        </w:rPr>
      </w:pPr>
      <w:r w:rsidRPr="00245109">
        <w:rPr>
          <w:rFonts w:eastAsia="PMingLiU"/>
          <w:lang w:val="en-GB"/>
        </w:rPr>
        <w:fldChar w:fldCharType="begin"/>
      </w:r>
      <w:r w:rsidRPr="00245109">
        <w:rPr>
          <w:rFonts w:eastAsia="PMingLiU"/>
          <w:lang w:val="en-GB"/>
        </w:rPr>
        <w:instrText xml:space="preserve"> AUTONUM  </w:instrText>
      </w:r>
      <w:r w:rsidRPr="00245109">
        <w:rPr>
          <w:rFonts w:eastAsia="PMingLiU"/>
          <w:lang w:val="en-GB"/>
        </w:rPr>
        <w:fldChar w:fldCharType="end"/>
      </w:r>
      <w:r w:rsidRPr="00245109">
        <w:rPr>
          <w:rFonts w:eastAsia="PMingLiU"/>
          <w:lang w:val="en-GB"/>
        </w:rPr>
        <w:tab/>
        <w:t xml:space="preserve">The TC, at its fifty-third session, held in Geneva from April 3 to 5, 2017, considered document TC/53/19 </w:t>
      </w:r>
      <w:r w:rsidRPr="00245109">
        <w:rPr>
          <w:lang w:val="en-GB"/>
        </w:rPr>
        <w:t xml:space="preserve">“Revision of document TGP/10: New section: </w:t>
      </w:r>
      <w:r w:rsidRPr="00245109">
        <w:rPr>
          <w:snapToGrid w:val="0"/>
          <w:lang w:val="en-GB"/>
        </w:rPr>
        <w:t>Assessing uniformity by off-types on basis of more than one growing cycle or on the basis of sub-samples</w:t>
      </w:r>
      <w:r w:rsidRPr="00245109">
        <w:rPr>
          <w:lang w:val="en-GB"/>
        </w:rPr>
        <w:t xml:space="preserve">” and </w:t>
      </w:r>
      <w:r w:rsidRPr="00245109">
        <w:rPr>
          <w:rFonts w:eastAsia="PMingLiU"/>
          <w:lang w:val="en-GB"/>
        </w:rPr>
        <w:t>agreed that, in conjunction with the revision of document TGP/10, the guidance in document TGP/8/2: Part II: 8: “The method of uniformity assessment on the basis of off</w:t>
      </w:r>
      <w:r w:rsidRPr="00245109">
        <w:rPr>
          <w:rFonts w:eastAsia="PMingLiU"/>
          <w:lang w:val="en-GB"/>
        </w:rPr>
        <w:noBreakHyphen/>
        <w:t>types” should be revised to reflect the practice within members of the Union on the use of methods for more than one single test (year) (see document TC/53/31 “Report”, paragraph 125).</w:t>
      </w:r>
    </w:p>
    <w:p w:rsidR="00245109" w:rsidRPr="00245109" w:rsidRDefault="00245109" w:rsidP="00245109">
      <w:pPr>
        <w:rPr>
          <w:rFonts w:eastAsia="PMingLiU"/>
          <w:lang w:val="en-GB"/>
        </w:rPr>
      </w:pPr>
    </w:p>
    <w:p w:rsidR="00245109" w:rsidRPr="00245109" w:rsidRDefault="00245109" w:rsidP="002A2DC5">
      <w:pPr>
        <w:pStyle w:val="Heading2"/>
        <w:rPr>
          <w:rFonts w:eastAsia="PMingLiU"/>
          <w:lang w:val="en-GB"/>
        </w:rPr>
      </w:pPr>
      <w:bookmarkStart w:id="14" w:name="_Toc504464835"/>
      <w:bookmarkStart w:id="15" w:name="_Toc525661374"/>
      <w:bookmarkStart w:id="16" w:name="_Toc525721994"/>
      <w:bookmarkStart w:id="17" w:name="_Toc525722158"/>
      <w:r w:rsidRPr="00245109">
        <w:rPr>
          <w:rFonts w:eastAsia="PMingLiU"/>
          <w:lang w:val="en-GB"/>
        </w:rPr>
        <w:t>Current guidance in document TGP/8</w:t>
      </w:r>
      <w:bookmarkEnd w:id="14"/>
      <w:bookmarkEnd w:id="15"/>
      <w:bookmarkEnd w:id="16"/>
      <w:bookmarkEnd w:id="17"/>
    </w:p>
    <w:p w:rsidR="00245109" w:rsidRPr="00245109" w:rsidRDefault="00245109" w:rsidP="00245109">
      <w:pPr>
        <w:keepNext/>
        <w:keepLines/>
        <w:rPr>
          <w:rFonts w:eastAsia="PMingLiU"/>
          <w:lang w:val="en-GB"/>
        </w:rPr>
      </w:pPr>
    </w:p>
    <w:p w:rsidR="00245109" w:rsidRPr="00245109" w:rsidRDefault="00245109" w:rsidP="00245109">
      <w:pPr>
        <w:keepNext/>
        <w:keepLines/>
        <w:rPr>
          <w:snapToGrid w:val="0"/>
          <w:lang w:val="en-GB"/>
        </w:rPr>
      </w:pPr>
      <w:r w:rsidRPr="00245109">
        <w:rPr>
          <w:snapToGrid w:val="0"/>
          <w:lang w:val="en-GB"/>
        </w:rPr>
        <w:fldChar w:fldCharType="begin"/>
      </w:r>
      <w:r w:rsidRPr="00245109">
        <w:rPr>
          <w:snapToGrid w:val="0"/>
          <w:lang w:val="en-GB"/>
        </w:rPr>
        <w:instrText xml:space="preserve"> AUTONUM  </w:instrText>
      </w:r>
      <w:r w:rsidRPr="00245109">
        <w:rPr>
          <w:snapToGrid w:val="0"/>
          <w:lang w:val="en-GB"/>
        </w:rPr>
        <w:fldChar w:fldCharType="end"/>
      </w:r>
      <w:r w:rsidRPr="00245109">
        <w:rPr>
          <w:snapToGrid w:val="0"/>
          <w:lang w:val="en-GB"/>
        </w:rPr>
        <w:tab/>
        <w:t xml:space="preserve">The current guidance in document TGP/8: Part II: Section 8: </w:t>
      </w:r>
      <w:r w:rsidRPr="00245109">
        <w:rPr>
          <w:rFonts w:eastAsia="PMingLiU"/>
          <w:lang w:val="en-GB"/>
        </w:rPr>
        <w:t>“The method of uniformity assessment on the basis of off</w:t>
      </w:r>
      <w:r w:rsidRPr="00245109">
        <w:rPr>
          <w:rFonts w:eastAsia="PMingLiU"/>
          <w:lang w:val="en-GB"/>
        </w:rPr>
        <w:noBreakHyphen/>
        <w:t xml:space="preserve">types”, </w:t>
      </w:r>
      <w:r w:rsidRPr="00245109">
        <w:rPr>
          <w:snapToGrid w:val="0"/>
          <w:lang w:val="en-GB"/>
        </w:rPr>
        <w:t>Subsection 8.1.7: “Method for more than one single test (year)” is reproduced as Annex</w:t>
      </w:r>
      <w:r w:rsidR="00355E3C">
        <w:rPr>
          <w:snapToGrid w:val="0"/>
          <w:lang w:val="en-GB"/>
        </w:rPr>
        <w:t> </w:t>
      </w:r>
      <w:r w:rsidRPr="00245109">
        <w:rPr>
          <w:snapToGrid w:val="0"/>
          <w:lang w:val="en-GB"/>
        </w:rPr>
        <w:t xml:space="preserve">I to this document. </w:t>
      </w:r>
    </w:p>
    <w:p w:rsidR="00245109" w:rsidRDefault="00245109" w:rsidP="00BD2981"/>
    <w:p w:rsidR="00BD2981" w:rsidRPr="00BD2981" w:rsidRDefault="00BD2981" w:rsidP="00BD2981"/>
    <w:p w:rsidR="00245109" w:rsidRPr="00245109" w:rsidRDefault="00245109" w:rsidP="002A2DC5">
      <w:pPr>
        <w:pStyle w:val="Heading1"/>
      </w:pPr>
      <w:bookmarkStart w:id="18" w:name="_Toc525661375"/>
      <w:bookmarkStart w:id="19" w:name="_Toc525721995"/>
      <w:bookmarkStart w:id="20" w:name="_Toc525722159"/>
      <w:r w:rsidRPr="00245109">
        <w:t>Consideration by the Enlarged Editorial Committee</w:t>
      </w:r>
      <w:bookmarkEnd w:id="18"/>
      <w:bookmarkEnd w:id="19"/>
      <w:bookmarkEnd w:id="20"/>
    </w:p>
    <w:p w:rsidR="005C5F05" w:rsidRPr="000279A4" w:rsidRDefault="005C5F05" w:rsidP="005C5F05">
      <w:pPr>
        <w:rPr>
          <w:rFonts w:cs="Arial"/>
          <w:iCs/>
        </w:rPr>
      </w:pPr>
    </w:p>
    <w:p w:rsidR="005C5F05" w:rsidRPr="000279A4" w:rsidRDefault="005C5F05" w:rsidP="005C5F05">
      <w:pPr>
        <w:keepNext/>
      </w:pPr>
      <w:r w:rsidRPr="000279A4">
        <w:fldChar w:fldCharType="begin"/>
      </w:r>
      <w:r w:rsidRPr="000279A4">
        <w:instrText xml:space="preserve"> AUTONUM  </w:instrText>
      </w:r>
      <w:r w:rsidRPr="000279A4">
        <w:fldChar w:fldCharType="end"/>
      </w:r>
      <w:r w:rsidRPr="000279A4">
        <w:tab/>
        <w:t xml:space="preserve">The Council, at its thirty-fourth extraordinary session, held in Geneva on April 6, 2017, </w:t>
      </w:r>
      <w:r w:rsidRPr="000279A4">
        <w:rPr>
          <w:snapToGrid w:val="0"/>
          <w:color w:val="000000" w:themeColor="text1"/>
        </w:rPr>
        <w:t xml:space="preserve">decided to </w:t>
      </w:r>
      <w:r w:rsidRPr="000279A4">
        <w:t>organize a single set of sessions from 2018, in the period of October/November (see document C(</w:t>
      </w:r>
      <w:proofErr w:type="spellStart"/>
      <w:r w:rsidRPr="000279A4">
        <w:t>Extr</w:t>
      </w:r>
      <w:proofErr w:type="spellEnd"/>
      <w:r w:rsidRPr="000279A4">
        <w:t xml:space="preserve">.)/34/6 “Report on the decisions”, paragraphs 12 to 14).  From 2018, the meetings of the TC </w:t>
      </w:r>
      <w:r>
        <w:t>will</w:t>
      </w:r>
      <w:r w:rsidRPr="000279A4">
        <w:t xml:space="preserve"> take place on October/November instead of March/April. The TC-EDC </w:t>
      </w:r>
      <w:r>
        <w:t>will</w:t>
      </w:r>
      <w:r w:rsidRPr="000279A4">
        <w:t xml:space="preserve"> meet twice a year; once in the period of March/April and once in conjunction with the TC sessions later in the year.</w:t>
      </w:r>
    </w:p>
    <w:p w:rsidR="005C5F05" w:rsidRPr="000279A4" w:rsidRDefault="005C5F05" w:rsidP="005C5F05"/>
    <w:p w:rsidR="005C5F05" w:rsidRPr="000279A4" w:rsidRDefault="005C5F05" w:rsidP="005C5F05">
      <w:pPr>
        <w:rPr>
          <w:rFonts w:cs="Arial"/>
          <w:iCs/>
          <w:snapToGrid w:val="0"/>
        </w:rPr>
      </w:pPr>
      <w:r w:rsidRPr="000279A4">
        <w:fldChar w:fldCharType="begin"/>
      </w:r>
      <w:r w:rsidRPr="000279A4">
        <w:instrText xml:space="preserve"> AUTONUM  </w:instrText>
      </w:r>
      <w:r w:rsidRPr="000279A4">
        <w:fldChar w:fldCharType="end"/>
      </w:r>
      <w:r w:rsidRPr="000279A4">
        <w:tab/>
        <w:t>Based on the recommendation of the Consultative Committee,</w:t>
      </w:r>
      <w:r w:rsidRPr="000279A4">
        <w:rPr>
          <w:snapToGrid w:val="0"/>
          <w:color w:val="000000" w:themeColor="text1"/>
        </w:rPr>
        <w:t xml:space="preserve"> the Council decided to </w:t>
      </w:r>
      <w:r w:rsidRPr="000279A4">
        <w:t>adopt the proposals of the TC, at its fifty</w:t>
      </w:r>
      <w:r w:rsidRPr="000279A4">
        <w:noBreakHyphen/>
        <w:t>third session, to use contingency measures in the transitional period until the fifty-fourth session of the TC, to be held in October 2018; f</w:t>
      </w:r>
      <w:r w:rsidRPr="000279A4">
        <w:rPr>
          <w:rFonts w:cs="Arial"/>
          <w:iCs/>
          <w:snapToGrid w:val="0"/>
        </w:rPr>
        <w:t xml:space="preserve">or TGP documents, the TC-EDC would consolidate comments made by the TWPs at their sessions in 2017 and, in the absence of consensus between the TWPs, to formulate proposals for further consideration by the TWPs at their sessions in 2018 </w:t>
      </w:r>
      <w:r w:rsidRPr="000279A4">
        <w:t>(see document C(</w:t>
      </w:r>
      <w:proofErr w:type="spellStart"/>
      <w:r w:rsidRPr="000279A4">
        <w:t>Extr</w:t>
      </w:r>
      <w:proofErr w:type="spellEnd"/>
      <w:r w:rsidRPr="000279A4">
        <w:t>.)/34/6 “Report on the decisions”, paragraphs 12 to 14)</w:t>
      </w:r>
      <w:r w:rsidRPr="000279A4">
        <w:rPr>
          <w:rFonts w:cs="Arial"/>
          <w:iCs/>
          <w:snapToGrid w:val="0"/>
        </w:rPr>
        <w:t xml:space="preserve">.  </w:t>
      </w:r>
    </w:p>
    <w:p w:rsidR="005C5F05" w:rsidRDefault="005C5F05" w:rsidP="005C5F05"/>
    <w:p w:rsidR="00245109" w:rsidRPr="00245109" w:rsidRDefault="00245109" w:rsidP="00245109">
      <w:pPr>
        <w:rPr>
          <w:bCs/>
        </w:rPr>
      </w:pPr>
      <w:r w:rsidRPr="00245109">
        <w:rPr>
          <w:bCs/>
        </w:rPr>
        <w:fldChar w:fldCharType="begin"/>
      </w:r>
      <w:r w:rsidRPr="00245109">
        <w:rPr>
          <w:bCs/>
        </w:rPr>
        <w:instrText xml:space="preserve"> AUTONUM  </w:instrText>
      </w:r>
      <w:r w:rsidRPr="00245109">
        <w:fldChar w:fldCharType="end"/>
      </w:r>
      <w:r w:rsidRPr="00245109">
        <w:rPr>
          <w:bCs/>
        </w:rPr>
        <w:tab/>
        <w:t>The TC-EDC</w:t>
      </w:r>
      <w:r w:rsidR="00B139D6">
        <w:rPr>
          <w:bCs/>
        </w:rPr>
        <w:t xml:space="preserve">, at its </w:t>
      </w:r>
      <w:r w:rsidR="005C5F05">
        <w:rPr>
          <w:bCs/>
        </w:rPr>
        <w:t xml:space="preserve">meeting held in Geneva, on March 26 and 27, 2018, </w:t>
      </w:r>
      <w:r w:rsidRPr="00245109">
        <w:rPr>
          <w:bCs/>
        </w:rPr>
        <w:t>considered document TC</w:t>
      </w:r>
      <w:r w:rsidR="005C5F05">
        <w:rPr>
          <w:bCs/>
        </w:rPr>
        <w:noBreakHyphen/>
      </w:r>
      <w:r w:rsidRPr="00245109">
        <w:rPr>
          <w:bCs/>
        </w:rPr>
        <w:t xml:space="preserve">EDC/Mar18/16 “Uniformity assessment on the basis of off types: methods for more than one single test (year)”. </w:t>
      </w:r>
    </w:p>
    <w:p w:rsidR="00245109" w:rsidRPr="00245109" w:rsidRDefault="00245109" w:rsidP="00245109">
      <w:pPr>
        <w:rPr>
          <w:bCs/>
        </w:rPr>
      </w:pPr>
    </w:p>
    <w:p w:rsidR="00245109" w:rsidRPr="00245109" w:rsidRDefault="00245109" w:rsidP="00245109">
      <w:pPr>
        <w:rPr>
          <w:bCs/>
        </w:rPr>
      </w:pPr>
      <w:r w:rsidRPr="00245109">
        <w:rPr>
          <w:bCs/>
        </w:rPr>
        <w:fldChar w:fldCharType="begin"/>
      </w:r>
      <w:r w:rsidRPr="00245109">
        <w:rPr>
          <w:bCs/>
        </w:rPr>
        <w:instrText xml:space="preserve"> AUTONUM  </w:instrText>
      </w:r>
      <w:r w:rsidRPr="00245109">
        <w:fldChar w:fldCharType="end"/>
      </w:r>
      <w:r w:rsidRPr="00245109">
        <w:rPr>
          <w:bCs/>
        </w:rPr>
        <w:tab/>
        <w:t>The TC-EDC agreed to invite the expert from the United Kingdom to draft a proposal for the revision of guidance in document TGP/8/2: Part II: Section 8: Subsection 8.1.7: “Method for more than one single test (year)” for consideration by the TWPs, at their sessions in 2018.</w:t>
      </w:r>
    </w:p>
    <w:p w:rsidR="00500B72" w:rsidRDefault="00500B72" w:rsidP="00BD2981"/>
    <w:p w:rsidR="00BD2981" w:rsidRPr="00BD2981" w:rsidRDefault="00BD2981" w:rsidP="00BD2981"/>
    <w:p w:rsidR="00500B72" w:rsidRPr="00245109" w:rsidRDefault="00500B72" w:rsidP="00500B72">
      <w:pPr>
        <w:pStyle w:val="Heading1"/>
      </w:pPr>
      <w:bookmarkStart w:id="21" w:name="_Toc525661376"/>
      <w:bookmarkStart w:id="22" w:name="_Toc525721996"/>
      <w:bookmarkStart w:id="23" w:name="_Toc525722160"/>
      <w:r w:rsidRPr="00245109">
        <w:t xml:space="preserve">Consideration by the </w:t>
      </w:r>
      <w:r>
        <w:t>technical working parties</w:t>
      </w:r>
      <w:bookmarkEnd w:id="21"/>
      <w:bookmarkEnd w:id="22"/>
      <w:bookmarkEnd w:id="23"/>
    </w:p>
    <w:p w:rsidR="003A1915" w:rsidRPr="00CF2F9C" w:rsidRDefault="003A1915" w:rsidP="003A1915"/>
    <w:p w:rsidR="003A1915" w:rsidRDefault="003A1915" w:rsidP="003A1915">
      <w:r w:rsidRPr="002E42C1">
        <w:fldChar w:fldCharType="begin"/>
      </w:r>
      <w:r w:rsidRPr="00CF2F9C">
        <w:instrText xml:space="preserve"> AUTONUM  </w:instrText>
      </w:r>
      <w:r w:rsidRPr="002E42C1">
        <w:fldChar w:fldCharType="end"/>
      </w:r>
      <w:r w:rsidRPr="00CF2F9C">
        <w:tab/>
        <w:t>The TWA</w:t>
      </w:r>
      <w:r w:rsidR="00F40441">
        <w:t>, TWC and TWV</w:t>
      </w:r>
      <w:r w:rsidRPr="00CF2F9C">
        <w:t xml:space="preserve"> considered document </w:t>
      </w:r>
      <w:hyperlink r:id="rId9" w:history="1">
        <w:r w:rsidRPr="00CF2F9C">
          <w:rPr>
            <w:rStyle w:val="Hyperlink"/>
            <w:rFonts w:cs="Arial"/>
          </w:rPr>
          <w:t>TWP/2/10</w:t>
        </w:r>
      </w:hyperlink>
      <w:r w:rsidRPr="00CF2F9C">
        <w:t xml:space="preserve"> and the draft proposal for the revision of guidance in document TGP/8/2: Part II: Section 8: Subsection 8.1.7: “Method for more than one single test (year)”</w:t>
      </w:r>
      <w:r w:rsidR="00B139D6">
        <w:t xml:space="preserve">, prepared by the expert from the </w:t>
      </w:r>
      <w:r w:rsidR="00B139D6" w:rsidRPr="00074520">
        <w:t>United Kingdom</w:t>
      </w:r>
      <w:r w:rsidR="00B139D6">
        <w:t>,</w:t>
      </w:r>
      <w:r w:rsidRPr="00CF2F9C">
        <w:t xml:space="preserve"> as set out in Annex II to document TWP/2/10</w:t>
      </w:r>
      <w:r>
        <w:t xml:space="preserve"> (see document</w:t>
      </w:r>
      <w:r w:rsidR="00F40441">
        <w:t>s</w:t>
      </w:r>
      <w:r>
        <w:t xml:space="preserve"> TWA/47/7 “Report”, paragraphs 30 to 32</w:t>
      </w:r>
      <w:r w:rsidR="00F40441">
        <w:t>; TWC/36/15 “Report”, paragraphs 50 to 56; and TWV/52/20 “Report”, paragraphs 31 to 34)</w:t>
      </w:r>
      <w:r w:rsidRPr="00CF2F9C">
        <w:t>.</w:t>
      </w:r>
      <w:r>
        <w:t xml:space="preserve">  </w:t>
      </w:r>
    </w:p>
    <w:p w:rsidR="00BE66C5" w:rsidRPr="00CF2F9C" w:rsidRDefault="00BE66C5" w:rsidP="00BE66C5"/>
    <w:p w:rsidR="00BE66C5" w:rsidRDefault="00BE66C5" w:rsidP="00BE66C5">
      <w:r w:rsidRPr="004C636E">
        <w:fldChar w:fldCharType="begin"/>
      </w:r>
      <w:r w:rsidRPr="004C636E">
        <w:instrText xml:space="preserve"> AUTONUM  </w:instrText>
      </w:r>
      <w:r w:rsidRPr="004C636E">
        <w:fldChar w:fldCharType="end"/>
      </w:r>
      <w:r w:rsidRPr="004C636E">
        <w:tab/>
        <w:t>The TW</w:t>
      </w:r>
      <w:r>
        <w:t>C</w:t>
      </w:r>
      <w:r w:rsidRPr="004C636E">
        <w:t xml:space="preserve"> </w:t>
      </w:r>
      <w:r>
        <w:t xml:space="preserve">agreed with </w:t>
      </w:r>
      <w:r w:rsidRPr="00747BE7">
        <w:t>the draft proposal for the revision of guidance in document TGP/8/2: Part II: Section 8: Subsection 8.1.7: “Method for more than one single test (year)”</w:t>
      </w:r>
      <w:r>
        <w:t xml:space="preserve"> by the expert of </w:t>
      </w:r>
      <w:r w:rsidRPr="00BE66C5">
        <w:rPr>
          <w:fitText w:val="1758" w:id="1774899456"/>
        </w:rPr>
        <w:t>the United Kingdo</w:t>
      </w:r>
      <w:r w:rsidRPr="00BE66C5">
        <w:rPr>
          <w:spacing w:val="1"/>
          <w:fitText w:val="1758" w:id="1774899456"/>
        </w:rPr>
        <w:t>m</w:t>
      </w:r>
      <w:r>
        <w:t xml:space="preserve">. </w:t>
      </w:r>
    </w:p>
    <w:p w:rsidR="003A1915" w:rsidRPr="00CF2F9C" w:rsidRDefault="003A1915" w:rsidP="003A1915"/>
    <w:p w:rsidR="003A1915" w:rsidRPr="00CF2F9C" w:rsidRDefault="003A1915" w:rsidP="003A1915">
      <w:r w:rsidRPr="002E42C1">
        <w:fldChar w:fldCharType="begin"/>
      </w:r>
      <w:r w:rsidRPr="00CF2F9C">
        <w:instrText xml:space="preserve"> AUTONUM  </w:instrText>
      </w:r>
      <w:r w:rsidRPr="002E42C1">
        <w:fldChar w:fldCharType="end"/>
      </w:r>
      <w:r w:rsidRPr="00CF2F9C">
        <w:tab/>
        <w:t xml:space="preserve">The TWA agreed </w:t>
      </w:r>
      <w:r>
        <w:t>that a clarification should be added to</w:t>
      </w:r>
      <w:r w:rsidRPr="00CF2F9C">
        <w:rPr>
          <w:rFonts w:cs="Arial"/>
        </w:rPr>
        <w:t xml:space="preserve"> paragraph 8.1.7.1, approaches (b) and (c), that </w:t>
      </w:r>
      <w:r w:rsidRPr="00CF2F9C">
        <w:t xml:space="preserve">results from growing cycles using different </w:t>
      </w:r>
      <w:r>
        <w:t xml:space="preserve">samples </w:t>
      </w:r>
      <w:r w:rsidRPr="00CF2F9C">
        <w:t>of plant material should not be combined</w:t>
      </w:r>
      <w:r>
        <w:t>, as provided in the proposed guidance for document TGP/10 on assessing uniformity by off-types on the basis of more than one growing cycle or on the basis of sub</w:t>
      </w:r>
      <w:r>
        <w:noBreakHyphen/>
        <w:t>samples.</w:t>
      </w:r>
    </w:p>
    <w:p w:rsidR="008A0841" w:rsidRDefault="008A0841" w:rsidP="008A0841"/>
    <w:p w:rsidR="008A0841" w:rsidRDefault="008A0841" w:rsidP="008A0841">
      <w:r w:rsidRPr="004C636E">
        <w:fldChar w:fldCharType="begin"/>
      </w:r>
      <w:r w:rsidRPr="004C636E">
        <w:instrText xml:space="preserve"> AUTONUM  </w:instrText>
      </w:r>
      <w:r w:rsidRPr="004C636E">
        <w:fldChar w:fldCharType="end"/>
      </w:r>
      <w:r w:rsidRPr="004C636E">
        <w:tab/>
      </w:r>
      <w:r>
        <w:t>The TWC and TWV agreed with the TWA that the results from different growing cycles should only be combined if the tests are done with the same submission of plant material.</w:t>
      </w:r>
    </w:p>
    <w:p w:rsidR="003A1915" w:rsidRPr="00CF2F9C" w:rsidRDefault="003A1915" w:rsidP="003A1915"/>
    <w:p w:rsidR="003A1915" w:rsidRPr="00CF2F9C" w:rsidRDefault="003A1915" w:rsidP="003A1915">
      <w:pPr>
        <w:rPr>
          <w:rFonts w:eastAsia="Calibri" w:cs="Arial"/>
        </w:rPr>
      </w:pPr>
      <w:r w:rsidRPr="002E42C1">
        <w:fldChar w:fldCharType="begin"/>
      </w:r>
      <w:r w:rsidRPr="00CF2F9C">
        <w:instrText xml:space="preserve"> AUTONUM  </w:instrText>
      </w:r>
      <w:r w:rsidRPr="002E42C1">
        <w:fldChar w:fldCharType="end"/>
      </w:r>
      <w:r w:rsidRPr="00CF2F9C">
        <w:tab/>
        <w:t xml:space="preserve">The TWA agreed that </w:t>
      </w:r>
      <w:r w:rsidRPr="00CF2F9C">
        <w:rPr>
          <w:rFonts w:eastAsia="Calibri" w:cs="Arial"/>
        </w:rPr>
        <w:t xml:space="preserve">the two-stage test described in paragraph 8.1.8 would only be possible </w:t>
      </w:r>
      <w:r w:rsidRPr="002E42C1">
        <w:rPr>
          <w:rFonts w:eastAsia="Calibri" w:cs="Arial"/>
        </w:rPr>
        <w:t xml:space="preserve">when uniformity for a variety was considered separately in each cycle and assessed on a third growing cycle in case of divergent results (paragraph </w:t>
      </w:r>
      <w:r w:rsidRPr="00CF2F9C">
        <w:rPr>
          <w:rFonts w:eastAsia="Calibri" w:cs="Arial"/>
        </w:rPr>
        <w:t>8.1.7, approach “a”).</w:t>
      </w:r>
    </w:p>
    <w:p w:rsidR="008A0841" w:rsidRDefault="008A0841" w:rsidP="008A0841"/>
    <w:p w:rsidR="008A0841" w:rsidRDefault="008A0841" w:rsidP="008A0841">
      <w:pPr>
        <w:rPr>
          <w:rFonts w:eastAsia="Calibri" w:cs="Arial"/>
        </w:rPr>
      </w:pPr>
      <w:r w:rsidRPr="004C636E">
        <w:lastRenderedPageBreak/>
        <w:fldChar w:fldCharType="begin"/>
      </w:r>
      <w:r w:rsidRPr="004C636E">
        <w:instrText xml:space="preserve"> AUTONUM  </w:instrText>
      </w:r>
      <w:r w:rsidRPr="004C636E">
        <w:fldChar w:fldCharType="end"/>
      </w:r>
      <w:r w:rsidRPr="004C636E">
        <w:tab/>
      </w:r>
      <w:r>
        <w:t xml:space="preserve">The TWV agreed with the TWC that </w:t>
      </w:r>
      <w:r>
        <w:rPr>
          <w:rFonts w:eastAsia="Calibri" w:cs="Arial"/>
        </w:rPr>
        <w:t>the two-stage test described in paragraph 8.1.8 should be clarified to state that it is for testing in a single growing cycle.</w:t>
      </w:r>
    </w:p>
    <w:p w:rsidR="00F40441" w:rsidRDefault="00F40441" w:rsidP="00F40441"/>
    <w:p w:rsidR="00F40441" w:rsidRPr="004C636E" w:rsidRDefault="00F40441" w:rsidP="00F40441">
      <w:r w:rsidRPr="004C636E">
        <w:fldChar w:fldCharType="begin"/>
      </w:r>
      <w:r w:rsidRPr="004C636E">
        <w:instrText xml:space="preserve"> AUTONUM  </w:instrText>
      </w:r>
      <w:r w:rsidRPr="004C636E">
        <w:fldChar w:fldCharType="end"/>
      </w:r>
      <w:r w:rsidRPr="004C636E">
        <w:tab/>
        <w:t>The TW</w:t>
      </w:r>
      <w:r>
        <w:t>C</w:t>
      </w:r>
      <w:r w:rsidRPr="004C636E">
        <w:t xml:space="preserve"> considered document </w:t>
      </w:r>
      <w:hyperlink r:id="rId10" w:history="1">
        <w:r w:rsidRPr="004C636E">
          <w:rPr>
            <w:color w:val="0000FF"/>
            <w:u w:val="single"/>
          </w:rPr>
          <w:t>TW</w:t>
        </w:r>
        <w:r>
          <w:rPr>
            <w:color w:val="0000FF"/>
            <w:u w:val="single"/>
          </w:rPr>
          <w:t>C</w:t>
        </w:r>
        <w:r w:rsidRPr="004C636E">
          <w:rPr>
            <w:color w:val="0000FF"/>
            <w:u w:val="single"/>
          </w:rPr>
          <w:t>/</w:t>
        </w:r>
        <w:r>
          <w:rPr>
            <w:color w:val="0000FF"/>
            <w:u w:val="single"/>
          </w:rPr>
          <w:t>36</w:t>
        </w:r>
        <w:r w:rsidRPr="004C636E">
          <w:rPr>
            <w:color w:val="0000FF"/>
            <w:u w:val="single"/>
          </w:rPr>
          <w:t>/</w:t>
        </w:r>
        <w:r>
          <w:rPr>
            <w:color w:val="0000FF"/>
            <w:u w:val="single"/>
          </w:rPr>
          <w:t>7</w:t>
        </w:r>
      </w:hyperlink>
      <w:r>
        <w:t xml:space="preserve"> </w:t>
      </w:r>
      <w:r w:rsidRPr="004C636E">
        <w:t>“</w:t>
      </w:r>
      <w:r w:rsidRPr="006F785B">
        <w:t xml:space="preserve">Risks associated with assessment of uniformity by </w:t>
      </w:r>
      <w:r w:rsidRPr="00F40441">
        <w:rPr>
          <w:fitText w:val="765" w:id="1774890753"/>
        </w:rPr>
        <w:t>off-types</w:t>
      </w:r>
      <w:r w:rsidRPr="006F785B">
        <w:t xml:space="preserve"> on the basis of more than one growing cycle</w:t>
      </w:r>
      <w:r w:rsidRPr="004C636E">
        <w:t>” and received a presentation by expert</w:t>
      </w:r>
      <w:r>
        <w:t>s</w:t>
      </w:r>
      <w:r w:rsidRPr="004C636E">
        <w:t xml:space="preserve"> from </w:t>
      </w:r>
      <w:r w:rsidRPr="006F785B">
        <w:t>Germany and the United Kingdom</w:t>
      </w:r>
      <w:r>
        <w:t xml:space="preserve">, </w:t>
      </w:r>
      <w:r w:rsidRPr="001748F2">
        <w:t>a copy of which would be provided as document TWC/36/7 Add.</w:t>
      </w:r>
    </w:p>
    <w:p w:rsidR="00F40441" w:rsidRDefault="00F40441" w:rsidP="00F40441"/>
    <w:p w:rsidR="00F40441" w:rsidRDefault="00F40441" w:rsidP="00F40441">
      <w:r w:rsidRPr="004C636E">
        <w:fldChar w:fldCharType="begin"/>
      </w:r>
      <w:r w:rsidRPr="004C636E">
        <w:instrText xml:space="preserve"> AUTONUM  </w:instrText>
      </w:r>
      <w:r w:rsidRPr="004C636E">
        <w:fldChar w:fldCharType="end"/>
      </w:r>
      <w:r w:rsidRPr="004C636E">
        <w:tab/>
      </w:r>
      <w:r>
        <w:t>The TWC agreed to invite the experts from Germany and the United Kingdom to develop examples demonstrating the risks and consequences for decisions on uniformity to be presented at its next session.</w:t>
      </w:r>
    </w:p>
    <w:p w:rsidR="00F40441" w:rsidRDefault="00F40441" w:rsidP="00F40441"/>
    <w:p w:rsidR="00F40441" w:rsidRDefault="00F40441" w:rsidP="00F40441">
      <w:r w:rsidRPr="004C636E">
        <w:fldChar w:fldCharType="begin"/>
      </w:r>
      <w:r w:rsidRPr="004C636E">
        <w:instrText xml:space="preserve"> AUTONUM  </w:instrText>
      </w:r>
      <w:r w:rsidRPr="004C636E">
        <w:fldChar w:fldCharType="end"/>
      </w:r>
      <w:r w:rsidRPr="004C636E">
        <w:tab/>
      </w:r>
      <w:r>
        <w:t>The TWC noted the importance of considering the risks associated with assessment of uniformity by off-types on the basis of more than one growing cycle and agreed that it would not be practical to develop tables with the allowed number of off-types for such cases.  The TWC noted that, in future, software might be needed to calculate such risks.</w:t>
      </w:r>
    </w:p>
    <w:p w:rsidR="00F40441" w:rsidRPr="008C5528" w:rsidRDefault="00F40441" w:rsidP="00F40441">
      <w:pPr>
        <w:rPr>
          <w:rFonts w:eastAsia="MS Mincho"/>
        </w:rPr>
      </w:pPr>
    </w:p>
    <w:p w:rsidR="00F40441" w:rsidRPr="00BE66C5" w:rsidRDefault="00F40441" w:rsidP="00F40441">
      <w:r w:rsidRPr="008C5528">
        <w:fldChar w:fldCharType="begin"/>
      </w:r>
      <w:r w:rsidRPr="008C5528">
        <w:instrText xml:space="preserve"> AUTONUM  </w:instrText>
      </w:r>
      <w:r w:rsidRPr="008C5528">
        <w:fldChar w:fldCharType="end"/>
      </w:r>
      <w:r w:rsidRPr="008C5528">
        <w:tab/>
        <w:t>The TWV agreed with the TWC on the importance of considering the risks associated with assessment of uniformity by off-types on the basis of more than one growing cycle and agreed that the calculation of a predefined upper limit of uniformity should be clarified. In that regard the TWV noted the approach developed by France for the theoretical calculation of a predefined upper limit as the maximum off-types accepted plus one on the total sum of the plants for 2 testing cycles (for example each growing cycle requires 20 plants, the predefined upper limit for the assessment of uniformity on the first cycle would be based on the number of off</w:t>
      </w:r>
      <w:r w:rsidR="008A0841">
        <w:noBreakHyphen/>
      </w:r>
      <w:r w:rsidRPr="008C5528">
        <w:t>types accepted plus one on the total number of plants on the basis of the sum of plants to be observed on 2 cycles, in that case 40 plants).</w:t>
      </w:r>
    </w:p>
    <w:p w:rsidR="003A1915" w:rsidRPr="00245109" w:rsidRDefault="003A1915" w:rsidP="00500B72">
      <w:pPr>
        <w:rPr>
          <w:bCs/>
        </w:rPr>
      </w:pPr>
    </w:p>
    <w:p w:rsidR="00245109" w:rsidRPr="00245109" w:rsidRDefault="00245109" w:rsidP="00245109">
      <w:pPr>
        <w:keepNext/>
        <w:keepLines/>
        <w:tabs>
          <w:tab w:val="left" w:pos="5387"/>
        </w:tabs>
        <w:ind w:left="4820"/>
        <w:rPr>
          <w:i/>
        </w:rPr>
      </w:pPr>
      <w:r w:rsidRPr="00BE66C5">
        <w:rPr>
          <w:i/>
        </w:rPr>
        <w:fldChar w:fldCharType="begin"/>
      </w:r>
      <w:r w:rsidRPr="00BE66C5">
        <w:rPr>
          <w:i/>
        </w:rPr>
        <w:instrText xml:space="preserve"> AUTONUM  </w:instrText>
      </w:r>
      <w:r w:rsidRPr="00BE66C5">
        <w:rPr>
          <w:i/>
        </w:rPr>
        <w:fldChar w:fldCharType="end"/>
      </w:r>
      <w:r w:rsidRPr="00BE66C5">
        <w:rPr>
          <w:i/>
        </w:rPr>
        <w:tab/>
        <w:t xml:space="preserve">The </w:t>
      </w:r>
      <w:r w:rsidR="00BE66C5" w:rsidRPr="00BE66C5">
        <w:rPr>
          <w:i/>
        </w:rPr>
        <w:t>TC is</w:t>
      </w:r>
      <w:r w:rsidRPr="00BE66C5">
        <w:rPr>
          <w:i/>
        </w:rPr>
        <w:t xml:space="preserve"> invited to consider the proposal for the revision of guidance in document TGP/8/2: Part</w:t>
      </w:r>
      <w:r w:rsidR="00BE66C5" w:rsidRPr="00BE66C5">
        <w:rPr>
          <w:i/>
        </w:rPr>
        <w:t> </w:t>
      </w:r>
      <w:r w:rsidRPr="00BE66C5">
        <w:rPr>
          <w:i/>
        </w:rPr>
        <w:t>II: Section 8: Subsection 8.1.7: “Method for more than one single test (year)”</w:t>
      </w:r>
      <w:r w:rsidR="00BE66C5">
        <w:rPr>
          <w:i/>
        </w:rPr>
        <w:t>, on the basis of the draft</w:t>
      </w:r>
      <w:r w:rsidRPr="00BE66C5">
        <w:rPr>
          <w:i/>
        </w:rPr>
        <w:t xml:space="preserve"> set out in Annex II to this document</w:t>
      </w:r>
      <w:r w:rsidR="00BE66C5">
        <w:rPr>
          <w:i/>
        </w:rPr>
        <w:t xml:space="preserve"> </w:t>
      </w:r>
      <w:r w:rsidR="00B139D6">
        <w:rPr>
          <w:i/>
        </w:rPr>
        <w:t xml:space="preserve">in conjunction with </w:t>
      </w:r>
      <w:r w:rsidR="00BE66C5">
        <w:rPr>
          <w:i/>
        </w:rPr>
        <w:t>the comments by the TWPs, at their sessions in 2018</w:t>
      </w:r>
      <w:r w:rsidRPr="00BE66C5">
        <w:rPr>
          <w:rFonts w:eastAsia="MS Mincho"/>
          <w:i/>
          <w:color w:val="000000"/>
          <w:szCs w:val="24"/>
          <w:lang w:eastAsia="ja-JP"/>
        </w:rPr>
        <w:t>.</w:t>
      </w:r>
    </w:p>
    <w:p w:rsidR="00245109" w:rsidRPr="00245109" w:rsidRDefault="00245109" w:rsidP="00245109"/>
    <w:p w:rsidR="00245109" w:rsidRPr="00245109" w:rsidRDefault="00245109" w:rsidP="00245109"/>
    <w:p w:rsidR="00245109" w:rsidRPr="00245109" w:rsidRDefault="00245109" w:rsidP="00245109"/>
    <w:p w:rsidR="00245109" w:rsidRPr="00245109" w:rsidRDefault="00245109" w:rsidP="00245109">
      <w:pPr>
        <w:jc w:val="right"/>
      </w:pPr>
      <w:r w:rsidRPr="00245109">
        <w:t>[Annex</w:t>
      </w:r>
      <w:r w:rsidR="00E13C80">
        <w:t>es follow</w:t>
      </w:r>
      <w:r w:rsidRPr="00245109">
        <w:t>]</w:t>
      </w:r>
    </w:p>
    <w:p w:rsidR="00245109" w:rsidRPr="00245109" w:rsidRDefault="00245109" w:rsidP="00245109">
      <w:pPr>
        <w:sectPr w:rsidR="00245109" w:rsidRPr="00245109" w:rsidSect="00906DDC">
          <w:headerReference w:type="default" r:id="rId11"/>
          <w:pgSz w:w="11907" w:h="16840" w:code="9"/>
          <w:pgMar w:top="510" w:right="1134" w:bottom="1134" w:left="1134" w:header="510" w:footer="680" w:gutter="0"/>
          <w:cols w:space="720"/>
          <w:titlePg/>
        </w:sectPr>
      </w:pPr>
    </w:p>
    <w:p w:rsidR="00245109" w:rsidRPr="00245109" w:rsidRDefault="00245109" w:rsidP="00245109"/>
    <w:p w:rsidR="00245109" w:rsidRPr="00245109" w:rsidRDefault="00245109" w:rsidP="00E13C80">
      <w:pPr>
        <w:jc w:val="center"/>
        <w:rPr>
          <w:caps/>
        </w:rPr>
      </w:pPr>
      <w:r w:rsidRPr="00245109">
        <w:rPr>
          <w:rFonts w:cs="Arial"/>
          <w:caps/>
          <w:snapToGrid w:val="0"/>
        </w:rPr>
        <w:t>Extract from document TGP/8</w:t>
      </w:r>
      <w:r w:rsidRPr="00245109">
        <w:rPr>
          <w:rFonts w:eastAsia="PMingLiU"/>
          <w:caps/>
          <w:lang w:val="en-GB"/>
        </w:rPr>
        <w:t xml:space="preserve">: Part II: Section 8: </w:t>
      </w:r>
      <w:r w:rsidR="00E13C80">
        <w:rPr>
          <w:rFonts w:eastAsia="PMingLiU"/>
          <w:caps/>
          <w:lang w:val="en-GB"/>
        </w:rPr>
        <w:br/>
      </w:r>
      <w:r w:rsidRPr="00245109">
        <w:rPr>
          <w:rFonts w:eastAsia="PMingLiU"/>
          <w:caps/>
          <w:lang w:val="en-GB"/>
        </w:rPr>
        <w:t>“</w:t>
      </w:r>
      <w:r w:rsidRPr="00245109">
        <w:rPr>
          <w:rFonts w:eastAsia="PMingLiU"/>
          <w:caps/>
        </w:rPr>
        <w:t>THE METHOD OF UNIFORMITY ASSESSMENT ON THE BASIS OF OFF</w:t>
      </w:r>
      <w:r w:rsidRPr="00245109">
        <w:rPr>
          <w:rFonts w:eastAsia="PMingLiU"/>
          <w:caps/>
        </w:rPr>
        <w:noBreakHyphen/>
        <w:t>TYPES”</w:t>
      </w:r>
    </w:p>
    <w:p w:rsidR="00245109" w:rsidRPr="00245109" w:rsidRDefault="00245109" w:rsidP="00245109"/>
    <w:p w:rsidR="00245109" w:rsidRPr="00245109" w:rsidRDefault="00245109" w:rsidP="00245109"/>
    <w:p w:rsidR="00245109" w:rsidRPr="00245109" w:rsidRDefault="00245109" w:rsidP="00245109">
      <w:pPr>
        <w:keepNext/>
        <w:spacing w:after="240"/>
        <w:ind w:left="851" w:hanging="851"/>
        <w:outlineLvl w:val="3"/>
        <w:rPr>
          <w:i/>
        </w:rPr>
      </w:pPr>
      <w:bookmarkStart w:id="24" w:name="_Toc463359621"/>
      <w:r w:rsidRPr="00245109">
        <w:rPr>
          <w:i/>
          <w:szCs w:val="24"/>
        </w:rPr>
        <w:t>8.</w:t>
      </w:r>
      <w:r w:rsidRPr="00245109">
        <w:rPr>
          <w:i/>
        </w:rPr>
        <w:t>1.7</w:t>
      </w:r>
      <w:r w:rsidRPr="00245109">
        <w:rPr>
          <w:i/>
        </w:rPr>
        <w:tab/>
      </w:r>
      <w:r w:rsidRPr="00245109">
        <w:rPr>
          <w:i/>
          <w:szCs w:val="24"/>
        </w:rPr>
        <w:t>Method for more than</w:t>
      </w:r>
      <w:r w:rsidRPr="00245109">
        <w:rPr>
          <w:i/>
        </w:rPr>
        <w:t xml:space="preserve"> one single test (year)</w:t>
      </w:r>
      <w:bookmarkEnd w:id="24"/>
    </w:p>
    <w:p w:rsidR="00245109" w:rsidRPr="00245109" w:rsidRDefault="00245109" w:rsidP="00245109">
      <w:pPr>
        <w:keepNext/>
        <w:spacing w:after="240"/>
        <w:ind w:left="1701" w:hanging="1134"/>
        <w:jc w:val="left"/>
        <w:outlineLvl w:val="4"/>
        <w:rPr>
          <w:i/>
          <w:szCs w:val="18"/>
        </w:rPr>
      </w:pPr>
      <w:bookmarkStart w:id="25" w:name="_Toc463359622"/>
      <w:r w:rsidRPr="00245109">
        <w:rPr>
          <w:i/>
          <w:szCs w:val="24"/>
        </w:rPr>
        <w:t>8.</w:t>
      </w:r>
      <w:r w:rsidRPr="00245109">
        <w:rPr>
          <w:i/>
          <w:szCs w:val="18"/>
        </w:rPr>
        <w:t>1.7.1</w:t>
      </w:r>
      <w:r w:rsidRPr="00245109">
        <w:rPr>
          <w:i/>
          <w:szCs w:val="18"/>
        </w:rPr>
        <w:tab/>
        <w:t>Introduction</w:t>
      </w:r>
      <w:bookmarkEnd w:id="25"/>
    </w:p>
    <w:p w:rsidR="00245109" w:rsidRPr="00245109" w:rsidRDefault="00245109" w:rsidP="00245109">
      <w:r w:rsidRPr="00245109">
        <w:t>8.1.7.1.1</w:t>
      </w:r>
      <w:r w:rsidRPr="00245109">
        <w:tab/>
        <w:t>Often a candidate variety is grown in two (or three years).  The question then arises of how to combine the uniformity information from the individual years.  Two methods will be described:</w:t>
      </w:r>
    </w:p>
    <w:p w:rsidR="00245109" w:rsidRPr="00245109" w:rsidRDefault="00245109" w:rsidP="00245109"/>
    <w:p w:rsidR="00245109" w:rsidRPr="00245109" w:rsidRDefault="00245109" w:rsidP="00245109">
      <w:pPr>
        <w:tabs>
          <w:tab w:val="left" w:pos="851"/>
        </w:tabs>
        <w:ind w:left="1701" w:hanging="1701"/>
      </w:pPr>
      <w:r w:rsidRPr="00245109">
        <w:tab/>
        <w:t>(a)</w:t>
      </w:r>
      <w:r w:rsidRPr="00245109">
        <w:tab/>
        <w:t>Make the decision after two (or three) years based on the total number of plants examined and the total number of off-types recorded.  (A combined test).</w:t>
      </w:r>
    </w:p>
    <w:p w:rsidR="00245109" w:rsidRPr="00245109" w:rsidRDefault="00245109" w:rsidP="00245109"/>
    <w:p w:rsidR="00245109" w:rsidRPr="00245109" w:rsidRDefault="00245109" w:rsidP="00245109">
      <w:pPr>
        <w:tabs>
          <w:tab w:val="left" w:pos="851"/>
        </w:tabs>
        <w:ind w:left="1701" w:hanging="1701"/>
      </w:pPr>
      <w:r w:rsidRPr="00245109">
        <w:tab/>
        <w:t>(b)</w:t>
      </w:r>
      <w:r w:rsidRPr="00245109">
        <w:tab/>
        <w:t xml:space="preserve">Use the result of the first year to see if the data suggests a clear decision (reject or accept).  If the decision is not clear then proceed with the second year and decide after the second year.  (A two-stage test). </w:t>
      </w:r>
    </w:p>
    <w:p w:rsidR="00245109" w:rsidRPr="00245109" w:rsidRDefault="00245109" w:rsidP="00245109"/>
    <w:p w:rsidR="00245109" w:rsidRPr="00245109" w:rsidRDefault="00245109" w:rsidP="00245109">
      <w:r w:rsidRPr="00245109">
        <w:t>8.1.7.1.2</w:t>
      </w:r>
      <w:r w:rsidRPr="00245109">
        <w:tab/>
        <w:t>However, there are some alternatives (e.g. a decision may be made in each year and a final decision may be reached by rejecting the candidate variety if it shows too many off-types in both (or two out of three years)).  Also there are complications when more than one single year test is done.  It is therefore suggested that a statistician should be consulted when two (or more) year tests have to be used.</w:t>
      </w:r>
    </w:p>
    <w:p w:rsidR="00245109" w:rsidRPr="00E13C80" w:rsidRDefault="00245109" w:rsidP="00E13C80"/>
    <w:p w:rsidR="00245109" w:rsidRPr="00245109" w:rsidRDefault="00245109" w:rsidP="00245109">
      <w:pPr>
        <w:keepNext/>
        <w:spacing w:after="240"/>
        <w:ind w:left="1701" w:hanging="1134"/>
        <w:jc w:val="left"/>
        <w:outlineLvl w:val="4"/>
        <w:rPr>
          <w:i/>
          <w:szCs w:val="18"/>
        </w:rPr>
      </w:pPr>
      <w:bookmarkStart w:id="26" w:name="_Toc154368852"/>
      <w:bookmarkStart w:id="27" w:name="_Toc219640839"/>
      <w:bookmarkStart w:id="28" w:name="_Toc463359623"/>
      <w:r w:rsidRPr="00245109">
        <w:rPr>
          <w:i/>
          <w:szCs w:val="24"/>
        </w:rPr>
        <w:t>8.</w:t>
      </w:r>
      <w:r w:rsidRPr="00245109">
        <w:rPr>
          <w:i/>
          <w:szCs w:val="18"/>
        </w:rPr>
        <w:t>1.7.2</w:t>
      </w:r>
      <w:r w:rsidRPr="00245109">
        <w:rPr>
          <w:i/>
          <w:szCs w:val="18"/>
        </w:rPr>
        <w:tab/>
        <w:t>Combined test</w:t>
      </w:r>
      <w:bookmarkEnd w:id="26"/>
      <w:bookmarkEnd w:id="27"/>
      <w:bookmarkEnd w:id="28"/>
    </w:p>
    <w:p w:rsidR="00245109" w:rsidRPr="00245109" w:rsidRDefault="00245109" w:rsidP="00245109">
      <w:r w:rsidRPr="00245109">
        <w:t xml:space="preserve">The sample size in test </w:t>
      </w:r>
      <w:proofErr w:type="spellStart"/>
      <w:r w:rsidRPr="00245109">
        <w:t>i</w:t>
      </w:r>
      <w:proofErr w:type="spellEnd"/>
      <w:r w:rsidRPr="00245109">
        <w:t xml:space="preserve"> is </w:t>
      </w:r>
      <w:proofErr w:type="spellStart"/>
      <w:r w:rsidRPr="00245109">
        <w:t>n</w:t>
      </w:r>
      <w:r w:rsidRPr="00245109">
        <w:rPr>
          <w:vertAlign w:val="subscript"/>
        </w:rPr>
        <w:t>i</w:t>
      </w:r>
      <w:proofErr w:type="spellEnd"/>
      <w:r w:rsidRPr="00245109">
        <w:t>.  So after the last test we have the total sample size n = </w:t>
      </w:r>
      <w:r w:rsidRPr="00245109">
        <w:rPr>
          <w:rFonts w:ascii="Symbol" w:hAnsi="Symbol"/>
        </w:rPr>
        <w:t></w:t>
      </w:r>
      <w:proofErr w:type="spellStart"/>
      <w:r w:rsidRPr="00245109">
        <w:t>n</w:t>
      </w:r>
      <w:r w:rsidRPr="00245109">
        <w:rPr>
          <w:vertAlign w:val="subscript"/>
        </w:rPr>
        <w:t>i</w:t>
      </w:r>
      <w:proofErr w:type="spellEnd"/>
      <w:r w:rsidRPr="00245109">
        <w:t>.  A decision scheme is set in exactly the same way as if this total sample size had been obtained in a single test.  Thus, the total number of off-types recorded through the tests is compared with the maximum number of off-types allowed by the chosen decision scheme.</w:t>
      </w:r>
    </w:p>
    <w:p w:rsidR="00245109" w:rsidRPr="00245109" w:rsidRDefault="00245109" w:rsidP="00245109"/>
    <w:p w:rsidR="00245109" w:rsidRPr="00245109" w:rsidRDefault="00245109" w:rsidP="00245109">
      <w:pPr>
        <w:keepNext/>
        <w:spacing w:after="240"/>
        <w:ind w:left="1701" w:hanging="1134"/>
        <w:jc w:val="left"/>
        <w:outlineLvl w:val="4"/>
        <w:rPr>
          <w:i/>
          <w:szCs w:val="18"/>
        </w:rPr>
      </w:pPr>
      <w:bookmarkStart w:id="29" w:name="_Toc154368853"/>
      <w:bookmarkStart w:id="30" w:name="_Toc219640840"/>
      <w:bookmarkStart w:id="31" w:name="_Toc463359624"/>
      <w:r w:rsidRPr="00245109">
        <w:rPr>
          <w:i/>
          <w:szCs w:val="24"/>
        </w:rPr>
        <w:t>8.</w:t>
      </w:r>
      <w:r w:rsidRPr="00245109">
        <w:rPr>
          <w:i/>
          <w:szCs w:val="18"/>
        </w:rPr>
        <w:t>1.7.3</w:t>
      </w:r>
      <w:r w:rsidRPr="00245109">
        <w:rPr>
          <w:i/>
          <w:szCs w:val="18"/>
        </w:rPr>
        <w:tab/>
        <w:t>Two-stage test</w:t>
      </w:r>
      <w:bookmarkEnd w:id="29"/>
      <w:bookmarkEnd w:id="30"/>
      <w:bookmarkEnd w:id="31"/>
    </w:p>
    <w:p w:rsidR="00245109" w:rsidRPr="00245109" w:rsidRDefault="00245109" w:rsidP="00245109">
      <w:r w:rsidRPr="00245109">
        <w:t>8.1.7.3.1</w:t>
      </w:r>
      <w:r w:rsidRPr="00245109">
        <w:tab/>
        <w:t>The method for a two-year test may be described as follows: In the first year take a sample of size n.  Reject the candidate variety if more than r</w:t>
      </w:r>
      <w:r w:rsidRPr="00245109">
        <w:rPr>
          <w:vertAlign w:val="subscript"/>
        </w:rPr>
        <w:t>1</w:t>
      </w:r>
      <w:r w:rsidRPr="00245109">
        <w:t xml:space="preserve"> off-types are recorded and accept the candidate variety if less than a</w:t>
      </w:r>
      <w:r w:rsidRPr="00245109">
        <w:rPr>
          <w:vertAlign w:val="subscript"/>
        </w:rPr>
        <w:t>1</w:t>
      </w:r>
      <w:r w:rsidRPr="00245109">
        <w:t xml:space="preserve"> off-types are recorded.  Otherwise, proceed to the second year and take a sample of size n (as in the first year) and reject the candidate variety if the total number of off-types recorded in the two years’ test is greater than r.  Otherwise, accept the candidate variety.  The final risks and the expected sample size in such a procedure may be calculated as follows:</w:t>
      </w:r>
    </w:p>
    <w:p w:rsidR="00245109" w:rsidRPr="00245109" w:rsidRDefault="00245109" w:rsidP="00245109"/>
    <w:p w:rsidR="00245109" w:rsidRPr="00245109" w:rsidRDefault="00245109" w:rsidP="00245109">
      <w:r w:rsidRPr="00245109">
        <w:br w:type="page"/>
      </w:r>
    </w:p>
    <w:p w:rsidR="00245109" w:rsidRPr="00245109" w:rsidRDefault="00245109" w:rsidP="00245109">
      <w:pPr>
        <w:framePr w:w="8835" w:hSpace="240" w:vSpace="240" w:wrap="auto" w:vAnchor="text" w:hAnchor="page" w:x="1725" w:y="-74"/>
        <w:pBdr>
          <w:top w:val="single" w:sz="6" w:space="5" w:color="FFFFFF"/>
          <w:left w:val="single" w:sz="6" w:space="5" w:color="FFFFFF"/>
          <w:bottom w:val="single" w:sz="6" w:space="5" w:color="FFFFFF"/>
          <w:right w:val="single" w:sz="6" w:space="5" w:color="FFFFFF"/>
        </w:pBdr>
        <w:rPr>
          <w:lang w:val="pt-BR"/>
        </w:rPr>
      </w:pPr>
      <w:r w:rsidRPr="00892563">
        <w:rPr>
          <w:rFonts w:ascii="Greek Symbols" w:hAnsi="Greek Symbols"/>
          <w:lang w:val="pt-BR"/>
        </w:rPr>
        <w:lastRenderedPageBreak/>
        <w:br w:type="page"/>
      </w:r>
      <w:r w:rsidRPr="00245109">
        <w:t>α</w:t>
      </w:r>
      <w:r w:rsidRPr="00245109">
        <w:rPr>
          <w:lang w:val="pt-BR"/>
        </w:rPr>
        <w:tab/>
        <w:t>= P(K</w:t>
      </w:r>
      <w:r w:rsidRPr="00245109">
        <w:rPr>
          <w:vertAlign w:val="subscript"/>
          <w:lang w:val="pt-BR"/>
        </w:rPr>
        <w:t>1</w:t>
      </w:r>
      <w:r w:rsidRPr="00245109">
        <w:rPr>
          <w:lang w:val="pt-BR"/>
        </w:rPr>
        <w:t xml:space="preserve"> &gt; r</w:t>
      </w:r>
      <w:r w:rsidRPr="00245109">
        <w:rPr>
          <w:vertAlign w:val="subscript"/>
          <w:lang w:val="pt-BR"/>
        </w:rPr>
        <w:t>1</w:t>
      </w:r>
      <w:r w:rsidRPr="00245109">
        <w:rPr>
          <w:lang w:val="pt-BR"/>
        </w:rPr>
        <w:t>) + P(K</w:t>
      </w:r>
      <w:r w:rsidRPr="00245109">
        <w:rPr>
          <w:vertAlign w:val="subscript"/>
          <w:lang w:val="pt-BR"/>
        </w:rPr>
        <w:t>1</w:t>
      </w:r>
      <w:r w:rsidRPr="00245109">
        <w:rPr>
          <w:lang w:val="pt-BR"/>
        </w:rPr>
        <w:t xml:space="preserve"> + K</w:t>
      </w:r>
      <w:r w:rsidRPr="00245109">
        <w:rPr>
          <w:vertAlign w:val="subscript"/>
          <w:lang w:val="pt-BR"/>
        </w:rPr>
        <w:t>2</w:t>
      </w:r>
      <w:r w:rsidRPr="00245109">
        <w:rPr>
          <w:lang w:val="pt-BR"/>
        </w:rPr>
        <w:t xml:space="preserve"> &gt; r</w:t>
      </w:r>
      <w:r w:rsidRPr="00245109">
        <w:rPr>
          <w:rFonts w:ascii="Symbol" w:hAnsi="Symbol"/>
        </w:rPr>
        <w:t></w:t>
      </w:r>
      <w:r w:rsidRPr="00245109">
        <w:rPr>
          <w:lang w:val="pt-BR"/>
        </w:rPr>
        <w:t>K</w:t>
      </w:r>
      <w:r w:rsidRPr="00245109">
        <w:rPr>
          <w:vertAlign w:val="subscript"/>
          <w:lang w:val="pt-BR"/>
        </w:rPr>
        <w:t>1</w:t>
      </w:r>
      <w:r w:rsidRPr="00245109">
        <w:rPr>
          <w:lang w:val="pt-BR"/>
        </w:rPr>
        <w:t>)</w:t>
      </w:r>
    </w:p>
    <w:p w:rsidR="00245109" w:rsidRPr="00245109" w:rsidRDefault="00245109" w:rsidP="00245109">
      <w:pPr>
        <w:framePr w:w="8835" w:hSpace="240" w:vSpace="240" w:wrap="auto" w:vAnchor="text" w:hAnchor="page" w:x="1725" w:y="-74"/>
        <w:pBdr>
          <w:top w:val="single" w:sz="6" w:space="5" w:color="FFFFFF"/>
          <w:left w:val="single" w:sz="6" w:space="5" w:color="FFFFFF"/>
          <w:bottom w:val="single" w:sz="6" w:space="5" w:color="FFFFFF"/>
          <w:right w:val="single" w:sz="6" w:space="5" w:color="FFFFFF"/>
        </w:pBdr>
        <w:rPr>
          <w:lang w:val="pt-BR"/>
        </w:rPr>
      </w:pPr>
      <w:r w:rsidRPr="00245109">
        <w:rPr>
          <w:lang w:val="pt-BR"/>
        </w:rPr>
        <w:tab/>
        <w:t>= P(K</w:t>
      </w:r>
      <w:r w:rsidRPr="00245109">
        <w:rPr>
          <w:vertAlign w:val="subscript"/>
          <w:lang w:val="pt-BR"/>
        </w:rPr>
        <w:t>1</w:t>
      </w:r>
      <w:r w:rsidRPr="00245109">
        <w:rPr>
          <w:lang w:val="pt-BR"/>
        </w:rPr>
        <w:t xml:space="preserve"> &gt; r</w:t>
      </w:r>
      <w:r w:rsidRPr="00245109">
        <w:rPr>
          <w:vertAlign w:val="subscript"/>
          <w:lang w:val="pt-BR"/>
        </w:rPr>
        <w:t>1</w:t>
      </w:r>
      <w:r w:rsidRPr="00245109">
        <w:rPr>
          <w:lang w:val="pt-BR"/>
        </w:rPr>
        <w:t>) + P(K</w:t>
      </w:r>
      <w:r w:rsidRPr="00245109">
        <w:rPr>
          <w:vertAlign w:val="subscript"/>
          <w:lang w:val="pt-BR"/>
        </w:rPr>
        <w:t>2</w:t>
      </w:r>
      <w:r w:rsidRPr="00245109">
        <w:rPr>
          <w:lang w:val="pt-BR"/>
        </w:rPr>
        <w:t xml:space="preserve"> &gt; r-K</w:t>
      </w:r>
      <w:r w:rsidRPr="00245109">
        <w:rPr>
          <w:vertAlign w:val="subscript"/>
          <w:lang w:val="pt-BR"/>
        </w:rPr>
        <w:t>1</w:t>
      </w:r>
      <w:r w:rsidRPr="00245109">
        <w:rPr>
          <w:rFonts w:ascii="Symbol" w:hAnsi="Symbol"/>
        </w:rPr>
        <w:t></w:t>
      </w:r>
      <w:r w:rsidRPr="00245109">
        <w:rPr>
          <w:lang w:val="pt-BR"/>
        </w:rPr>
        <w:t>K</w:t>
      </w:r>
      <w:r w:rsidRPr="00245109">
        <w:rPr>
          <w:vertAlign w:val="subscript"/>
          <w:lang w:val="pt-BR"/>
        </w:rPr>
        <w:t>1</w:t>
      </w:r>
      <w:r w:rsidRPr="00245109">
        <w:rPr>
          <w:lang w:val="pt-BR"/>
        </w:rPr>
        <w:t>)</w:t>
      </w:r>
    </w:p>
    <w:p w:rsidR="00245109" w:rsidRPr="00245109" w:rsidRDefault="00245109" w:rsidP="00245109">
      <w:pPr>
        <w:framePr w:w="8835" w:hSpace="240" w:vSpace="240" w:wrap="auto" w:vAnchor="text" w:hAnchor="page" w:x="1725" w:y="-74"/>
        <w:pBdr>
          <w:top w:val="single" w:sz="6" w:space="5" w:color="FFFFFF"/>
          <w:left w:val="single" w:sz="6" w:space="5" w:color="FFFFFF"/>
          <w:bottom w:val="single" w:sz="6" w:space="5" w:color="FFFFFF"/>
          <w:right w:val="single" w:sz="6" w:space="5" w:color="FFFFFF"/>
        </w:pBdr>
        <w:jc w:val="center"/>
        <w:rPr>
          <w:lang w:val="pt-BR"/>
        </w:rPr>
      </w:pPr>
    </w:p>
    <w:p w:rsidR="00245109" w:rsidRPr="00245109" w:rsidRDefault="00245109" w:rsidP="00245109">
      <w:pPr>
        <w:framePr w:w="8835" w:hSpace="240" w:vSpace="240" w:wrap="auto" w:vAnchor="text" w:hAnchor="page" w:x="1725" w:y="-74"/>
        <w:pBdr>
          <w:top w:val="single" w:sz="6" w:space="5" w:color="FFFFFF"/>
          <w:left w:val="single" w:sz="6" w:space="5" w:color="FFFFFF"/>
          <w:bottom w:val="single" w:sz="6" w:space="5" w:color="FFFFFF"/>
          <w:right w:val="single" w:sz="6" w:space="5" w:color="FFFFFF"/>
        </w:pBdr>
      </w:pPr>
      <w:r w:rsidRPr="00245109">
        <w:rPr>
          <w:position w:val="-32"/>
        </w:rPr>
        <w:object w:dxaOrig="66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1pt;height:36.7pt" o:ole="" fillcolor="window">
            <v:imagedata r:id="rId12" o:title=""/>
          </v:shape>
          <o:OLEObject Type="Embed" ProgID="Equation.3" ShapeID="_x0000_i1025" DrawAspect="Content" ObjectID="_1599464519" r:id="rId13"/>
        </w:object>
      </w:r>
    </w:p>
    <w:p w:rsidR="00245109" w:rsidRPr="00245109" w:rsidRDefault="00245109" w:rsidP="00245109">
      <w:pPr>
        <w:framePr w:w="8835" w:hSpace="240" w:vSpace="240" w:wrap="auto" w:vAnchor="text" w:hAnchor="page" w:x="1725" w:y="-74"/>
        <w:pBdr>
          <w:top w:val="single" w:sz="6" w:space="5" w:color="FFFFFF"/>
          <w:left w:val="single" w:sz="6" w:space="5" w:color="FFFFFF"/>
          <w:bottom w:val="single" w:sz="6" w:space="5" w:color="FFFFFF"/>
          <w:right w:val="single" w:sz="6" w:space="5" w:color="FFFFFF"/>
        </w:pBdr>
        <w:jc w:val="center"/>
      </w:pPr>
    </w:p>
    <w:p w:rsidR="00245109" w:rsidRPr="00245109" w:rsidRDefault="00245109" w:rsidP="00245109">
      <w:pPr>
        <w:framePr w:w="8835" w:hSpace="240" w:vSpace="240" w:wrap="auto" w:vAnchor="text" w:hAnchor="page" w:x="1725" w:y="-74"/>
        <w:pBdr>
          <w:top w:val="single" w:sz="6" w:space="5" w:color="FFFFFF"/>
          <w:left w:val="single" w:sz="6" w:space="5" w:color="FFFFFF"/>
          <w:bottom w:val="single" w:sz="6" w:space="5" w:color="FFFFFF"/>
          <w:right w:val="single" w:sz="6" w:space="5" w:color="FFFFFF"/>
        </w:pBdr>
      </w:pPr>
      <w:r w:rsidRPr="00245109">
        <w:t>β</w:t>
      </w:r>
      <w:r w:rsidRPr="00245109">
        <w:rPr>
          <w:vertAlign w:val="subscript"/>
        </w:rPr>
        <w:t xml:space="preserve"> q</w:t>
      </w:r>
      <w:r w:rsidRPr="00245109">
        <w:rPr>
          <w:vertAlign w:val="subscript"/>
        </w:rPr>
        <w:tab/>
      </w:r>
      <w:r w:rsidRPr="00245109">
        <w:t>= P(K</w:t>
      </w:r>
      <w:r w:rsidRPr="00245109">
        <w:rPr>
          <w:vertAlign w:val="subscript"/>
        </w:rPr>
        <w:t>1</w:t>
      </w:r>
      <w:r w:rsidRPr="00245109">
        <w:t xml:space="preserve"> &lt; α</w:t>
      </w:r>
      <w:r w:rsidRPr="00245109">
        <w:rPr>
          <w:vertAlign w:val="subscript"/>
        </w:rPr>
        <w:t xml:space="preserve"> 1</w:t>
      </w:r>
      <w:r w:rsidRPr="00245109">
        <w:t>) + P(K</w:t>
      </w:r>
      <w:r w:rsidRPr="00245109">
        <w:rPr>
          <w:vertAlign w:val="subscript"/>
        </w:rPr>
        <w:t>1</w:t>
      </w:r>
      <w:r w:rsidRPr="00245109">
        <w:t xml:space="preserve"> + K</w:t>
      </w:r>
      <w:r w:rsidRPr="00245109">
        <w:rPr>
          <w:vertAlign w:val="subscript"/>
        </w:rPr>
        <w:t>2</w:t>
      </w:r>
      <w:r w:rsidRPr="00245109">
        <w:t xml:space="preserve"> </w:t>
      </w:r>
      <w:r w:rsidRPr="00245109">
        <w:rPr>
          <w:rFonts w:ascii="Symbol" w:hAnsi="Symbol"/>
        </w:rPr>
        <w:t></w:t>
      </w:r>
      <w:r w:rsidRPr="00245109">
        <w:t xml:space="preserve"> r</w:t>
      </w:r>
      <w:r w:rsidRPr="00245109">
        <w:rPr>
          <w:rFonts w:ascii="Symbol" w:hAnsi="Symbol"/>
        </w:rPr>
        <w:t></w:t>
      </w:r>
      <w:r w:rsidRPr="00245109">
        <w:t>K</w:t>
      </w:r>
      <w:r w:rsidRPr="00245109">
        <w:rPr>
          <w:vertAlign w:val="subscript"/>
        </w:rPr>
        <w:t>1</w:t>
      </w:r>
      <w:r w:rsidRPr="00245109">
        <w:t xml:space="preserve">)  </w:t>
      </w:r>
    </w:p>
    <w:p w:rsidR="00245109" w:rsidRPr="00245109" w:rsidRDefault="00245109" w:rsidP="00245109">
      <w:pPr>
        <w:framePr w:w="8835" w:hSpace="240" w:vSpace="240" w:wrap="auto" w:vAnchor="text" w:hAnchor="page" w:x="1725" w:y="-74"/>
        <w:pBdr>
          <w:top w:val="single" w:sz="6" w:space="5" w:color="FFFFFF"/>
          <w:left w:val="single" w:sz="6" w:space="5" w:color="FFFFFF"/>
          <w:bottom w:val="single" w:sz="6" w:space="5" w:color="FFFFFF"/>
          <w:right w:val="single" w:sz="6" w:space="5" w:color="FFFFFF"/>
        </w:pBdr>
        <w:ind w:firstLine="339"/>
      </w:pPr>
      <w:r w:rsidRPr="00245109">
        <w:t>= P(K</w:t>
      </w:r>
      <w:r w:rsidRPr="00245109">
        <w:rPr>
          <w:vertAlign w:val="subscript"/>
        </w:rPr>
        <w:t>1</w:t>
      </w:r>
      <w:r w:rsidRPr="00245109">
        <w:t xml:space="preserve"> &lt; α</w:t>
      </w:r>
      <w:r w:rsidRPr="00245109">
        <w:rPr>
          <w:vertAlign w:val="subscript"/>
        </w:rPr>
        <w:t xml:space="preserve"> 1</w:t>
      </w:r>
      <w:r w:rsidRPr="00245109">
        <w:t>) + P(K</w:t>
      </w:r>
      <w:r w:rsidRPr="00245109">
        <w:rPr>
          <w:vertAlign w:val="subscript"/>
        </w:rPr>
        <w:t>2</w:t>
      </w:r>
      <w:r w:rsidRPr="00245109">
        <w:t xml:space="preserve"> </w:t>
      </w:r>
      <w:r w:rsidRPr="00245109">
        <w:rPr>
          <w:rFonts w:ascii="Symbol" w:hAnsi="Symbol"/>
        </w:rPr>
        <w:t></w:t>
      </w:r>
      <w:r w:rsidRPr="00245109">
        <w:t xml:space="preserve"> r-K</w:t>
      </w:r>
      <w:r w:rsidRPr="00245109">
        <w:rPr>
          <w:vertAlign w:val="subscript"/>
        </w:rPr>
        <w:t>1</w:t>
      </w:r>
      <w:r w:rsidRPr="00245109">
        <w:rPr>
          <w:rFonts w:ascii="Symbol" w:hAnsi="Symbol"/>
        </w:rPr>
        <w:t></w:t>
      </w:r>
      <w:r w:rsidRPr="00245109">
        <w:t>K</w:t>
      </w:r>
      <w:r w:rsidRPr="00245109">
        <w:rPr>
          <w:vertAlign w:val="subscript"/>
        </w:rPr>
        <w:t>1</w:t>
      </w:r>
      <w:r w:rsidRPr="00245109">
        <w:t>)</w:t>
      </w:r>
    </w:p>
    <w:p w:rsidR="00245109" w:rsidRPr="00245109" w:rsidRDefault="00245109" w:rsidP="00245109">
      <w:pPr>
        <w:framePr w:w="8835" w:hSpace="240" w:vSpace="240" w:wrap="auto" w:vAnchor="text" w:hAnchor="page" w:x="1725" w:y="-74"/>
        <w:pBdr>
          <w:top w:val="single" w:sz="6" w:space="5" w:color="FFFFFF"/>
          <w:left w:val="single" w:sz="6" w:space="5" w:color="FFFFFF"/>
          <w:bottom w:val="single" w:sz="6" w:space="5" w:color="FFFFFF"/>
          <w:right w:val="single" w:sz="6" w:space="5" w:color="FFFFFF"/>
        </w:pBdr>
        <w:jc w:val="center"/>
      </w:pPr>
    </w:p>
    <w:p w:rsidR="00245109" w:rsidRPr="00245109" w:rsidRDefault="00245109" w:rsidP="00245109">
      <w:pPr>
        <w:framePr w:w="8835" w:hSpace="240" w:vSpace="240" w:wrap="auto" w:vAnchor="text" w:hAnchor="page" w:x="1725" w:y="-74"/>
        <w:pBdr>
          <w:top w:val="single" w:sz="6" w:space="5" w:color="FFFFFF"/>
          <w:left w:val="single" w:sz="6" w:space="5" w:color="FFFFFF"/>
          <w:bottom w:val="single" w:sz="6" w:space="5" w:color="FFFFFF"/>
          <w:right w:val="single" w:sz="6" w:space="5" w:color="FFFFFF"/>
        </w:pBdr>
      </w:pPr>
      <w:r w:rsidRPr="00245109">
        <w:rPr>
          <w:position w:val="-32"/>
        </w:rPr>
        <w:object w:dxaOrig="6540" w:dyaOrig="740">
          <v:shape id="_x0000_i1026" type="#_x0000_t75" style="width:326.05pt;height:36.7pt" o:ole="" fillcolor="window">
            <v:imagedata r:id="rId14" o:title=""/>
          </v:shape>
          <o:OLEObject Type="Embed" ProgID="Equation.3" ShapeID="_x0000_i1026" DrawAspect="Content" ObjectID="_1599464520" r:id="rId15"/>
        </w:object>
      </w:r>
    </w:p>
    <w:p w:rsidR="00245109" w:rsidRPr="00245109" w:rsidRDefault="00245109" w:rsidP="00245109">
      <w:pPr>
        <w:rPr>
          <w:sz w:val="16"/>
        </w:rPr>
      </w:pPr>
    </w:p>
    <w:p w:rsidR="00245109" w:rsidRPr="00245109" w:rsidRDefault="00245109" w:rsidP="00245109">
      <w:pPr>
        <w:framePr w:w="8835" w:hSpace="240" w:vSpace="240" w:wrap="auto" w:vAnchor="text" w:hAnchor="margin" w:x="-2" w:y="37"/>
        <w:pBdr>
          <w:top w:val="single" w:sz="6" w:space="5" w:color="FFFFFF"/>
          <w:left w:val="single" w:sz="6" w:space="5" w:color="FFFFFF"/>
          <w:bottom w:val="single" w:sz="6" w:space="5" w:color="FFFFFF"/>
          <w:right w:val="single" w:sz="6" w:space="5" w:color="FFFFFF"/>
        </w:pBdr>
        <w:ind w:left="851"/>
      </w:pPr>
      <w:r w:rsidRPr="00245109">
        <w:rPr>
          <w:position w:val="-34"/>
        </w:rPr>
        <w:object w:dxaOrig="6540" w:dyaOrig="800">
          <v:shape id="_x0000_i1027" type="#_x0000_t75" style="width:326.05pt;height:40.1pt" o:ole="" fillcolor="window">
            <v:imagedata r:id="rId16" o:title=""/>
          </v:shape>
          <o:OLEObject Type="Embed" ProgID="Equation.3" ShapeID="_x0000_i1027" DrawAspect="Content" ObjectID="_1599464521" r:id="rId17"/>
        </w:object>
      </w:r>
    </w:p>
    <w:p w:rsidR="00245109" w:rsidRPr="00245109" w:rsidRDefault="00245109" w:rsidP="00245109">
      <w:r w:rsidRPr="00245109">
        <w:t xml:space="preserve">where </w:t>
      </w:r>
    </w:p>
    <w:p w:rsidR="00E13C80" w:rsidRDefault="00E13C80" w:rsidP="00245109">
      <w:pPr>
        <w:rPr>
          <w:i/>
          <w:szCs w:val="24"/>
        </w:rPr>
      </w:pPr>
    </w:p>
    <w:p w:rsidR="00245109" w:rsidRPr="00245109" w:rsidRDefault="00245109" w:rsidP="00245109">
      <w:r w:rsidRPr="00245109">
        <w:t>P</w:t>
      </w:r>
      <w:r w:rsidRPr="00245109">
        <w:tab/>
        <w:t>=</w:t>
      </w:r>
      <w:r w:rsidRPr="00245109">
        <w:tab/>
        <w:t>population standard</w:t>
      </w:r>
    </w:p>
    <w:p w:rsidR="00245109" w:rsidRPr="00245109" w:rsidRDefault="00245109" w:rsidP="00245109">
      <w:r w:rsidRPr="00245109">
        <w:t>α</w:t>
      </w:r>
      <w:r w:rsidRPr="00245109">
        <w:tab/>
        <w:t>=</w:t>
      </w:r>
      <w:r w:rsidRPr="00245109">
        <w:tab/>
        <w:t>probability of actual Type I error for P</w:t>
      </w:r>
    </w:p>
    <w:p w:rsidR="00245109" w:rsidRPr="00245109" w:rsidRDefault="00245109" w:rsidP="00245109">
      <w:r w:rsidRPr="00245109">
        <w:t>β</w:t>
      </w:r>
      <w:r w:rsidRPr="00245109">
        <w:rPr>
          <w:vertAlign w:val="subscript"/>
        </w:rPr>
        <w:t>q</w:t>
      </w:r>
      <w:r w:rsidRPr="00245109">
        <w:tab/>
        <w:t>=</w:t>
      </w:r>
      <w:r w:rsidRPr="00245109">
        <w:tab/>
        <w:t>probability of actual Type II error for q P</w:t>
      </w:r>
    </w:p>
    <w:p w:rsidR="00245109" w:rsidRPr="00245109" w:rsidRDefault="00245109" w:rsidP="00245109">
      <w:r w:rsidRPr="00245109">
        <w:t>n</w:t>
      </w:r>
      <w:r w:rsidRPr="00245109">
        <w:rPr>
          <w:vertAlign w:val="subscript"/>
        </w:rPr>
        <w:t>e</w:t>
      </w:r>
      <w:r w:rsidRPr="00245109">
        <w:tab/>
        <w:t>=</w:t>
      </w:r>
      <w:r w:rsidRPr="00245109">
        <w:tab/>
        <w:t>expected sample size</w:t>
      </w:r>
    </w:p>
    <w:p w:rsidR="00245109" w:rsidRPr="00245109" w:rsidRDefault="00245109" w:rsidP="00245109">
      <w:r w:rsidRPr="00245109">
        <w:t>r</w:t>
      </w:r>
      <w:r w:rsidRPr="00245109">
        <w:rPr>
          <w:vertAlign w:val="subscript"/>
        </w:rPr>
        <w:t>1</w:t>
      </w:r>
      <w:r w:rsidRPr="00245109">
        <w:t>, a</w:t>
      </w:r>
      <w:r w:rsidRPr="00245109">
        <w:rPr>
          <w:vertAlign w:val="subscript"/>
        </w:rPr>
        <w:t>1</w:t>
      </w:r>
      <w:r w:rsidRPr="00245109">
        <w:t xml:space="preserve"> and </w:t>
      </w:r>
      <w:proofErr w:type="spellStart"/>
      <w:r w:rsidRPr="00245109">
        <w:t>r are</w:t>
      </w:r>
      <w:proofErr w:type="spellEnd"/>
      <w:r w:rsidRPr="00245109">
        <w:t xml:space="preserve"> decision-parameters</w:t>
      </w:r>
    </w:p>
    <w:p w:rsidR="00245109" w:rsidRPr="00245109" w:rsidRDefault="00245109" w:rsidP="00245109">
      <w:proofErr w:type="spellStart"/>
      <w:r w:rsidRPr="00245109">
        <w:t>P</w:t>
      </w:r>
      <w:r w:rsidRPr="00245109">
        <w:rPr>
          <w:vertAlign w:val="subscript"/>
        </w:rPr>
        <w:t>q</w:t>
      </w:r>
      <w:proofErr w:type="spellEnd"/>
      <w:r w:rsidRPr="00245109">
        <w:tab/>
        <w:t>=</w:t>
      </w:r>
      <w:r w:rsidRPr="00245109">
        <w:tab/>
        <w:t>q times population standard = q P</w:t>
      </w:r>
    </w:p>
    <w:p w:rsidR="00245109" w:rsidRPr="00245109" w:rsidRDefault="00245109" w:rsidP="00245109">
      <w:r w:rsidRPr="00245109">
        <w:t>K</w:t>
      </w:r>
      <w:r w:rsidRPr="00245109">
        <w:rPr>
          <w:vertAlign w:val="subscript"/>
        </w:rPr>
        <w:t>1</w:t>
      </w:r>
      <w:r w:rsidRPr="00245109">
        <w:t xml:space="preserve"> and K</w:t>
      </w:r>
      <w:r w:rsidRPr="00245109">
        <w:rPr>
          <w:vertAlign w:val="subscript"/>
        </w:rPr>
        <w:t>2</w:t>
      </w:r>
      <w:r w:rsidRPr="00245109">
        <w:t xml:space="preserve"> are the numbers of off-types found in years 1 and 2 respectively.</w:t>
      </w:r>
    </w:p>
    <w:p w:rsidR="00245109" w:rsidRPr="00245109" w:rsidRDefault="00245109" w:rsidP="00245109"/>
    <w:p w:rsidR="00245109" w:rsidRPr="00245109" w:rsidRDefault="00245109" w:rsidP="00245109">
      <w:r w:rsidRPr="00245109">
        <w:t>The decision parameters, a</w:t>
      </w:r>
      <w:r w:rsidRPr="00245109">
        <w:rPr>
          <w:vertAlign w:val="subscript"/>
        </w:rPr>
        <w:t>1</w:t>
      </w:r>
      <w:r w:rsidRPr="00245109">
        <w:t>, r</w:t>
      </w:r>
      <w:r w:rsidRPr="00245109">
        <w:rPr>
          <w:vertAlign w:val="subscript"/>
        </w:rPr>
        <w:t>1</w:t>
      </w:r>
      <w:r w:rsidRPr="00245109">
        <w:t xml:space="preserve"> and r, may be chosen according to the following criteria:</w:t>
      </w:r>
    </w:p>
    <w:p w:rsidR="00245109" w:rsidRPr="00245109" w:rsidRDefault="00245109" w:rsidP="00245109">
      <w:pPr>
        <w:ind w:left="339" w:hanging="339"/>
        <w:rPr>
          <w:sz w:val="16"/>
        </w:rPr>
      </w:pPr>
    </w:p>
    <w:p w:rsidR="00245109" w:rsidRPr="00245109" w:rsidRDefault="00245109" w:rsidP="00245109">
      <w:pPr>
        <w:numPr>
          <w:ilvl w:val="0"/>
          <w:numId w:val="1"/>
        </w:numPr>
      </w:pPr>
      <w:r w:rsidRPr="00245109">
        <w:t>α must be less than α</w:t>
      </w:r>
      <w:r w:rsidRPr="00245109">
        <w:rPr>
          <w:vertAlign w:val="subscript"/>
        </w:rPr>
        <w:t>0</w:t>
      </w:r>
      <w:r w:rsidRPr="00245109">
        <w:t>, where α</w:t>
      </w:r>
      <w:r w:rsidRPr="00245109">
        <w:rPr>
          <w:vertAlign w:val="subscript"/>
        </w:rPr>
        <w:t>0</w:t>
      </w:r>
      <w:r w:rsidRPr="00245109">
        <w:t xml:space="preserve"> is the maximum Type I error, i.e. α</w:t>
      </w:r>
      <w:r w:rsidRPr="00245109">
        <w:rPr>
          <w:vertAlign w:val="subscript"/>
        </w:rPr>
        <w:t>0</w:t>
      </w:r>
      <w:r w:rsidRPr="00245109">
        <w:t xml:space="preserve"> is 100 minus the required acceptance probability</w:t>
      </w:r>
    </w:p>
    <w:p w:rsidR="00245109" w:rsidRPr="00245109" w:rsidRDefault="00245109" w:rsidP="00245109">
      <w:pPr>
        <w:numPr>
          <w:ilvl w:val="0"/>
          <w:numId w:val="1"/>
        </w:numPr>
      </w:pPr>
      <w:r w:rsidRPr="00245109">
        <w:t>β</w:t>
      </w:r>
      <w:r w:rsidRPr="00245109">
        <w:rPr>
          <w:vertAlign w:val="subscript"/>
        </w:rPr>
        <w:t>q</w:t>
      </w:r>
      <w:r w:rsidRPr="00245109">
        <w:t xml:space="preserve"> (for q=5) should be as small as possible but not smaller than α</w:t>
      </w:r>
      <w:r w:rsidRPr="00245109">
        <w:rPr>
          <w:vertAlign w:val="subscript"/>
        </w:rPr>
        <w:t>0</w:t>
      </w:r>
    </w:p>
    <w:p w:rsidR="00245109" w:rsidRPr="00245109" w:rsidRDefault="00245109" w:rsidP="00245109">
      <w:pPr>
        <w:numPr>
          <w:ilvl w:val="0"/>
          <w:numId w:val="1"/>
        </w:numPr>
      </w:pPr>
      <w:r w:rsidRPr="00245109">
        <w:t>if β</w:t>
      </w:r>
      <w:r w:rsidRPr="00245109">
        <w:rPr>
          <w:vertAlign w:val="subscript"/>
        </w:rPr>
        <w:t>q</w:t>
      </w:r>
      <w:r w:rsidRPr="00245109">
        <w:t xml:space="preserve"> (for q=5) &lt; α</w:t>
      </w:r>
      <w:r w:rsidRPr="00245109">
        <w:rPr>
          <w:vertAlign w:val="subscript"/>
        </w:rPr>
        <w:t xml:space="preserve">0 </w:t>
      </w:r>
      <w:r w:rsidRPr="00245109">
        <w:t>n</w:t>
      </w:r>
      <w:r w:rsidRPr="00245109">
        <w:rPr>
          <w:vertAlign w:val="subscript"/>
        </w:rPr>
        <w:t>e</w:t>
      </w:r>
      <w:r w:rsidRPr="00245109">
        <w:t xml:space="preserve"> should be as small as possible</w:t>
      </w:r>
      <w:r w:rsidRPr="00245109">
        <w:rPr>
          <w:rFonts w:ascii="Greek Symbols" w:hAnsi="Greek Symbols"/>
        </w:rPr>
        <w:t></w:t>
      </w:r>
    </w:p>
    <w:p w:rsidR="00245109" w:rsidRPr="00245109" w:rsidRDefault="00245109" w:rsidP="00245109"/>
    <w:p w:rsidR="00245109" w:rsidRPr="00245109" w:rsidRDefault="00245109" w:rsidP="00245109">
      <w:r w:rsidRPr="00245109">
        <w:t>8.1.7.3.2</w:t>
      </w:r>
      <w:r w:rsidRPr="00245109">
        <w:tab/>
        <w:t>However, other strategies are available.  No tables/figures are produced here as there may be several different decision schemes that satisfy a certain set of risks.  It is suggested that a statistician should be consulted if a 2-stage test (or any other sequential tests) is required.</w:t>
      </w:r>
    </w:p>
    <w:p w:rsidR="00245109" w:rsidRPr="00245109" w:rsidRDefault="00245109" w:rsidP="00245109"/>
    <w:p w:rsidR="00245109" w:rsidRPr="00245109" w:rsidRDefault="00245109" w:rsidP="00245109">
      <w:pPr>
        <w:keepNext/>
        <w:spacing w:after="240"/>
        <w:ind w:left="1701" w:hanging="1134"/>
        <w:jc w:val="left"/>
        <w:outlineLvl w:val="4"/>
        <w:rPr>
          <w:i/>
          <w:szCs w:val="18"/>
        </w:rPr>
      </w:pPr>
      <w:bookmarkStart w:id="32" w:name="_Toc154368854"/>
      <w:bookmarkStart w:id="33" w:name="_Toc219640841"/>
      <w:bookmarkStart w:id="34" w:name="_Toc463359625"/>
      <w:r w:rsidRPr="00245109">
        <w:rPr>
          <w:i/>
          <w:szCs w:val="18"/>
        </w:rPr>
        <w:t>8.1.7.4</w:t>
      </w:r>
      <w:r w:rsidRPr="00245109">
        <w:rPr>
          <w:i/>
          <w:szCs w:val="18"/>
        </w:rPr>
        <w:tab/>
        <w:t>Sequential tests</w:t>
      </w:r>
      <w:bookmarkEnd w:id="32"/>
      <w:bookmarkEnd w:id="33"/>
      <w:bookmarkEnd w:id="34"/>
    </w:p>
    <w:p w:rsidR="00245109" w:rsidRPr="00245109" w:rsidRDefault="00245109" w:rsidP="00245109">
      <w:r w:rsidRPr="00245109">
        <w:t>The two-stage test mentioned above is a type of sequential test where the result of the first stage determines whether the test needs to be continued for a second stage.  Other types of sequential tests may also be applicable.  It may be relevant to consider such tests when the practical work allows analyses of off-types to be carried out at certain stages of the examination.  The decision schemes for such methods can be set up in many different ways and it is suggested that a statistician should be consulted when seq</w:t>
      </w:r>
      <w:r w:rsidR="00E13C80">
        <w:t>uential methods are to be used.</w:t>
      </w:r>
    </w:p>
    <w:p w:rsidR="00245109" w:rsidRPr="00245109" w:rsidRDefault="00245109" w:rsidP="00245109"/>
    <w:p w:rsidR="00245109" w:rsidRPr="00245109" w:rsidRDefault="00245109" w:rsidP="00245109"/>
    <w:p w:rsidR="00245109" w:rsidRPr="00E13C80" w:rsidRDefault="00245109" w:rsidP="00E13C80"/>
    <w:p w:rsidR="00245109" w:rsidRPr="00245109" w:rsidRDefault="00245109" w:rsidP="0089512B">
      <w:pPr>
        <w:jc w:val="right"/>
      </w:pPr>
      <w:r w:rsidRPr="00245109">
        <w:t xml:space="preserve"> [Annex II follows]</w:t>
      </w:r>
    </w:p>
    <w:p w:rsidR="00245109" w:rsidRPr="00245109" w:rsidRDefault="00245109" w:rsidP="0089512B">
      <w:pPr>
        <w:jc w:val="right"/>
        <w:sectPr w:rsidR="00245109" w:rsidRPr="00245109" w:rsidSect="00E22148">
          <w:headerReference w:type="even" r:id="rId18"/>
          <w:headerReference w:type="default" r:id="rId19"/>
          <w:footerReference w:type="even" r:id="rId20"/>
          <w:footerReference w:type="default" r:id="rId21"/>
          <w:headerReference w:type="first" r:id="rId22"/>
          <w:footerReference w:type="first" r:id="rId23"/>
          <w:pgSz w:w="11907" w:h="16840" w:code="9"/>
          <w:pgMar w:top="510" w:right="1134" w:bottom="1134" w:left="1134" w:header="510" w:footer="680" w:gutter="0"/>
          <w:pgNumType w:start="1"/>
          <w:cols w:space="720"/>
          <w:titlePg/>
        </w:sectPr>
      </w:pPr>
    </w:p>
    <w:p w:rsidR="00245109" w:rsidRPr="00245109" w:rsidRDefault="00245109" w:rsidP="00245109">
      <w:pPr>
        <w:ind w:left="-567" w:right="-567"/>
        <w:rPr>
          <w:rFonts w:cs="Arial"/>
          <w:caps/>
          <w:snapToGrid w:val="0"/>
        </w:rPr>
      </w:pPr>
    </w:p>
    <w:p w:rsidR="00245109" w:rsidRPr="00245109" w:rsidRDefault="00245109" w:rsidP="00245109">
      <w:pPr>
        <w:ind w:left="-567" w:right="-567"/>
        <w:rPr>
          <w:rFonts w:cs="Arial"/>
          <w:caps/>
          <w:snapToGrid w:val="0"/>
        </w:rPr>
      </w:pPr>
    </w:p>
    <w:p w:rsidR="00245109" w:rsidRPr="00245109" w:rsidRDefault="00245109" w:rsidP="0091199F">
      <w:pPr>
        <w:jc w:val="center"/>
        <w:rPr>
          <w:caps/>
        </w:rPr>
      </w:pPr>
      <w:r w:rsidRPr="00245109">
        <w:rPr>
          <w:rFonts w:cs="Arial"/>
          <w:caps/>
          <w:snapToGrid w:val="0"/>
        </w:rPr>
        <w:t>draft proposal for the revision of document TGP/8</w:t>
      </w:r>
      <w:r w:rsidRPr="00245109">
        <w:rPr>
          <w:rFonts w:eastAsia="PMingLiU"/>
          <w:caps/>
          <w:lang w:val="en-GB"/>
        </w:rPr>
        <w:t xml:space="preserve">: Part II: Section 8: </w:t>
      </w:r>
      <w:r w:rsidR="00E13C80">
        <w:rPr>
          <w:rFonts w:eastAsia="PMingLiU"/>
          <w:caps/>
          <w:lang w:val="en-GB"/>
        </w:rPr>
        <w:br/>
      </w:r>
      <w:r w:rsidRPr="00245109">
        <w:rPr>
          <w:rFonts w:eastAsia="PMingLiU"/>
          <w:caps/>
          <w:lang w:val="en-GB"/>
        </w:rPr>
        <w:t>“</w:t>
      </w:r>
      <w:r w:rsidRPr="00245109">
        <w:rPr>
          <w:rFonts w:eastAsia="PMingLiU"/>
          <w:caps/>
        </w:rPr>
        <w:t>THE METHOD OF UNIFORMITY ASSESSMENT ON THE BASIS OF OFF</w:t>
      </w:r>
      <w:r w:rsidRPr="00245109">
        <w:rPr>
          <w:rFonts w:eastAsia="PMingLiU"/>
          <w:caps/>
        </w:rPr>
        <w:noBreakHyphen/>
        <w:t>TYPES”</w:t>
      </w:r>
      <w:bookmarkStart w:id="35" w:name="ANN2"/>
      <w:bookmarkEnd w:id="35"/>
    </w:p>
    <w:p w:rsidR="00245109" w:rsidRPr="00245109" w:rsidRDefault="00245109" w:rsidP="00245109">
      <w:pPr>
        <w:rPr>
          <w:rFonts w:eastAsia="Calibri"/>
        </w:rPr>
      </w:pPr>
    </w:p>
    <w:p w:rsidR="00245109" w:rsidRPr="00245109" w:rsidRDefault="00245109" w:rsidP="00245109">
      <w:pPr>
        <w:tabs>
          <w:tab w:val="left" w:pos="1134"/>
        </w:tabs>
        <w:rPr>
          <w:rFonts w:cs="Arial"/>
          <w:i/>
        </w:rPr>
      </w:pPr>
      <w:r w:rsidRPr="00245109">
        <w:rPr>
          <w:rFonts w:cs="Arial"/>
        </w:rPr>
        <w:t>8.1.7</w:t>
      </w:r>
      <w:r w:rsidRPr="00245109">
        <w:rPr>
          <w:rFonts w:cs="Arial"/>
        </w:rPr>
        <w:tab/>
      </w:r>
      <w:r w:rsidRPr="00245109">
        <w:rPr>
          <w:rFonts w:cs="Arial"/>
          <w:i/>
        </w:rPr>
        <w:t>Method for more than one single growing cycle</w:t>
      </w:r>
    </w:p>
    <w:p w:rsidR="00245109" w:rsidRPr="00245109" w:rsidRDefault="00245109" w:rsidP="00245109">
      <w:pPr>
        <w:rPr>
          <w:rFonts w:cs="Arial"/>
        </w:rPr>
      </w:pPr>
    </w:p>
    <w:p w:rsidR="00245109" w:rsidRPr="00245109" w:rsidRDefault="00245109" w:rsidP="00245109">
      <w:pPr>
        <w:rPr>
          <w:rFonts w:eastAsia="Calibri" w:cs="Arial"/>
          <w:lang w:val="en-GB"/>
        </w:rPr>
      </w:pPr>
      <w:r w:rsidRPr="00245109">
        <w:rPr>
          <w:rFonts w:eastAsia="Calibri" w:cs="Arial"/>
          <w:lang w:val="en-GB"/>
        </w:rPr>
        <w:t>8.1.7.1.</w:t>
      </w:r>
      <w:r w:rsidRPr="00245109">
        <w:rPr>
          <w:rFonts w:eastAsia="Calibri" w:cs="Arial"/>
          <w:lang w:val="en-GB"/>
        </w:rPr>
        <w:tab/>
        <w:t>Often a candidate variety is assessed in two growing cycles.  The question then arises of how to combine the information from the individual cycles in order to make a decision on uniformity.  Three approaches are described:</w:t>
      </w:r>
    </w:p>
    <w:p w:rsidR="00245109" w:rsidRPr="00245109" w:rsidRDefault="00245109" w:rsidP="00245109">
      <w:pPr>
        <w:rPr>
          <w:rFonts w:cs="Arial"/>
        </w:rPr>
      </w:pPr>
    </w:p>
    <w:p w:rsidR="00245109" w:rsidRPr="00245109" w:rsidRDefault="00245109" w:rsidP="00245109">
      <w:pPr>
        <w:ind w:left="567"/>
        <w:rPr>
          <w:rFonts w:eastAsia="Calibri" w:cs="Arial"/>
          <w:lang w:val="en-GB"/>
        </w:rPr>
      </w:pPr>
      <w:r w:rsidRPr="00245109">
        <w:rPr>
          <w:rFonts w:eastAsia="Calibri" w:cs="Arial"/>
          <w:lang w:val="en-GB"/>
        </w:rPr>
        <w:tab/>
        <w:t>(a)</w:t>
      </w:r>
      <w:r w:rsidRPr="00245109">
        <w:rPr>
          <w:rFonts w:eastAsia="Calibri" w:cs="Arial"/>
          <w:lang w:val="en-GB"/>
        </w:rPr>
        <w:tab/>
        <w:t>The uniformity for a variety is considered separately in each cycle. If the verdicts are the same, then the overall decision is based on this common result. However, if the variety is within the uniformity standard in one growing cycle but is not within the uniformity standard in the other growing cycle, then uniformity is assessed in a third growing cycle. In this case, the overall decision is based on the uniformity assessment for the third cycle.</w:t>
      </w:r>
    </w:p>
    <w:p w:rsidR="00245109" w:rsidRPr="00245109" w:rsidRDefault="00245109" w:rsidP="00245109">
      <w:pPr>
        <w:ind w:left="567"/>
        <w:rPr>
          <w:rFonts w:eastAsia="Calibri" w:cs="Arial"/>
          <w:lang w:val="en-GB"/>
        </w:rPr>
      </w:pPr>
    </w:p>
    <w:p w:rsidR="00245109" w:rsidRPr="00245109" w:rsidRDefault="00245109" w:rsidP="00245109">
      <w:pPr>
        <w:ind w:left="567"/>
        <w:rPr>
          <w:rFonts w:eastAsia="Calibri" w:cs="Arial"/>
          <w:lang w:val="en-GB"/>
        </w:rPr>
      </w:pPr>
      <w:r w:rsidRPr="00245109">
        <w:rPr>
          <w:rFonts w:eastAsia="Calibri" w:cs="Arial"/>
          <w:lang w:val="en-GB"/>
        </w:rPr>
        <w:tab/>
        <w:t>(b)</w:t>
      </w:r>
      <w:r w:rsidRPr="00245109">
        <w:rPr>
          <w:rFonts w:eastAsia="Calibri" w:cs="Arial"/>
          <w:lang w:val="en-GB"/>
        </w:rPr>
        <w:tab/>
        <w:t>The uniformity for a variety is considered separately in each cycle. If the verdicts are the same, then the overall decision is based on this common result. However, if the variety is within the uniformity standard in one growing cycle but is not within the uniformity standard in the other growing cycle, then the information from the two cycles is combined. In this case, if the total number of off-types at the end of the two growing cycles does not exceed the number of allowed off-types for the combined sample size then the variety is considered uniform.</w:t>
      </w:r>
    </w:p>
    <w:p w:rsidR="00245109" w:rsidRPr="00245109" w:rsidRDefault="00245109" w:rsidP="00245109">
      <w:pPr>
        <w:ind w:left="567"/>
        <w:rPr>
          <w:rFonts w:eastAsia="Calibri" w:cs="Arial"/>
          <w:lang w:val="en-GB"/>
        </w:rPr>
      </w:pPr>
    </w:p>
    <w:p w:rsidR="00245109" w:rsidRPr="00245109" w:rsidRDefault="00245109" w:rsidP="00245109">
      <w:pPr>
        <w:ind w:left="567"/>
        <w:rPr>
          <w:rFonts w:eastAsia="Calibri" w:cs="Arial"/>
          <w:lang w:val="en-GB"/>
        </w:rPr>
      </w:pPr>
      <w:r w:rsidRPr="00245109">
        <w:rPr>
          <w:rFonts w:eastAsia="Calibri" w:cs="Arial"/>
          <w:lang w:val="en-GB"/>
        </w:rPr>
        <w:tab/>
        <w:t>(c)</w:t>
      </w:r>
      <w:r w:rsidRPr="00245109">
        <w:rPr>
          <w:rFonts w:eastAsia="Calibri" w:cs="Arial"/>
          <w:lang w:val="en-GB"/>
        </w:rPr>
        <w:tab/>
        <w:t>The information on uniformity for a variety is combined over the two cycles.  If the total number of off types at the end of the two growing cycles does not exceed the number of allowed off-types for the combined sample size then the variety is considered uniform.</w:t>
      </w:r>
    </w:p>
    <w:p w:rsidR="00245109" w:rsidRPr="00245109" w:rsidRDefault="00245109" w:rsidP="00245109">
      <w:pPr>
        <w:rPr>
          <w:rFonts w:eastAsia="Calibri" w:cs="Arial"/>
          <w:lang w:val="en-GB"/>
        </w:rPr>
      </w:pPr>
    </w:p>
    <w:p w:rsidR="00245109" w:rsidRPr="00245109" w:rsidRDefault="00245109" w:rsidP="00245109">
      <w:pPr>
        <w:rPr>
          <w:rFonts w:eastAsia="Calibri" w:cs="Arial"/>
          <w:lang w:val="en-GB"/>
        </w:rPr>
      </w:pPr>
      <w:r w:rsidRPr="00245109">
        <w:rPr>
          <w:rFonts w:eastAsia="Calibri" w:cs="Arial"/>
          <w:lang w:val="en-GB"/>
        </w:rPr>
        <w:t>For all three approaches, if in the first growing cycle a variety exceeds a predefined upper limit of off-types the variety may be rejected after a single growing cycle.</w:t>
      </w:r>
    </w:p>
    <w:p w:rsidR="00245109" w:rsidRPr="00245109" w:rsidRDefault="00245109" w:rsidP="00245109">
      <w:pPr>
        <w:rPr>
          <w:rFonts w:eastAsia="Calibri" w:cs="Arial"/>
          <w:lang w:val="en-GB"/>
        </w:rPr>
      </w:pPr>
    </w:p>
    <w:p w:rsidR="00245109" w:rsidRPr="00245109" w:rsidRDefault="00245109" w:rsidP="00245109">
      <w:pPr>
        <w:rPr>
          <w:rFonts w:eastAsia="Calibri" w:cs="Arial"/>
          <w:lang w:val="en-GB"/>
        </w:rPr>
      </w:pPr>
      <w:r w:rsidRPr="00245109">
        <w:rPr>
          <w:rFonts w:eastAsia="Calibri" w:cs="Arial"/>
          <w:lang w:val="en-GB"/>
        </w:rPr>
        <w:t>8.1.7.2</w:t>
      </w:r>
      <w:r w:rsidRPr="00245109">
        <w:rPr>
          <w:rFonts w:eastAsia="Calibri" w:cs="Arial"/>
          <w:lang w:val="en-GB"/>
        </w:rPr>
        <w:tab/>
        <w:t>These three approaches are described in greater detail in document TGP/10 “Examining Uniformity”.  The risks associated with different approaches can be calculated according to the principles described in this Section. Calculations of risks can be complex</w:t>
      </w:r>
      <w:r w:rsidRPr="00245109">
        <w:rPr>
          <w:rFonts w:eastAsia="Calibri" w:cs="Arial"/>
        </w:rPr>
        <w:t xml:space="preserve"> and it is advisable to consult a statistician. </w:t>
      </w:r>
    </w:p>
    <w:p w:rsidR="00245109" w:rsidRPr="00245109" w:rsidRDefault="00245109" w:rsidP="00245109">
      <w:pPr>
        <w:rPr>
          <w:rFonts w:cs="Arial"/>
          <w:lang w:eastAsia="ja-JP" w:bidi="th-TH"/>
        </w:rPr>
      </w:pPr>
    </w:p>
    <w:p w:rsidR="00245109" w:rsidRPr="00245109" w:rsidRDefault="00245109" w:rsidP="00245109">
      <w:pPr>
        <w:tabs>
          <w:tab w:val="left" w:pos="1134"/>
        </w:tabs>
        <w:rPr>
          <w:rFonts w:eastAsia="Calibri" w:cs="Arial"/>
          <w:lang w:val="en-GB"/>
        </w:rPr>
      </w:pPr>
      <w:r w:rsidRPr="00245109">
        <w:rPr>
          <w:rFonts w:eastAsia="Calibri" w:cs="Arial"/>
          <w:lang w:val="en-GB"/>
        </w:rPr>
        <w:t>8.1.8</w:t>
      </w:r>
      <w:r w:rsidRPr="00245109">
        <w:rPr>
          <w:rFonts w:eastAsia="Calibri" w:cs="Arial"/>
          <w:lang w:val="en-GB"/>
        </w:rPr>
        <w:tab/>
      </w:r>
      <w:r w:rsidRPr="00245109">
        <w:rPr>
          <w:rFonts w:eastAsia="Calibri" w:cs="Arial"/>
          <w:i/>
          <w:lang w:val="en-GB"/>
        </w:rPr>
        <w:t>Assessing uniformity on the basis of subsamples within a single test or tria</w:t>
      </w:r>
      <w:r w:rsidRPr="00245109">
        <w:rPr>
          <w:rFonts w:eastAsia="Calibri" w:cs="Arial"/>
          <w:lang w:val="en-GB"/>
        </w:rPr>
        <w:t>l</w:t>
      </w:r>
    </w:p>
    <w:p w:rsidR="00245109" w:rsidRPr="00245109" w:rsidRDefault="00245109" w:rsidP="00245109">
      <w:pPr>
        <w:tabs>
          <w:tab w:val="left" w:pos="1134"/>
        </w:tabs>
        <w:rPr>
          <w:rFonts w:eastAsia="Calibri" w:cs="Arial"/>
          <w:lang w:val="en-GB"/>
        </w:rPr>
      </w:pPr>
    </w:p>
    <w:p w:rsidR="00245109" w:rsidRPr="00245109" w:rsidRDefault="00245109" w:rsidP="00245109">
      <w:pPr>
        <w:rPr>
          <w:rFonts w:eastAsia="Calibri" w:cs="Arial"/>
        </w:rPr>
      </w:pPr>
      <w:r w:rsidRPr="00245109">
        <w:rPr>
          <w:rFonts w:eastAsia="Calibri" w:cs="Arial"/>
          <w:lang w:val="en-GB"/>
        </w:rPr>
        <w:t>8.1.8.1</w:t>
      </w:r>
      <w:r w:rsidRPr="00245109">
        <w:rPr>
          <w:rFonts w:eastAsia="Calibri" w:cs="Arial"/>
        </w:rPr>
        <w:tab/>
        <w:t>Sometimes it may be possible to reduce the costs of off-type assessment by carrying it out in two stages. First a sub-sample of plants is examined. Based on the number of off-types in the sub-sample, either a verdict on uniformity is reached or (secondly) the whole sample of plants is examined.</w:t>
      </w:r>
    </w:p>
    <w:p w:rsidR="00245109" w:rsidRPr="00245109" w:rsidRDefault="00245109" w:rsidP="00245109">
      <w:pPr>
        <w:rPr>
          <w:rFonts w:eastAsia="Calibri" w:cs="Arial"/>
          <w:lang w:val="en-GB"/>
        </w:rPr>
      </w:pPr>
    </w:p>
    <w:p w:rsidR="00245109" w:rsidRPr="00245109" w:rsidRDefault="00245109" w:rsidP="00245109">
      <w:pPr>
        <w:rPr>
          <w:rFonts w:eastAsia="Calibri" w:cs="Arial"/>
        </w:rPr>
      </w:pPr>
      <w:r w:rsidRPr="00245109">
        <w:rPr>
          <w:rFonts w:eastAsia="Calibri" w:cs="Arial"/>
        </w:rPr>
        <w:t xml:space="preserve">8.1.8.2 </w:t>
      </w:r>
      <w:r w:rsidRPr="00245109">
        <w:rPr>
          <w:rFonts w:eastAsia="Calibri" w:cs="Arial"/>
        </w:rPr>
        <w:tab/>
        <w:t>A variety is considered uniform if the number of off-types does not exceed a predefined lower limit in the sub sample.</w:t>
      </w:r>
    </w:p>
    <w:p w:rsidR="00245109" w:rsidRPr="00245109" w:rsidRDefault="00245109" w:rsidP="00245109">
      <w:pPr>
        <w:rPr>
          <w:rFonts w:eastAsia="Calibri" w:cs="Arial"/>
        </w:rPr>
      </w:pPr>
    </w:p>
    <w:p w:rsidR="00245109" w:rsidRPr="00245109" w:rsidRDefault="00245109" w:rsidP="00245109">
      <w:pPr>
        <w:rPr>
          <w:rFonts w:eastAsia="Calibri" w:cs="Arial"/>
        </w:rPr>
      </w:pPr>
      <w:r w:rsidRPr="00245109">
        <w:rPr>
          <w:rFonts w:eastAsia="Calibri" w:cs="Arial"/>
        </w:rPr>
        <w:t>8.1.8.3</w:t>
      </w:r>
      <w:r w:rsidRPr="00245109">
        <w:rPr>
          <w:rFonts w:eastAsia="Calibri" w:cs="Arial"/>
        </w:rPr>
        <w:tab/>
        <w:t>A variety is considered non–uniform if the number of off-types exceeds a predefined upper limit in the sub sample.</w:t>
      </w:r>
    </w:p>
    <w:p w:rsidR="00245109" w:rsidRPr="00245109" w:rsidRDefault="00245109" w:rsidP="00245109">
      <w:pPr>
        <w:rPr>
          <w:rFonts w:eastAsia="Calibri" w:cs="Arial"/>
        </w:rPr>
      </w:pPr>
    </w:p>
    <w:p w:rsidR="00245109" w:rsidRPr="00245109" w:rsidRDefault="00245109" w:rsidP="00245109">
      <w:pPr>
        <w:rPr>
          <w:rFonts w:eastAsia="Calibri" w:cs="Arial"/>
        </w:rPr>
      </w:pPr>
      <w:r w:rsidRPr="00245109">
        <w:rPr>
          <w:rFonts w:eastAsia="Calibri" w:cs="Arial"/>
        </w:rPr>
        <w:t>8.1.8.4</w:t>
      </w:r>
      <w:r w:rsidRPr="00245109">
        <w:rPr>
          <w:rFonts w:eastAsia="Calibri" w:cs="Arial"/>
        </w:rPr>
        <w:tab/>
        <w:t xml:space="preserve">If the number of off-types is between the predefined lower and upper limits, the whole sample is assessed. </w:t>
      </w:r>
    </w:p>
    <w:p w:rsidR="00245109" w:rsidRPr="00245109" w:rsidRDefault="00245109" w:rsidP="00245109">
      <w:pPr>
        <w:rPr>
          <w:rFonts w:eastAsia="Calibri" w:cs="Arial"/>
          <w:lang w:val="en-GB"/>
        </w:rPr>
      </w:pPr>
    </w:p>
    <w:p w:rsidR="00245109" w:rsidRPr="00245109" w:rsidRDefault="00245109" w:rsidP="00245109">
      <w:pPr>
        <w:rPr>
          <w:rFonts w:eastAsia="Calibri" w:cs="Arial"/>
        </w:rPr>
      </w:pPr>
      <w:r w:rsidRPr="00245109">
        <w:rPr>
          <w:rFonts w:eastAsia="Calibri" w:cs="Arial"/>
        </w:rPr>
        <w:t>8.1.8.5</w:t>
      </w:r>
      <w:r w:rsidRPr="00245109">
        <w:rPr>
          <w:rFonts w:eastAsia="Calibri" w:cs="Arial"/>
        </w:rPr>
        <w:tab/>
        <w:t xml:space="preserve">The predefined lower upper limits should be set considering comparable Type I and Type II errors in the sub sample and the whole sample. Setting up such two-stage tests is complex, and it is advisable to consult a statistician. </w:t>
      </w:r>
    </w:p>
    <w:p w:rsidR="00245109" w:rsidRPr="00245109" w:rsidRDefault="00245109" w:rsidP="00245109">
      <w:pPr>
        <w:rPr>
          <w:rFonts w:eastAsia="Calibri" w:cs="Arial"/>
        </w:rPr>
      </w:pPr>
    </w:p>
    <w:p w:rsidR="00245109" w:rsidRPr="00245109" w:rsidRDefault="00245109" w:rsidP="00245109">
      <w:pPr>
        <w:rPr>
          <w:rFonts w:eastAsia="Calibri" w:cs="Arial"/>
        </w:rPr>
      </w:pPr>
    </w:p>
    <w:p w:rsidR="00245109" w:rsidRPr="00245109" w:rsidRDefault="00245109" w:rsidP="00245109">
      <w:pPr>
        <w:rPr>
          <w:rFonts w:eastAsia="Calibri" w:cs="Arial"/>
        </w:rPr>
      </w:pPr>
    </w:p>
    <w:p w:rsidR="00245109" w:rsidRPr="00245109" w:rsidRDefault="00245109" w:rsidP="00245109">
      <w:pPr>
        <w:jc w:val="right"/>
        <w:rPr>
          <w:rFonts w:eastAsia="Calibri" w:cs="Arial"/>
          <w:lang w:val="en-GB"/>
        </w:rPr>
      </w:pPr>
      <w:r w:rsidRPr="00245109">
        <w:rPr>
          <w:rFonts w:eastAsia="Calibri" w:cs="Arial"/>
        </w:rPr>
        <w:t>[End of Annex II and of document]</w:t>
      </w:r>
    </w:p>
    <w:p w:rsidR="00050E16" w:rsidRPr="00C5280D" w:rsidRDefault="00050E16" w:rsidP="009B440E">
      <w:pPr>
        <w:jc w:val="left"/>
      </w:pPr>
    </w:p>
    <w:sectPr w:rsidR="00050E16" w:rsidRPr="00C5280D" w:rsidSect="00906DDC">
      <w:headerReference w:type="default" r:id="rId24"/>
      <w:headerReference w:type="first" r:id="rId2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2A8" w:rsidRDefault="00A362A8" w:rsidP="006655D3">
      <w:r>
        <w:separator/>
      </w:r>
    </w:p>
    <w:p w:rsidR="00A362A8" w:rsidRDefault="00A362A8" w:rsidP="006655D3"/>
    <w:p w:rsidR="00A362A8" w:rsidRDefault="00A362A8" w:rsidP="006655D3"/>
  </w:endnote>
  <w:endnote w:type="continuationSeparator" w:id="0">
    <w:p w:rsidR="00A362A8" w:rsidRDefault="00A362A8" w:rsidP="006655D3">
      <w:r>
        <w:separator/>
      </w:r>
    </w:p>
    <w:p w:rsidR="00A362A8" w:rsidRPr="00294751" w:rsidRDefault="00A362A8">
      <w:pPr>
        <w:pStyle w:val="Footer"/>
        <w:spacing w:after="60"/>
        <w:rPr>
          <w:sz w:val="18"/>
          <w:lang w:val="fr-FR"/>
        </w:rPr>
      </w:pPr>
      <w:r w:rsidRPr="00294751">
        <w:rPr>
          <w:sz w:val="18"/>
          <w:lang w:val="fr-FR"/>
        </w:rPr>
        <w:t>[Suite de la note de la page précédente]</w:t>
      </w:r>
    </w:p>
    <w:p w:rsidR="00A362A8" w:rsidRPr="00294751" w:rsidRDefault="00A362A8" w:rsidP="006655D3">
      <w:pPr>
        <w:rPr>
          <w:lang w:val="fr-FR"/>
        </w:rPr>
      </w:pPr>
    </w:p>
    <w:p w:rsidR="00A362A8" w:rsidRPr="00294751" w:rsidRDefault="00A362A8" w:rsidP="006655D3">
      <w:pPr>
        <w:rPr>
          <w:lang w:val="fr-FR"/>
        </w:rPr>
      </w:pPr>
    </w:p>
  </w:endnote>
  <w:endnote w:type="continuationNotice" w:id="1">
    <w:p w:rsidR="00A362A8" w:rsidRPr="00294751" w:rsidRDefault="00A362A8" w:rsidP="006655D3">
      <w:pPr>
        <w:rPr>
          <w:lang w:val="fr-FR"/>
        </w:rPr>
      </w:pPr>
      <w:r w:rsidRPr="00294751">
        <w:rPr>
          <w:lang w:val="fr-FR"/>
        </w:rPr>
        <w:t>[Suite de la note page suivante]</w:t>
      </w:r>
    </w:p>
    <w:p w:rsidR="00A362A8" w:rsidRPr="00294751" w:rsidRDefault="00A362A8" w:rsidP="006655D3">
      <w:pPr>
        <w:rPr>
          <w:lang w:val="fr-FR"/>
        </w:rPr>
      </w:pPr>
    </w:p>
    <w:p w:rsidR="00A362A8" w:rsidRPr="00294751" w:rsidRDefault="00A362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Greek Symbols">
    <w:panose1 w:val="00000000000000000000"/>
    <w:charset w:val="02"/>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09" w:rsidRDefault="00245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09" w:rsidRDefault="002451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09" w:rsidRDefault="00245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2A8" w:rsidRDefault="00A362A8" w:rsidP="006655D3">
      <w:r>
        <w:separator/>
      </w:r>
    </w:p>
  </w:footnote>
  <w:footnote w:type="continuationSeparator" w:id="0">
    <w:p w:rsidR="00A362A8" w:rsidRDefault="00A362A8" w:rsidP="006655D3">
      <w:r>
        <w:separator/>
      </w:r>
    </w:p>
  </w:footnote>
  <w:footnote w:type="continuationNotice" w:id="1">
    <w:p w:rsidR="00A362A8" w:rsidRPr="00AB530F" w:rsidRDefault="00A362A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09" w:rsidRPr="00C5280D" w:rsidRDefault="00245109" w:rsidP="00EB048E">
    <w:pPr>
      <w:pStyle w:val="Header"/>
      <w:rPr>
        <w:rStyle w:val="PageNumber"/>
        <w:lang w:val="en-US"/>
      </w:rPr>
    </w:pPr>
    <w:r>
      <w:rPr>
        <w:rStyle w:val="PageNumber"/>
        <w:lang w:val="en-US"/>
      </w:rPr>
      <w:t>TC/54/19</w:t>
    </w:r>
  </w:p>
  <w:p w:rsidR="00245109" w:rsidRPr="00C5280D" w:rsidRDefault="0024510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46CF8">
      <w:rPr>
        <w:rStyle w:val="PageNumber"/>
        <w:noProof/>
        <w:lang w:val="en-US"/>
      </w:rPr>
      <w:t>3</w:t>
    </w:r>
    <w:r w:rsidRPr="00C5280D">
      <w:rPr>
        <w:rStyle w:val="PageNumber"/>
        <w:lang w:val="en-US"/>
      </w:rPr>
      <w:fldChar w:fldCharType="end"/>
    </w:r>
  </w:p>
  <w:p w:rsidR="00245109" w:rsidRPr="00C5280D" w:rsidRDefault="0024510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09" w:rsidRDefault="002451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09" w:rsidRPr="00C5280D" w:rsidRDefault="00245109" w:rsidP="00245109">
    <w:pPr>
      <w:pStyle w:val="Header"/>
      <w:rPr>
        <w:rStyle w:val="PageNumber"/>
        <w:lang w:val="en-US"/>
      </w:rPr>
    </w:pPr>
    <w:r>
      <w:rPr>
        <w:rStyle w:val="PageNumber"/>
        <w:lang w:val="en-US"/>
      </w:rPr>
      <w:t>TC/54/19</w:t>
    </w:r>
  </w:p>
  <w:p w:rsidR="00245109" w:rsidRPr="00C5280D" w:rsidRDefault="00245109"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3C80">
      <w:rPr>
        <w:rStyle w:val="PageNumber"/>
        <w:noProof/>
        <w:lang w:val="en-US"/>
      </w:rPr>
      <w:t>2</w:t>
    </w:r>
    <w:r w:rsidRPr="00C5280D">
      <w:rPr>
        <w:rStyle w:val="PageNumber"/>
        <w:lang w:val="en-US"/>
      </w:rPr>
      <w:fldChar w:fldCharType="end"/>
    </w:r>
  </w:p>
  <w:p w:rsidR="00245109" w:rsidRPr="00C5280D" w:rsidRDefault="00245109"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09" w:rsidRPr="00C5280D" w:rsidRDefault="00245109" w:rsidP="00245109">
    <w:pPr>
      <w:pStyle w:val="Header"/>
      <w:rPr>
        <w:rStyle w:val="PageNumber"/>
        <w:lang w:val="en-US"/>
      </w:rPr>
    </w:pPr>
    <w:r>
      <w:rPr>
        <w:rStyle w:val="PageNumber"/>
        <w:lang w:val="en-US"/>
      </w:rPr>
      <w:t>TC/54/19</w:t>
    </w:r>
  </w:p>
  <w:p w:rsidR="00245109" w:rsidRDefault="00245109">
    <w:pPr>
      <w:pStyle w:val="Header"/>
      <w:rPr>
        <w:lang w:val="en-US"/>
      </w:rPr>
    </w:pPr>
  </w:p>
  <w:p w:rsidR="00245109" w:rsidRPr="00E22148" w:rsidRDefault="00245109">
    <w:pPr>
      <w:pStyle w:val="Header"/>
      <w:rPr>
        <w:lang w:val="en-US"/>
      </w:rPr>
    </w:pPr>
    <w:r>
      <w:rPr>
        <w:lang w:val="en-US"/>
      </w:rPr>
      <w:t>ANNEX 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8B6E60" w:rsidP="00EB048E">
    <w:pPr>
      <w:pStyle w:val="Header"/>
      <w:rPr>
        <w:rStyle w:val="PageNumber"/>
        <w:lang w:val="en-US"/>
      </w:rPr>
    </w:pPr>
    <w:r>
      <w:rPr>
        <w:rStyle w:val="PageNumber"/>
        <w:lang w:val="en-US"/>
      </w:rPr>
      <w:t>TC/54</w:t>
    </w:r>
    <w:r w:rsidR="00667404">
      <w:rPr>
        <w:rStyle w:val="PageNumber"/>
        <w:lang w:val="en-US"/>
      </w:rPr>
      <w:t>/</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45CA8">
      <w:rPr>
        <w:rStyle w:val="PageNumber"/>
        <w:noProof/>
        <w:lang w:val="en-US"/>
      </w:rPr>
      <w:t>1</w:t>
    </w:r>
    <w:r w:rsidRPr="00C5280D">
      <w:rPr>
        <w:rStyle w:val="PageNumber"/>
        <w:lang w:val="en-US"/>
      </w:rPr>
      <w:fldChar w:fldCharType="end"/>
    </w:r>
  </w:p>
  <w:p w:rsidR="00182B99" w:rsidRPr="00C5280D" w:rsidRDefault="00182B99" w:rsidP="006655D3"/>
  <w:p w:rsidR="00E618AC" w:rsidRDefault="00E618AC"/>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109" w:rsidRPr="00C5280D" w:rsidRDefault="00245109" w:rsidP="00245109">
    <w:pPr>
      <w:pStyle w:val="Header"/>
      <w:rPr>
        <w:rStyle w:val="PageNumber"/>
        <w:lang w:val="en-US"/>
      </w:rPr>
    </w:pPr>
    <w:r>
      <w:rPr>
        <w:rStyle w:val="PageNumber"/>
        <w:lang w:val="en-US"/>
      </w:rPr>
      <w:t>TC/54/19</w:t>
    </w:r>
  </w:p>
  <w:p w:rsidR="00245109" w:rsidRDefault="00245109">
    <w:pPr>
      <w:pStyle w:val="Header"/>
      <w:rPr>
        <w:lang w:val="en-US"/>
      </w:rPr>
    </w:pPr>
  </w:p>
  <w:p w:rsidR="00245109" w:rsidRPr="00E22148" w:rsidRDefault="00245109">
    <w:pPr>
      <w:pStyle w:val="Header"/>
      <w:rPr>
        <w:lang w:val="en-US"/>
      </w:rPr>
    </w:pPr>
    <w:r>
      <w:rPr>
        <w:lang w:val="en-US"/>
      </w:rPr>
      <w:t>ANNEX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4567A"/>
    <w:multiLevelType w:val="singleLevel"/>
    <w:tmpl w:val="68A61006"/>
    <w:lvl w:ilvl="0">
      <w:start w:val="1"/>
      <w:numFmt w:val="lowerLetter"/>
      <w:lvlText w:val="(%1)"/>
      <w:legacy w:legacy="1" w:legacySpace="0" w:legacyIndent="567"/>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09"/>
    <w:rsid w:val="00010CF3"/>
    <w:rsid w:val="00011E27"/>
    <w:rsid w:val="000148BC"/>
    <w:rsid w:val="00024AB8"/>
    <w:rsid w:val="00030854"/>
    <w:rsid w:val="00036028"/>
    <w:rsid w:val="00044642"/>
    <w:rsid w:val="000446B9"/>
    <w:rsid w:val="00047E21"/>
    <w:rsid w:val="00050E16"/>
    <w:rsid w:val="000706DC"/>
    <w:rsid w:val="00074520"/>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1332C"/>
    <w:rsid w:val="00213982"/>
    <w:rsid w:val="0024416D"/>
    <w:rsid w:val="00245109"/>
    <w:rsid w:val="00271911"/>
    <w:rsid w:val="002800A0"/>
    <w:rsid w:val="002801B3"/>
    <w:rsid w:val="00281060"/>
    <w:rsid w:val="002940E8"/>
    <w:rsid w:val="00294751"/>
    <w:rsid w:val="002A2DC5"/>
    <w:rsid w:val="002A6E50"/>
    <w:rsid w:val="002B4298"/>
    <w:rsid w:val="002C256A"/>
    <w:rsid w:val="00304827"/>
    <w:rsid w:val="00305A7F"/>
    <w:rsid w:val="003152FE"/>
    <w:rsid w:val="00326DDF"/>
    <w:rsid w:val="00327436"/>
    <w:rsid w:val="00344BD6"/>
    <w:rsid w:val="0035528D"/>
    <w:rsid w:val="00355E3C"/>
    <w:rsid w:val="00361821"/>
    <w:rsid w:val="00361E9E"/>
    <w:rsid w:val="003A1915"/>
    <w:rsid w:val="003C7FBE"/>
    <w:rsid w:val="003D227C"/>
    <w:rsid w:val="003D2B4D"/>
    <w:rsid w:val="00444A88"/>
    <w:rsid w:val="00474DA4"/>
    <w:rsid w:val="00476B4D"/>
    <w:rsid w:val="004805FA"/>
    <w:rsid w:val="004815AC"/>
    <w:rsid w:val="004935D2"/>
    <w:rsid w:val="004B1215"/>
    <w:rsid w:val="004D047D"/>
    <w:rsid w:val="004F1E9E"/>
    <w:rsid w:val="004F305A"/>
    <w:rsid w:val="00500B72"/>
    <w:rsid w:val="00512164"/>
    <w:rsid w:val="00520297"/>
    <w:rsid w:val="005338F9"/>
    <w:rsid w:val="0054281C"/>
    <w:rsid w:val="00544581"/>
    <w:rsid w:val="0055268D"/>
    <w:rsid w:val="00576BE4"/>
    <w:rsid w:val="005A400A"/>
    <w:rsid w:val="005C5F05"/>
    <w:rsid w:val="005F7B92"/>
    <w:rsid w:val="00612379"/>
    <w:rsid w:val="006153B6"/>
    <w:rsid w:val="0061555F"/>
    <w:rsid w:val="00636CA6"/>
    <w:rsid w:val="00641200"/>
    <w:rsid w:val="00645CA8"/>
    <w:rsid w:val="006655D3"/>
    <w:rsid w:val="00667404"/>
    <w:rsid w:val="00685D2F"/>
    <w:rsid w:val="00687EB4"/>
    <w:rsid w:val="00695C56"/>
    <w:rsid w:val="006A5CDE"/>
    <w:rsid w:val="006A644A"/>
    <w:rsid w:val="006B17D2"/>
    <w:rsid w:val="006C224E"/>
    <w:rsid w:val="006D780A"/>
    <w:rsid w:val="0071271E"/>
    <w:rsid w:val="00732DEC"/>
    <w:rsid w:val="00735BD5"/>
    <w:rsid w:val="007467E3"/>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90DF8"/>
    <w:rsid w:val="00892563"/>
    <w:rsid w:val="0089512B"/>
    <w:rsid w:val="008A0841"/>
    <w:rsid w:val="008A743F"/>
    <w:rsid w:val="008B6E60"/>
    <w:rsid w:val="008C0970"/>
    <w:rsid w:val="008D0BC5"/>
    <w:rsid w:val="008D2CF7"/>
    <w:rsid w:val="008D7E86"/>
    <w:rsid w:val="00900C26"/>
    <w:rsid w:val="0090197F"/>
    <w:rsid w:val="00906DDC"/>
    <w:rsid w:val="0091199F"/>
    <w:rsid w:val="00934E09"/>
    <w:rsid w:val="00936253"/>
    <w:rsid w:val="00940D46"/>
    <w:rsid w:val="00946CF8"/>
    <w:rsid w:val="00952DD4"/>
    <w:rsid w:val="00965AE7"/>
    <w:rsid w:val="00970FED"/>
    <w:rsid w:val="00992D82"/>
    <w:rsid w:val="00997029"/>
    <w:rsid w:val="009A7339"/>
    <w:rsid w:val="009B440E"/>
    <w:rsid w:val="009D690D"/>
    <w:rsid w:val="009E65B6"/>
    <w:rsid w:val="00A24C10"/>
    <w:rsid w:val="00A362A8"/>
    <w:rsid w:val="00A42AC3"/>
    <w:rsid w:val="00A430CF"/>
    <w:rsid w:val="00A54309"/>
    <w:rsid w:val="00A56E3A"/>
    <w:rsid w:val="00AB2B93"/>
    <w:rsid w:val="00AB530F"/>
    <w:rsid w:val="00AB7E5B"/>
    <w:rsid w:val="00AC2883"/>
    <w:rsid w:val="00AE0EF1"/>
    <w:rsid w:val="00AE2937"/>
    <w:rsid w:val="00B07301"/>
    <w:rsid w:val="00B11F3E"/>
    <w:rsid w:val="00B139D6"/>
    <w:rsid w:val="00B224DE"/>
    <w:rsid w:val="00B324D4"/>
    <w:rsid w:val="00B46575"/>
    <w:rsid w:val="00B61777"/>
    <w:rsid w:val="00B84BBD"/>
    <w:rsid w:val="00BA43FB"/>
    <w:rsid w:val="00BC127D"/>
    <w:rsid w:val="00BC1FE6"/>
    <w:rsid w:val="00BD2981"/>
    <w:rsid w:val="00BE66C5"/>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2530"/>
    <w:rsid w:val="00D3708D"/>
    <w:rsid w:val="00D40426"/>
    <w:rsid w:val="00D57C96"/>
    <w:rsid w:val="00D57D18"/>
    <w:rsid w:val="00D91203"/>
    <w:rsid w:val="00D95174"/>
    <w:rsid w:val="00DA4973"/>
    <w:rsid w:val="00DA6F36"/>
    <w:rsid w:val="00DB596E"/>
    <w:rsid w:val="00DB7773"/>
    <w:rsid w:val="00DC00EA"/>
    <w:rsid w:val="00DC3802"/>
    <w:rsid w:val="00DD2E8E"/>
    <w:rsid w:val="00E07D87"/>
    <w:rsid w:val="00E13C80"/>
    <w:rsid w:val="00E32F7E"/>
    <w:rsid w:val="00E5267B"/>
    <w:rsid w:val="00E618AC"/>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0441"/>
    <w:rsid w:val="00F45372"/>
    <w:rsid w:val="00F560F7"/>
    <w:rsid w:val="00F6334D"/>
    <w:rsid w:val="00FA49AB"/>
    <w:rsid w:val="00FA609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CA819E"/>
  <w15:docId w15:val="{FB2E750C-672B-4B0B-B4A5-0475F362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E13C80"/>
    <w:pPr>
      <w:tabs>
        <w:tab w:val="right" w:leader="dot" w:pos="9639"/>
      </w:tabs>
      <w:spacing w:before="120" w:after="120"/>
      <w:ind w:left="454" w:right="851" w:hanging="284"/>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D2981"/>
    <w:pPr>
      <w:tabs>
        <w:tab w:val="right" w:leader="dot" w:pos="9639"/>
      </w:tabs>
      <w:spacing w:after="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TOCHeading">
    <w:name w:val="TOC Heading"/>
    <w:basedOn w:val="Heading1"/>
    <w:next w:val="Normal"/>
    <w:uiPriority w:val="39"/>
    <w:unhideWhenUsed/>
    <w:qFormat/>
    <w:rsid w:val="00BD2981"/>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3.xml"/><Relationship Id="rId10" Type="http://schemas.openxmlformats.org/officeDocument/2006/relationships/hyperlink" Target="http://www.upov.int/meetings/en/doc_details.jsp?meeting_id=47210&amp;doc_id=40924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pov.int/meetings/en/doc_details.jsp?meeting_id=47206&amp;doc_id=405877" TargetMode="External"/><Relationship Id="rId14" Type="http://schemas.openxmlformats.org/officeDocument/2006/relationships/image" Target="media/image3.wmf"/><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tino\Desktop\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AD66D-587D-4336-A65C-7B7F398E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TC_54_EN.dotx</Template>
  <TotalTime>19</TotalTime>
  <Pages>6</Pages>
  <Words>2620</Words>
  <Characters>12725</Characters>
  <Application>Microsoft Office Word</Application>
  <DocSecurity>0</DocSecurity>
  <Lines>290</Lines>
  <Paragraphs>99</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Leontino Taveira</dc:creator>
  <cp:lastModifiedBy>SANCHEZ VIZCAINO GOMEZ Rosa Maria</cp:lastModifiedBy>
  <cp:revision>10</cp:revision>
  <cp:lastPrinted>2018-09-25T15:53:00Z</cp:lastPrinted>
  <dcterms:created xsi:type="dcterms:W3CDTF">2018-09-25T15:44:00Z</dcterms:created>
  <dcterms:modified xsi:type="dcterms:W3CDTF">2018-09-26T08:55:00Z</dcterms:modified>
</cp:coreProperties>
</file>