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37BB4" w:rsidTr="00EB4E9C">
        <w:tc>
          <w:tcPr>
            <w:tcW w:w="6522" w:type="dxa"/>
          </w:tcPr>
          <w:p w:rsidR="00DC3802" w:rsidRPr="00037BB4" w:rsidRDefault="00DC3802" w:rsidP="00AC2883">
            <w:r w:rsidRPr="00037BB4">
              <w:rPr>
                <w:noProof/>
              </w:rPr>
              <w:drawing>
                <wp:inline distT="0" distB="0" distL="0" distR="0" wp14:anchorId="313924B3" wp14:editId="7841A9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37BB4" w:rsidRDefault="00DC3802" w:rsidP="00AC2883">
            <w:pPr>
              <w:pStyle w:val="Lettrine"/>
            </w:pPr>
            <w:r w:rsidRPr="00037BB4">
              <w:t>E</w:t>
            </w:r>
          </w:p>
        </w:tc>
      </w:tr>
      <w:tr w:rsidR="00DC3802" w:rsidRPr="00037BB4" w:rsidTr="00645CA8">
        <w:trPr>
          <w:trHeight w:val="219"/>
        </w:trPr>
        <w:tc>
          <w:tcPr>
            <w:tcW w:w="6522" w:type="dxa"/>
          </w:tcPr>
          <w:p w:rsidR="00DC3802" w:rsidRPr="00037BB4" w:rsidRDefault="00DC3802" w:rsidP="00AC2883">
            <w:pPr>
              <w:pStyle w:val="upove"/>
            </w:pPr>
            <w:r w:rsidRPr="00037BB4">
              <w:t>International Union for the Protection of New Varieties of Plants</w:t>
            </w:r>
          </w:p>
        </w:tc>
        <w:tc>
          <w:tcPr>
            <w:tcW w:w="3117" w:type="dxa"/>
          </w:tcPr>
          <w:p w:rsidR="00DC3802" w:rsidRPr="00037BB4" w:rsidRDefault="00DC3802" w:rsidP="00DA4973"/>
        </w:tc>
      </w:tr>
    </w:tbl>
    <w:p w:rsidR="00DC3802" w:rsidRPr="00037BB4" w:rsidRDefault="00DC3802" w:rsidP="00DC3802"/>
    <w:p w:rsidR="00DA4973" w:rsidRPr="00037BB4"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37BB4" w:rsidTr="00EB4E9C">
        <w:tc>
          <w:tcPr>
            <w:tcW w:w="6512" w:type="dxa"/>
          </w:tcPr>
          <w:p w:rsidR="00EB4E9C" w:rsidRPr="00037BB4" w:rsidRDefault="00EB4E9C" w:rsidP="00AC2883">
            <w:pPr>
              <w:pStyle w:val="Sessiontc"/>
              <w:spacing w:line="240" w:lineRule="auto"/>
            </w:pPr>
            <w:r w:rsidRPr="00037BB4">
              <w:t>Technical Committee</w:t>
            </w:r>
          </w:p>
          <w:p w:rsidR="00EB4E9C" w:rsidRPr="00037BB4" w:rsidRDefault="00EB4E9C" w:rsidP="00AC2883">
            <w:pPr>
              <w:pStyle w:val="Sessiontcplacedate"/>
              <w:rPr>
                <w:sz w:val="22"/>
              </w:rPr>
            </w:pPr>
            <w:r w:rsidRPr="00037BB4">
              <w:t>Fifty-Third Session</w:t>
            </w:r>
            <w:r w:rsidRPr="00037BB4">
              <w:br/>
              <w:t>Geneva, April 3 to 5, 2017</w:t>
            </w:r>
          </w:p>
        </w:tc>
        <w:tc>
          <w:tcPr>
            <w:tcW w:w="3127" w:type="dxa"/>
          </w:tcPr>
          <w:p w:rsidR="00EB4E9C" w:rsidRPr="00037BB4" w:rsidRDefault="00B604D1" w:rsidP="003C7FBE">
            <w:pPr>
              <w:pStyle w:val="Doccode"/>
            </w:pPr>
            <w:r w:rsidRPr="00037BB4">
              <w:t>TC/53/22</w:t>
            </w:r>
          </w:p>
          <w:p w:rsidR="00EB4E9C" w:rsidRPr="00037BB4" w:rsidRDefault="00EB4E9C" w:rsidP="003C7FBE">
            <w:pPr>
              <w:pStyle w:val="Docoriginal"/>
            </w:pPr>
            <w:r w:rsidRPr="00037BB4">
              <w:t>Original:</w:t>
            </w:r>
            <w:r w:rsidRPr="00037BB4">
              <w:rPr>
                <w:b w:val="0"/>
                <w:spacing w:val="0"/>
              </w:rPr>
              <w:t xml:space="preserve">  English</w:t>
            </w:r>
          </w:p>
          <w:p w:rsidR="00EB4E9C" w:rsidRPr="00037BB4" w:rsidRDefault="00EB4E9C" w:rsidP="00B56334">
            <w:pPr>
              <w:pStyle w:val="Docoriginal"/>
            </w:pPr>
            <w:r w:rsidRPr="00037BB4">
              <w:t>Date:</w:t>
            </w:r>
            <w:r w:rsidRPr="00037BB4">
              <w:rPr>
                <w:b w:val="0"/>
                <w:spacing w:val="0"/>
              </w:rPr>
              <w:t xml:space="preserve">  </w:t>
            </w:r>
            <w:r w:rsidR="00DF18D1" w:rsidRPr="00B56334">
              <w:rPr>
                <w:b w:val="0"/>
                <w:spacing w:val="0"/>
              </w:rPr>
              <w:t>February</w:t>
            </w:r>
            <w:r w:rsidR="009B511F" w:rsidRPr="00B56334">
              <w:rPr>
                <w:b w:val="0"/>
                <w:spacing w:val="0"/>
              </w:rPr>
              <w:t xml:space="preserve"> </w:t>
            </w:r>
            <w:r w:rsidR="00B56334" w:rsidRPr="00B56334">
              <w:rPr>
                <w:b w:val="0"/>
                <w:spacing w:val="0"/>
              </w:rPr>
              <w:t>22</w:t>
            </w:r>
            <w:r w:rsidRPr="00B56334">
              <w:rPr>
                <w:b w:val="0"/>
                <w:spacing w:val="0"/>
              </w:rPr>
              <w:t>, 20</w:t>
            </w:r>
            <w:r w:rsidRPr="00037BB4">
              <w:rPr>
                <w:b w:val="0"/>
                <w:spacing w:val="0"/>
              </w:rPr>
              <w:t>17</w:t>
            </w:r>
          </w:p>
        </w:tc>
      </w:tr>
    </w:tbl>
    <w:p w:rsidR="000D7780" w:rsidRPr="00037BB4" w:rsidRDefault="00B604D1" w:rsidP="00417A9C">
      <w:pPr>
        <w:pStyle w:val="Titleofdoc0"/>
        <w:tabs>
          <w:tab w:val="left" w:pos="5760"/>
        </w:tabs>
      </w:pPr>
      <w:bookmarkStart w:id="0" w:name="TitleOfDoc"/>
      <w:bookmarkEnd w:id="0"/>
      <w:r w:rsidRPr="00037BB4">
        <w:t>Matters concerning variety descriptions</w:t>
      </w:r>
    </w:p>
    <w:p w:rsidR="006A644A" w:rsidRPr="00037BB4" w:rsidRDefault="00AE0EF1" w:rsidP="006A644A">
      <w:pPr>
        <w:pStyle w:val="preparedby1"/>
        <w:jc w:val="left"/>
      </w:pPr>
      <w:bookmarkStart w:id="1" w:name="Prepared"/>
      <w:bookmarkEnd w:id="1"/>
      <w:r w:rsidRPr="00037BB4">
        <w:t xml:space="preserve">Document </w:t>
      </w:r>
      <w:r w:rsidR="0061555F" w:rsidRPr="00037BB4">
        <w:t>prepared by the Office of the Union</w:t>
      </w:r>
    </w:p>
    <w:p w:rsidR="00050E16" w:rsidRPr="00037BB4" w:rsidRDefault="00050E16" w:rsidP="006A644A">
      <w:pPr>
        <w:pStyle w:val="Disclaimer"/>
      </w:pPr>
      <w:r w:rsidRPr="00037BB4">
        <w:t>Disclaimer:  this document does not represent UPOV policies or guidance</w:t>
      </w:r>
    </w:p>
    <w:p w:rsidR="009B511F" w:rsidRPr="00037BB4" w:rsidRDefault="009B511F" w:rsidP="00B56334">
      <w:pPr>
        <w:pStyle w:val="Heading1"/>
      </w:pPr>
      <w:bookmarkStart w:id="2" w:name="_Toc475625273"/>
      <w:bookmarkStart w:id="3" w:name="_Toc418531189"/>
      <w:r w:rsidRPr="00037BB4">
        <w:t>EXECUTIVE SUMMARY</w:t>
      </w:r>
      <w:bookmarkEnd w:id="2"/>
    </w:p>
    <w:p w:rsidR="009B511F" w:rsidRPr="00037BB4" w:rsidRDefault="009B511F" w:rsidP="009B511F"/>
    <w:p w:rsidR="009B511F" w:rsidRPr="00037BB4" w:rsidRDefault="009B511F" w:rsidP="009B511F">
      <w:pPr>
        <w:rPr>
          <w:snapToGrid w:val="0"/>
        </w:rPr>
      </w:pPr>
      <w:r w:rsidRPr="00037BB4">
        <w:rPr>
          <w:snapToGrid w:val="0"/>
        </w:rPr>
        <w:fldChar w:fldCharType="begin"/>
      </w:r>
      <w:r w:rsidRPr="00037BB4">
        <w:rPr>
          <w:snapToGrid w:val="0"/>
        </w:rPr>
        <w:instrText xml:space="preserve"> AUTONUM  </w:instrText>
      </w:r>
      <w:r w:rsidRPr="00037BB4">
        <w:rPr>
          <w:snapToGrid w:val="0"/>
        </w:rPr>
        <w:fldChar w:fldCharType="end"/>
      </w:r>
      <w:r w:rsidRPr="00037BB4">
        <w:rPr>
          <w:snapToGrid w:val="0"/>
        </w:rPr>
        <w:tab/>
        <w:t xml:space="preserve">The purpose of this document is to consider matters concerning the verification of the conformity of the maintenance of the variety and </w:t>
      </w:r>
      <w:r w:rsidRPr="00037BB4">
        <w:t>concerning variety descriptions, which were referred to the Technical Committee by the Administrative and Legal Committee, and to consider the role of the plant material used as basis of the DUS examination in relation to those matters</w:t>
      </w:r>
      <w:r w:rsidRPr="00037BB4">
        <w:rPr>
          <w:snapToGrid w:val="0"/>
        </w:rPr>
        <w:t>.</w:t>
      </w:r>
    </w:p>
    <w:p w:rsidR="009B511F" w:rsidRPr="00037BB4" w:rsidRDefault="009B511F" w:rsidP="009B511F">
      <w:pPr>
        <w:rPr>
          <w:snapToGrid w:val="0"/>
        </w:rPr>
      </w:pPr>
    </w:p>
    <w:p w:rsidR="00196143" w:rsidRPr="00037BB4" w:rsidRDefault="00196143" w:rsidP="00196143">
      <w:pPr>
        <w:pStyle w:val="DecisionParagraphs"/>
        <w:tabs>
          <w:tab w:val="left" w:pos="567"/>
          <w:tab w:val="left" w:pos="5954"/>
          <w:tab w:val="left" w:pos="6521"/>
        </w:tabs>
        <w:ind w:left="0"/>
        <w:rPr>
          <w:rFonts w:eastAsia="SimSun"/>
          <w:i w:val="0"/>
        </w:rPr>
      </w:pPr>
      <w:r w:rsidRPr="00037BB4">
        <w:rPr>
          <w:i w:val="0"/>
        </w:rPr>
        <w:fldChar w:fldCharType="begin"/>
      </w:r>
      <w:r w:rsidRPr="00037BB4">
        <w:rPr>
          <w:i w:val="0"/>
        </w:rPr>
        <w:instrText xml:space="preserve"> AUTONUM  </w:instrText>
      </w:r>
      <w:r w:rsidRPr="00037BB4">
        <w:rPr>
          <w:i w:val="0"/>
        </w:rPr>
        <w:fldChar w:fldCharType="end"/>
      </w:r>
      <w:r w:rsidRPr="00037BB4">
        <w:rPr>
          <w:i w:val="0"/>
        </w:rPr>
        <w:tab/>
        <w:t xml:space="preserve">The TC is invited to </w:t>
      </w:r>
      <w:r w:rsidRPr="00037BB4">
        <w:rPr>
          <w:rFonts w:cs="Arial"/>
          <w:i w:val="0"/>
        </w:rPr>
        <w:t xml:space="preserve">consider whether new guidance </w:t>
      </w:r>
      <w:r w:rsidRPr="00037BB4">
        <w:rPr>
          <w:i w:val="0"/>
        </w:rPr>
        <w:t xml:space="preserve">on the role of the variety description and plant material should be drafted, taking into consideration the elements presented </w:t>
      </w:r>
      <w:r w:rsidRPr="00AB67B1">
        <w:rPr>
          <w:i w:val="0"/>
        </w:rPr>
        <w:t>in paragraph 2</w:t>
      </w:r>
      <w:r w:rsidR="00037BB4" w:rsidRPr="00AB67B1">
        <w:rPr>
          <w:i w:val="0"/>
        </w:rPr>
        <w:t>0</w:t>
      </w:r>
      <w:r w:rsidRPr="00AB67B1">
        <w:rPr>
          <w:i w:val="0"/>
        </w:rPr>
        <w:t xml:space="preserve"> of this document.</w:t>
      </w:r>
    </w:p>
    <w:p w:rsidR="009B511F" w:rsidRPr="00037BB4" w:rsidRDefault="009B511F" w:rsidP="00420191">
      <w:pPr>
        <w:tabs>
          <w:tab w:val="left" w:pos="567"/>
        </w:tabs>
        <w:rPr>
          <w:rFonts w:cs="Arial"/>
        </w:rPr>
      </w:pPr>
    </w:p>
    <w:p w:rsidR="009B511F" w:rsidRPr="00037BB4" w:rsidRDefault="009B511F" w:rsidP="009B511F">
      <w:pPr>
        <w:rPr>
          <w:rFonts w:cs="Arial"/>
        </w:rPr>
      </w:pPr>
      <w:r w:rsidRPr="00037BB4">
        <w:rPr>
          <w:rFonts w:cs="Arial"/>
        </w:rPr>
        <w:fldChar w:fldCharType="begin"/>
      </w:r>
      <w:r w:rsidRPr="00037BB4">
        <w:rPr>
          <w:rFonts w:cs="Arial"/>
        </w:rPr>
        <w:instrText xml:space="preserve"> AUTONUM  </w:instrText>
      </w:r>
      <w:r w:rsidRPr="00037BB4">
        <w:rPr>
          <w:rFonts w:cs="Arial"/>
        </w:rPr>
        <w:fldChar w:fldCharType="end"/>
      </w:r>
      <w:r w:rsidRPr="00037BB4">
        <w:rPr>
          <w:rFonts w:cs="Arial"/>
        </w:rPr>
        <w:tab/>
        <w:t>The following abbreviations are used in this document:</w:t>
      </w:r>
    </w:p>
    <w:p w:rsidR="009B511F" w:rsidRPr="00037BB4" w:rsidRDefault="009B511F" w:rsidP="009B511F">
      <w:pPr>
        <w:ind w:left="1701" w:hanging="1134"/>
        <w:rPr>
          <w:rFonts w:cs="Arial"/>
        </w:rPr>
      </w:pPr>
    </w:p>
    <w:p w:rsidR="009B511F" w:rsidRPr="00037BB4" w:rsidRDefault="009B511F" w:rsidP="009B511F">
      <w:pPr>
        <w:ind w:left="1701" w:hanging="1134"/>
        <w:rPr>
          <w:rFonts w:cs="Arial"/>
        </w:rPr>
      </w:pPr>
      <w:r w:rsidRPr="00037BB4">
        <w:rPr>
          <w:rFonts w:cs="Arial"/>
        </w:rPr>
        <w:t xml:space="preserve">CAJ:  </w:t>
      </w:r>
      <w:r w:rsidRPr="00037BB4">
        <w:rPr>
          <w:rFonts w:cs="Arial"/>
        </w:rPr>
        <w:tab/>
        <w:t xml:space="preserve">Administrative and Legal Committee </w:t>
      </w:r>
    </w:p>
    <w:p w:rsidR="009B511F" w:rsidRPr="00037BB4" w:rsidRDefault="009B511F" w:rsidP="009B511F">
      <w:pPr>
        <w:ind w:left="1701" w:hanging="1134"/>
        <w:rPr>
          <w:rFonts w:cs="Arial"/>
        </w:rPr>
      </w:pPr>
      <w:r w:rsidRPr="00037BB4">
        <w:rPr>
          <w:rFonts w:cs="Arial"/>
        </w:rPr>
        <w:t xml:space="preserve">TC:  </w:t>
      </w:r>
      <w:r w:rsidRPr="00037BB4">
        <w:rPr>
          <w:rFonts w:cs="Arial"/>
        </w:rPr>
        <w:tab/>
        <w:t>Technical Committee</w:t>
      </w:r>
    </w:p>
    <w:p w:rsidR="009B511F" w:rsidRPr="00037BB4" w:rsidRDefault="009B511F" w:rsidP="009B511F">
      <w:pPr>
        <w:ind w:left="1701" w:hanging="1134"/>
        <w:rPr>
          <w:rFonts w:cs="Arial"/>
        </w:rPr>
      </w:pPr>
      <w:r w:rsidRPr="00037BB4">
        <w:rPr>
          <w:rFonts w:cs="Arial"/>
        </w:rPr>
        <w:t xml:space="preserve">TC-EDC:  </w:t>
      </w:r>
      <w:r w:rsidRPr="00037BB4">
        <w:rPr>
          <w:rFonts w:cs="Arial"/>
        </w:rPr>
        <w:tab/>
        <w:t>Enlarged Editorial Committee</w:t>
      </w:r>
    </w:p>
    <w:p w:rsidR="009B511F" w:rsidRPr="00037BB4" w:rsidRDefault="009B511F" w:rsidP="009B511F">
      <w:pPr>
        <w:ind w:left="1701" w:hanging="1134"/>
        <w:rPr>
          <w:rFonts w:cs="Arial"/>
        </w:rPr>
      </w:pPr>
      <w:r w:rsidRPr="00037BB4">
        <w:rPr>
          <w:rFonts w:cs="Arial"/>
        </w:rPr>
        <w:t xml:space="preserve">TWA:  </w:t>
      </w:r>
      <w:r w:rsidRPr="00037BB4">
        <w:rPr>
          <w:rFonts w:cs="Arial"/>
        </w:rPr>
        <w:tab/>
        <w:t>Technical Working Party for Agricultural Crops</w:t>
      </w:r>
    </w:p>
    <w:p w:rsidR="009B511F" w:rsidRPr="00037BB4" w:rsidRDefault="009B511F" w:rsidP="009B511F">
      <w:pPr>
        <w:ind w:left="1701" w:hanging="1134"/>
        <w:rPr>
          <w:rFonts w:cs="Arial"/>
        </w:rPr>
      </w:pPr>
      <w:r w:rsidRPr="00037BB4">
        <w:rPr>
          <w:rFonts w:cs="Arial"/>
        </w:rPr>
        <w:t xml:space="preserve">TWC:  </w:t>
      </w:r>
      <w:r w:rsidRPr="00037BB4">
        <w:rPr>
          <w:rFonts w:cs="Arial"/>
        </w:rPr>
        <w:tab/>
        <w:t>Technical Working Party on Automation and Computer Programs</w:t>
      </w:r>
    </w:p>
    <w:p w:rsidR="009B511F" w:rsidRPr="00037BB4" w:rsidRDefault="009B511F" w:rsidP="009B511F">
      <w:pPr>
        <w:ind w:left="1701" w:hanging="1134"/>
        <w:rPr>
          <w:rFonts w:cs="Arial"/>
        </w:rPr>
      </w:pPr>
      <w:r w:rsidRPr="00037BB4">
        <w:rPr>
          <w:rFonts w:cs="Arial"/>
        </w:rPr>
        <w:t xml:space="preserve">TWF:  </w:t>
      </w:r>
      <w:r w:rsidRPr="00037BB4">
        <w:rPr>
          <w:rFonts w:cs="Arial"/>
        </w:rPr>
        <w:tab/>
        <w:t xml:space="preserve">Technical Working Party for Fruit Crops </w:t>
      </w:r>
    </w:p>
    <w:p w:rsidR="009B511F" w:rsidRPr="00037BB4" w:rsidRDefault="009B511F" w:rsidP="009B511F">
      <w:pPr>
        <w:ind w:left="1701" w:hanging="1134"/>
        <w:rPr>
          <w:rFonts w:cs="Arial"/>
        </w:rPr>
      </w:pPr>
      <w:r w:rsidRPr="00037BB4">
        <w:rPr>
          <w:rFonts w:cs="Arial"/>
        </w:rPr>
        <w:t xml:space="preserve">TWO:  </w:t>
      </w:r>
      <w:r w:rsidRPr="00037BB4">
        <w:rPr>
          <w:rFonts w:cs="Arial"/>
        </w:rPr>
        <w:tab/>
        <w:t xml:space="preserve">Technical Working Party for Ornamental Plants and Forest Trees </w:t>
      </w:r>
    </w:p>
    <w:p w:rsidR="009B511F" w:rsidRPr="00037BB4" w:rsidRDefault="009B511F" w:rsidP="009B511F">
      <w:pPr>
        <w:ind w:left="1701" w:hanging="1134"/>
        <w:rPr>
          <w:rFonts w:cs="Arial"/>
        </w:rPr>
      </w:pPr>
      <w:r w:rsidRPr="00037BB4">
        <w:rPr>
          <w:rFonts w:cs="Arial"/>
        </w:rPr>
        <w:t xml:space="preserve">TWV:  </w:t>
      </w:r>
      <w:r w:rsidRPr="00037BB4">
        <w:rPr>
          <w:rFonts w:cs="Arial"/>
        </w:rPr>
        <w:tab/>
        <w:t>Technical Working Party for Vegetables</w:t>
      </w:r>
    </w:p>
    <w:p w:rsidR="009B511F" w:rsidRPr="00037BB4" w:rsidRDefault="009B511F" w:rsidP="009B511F">
      <w:pPr>
        <w:ind w:firstLine="567"/>
        <w:rPr>
          <w:rFonts w:cs="Arial"/>
          <w:color w:val="000000"/>
        </w:rPr>
      </w:pPr>
      <w:r w:rsidRPr="00037BB4">
        <w:rPr>
          <w:rFonts w:cs="Arial"/>
          <w:color w:val="000000"/>
        </w:rPr>
        <w:t>TWPs:</w:t>
      </w:r>
      <w:r w:rsidRPr="00037BB4">
        <w:rPr>
          <w:rFonts w:cs="Arial"/>
          <w:color w:val="000000"/>
        </w:rPr>
        <w:tab/>
        <w:t>Technical Working Parties</w:t>
      </w:r>
    </w:p>
    <w:p w:rsidR="009B511F" w:rsidRPr="00037BB4" w:rsidRDefault="009B511F" w:rsidP="009B511F">
      <w:pPr>
        <w:pStyle w:val="DecisionParagraphs"/>
        <w:tabs>
          <w:tab w:val="clear" w:pos="5387"/>
          <w:tab w:val="left" w:pos="567"/>
          <w:tab w:val="left" w:pos="1134"/>
          <w:tab w:val="left" w:pos="12333"/>
        </w:tabs>
        <w:ind w:left="0"/>
        <w:rPr>
          <w:rFonts w:eastAsia="SimSun"/>
          <w:i w:val="0"/>
        </w:rPr>
      </w:pPr>
    </w:p>
    <w:p w:rsidR="009B511F" w:rsidRPr="00037BB4" w:rsidRDefault="009B511F" w:rsidP="009B511F">
      <w:pPr>
        <w:rPr>
          <w:snapToGrid w:val="0"/>
        </w:rPr>
      </w:pPr>
      <w:r w:rsidRPr="00037BB4">
        <w:fldChar w:fldCharType="begin"/>
      </w:r>
      <w:r w:rsidRPr="00037BB4">
        <w:instrText xml:space="preserve"> AUTONUM  </w:instrText>
      </w:r>
      <w:r w:rsidRPr="00037BB4">
        <w:fldChar w:fldCharType="end"/>
      </w:r>
      <w:r w:rsidRPr="00037BB4">
        <w:tab/>
        <w:t>The structure of this document</w:t>
      </w:r>
      <w:r w:rsidRPr="00037BB4">
        <w:rPr>
          <w:snapToGrid w:val="0"/>
        </w:rPr>
        <w:t xml:space="preserve"> is as follows:</w:t>
      </w:r>
    </w:p>
    <w:p w:rsidR="009B511F" w:rsidRPr="00037BB4" w:rsidRDefault="009B511F" w:rsidP="009B511F">
      <w:pPr>
        <w:rPr>
          <w:highlight w:val="yellow"/>
        </w:rPr>
      </w:pPr>
    </w:p>
    <w:p w:rsidR="00681C0B" w:rsidRDefault="009B511F">
      <w:pPr>
        <w:pStyle w:val="TOC1"/>
        <w:rPr>
          <w:rFonts w:asciiTheme="minorHAnsi" w:eastAsiaTheme="minorEastAsia" w:hAnsiTheme="minorHAnsi" w:cstheme="minorBidi"/>
          <w:caps w:val="0"/>
          <w:noProof/>
          <w:sz w:val="22"/>
          <w:szCs w:val="22"/>
        </w:rPr>
      </w:pPr>
      <w:r w:rsidRPr="00037BB4">
        <w:rPr>
          <w:noProof/>
          <w:highlight w:val="yellow"/>
        </w:rPr>
        <w:fldChar w:fldCharType="begin"/>
      </w:r>
      <w:r w:rsidRPr="00037BB4">
        <w:rPr>
          <w:highlight w:val="yellow"/>
        </w:rPr>
        <w:instrText xml:space="preserve"> TOC \o "1-3" \h \z \u </w:instrText>
      </w:r>
      <w:r w:rsidRPr="00037BB4">
        <w:rPr>
          <w:noProof/>
          <w:highlight w:val="yellow"/>
        </w:rPr>
        <w:fldChar w:fldCharType="separate"/>
      </w:r>
      <w:hyperlink w:anchor="_Toc475625273" w:history="1">
        <w:r w:rsidR="00681C0B" w:rsidRPr="00BB3DBC">
          <w:rPr>
            <w:rStyle w:val="Hyperlink"/>
            <w:noProof/>
          </w:rPr>
          <w:t>EXECUTIVE SUMMARY</w:t>
        </w:r>
        <w:r w:rsidR="00681C0B">
          <w:rPr>
            <w:noProof/>
            <w:webHidden/>
          </w:rPr>
          <w:tab/>
        </w:r>
        <w:r w:rsidR="00681C0B">
          <w:rPr>
            <w:noProof/>
            <w:webHidden/>
          </w:rPr>
          <w:fldChar w:fldCharType="begin"/>
        </w:r>
        <w:r w:rsidR="00681C0B">
          <w:rPr>
            <w:noProof/>
            <w:webHidden/>
          </w:rPr>
          <w:instrText xml:space="preserve"> PAGEREF _Toc475625273 \h </w:instrText>
        </w:r>
        <w:r w:rsidR="00681C0B">
          <w:rPr>
            <w:noProof/>
            <w:webHidden/>
          </w:rPr>
        </w:r>
        <w:r w:rsidR="00681C0B">
          <w:rPr>
            <w:noProof/>
            <w:webHidden/>
          </w:rPr>
          <w:fldChar w:fldCharType="separate"/>
        </w:r>
        <w:r w:rsidR="00AF0BD8">
          <w:rPr>
            <w:noProof/>
            <w:webHidden/>
          </w:rPr>
          <w:t>1</w:t>
        </w:r>
        <w:r w:rsidR="00681C0B">
          <w:rPr>
            <w:noProof/>
            <w:webHidden/>
          </w:rPr>
          <w:fldChar w:fldCharType="end"/>
        </w:r>
      </w:hyperlink>
    </w:p>
    <w:p w:rsidR="00681C0B" w:rsidRDefault="0061202A">
      <w:pPr>
        <w:pStyle w:val="TOC1"/>
        <w:rPr>
          <w:rFonts w:asciiTheme="minorHAnsi" w:eastAsiaTheme="minorEastAsia" w:hAnsiTheme="minorHAnsi" w:cstheme="minorBidi"/>
          <w:caps w:val="0"/>
          <w:noProof/>
          <w:sz w:val="22"/>
          <w:szCs w:val="22"/>
        </w:rPr>
      </w:pPr>
      <w:hyperlink w:anchor="_Toc475625274" w:history="1">
        <w:r w:rsidR="00681C0B" w:rsidRPr="00BB3DBC">
          <w:rPr>
            <w:rStyle w:val="Hyperlink"/>
            <w:noProof/>
          </w:rPr>
          <w:t>Background</w:t>
        </w:r>
        <w:r w:rsidR="00681C0B">
          <w:rPr>
            <w:noProof/>
            <w:webHidden/>
          </w:rPr>
          <w:tab/>
        </w:r>
        <w:r w:rsidR="00681C0B">
          <w:rPr>
            <w:noProof/>
            <w:webHidden/>
          </w:rPr>
          <w:fldChar w:fldCharType="begin"/>
        </w:r>
        <w:r w:rsidR="00681C0B">
          <w:rPr>
            <w:noProof/>
            <w:webHidden/>
          </w:rPr>
          <w:instrText xml:space="preserve"> PAGEREF _Toc475625274 \h </w:instrText>
        </w:r>
        <w:r w:rsidR="00681C0B">
          <w:rPr>
            <w:noProof/>
            <w:webHidden/>
          </w:rPr>
        </w:r>
        <w:r w:rsidR="00681C0B">
          <w:rPr>
            <w:noProof/>
            <w:webHidden/>
          </w:rPr>
          <w:fldChar w:fldCharType="separate"/>
        </w:r>
        <w:r w:rsidR="00AF0BD8">
          <w:rPr>
            <w:noProof/>
            <w:webHidden/>
          </w:rPr>
          <w:t>2</w:t>
        </w:r>
        <w:r w:rsidR="00681C0B">
          <w:rPr>
            <w:noProof/>
            <w:webHidden/>
          </w:rPr>
          <w:fldChar w:fldCharType="end"/>
        </w:r>
      </w:hyperlink>
    </w:p>
    <w:p w:rsidR="00681C0B" w:rsidRDefault="0061202A">
      <w:pPr>
        <w:pStyle w:val="TOC1"/>
        <w:rPr>
          <w:rFonts w:asciiTheme="minorHAnsi" w:eastAsiaTheme="minorEastAsia" w:hAnsiTheme="minorHAnsi" w:cstheme="minorBidi"/>
          <w:caps w:val="0"/>
          <w:noProof/>
          <w:sz w:val="22"/>
          <w:szCs w:val="22"/>
        </w:rPr>
      </w:pPr>
      <w:hyperlink w:anchor="_Toc475625275" w:history="1">
        <w:r w:rsidR="00681C0B" w:rsidRPr="00BB3DBC">
          <w:rPr>
            <w:rStyle w:val="Hyperlink"/>
            <w:noProof/>
          </w:rPr>
          <w:t>Comments by the Technical Working Parties</w:t>
        </w:r>
        <w:r w:rsidR="00681C0B">
          <w:rPr>
            <w:noProof/>
            <w:webHidden/>
          </w:rPr>
          <w:tab/>
        </w:r>
        <w:r w:rsidR="00681C0B">
          <w:rPr>
            <w:noProof/>
            <w:webHidden/>
          </w:rPr>
          <w:fldChar w:fldCharType="begin"/>
        </w:r>
        <w:r w:rsidR="00681C0B">
          <w:rPr>
            <w:noProof/>
            <w:webHidden/>
          </w:rPr>
          <w:instrText xml:space="preserve"> PAGEREF _Toc475625275 \h </w:instrText>
        </w:r>
        <w:r w:rsidR="00681C0B">
          <w:rPr>
            <w:noProof/>
            <w:webHidden/>
          </w:rPr>
        </w:r>
        <w:r w:rsidR="00681C0B">
          <w:rPr>
            <w:noProof/>
            <w:webHidden/>
          </w:rPr>
          <w:fldChar w:fldCharType="separate"/>
        </w:r>
        <w:r w:rsidR="00AF0BD8">
          <w:rPr>
            <w:noProof/>
            <w:webHidden/>
          </w:rPr>
          <w:t>2</w:t>
        </w:r>
        <w:r w:rsidR="00681C0B">
          <w:rPr>
            <w:noProof/>
            <w:webHidden/>
          </w:rPr>
          <w:fldChar w:fldCharType="end"/>
        </w:r>
      </w:hyperlink>
    </w:p>
    <w:p w:rsidR="00681C0B" w:rsidRDefault="0061202A">
      <w:pPr>
        <w:pStyle w:val="TOC2"/>
        <w:rPr>
          <w:rFonts w:asciiTheme="minorHAnsi" w:eastAsiaTheme="minorEastAsia" w:hAnsiTheme="minorHAnsi" w:cstheme="minorBidi"/>
          <w:smallCaps w:val="0"/>
          <w:noProof/>
          <w:sz w:val="22"/>
          <w:szCs w:val="22"/>
        </w:rPr>
      </w:pPr>
      <w:hyperlink w:anchor="_Toc475625276" w:history="1">
        <w:r w:rsidR="00681C0B" w:rsidRPr="00BB3DBC">
          <w:rPr>
            <w:rStyle w:val="Hyperlink"/>
            <w:noProof/>
          </w:rPr>
          <w:t>Technical Working Party on Ornamental Plants</w:t>
        </w:r>
        <w:r w:rsidR="00681C0B">
          <w:rPr>
            <w:noProof/>
            <w:webHidden/>
          </w:rPr>
          <w:tab/>
        </w:r>
        <w:r w:rsidR="00681C0B">
          <w:rPr>
            <w:noProof/>
            <w:webHidden/>
          </w:rPr>
          <w:fldChar w:fldCharType="begin"/>
        </w:r>
        <w:r w:rsidR="00681C0B">
          <w:rPr>
            <w:noProof/>
            <w:webHidden/>
          </w:rPr>
          <w:instrText xml:space="preserve"> PAGEREF _Toc475625276 \h </w:instrText>
        </w:r>
        <w:r w:rsidR="00681C0B">
          <w:rPr>
            <w:noProof/>
            <w:webHidden/>
          </w:rPr>
        </w:r>
        <w:r w:rsidR="00681C0B">
          <w:rPr>
            <w:noProof/>
            <w:webHidden/>
          </w:rPr>
          <w:fldChar w:fldCharType="separate"/>
        </w:r>
        <w:r w:rsidR="00AF0BD8">
          <w:rPr>
            <w:noProof/>
            <w:webHidden/>
          </w:rPr>
          <w:t>2</w:t>
        </w:r>
        <w:r w:rsidR="00681C0B">
          <w:rPr>
            <w:noProof/>
            <w:webHidden/>
          </w:rPr>
          <w:fldChar w:fldCharType="end"/>
        </w:r>
      </w:hyperlink>
    </w:p>
    <w:p w:rsidR="00681C0B" w:rsidRDefault="0061202A">
      <w:pPr>
        <w:pStyle w:val="TOC2"/>
        <w:rPr>
          <w:rFonts w:asciiTheme="minorHAnsi" w:eastAsiaTheme="minorEastAsia" w:hAnsiTheme="minorHAnsi" w:cstheme="minorBidi"/>
          <w:smallCaps w:val="0"/>
          <w:noProof/>
          <w:sz w:val="22"/>
          <w:szCs w:val="22"/>
        </w:rPr>
      </w:pPr>
      <w:hyperlink w:anchor="_Toc475625277" w:history="1">
        <w:r w:rsidR="00681C0B" w:rsidRPr="00BB3DBC">
          <w:rPr>
            <w:rStyle w:val="Hyperlink"/>
            <w:noProof/>
          </w:rPr>
          <w:t>Technical Working Party for Vegetables</w:t>
        </w:r>
        <w:r w:rsidR="00681C0B">
          <w:rPr>
            <w:noProof/>
            <w:webHidden/>
          </w:rPr>
          <w:tab/>
        </w:r>
        <w:r w:rsidR="00681C0B">
          <w:rPr>
            <w:noProof/>
            <w:webHidden/>
          </w:rPr>
          <w:fldChar w:fldCharType="begin"/>
        </w:r>
        <w:r w:rsidR="00681C0B">
          <w:rPr>
            <w:noProof/>
            <w:webHidden/>
          </w:rPr>
          <w:instrText xml:space="preserve"> PAGEREF _Toc475625277 \h </w:instrText>
        </w:r>
        <w:r w:rsidR="00681C0B">
          <w:rPr>
            <w:noProof/>
            <w:webHidden/>
          </w:rPr>
        </w:r>
        <w:r w:rsidR="00681C0B">
          <w:rPr>
            <w:noProof/>
            <w:webHidden/>
          </w:rPr>
          <w:fldChar w:fldCharType="separate"/>
        </w:r>
        <w:r w:rsidR="00AF0BD8">
          <w:rPr>
            <w:noProof/>
            <w:webHidden/>
          </w:rPr>
          <w:t>3</w:t>
        </w:r>
        <w:r w:rsidR="00681C0B">
          <w:rPr>
            <w:noProof/>
            <w:webHidden/>
          </w:rPr>
          <w:fldChar w:fldCharType="end"/>
        </w:r>
      </w:hyperlink>
    </w:p>
    <w:p w:rsidR="00681C0B" w:rsidRDefault="0061202A">
      <w:pPr>
        <w:pStyle w:val="TOC2"/>
        <w:rPr>
          <w:rFonts w:asciiTheme="minorHAnsi" w:eastAsiaTheme="minorEastAsia" w:hAnsiTheme="minorHAnsi" w:cstheme="minorBidi"/>
          <w:smallCaps w:val="0"/>
          <w:noProof/>
          <w:sz w:val="22"/>
          <w:szCs w:val="22"/>
        </w:rPr>
      </w:pPr>
      <w:hyperlink w:anchor="_Toc475625278" w:history="1">
        <w:r w:rsidR="00681C0B" w:rsidRPr="00BB3DBC">
          <w:rPr>
            <w:rStyle w:val="Hyperlink"/>
            <w:noProof/>
          </w:rPr>
          <w:t>Technical Working Party for Agricultural Crops</w:t>
        </w:r>
        <w:r w:rsidR="00681C0B">
          <w:rPr>
            <w:noProof/>
            <w:webHidden/>
          </w:rPr>
          <w:tab/>
        </w:r>
        <w:r w:rsidR="00681C0B">
          <w:rPr>
            <w:noProof/>
            <w:webHidden/>
          </w:rPr>
          <w:fldChar w:fldCharType="begin"/>
        </w:r>
        <w:r w:rsidR="00681C0B">
          <w:rPr>
            <w:noProof/>
            <w:webHidden/>
          </w:rPr>
          <w:instrText xml:space="preserve"> PAGEREF _Toc475625278 \h </w:instrText>
        </w:r>
        <w:r w:rsidR="00681C0B">
          <w:rPr>
            <w:noProof/>
            <w:webHidden/>
          </w:rPr>
        </w:r>
        <w:r w:rsidR="00681C0B">
          <w:rPr>
            <w:noProof/>
            <w:webHidden/>
          </w:rPr>
          <w:fldChar w:fldCharType="separate"/>
        </w:r>
        <w:r w:rsidR="00AF0BD8">
          <w:rPr>
            <w:noProof/>
            <w:webHidden/>
          </w:rPr>
          <w:t>3</w:t>
        </w:r>
        <w:r w:rsidR="00681C0B">
          <w:rPr>
            <w:noProof/>
            <w:webHidden/>
          </w:rPr>
          <w:fldChar w:fldCharType="end"/>
        </w:r>
      </w:hyperlink>
    </w:p>
    <w:p w:rsidR="00681C0B" w:rsidRDefault="0061202A">
      <w:pPr>
        <w:pStyle w:val="TOC2"/>
        <w:rPr>
          <w:rFonts w:asciiTheme="minorHAnsi" w:eastAsiaTheme="minorEastAsia" w:hAnsiTheme="minorHAnsi" w:cstheme="minorBidi"/>
          <w:smallCaps w:val="0"/>
          <w:noProof/>
          <w:sz w:val="22"/>
          <w:szCs w:val="22"/>
        </w:rPr>
      </w:pPr>
      <w:hyperlink w:anchor="_Toc475625279" w:history="1">
        <w:r w:rsidR="00681C0B" w:rsidRPr="00BB3DBC">
          <w:rPr>
            <w:rStyle w:val="Hyperlink"/>
            <w:noProof/>
          </w:rPr>
          <w:t>Technical Working Party for Fruit Crops</w:t>
        </w:r>
        <w:r w:rsidR="00681C0B">
          <w:rPr>
            <w:noProof/>
            <w:webHidden/>
          </w:rPr>
          <w:tab/>
        </w:r>
        <w:r w:rsidR="00681C0B">
          <w:rPr>
            <w:noProof/>
            <w:webHidden/>
          </w:rPr>
          <w:fldChar w:fldCharType="begin"/>
        </w:r>
        <w:r w:rsidR="00681C0B">
          <w:rPr>
            <w:noProof/>
            <w:webHidden/>
          </w:rPr>
          <w:instrText xml:space="preserve"> PAGEREF _Toc475625279 \h </w:instrText>
        </w:r>
        <w:r w:rsidR="00681C0B">
          <w:rPr>
            <w:noProof/>
            <w:webHidden/>
          </w:rPr>
        </w:r>
        <w:r w:rsidR="00681C0B">
          <w:rPr>
            <w:noProof/>
            <w:webHidden/>
          </w:rPr>
          <w:fldChar w:fldCharType="separate"/>
        </w:r>
        <w:r w:rsidR="00AF0BD8">
          <w:rPr>
            <w:noProof/>
            <w:webHidden/>
          </w:rPr>
          <w:t>3</w:t>
        </w:r>
        <w:r w:rsidR="00681C0B">
          <w:rPr>
            <w:noProof/>
            <w:webHidden/>
          </w:rPr>
          <w:fldChar w:fldCharType="end"/>
        </w:r>
      </w:hyperlink>
    </w:p>
    <w:p w:rsidR="00681C0B" w:rsidRDefault="0061202A">
      <w:pPr>
        <w:pStyle w:val="TOC1"/>
        <w:rPr>
          <w:rFonts w:asciiTheme="minorHAnsi" w:eastAsiaTheme="minorEastAsia" w:hAnsiTheme="minorHAnsi" w:cstheme="minorBidi"/>
          <w:caps w:val="0"/>
          <w:noProof/>
          <w:sz w:val="22"/>
          <w:szCs w:val="22"/>
        </w:rPr>
      </w:pPr>
      <w:hyperlink w:anchor="_Toc475625280" w:history="1">
        <w:r w:rsidR="00681C0B" w:rsidRPr="00BB3DBC">
          <w:rPr>
            <w:rStyle w:val="Hyperlink"/>
            <w:noProof/>
            <w:lang w:eastAsia="ja-JP"/>
          </w:rPr>
          <w:t>PROPOSAL</w:t>
        </w:r>
        <w:r w:rsidR="00681C0B">
          <w:rPr>
            <w:noProof/>
            <w:webHidden/>
          </w:rPr>
          <w:tab/>
        </w:r>
        <w:r w:rsidR="00681C0B">
          <w:rPr>
            <w:noProof/>
            <w:webHidden/>
          </w:rPr>
          <w:fldChar w:fldCharType="begin"/>
        </w:r>
        <w:r w:rsidR="00681C0B">
          <w:rPr>
            <w:noProof/>
            <w:webHidden/>
          </w:rPr>
          <w:instrText xml:space="preserve"> PAGEREF _Toc475625280 \h </w:instrText>
        </w:r>
        <w:r w:rsidR="00681C0B">
          <w:rPr>
            <w:noProof/>
            <w:webHidden/>
          </w:rPr>
        </w:r>
        <w:r w:rsidR="00681C0B">
          <w:rPr>
            <w:noProof/>
            <w:webHidden/>
          </w:rPr>
          <w:fldChar w:fldCharType="separate"/>
        </w:r>
        <w:r w:rsidR="00AF0BD8">
          <w:rPr>
            <w:noProof/>
            <w:webHidden/>
          </w:rPr>
          <w:t>4</w:t>
        </w:r>
        <w:r w:rsidR="00681C0B">
          <w:rPr>
            <w:noProof/>
            <w:webHidden/>
          </w:rPr>
          <w:fldChar w:fldCharType="end"/>
        </w:r>
      </w:hyperlink>
    </w:p>
    <w:p w:rsidR="009B511F" w:rsidRPr="00037BB4" w:rsidRDefault="009B511F" w:rsidP="009B511F">
      <w:pPr>
        <w:ind w:left="851" w:hanging="851"/>
      </w:pPr>
      <w:r w:rsidRPr="00037BB4">
        <w:rPr>
          <w:highlight w:val="yellow"/>
        </w:rPr>
        <w:fldChar w:fldCharType="end"/>
      </w:r>
    </w:p>
    <w:p w:rsidR="00C535B2" w:rsidRPr="00B56334" w:rsidRDefault="00C535B2" w:rsidP="001D5FDE">
      <w:pPr>
        <w:ind w:left="1134" w:hanging="1134"/>
      </w:pPr>
      <w:r w:rsidRPr="00037BB4">
        <w:t>ANNEX</w:t>
      </w:r>
      <w:r w:rsidRPr="00037BB4">
        <w:tab/>
      </w:r>
      <w:r w:rsidR="00B56334">
        <w:t>P</w:t>
      </w:r>
      <w:r w:rsidR="00B56334" w:rsidRPr="00B56334">
        <w:t xml:space="preserve">urpose of the variety description developed at the time of the grant of the breeder’s right and status of the original variety description in relation to the verification of the </w:t>
      </w:r>
      <w:r w:rsidR="00681C0B" w:rsidRPr="00B56334">
        <w:t>conformity</w:t>
      </w:r>
      <w:r w:rsidR="00B56334" w:rsidRPr="00B56334">
        <w:t xml:space="preserve"> of plant material to a protected variety for enforcement of the breeder’s right</w:t>
      </w:r>
    </w:p>
    <w:p w:rsidR="00C535B2" w:rsidRPr="00037BB4" w:rsidRDefault="00C535B2">
      <w:pPr>
        <w:jc w:val="left"/>
      </w:pPr>
      <w:r w:rsidRPr="00037BB4">
        <w:br w:type="page"/>
      </w:r>
    </w:p>
    <w:p w:rsidR="009B511F" w:rsidRPr="00037BB4" w:rsidRDefault="009B511F" w:rsidP="009B511F">
      <w:pPr>
        <w:pStyle w:val="Heading1"/>
      </w:pPr>
      <w:bookmarkStart w:id="4" w:name="_Toc475625274"/>
      <w:bookmarkStart w:id="5" w:name="_Toc418531190"/>
      <w:bookmarkEnd w:id="3"/>
      <w:r w:rsidRPr="00037BB4">
        <w:lastRenderedPageBreak/>
        <w:t>Background</w:t>
      </w:r>
      <w:bookmarkEnd w:id="4"/>
    </w:p>
    <w:p w:rsidR="009B511F" w:rsidRPr="00037BB4" w:rsidRDefault="009B511F" w:rsidP="009B511F"/>
    <w:bookmarkStart w:id="6" w:name="_Toc440377316"/>
    <w:bookmarkEnd w:id="5"/>
    <w:p w:rsidR="009B511F" w:rsidRPr="00037BB4" w:rsidRDefault="009B511F" w:rsidP="009B511F">
      <w:r w:rsidRPr="00037BB4">
        <w:rPr>
          <w:rFonts w:cs="Arial"/>
        </w:rPr>
        <w:fldChar w:fldCharType="begin"/>
      </w:r>
      <w:r w:rsidRPr="00037BB4">
        <w:rPr>
          <w:rFonts w:cs="Arial"/>
        </w:rPr>
        <w:instrText xml:space="preserve"> AUTONUM  </w:instrText>
      </w:r>
      <w:r w:rsidRPr="00037BB4">
        <w:rPr>
          <w:rFonts w:cs="Arial"/>
        </w:rPr>
        <w:fldChar w:fldCharType="end"/>
      </w:r>
      <w:r w:rsidRPr="00037BB4">
        <w:rPr>
          <w:rFonts w:cs="Arial"/>
        </w:rPr>
        <w:tab/>
      </w:r>
      <w:r w:rsidRPr="00037BB4">
        <w:rPr>
          <w:szCs w:val="24"/>
        </w:rPr>
        <w:t xml:space="preserve">The </w:t>
      </w:r>
      <w:r w:rsidR="00B4476B" w:rsidRPr="00037BB4">
        <w:rPr>
          <w:szCs w:val="24"/>
        </w:rPr>
        <w:t xml:space="preserve">complete </w:t>
      </w:r>
      <w:r w:rsidRPr="00037BB4">
        <w:rPr>
          <w:szCs w:val="24"/>
        </w:rPr>
        <w:t xml:space="preserve">background to this matter is provided in document </w:t>
      </w:r>
      <w:r w:rsidRPr="00037BB4">
        <w:t>TC/52/21 “Matters concerning variety descriptions”.</w:t>
      </w:r>
    </w:p>
    <w:bookmarkEnd w:id="6"/>
    <w:p w:rsidR="009B511F" w:rsidRPr="00037BB4" w:rsidRDefault="009B511F" w:rsidP="009B511F">
      <w:pPr>
        <w:rPr>
          <w:rFonts w:cs="Arial"/>
        </w:rPr>
      </w:pPr>
    </w:p>
    <w:p w:rsidR="009B511F" w:rsidRPr="00037BB4" w:rsidRDefault="009B511F" w:rsidP="009B511F">
      <w:r w:rsidRPr="00037BB4">
        <w:fldChar w:fldCharType="begin"/>
      </w:r>
      <w:r w:rsidRPr="00037BB4">
        <w:instrText xml:space="preserve"> AUTONUM  </w:instrText>
      </w:r>
      <w:r w:rsidRPr="00037BB4">
        <w:fldChar w:fldCharType="end"/>
      </w:r>
      <w:r w:rsidRPr="00037BB4">
        <w:tab/>
        <w:t>The TC</w:t>
      </w:r>
      <w:r w:rsidR="00B4476B" w:rsidRPr="00037BB4">
        <w:t>, at its fifty-second session, held in Geneva from March 14 to 16, 2016,</w:t>
      </w:r>
      <w:r w:rsidRPr="00037BB4">
        <w:t xml:space="preserve"> agreed to invite experts to present to the TWPs, at their sessions in 2016, their experiences with regard to the role of plant materia</w:t>
      </w:r>
      <w:r w:rsidR="00037BB4">
        <w:t>l</w:t>
      </w:r>
      <w:r w:rsidRPr="00037BB4">
        <w:t xml:space="preserve"> used as the basis for the DUS examination in relation to the following matters</w:t>
      </w:r>
      <w:r w:rsidR="002A7865" w:rsidRPr="00037BB4">
        <w:t xml:space="preserve"> (see document TC/52/29 Rev. “Revised Report”, paragraph 142)</w:t>
      </w:r>
      <w:r w:rsidRPr="00037BB4">
        <w:t>:</w:t>
      </w:r>
    </w:p>
    <w:p w:rsidR="009B511F" w:rsidRPr="00037BB4" w:rsidRDefault="009B511F" w:rsidP="009B511F"/>
    <w:p w:rsidR="009B511F" w:rsidRPr="00037BB4" w:rsidRDefault="009B511F" w:rsidP="009B511F">
      <w:pPr>
        <w:rPr>
          <w:rFonts w:cs="Arial"/>
        </w:rPr>
      </w:pPr>
      <w:r w:rsidRPr="00037BB4">
        <w:rPr>
          <w:rFonts w:cs="Arial"/>
        </w:rPr>
        <w:tab/>
        <w:t>(a)</w:t>
      </w:r>
      <w:r w:rsidRPr="00037BB4">
        <w:rPr>
          <w:rFonts w:cs="Arial"/>
        </w:rPr>
        <w:tab/>
        <w:t xml:space="preserve">use of information, documents or material provided by the breeder for verifying the maintenance of the variety, as set out in paragraph 15 of document CAJ-AG/13/8/4 “Matters concerning cancellation of the breeder’s right”, with an explanation that the information, documents or material could be maintained in a different country;  </w:t>
      </w:r>
    </w:p>
    <w:p w:rsidR="009B511F" w:rsidRPr="00037BB4" w:rsidRDefault="009B511F" w:rsidP="009B511F">
      <w:pPr>
        <w:tabs>
          <w:tab w:val="left" w:pos="7500"/>
        </w:tabs>
        <w:rPr>
          <w:rFonts w:cs="Arial"/>
        </w:rPr>
      </w:pPr>
    </w:p>
    <w:p w:rsidR="009B511F" w:rsidRPr="00037BB4" w:rsidRDefault="009B511F" w:rsidP="009B511F">
      <w:pPr>
        <w:rPr>
          <w:rFonts w:cs="Arial"/>
        </w:rPr>
      </w:pPr>
      <w:r w:rsidRPr="00037BB4">
        <w:rPr>
          <w:rFonts w:cs="Arial"/>
        </w:rPr>
        <w:tab/>
        <w:t>(b)</w:t>
      </w:r>
      <w:r w:rsidRPr="00037BB4">
        <w:rPr>
          <w:rFonts w:cs="Arial"/>
        </w:rPr>
        <w:tab/>
        <w:t>use of Test Guidelines for verifying the maintenance of the variety that were different from the Test Guidelines used for the examination of Distinctness, Uniformity and Stability (“DUS”);</w:t>
      </w:r>
    </w:p>
    <w:p w:rsidR="009B511F" w:rsidRPr="00037BB4" w:rsidRDefault="009B511F" w:rsidP="009B511F">
      <w:pPr>
        <w:ind w:left="567" w:right="567"/>
      </w:pPr>
    </w:p>
    <w:p w:rsidR="009B511F" w:rsidRPr="00037BB4" w:rsidRDefault="009B511F" w:rsidP="009B511F">
      <w:pPr>
        <w:ind w:firstLine="567"/>
      </w:pPr>
      <w:r w:rsidRPr="00037BB4">
        <w:t>(c)</w:t>
      </w:r>
      <w:r w:rsidRPr="00037BB4">
        <w:tab/>
      </w:r>
      <w:proofErr w:type="gramStart"/>
      <w:r w:rsidRPr="00037BB4">
        <w:t>the</w:t>
      </w:r>
      <w:proofErr w:type="gramEnd"/>
      <w:r w:rsidRPr="00037BB4">
        <w:t xml:space="preserve"> status of the original variety description in relation to the verification of the conformity of plant material to a protected variety for the purposes of:</w:t>
      </w:r>
    </w:p>
    <w:p w:rsidR="009B511F" w:rsidRPr="00037BB4" w:rsidRDefault="009B511F" w:rsidP="009B511F">
      <w:pPr>
        <w:ind w:firstLine="567"/>
      </w:pPr>
    </w:p>
    <w:p w:rsidR="009B511F" w:rsidRPr="00037BB4" w:rsidRDefault="009B511F" w:rsidP="009B511F">
      <w:pPr>
        <w:ind w:left="1701" w:hanging="567"/>
      </w:pPr>
      <w:r w:rsidRPr="00037BB4">
        <w:t>(</w:t>
      </w:r>
      <w:proofErr w:type="spellStart"/>
      <w:r w:rsidRPr="00037BB4">
        <w:t>i</w:t>
      </w:r>
      <w:proofErr w:type="spellEnd"/>
      <w:r w:rsidRPr="00037BB4">
        <w:t>)</w:t>
      </w:r>
      <w:r w:rsidRPr="00037BB4">
        <w:tab/>
      </w:r>
      <w:proofErr w:type="gramStart"/>
      <w:r w:rsidRPr="00037BB4">
        <w:t>verifying</w:t>
      </w:r>
      <w:proofErr w:type="gramEnd"/>
      <w:r w:rsidRPr="00037BB4">
        <w:t xml:space="preserve"> the maintenance of the variety (Article 22 of the 1991 Act, Article 10 of the 1978 Act);</w:t>
      </w:r>
    </w:p>
    <w:p w:rsidR="009B511F" w:rsidRPr="00037BB4" w:rsidRDefault="009B511F" w:rsidP="009B511F">
      <w:pPr>
        <w:ind w:left="1134"/>
      </w:pPr>
      <w:r w:rsidRPr="00037BB4">
        <w:t>(ii)</w:t>
      </w:r>
      <w:r w:rsidRPr="00037BB4">
        <w:tab/>
      </w:r>
      <w:proofErr w:type="gramStart"/>
      <w:r w:rsidRPr="00037BB4">
        <w:t>the</w:t>
      </w:r>
      <w:proofErr w:type="gramEnd"/>
      <w:r w:rsidRPr="00037BB4">
        <w:t xml:space="preserve"> examination of distinctness, uniformity and stability (“DUS”) of candidate varieties;  </w:t>
      </w:r>
    </w:p>
    <w:p w:rsidR="009B511F" w:rsidRPr="00037BB4" w:rsidRDefault="009B511F" w:rsidP="009B511F">
      <w:pPr>
        <w:ind w:left="567" w:right="567"/>
      </w:pPr>
    </w:p>
    <w:p w:rsidR="009B511F" w:rsidRPr="00037BB4" w:rsidRDefault="009B511F" w:rsidP="009B511F">
      <w:pPr>
        <w:ind w:right="567" w:firstLine="567"/>
      </w:pPr>
      <w:r w:rsidRPr="00037BB4">
        <w:t>(d)</w:t>
      </w:r>
      <w:r w:rsidRPr="00037BB4">
        <w:tab/>
      </w:r>
      <w:proofErr w:type="gramStart"/>
      <w:r w:rsidRPr="00037BB4">
        <w:t>the</w:t>
      </w:r>
      <w:proofErr w:type="gramEnd"/>
      <w:r w:rsidRPr="00037BB4">
        <w:t xml:space="preserve"> status of a modified variety description produced, for example, as a result of:</w:t>
      </w:r>
    </w:p>
    <w:p w:rsidR="009B511F" w:rsidRPr="00037BB4" w:rsidRDefault="009B511F" w:rsidP="009B511F">
      <w:pPr>
        <w:ind w:right="567" w:firstLine="567"/>
      </w:pPr>
    </w:p>
    <w:p w:rsidR="009B511F" w:rsidRPr="00037BB4" w:rsidRDefault="009B511F" w:rsidP="009B511F">
      <w:pPr>
        <w:spacing w:after="60"/>
        <w:ind w:left="1701" w:hanging="567"/>
      </w:pPr>
      <w:r w:rsidRPr="00037BB4">
        <w:t>(</w:t>
      </w:r>
      <w:proofErr w:type="spellStart"/>
      <w:r w:rsidRPr="00037BB4">
        <w:t>i</w:t>
      </w:r>
      <w:proofErr w:type="spellEnd"/>
      <w:r w:rsidRPr="00037BB4">
        <w:t>)</w:t>
      </w:r>
      <w:r w:rsidRPr="00037BB4">
        <w:tab/>
      </w:r>
      <w:proofErr w:type="gramStart"/>
      <w:r w:rsidRPr="00037BB4">
        <w:t>a</w:t>
      </w:r>
      <w:proofErr w:type="gramEnd"/>
      <w:r w:rsidRPr="00037BB4">
        <w:t xml:space="preserve"> recalibration of the scale in the Test Guidelines (particularly for non</w:t>
      </w:r>
      <w:r w:rsidRPr="00037BB4">
        <w:noBreakHyphen/>
        <w:t>asterisked characteristics);</w:t>
      </w:r>
    </w:p>
    <w:p w:rsidR="009B511F" w:rsidRPr="00037BB4" w:rsidRDefault="009B511F" w:rsidP="009B511F">
      <w:pPr>
        <w:spacing w:after="60"/>
        <w:ind w:left="1701" w:hanging="567"/>
      </w:pPr>
      <w:r w:rsidRPr="00037BB4">
        <w:t>(ii)</w:t>
      </w:r>
      <w:r w:rsidRPr="00037BB4">
        <w:tab/>
      </w:r>
      <w:proofErr w:type="gramStart"/>
      <w:r w:rsidRPr="00037BB4">
        <w:t>variation</w:t>
      </w:r>
      <w:proofErr w:type="gramEnd"/>
      <w:r w:rsidRPr="00037BB4">
        <w:t xml:space="preserve"> due to the environmental conditions of the years of testing for characteristics that are influenced by the environment;</w:t>
      </w:r>
    </w:p>
    <w:p w:rsidR="009B511F" w:rsidRPr="00037BB4" w:rsidRDefault="009B511F" w:rsidP="009B511F">
      <w:pPr>
        <w:spacing w:after="60"/>
        <w:ind w:left="1701" w:hanging="567"/>
      </w:pPr>
      <w:r w:rsidRPr="00037BB4">
        <w:t>(iii)</w:t>
      </w:r>
      <w:r w:rsidRPr="00037BB4">
        <w:tab/>
      </w:r>
      <w:proofErr w:type="gramStart"/>
      <w:r w:rsidRPr="00037BB4">
        <w:t>variation</w:t>
      </w:r>
      <w:proofErr w:type="gramEnd"/>
      <w:r w:rsidRPr="00037BB4">
        <w:t xml:space="preserve"> due to observation by different experts;  or</w:t>
      </w:r>
    </w:p>
    <w:p w:rsidR="009B511F" w:rsidRPr="00037BB4" w:rsidRDefault="009B511F" w:rsidP="009B511F">
      <w:pPr>
        <w:ind w:left="1701" w:hanging="567"/>
      </w:pPr>
      <w:r w:rsidRPr="00037BB4">
        <w:t>(iv)</w:t>
      </w:r>
      <w:r w:rsidRPr="00037BB4">
        <w:tab/>
      </w:r>
      <w:proofErr w:type="gramStart"/>
      <w:r w:rsidRPr="00037BB4">
        <w:t>the</w:t>
      </w:r>
      <w:proofErr w:type="gramEnd"/>
      <w:r w:rsidRPr="00037BB4">
        <w:t xml:space="preserve"> use of different versions of scales (e.g. different versions of the RHS </w:t>
      </w:r>
      <w:proofErr w:type="spellStart"/>
      <w:r w:rsidRPr="00037BB4">
        <w:t>Colour</w:t>
      </w:r>
      <w:proofErr w:type="spellEnd"/>
      <w:r w:rsidRPr="00037BB4">
        <w:t xml:space="preserve"> Chart); and </w:t>
      </w:r>
    </w:p>
    <w:p w:rsidR="009B511F" w:rsidRPr="00037BB4" w:rsidRDefault="009B511F" w:rsidP="009B511F">
      <w:pPr>
        <w:ind w:left="567" w:right="567"/>
      </w:pPr>
    </w:p>
    <w:p w:rsidR="009B511F" w:rsidRPr="00037BB4" w:rsidRDefault="009B511F" w:rsidP="009B511F">
      <w:pPr>
        <w:ind w:left="567" w:right="567"/>
      </w:pPr>
      <w:r w:rsidRPr="00037BB4">
        <w:t>(e)</w:t>
      </w:r>
      <w:r w:rsidRPr="00037BB4">
        <w:tab/>
      </w:r>
      <w:proofErr w:type="gramStart"/>
      <w:r w:rsidRPr="00037BB4">
        <w:t>situations</w:t>
      </w:r>
      <w:proofErr w:type="gramEnd"/>
      <w:r w:rsidRPr="00037BB4">
        <w:t xml:space="preserve"> where an error is subsequently discovered in the initial variety description.</w:t>
      </w:r>
    </w:p>
    <w:p w:rsidR="009B511F" w:rsidRPr="00037BB4" w:rsidRDefault="009B511F" w:rsidP="009B511F"/>
    <w:p w:rsidR="009B511F" w:rsidRPr="00037BB4" w:rsidRDefault="009B511F" w:rsidP="009B511F">
      <w:r w:rsidRPr="00037BB4">
        <w:fldChar w:fldCharType="begin"/>
      </w:r>
      <w:r w:rsidRPr="00037BB4">
        <w:instrText xml:space="preserve"> AUTONUM  </w:instrText>
      </w:r>
      <w:r w:rsidRPr="00037BB4">
        <w:fldChar w:fldCharType="end"/>
      </w:r>
      <w:r w:rsidRPr="00037BB4">
        <w:tab/>
        <w:t>On April 12, 2016, by means of Circular E</w:t>
      </w:r>
      <w:r w:rsidRPr="00037BB4">
        <w:noBreakHyphen/>
        <w:t>16/095, the TC and TWP experts were invited to make presentations to the TWPs, at their sessions in 2016</w:t>
      </w:r>
      <w:r w:rsidR="002A7865" w:rsidRPr="00037BB4">
        <w:t>,</w:t>
      </w:r>
      <w:r w:rsidRPr="00037BB4">
        <w:t xml:space="preserve"> on their experiences with regard to the role of plant material used as the basis for the DUS examination in relation to matters presented i</w:t>
      </w:r>
      <w:r w:rsidRPr="00AB67B1">
        <w:t xml:space="preserve">n paragraph </w:t>
      </w:r>
      <w:r w:rsidR="002A7865" w:rsidRPr="00AB67B1">
        <w:t>6</w:t>
      </w:r>
      <w:r w:rsidRPr="00AB67B1">
        <w:t xml:space="preserve"> of t</w:t>
      </w:r>
      <w:r w:rsidRPr="00037BB4">
        <w:t>his document.</w:t>
      </w:r>
    </w:p>
    <w:p w:rsidR="009B511F" w:rsidRDefault="009B511F" w:rsidP="009B511F">
      <w:pPr>
        <w:rPr>
          <w:rFonts w:cs="Arial"/>
        </w:rPr>
      </w:pPr>
    </w:p>
    <w:p w:rsidR="00037BB4" w:rsidRPr="00037BB4" w:rsidRDefault="00037BB4" w:rsidP="009B511F">
      <w:pPr>
        <w:rPr>
          <w:rFonts w:cs="Arial"/>
        </w:rPr>
      </w:pPr>
    </w:p>
    <w:p w:rsidR="009B511F" w:rsidRPr="00037BB4" w:rsidRDefault="009B511F" w:rsidP="009B511F">
      <w:pPr>
        <w:pStyle w:val="Heading1"/>
      </w:pPr>
      <w:bookmarkStart w:id="7" w:name="_Toc475625275"/>
      <w:r w:rsidRPr="00037BB4">
        <w:t>Comments by the Technical Working Parties</w:t>
      </w:r>
      <w:bookmarkEnd w:id="7"/>
      <w:r w:rsidRPr="00037BB4">
        <w:t xml:space="preserve"> </w:t>
      </w:r>
    </w:p>
    <w:p w:rsidR="009B511F" w:rsidRPr="00037BB4" w:rsidRDefault="009B511F" w:rsidP="009B511F"/>
    <w:p w:rsidR="009B511F" w:rsidRPr="00037BB4" w:rsidRDefault="009B511F" w:rsidP="009B511F">
      <w:pPr>
        <w:autoSpaceDE w:val="0"/>
        <w:autoSpaceDN w:val="0"/>
        <w:adjustRightInd w:val="0"/>
        <w:rPr>
          <w:snapToGrid w:val="0"/>
        </w:rPr>
      </w:pPr>
      <w:r w:rsidRPr="00037BB4">
        <w:rPr>
          <w:snapToGrid w:val="0"/>
        </w:rPr>
        <w:fldChar w:fldCharType="begin"/>
      </w:r>
      <w:r w:rsidRPr="00037BB4">
        <w:rPr>
          <w:snapToGrid w:val="0"/>
        </w:rPr>
        <w:instrText xml:space="preserve"> AUTONUM  </w:instrText>
      </w:r>
      <w:r w:rsidRPr="00037BB4">
        <w:rPr>
          <w:snapToGrid w:val="0"/>
        </w:rPr>
        <w:fldChar w:fldCharType="end"/>
      </w:r>
      <w:r w:rsidRPr="00037BB4">
        <w:rPr>
          <w:snapToGrid w:val="0"/>
        </w:rPr>
        <w:tab/>
        <w:t>At their sessions in 201</w:t>
      </w:r>
      <w:r w:rsidR="00C71179" w:rsidRPr="00037BB4">
        <w:rPr>
          <w:snapToGrid w:val="0"/>
        </w:rPr>
        <w:t>6</w:t>
      </w:r>
      <w:r w:rsidRPr="00037BB4">
        <w:rPr>
          <w:snapToGrid w:val="0"/>
        </w:rPr>
        <w:t>, the TW</w:t>
      </w:r>
      <w:r w:rsidR="00C71179" w:rsidRPr="00037BB4">
        <w:rPr>
          <w:snapToGrid w:val="0"/>
        </w:rPr>
        <w:t>C</w:t>
      </w:r>
      <w:r w:rsidRPr="00037BB4">
        <w:rPr>
          <w:snapToGrid w:val="0"/>
        </w:rPr>
        <w:t>, TW</w:t>
      </w:r>
      <w:r w:rsidR="00C71179" w:rsidRPr="00037BB4">
        <w:rPr>
          <w:snapToGrid w:val="0"/>
        </w:rPr>
        <w:t>O</w:t>
      </w:r>
      <w:r w:rsidRPr="00037BB4">
        <w:rPr>
          <w:snapToGrid w:val="0"/>
        </w:rPr>
        <w:t>, TW</w:t>
      </w:r>
      <w:r w:rsidR="00C71179" w:rsidRPr="00037BB4">
        <w:rPr>
          <w:snapToGrid w:val="0"/>
        </w:rPr>
        <w:t>V</w:t>
      </w:r>
      <w:r w:rsidRPr="00037BB4">
        <w:rPr>
          <w:snapToGrid w:val="0"/>
        </w:rPr>
        <w:t>, TW</w:t>
      </w:r>
      <w:r w:rsidR="00C71179" w:rsidRPr="00037BB4">
        <w:rPr>
          <w:snapToGrid w:val="0"/>
        </w:rPr>
        <w:t>A</w:t>
      </w:r>
      <w:r w:rsidRPr="00037BB4">
        <w:rPr>
          <w:snapToGrid w:val="0"/>
        </w:rPr>
        <w:t xml:space="preserve"> and TW</w:t>
      </w:r>
      <w:r w:rsidR="00C71179" w:rsidRPr="00037BB4">
        <w:rPr>
          <w:snapToGrid w:val="0"/>
        </w:rPr>
        <w:t>F</w:t>
      </w:r>
      <w:r w:rsidRPr="00037BB4">
        <w:rPr>
          <w:snapToGrid w:val="0"/>
        </w:rPr>
        <w:t xml:space="preserve"> considered documents TW</w:t>
      </w:r>
      <w:r w:rsidR="00C71179" w:rsidRPr="00037BB4">
        <w:rPr>
          <w:snapToGrid w:val="0"/>
        </w:rPr>
        <w:t>C</w:t>
      </w:r>
      <w:r w:rsidRPr="00037BB4">
        <w:rPr>
          <w:snapToGrid w:val="0"/>
        </w:rPr>
        <w:t>/</w:t>
      </w:r>
      <w:r w:rsidR="00C71179" w:rsidRPr="00037BB4">
        <w:rPr>
          <w:snapToGrid w:val="0"/>
        </w:rPr>
        <w:t>34</w:t>
      </w:r>
      <w:r w:rsidRPr="00037BB4">
        <w:rPr>
          <w:snapToGrid w:val="0"/>
        </w:rPr>
        <w:t>/</w:t>
      </w:r>
      <w:r w:rsidR="00C71179" w:rsidRPr="00037BB4">
        <w:rPr>
          <w:snapToGrid w:val="0"/>
        </w:rPr>
        <w:t>14</w:t>
      </w:r>
      <w:r w:rsidR="00810C74" w:rsidRPr="00037BB4">
        <w:rPr>
          <w:snapToGrid w:val="0"/>
        </w:rPr>
        <w:t>;</w:t>
      </w:r>
      <w:r w:rsidRPr="00037BB4">
        <w:rPr>
          <w:snapToGrid w:val="0"/>
        </w:rPr>
        <w:t xml:space="preserve"> TW</w:t>
      </w:r>
      <w:r w:rsidR="00C71179" w:rsidRPr="00037BB4">
        <w:rPr>
          <w:snapToGrid w:val="0"/>
        </w:rPr>
        <w:t>O</w:t>
      </w:r>
      <w:r w:rsidRPr="00037BB4">
        <w:rPr>
          <w:snapToGrid w:val="0"/>
        </w:rPr>
        <w:t>/</w:t>
      </w:r>
      <w:r w:rsidR="00C71179" w:rsidRPr="00037BB4">
        <w:rPr>
          <w:snapToGrid w:val="0"/>
        </w:rPr>
        <w:t>49</w:t>
      </w:r>
      <w:r w:rsidRPr="00037BB4">
        <w:rPr>
          <w:snapToGrid w:val="0"/>
        </w:rPr>
        <w:t>/</w:t>
      </w:r>
      <w:r w:rsidR="00C71179" w:rsidRPr="00037BB4">
        <w:rPr>
          <w:snapToGrid w:val="0"/>
        </w:rPr>
        <w:t>14</w:t>
      </w:r>
      <w:r w:rsidR="00810C74" w:rsidRPr="00037BB4">
        <w:rPr>
          <w:snapToGrid w:val="0"/>
        </w:rPr>
        <w:t xml:space="preserve"> and </w:t>
      </w:r>
      <w:r w:rsidR="00810C74" w:rsidRPr="00037BB4">
        <w:t>TWO/49/14 Add.;</w:t>
      </w:r>
      <w:r w:rsidRPr="00037BB4">
        <w:rPr>
          <w:snapToGrid w:val="0"/>
        </w:rPr>
        <w:t xml:space="preserve"> TW</w:t>
      </w:r>
      <w:r w:rsidR="00C71179" w:rsidRPr="00037BB4">
        <w:rPr>
          <w:snapToGrid w:val="0"/>
        </w:rPr>
        <w:t>V</w:t>
      </w:r>
      <w:r w:rsidRPr="00037BB4">
        <w:rPr>
          <w:snapToGrid w:val="0"/>
        </w:rPr>
        <w:t>/</w:t>
      </w:r>
      <w:r w:rsidR="00C71179" w:rsidRPr="00037BB4">
        <w:rPr>
          <w:snapToGrid w:val="0"/>
        </w:rPr>
        <w:t>50</w:t>
      </w:r>
      <w:r w:rsidRPr="00037BB4">
        <w:rPr>
          <w:snapToGrid w:val="0"/>
        </w:rPr>
        <w:t>/</w:t>
      </w:r>
      <w:r w:rsidR="00C71179" w:rsidRPr="00037BB4">
        <w:rPr>
          <w:snapToGrid w:val="0"/>
        </w:rPr>
        <w:t>14</w:t>
      </w:r>
      <w:r w:rsidR="00810C74" w:rsidRPr="00037BB4">
        <w:rPr>
          <w:snapToGrid w:val="0"/>
        </w:rPr>
        <w:t xml:space="preserve"> </w:t>
      </w:r>
      <w:r w:rsidR="00810C74" w:rsidRPr="00037BB4">
        <w:t>and TWV/50/14 Add.;</w:t>
      </w:r>
      <w:r w:rsidRPr="00037BB4">
        <w:rPr>
          <w:snapToGrid w:val="0"/>
        </w:rPr>
        <w:t xml:space="preserve"> TW</w:t>
      </w:r>
      <w:r w:rsidR="00C71179" w:rsidRPr="00037BB4">
        <w:rPr>
          <w:snapToGrid w:val="0"/>
        </w:rPr>
        <w:t>A</w:t>
      </w:r>
      <w:r w:rsidRPr="00037BB4">
        <w:rPr>
          <w:snapToGrid w:val="0"/>
        </w:rPr>
        <w:t>/</w:t>
      </w:r>
      <w:r w:rsidR="00C71179" w:rsidRPr="00037BB4">
        <w:rPr>
          <w:snapToGrid w:val="0"/>
        </w:rPr>
        <w:t>45</w:t>
      </w:r>
      <w:r w:rsidRPr="00037BB4">
        <w:rPr>
          <w:snapToGrid w:val="0"/>
        </w:rPr>
        <w:t>/</w:t>
      </w:r>
      <w:r w:rsidR="00C71179" w:rsidRPr="00037BB4">
        <w:rPr>
          <w:snapToGrid w:val="0"/>
        </w:rPr>
        <w:t>14</w:t>
      </w:r>
      <w:r w:rsidR="00810C74" w:rsidRPr="00037BB4">
        <w:rPr>
          <w:snapToGrid w:val="0"/>
        </w:rPr>
        <w:t>,</w:t>
      </w:r>
      <w:r w:rsidR="00C71179" w:rsidRPr="00037BB4">
        <w:rPr>
          <w:snapToGrid w:val="0"/>
        </w:rPr>
        <w:t xml:space="preserve"> </w:t>
      </w:r>
      <w:r w:rsidR="00810C74" w:rsidRPr="00037BB4">
        <w:t xml:space="preserve">TWA/45/14 Add. and TWA/45/14 Add.2; </w:t>
      </w:r>
      <w:r w:rsidRPr="00037BB4">
        <w:rPr>
          <w:snapToGrid w:val="0"/>
        </w:rPr>
        <w:t>and TW</w:t>
      </w:r>
      <w:r w:rsidR="00C71179" w:rsidRPr="00037BB4">
        <w:rPr>
          <w:snapToGrid w:val="0"/>
        </w:rPr>
        <w:t>F</w:t>
      </w:r>
      <w:r w:rsidRPr="00037BB4">
        <w:rPr>
          <w:snapToGrid w:val="0"/>
        </w:rPr>
        <w:t>/</w:t>
      </w:r>
      <w:r w:rsidR="00C71179" w:rsidRPr="00037BB4">
        <w:rPr>
          <w:snapToGrid w:val="0"/>
        </w:rPr>
        <w:t>47</w:t>
      </w:r>
      <w:r w:rsidRPr="00037BB4">
        <w:rPr>
          <w:snapToGrid w:val="0"/>
        </w:rPr>
        <w:t>/</w:t>
      </w:r>
      <w:r w:rsidR="00C71179" w:rsidRPr="00037BB4">
        <w:rPr>
          <w:snapToGrid w:val="0"/>
        </w:rPr>
        <w:t>14</w:t>
      </w:r>
      <w:r w:rsidR="00C71179" w:rsidRPr="00037BB4">
        <w:t xml:space="preserve"> </w:t>
      </w:r>
      <w:r w:rsidRPr="00037BB4">
        <w:t>“Matters concerning variety descriptions”</w:t>
      </w:r>
      <w:r w:rsidRPr="00037BB4">
        <w:rPr>
          <w:snapToGrid w:val="0"/>
        </w:rPr>
        <w:t xml:space="preserve">, respectively </w:t>
      </w:r>
      <w:r w:rsidRPr="00037BB4">
        <w:rPr>
          <w:rFonts w:cs="Arial"/>
        </w:rPr>
        <w:t>(see</w:t>
      </w:r>
      <w:r w:rsidR="00037BB4">
        <w:rPr>
          <w:rFonts w:cs="Arial"/>
        </w:rPr>
        <w:t> </w:t>
      </w:r>
      <w:r w:rsidRPr="00037BB4">
        <w:rPr>
          <w:rFonts w:cs="Arial"/>
        </w:rPr>
        <w:t>documents</w:t>
      </w:r>
      <w:r w:rsidR="004467A3" w:rsidRPr="00037BB4">
        <w:rPr>
          <w:rFonts w:cs="Arial"/>
        </w:rPr>
        <w:t> </w:t>
      </w:r>
      <w:r w:rsidR="00C71179" w:rsidRPr="00037BB4">
        <w:rPr>
          <w:lang w:eastAsia="ja-JP"/>
        </w:rPr>
        <w:t>TWC/34/32 “Report”, paragraphs 102 to 105</w:t>
      </w:r>
      <w:r w:rsidRPr="00037BB4">
        <w:rPr>
          <w:rFonts w:cs="Arial"/>
        </w:rPr>
        <w:t xml:space="preserve">; </w:t>
      </w:r>
      <w:r w:rsidR="00C71179" w:rsidRPr="00037BB4">
        <w:t>TWO/49/25 Rev. “Revised Report”, paragraphs 47 to 52</w:t>
      </w:r>
      <w:r w:rsidRPr="00037BB4">
        <w:rPr>
          <w:rFonts w:cs="Arial"/>
        </w:rPr>
        <w:t xml:space="preserve">; </w:t>
      </w:r>
      <w:r w:rsidR="00C71179" w:rsidRPr="00037BB4">
        <w:t>TWV/50/25 “Report”, paragraphs 68 to 75</w:t>
      </w:r>
      <w:r w:rsidRPr="00037BB4">
        <w:rPr>
          <w:rFonts w:cs="Arial"/>
        </w:rPr>
        <w:t xml:space="preserve">; </w:t>
      </w:r>
      <w:r w:rsidR="00C71179" w:rsidRPr="00037BB4">
        <w:t>TWA/45/25 “Report”, paragraphs 52 to 58</w:t>
      </w:r>
      <w:r w:rsidRPr="00037BB4">
        <w:rPr>
          <w:rFonts w:cs="Arial"/>
        </w:rPr>
        <w:t xml:space="preserve">; and </w:t>
      </w:r>
      <w:r w:rsidR="00C71179" w:rsidRPr="00037BB4">
        <w:t>TWF/47/25 “Report”, paragraphs 56 to 62</w:t>
      </w:r>
      <w:r w:rsidRPr="00037BB4">
        <w:rPr>
          <w:rFonts w:cs="Arial"/>
        </w:rPr>
        <w:t>)</w:t>
      </w:r>
      <w:r w:rsidRPr="00037BB4">
        <w:rPr>
          <w:snapToGrid w:val="0"/>
        </w:rPr>
        <w:t>.</w:t>
      </w:r>
    </w:p>
    <w:p w:rsidR="009B511F" w:rsidRPr="00037BB4" w:rsidRDefault="009B511F" w:rsidP="009B511F"/>
    <w:p w:rsidR="009B511F" w:rsidRPr="00037BB4" w:rsidRDefault="009B511F" w:rsidP="009B511F">
      <w:pPr>
        <w:pStyle w:val="Heading2"/>
      </w:pPr>
      <w:bookmarkStart w:id="8" w:name="_Toc440299525"/>
      <w:bookmarkStart w:id="9" w:name="_Toc440377321"/>
      <w:bookmarkStart w:id="10" w:name="_Toc475625276"/>
      <w:r w:rsidRPr="00037BB4">
        <w:t>Technical Working Party on Ornamental Plants</w:t>
      </w:r>
      <w:bookmarkEnd w:id="8"/>
      <w:bookmarkEnd w:id="9"/>
      <w:bookmarkEnd w:id="10"/>
    </w:p>
    <w:p w:rsidR="009B511F" w:rsidRPr="00037BB4" w:rsidRDefault="009B511F" w:rsidP="009B511F"/>
    <w:p w:rsidR="005D3971" w:rsidRPr="00037BB4" w:rsidRDefault="005D3971" w:rsidP="005D3971">
      <w:r w:rsidRPr="00037BB4">
        <w:rPr>
          <w:snapToGrid w:val="0"/>
          <w:lang w:eastAsia="ja-JP"/>
        </w:rPr>
        <w:fldChar w:fldCharType="begin"/>
      </w:r>
      <w:r w:rsidRPr="00037BB4">
        <w:rPr>
          <w:snapToGrid w:val="0"/>
          <w:lang w:eastAsia="ja-JP"/>
        </w:rPr>
        <w:instrText xml:space="preserve"> AUTONUM  </w:instrText>
      </w:r>
      <w:r w:rsidRPr="00037BB4">
        <w:rPr>
          <w:snapToGrid w:val="0"/>
          <w:lang w:eastAsia="ja-JP"/>
        </w:rPr>
        <w:fldChar w:fldCharType="end"/>
      </w:r>
      <w:r w:rsidRPr="00037BB4">
        <w:rPr>
          <w:snapToGrid w:val="0"/>
          <w:lang w:eastAsia="ja-JP"/>
        </w:rPr>
        <w:tab/>
        <w:t>The TWO</w:t>
      </w:r>
      <w:r w:rsidR="00DF18D1" w:rsidRPr="00037BB4">
        <w:rPr>
          <w:snapToGrid w:val="0"/>
          <w:lang w:eastAsia="ja-JP"/>
        </w:rPr>
        <w:t xml:space="preserve">, at its forty-ninth session, held in </w:t>
      </w:r>
      <w:proofErr w:type="spellStart"/>
      <w:r w:rsidR="00DF18D1" w:rsidRPr="00037BB4">
        <w:rPr>
          <w:snapToGrid w:val="0"/>
          <w:lang w:eastAsia="ja-JP"/>
        </w:rPr>
        <w:t>Gimcheon</w:t>
      </w:r>
      <w:proofErr w:type="spellEnd"/>
      <w:r w:rsidR="00DF18D1" w:rsidRPr="00037BB4">
        <w:rPr>
          <w:snapToGrid w:val="0"/>
          <w:lang w:eastAsia="ja-JP"/>
        </w:rPr>
        <w:t xml:space="preserve"> City, Republic of Korea,</w:t>
      </w:r>
      <w:r w:rsidRPr="00037BB4">
        <w:rPr>
          <w:snapToGrid w:val="0"/>
          <w:lang w:eastAsia="ja-JP"/>
        </w:rPr>
        <w:t xml:space="preserve"> </w:t>
      </w:r>
      <w:r w:rsidRPr="00037BB4">
        <w:t xml:space="preserve">noted the following presentations made by experts on their experiences with regard to the role of plant material used as the basis for the DUS examination in relation to matters presented </w:t>
      </w:r>
      <w:r w:rsidRPr="00AB67B1">
        <w:t xml:space="preserve">in </w:t>
      </w:r>
      <w:r w:rsidR="00DF18D1" w:rsidRPr="00AB67B1">
        <w:t xml:space="preserve">paragraph 6 of this </w:t>
      </w:r>
      <w:r w:rsidRPr="00AB67B1">
        <w:t>document</w:t>
      </w:r>
      <w:r w:rsidR="00DF18D1" w:rsidRPr="00AB67B1">
        <w:t xml:space="preserve"> </w:t>
      </w:r>
      <w:r w:rsidRPr="00AB67B1">
        <w:t>(in</w:t>
      </w:r>
      <w:r w:rsidR="00AB67B1">
        <w:t> </w:t>
      </w:r>
      <w:r w:rsidRPr="00AB67B1">
        <w:t>alphabetical order):</w:t>
      </w:r>
    </w:p>
    <w:p w:rsidR="005D3971" w:rsidRPr="00037BB4" w:rsidRDefault="005D3971" w:rsidP="005D3971"/>
    <w:tbl>
      <w:tblPr>
        <w:tblStyle w:val="TableGrid"/>
        <w:tblW w:w="93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5D3971" w:rsidRPr="00037BB4" w:rsidTr="00681C0B">
        <w:tc>
          <w:tcPr>
            <w:tcW w:w="2518" w:type="dxa"/>
          </w:tcPr>
          <w:p w:rsidR="005D3971" w:rsidRPr="00037BB4" w:rsidRDefault="005D3971" w:rsidP="00D956A6">
            <w:pPr>
              <w:rPr>
                <w:rFonts w:eastAsia="SimSun"/>
              </w:rPr>
            </w:pPr>
            <w:r w:rsidRPr="00037BB4">
              <w:rPr>
                <w:rFonts w:eastAsia="SimSun"/>
              </w:rPr>
              <w:t>Australia</w:t>
            </w:r>
          </w:p>
        </w:tc>
        <w:tc>
          <w:tcPr>
            <w:tcW w:w="6804" w:type="dxa"/>
          </w:tcPr>
          <w:p w:rsidR="005D3971" w:rsidRPr="00037BB4" w:rsidRDefault="005D3971" w:rsidP="00D956A6">
            <w:pPr>
              <w:rPr>
                <w:rFonts w:eastAsia="SimSun"/>
              </w:rPr>
            </w:pPr>
            <w:r w:rsidRPr="00037BB4">
              <w:rPr>
                <w:rFonts w:eastAsia="SimSun"/>
              </w:rPr>
              <w:t>Role and functions of variety descriptions in Australia</w:t>
            </w:r>
          </w:p>
        </w:tc>
      </w:tr>
      <w:tr w:rsidR="005D3971" w:rsidRPr="00037BB4" w:rsidTr="00681C0B">
        <w:tc>
          <w:tcPr>
            <w:tcW w:w="2518" w:type="dxa"/>
          </w:tcPr>
          <w:p w:rsidR="005D3971" w:rsidRPr="00037BB4" w:rsidRDefault="005D3971" w:rsidP="00D956A6">
            <w:pPr>
              <w:rPr>
                <w:rFonts w:eastAsia="SimSun"/>
              </w:rPr>
            </w:pPr>
            <w:r w:rsidRPr="00037BB4">
              <w:rPr>
                <w:rFonts w:eastAsia="SimSun"/>
              </w:rPr>
              <w:t>European Union</w:t>
            </w:r>
          </w:p>
        </w:tc>
        <w:tc>
          <w:tcPr>
            <w:tcW w:w="6804" w:type="dxa"/>
          </w:tcPr>
          <w:p w:rsidR="005D3971" w:rsidRPr="00037BB4" w:rsidRDefault="005D3971" w:rsidP="00D956A6">
            <w:pPr>
              <w:rPr>
                <w:rFonts w:eastAsia="SimSun"/>
              </w:rPr>
            </w:pPr>
            <w:r w:rsidRPr="00037BB4">
              <w:rPr>
                <w:rFonts w:eastAsia="SimSun"/>
              </w:rPr>
              <w:t>Updating Variety Descri</w:t>
            </w:r>
            <w:r w:rsidR="00051EB1">
              <w:rPr>
                <w:rFonts w:eastAsia="SimSun"/>
              </w:rPr>
              <w:t>ptions - Outcome of the Survey</w:t>
            </w:r>
          </w:p>
        </w:tc>
      </w:tr>
      <w:tr w:rsidR="005D3971" w:rsidRPr="00037BB4" w:rsidTr="00681C0B">
        <w:tc>
          <w:tcPr>
            <w:tcW w:w="2518" w:type="dxa"/>
          </w:tcPr>
          <w:p w:rsidR="005D3971" w:rsidRPr="00037BB4" w:rsidRDefault="005D3971" w:rsidP="00D956A6">
            <w:pPr>
              <w:rPr>
                <w:rFonts w:eastAsia="SimSun"/>
              </w:rPr>
            </w:pPr>
            <w:r w:rsidRPr="00037BB4">
              <w:rPr>
                <w:rFonts w:eastAsia="SimSun"/>
              </w:rPr>
              <w:t xml:space="preserve">Germany </w:t>
            </w:r>
          </w:p>
        </w:tc>
        <w:tc>
          <w:tcPr>
            <w:tcW w:w="6804" w:type="dxa"/>
          </w:tcPr>
          <w:p w:rsidR="005D3971" w:rsidRPr="00037BB4" w:rsidRDefault="005D3971" w:rsidP="00D956A6">
            <w:pPr>
              <w:rPr>
                <w:rFonts w:eastAsia="SimSun"/>
              </w:rPr>
            </w:pPr>
            <w:r w:rsidRPr="00037BB4">
              <w:rPr>
                <w:rFonts w:eastAsia="SimSun"/>
              </w:rPr>
              <w:t>The Role of Plant Material Used As Basis For The DUS Examination</w:t>
            </w:r>
          </w:p>
        </w:tc>
      </w:tr>
    </w:tbl>
    <w:p w:rsidR="005D3971" w:rsidRPr="00037BB4" w:rsidRDefault="005D3971" w:rsidP="005D3971">
      <w:pPr>
        <w:pStyle w:val="ListParagraph"/>
        <w:ind w:left="0"/>
        <w:rPr>
          <w:lang w:eastAsia="en-GB"/>
        </w:rPr>
      </w:pPr>
      <w:r w:rsidRPr="00037BB4">
        <w:rPr>
          <w:snapToGrid w:val="0"/>
          <w:lang w:eastAsia="ja-JP"/>
        </w:rPr>
        <w:lastRenderedPageBreak/>
        <w:fldChar w:fldCharType="begin"/>
      </w:r>
      <w:r w:rsidRPr="00037BB4">
        <w:rPr>
          <w:snapToGrid w:val="0"/>
          <w:lang w:eastAsia="ja-JP"/>
        </w:rPr>
        <w:instrText xml:space="preserve"> AUTONUM  </w:instrText>
      </w:r>
      <w:r w:rsidRPr="00037BB4">
        <w:rPr>
          <w:snapToGrid w:val="0"/>
          <w:lang w:eastAsia="ja-JP"/>
        </w:rPr>
        <w:fldChar w:fldCharType="end"/>
      </w:r>
      <w:r w:rsidRPr="00037BB4">
        <w:rPr>
          <w:snapToGrid w:val="0"/>
          <w:lang w:eastAsia="ja-JP"/>
        </w:rPr>
        <w:tab/>
        <w:t>The TWO</w:t>
      </w:r>
      <w:r w:rsidRPr="00037BB4">
        <w:t xml:space="preserve"> noted that the presentations</w:t>
      </w:r>
      <w:r w:rsidRPr="00037BB4">
        <w:rPr>
          <w:lang w:eastAsia="en-GB"/>
        </w:rPr>
        <w:t xml:space="preserve"> by the experts from the European Union and from Germany were available as Annexes I and II to document TWO/49/14 Add.  The TWO noted that the presentation by the expert from Australia would be made available as document TWO/49/14 Add.2.</w:t>
      </w:r>
    </w:p>
    <w:p w:rsidR="009B511F" w:rsidRPr="00037BB4" w:rsidRDefault="009B511F" w:rsidP="009B511F"/>
    <w:p w:rsidR="009B511F" w:rsidRPr="00037BB4" w:rsidRDefault="009B511F" w:rsidP="002A2C4F">
      <w:pPr>
        <w:pStyle w:val="Heading2"/>
        <w:rPr>
          <w:rStyle w:val="Emphasis"/>
          <w:i w:val="0"/>
          <w:iCs w:val="0"/>
        </w:rPr>
      </w:pPr>
      <w:bookmarkStart w:id="11" w:name="_Toc440299521"/>
      <w:bookmarkStart w:id="12" w:name="_Toc440377317"/>
      <w:bookmarkStart w:id="13" w:name="_Toc475625277"/>
      <w:r w:rsidRPr="00037BB4">
        <w:rPr>
          <w:rStyle w:val="Emphasis"/>
          <w:i w:val="0"/>
          <w:iCs w:val="0"/>
        </w:rPr>
        <w:t>Technical Working Party for Vegetables</w:t>
      </w:r>
      <w:bookmarkEnd w:id="11"/>
      <w:bookmarkEnd w:id="12"/>
      <w:bookmarkEnd w:id="13"/>
    </w:p>
    <w:p w:rsidR="009B511F" w:rsidRPr="00037BB4" w:rsidRDefault="009B511F" w:rsidP="009B511F"/>
    <w:p w:rsidR="00BB32AB" w:rsidRPr="00037BB4" w:rsidRDefault="00BB32AB" w:rsidP="00BB32AB">
      <w:r w:rsidRPr="00037BB4">
        <w:fldChar w:fldCharType="begin"/>
      </w:r>
      <w:r w:rsidRPr="00037BB4">
        <w:instrText xml:space="preserve"> AUTONUM  </w:instrText>
      </w:r>
      <w:r w:rsidRPr="00037BB4">
        <w:fldChar w:fldCharType="end"/>
      </w:r>
      <w:r w:rsidRPr="00037BB4">
        <w:tab/>
        <w:t>The TWV</w:t>
      </w:r>
      <w:r w:rsidR="00DF18D1" w:rsidRPr="00037BB4">
        <w:t>, at its fiftieth session, held in Brno, Czech Republic,</w:t>
      </w:r>
      <w:r w:rsidRPr="00037BB4">
        <w:t xml:space="preserve"> considered the </w:t>
      </w:r>
      <w:r w:rsidR="00871F3A" w:rsidRPr="00037BB4">
        <w:t xml:space="preserve">following </w:t>
      </w:r>
      <w:r w:rsidRPr="00037BB4">
        <w:t>presentations made by experts on their experiences with regard to the role of plant material used as the basis for the DUS examination in relation to matters prese</w:t>
      </w:r>
      <w:r w:rsidRPr="00AB67B1">
        <w:t xml:space="preserve">nted in </w:t>
      </w:r>
      <w:r w:rsidR="00DF18D1" w:rsidRPr="00AB67B1">
        <w:t>paragraph 6 of th</w:t>
      </w:r>
      <w:r w:rsidR="00DF18D1" w:rsidRPr="00037BB4">
        <w:t>is document</w:t>
      </w:r>
      <w:r w:rsidR="0020041A" w:rsidRPr="00037BB4">
        <w:t>:</w:t>
      </w:r>
    </w:p>
    <w:p w:rsidR="00BB32AB" w:rsidRPr="00037BB4" w:rsidRDefault="00BB32AB" w:rsidP="00BB32AB"/>
    <w:tbl>
      <w:tblPr>
        <w:tblStyle w:val="TableGrid"/>
        <w:tblW w:w="96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111"/>
      </w:tblGrid>
      <w:tr w:rsidR="00871F3A" w:rsidRPr="00037BB4" w:rsidTr="006475E5">
        <w:tc>
          <w:tcPr>
            <w:tcW w:w="2518" w:type="dxa"/>
          </w:tcPr>
          <w:p w:rsidR="00871F3A" w:rsidRPr="00037BB4" w:rsidRDefault="00871F3A" w:rsidP="006475E5">
            <w:pPr>
              <w:rPr>
                <w:rFonts w:eastAsia="SimSun"/>
              </w:rPr>
            </w:pPr>
            <w:r w:rsidRPr="00037BB4">
              <w:rPr>
                <w:rFonts w:eastAsia="SimSun"/>
              </w:rPr>
              <w:t>European Union</w:t>
            </w:r>
          </w:p>
        </w:tc>
        <w:tc>
          <w:tcPr>
            <w:tcW w:w="7111" w:type="dxa"/>
          </w:tcPr>
          <w:p w:rsidR="00871F3A" w:rsidRPr="00037BB4" w:rsidRDefault="00871F3A" w:rsidP="006475E5">
            <w:pPr>
              <w:rPr>
                <w:rFonts w:eastAsia="SimSun"/>
              </w:rPr>
            </w:pPr>
            <w:r w:rsidRPr="00037BB4">
              <w:rPr>
                <w:rFonts w:eastAsia="SimSun"/>
              </w:rPr>
              <w:t>Updating Variety Descriptions - Outcome</w:t>
            </w:r>
            <w:r w:rsidR="00AB67B1">
              <w:rPr>
                <w:rFonts w:eastAsia="SimSun"/>
              </w:rPr>
              <w:t xml:space="preserve"> of the Survey</w:t>
            </w:r>
          </w:p>
        </w:tc>
      </w:tr>
      <w:tr w:rsidR="00871F3A" w:rsidRPr="00037BB4" w:rsidTr="006475E5">
        <w:tc>
          <w:tcPr>
            <w:tcW w:w="2518" w:type="dxa"/>
          </w:tcPr>
          <w:p w:rsidR="00871F3A" w:rsidRPr="00037BB4" w:rsidRDefault="00871F3A" w:rsidP="006475E5">
            <w:pPr>
              <w:rPr>
                <w:rFonts w:eastAsia="SimSun"/>
              </w:rPr>
            </w:pPr>
            <w:r w:rsidRPr="00037BB4">
              <w:rPr>
                <w:rFonts w:eastAsia="SimSun"/>
              </w:rPr>
              <w:t xml:space="preserve">France </w:t>
            </w:r>
          </w:p>
        </w:tc>
        <w:tc>
          <w:tcPr>
            <w:tcW w:w="7111" w:type="dxa"/>
          </w:tcPr>
          <w:p w:rsidR="00871F3A" w:rsidRPr="00037BB4" w:rsidRDefault="00871F3A" w:rsidP="006475E5">
            <w:pPr>
              <w:rPr>
                <w:rFonts w:eastAsia="SimSun"/>
              </w:rPr>
            </w:pPr>
            <w:r w:rsidRPr="00037BB4">
              <w:t>Variety descriptions – role of plant material for DUS examination</w:t>
            </w:r>
          </w:p>
        </w:tc>
      </w:tr>
    </w:tbl>
    <w:p w:rsidR="00871F3A" w:rsidRPr="00037BB4" w:rsidRDefault="00871F3A" w:rsidP="00BB32AB"/>
    <w:p w:rsidR="00BB32AB" w:rsidRPr="00037BB4" w:rsidRDefault="00BB32AB" w:rsidP="00BB32AB">
      <w:r w:rsidRPr="00037BB4">
        <w:rPr>
          <w:szCs w:val="24"/>
        </w:rPr>
        <w:fldChar w:fldCharType="begin"/>
      </w:r>
      <w:r w:rsidRPr="00037BB4">
        <w:rPr>
          <w:szCs w:val="24"/>
        </w:rPr>
        <w:instrText xml:space="preserve"> AUTONUM  </w:instrText>
      </w:r>
      <w:r w:rsidRPr="00037BB4">
        <w:rPr>
          <w:szCs w:val="24"/>
        </w:rPr>
        <w:fldChar w:fldCharType="end"/>
      </w:r>
      <w:r w:rsidRPr="00037BB4">
        <w:rPr>
          <w:szCs w:val="24"/>
        </w:rPr>
        <w:tab/>
      </w:r>
      <w:r w:rsidRPr="00037BB4">
        <w:t xml:space="preserve">The TWV noted </w:t>
      </w:r>
      <w:r w:rsidR="004F2B3E" w:rsidRPr="00037BB4">
        <w:t xml:space="preserve">that copies </w:t>
      </w:r>
      <w:r w:rsidRPr="00037BB4">
        <w:t xml:space="preserve">the presentations by </w:t>
      </w:r>
      <w:r w:rsidRPr="00037BB4">
        <w:rPr>
          <w:lang w:eastAsia="en-GB"/>
        </w:rPr>
        <w:t>the experts from the European Union and from France</w:t>
      </w:r>
      <w:r w:rsidRPr="00037BB4">
        <w:t xml:space="preserve">, </w:t>
      </w:r>
      <w:r w:rsidR="002A2C4F" w:rsidRPr="00037BB4">
        <w:t>were</w:t>
      </w:r>
      <w:r w:rsidRPr="00037BB4">
        <w:t xml:space="preserve"> provided in document TWV/50/14 </w:t>
      </w:r>
      <w:proofErr w:type="gramStart"/>
      <w:r w:rsidRPr="00037BB4">
        <w:t>Add..</w:t>
      </w:r>
      <w:proofErr w:type="gramEnd"/>
      <w:r w:rsidRPr="00037BB4">
        <w:t xml:space="preserve"> The TWV agreed that for identification purposes a standard sample </w:t>
      </w:r>
      <w:r w:rsidR="002A2C4F" w:rsidRPr="00037BB4">
        <w:t>was</w:t>
      </w:r>
      <w:r w:rsidRPr="00037BB4">
        <w:t xml:space="preserve"> preferred, as a variety description </w:t>
      </w:r>
      <w:r w:rsidR="002A2C4F" w:rsidRPr="00037BB4">
        <w:t>was</w:t>
      </w:r>
      <w:r w:rsidRPr="00037BB4">
        <w:t xml:space="preserve"> only a source of information which might be updated internally.</w:t>
      </w:r>
    </w:p>
    <w:p w:rsidR="00BB32AB" w:rsidRPr="00037BB4" w:rsidRDefault="00BB32AB" w:rsidP="00BB32AB"/>
    <w:p w:rsidR="00BB32AB" w:rsidRPr="00037BB4" w:rsidRDefault="00BB32AB" w:rsidP="00BB32AB">
      <w:r w:rsidRPr="00037BB4">
        <w:rPr>
          <w:szCs w:val="24"/>
        </w:rPr>
        <w:fldChar w:fldCharType="begin"/>
      </w:r>
      <w:r w:rsidRPr="00037BB4">
        <w:rPr>
          <w:szCs w:val="24"/>
        </w:rPr>
        <w:instrText xml:space="preserve"> AUTONUM  </w:instrText>
      </w:r>
      <w:r w:rsidRPr="00037BB4">
        <w:rPr>
          <w:szCs w:val="24"/>
        </w:rPr>
        <w:fldChar w:fldCharType="end"/>
      </w:r>
      <w:r w:rsidRPr="00037BB4">
        <w:rPr>
          <w:szCs w:val="24"/>
        </w:rPr>
        <w:tab/>
      </w:r>
      <w:r w:rsidRPr="00037BB4">
        <w:t xml:space="preserve">The TWV agreed that guidance for variety descriptions would be useful and noted that the information in document TWV/50/14, paragraph 28, </w:t>
      </w:r>
      <w:r w:rsidR="00CB132F" w:rsidRPr="00037BB4">
        <w:t xml:space="preserve">as reproduced in the Annex to this document, </w:t>
      </w:r>
      <w:r w:rsidRPr="00037BB4">
        <w:t>and the conclusions provided by the expert from the European</w:t>
      </w:r>
      <w:r w:rsidR="002A2C4F" w:rsidRPr="00037BB4">
        <w:t> </w:t>
      </w:r>
      <w:r w:rsidRPr="00037BB4">
        <w:t>Union in document T</w:t>
      </w:r>
      <w:r w:rsidR="00850A0A" w:rsidRPr="00037BB4">
        <w:t>WV</w:t>
      </w:r>
      <w:r w:rsidRPr="00037BB4">
        <w:t>/50/14 Add., Annex II, slide 19</w:t>
      </w:r>
      <w:r w:rsidR="00CB132F" w:rsidRPr="00037BB4">
        <w:t>, transcribed below,</w:t>
      </w:r>
      <w:r w:rsidRPr="00037BB4">
        <w:rPr>
          <w:snapToGrid w:val="0"/>
          <w:color w:val="000000" w:themeColor="text1"/>
        </w:rPr>
        <w:t xml:space="preserve"> </w:t>
      </w:r>
      <w:r w:rsidRPr="00037BB4">
        <w:t xml:space="preserve">could be a good basis. </w:t>
      </w:r>
    </w:p>
    <w:p w:rsidR="00CB132F" w:rsidRPr="00037BB4" w:rsidRDefault="00CB132F" w:rsidP="00BB32AB"/>
    <w:p w:rsidR="00CB132F" w:rsidRPr="00037BB4" w:rsidRDefault="00CB132F" w:rsidP="00CB132F">
      <w:pPr>
        <w:pStyle w:val="ListParagraph"/>
        <w:numPr>
          <w:ilvl w:val="0"/>
          <w:numId w:val="2"/>
        </w:numPr>
      </w:pPr>
      <w:r w:rsidRPr="00037BB4">
        <w:t>Notes of similar varieties shall come from the same growing trial as for the candidate variety</w:t>
      </w:r>
    </w:p>
    <w:p w:rsidR="00CB132F" w:rsidRPr="00037BB4" w:rsidRDefault="00CB132F" w:rsidP="00CB132F">
      <w:pPr>
        <w:pStyle w:val="ListParagraph"/>
        <w:numPr>
          <w:ilvl w:val="0"/>
          <w:numId w:val="2"/>
        </w:numPr>
      </w:pPr>
      <w:r w:rsidRPr="00037BB4">
        <w:t>To inform parties concerned on amendments for the Official VD (variety description)</w:t>
      </w:r>
    </w:p>
    <w:p w:rsidR="00CB132F" w:rsidRPr="00037BB4" w:rsidRDefault="00CB132F" w:rsidP="00CB132F">
      <w:pPr>
        <w:pStyle w:val="ListParagraph"/>
        <w:numPr>
          <w:ilvl w:val="0"/>
          <w:numId w:val="2"/>
        </w:numPr>
      </w:pPr>
      <w:r w:rsidRPr="00037BB4">
        <w:t>Agreement on data supplied to share databases</w:t>
      </w:r>
    </w:p>
    <w:p w:rsidR="00BB32AB" w:rsidRPr="00037BB4" w:rsidRDefault="00BB32AB" w:rsidP="00BB32AB"/>
    <w:p w:rsidR="00BB32AB" w:rsidRPr="00037BB4" w:rsidRDefault="00BB32AB" w:rsidP="00BB32AB">
      <w:r w:rsidRPr="00037BB4">
        <w:rPr>
          <w:szCs w:val="24"/>
        </w:rPr>
        <w:fldChar w:fldCharType="begin"/>
      </w:r>
      <w:r w:rsidRPr="00037BB4">
        <w:rPr>
          <w:szCs w:val="24"/>
        </w:rPr>
        <w:instrText xml:space="preserve"> AUTONUM  </w:instrText>
      </w:r>
      <w:r w:rsidRPr="00037BB4">
        <w:rPr>
          <w:szCs w:val="24"/>
        </w:rPr>
        <w:fldChar w:fldCharType="end"/>
      </w:r>
      <w:r w:rsidRPr="00037BB4">
        <w:rPr>
          <w:szCs w:val="24"/>
        </w:rPr>
        <w:tab/>
      </w:r>
      <w:r w:rsidRPr="00037BB4">
        <w:t xml:space="preserve">The TWV suggested to the TC to consider available guidance on variety description and to consider whether new guidance on the role of the variety description and plant material should be drafted. </w:t>
      </w:r>
    </w:p>
    <w:p w:rsidR="009B511F" w:rsidRPr="00037BB4" w:rsidRDefault="009B511F" w:rsidP="009B511F"/>
    <w:p w:rsidR="009B511F" w:rsidRPr="00037BB4" w:rsidRDefault="009B511F" w:rsidP="009B511F">
      <w:pPr>
        <w:pStyle w:val="Heading2"/>
      </w:pPr>
      <w:bookmarkStart w:id="14" w:name="_Toc440299523"/>
      <w:bookmarkStart w:id="15" w:name="_Toc440377319"/>
      <w:bookmarkStart w:id="16" w:name="_Toc475625278"/>
      <w:r w:rsidRPr="00037BB4">
        <w:t>Technical Working Party for Agricultural Crops</w:t>
      </w:r>
      <w:bookmarkEnd w:id="14"/>
      <w:bookmarkEnd w:id="15"/>
      <w:bookmarkEnd w:id="16"/>
    </w:p>
    <w:p w:rsidR="00FF3165" w:rsidRPr="00037BB4" w:rsidRDefault="00FF3165" w:rsidP="00FF3165"/>
    <w:p w:rsidR="00FF3165" w:rsidRPr="00037BB4" w:rsidRDefault="00FF3165" w:rsidP="00FF3165">
      <w:r w:rsidRPr="00037BB4">
        <w:rPr>
          <w:snapToGrid w:val="0"/>
          <w:lang w:eastAsia="ja-JP"/>
        </w:rPr>
        <w:fldChar w:fldCharType="begin"/>
      </w:r>
      <w:r w:rsidRPr="00037BB4">
        <w:rPr>
          <w:snapToGrid w:val="0"/>
          <w:lang w:eastAsia="ja-JP"/>
        </w:rPr>
        <w:instrText xml:space="preserve"> AUTONUM  </w:instrText>
      </w:r>
      <w:r w:rsidRPr="00037BB4">
        <w:rPr>
          <w:snapToGrid w:val="0"/>
          <w:lang w:eastAsia="ja-JP"/>
        </w:rPr>
        <w:fldChar w:fldCharType="end"/>
      </w:r>
      <w:r w:rsidRPr="00037BB4">
        <w:rPr>
          <w:snapToGrid w:val="0"/>
          <w:lang w:eastAsia="ja-JP"/>
        </w:rPr>
        <w:tab/>
        <w:t>The TWA</w:t>
      </w:r>
      <w:r w:rsidR="00DF18D1" w:rsidRPr="00037BB4">
        <w:rPr>
          <w:snapToGrid w:val="0"/>
          <w:lang w:eastAsia="ja-JP"/>
        </w:rPr>
        <w:t>, at its forty-fifth session, held in Mexico City,</w:t>
      </w:r>
      <w:r w:rsidRPr="00037BB4">
        <w:rPr>
          <w:snapToGrid w:val="0"/>
          <w:lang w:eastAsia="ja-JP"/>
        </w:rPr>
        <w:t xml:space="preserve"> agreed </w:t>
      </w:r>
      <w:r w:rsidRPr="00037BB4">
        <w:t>that the description of a variety had limitations due to its link to the circumstances of the DUS examination but agreed that it was an important element of the plant variety protection system.</w:t>
      </w:r>
    </w:p>
    <w:p w:rsidR="00FF3165" w:rsidRPr="00037BB4" w:rsidRDefault="00FF3165" w:rsidP="00FF3165"/>
    <w:p w:rsidR="00FF3165" w:rsidRPr="00037BB4" w:rsidRDefault="00FF3165" w:rsidP="00FF3165">
      <w:r w:rsidRPr="00037BB4">
        <w:rPr>
          <w:snapToGrid w:val="0"/>
          <w:lang w:eastAsia="ja-JP"/>
        </w:rPr>
        <w:fldChar w:fldCharType="begin"/>
      </w:r>
      <w:r w:rsidRPr="00037BB4">
        <w:rPr>
          <w:snapToGrid w:val="0"/>
          <w:lang w:eastAsia="ja-JP"/>
        </w:rPr>
        <w:instrText xml:space="preserve"> AUTONUM  </w:instrText>
      </w:r>
      <w:r w:rsidRPr="00037BB4">
        <w:rPr>
          <w:snapToGrid w:val="0"/>
          <w:lang w:eastAsia="ja-JP"/>
        </w:rPr>
        <w:fldChar w:fldCharType="end"/>
      </w:r>
      <w:r w:rsidRPr="00037BB4">
        <w:rPr>
          <w:snapToGrid w:val="0"/>
          <w:lang w:eastAsia="ja-JP"/>
        </w:rPr>
        <w:tab/>
        <w:t xml:space="preserve">The TWA </w:t>
      </w:r>
      <w:r w:rsidRPr="00037BB4">
        <w:t xml:space="preserve">noted the following presentations made by experts on their experiences with regard to the role </w:t>
      </w:r>
      <w:r w:rsidRPr="00AB67B1">
        <w:t xml:space="preserve">of plant material used as the basis for the DUS examination in relation to matters presented in </w:t>
      </w:r>
      <w:r w:rsidR="00DF18D1" w:rsidRPr="00AB67B1">
        <w:t>paragraph 6 of this docum</w:t>
      </w:r>
      <w:r w:rsidR="00DF18D1" w:rsidRPr="00037BB4">
        <w:t>ent</w:t>
      </w:r>
      <w:r w:rsidRPr="00037BB4">
        <w:t xml:space="preserve"> (in alphabetical order):</w:t>
      </w:r>
    </w:p>
    <w:p w:rsidR="00FF3165" w:rsidRPr="00037BB4" w:rsidRDefault="00FF3165" w:rsidP="00FF3165"/>
    <w:tbl>
      <w:tblPr>
        <w:tblStyle w:val="TableGrid"/>
        <w:tblW w:w="90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520"/>
      </w:tblGrid>
      <w:tr w:rsidR="00FF3165" w:rsidRPr="00037BB4" w:rsidTr="00037BB4">
        <w:tc>
          <w:tcPr>
            <w:tcW w:w="2518" w:type="dxa"/>
          </w:tcPr>
          <w:p w:rsidR="00FF3165" w:rsidRPr="00037BB4" w:rsidRDefault="00FF3165" w:rsidP="00D956A6">
            <w:pPr>
              <w:rPr>
                <w:rFonts w:eastAsia="SimSun"/>
              </w:rPr>
            </w:pPr>
            <w:r w:rsidRPr="00037BB4">
              <w:rPr>
                <w:rFonts w:eastAsia="SimSun"/>
              </w:rPr>
              <w:t>Australia</w:t>
            </w:r>
          </w:p>
        </w:tc>
        <w:tc>
          <w:tcPr>
            <w:tcW w:w="6520" w:type="dxa"/>
          </w:tcPr>
          <w:p w:rsidR="00FF3165" w:rsidRPr="00037BB4" w:rsidRDefault="00FF3165" w:rsidP="00D956A6">
            <w:pPr>
              <w:rPr>
                <w:rFonts w:eastAsia="SimSun"/>
              </w:rPr>
            </w:pPr>
            <w:r w:rsidRPr="00037BB4">
              <w:rPr>
                <w:rFonts w:eastAsia="SimSun"/>
              </w:rPr>
              <w:t>Variety Descriptions in Australia</w:t>
            </w:r>
          </w:p>
        </w:tc>
      </w:tr>
      <w:tr w:rsidR="00FF3165" w:rsidRPr="00037BB4" w:rsidTr="00037BB4">
        <w:tc>
          <w:tcPr>
            <w:tcW w:w="2518" w:type="dxa"/>
          </w:tcPr>
          <w:p w:rsidR="00FF3165" w:rsidRPr="00037BB4" w:rsidRDefault="00FF3165" w:rsidP="00D956A6">
            <w:pPr>
              <w:rPr>
                <w:rFonts w:eastAsia="SimSun"/>
              </w:rPr>
            </w:pPr>
            <w:r w:rsidRPr="00037BB4">
              <w:rPr>
                <w:rFonts w:eastAsia="SimSun"/>
              </w:rPr>
              <w:t>European Union</w:t>
            </w:r>
          </w:p>
        </w:tc>
        <w:tc>
          <w:tcPr>
            <w:tcW w:w="6520" w:type="dxa"/>
          </w:tcPr>
          <w:p w:rsidR="00FF3165" w:rsidRPr="00037BB4" w:rsidRDefault="00FF3165" w:rsidP="00D956A6">
            <w:pPr>
              <w:rPr>
                <w:rFonts w:eastAsia="SimSun"/>
              </w:rPr>
            </w:pPr>
            <w:r w:rsidRPr="00037BB4">
              <w:rPr>
                <w:rFonts w:eastAsia="SimSun"/>
              </w:rPr>
              <w:t xml:space="preserve">Updating Variety Descriptions - Outcome of the Survey </w:t>
            </w:r>
          </w:p>
        </w:tc>
      </w:tr>
      <w:tr w:rsidR="00FF3165" w:rsidRPr="00037BB4" w:rsidTr="00037BB4">
        <w:tc>
          <w:tcPr>
            <w:tcW w:w="2518" w:type="dxa"/>
          </w:tcPr>
          <w:p w:rsidR="00FF3165" w:rsidRPr="00037BB4" w:rsidRDefault="00FF3165" w:rsidP="00D956A6">
            <w:pPr>
              <w:rPr>
                <w:rFonts w:eastAsia="SimSun"/>
              </w:rPr>
            </w:pPr>
            <w:r w:rsidRPr="00037BB4">
              <w:rPr>
                <w:rFonts w:eastAsia="SimSun"/>
              </w:rPr>
              <w:t xml:space="preserve">Germany </w:t>
            </w:r>
          </w:p>
        </w:tc>
        <w:tc>
          <w:tcPr>
            <w:tcW w:w="6520" w:type="dxa"/>
          </w:tcPr>
          <w:p w:rsidR="00FF3165" w:rsidRPr="00037BB4" w:rsidRDefault="00FF3165" w:rsidP="00D956A6">
            <w:pPr>
              <w:rPr>
                <w:rFonts w:eastAsia="SimSun"/>
              </w:rPr>
            </w:pPr>
            <w:r w:rsidRPr="00037BB4">
              <w:rPr>
                <w:rFonts w:eastAsia="SimSun"/>
              </w:rPr>
              <w:t>Development and Use of Variety Descriptions</w:t>
            </w:r>
          </w:p>
        </w:tc>
      </w:tr>
    </w:tbl>
    <w:p w:rsidR="00FF3165" w:rsidRPr="00037BB4" w:rsidRDefault="00FF3165" w:rsidP="00FF3165"/>
    <w:p w:rsidR="00FF3165" w:rsidRPr="00037BB4" w:rsidRDefault="00FF3165" w:rsidP="00FF3165">
      <w:pPr>
        <w:pStyle w:val="ListParagraph"/>
        <w:ind w:left="0"/>
        <w:rPr>
          <w:lang w:eastAsia="en-GB"/>
        </w:rPr>
      </w:pPr>
      <w:r w:rsidRPr="00037BB4">
        <w:rPr>
          <w:snapToGrid w:val="0"/>
          <w:lang w:eastAsia="ja-JP"/>
        </w:rPr>
        <w:fldChar w:fldCharType="begin"/>
      </w:r>
      <w:r w:rsidRPr="00037BB4">
        <w:rPr>
          <w:snapToGrid w:val="0"/>
          <w:lang w:eastAsia="ja-JP"/>
        </w:rPr>
        <w:instrText xml:space="preserve"> AUTONUM  </w:instrText>
      </w:r>
      <w:r w:rsidRPr="00037BB4">
        <w:rPr>
          <w:snapToGrid w:val="0"/>
          <w:lang w:eastAsia="ja-JP"/>
        </w:rPr>
        <w:fldChar w:fldCharType="end"/>
      </w:r>
      <w:r w:rsidRPr="00037BB4">
        <w:rPr>
          <w:snapToGrid w:val="0"/>
          <w:lang w:eastAsia="ja-JP"/>
        </w:rPr>
        <w:tab/>
        <w:t>The TWA</w:t>
      </w:r>
      <w:r w:rsidRPr="00037BB4">
        <w:t xml:space="preserve"> noted that the presentations</w:t>
      </w:r>
      <w:r w:rsidRPr="00037BB4">
        <w:rPr>
          <w:lang w:eastAsia="en-GB"/>
        </w:rPr>
        <w:t xml:space="preserve"> by the experts from the European Union and from Germany were available in Annexes I and II to document TWA/45/14 Add., and the presentation by the expert from Australia was available in the Annex to document TWA/45/14 Add.2.</w:t>
      </w:r>
    </w:p>
    <w:p w:rsidR="009B511F" w:rsidRPr="00037BB4" w:rsidRDefault="009B511F" w:rsidP="009B511F"/>
    <w:p w:rsidR="009B511F" w:rsidRPr="00037BB4" w:rsidRDefault="009B511F" w:rsidP="009B511F">
      <w:pPr>
        <w:pStyle w:val="Heading2"/>
      </w:pPr>
      <w:bookmarkStart w:id="17" w:name="_Toc440299524"/>
      <w:bookmarkStart w:id="18" w:name="_Toc440377320"/>
      <w:bookmarkStart w:id="19" w:name="_Toc475625279"/>
      <w:r w:rsidRPr="00037BB4">
        <w:t>Technical Working Party for Fruit Crops</w:t>
      </w:r>
      <w:bookmarkEnd w:id="17"/>
      <w:bookmarkEnd w:id="18"/>
      <w:bookmarkEnd w:id="19"/>
    </w:p>
    <w:p w:rsidR="009B511F" w:rsidRPr="00037BB4" w:rsidRDefault="009B511F" w:rsidP="009B511F">
      <w:pPr>
        <w:keepNext/>
      </w:pPr>
    </w:p>
    <w:p w:rsidR="00966795" w:rsidRPr="00037BB4" w:rsidRDefault="00966795" w:rsidP="00966795">
      <w:r w:rsidRPr="00037BB4">
        <w:fldChar w:fldCharType="begin"/>
      </w:r>
      <w:r w:rsidRPr="00037BB4">
        <w:instrText xml:space="preserve"> AUTONUM  </w:instrText>
      </w:r>
      <w:r w:rsidRPr="00037BB4">
        <w:fldChar w:fldCharType="end"/>
      </w:r>
      <w:r w:rsidRPr="00037BB4">
        <w:tab/>
        <w:t>The TWF</w:t>
      </w:r>
      <w:r w:rsidR="00DF18D1" w:rsidRPr="00037BB4">
        <w:t>, at its forty-sevent</w:t>
      </w:r>
      <w:r w:rsidR="00520F83">
        <w:t>h</w:t>
      </w:r>
      <w:r w:rsidR="00DF18D1" w:rsidRPr="00037BB4">
        <w:t xml:space="preserve"> session, held in Angers, France,</w:t>
      </w:r>
      <w:r w:rsidRPr="00037BB4">
        <w:t xml:space="preserve"> noted the </w:t>
      </w:r>
      <w:r w:rsidR="0020041A" w:rsidRPr="00037BB4">
        <w:t xml:space="preserve">following </w:t>
      </w:r>
      <w:r w:rsidRPr="00037BB4">
        <w:t>presentations made by experts on their experiences with regard to the role of plant material used as the basis for the DUS examination in relation to matters p</w:t>
      </w:r>
      <w:r w:rsidRPr="00AB67B1">
        <w:t xml:space="preserve">resented in </w:t>
      </w:r>
      <w:r w:rsidR="00DF18D1" w:rsidRPr="00AB67B1">
        <w:t>paragraph 6 of this doc</w:t>
      </w:r>
      <w:r w:rsidR="00DF18D1" w:rsidRPr="00037BB4">
        <w:t>ument</w:t>
      </w:r>
      <w:r w:rsidR="0020041A" w:rsidRPr="00037BB4">
        <w:t>:</w:t>
      </w:r>
    </w:p>
    <w:p w:rsidR="00966795" w:rsidRPr="00037BB4" w:rsidRDefault="00966795" w:rsidP="00966795"/>
    <w:tbl>
      <w:tblPr>
        <w:tblStyle w:val="TableGrid"/>
        <w:tblW w:w="903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520"/>
      </w:tblGrid>
      <w:tr w:rsidR="0020041A" w:rsidRPr="00037BB4" w:rsidTr="00037BB4">
        <w:tc>
          <w:tcPr>
            <w:tcW w:w="2518" w:type="dxa"/>
          </w:tcPr>
          <w:p w:rsidR="0020041A" w:rsidRPr="00037BB4" w:rsidRDefault="0020041A" w:rsidP="006475E5">
            <w:pPr>
              <w:rPr>
                <w:rFonts w:eastAsia="SimSun"/>
              </w:rPr>
            </w:pPr>
            <w:r w:rsidRPr="00037BB4">
              <w:rPr>
                <w:rFonts w:eastAsia="SimSun"/>
              </w:rPr>
              <w:t>European Union</w:t>
            </w:r>
          </w:p>
        </w:tc>
        <w:tc>
          <w:tcPr>
            <w:tcW w:w="6520" w:type="dxa"/>
          </w:tcPr>
          <w:p w:rsidR="0020041A" w:rsidRPr="00037BB4" w:rsidRDefault="0020041A" w:rsidP="006475E5">
            <w:pPr>
              <w:rPr>
                <w:rFonts w:eastAsia="SimSun"/>
              </w:rPr>
            </w:pPr>
            <w:r w:rsidRPr="00037BB4">
              <w:rPr>
                <w:rFonts w:eastAsia="SimSun"/>
              </w:rPr>
              <w:t>Updating Variety Descri</w:t>
            </w:r>
            <w:r w:rsidR="00037BB4">
              <w:rPr>
                <w:rFonts w:eastAsia="SimSun"/>
              </w:rPr>
              <w:t>ptions - Outcome of the Survey</w:t>
            </w:r>
          </w:p>
        </w:tc>
      </w:tr>
      <w:tr w:rsidR="0020041A" w:rsidRPr="00037BB4" w:rsidTr="00037BB4">
        <w:tc>
          <w:tcPr>
            <w:tcW w:w="2518" w:type="dxa"/>
          </w:tcPr>
          <w:p w:rsidR="0020041A" w:rsidRPr="00037BB4" w:rsidRDefault="0020041A" w:rsidP="006475E5">
            <w:pPr>
              <w:rPr>
                <w:rFonts w:eastAsia="SimSun"/>
              </w:rPr>
            </w:pPr>
            <w:r w:rsidRPr="00037BB4">
              <w:rPr>
                <w:rFonts w:eastAsia="SimSun"/>
              </w:rPr>
              <w:t xml:space="preserve">France </w:t>
            </w:r>
          </w:p>
        </w:tc>
        <w:tc>
          <w:tcPr>
            <w:tcW w:w="6520" w:type="dxa"/>
          </w:tcPr>
          <w:p w:rsidR="0020041A" w:rsidRPr="00037BB4" w:rsidRDefault="0020041A" w:rsidP="006475E5">
            <w:pPr>
              <w:rPr>
                <w:rFonts w:eastAsia="SimSun"/>
              </w:rPr>
            </w:pPr>
            <w:r w:rsidRPr="00037BB4">
              <w:t>The role of plant material used as the basis for the DUS examination for fruit species</w:t>
            </w:r>
          </w:p>
        </w:tc>
      </w:tr>
    </w:tbl>
    <w:p w:rsidR="0020041A" w:rsidRPr="00037BB4" w:rsidRDefault="0020041A" w:rsidP="00966795"/>
    <w:p w:rsidR="00966795" w:rsidRPr="00037BB4" w:rsidRDefault="00966795" w:rsidP="00966795">
      <w:pPr>
        <w:rPr>
          <w:rFonts w:eastAsiaTheme="minorEastAsia"/>
          <w:lang w:eastAsia="ja-JP"/>
        </w:rPr>
      </w:pPr>
      <w:r w:rsidRPr="00037BB4">
        <w:fldChar w:fldCharType="begin"/>
      </w:r>
      <w:r w:rsidRPr="00037BB4">
        <w:instrText xml:space="preserve"> AUTONUM  </w:instrText>
      </w:r>
      <w:r w:rsidRPr="00037BB4">
        <w:fldChar w:fldCharType="end"/>
      </w:r>
      <w:r w:rsidRPr="00037BB4">
        <w:tab/>
        <w:t xml:space="preserve">The TWF </w:t>
      </w:r>
      <w:r w:rsidR="0020041A" w:rsidRPr="00037BB4">
        <w:t xml:space="preserve">noted that copies of the presentations </w:t>
      </w:r>
      <w:r w:rsidR="006C55B7" w:rsidRPr="00037BB4">
        <w:rPr>
          <w:rFonts w:eastAsiaTheme="minorEastAsia"/>
          <w:lang w:eastAsia="ja-JP"/>
        </w:rPr>
        <w:t>was</w:t>
      </w:r>
      <w:r w:rsidRPr="00037BB4">
        <w:rPr>
          <w:rFonts w:eastAsiaTheme="minorEastAsia"/>
          <w:lang w:eastAsia="ja-JP"/>
        </w:rPr>
        <w:t xml:space="preserve"> provided in </w:t>
      </w:r>
      <w:r w:rsidR="0020041A" w:rsidRPr="00037BB4">
        <w:rPr>
          <w:rFonts w:eastAsiaTheme="minorEastAsia"/>
          <w:lang w:eastAsia="ja-JP"/>
        </w:rPr>
        <w:t xml:space="preserve">the </w:t>
      </w:r>
      <w:r w:rsidRPr="00037BB4">
        <w:rPr>
          <w:rFonts w:eastAsiaTheme="minorEastAsia"/>
          <w:lang w:eastAsia="ja-JP"/>
        </w:rPr>
        <w:t>Annex</w:t>
      </w:r>
      <w:r w:rsidR="0020041A" w:rsidRPr="00037BB4">
        <w:rPr>
          <w:rFonts w:eastAsiaTheme="minorEastAsia"/>
          <w:lang w:eastAsia="ja-JP"/>
        </w:rPr>
        <w:t>es</w:t>
      </w:r>
      <w:r w:rsidRPr="00037BB4">
        <w:rPr>
          <w:rFonts w:eastAsiaTheme="minorEastAsia"/>
          <w:lang w:eastAsia="ja-JP"/>
        </w:rPr>
        <w:t xml:space="preserve"> to document</w:t>
      </w:r>
      <w:r w:rsidR="0020041A" w:rsidRPr="00037BB4">
        <w:rPr>
          <w:rFonts w:eastAsiaTheme="minorEastAsia"/>
          <w:lang w:eastAsia="ja-JP"/>
        </w:rPr>
        <w:t> </w:t>
      </w:r>
      <w:r w:rsidRPr="00037BB4">
        <w:rPr>
          <w:rFonts w:eastAsiaTheme="minorEastAsia"/>
          <w:lang w:eastAsia="ja-JP"/>
        </w:rPr>
        <w:t>TWF/47/14</w:t>
      </w:r>
      <w:r w:rsidR="0020041A" w:rsidRPr="00037BB4">
        <w:rPr>
          <w:rFonts w:eastAsiaTheme="minorEastAsia"/>
          <w:lang w:eastAsia="ja-JP"/>
        </w:rPr>
        <w:t> </w:t>
      </w:r>
      <w:proofErr w:type="gramStart"/>
      <w:r w:rsidRPr="00037BB4">
        <w:rPr>
          <w:rFonts w:eastAsiaTheme="minorEastAsia"/>
          <w:lang w:eastAsia="ja-JP"/>
        </w:rPr>
        <w:t>Add..</w:t>
      </w:r>
      <w:proofErr w:type="gramEnd"/>
    </w:p>
    <w:p w:rsidR="00C535B2" w:rsidRPr="00037BB4" w:rsidRDefault="00C535B2" w:rsidP="00966795">
      <w:pPr>
        <w:rPr>
          <w:rFonts w:eastAsiaTheme="minorEastAsia"/>
          <w:lang w:eastAsia="ja-JP"/>
        </w:rPr>
      </w:pPr>
    </w:p>
    <w:p w:rsidR="00C535B2" w:rsidRPr="00037BB4" w:rsidRDefault="00C535B2" w:rsidP="00966795">
      <w:pPr>
        <w:rPr>
          <w:rFonts w:eastAsiaTheme="minorEastAsia"/>
          <w:lang w:eastAsia="ja-JP"/>
        </w:rPr>
      </w:pPr>
    </w:p>
    <w:p w:rsidR="00874430" w:rsidRPr="00037BB4" w:rsidRDefault="00874430" w:rsidP="00874430">
      <w:pPr>
        <w:pStyle w:val="Heading1"/>
        <w:rPr>
          <w:rFonts w:eastAsiaTheme="minorEastAsia"/>
          <w:lang w:eastAsia="ja-JP"/>
        </w:rPr>
      </w:pPr>
      <w:bookmarkStart w:id="20" w:name="_Toc475625280"/>
      <w:r w:rsidRPr="00037BB4">
        <w:rPr>
          <w:rFonts w:eastAsiaTheme="minorEastAsia"/>
          <w:lang w:eastAsia="ja-JP"/>
        </w:rPr>
        <w:lastRenderedPageBreak/>
        <w:t>PROPOSAL</w:t>
      </w:r>
      <w:bookmarkEnd w:id="20"/>
    </w:p>
    <w:p w:rsidR="009B511F" w:rsidRPr="00037BB4" w:rsidRDefault="009B511F" w:rsidP="009B511F">
      <w:pPr>
        <w:rPr>
          <w:rFonts w:cs="Arial"/>
        </w:rPr>
      </w:pPr>
    </w:p>
    <w:p w:rsidR="009B511F" w:rsidRPr="00037BB4" w:rsidRDefault="00874430" w:rsidP="00850A0A">
      <w:pPr>
        <w:rPr>
          <w:rFonts w:cs="Arial"/>
        </w:rPr>
      </w:pPr>
      <w:r w:rsidRPr="00037BB4">
        <w:rPr>
          <w:rFonts w:cs="Arial"/>
        </w:rPr>
        <w:fldChar w:fldCharType="begin"/>
      </w:r>
      <w:r w:rsidRPr="00037BB4">
        <w:rPr>
          <w:rFonts w:cs="Arial"/>
        </w:rPr>
        <w:instrText xml:space="preserve"> AUTONUM  </w:instrText>
      </w:r>
      <w:r w:rsidRPr="00037BB4">
        <w:rPr>
          <w:rFonts w:cs="Arial"/>
        </w:rPr>
        <w:fldChar w:fldCharType="end"/>
      </w:r>
      <w:r w:rsidRPr="00037BB4">
        <w:rPr>
          <w:rFonts w:cs="Arial"/>
        </w:rPr>
        <w:tab/>
        <w:t xml:space="preserve">On the basis of the comments by the TWPs, at their sessions in 2016, it is proposed that </w:t>
      </w:r>
      <w:r w:rsidR="00850A0A" w:rsidRPr="00037BB4">
        <w:rPr>
          <w:rFonts w:cs="Arial"/>
        </w:rPr>
        <w:t xml:space="preserve">the TC consider whether new guidance </w:t>
      </w:r>
      <w:r w:rsidR="00850A0A" w:rsidRPr="00037BB4">
        <w:t xml:space="preserve">on the role of the variety description and plant material should be drafted, taking into consideration (1) the purpose of the variety description developed at the time of the grant of the breeder’s right; (2) the status of the original variety description in relation to the verification of the conformity of plant material to a protected variety for enforcement of the breeder’s right; and (3) the conclusions provided by the expert from the European Union in document TWV/50/14 Add., Annex II, slide 19, as </w:t>
      </w:r>
      <w:r w:rsidR="00420191" w:rsidRPr="00037BB4">
        <w:t>follows</w:t>
      </w:r>
      <w:r w:rsidR="00850A0A" w:rsidRPr="00037BB4">
        <w:t>:</w:t>
      </w:r>
    </w:p>
    <w:p w:rsidR="00D10D5F" w:rsidRPr="00037BB4" w:rsidRDefault="00D10D5F" w:rsidP="00D10D5F"/>
    <w:p w:rsidR="00D10D5F" w:rsidRPr="00037BB4" w:rsidRDefault="00D10D5F" w:rsidP="00D10D5F">
      <w:pPr>
        <w:pStyle w:val="ListParagraph"/>
        <w:numPr>
          <w:ilvl w:val="0"/>
          <w:numId w:val="2"/>
        </w:numPr>
      </w:pPr>
      <w:r w:rsidRPr="00037BB4">
        <w:t>Notes of similar varieties shall come from the same growing trial as for the candidate variety</w:t>
      </w:r>
    </w:p>
    <w:p w:rsidR="00D10D5F" w:rsidRPr="00037BB4" w:rsidRDefault="00D10D5F" w:rsidP="00D10D5F">
      <w:pPr>
        <w:pStyle w:val="ListParagraph"/>
        <w:numPr>
          <w:ilvl w:val="0"/>
          <w:numId w:val="2"/>
        </w:numPr>
      </w:pPr>
      <w:r w:rsidRPr="00037BB4">
        <w:t>To inform parties concerned on amendments for the Official VD (variety description)</w:t>
      </w:r>
    </w:p>
    <w:p w:rsidR="00D10D5F" w:rsidRPr="00037BB4" w:rsidRDefault="00D10D5F" w:rsidP="00D10D5F">
      <w:pPr>
        <w:pStyle w:val="ListParagraph"/>
        <w:numPr>
          <w:ilvl w:val="0"/>
          <w:numId w:val="2"/>
        </w:numPr>
      </w:pPr>
      <w:r w:rsidRPr="00037BB4">
        <w:t>Agreement on data supplied to share databases</w:t>
      </w:r>
    </w:p>
    <w:p w:rsidR="00850A0A" w:rsidRPr="00037BB4" w:rsidRDefault="00850A0A" w:rsidP="009B511F">
      <w:pPr>
        <w:rPr>
          <w:rFonts w:cs="Arial"/>
        </w:rPr>
      </w:pPr>
    </w:p>
    <w:p w:rsidR="009B511F" w:rsidRPr="00037BB4" w:rsidRDefault="009B511F" w:rsidP="00850A0A">
      <w:pPr>
        <w:pStyle w:val="DecisionParagraphs"/>
        <w:tabs>
          <w:tab w:val="left" w:pos="5954"/>
          <w:tab w:val="left" w:pos="6521"/>
        </w:tabs>
        <w:rPr>
          <w:rFonts w:eastAsia="SimSun"/>
        </w:rPr>
      </w:pPr>
      <w:r w:rsidRPr="00037BB4">
        <w:fldChar w:fldCharType="begin"/>
      </w:r>
      <w:r w:rsidRPr="00037BB4">
        <w:instrText xml:space="preserve"> AUTONUM  </w:instrText>
      </w:r>
      <w:r w:rsidRPr="00037BB4">
        <w:fldChar w:fldCharType="end"/>
      </w:r>
      <w:r w:rsidRPr="00037BB4">
        <w:tab/>
        <w:t>The TC is invited to</w:t>
      </w:r>
      <w:r w:rsidR="00850A0A" w:rsidRPr="00037BB4">
        <w:t xml:space="preserve"> </w:t>
      </w:r>
      <w:r w:rsidR="00850A0A" w:rsidRPr="00037BB4">
        <w:rPr>
          <w:rFonts w:cs="Arial"/>
        </w:rPr>
        <w:t xml:space="preserve">consider whether new guidance </w:t>
      </w:r>
      <w:r w:rsidR="00850A0A" w:rsidRPr="00037BB4">
        <w:t xml:space="preserve">on the role of the variety description and plant material should be drafted, taking into consideration </w:t>
      </w:r>
      <w:r w:rsidR="00DA59DF" w:rsidRPr="00037BB4">
        <w:t xml:space="preserve">the </w:t>
      </w:r>
      <w:r w:rsidR="00DA59DF" w:rsidRPr="00AB67B1">
        <w:t xml:space="preserve">elements </w:t>
      </w:r>
      <w:r w:rsidR="00466830" w:rsidRPr="00AB67B1">
        <w:t>presented</w:t>
      </w:r>
      <w:r w:rsidR="00850A0A" w:rsidRPr="00AB67B1">
        <w:t xml:space="preserve"> </w:t>
      </w:r>
      <w:r w:rsidRPr="00AB67B1">
        <w:t>in paragraph</w:t>
      </w:r>
      <w:r w:rsidR="00DA59DF" w:rsidRPr="00AB67B1">
        <w:t> </w:t>
      </w:r>
      <w:r w:rsidR="00850A0A" w:rsidRPr="00AB67B1">
        <w:t>2</w:t>
      </w:r>
      <w:r w:rsidR="00037BB4" w:rsidRPr="00AB67B1">
        <w:t>0</w:t>
      </w:r>
      <w:r w:rsidRPr="00AB67B1">
        <w:t xml:space="preserve"> of this document.</w:t>
      </w:r>
    </w:p>
    <w:p w:rsidR="00050E16" w:rsidRPr="00037BB4" w:rsidRDefault="00050E16" w:rsidP="00050E16"/>
    <w:p w:rsidR="00544581" w:rsidRPr="00037BB4" w:rsidRDefault="00544581">
      <w:pPr>
        <w:jc w:val="left"/>
      </w:pPr>
    </w:p>
    <w:p w:rsidR="00050E16" w:rsidRPr="00037BB4" w:rsidRDefault="00050E16" w:rsidP="00050E16"/>
    <w:p w:rsidR="00490A3C" w:rsidRPr="00037BB4" w:rsidRDefault="00490A3C" w:rsidP="00490A3C">
      <w:pPr>
        <w:jc w:val="right"/>
        <w:sectPr w:rsidR="00490A3C" w:rsidRPr="00037BB4" w:rsidSect="00906DDC">
          <w:headerReference w:type="default" r:id="rId9"/>
          <w:pgSz w:w="11907" w:h="16840" w:code="9"/>
          <w:pgMar w:top="510" w:right="1134" w:bottom="1134" w:left="1134" w:header="510" w:footer="680" w:gutter="0"/>
          <w:cols w:space="720"/>
          <w:titlePg/>
        </w:sectPr>
      </w:pPr>
      <w:r w:rsidRPr="00037BB4">
        <w:t>[Annex follows]</w:t>
      </w:r>
    </w:p>
    <w:p w:rsidR="00490A3C" w:rsidRPr="00037BB4" w:rsidRDefault="00490A3C" w:rsidP="00490A3C">
      <w:pPr>
        <w:jc w:val="right"/>
      </w:pPr>
    </w:p>
    <w:p w:rsidR="00490A3C" w:rsidRPr="00037BB4" w:rsidRDefault="00490A3C" w:rsidP="00490A3C">
      <w:pPr>
        <w:jc w:val="center"/>
      </w:pPr>
      <w:r w:rsidRPr="00037BB4">
        <w:t xml:space="preserve">PURPOSE OF THE VARIETY DESCRIPTION DEVELOPED AT THE TIME OF THE GRANT OF THE BREEDER’S RIGHT AND STATUS OF THE ORIGINAL VARIETY DESCRIPTION IN RELATION TO </w:t>
      </w:r>
      <w:r w:rsidR="00681C0B">
        <w:t>THE VERIFICATION OF THE CONF</w:t>
      </w:r>
      <w:r w:rsidRPr="00037BB4">
        <w:t>ORMITY OF PLANT MATERIAL TO A PROTECTED VARIETY FOR ENFORCEMENT OF THE BREEDER’S RIGHT</w:t>
      </w:r>
    </w:p>
    <w:p w:rsidR="00490A3C" w:rsidRPr="00037BB4" w:rsidRDefault="00490A3C" w:rsidP="00490A3C"/>
    <w:p w:rsidR="00490A3C" w:rsidRPr="00037BB4" w:rsidRDefault="00490A3C" w:rsidP="00490A3C">
      <w:r w:rsidRPr="00037BB4">
        <w:t>The CAJ, at its seventy-first session, endorsed the conclusion of the CAJ-AG, at its ninth session, on the:</w:t>
      </w:r>
    </w:p>
    <w:p w:rsidR="00490A3C" w:rsidRPr="00037BB4" w:rsidRDefault="00490A3C" w:rsidP="00490A3C"/>
    <w:p w:rsidR="00490A3C" w:rsidRPr="00037BB4" w:rsidRDefault="00490A3C" w:rsidP="00490A3C">
      <w:r w:rsidRPr="00037BB4">
        <w:tab/>
        <w:t>(</w:t>
      </w:r>
      <w:proofErr w:type="spellStart"/>
      <w:r w:rsidRPr="00037BB4">
        <w:t>i</w:t>
      </w:r>
      <w:proofErr w:type="spellEnd"/>
      <w:r w:rsidRPr="00037BB4">
        <w:t>)</w:t>
      </w:r>
      <w:r w:rsidRPr="00037BB4">
        <w:tab/>
      </w:r>
      <w:proofErr w:type="gramStart"/>
      <w:r w:rsidRPr="00037BB4">
        <w:t>purpose</w:t>
      </w:r>
      <w:r w:rsidR="006B0731">
        <w:t>(s)</w:t>
      </w:r>
      <w:proofErr w:type="gramEnd"/>
      <w:r w:rsidRPr="00037BB4">
        <w:t xml:space="preserve"> of the variety description developed at the time of the grant of the breeder’s right (original variety description), as follows:</w:t>
      </w:r>
    </w:p>
    <w:p w:rsidR="00490A3C" w:rsidRPr="00037BB4" w:rsidRDefault="00490A3C" w:rsidP="00490A3C"/>
    <w:p w:rsidR="00490A3C" w:rsidRPr="00037BB4" w:rsidRDefault="00490A3C" w:rsidP="00490A3C">
      <w:r w:rsidRPr="00037BB4">
        <w:t>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 follows:</w:t>
      </w:r>
    </w:p>
    <w:p w:rsidR="00490A3C" w:rsidRPr="00037BB4" w:rsidRDefault="00490A3C" w:rsidP="00490A3C">
      <w:pPr>
        <w:ind w:left="567" w:right="567"/>
      </w:pPr>
    </w:p>
    <w:p w:rsidR="00490A3C" w:rsidRPr="00037BB4" w:rsidRDefault="00490A3C" w:rsidP="00490A3C">
      <w:pPr>
        <w:keepNext/>
        <w:ind w:left="1134" w:right="567"/>
      </w:pPr>
      <w:r w:rsidRPr="00037BB4">
        <w:t>(a)</w:t>
      </w:r>
      <w:r w:rsidRPr="00037BB4">
        <w:tab/>
      </w:r>
      <w:proofErr w:type="gramStart"/>
      <w:r w:rsidRPr="00037BB4">
        <w:t>to</w:t>
      </w:r>
      <w:proofErr w:type="gramEnd"/>
      <w:r w:rsidRPr="00037BB4">
        <w:t xml:space="preserve"> describe the characteristics of the variety; and</w:t>
      </w:r>
    </w:p>
    <w:p w:rsidR="00490A3C" w:rsidRPr="00037BB4" w:rsidRDefault="00490A3C" w:rsidP="00490A3C">
      <w:pPr>
        <w:ind w:left="1134" w:right="567"/>
      </w:pPr>
      <w:r w:rsidRPr="00037BB4">
        <w:t>(b)</w:t>
      </w:r>
      <w:r w:rsidRPr="00037BB4">
        <w:tab/>
      </w:r>
      <w:proofErr w:type="gramStart"/>
      <w:r w:rsidRPr="00037BB4">
        <w:t>to</w:t>
      </w:r>
      <w:proofErr w:type="gramEnd"/>
      <w:r w:rsidRPr="00037BB4">
        <w:t xml:space="preserve"> identify and list similar varieties and differences from these varieties; </w:t>
      </w:r>
    </w:p>
    <w:p w:rsidR="00490A3C" w:rsidRPr="00037BB4" w:rsidRDefault="00490A3C" w:rsidP="00490A3C">
      <w:pPr>
        <w:ind w:left="2835" w:right="567" w:hanging="1134"/>
      </w:pPr>
      <w:proofErr w:type="gramStart"/>
      <w:r w:rsidRPr="00037BB4">
        <w:t>combined</w:t>
      </w:r>
      <w:proofErr w:type="gramEnd"/>
      <w:r w:rsidRPr="00037BB4">
        <w:t xml:space="preserve"> with the information on the basis for (a) and (b), namely:</w:t>
      </w:r>
    </w:p>
    <w:p w:rsidR="00490A3C" w:rsidRPr="00037BB4" w:rsidRDefault="00490A3C" w:rsidP="00490A3C">
      <w:pPr>
        <w:ind w:left="1701" w:right="567"/>
      </w:pPr>
      <w:r w:rsidRPr="00037BB4">
        <w:rPr>
          <w:rFonts w:cs="Arial"/>
        </w:rPr>
        <w:t>▪</w:t>
      </w:r>
      <w:r w:rsidRPr="00037BB4">
        <w:tab/>
        <w:t>Date and document number of UPOV Test Guidelines;</w:t>
      </w:r>
    </w:p>
    <w:p w:rsidR="00490A3C" w:rsidRPr="00037BB4" w:rsidRDefault="00490A3C" w:rsidP="00490A3C">
      <w:pPr>
        <w:ind w:left="1701" w:right="567"/>
      </w:pPr>
      <w:r w:rsidRPr="00037BB4">
        <w:rPr>
          <w:rFonts w:cs="Arial"/>
        </w:rPr>
        <w:t>▪</w:t>
      </w:r>
      <w:r w:rsidRPr="00037BB4">
        <w:tab/>
        <w:t>Date and/or document number of Reporting Authority’s test guidelines;</w:t>
      </w:r>
    </w:p>
    <w:p w:rsidR="00490A3C" w:rsidRPr="00037BB4" w:rsidRDefault="00490A3C" w:rsidP="00490A3C">
      <w:pPr>
        <w:ind w:left="1701" w:right="567"/>
      </w:pPr>
      <w:r w:rsidRPr="00037BB4">
        <w:rPr>
          <w:rFonts w:cs="Arial"/>
        </w:rPr>
        <w:t>▪</w:t>
      </w:r>
      <w:r w:rsidRPr="00037BB4">
        <w:tab/>
        <w:t>Reporting Authority;</w:t>
      </w:r>
    </w:p>
    <w:p w:rsidR="00490A3C" w:rsidRPr="00037BB4" w:rsidRDefault="00490A3C" w:rsidP="00490A3C">
      <w:pPr>
        <w:ind w:left="1701" w:right="567"/>
      </w:pPr>
      <w:r w:rsidRPr="00037BB4">
        <w:rPr>
          <w:rFonts w:cs="Arial"/>
        </w:rPr>
        <w:t>▪</w:t>
      </w:r>
      <w:r w:rsidRPr="00037BB4">
        <w:tab/>
        <w:t>Testing station(s) and place(s);</w:t>
      </w:r>
    </w:p>
    <w:p w:rsidR="00490A3C" w:rsidRPr="00037BB4" w:rsidRDefault="00490A3C" w:rsidP="00490A3C">
      <w:pPr>
        <w:ind w:left="1701" w:right="567"/>
      </w:pPr>
      <w:r w:rsidRPr="00037BB4">
        <w:rPr>
          <w:rFonts w:cs="Arial"/>
        </w:rPr>
        <w:t>▪</w:t>
      </w:r>
      <w:r w:rsidRPr="00037BB4">
        <w:tab/>
        <w:t>Period of testing;</w:t>
      </w:r>
    </w:p>
    <w:p w:rsidR="00490A3C" w:rsidRPr="00037BB4" w:rsidRDefault="00490A3C" w:rsidP="00490A3C">
      <w:pPr>
        <w:ind w:left="1701" w:right="567"/>
      </w:pPr>
      <w:r w:rsidRPr="00037BB4">
        <w:rPr>
          <w:rFonts w:cs="Arial"/>
        </w:rPr>
        <w:t>▪</w:t>
      </w:r>
      <w:r w:rsidRPr="00037BB4">
        <w:tab/>
        <w:t>Date and place of issue of document;</w:t>
      </w:r>
    </w:p>
    <w:p w:rsidR="00490A3C" w:rsidRPr="00037BB4" w:rsidRDefault="00490A3C" w:rsidP="00490A3C">
      <w:pPr>
        <w:ind w:left="1701" w:right="567"/>
      </w:pPr>
      <w:r w:rsidRPr="00037BB4">
        <w:rPr>
          <w:rFonts w:cs="Arial"/>
        </w:rPr>
        <w:t>▪</w:t>
      </w:r>
      <w:r w:rsidRPr="00037BB4">
        <w:tab/>
        <w:t>Group: (Table: Characteristics; States of Expression; Note; Remarks);</w:t>
      </w:r>
    </w:p>
    <w:p w:rsidR="00490A3C" w:rsidRPr="00037BB4" w:rsidRDefault="00490A3C" w:rsidP="00490A3C">
      <w:pPr>
        <w:ind w:left="1701" w:right="567"/>
      </w:pPr>
      <w:r w:rsidRPr="00037BB4">
        <w:rPr>
          <w:rFonts w:cs="Arial"/>
        </w:rPr>
        <w:t>▪</w:t>
      </w:r>
      <w:r w:rsidRPr="00037BB4">
        <w:tab/>
        <w:t>Additional Information:</w:t>
      </w:r>
    </w:p>
    <w:p w:rsidR="00490A3C" w:rsidRPr="00037BB4" w:rsidRDefault="00490A3C" w:rsidP="00490A3C">
      <w:pPr>
        <w:tabs>
          <w:tab w:val="left" w:pos="2268"/>
          <w:tab w:val="left" w:pos="2835"/>
        </w:tabs>
        <w:ind w:left="1701" w:right="567"/>
      </w:pPr>
      <w:r w:rsidRPr="00037BB4">
        <w:tab/>
        <w:t>(a)</w:t>
      </w:r>
      <w:r w:rsidRPr="00037BB4">
        <w:tab/>
        <w:t>Additional Data</w:t>
      </w:r>
    </w:p>
    <w:p w:rsidR="00490A3C" w:rsidRPr="00037BB4" w:rsidRDefault="00490A3C" w:rsidP="00490A3C">
      <w:pPr>
        <w:tabs>
          <w:tab w:val="left" w:pos="2268"/>
          <w:tab w:val="left" w:pos="2835"/>
        </w:tabs>
        <w:ind w:left="1701" w:right="567"/>
      </w:pPr>
      <w:r w:rsidRPr="00037BB4">
        <w:tab/>
        <w:t>(b)</w:t>
      </w:r>
      <w:r w:rsidRPr="00037BB4">
        <w:tab/>
        <w:t>Photograph (if appropriate)</w:t>
      </w:r>
    </w:p>
    <w:p w:rsidR="00490A3C" w:rsidRPr="00037BB4" w:rsidRDefault="00490A3C" w:rsidP="00490A3C">
      <w:pPr>
        <w:tabs>
          <w:tab w:val="left" w:pos="2268"/>
          <w:tab w:val="left" w:pos="2835"/>
        </w:tabs>
        <w:ind w:left="1701" w:right="567"/>
      </w:pPr>
      <w:r w:rsidRPr="00037BB4">
        <w:tab/>
        <w:t>(c)</w:t>
      </w:r>
      <w:r w:rsidRPr="00037BB4">
        <w:tab/>
        <w:t xml:space="preserve">RHS </w:t>
      </w:r>
      <w:proofErr w:type="spellStart"/>
      <w:r w:rsidRPr="00037BB4">
        <w:t>Colour</w:t>
      </w:r>
      <w:proofErr w:type="spellEnd"/>
      <w:r w:rsidRPr="00037BB4">
        <w:t xml:space="preserve"> Chart version used (if appropriate)</w:t>
      </w:r>
    </w:p>
    <w:p w:rsidR="00490A3C" w:rsidRPr="00037BB4" w:rsidRDefault="00490A3C" w:rsidP="00490A3C">
      <w:pPr>
        <w:tabs>
          <w:tab w:val="left" w:pos="2268"/>
          <w:tab w:val="left" w:pos="2835"/>
        </w:tabs>
        <w:ind w:left="1701" w:right="567"/>
      </w:pPr>
      <w:r w:rsidRPr="00037BB4">
        <w:tab/>
      </w:r>
      <w:proofErr w:type="gramStart"/>
      <w:r w:rsidRPr="00037BB4">
        <w:t>(d)</w:t>
      </w:r>
      <w:r w:rsidRPr="00037BB4">
        <w:tab/>
        <w:t>Remarks.”</w:t>
      </w:r>
      <w:bookmarkStart w:id="21" w:name="_GoBack"/>
      <w:bookmarkEnd w:id="21"/>
      <w:proofErr w:type="gramEnd"/>
    </w:p>
    <w:p w:rsidR="00490A3C" w:rsidRPr="00037BB4" w:rsidRDefault="00490A3C" w:rsidP="00490A3C"/>
    <w:p w:rsidR="00490A3C" w:rsidRPr="00037BB4" w:rsidRDefault="00490A3C" w:rsidP="00490A3C">
      <w:pPr>
        <w:ind w:left="567"/>
      </w:pPr>
      <w:proofErr w:type="gramStart"/>
      <w:r w:rsidRPr="00037BB4">
        <w:t>and</w:t>
      </w:r>
      <w:proofErr w:type="gramEnd"/>
    </w:p>
    <w:p w:rsidR="00490A3C" w:rsidRPr="00037BB4" w:rsidRDefault="00490A3C" w:rsidP="00490A3C"/>
    <w:p w:rsidR="00490A3C" w:rsidRPr="00037BB4" w:rsidRDefault="00490A3C" w:rsidP="00490A3C">
      <w:r w:rsidRPr="00037BB4">
        <w:tab/>
        <w:t>(ii)</w:t>
      </w:r>
      <w:r w:rsidRPr="00037BB4">
        <w:tab/>
      </w:r>
      <w:proofErr w:type="gramStart"/>
      <w:r w:rsidRPr="00037BB4">
        <w:t>status</w:t>
      </w:r>
      <w:proofErr w:type="gramEnd"/>
      <w:r w:rsidRPr="00037BB4">
        <w:t xml:space="preserve"> of the original variety description in relation to the verification of the conformity of plant material to a protected variety for enforcement of the breeder’s right, as follows:</w:t>
      </w:r>
    </w:p>
    <w:p w:rsidR="00490A3C" w:rsidRPr="00037BB4" w:rsidRDefault="00490A3C" w:rsidP="00490A3C"/>
    <w:p w:rsidR="00490A3C" w:rsidRPr="00037BB4" w:rsidRDefault="00490A3C" w:rsidP="00490A3C">
      <w:pPr>
        <w:rPr>
          <w:snapToGrid w:val="0"/>
          <w:spacing w:val="-2"/>
          <w:szCs w:val="18"/>
        </w:rPr>
      </w:pPr>
      <w:r w:rsidRPr="00037BB4">
        <w:rPr>
          <w:snapToGrid w:val="0"/>
          <w:spacing w:val="-2"/>
          <w:szCs w:val="18"/>
        </w:rPr>
        <w:t>The CAJ-AG</w:t>
      </w:r>
      <w:r w:rsidRPr="00037BB4">
        <w:rPr>
          <w:spacing w:val="-2"/>
          <w:szCs w:val="18"/>
        </w:rPr>
        <w:t xml:space="preserve"> </w:t>
      </w:r>
      <w:r w:rsidRPr="00037BB4">
        <w:rPr>
          <w:snapToGrid w:val="0"/>
          <w:spacing w:val="-2"/>
          <w:szCs w:val="18"/>
        </w:rPr>
        <w:t xml:space="preserve">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 </w:t>
      </w:r>
    </w:p>
    <w:p w:rsidR="00490A3C" w:rsidRPr="00037BB4" w:rsidRDefault="00490A3C" w:rsidP="00490A3C">
      <w:pPr>
        <w:pStyle w:val="ListParagraph"/>
        <w:ind w:left="0"/>
        <w:rPr>
          <w:snapToGrid w:val="0"/>
          <w:szCs w:val="18"/>
        </w:rPr>
      </w:pPr>
    </w:p>
    <w:p w:rsidR="00490A3C" w:rsidRPr="00037BB4" w:rsidRDefault="00490A3C" w:rsidP="00674AF8">
      <w:pPr>
        <w:pStyle w:val="ListParagraph"/>
        <w:ind w:left="567" w:right="567"/>
        <w:rPr>
          <w:rFonts w:cs="Arial"/>
          <w:snapToGrid w:val="0"/>
          <w:szCs w:val="18"/>
        </w:rPr>
      </w:pPr>
      <w:r w:rsidRPr="00037BB4">
        <w:rPr>
          <w:rFonts w:cs="Arial"/>
          <w:snapToGrid w:val="0"/>
          <w:szCs w:val="18"/>
        </w:rPr>
        <w:t xml:space="preserve">“SECTION II: Some possible measures for the enforcement of breeders’ rights </w:t>
      </w:r>
    </w:p>
    <w:p w:rsidR="00490A3C" w:rsidRPr="00037BB4" w:rsidRDefault="00490A3C" w:rsidP="00674AF8">
      <w:pPr>
        <w:pStyle w:val="ListParagraph"/>
        <w:ind w:left="567" w:right="567"/>
        <w:rPr>
          <w:rFonts w:cs="Arial"/>
          <w:snapToGrid w:val="0"/>
          <w:szCs w:val="18"/>
        </w:rPr>
      </w:pPr>
    </w:p>
    <w:p w:rsidR="00490A3C" w:rsidRPr="00037BB4" w:rsidRDefault="00490A3C" w:rsidP="00674AF8">
      <w:pPr>
        <w:pStyle w:val="ListParagraph"/>
        <w:ind w:left="567" w:right="567"/>
        <w:rPr>
          <w:rFonts w:cs="Arial"/>
          <w:snapToGrid w:val="0"/>
          <w:szCs w:val="18"/>
        </w:rPr>
      </w:pPr>
      <w:r w:rsidRPr="00037BB4">
        <w:rPr>
          <w:rFonts w:cs="Arial"/>
          <w:snapToGrid w:val="0"/>
          <w:szCs w:val="18"/>
        </w:rPr>
        <w:t>“While the UPOV Convention requires members of the Union to provide for appropriate legal remedies for the effective enforcement of breeders’ rights, it is a matter for breeders to enforce their rights.”</w:t>
      </w:r>
    </w:p>
    <w:p w:rsidR="00490A3C" w:rsidRPr="00037BB4" w:rsidRDefault="00490A3C" w:rsidP="00490A3C">
      <w:pPr>
        <w:pStyle w:val="ListParagraph"/>
        <w:ind w:left="0"/>
        <w:rPr>
          <w:rFonts w:cs="Arial"/>
          <w:snapToGrid w:val="0"/>
          <w:szCs w:val="18"/>
        </w:rPr>
      </w:pPr>
    </w:p>
    <w:p w:rsidR="00490A3C" w:rsidRPr="00037BB4" w:rsidRDefault="00490A3C" w:rsidP="00490A3C">
      <w:pPr>
        <w:rPr>
          <w:rFonts w:cs="Arial"/>
          <w:snapToGrid w:val="0"/>
          <w:szCs w:val="18"/>
        </w:rPr>
      </w:pPr>
      <w:r w:rsidRPr="00037BB4">
        <w:rPr>
          <w:rFonts w:cs="Arial"/>
          <w:snapToGrid w:val="0"/>
          <w:szCs w:val="18"/>
        </w:rPr>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p>
    <w:p w:rsidR="00490A3C" w:rsidRPr="00037BB4" w:rsidRDefault="00490A3C" w:rsidP="00490A3C">
      <w:pPr>
        <w:ind w:left="567" w:right="567"/>
        <w:rPr>
          <w:rFonts w:cs="Arial"/>
          <w:snapToGrid w:val="0"/>
          <w:szCs w:val="18"/>
        </w:rPr>
      </w:pPr>
    </w:p>
    <w:p w:rsidR="00490A3C" w:rsidRPr="00037BB4" w:rsidRDefault="00490A3C" w:rsidP="00490A3C">
      <w:pPr>
        <w:pStyle w:val="ListParagraph"/>
        <w:keepNext/>
        <w:numPr>
          <w:ilvl w:val="2"/>
          <w:numId w:val="1"/>
        </w:numPr>
        <w:tabs>
          <w:tab w:val="left" w:pos="1134"/>
          <w:tab w:val="left" w:pos="1701"/>
        </w:tabs>
        <w:spacing w:line="276" w:lineRule="auto"/>
        <w:ind w:left="1134" w:right="567" w:firstLine="0"/>
        <w:rPr>
          <w:rFonts w:cs="Arial"/>
          <w:szCs w:val="18"/>
        </w:rPr>
      </w:pPr>
      <w:r w:rsidRPr="00037BB4">
        <w:rPr>
          <w:rFonts w:cs="Arial"/>
          <w:szCs w:val="18"/>
        </w:rPr>
        <w:t>Date and document number of UPOV Test Guidelines</w:t>
      </w:r>
      <w:r w:rsidRPr="00037BB4">
        <w:rPr>
          <w:rFonts w:cs="Arial"/>
          <w:snapToGrid w:val="0"/>
          <w:szCs w:val="18"/>
        </w:rPr>
        <w:t>;</w:t>
      </w:r>
    </w:p>
    <w:p w:rsidR="00490A3C" w:rsidRPr="00037BB4" w:rsidRDefault="00490A3C" w:rsidP="00490A3C">
      <w:pPr>
        <w:pStyle w:val="ListParagraph"/>
        <w:numPr>
          <w:ilvl w:val="2"/>
          <w:numId w:val="1"/>
        </w:numPr>
        <w:tabs>
          <w:tab w:val="left" w:pos="1134"/>
          <w:tab w:val="left" w:pos="1701"/>
          <w:tab w:val="left" w:pos="5103"/>
        </w:tabs>
        <w:spacing w:line="276" w:lineRule="auto"/>
        <w:ind w:left="1134" w:right="567" w:firstLine="0"/>
        <w:rPr>
          <w:rFonts w:cs="Arial"/>
          <w:szCs w:val="18"/>
        </w:rPr>
      </w:pPr>
      <w:r w:rsidRPr="00037BB4">
        <w:rPr>
          <w:rFonts w:cs="Arial"/>
          <w:szCs w:val="18"/>
        </w:rPr>
        <w:t>Date and/or document number of Reporting Authority’s test guidelines</w:t>
      </w:r>
      <w:r w:rsidRPr="00037BB4">
        <w:rPr>
          <w:rFonts w:cs="Arial"/>
          <w:snapToGrid w:val="0"/>
          <w:szCs w:val="18"/>
        </w:rPr>
        <w:t>;</w:t>
      </w:r>
    </w:p>
    <w:p w:rsidR="00490A3C" w:rsidRPr="00037BB4" w:rsidRDefault="00490A3C" w:rsidP="00490A3C">
      <w:pPr>
        <w:pStyle w:val="ListParagraph"/>
        <w:numPr>
          <w:ilvl w:val="2"/>
          <w:numId w:val="1"/>
        </w:numPr>
        <w:tabs>
          <w:tab w:val="left" w:pos="1134"/>
          <w:tab w:val="left" w:pos="1701"/>
          <w:tab w:val="left" w:pos="5103"/>
        </w:tabs>
        <w:spacing w:line="276" w:lineRule="auto"/>
        <w:ind w:left="1134" w:right="567" w:firstLine="0"/>
        <w:rPr>
          <w:rFonts w:cs="Arial"/>
          <w:szCs w:val="18"/>
        </w:rPr>
      </w:pPr>
      <w:r w:rsidRPr="00037BB4">
        <w:rPr>
          <w:rFonts w:cs="Arial"/>
          <w:szCs w:val="18"/>
        </w:rPr>
        <w:t>Reporting Authority</w:t>
      </w:r>
      <w:r w:rsidRPr="00037BB4">
        <w:rPr>
          <w:rFonts w:cs="Arial"/>
          <w:snapToGrid w:val="0"/>
          <w:szCs w:val="18"/>
        </w:rPr>
        <w:t>;</w:t>
      </w:r>
    </w:p>
    <w:p w:rsidR="00490A3C" w:rsidRPr="00037BB4" w:rsidRDefault="00490A3C" w:rsidP="00490A3C">
      <w:pPr>
        <w:pStyle w:val="ListParagraph"/>
        <w:numPr>
          <w:ilvl w:val="2"/>
          <w:numId w:val="1"/>
        </w:numPr>
        <w:tabs>
          <w:tab w:val="left" w:pos="1134"/>
          <w:tab w:val="left" w:pos="1701"/>
          <w:tab w:val="left" w:pos="5103"/>
        </w:tabs>
        <w:spacing w:line="276" w:lineRule="auto"/>
        <w:ind w:left="1134" w:right="567" w:firstLine="0"/>
        <w:rPr>
          <w:rFonts w:cs="Arial"/>
          <w:szCs w:val="18"/>
        </w:rPr>
      </w:pPr>
      <w:r w:rsidRPr="00037BB4">
        <w:rPr>
          <w:rFonts w:cs="Arial"/>
          <w:szCs w:val="18"/>
        </w:rPr>
        <w:t>Testing station(s) and place(s)</w:t>
      </w:r>
      <w:r w:rsidRPr="00037BB4">
        <w:rPr>
          <w:rFonts w:cs="Arial"/>
          <w:snapToGrid w:val="0"/>
          <w:szCs w:val="18"/>
        </w:rPr>
        <w:t>;</w:t>
      </w:r>
    </w:p>
    <w:p w:rsidR="00490A3C" w:rsidRPr="00037BB4" w:rsidRDefault="00490A3C" w:rsidP="00490A3C">
      <w:pPr>
        <w:pStyle w:val="ListParagraph"/>
        <w:numPr>
          <w:ilvl w:val="2"/>
          <w:numId w:val="1"/>
        </w:numPr>
        <w:tabs>
          <w:tab w:val="left" w:pos="1134"/>
          <w:tab w:val="left" w:pos="1701"/>
          <w:tab w:val="left" w:pos="5103"/>
        </w:tabs>
        <w:spacing w:line="276" w:lineRule="auto"/>
        <w:ind w:left="1134" w:right="567" w:firstLine="0"/>
        <w:rPr>
          <w:rFonts w:cs="Arial"/>
          <w:szCs w:val="18"/>
        </w:rPr>
      </w:pPr>
      <w:r w:rsidRPr="00037BB4">
        <w:rPr>
          <w:rFonts w:cs="Arial"/>
          <w:szCs w:val="18"/>
        </w:rPr>
        <w:t>Period of testing</w:t>
      </w:r>
      <w:r w:rsidRPr="00037BB4">
        <w:rPr>
          <w:rFonts w:cs="Arial"/>
          <w:snapToGrid w:val="0"/>
          <w:szCs w:val="18"/>
        </w:rPr>
        <w:t>;</w:t>
      </w:r>
    </w:p>
    <w:p w:rsidR="00490A3C" w:rsidRPr="00037BB4" w:rsidRDefault="00490A3C" w:rsidP="00490A3C">
      <w:pPr>
        <w:pStyle w:val="ListParagraph"/>
        <w:numPr>
          <w:ilvl w:val="2"/>
          <w:numId w:val="1"/>
        </w:numPr>
        <w:tabs>
          <w:tab w:val="left" w:pos="1134"/>
          <w:tab w:val="left" w:pos="1701"/>
          <w:tab w:val="left" w:pos="5103"/>
        </w:tabs>
        <w:spacing w:line="276" w:lineRule="auto"/>
        <w:ind w:left="1134" w:right="567" w:firstLine="0"/>
        <w:rPr>
          <w:rFonts w:cs="Arial"/>
          <w:szCs w:val="18"/>
        </w:rPr>
      </w:pPr>
      <w:r w:rsidRPr="00037BB4">
        <w:rPr>
          <w:rFonts w:cs="Arial"/>
          <w:szCs w:val="18"/>
        </w:rPr>
        <w:t>Date and place of issue of document</w:t>
      </w:r>
      <w:r w:rsidRPr="00037BB4">
        <w:rPr>
          <w:rFonts w:cs="Arial"/>
          <w:snapToGrid w:val="0"/>
          <w:szCs w:val="18"/>
        </w:rPr>
        <w:t>;</w:t>
      </w:r>
    </w:p>
    <w:p w:rsidR="00490A3C" w:rsidRPr="00037BB4" w:rsidRDefault="00490A3C" w:rsidP="00490A3C">
      <w:pPr>
        <w:pStyle w:val="ListParagraph"/>
        <w:numPr>
          <w:ilvl w:val="2"/>
          <w:numId w:val="1"/>
        </w:numPr>
        <w:tabs>
          <w:tab w:val="left" w:pos="1134"/>
          <w:tab w:val="left" w:pos="1701"/>
        </w:tabs>
        <w:spacing w:line="276" w:lineRule="auto"/>
        <w:ind w:left="1134" w:right="567" w:firstLine="0"/>
        <w:rPr>
          <w:rFonts w:cs="Arial"/>
          <w:szCs w:val="18"/>
        </w:rPr>
      </w:pPr>
      <w:r w:rsidRPr="00037BB4">
        <w:rPr>
          <w:rFonts w:cs="Arial"/>
          <w:szCs w:val="18"/>
        </w:rPr>
        <w:t>Group: (Table: Characteristics; States of Expression; Note; Remarks)</w:t>
      </w:r>
      <w:r w:rsidR="004D0AC1">
        <w:rPr>
          <w:rFonts w:cs="Arial"/>
          <w:snapToGrid w:val="0"/>
          <w:szCs w:val="18"/>
        </w:rPr>
        <w:t>.</w:t>
      </w:r>
    </w:p>
    <w:p w:rsidR="00490A3C" w:rsidRPr="00037BB4" w:rsidRDefault="00490A3C" w:rsidP="00490A3C">
      <w:pPr>
        <w:pStyle w:val="ListParagraph"/>
        <w:keepNext/>
        <w:numPr>
          <w:ilvl w:val="2"/>
          <w:numId w:val="1"/>
        </w:numPr>
        <w:tabs>
          <w:tab w:val="left" w:pos="1134"/>
          <w:tab w:val="left" w:pos="1701"/>
        </w:tabs>
        <w:spacing w:line="276" w:lineRule="auto"/>
        <w:ind w:left="1134" w:right="567" w:firstLine="0"/>
        <w:rPr>
          <w:rFonts w:cs="Arial"/>
          <w:szCs w:val="18"/>
        </w:rPr>
      </w:pPr>
      <w:r w:rsidRPr="00037BB4">
        <w:rPr>
          <w:rFonts w:cs="Arial"/>
          <w:szCs w:val="18"/>
        </w:rPr>
        <w:lastRenderedPageBreak/>
        <w:t>Additional Information:</w:t>
      </w:r>
    </w:p>
    <w:p w:rsidR="00490A3C" w:rsidRPr="00037BB4" w:rsidRDefault="00490A3C" w:rsidP="00490A3C">
      <w:pPr>
        <w:keepNext/>
        <w:tabs>
          <w:tab w:val="left" w:pos="1134"/>
          <w:tab w:val="left" w:pos="1701"/>
          <w:tab w:val="left" w:pos="2268"/>
          <w:tab w:val="left" w:pos="2835"/>
        </w:tabs>
        <w:spacing w:line="276" w:lineRule="auto"/>
        <w:ind w:left="1134" w:right="567"/>
        <w:rPr>
          <w:rFonts w:cs="Arial"/>
          <w:szCs w:val="18"/>
        </w:rPr>
      </w:pPr>
      <w:r w:rsidRPr="00037BB4">
        <w:rPr>
          <w:rFonts w:cs="Arial"/>
          <w:szCs w:val="18"/>
        </w:rPr>
        <w:tab/>
        <w:t>(a)</w:t>
      </w:r>
      <w:r w:rsidRPr="00037BB4">
        <w:rPr>
          <w:rFonts w:cs="Arial"/>
          <w:szCs w:val="18"/>
        </w:rPr>
        <w:tab/>
        <w:t>Additional Data</w:t>
      </w:r>
    </w:p>
    <w:p w:rsidR="00490A3C" w:rsidRPr="00037BB4" w:rsidRDefault="00490A3C" w:rsidP="00490A3C">
      <w:pPr>
        <w:keepNext/>
        <w:tabs>
          <w:tab w:val="left" w:pos="1134"/>
          <w:tab w:val="left" w:pos="1701"/>
          <w:tab w:val="left" w:pos="2268"/>
          <w:tab w:val="left" w:pos="2835"/>
        </w:tabs>
        <w:spacing w:line="276" w:lineRule="auto"/>
        <w:ind w:left="1134" w:right="567"/>
        <w:rPr>
          <w:rFonts w:cs="Arial"/>
          <w:color w:val="000000"/>
          <w:szCs w:val="18"/>
        </w:rPr>
      </w:pPr>
      <w:r w:rsidRPr="00037BB4">
        <w:rPr>
          <w:rFonts w:cs="Arial"/>
          <w:szCs w:val="18"/>
        </w:rPr>
        <w:tab/>
      </w:r>
      <w:r w:rsidRPr="00037BB4">
        <w:rPr>
          <w:rFonts w:cs="Arial"/>
          <w:color w:val="000000"/>
          <w:szCs w:val="18"/>
        </w:rPr>
        <w:t>(b)</w:t>
      </w:r>
      <w:r w:rsidRPr="00037BB4">
        <w:rPr>
          <w:rFonts w:cs="Arial"/>
          <w:color w:val="000000"/>
          <w:szCs w:val="18"/>
        </w:rPr>
        <w:tab/>
        <w:t>Photograph (if appropriate)</w:t>
      </w:r>
    </w:p>
    <w:p w:rsidR="00490A3C" w:rsidRPr="00037BB4" w:rsidRDefault="00490A3C" w:rsidP="00490A3C">
      <w:pPr>
        <w:keepNext/>
        <w:tabs>
          <w:tab w:val="left" w:pos="1134"/>
          <w:tab w:val="left" w:pos="1701"/>
          <w:tab w:val="left" w:pos="2268"/>
          <w:tab w:val="left" w:pos="2835"/>
        </w:tabs>
        <w:spacing w:line="276" w:lineRule="auto"/>
        <w:ind w:left="1134" w:right="567"/>
        <w:rPr>
          <w:rFonts w:cs="Arial"/>
          <w:color w:val="000000"/>
          <w:szCs w:val="18"/>
        </w:rPr>
      </w:pPr>
      <w:r w:rsidRPr="00037BB4">
        <w:rPr>
          <w:rFonts w:cs="Arial"/>
          <w:szCs w:val="18"/>
        </w:rPr>
        <w:tab/>
      </w:r>
      <w:r w:rsidRPr="00037BB4">
        <w:rPr>
          <w:rFonts w:cs="Arial"/>
          <w:color w:val="000000"/>
          <w:szCs w:val="18"/>
        </w:rPr>
        <w:t>(c)</w:t>
      </w:r>
      <w:r w:rsidRPr="00037BB4">
        <w:rPr>
          <w:rFonts w:cs="Arial"/>
          <w:color w:val="000000"/>
          <w:szCs w:val="18"/>
        </w:rPr>
        <w:tab/>
        <w:t xml:space="preserve">RHS </w:t>
      </w:r>
      <w:proofErr w:type="spellStart"/>
      <w:r w:rsidRPr="00037BB4">
        <w:rPr>
          <w:rFonts w:cs="Arial"/>
          <w:color w:val="000000"/>
          <w:szCs w:val="18"/>
        </w:rPr>
        <w:t>Colour</w:t>
      </w:r>
      <w:proofErr w:type="spellEnd"/>
      <w:r w:rsidRPr="00037BB4">
        <w:rPr>
          <w:rFonts w:cs="Arial"/>
          <w:color w:val="000000"/>
          <w:szCs w:val="18"/>
        </w:rPr>
        <w:t xml:space="preserve"> Chart version used (if appropriate)</w:t>
      </w:r>
    </w:p>
    <w:p w:rsidR="00490A3C" w:rsidRPr="00037BB4" w:rsidRDefault="00490A3C" w:rsidP="00490A3C">
      <w:pPr>
        <w:keepNext/>
        <w:tabs>
          <w:tab w:val="left" w:pos="284"/>
          <w:tab w:val="left" w:pos="1134"/>
          <w:tab w:val="left" w:pos="1701"/>
          <w:tab w:val="left" w:pos="2268"/>
          <w:tab w:val="left" w:pos="2835"/>
        </w:tabs>
        <w:spacing w:line="276" w:lineRule="auto"/>
        <w:ind w:left="1134" w:right="567"/>
        <w:rPr>
          <w:rFonts w:cs="Arial"/>
          <w:szCs w:val="18"/>
        </w:rPr>
      </w:pPr>
      <w:r w:rsidRPr="00037BB4">
        <w:rPr>
          <w:rFonts w:cs="Arial"/>
          <w:szCs w:val="18"/>
        </w:rPr>
        <w:tab/>
        <w:t>(d)</w:t>
      </w:r>
      <w:r w:rsidRPr="00037BB4">
        <w:rPr>
          <w:rFonts w:cs="Arial"/>
          <w:szCs w:val="18"/>
        </w:rPr>
        <w:tab/>
        <w:t>Remarks</w:t>
      </w:r>
    </w:p>
    <w:p w:rsidR="00490A3C" w:rsidRPr="00037BB4" w:rsidRDefault="00490A3C" w:rsidP="00490A3C">
      <w:pPr>
        <w:jc w:val="right"/>
      </w:pPr>
    </w:p>
    <w:p w:rsidR="00490A3C" w:rsidRPr="00037BB4" w:rsidRDefault="00490A3C" w:rsidP="00490A3C">
      <w:pPr>
        <w:jc w:val="right"/>
      </w:pPr>
    </w:p>
    <w:p w:rsidR="00490A3C" w:rsidRPr="00037BB4" w:rsidRDefault="00490A3C" w:rsidP="00490A3C">
      <w:pPr>
        <w:jc w:val="right"/>
      </w:pPr>
    </w:p>
    <w:p w:rsidR="00050E16" w:rsidRPr="00037BB4" w:rsidRDefault="00050E16" w:rsidP="00DA59DF">
      <w:pPr>
        <w:jc w:val="right"/>
      </w:pPr>
      <w:r w:rsidRPr="00037BB4">
        <w:t xml:space="preserve"> [End of </w:t>
      </w:r>
      <w:r w:rsidR="00674AF8" w:rsidRPr="00037BB4">
        <w:t xml:space="preserve">Annex and of </w:t>
      </w:r>
      <w:r w:rsidRPr="00037BB4">
        <w:t>document]</w:t>
      </w:r>
    </w:p>
    <w:sectPr w:rsidR="00050E16" w:rsidRPr="00037BB4" w:rsidSect="00490A3C">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12" w:rsidRDefault="00486612" w:rsidP="006655D3">
      <w:r>
        <w:separator/>
      </w:r>
    </w:p>
    <w:p w:rsidR="00486612" w:rsidRDefault="00486612" w:rsidP="006655D3"/>
    <w:p w:rsidR="00486612" w:rsidRDefault="00486612" w:rsidP="006655D3"/>
  </w:endnote>
  <w:endnote w:type="continuationSeparator" w:id="0">
    <w:p w:rsidR="00486612" w:rsidRDefault="00486612" w:rsidP="006655D3">
      <w:r>
        <w:separator/>
      </w:r>
    </w:p>
    <w:p w:rsidR="00486612" w:rsidRPr="00294751" w:rsidRDefault="00486612">
      <w:pPr>
        <w:pStyle w:val="Footer"/>
        <w:spacing w:after="60"/>
        <w:rPr>
          <w:sz w:val="18"/>
          <w:lang w:val="fr-FR"/>
        </w:rPr>
      </w:pPr>
      <w:r w:rsidRPr="00294751">
        <w:rPr>
          <w:sz w:val="18"/>
          <w:lang w:val="fr-FR"/>
        </w:rPr>
        <w:t>[Suite de la note de la page précédente]</w:t>
      </w:r>
    </w:p>
    <w:p w:rsidR="00486612" w:rsidRPr="00294751" w:rsidRDefault="00486612" w:rsidP="006655D3">
      <w:pPr>
        <w:rPr>
          <w:lang w:val="fr-FR"/>
        </w:rPr>
      </w:pPr>
    </w:p>
    <w:p w:rsidR="00486612" w:rsidRPr="00294751" w:rsidRDefault="00486612" w:rsidP="006655D3">
      <w:pPr>
        <w:rPr>
          <w:lang w:val="fr-FR"/>
        </w:rPr>
      </w:pPr>
    </w:p>
  </w:endnote>
  <w:endnote w:type="continuationNotice" w:id="1">
    <w:p w:rsidR="00486612" w:rsidRPr="00294751" w:rsidRDefault="00486612" w:rsidP="006655D3">
      <w:pPr>
        <w:rPr>
          <w:lang w:val="fr-FR"/>
        </w:rPr>
      </w:pPr>
      <w:r w:rsidRPr="00294751">
        <w:rPr>
          <w:lang w:val="fr-FR"/>
        </w:rPr>
        <w:t>[Suite de la note page suivante]</w:t>
      </w:r>
    </w:p>
    <w:p w:rsidR="00486612" w:rsidRPr="00294751" w:rsidRDefault="00486612" w:rsidP="006655D3">
      <w:pPr>
        <w:rPr>
          <w:lang w:val="fr-FR"/>
        </w:rPr>
      </w:pPr>
    </w:p>
    <w:p w:rsidR="00486612" w:rsidRPr="00294751" w:rsidRDefault="004866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12" w:rsidRDefault="00486612" w:rsidP="006655D3">
      <w:r>
        <w:separator/>
      </w:r>
    </w:p>
  </w:footnote>
  <w:footnote w:type="continuationSeparator" w:id="0">
    <w:p w:rsidR="00486612" w:rsidRDefault="00486612" w:rsidP="006655D3">
      <w:r>
        <w:separator/>
      </w:r>
    </w:p>
  </w:footnote>
  <w:footnote w:type="continuationNotice" w:id="1">
    <w:p w:rsidR="00486612" w:rsidRPr="00AB530F" w:rsidRDefault="0048661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B604D1" w:rsidP="00EB048E">
    <w:pPr>
      <w:pStyle w:val="Header"/>
      <w:rPr>
        <w:rStyle w:val="PageNumber"/>
        <w:lang w:val="en-US"/>
      </w:rPr>
    </w:pPr>
    <w:r>
      <w:rPr>
        <w:rStyle w:val="PageNumber"/>
        <w:lang w:val="en-US"/>
      </w:rPr>
      <w:t>TC/53/22</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202A">
      <w:rPr>
        <w:rStyle w:val="PageNumber"/>
        <w:noProof/>
        <w:lang w:val="en-US"/>
      </w:rPr>
      <w:t>4</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3C" w:rsidRPr="00C5280D" w:rsidRDefault="00490A3C" w:rsidP="00EB048E">
    <w:pPr>
      <w:pStyle w:val="Header"/>
      <w:rPr>
        <w:rStyle w:val="PageNumber"/>
        <w:lang w:val="en-US"/>
      </w:rPr>
    </w:pPr>
    <w:r>
      <w:rPr>
        <w:rStyle w:val="PageNumber"/>
        <w:lang w:val="en-US"/>
      </w:rPr>
      <w:t>TC/53/22</w:t>
    </w:r>
  </w:p>
  <w:p w:rsidR="00490A3C" w:rsidRPr="00C5280D" w:rsidRDefault="00490A3C"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202A">
      <w:rPr>
        <w:rStyle w:val="PageNumber"/>
        <w:noProof/>
        <w:lang w:val="en-US"/>
      </w:rPr>
      <w:t>2</w:t>
    </w:r>
    <w:r w:rsidRPr="00C5280D">
      <w:rPr>
        <w:rStyle w:val="PageNumber"/>
        <w:lang w:val="en-US"/>
      </w:rPr>
      <w:fldChar w:fldCharType="end"/>
    </w:r>
  </w:p>
  <w:p w:rsidR="00490A3C" w:rsidRPr="00C5280D" w:rsidRDefault="00490A3C"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A3C" w:rsidRDefault="00490A3C">
    <w:pPr>
      <w:pStyle w:val="Header"/>
      <w:rPr>
        <w:lang w:val="en-US"/>
      </w:rPr>
    </w:pPr>
    <w:r>
      <w:rPr>
        <w:lang w:val="en-US"/>
      </w:rPr>
      <w:t>TC/53/22</w:t>
    </w:r>
  </w:p>
  <w:p w:rsidR="00490A3C" w:rsidRDefault="00490A3C">
    <w:pPr>
      <w:pStyle w:val="Header"/>
      <w:rPr>
        <w:lang w:val="en-US"/>
      </w:rPr>
    </w:pPr>
  </w:p>
  <w:p w:rsidR="00490A3C" w:rsidRDefault="00490A3C">
    <w:pPr>
      <w:pStyle w:val="Header"/>
      <w:rPr>
        <w:lang w:val="en-US"/>
      </w:rPr>
    </w:pPr>
    <w:r>
      <w:rPr>
        <w:lang w:val="en-US"/>
      </w:rPr>
      <w:t>ANNEX</w:t>
    </w:r>
  </w:p>
  <w:p w:rsidR="00490A3C" w:rsidRPr="00490A3C" w:rsidRDefault="00490A3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37BB4"/>
    <w:rsid w:val="00044642"/>
    <w:rsid w:val="000446B9"/>
    <w:rsid w:val="00047E21"/>
    <w:rsid w:val="00050E16"/>
    <w:rsid w:val="00051EB1"/>
    <w:rsid w:val="000765BA"/>
    <w:rsid w:val="00076F15"/>
    <w:rsid w:val="00085505"/>
    <w:rsid w:val="000A128F"/>
    <w:rsid w:val="000B1E50"/>
    <w:rsid w:val="000C4E25"/>
    <w:rsid w:val="000C7021"/>
    <w:rsid w:val="000D6BBC"/>
    <w:rsid w:val="000D7780"/>
    <w:rsid w:val="000E636A"/>
    <w:rsid w:val="000F2F11"/>
    <w:rsid w:val="00105929"/>
    <w:rsid w:val="00110C36"/>
    <w:rsid w:val="001131D5"/>
    <w:rsid w:val="00141DB8"/>
    <w:rsid w:val="00160F18"/>
    <w:rsid w:val="00172084"/>
    <w:rsid w:val="0017474A"/>
    <w:rsid w:val="001758C6"/>
    <w:rsid w:val="00176ED3"/>
    <w:rsid w:val="00182B99"/>
    <w:rsid w:val="00196143"/>
    <w:rsid w:val="001A1BBF"/>
    <w:rsid w:val="001B4C9A"/>
    <w:rsid w:val="001D5FDE"/>
    <w:rsid w:val="001F5399"/>
    <w:rsid w:val="0020041A"/>
    <w:rsid w:val="00212D71"/>
    <w:rsid w:val="0021332C"/>
    <w:rsid w:val="00213982"/>
    <w:rsid w:val="0024416D"/>
    <w:rsid w:val="00271911"/>
    <w:rsid w:val="002800A0"/>
    <w:rsid w:val="002801B3"/>
    <w:rsid w:val="00281060"/>
    <w:rsid w:val="002940E8"/>
    <w:rsid w:val="00294751"/>
    <w:rsid w:val="002A2C4F"/>
    <w:rsid w:val="002A6E50"/>
    <w:rsid w:val="002A7865"/>
    <w:rsid w:val="002B4298"/>
    <w:rsid w:val="002C175F"/>
    <w:rsid w:val="002C256A"/>
    <w:rsid w:val="00304827"/>
    <w:rsid w:val="00305A7F"/>
    <w:rsid w:val="003152FE"/>
    <w:rsid w:val="00327436"/>
    <w:rsid w:val="00344BD6"/>
    <w:rsid w:val="0035528D"/>
    <w:rsid w:val="00361821"/>
    <w:rsid w:val="00361E9E"/>
    <w:rsid w:val="003C7FBE"/>
    <w:rsid w:val="003D227C"/>
    <w:rsid w:val="003D2B4D"/>
    <w:rsid w:val="004174C6"/>
    <w:rsid w:val="00417A9C"/>
    <w:rsid w:val="00420191"/>
    <w:rsid w:val="00444A88"/>
    <w:rsid w:val="004467A3"/>
    <w:rsid w:val="004657BD"/>
    <w:rsid w:val="00466830"/>
    <w:rsid w:val="00474DA4"/>
    <w:rsid w:val="00476B4D"/>
    <w:rsid w:val="004805FA"/>
    <w:rsid w:val="00486612"/>
    <w:rsid w:val="00490A3C"/>
    <w:rsid w:val="004935D2"/>
    <w:rsid w:val="004B1215"/>
    <w:rsid w:val="004D047D"/>
    <w:rsid w:val="004D0AC1"/>
    <w:rsid w:val="004D330A"/>
    <w:rsid w:val="004F1E9E"/>
    <w:rsid w:val="004F2B3E"/>
    <w:rsid w:val="004F305A"/>
    <w:rsid w:val="00512164"/>
    <w:rsid w:val="00520297"/>
    <w:rsid w:val="00520F83"/>
    <w:rsid w:val="005338F9"/>
    <w:rsid w:val="0054281C"/>
    <w:rsid w:val="00544581"/>
    <w:rsid w:val="00550581"/>
    <w:rsid w:val="0055268D"/>
    <w:rsid w:val="00576BE4"/>
    <w:rsid w:val="005A400A"/>
    <w:rsid w:val="005C7C50"/>
    <w:rsid w:val="005D3971"/>
    <w:rsid w:val="005F5ACA"/>
    <w:rsid w:val="005F7B92"/>
    <w:rsid w:val="00607CA7"/>
    <w:rsid w:val="0061202A"/>
    <w:rsid w:val="00612379"/>
    <w:rsid w:val="006153B6"/>
    <w:rsid w:val="0061555F"/>
    <w:rsid w:val="00636CA6"/>
    <w:rsid w:val="00641200"/>
    <w:rsid w:val="0064336D"/>
    <w:rsid w:val="00645CA8"/>
    <w:rsid w:val="006604F7"/>
    <w:rsid w:val="006655D3"/>
    <w:rsid w:val="00667404"/>
    <w:rsid w:val="00674AF8"/>
    <w:rsid w:val="00681C0B"/>
    <w:rsid w:val="00687EB4"/>
    <w:rsid w:val="00695C56"/>
    <w:rsid w:val="006A5CDE"/>
    <w:rsid w:val="006A644A"/>
    <w:rsid w:val="006B0731"/>
    <w:rsid w:val="006B17D2"/>
    <w:rsid w:val="006B4BD0"/>
    <w:rsid w:val="006C224E"/>
    <w:rsid w:val="006C55B7"/>
    <w:rsid w:val="006D780A"/>
    <w:rsid w:val="006E0816"/>
    <w:rsid w:val="006E6ACE"/>
    <w:rsid w:val="0071271E"/>
    <w:rsid w:val="00732DEC"/>
    <w:rsid w:val="00735491"/>
    <w:rsid w:val="00735BD5"/>
    <w:rsid w:val="00751613"/>
    <w:rsid w:val="007556F6"/>
    <w:rsid w:val="00760EEF"/>
    <w:rsid w:val="007659E5"/>
    <w:rsid w:val="00775FBD"/>
    <w:rsid w:val="00777EE5"/>
    <w:rsid w:val="00784836"/>
    <w:rsid w:val="0079023E"/>
    <w:rsid w:val="007A2854"/>
    <w:rsid w:val="007C1D92"/>
    <w:rsid w:val="007C4CB9"/>
    <w:rsid w:val="007D0B9D"/>
    <w:rsid w:val="007D19B0"/>
    <w:rsid w:val="007F0481"/>
    <w:rsid w:val="007F498F"/>
    <w:rsid w:val="0080679D"/>
    <w:rsid w:val="008108B0"/>
    <w:rsid w:val="00810C74"/>
    <w:rsid w:val="00811B20"/>
    <w:rsid w:val="008211B5"/>
    <w:rsid w:val="0082296E"/>
    <w:rsid w:val="00824099"/>
    <w:rsid w:val="00846D7C"/>
    <w:rsid w:val="00850A0A"/>
    <w:rsid w:val="00867AC1"/>
    <w:rsid w:val="00871F3A"/>
    <w:rsid w:val="00874430"/>
    <w:rsid w:val="008858D9"/>
    <w:rsid w:val="00890DF8"/>
    <w:rsid w:val="008A743F"/>
    <w:rsid w:val="008C0970"/>
    <w:rsid w:val="008D0BC5"/>
    <w:rsid w:val="008D2CF7"/>
    <w:rsid w:val="00900C26"/>
    <w:rsid w:val="0090197F"/>
    <w:rsid w:val="00906DDC"/>
    <w:rsid w:val="009103CD"/>
    <w:rsid w:val="009162E2"/>
    <w:rsid w:val="00924FA1"/>
    <w:rsid w:val="00927BD0"/>
    <w:rsid w:val="00934E09"/>
    <w:rsid w:val="00936253"/>
    <w:rsid w:val="00940D46"/>
    <w:rsid w:val="00952DD4"/>
    <w:rsid w:val="00965AE7"/>
    <w:rsid w:val="00966795"/>
    <w:rsid w:val="00970FED"/>
    <w:rsid w:val="00990B2A"/>
    <w:rsid w:val="00992D82"/>
    <w:rsid w:val="00997029"/>
    <w:rsid w:val="009A7339"/>
    <w:rsid w:val="009B440E"/>
    <w:rsid w:val="009B511F"/>
    <w:rsid w:val="009D690D"/>
    <w:rsid w:val="009E65B6"/>
    <w:rsid w:val="00A24C10"/>
    <w:rsid w:val="00A42AC3"/>
    <w:rsid w:val="00A430CF"/>
    <w:rsid w:val="00A54309"/>
    <w:rsid w:val="00A71F4A"/>
    <w:rsid w:val="00A83186"/>
    <w:rsid w:val="00AB2B93"/>
    <w:rsid w:val="00AB530F"/>
    <w:rsid w:val="00AB67B1"/>
    <w:rsid w:val="00AB7E5B"/>
    <w:rsid w:val="00AC2883"/>
    <w:rsid w:val="00AE0EF1"/>
    <w:rsid w:val="00AE2937"/>
    <w:rsid w:val="00AE4C19"/>
    <w:rsid w:val="00AF0BD8"/>
    <w:rsid w:val="00B040FC"/>
    <w:rsid w:val="00B07301"/>
    <w:rsid w:val="00B11F3E"/>
    <w:rsid w:val="00B224DE"/>
    <w:rsid w:val="00B324D4"/>
    <w:rsid w:val="00B4476B"/>
    <w:rsid w:val="00B46575"/>
    <w:rsid w:val="00B53502"/>
    <w:rsid w:val="00B56334"/>
    <w:rsid w:val="00B604D1"/>
    <w:rsid w:val="00B61777"/>
    <w:rsid w:val="00B84BBD"/>
    <w:rsid w:val="00BA43FB"/>
    <w:rsid w:val="00BB32AB"/>
    <w:rsid w:val="00BC127D"/>
    <w:rsid w:val="00BC1FE6"/>
    <w:rsid w:val="00C061B6"/>
    <w:rsid w:val="00C2446C"/>
    <w:rsid w:val="00C3317D"/>
    <w:rsid w:val="00C36AE5"/>
    <w:rsid w:val="00C41F17"/>
    <w:rsid w:val="00C527FA"/>
    <w:rsid w:val="00C5280D"/>
    <w:rsid w:val="00C535B2"/>
    <w:rsid w:val="00C53EB3"/>
    <w:rsid w:val="00C5791C"/>
    <w:rsid w:val="00C66290"/>
    <w:rsid w:val="00C71179"/>
    <w:rsid w:val="00C72B7A"/>
    <w:rsid w:val="00C75F2E"/>
    <w:rsid w:val="00C86D83"/>
    <w:rsid w:val="00C973F2"/>
    <w:rsid w:val="00CA304C"/>
    <w:rsid w:val="00CA774A"/>
    <w:rsid w:val="00CB132F"/>
    <w:rsid w:val="00CC11B0"/>
    <w:rsid w:val="00CC2841"/>
    <w:rsid w:val="00CE6453"/>
    <w:rsid w:val="00CF1330"/>
    <w:rsid w:val="00CF6B7F"/>
    <w:rsid w:val="00CF7E36"/>
    <w:rsid w:val="00D10D5F"/>
    <w:rsid w:val="00D22DB2"/>
    <w:rsid w:val="00D3708D"/>
    <w:rsid w:val="00D40426"/>
    <w:rsid w:val="00D57C96"/>
    <w:rsid w:val="00D57D18"/>
    <w:rsid w:val="00D91203"/>
    <w:rsid w:val="00D95174"/>
    <w:rsid w:val="00DA4973"/>
    <w:rsid w:val="00DA59DF"/>
    <w:rsid w:val="00DA6F36"/>
    <w:rsid w:val="00DB596E"/>
    <w:rsid w:val="00DB7773"/>
    <w:rsid w:val="00DC00EA"/>
    <w:rsid w:val="00DC3802"/>
    <w:rsid w:val="00DF18D1"/>
    <w:rsid w:val="00E07D87"/>
    <w:rsid w:val="00E32F7E"/>
    <w:rsid w:val="00E5267B"/>
    <w:rsid w:val="00E63C0E"/>
    <w:rsid w:val="00E72D49"/>
    <w:rsid w:val="00E744B2"/>
    <w:rsid w:val="00E7593C"/>
    <w:rsid w:val="00E7678A"/>
    <w:rsid w:val="00E935F1"/>
    <w:rsid w:val="00E94A81"/>
    <w:rsid w:val="00EA0789"/>
    <w:rsid w:val="00EA1FFB"/>
    <w:rsid w:val="00EB048E"/>
    <w:rsid w:val="00EB4E9C"/>
    <w:rsid w:val="00EC3009"/>
    <w:rsid w:val="00EE34DF"/>
    <w:rsid w:val="00EF16C8"/>
    <w:rsid w:val="00EF2F89"/>
    <w:rsid w:val="00F030B4"/>
    <w:rsid w:val="00F03E98"/>
    <w:rsid w:val="00F10BB1"/>
    <w:rsid w:val="00F1237A"/>
    <w:rsid w:val="00F22CBD"/>
    <w:rsid w:val="00F272F1"/>
    <w:rsid w:val="00F45372"/>
    <w:rsid w:val="00F560F7"/>
    <w:rsid w:val="00F6334D"/>
    <w:rsid w:val="00F850C1"/>
    <w:rsid w:val="00F86C15"/>
    <w:rsid w:val="00FA1375"/>
    <w:rsid w:val="00FA49AB"/>
    <w:rsid w:val="00FE39C7"/>
    <w:rsid w:val="00FF316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2A2C4F"/>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37BB4"/>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9B511F"/>
    <w:rPr>
      <w:rFonts w:ascii="Arial" w:hAnsi="Arial"/>
      <w:caps/>
    </w:rPr>
  </w:style>
  <w:style w:type="paragraph" w:styleId="ListParagraph">
    <w:name w:val="List Paragraph"/>
    <w:basedOn w:val="Normal"/>
    <w:uiPriority w:val="34"/>
    <w:qFormat/>
    <w:rsid w:val="009B511F"/>
    <w:pPr>
      <w:ind w:left="720"/>
      <w:contextualSpacing/>
    </w:pPr>
  </w:style>
  <w:style w:type="character" w:styleId="Emphasis">
    <w:name w:val="Emphasis"/>
    <w:basedOn w:val="DefaultParagraphFont"/>
    <w:qFormat/>
    <w:rsid w:val="009B511F"/>
    <w:rPr>
      <w:i/>
      <w:iCs/>
    </w:rPr>
  </w:style>
  <w:style w:type="table" w:styleId="TableGrid">
    <w:name w:val="Table Grid"/>
    <w:basedOn w:val="TableNormal"/>
    <w:rsid w:val="009B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B511F"/>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2A2C4F"/>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37BB4"/>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9B511F"/>
    <w:rPr>
      <w:rFonts w:ascii="Arial" w:hAnsi="Arial"/>
      <w:caps/>
    </w:rPr>
  </w:style>
  <w:style w:type="paragraph" w:styleId="ListParagraph">
    <w:name w:val="List Paragraph"/>
    <w:basedOn w:val="Normal"/>
    <w:uiPriority w:val="34"/>
    <w:qFormat/>
    <w:rsid w:val="009B511F"/>
    <w:pPr>
      <w:ind w:left="720"/>
      <w:contextualSpacing/>
    </w:pPr>
  </w:style>
  <w:style w:type="character" w:styleId="Emphasis">
    <w:name w:val="Emphasis"/>
    <w:basedOn w:val="DefaultParagraphFont"/>
    <w:qFormat/>
    <w:rsid w:val="009B511F"/>
    <w:rPr>
      <w:i/>
      <w:iCs/>
    </w:rPr>
  </w:style>
  <w:style w:type="table" w:styleId="TableGrid">
    <w:name w:val="Table Grid"/>
    <w:basedOn w:val="TableNormal"/>
    <w:rsid w:val="009B5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B511F"/>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465</TotalTime>
  <Pages>6</Pages>
  <Words>2078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44</cp:revision>
  <cp:lastPrinted>2017-02-23T14:17:00Z</cp:lastPrinted>
  <dcterms:created xsi:type="dcterms:W3CDTF">2017-01-13T10:11:00Z</dcterms:created>
  <dcterms:modified xsi:type="dcterms:W3CDTF">2017-02-23T14:55:00Z</dcterms:modified>
</cp:coreProperties>
</file>