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AC2883">
            <w:pPr>
              <w:pStyle w:val="Sessiontcplacedate"/>
              <w:rPr>
                <w:sz w:val="22"/>
              </w:rPr>
            </w:pPr>
            <w:r w:rsidRPr="00DA4973">
              <w:t>Fifty-Third Session</w:t>
            </w:r>
            <w:r w:rsidRPr="00DA4973">
              <w:br/>
              <w:t>Geneva, April 3 to 5, 2017</w:t>
            </w:r>
          </w:p>
        </w:tc>
        <w:tc>
          <w:tcPr>
            <w:tcW w:w="3127" w:type="dxa"/>
          </w:tcPr>
          <w:p w:rsidR="00EB4E9C" w:rsidRPr="003C7FBE" w:rsidRDefault="007F0481" w:rsidP="003C7FBE">
            <w:pPr>
              <w:pStyle w:val="Doccode"/>
            </w:pPr>
            <w:r>
              <w:t>TC/53/17</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242743">
            <w:pPr>
              <w:pStyle w:val="Docoriginal"/>
            </w:pPr>
            <w:r w:rsidRPr="00AC2883">
              <w:t>Date:</w:t>
            </w:r>
            <w:r w:rsidRPr="000E636A">
              <w:rPr>
                <w:b w:val="0"/>
                <w:spacing w:val="0"/>
              </w:rPr>
              <w:t xml:space="preserve">  </w:t>
            </w:r>
            <w:r w:rsidR="00242743" w:rsidRPr="00F74A90">
              <w:rPr>
                <w:b w:val="0"/>
                <w:spacing w:val="0"/>
              </w:rPr>
              <w:t>February</w:t>
            </w:r>
            <w:r w:rsidR="00F74A90" w:rsidRPr="00F74A90">
              <w:rPr>
                <w:b w:val="0"/>
                <w:spacing w:val="0"/>
              </w:rPr>
              <w:t xml:space="preserve"> 6</w:t>
            </w:r>
            <w:r w:rsidRPr="00F74A90">
              <w:rPr>
                <w:b w:val="0"/>
                <w:spacing w:val="0"/>
              </w:rPr>
              <w:t>,</w:t>
            </w:r>
            <w:r w:rsidRPr="000E636A">
              <w:rPr>
                <w:b w:val="0"/>
                <w:spacing w:val="0"/>
              </w:rPr>
              <w:t xml:space="preserve"> 2017</w:t>
            </w:r>
          </w:p>
        </w:tc>
      </w:tr>
    </w:tbl>
    <w:p w:rsidR="000D7780" w:rsidRPr="007F0481" w:rsidRDefault="007F0481" w:rsidP="00417A9C">
      <w:pPr>
        <w:pStyle w:val="Titleofdoc0"/>
        <w:tabs>
          <w:tab w:val="left" w:pos="5760"/>
        </w:tabs>
      </w:pPr>
      <w:bookmarkStart w:id="0" w:name="TitleOfDoc"/>
      <w:bookmarkEnd w:id="0"/>
      <w:r w:rsidRPr="007F0481">
        <w:t>Revision of document TGP/8:  Part II:  Selected Techniques used in DUS Examination, New Section:</w:t>
      </w:r>
      <w:r w:rsidRPr="007F0481">
        <w:rPr>
          <w:rFonts w:cs="Arial"/>
        </w:rPr>
        <w:t xml:space="preserve"> Examining DUS in Bulk Samples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FB686B" w:rsidRPr="005D437F" w:rsidRDefault="00FB686B" w:rsidP="00B27B26">
      <w:pPr>
        <w:pStyle w:val="Heading1"/>
      </w:pPr>
      <w:bookmarkStart w:id="2" w:name="_Toc387757149"/>
      <w:bookmarkStart w:id="3" w:name="_Toc404931496"/>
      <w:bookmarkStart w:id="4" w:name="_Toc404931550"/>
      <w:bookmarkStart w:id="5" w:name="_Toc404931721"/>
      <w:bookmarkStart w:id="6" w:name="_Toc404932170"/>
      <w:bookmarkStart w:id="7" w:name="_Toc404935671"/>
      <w:bookmarkStart w:id="8" w:name="_Toc410717532"/>
      <w:bookmarkStart w:id="9" w:name="_Toc475459387"/>
      <w:r w:rsidRPr="005D437F">
        <w:t>Executive summary</w:t>
      </w:r>
      <w:bookmarkEnd w:id="2"/>
      <w:bookmarkEnd w:id="3"/>
      <w:bookmarkEnd w:id="4"/>
      <w:bookmarkEnd w:id="5"/>
      <w:bookmarkEnd w:id="6"/>
      <w:bookmarkEnd w:id="7"/>
      <w:bookmarkEnd w:id="8"/>
      <w:bookmarkEnd w:id="9"/>
      <w:r w:rsidRPr="005D437F">
        <w:rPr>
          <w:color w:val="FF0000"/>
        </w:rPr>
        <w:t xml:space="preserve"> </w:t>
      </w:r>
    </w:p>
    <w:p w:rsidR="00FB686B" w:rsidRPr="005D437F" w:rsidRDefault="00FB686B" w:rsidP="00FB686B"/>
    <w:p w:rsidR="00FB686B" w:rsidRDefault="00FB686B" w:rsidP="00FB686B">
      <w:pPr>
        <w:rPr>
          <w:rFonts w:cs="Arial"/>
          <w:lang w:eastAsia="ja-JP"/>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r>
      <w:r w:rsidRPr="00BF7B62">
        <w:rPr>
          <w:rFonts w:cs="Arial"/>
          <w:lang w:eastAsia="ja-JP"/>
        </w:rPr>
        <w:t>The purpose of this document is to report on developments concerning guidance on examining DUS in bulk samples for inclusion in a future revision of document TGP/8.</w:t>
      </w:r>
    </w:p>
    <w:p w:rsidR="00FB686B" w:rsidRPr="005D437F" w:rsidRDefault="00FB686B" w:rsidP="00FB686B">
      <w:pPr>
        <w:rPr>
          <w:lang w:eastAsia="ja-JP"/>
        </w:rPr>
      </w:pPr>
    </w:p>
    <w:p w:rsidR="00242743" w:rsidRPr="00242743" w:rsidRDefault="00242743" w:rsidP="00242743">
      <w:pPr>
        <w:pStyle w:val="DecisionParagraphs"/>
        <w:keepLines/>
        <w:tabs>
          <w:tab w:val="left" w:pos="567"/>
          <w:tab w:val="left" w:pos="1134"/>
          <w:tab w:val="left" w:pos="5954"/>
        </w:tabs>
        <w:ind w:left="0"/>
        <w:rPr>
          <w:i w:val="0"/>
        </w:rPr>
      </w:pPr>
      <w:r w:rsidRPr="00242743">
        <w:rPr>
          <w:i w:val="0"/>
        </w:rPr>
        <w:fldChar w:fldCharType="begin"/>
      </w:r>
      <w:r w:rsidRPr="00242743">
        <w:rPr>
          <w:i w:val="0"/>
        </w:rPr>
        <w:instrText xml:space="preserve"> AUTONUM  </w:instrText>
      </w:r>
      <w:r w:rsidRPr="00242743">
        <w:rPr>
          <w:i w:val="0"/>
        </w:rPr>
        <w:fldChar w:fldCharType="end"/>
      </w:r>
      <w:r w:rsidRPr="00242743">
        <w:rPr>
          <w:i w:val="0"/>
        </w:rPr>
        <w:tab/>
        <w:t xml:space="preserve">The </w:t>
      </w:r>
      <w:r w:rsidRPr="00242743">
        <w:rPr>
          <w:i w:val="0"/>
          <w:lang w:eastAsia="ja-JP"/>
        </w:rPr>
        <w:t>TC</w:t>
      </w:r>
      <w:r w:rsidRPr="00242743">
        <w:rPr>
          <w:i w:val="0"/>
        </w:rPr>
        <w:t xml:space="preserve"> is invited to:</w:t>
      </w:r>
    </w:p>
    <w:p w:rsidR="00242743" w:rsidRPr="00242743" w:rsidRDefault="00242743" w:rsidP="00242743">
      <w:pPr>
        <w:pStyle w:val="DecisionParagraphs"/>
        <w:keepLines/>
        <w:tabs>
          <w:tab w:val="left" w:pos="567"/>
          <w:tab w:val="left" w:pos="1134"/>
          <w:tab w:val="left" w:pos="5954"/>
        </w:tabs>
        <w:ind w:left="0"/>
        <w:rPr>
          <w:i w:val="0"/>
        </w:rPr>
      </w:pPr>
    </w:p>
    <w:p w:rsidR="00242743" w:rsidRPr="00242743" w:rsidRDefault="00242743" w:rsidP="00242743">
      <w:pPr>
        <w:pStyle w:val="DecisionParagraphs"/>
        <w:keepLines/>
        <w:tabs>
          <w:tab w:val="left" w:pos="567"/>
          <w:tab w:val="left" w:pos="1134"/>
          <w:tab w:val="left" w:pos="5954"/>
        </w:tabs>
        <w:ind w:left="0"/>
        <w:rPr>
          <w:i w:val="0"/>
        </w:rPr>
      </w:pPr>
      <w:r w:rsidRPr="00242743">
        <w:rPr>
          <w:i w:val="0"/>
        </w:rPr>
        <w:tab/>
        <w:t>(a)</w:t>
      </w:r>
      <w:r w:rsidRPr="00242743">
        <w:rPr>
          <w:i w:val="0"/>
        </w:rPr>
        <w:tab/>
      </w:r>
      <w:proofErr w:type="gramStart"/>
      <w:r w:rsidRPr="00242743">
        <w:rPr>
          <w:i w:val="0"/>
        </w:rPr>
        <w:t>consider</w:t>
      </w:r>
      <w:proofErr w:type="gramEnd"/>
      <w:r w:rsidRPr="00242743">
        <w:rPr>
          <w:i w:val="0"/>
        </w:rPr>
        <w:t xml:space="preserve"> the proposed guidance for examining DUS in bulk samples as </w:t>
      </w:r>
      <w:r w:rsidRPr="00242743">
        <w:rPr>
          <w:rFonts w:cs="Arial"/>
          <w:i w:val="0"/>
          <w:lang w:eastAsia="ja-JP"/>
        </w:rPr>
        <w:t xml:space="preserve">presented in the Annex to this document, </w:t>
      </w:r>
      <w:r w:rsidRPr="00242743">
        <w:rPr>
          <w:i w:val="0"/>
        </w:rPr>
        <w:t xml:space="preserve">for inclusion in a future revision of document TGP/8; </w:t>
      </w:r>
    </w:p>
    <w:p w:rsidR="00242743" w:rsidRPr="00242743" w:rsidRDefault="00242743" w:rsidP="00242743">
      <w:pPr>
        <w:pStyle w:val="DecisionParagraphs"/>
        <w:keepLines/>
        <w:tabs>
          <w:tab w:val="left" w:pos="567"/>
          <w:tab w:val="left" w:pos="1134"/>
          <w:tab w:val="left" w:pos="5954"/>
        </w:tabs>
        <w:ind w:left="0"/>
        <w:rPr>
          <w:i w:val="0"/>
        </w:rPr>
      </w:pPr>
    </w:p>
    <w:p w:rsidR="00242743" w:rsidRPr="00242743" w:rsidRDefault="00242743" w:rsidP="00242743">
      <w:pPr>
        <w:pStyle w:val="DecisionParagraphs"/>
        <w:keepLines/>
        <w:tabs>
          <w:tab w:val="left" w:pos="567"/>
          <w:tab w:val="left" w:pos="1134"/>
          <w:tab w:val="left" w:pos="5954"/>
        </w:tabs>
        <w:ind w:left="0"/>
        <w:rPr>
          <w:i w:val="0"/>
        </w:rPr>
      </w:pPr>
      <w:r w:rsidRPr="00242743">
        <w:rPr>
          <w:i w:val="0"/>
        </w:rPr>
        <w:tab/>
        <w:t>(b)</w:t>
      </w:r>
      <w:r w:rsidRPr="00242743">
        <w:rPr>
          <w:i w:val="0"/>
        </w:rPr>
        <w:tab/>
        <w:t>consider whether to invite the drafter from the Netherlands to further develop the proposed guidance in the Annex to this document in order to include parameters for selecting among the approaches listed and to provide more examples with data from routine measurement of characteristics such as chemical content or 1000 seed weight;</w:t>
      </w:r>
    </w:p>
    <w:p w:rsidR="00242743" w:rsidRPr="00242743" w:rsidRDefault="00242743" w:rsidP="00242743">
      <w:pPr>
        <w:pStyle w:val="DecisionParagraphs"/>
        <w:keepLines/>
        <w:tabs>
          <w:tab w:val="left" w:pos="567"/>
          <w:tab w:val="left" w:pos="1134"/>
          <w:tab w:val="left" w:pos="5954"/>
        </w:tabs>
        <w:ind w:left="0"/>
        <w:rPr>
          <w:i w:val="0"/>
        </w:rPr>
      </w:pPr>
    </w:p>
    <w:p w:rsidR="00242743" w:rsidRPr="00242743" w:rsidRDefault="00242743" w:rsidP="00242743">
      <w:pPr>
        <w:pStyle w:val="DecisionParagraphs"/>
        <w:keepLines/>
        <w:tabs>
          <w:tab w:val="left" w:pos="567"/>
          <w:tab w:val="left" w:pos="1134"/>
          <w:tab w:val="left" w:pos="5954"/>
        </w:tabs>
        <w:ind w:left="0"/>
        <w:rPr>
          <w:i w:val="0"/>
        </w:rPr>
      </w:pPr>
      <w:r w:rsidRPr="00242743">
        <w:rPr>
          <w:i w:val="0"/>
        </w:rPr>
        <w:tab/>
        <w:t>(c)</w:t>
      </w:r>
      <w:r w:rsidRPr="00242743">
        <w:rPr>
          <w:i w:val="0"/>
        </w:rPr>
        <w:tab/>
        <w:t xml:space="preserve">consider the amendment proposed by the drafter on the approach “Plant number”, as presented </w:t>
      </w:r>
      <w:r w:rsidRPr="00A77C85">
        <w:rPr>
          <w:i w:val="0"/>
        </w:rPr>
        <w:t>in paragraph 19 of this document; and</w:t>
      </w:r>
    </w:p>
    <w:p w:rsidR="00242743" w:rsidRPr="00242743" w:rsidRDefault="00242743" w:rsidP="00242743">
      <w:pPr>
        <w:pStyle w:val="DecisionParagraphs"/>
        <w:keepLines/>
        <w:tabs>
          <w:tab w:val="left" w:pos="567"/>
          <w:tab w:val="left" w:pos="1134"/>
          <w:tab w:val="left" w:pos="5954"/>
        </w:tabs>
        <w:ind w:left="0"/>
        <w:rPr>
          <w:i w:val="0"/>
        </w:rPr>
      </w:pPr>
    </w:p>
    <w:p w:rsidR="00242743" w:rsidRPr="00242743" w:rsidRDefault="00242743" w:rsidP="00242743">
      <w:pPr>
        <w:pStyle w:val="DecisionParagraphs"/>
        <w:keepLines/>
        <w:tabs>
          <w:tab w:val="left" w:pos="567"/>
          <w:tab w:val="left" w:pos="1134"/>
          <w:tab w:val="left" w:pos="5954"/>
        </w:tabs>
        <w:ind w:left="0"/>
        <w:rPr>
          <w:i w:val="0"/>
          <w:lang w:eastAsia="ja-JP"/>
        </w:rPr>
      </w:pPr>
      <w:r w:rsidRPr="00242743">
        <w:rPr>
          <w:i w:val="0"/>
        </w:rPr>
        <w:tab/>
        <w:t>(d)</w:t>
      </w:r>
      <w:r w:rsidRPr="00242743">
        <w:rPr>
          <w:i w:val="0"/>
        </w:rPr>
        <w:tab/>
      </w:r>
      <w:proofErr w:type="gramStart"/>
      <w:r w:rsidRPr="00242743">
        <w:rPr>
          <w:i w:val="0"/>
        </w:rPr>
        <w:t>note</w:t>
      </w:r>
      <w:proofErr w:type="gramEnd"/>
      <w:r w:rsidRPr="00242743">
        <w:rPr>
          <w:i w:val="0"/>
        </w:rPr>
        <w:t xml:space="preserve"> the plan by France to provide other examples of characteristics based on bulk samples for vegetable crops.</w:t>
      </w:r>
    </w:p>
    <w:p w:rsidR="00715FDF" w:rsidRPr="00C15CCA" w:rsidRDefault="00715FDF" w:rsidP="00715FDF">
      <w:pPr>
        <w:pStyle w:val="DecisionParagraphs"/>
        <w:keepLines/>
        <w:tabs>
          <w:tab w:val="clear" w:pos="5387"/>
          <w:tab w:val="left" w:pos="567"/>
          <w:tab w:val="left" w:pos="1134"/>
        </w:tabs>
        <w:ind w:left="0"/>
        <w:rPr>
          <w:lang w:eastAsia="ja-JP"/>
        </w:rPr>
      </w:pPr>
    </w:p>
    <w:p w:rsidR="00FB686B" w:rsidRPr="00715FDF" w:rsidRDefault="00FB686B" w:rsidP="00FB686B">
      <w:pPr>
        <w:keepNext/>
        <w:rPr>
          <w:rFonts w:cs="Arial"/>
          <w:snapToGrid w:val="0"/>
          <w:lang w:eastAsia="ja-JP"/>
        </w:rPr>
      </w:pPr>
      <w:r w:rsidRPr="00715FDF">
        <w:rPr>
          <w:rFonts w:cs="Arial"/>
          <w:snapToGrid w:val="0"/>
        </w:rPr>
        <w:fldChar w:fldCharType="begin"/>
      </w:r>
      <w:r w:rsidRPr="00715FDF">
        <w:rPr>
          <w:rFonts w:cs="Arial"/>
          <w:snapToGrid w:val="0"/>
        </w:rPr>
        <w:instrText xml:space="preserve"> AUTONUM  </w:instrText>
      </w:r>
      <w:r w:rsidRPr="00715FDF">
        <w:rPr>
          <w:rFonts w:cs="Arial"/>
          <w:snapToGrid w:val="0"/>
        </w:rPr>
        <w:fldChar w:fldCharType="end"/>
      </w:r>
      <w:r w:rsidRPr="00715FDF">
        <w:rPr>
          <w:rFonts w:cs="Arial"/>
          <w:snapToGrid w:val="0"/>
        </w:rPr>
        <w:tab/>
      </w:r>
      <w:r w:rsidRPr="00715FDF">
        <w:rPr>
          <w:rFonts w:cs="Arial" w:hint="eastAsia"/>
          <w:snapToGrid w:val="0"/>
          <w:lang w:eastAsia="ja-JP"/>
        </w:rPr>
        <w:t>The structure of this document is as follows:</w:t>
      </w:r>
    </w:p>
    <w:p w:rsidR="00FB686B" w:rsidRPr="002E2875" w:rsidRDefault="00FB686B" w:rsidP="00FB686B">
      <w:pPr>
        <w:keepNext/>
        <w:rPr>
          <w:rFonts w:cs="Arial"/>
          <w:snapToGrid w:val="0"/>
          <w:highlight w:val="yellow"/>
          <w:lang w:eastAsia="ja-JP"/>
        </w:rPr>
      </w:pPr>
    </w:p>
    <w:p w:rsidR="00DF1DBD" w:rsidRDefault="00FB686B">
      <w:pPr>
        <w:pStyle w:val="TOC1"/>
        <w:rPr>
          <w:rFonts w:asciiTheme="minorHAnsi" w:eastAsiaTheme="minorEastAsia" w:hAnsiTheme="minorHAnsi" w:cstheme="minorBidi"/>
          <w:caps w:val="0"/>
          <w:noProof/>
          <w:sz w:val="22"/>
          <w:szCs w:val="22"/>
        </w:rPr>
      </w:pPr>
      <w:r w:rsidRPr="002E2875">
        <w:rPr>
          <w:rFonts w:cs="Arial"/>
          <w:bCs/>
          <w:snapToGrid w:val="0"/>
          <w:sz w:val="18"/>
          <w:highlight w:val="yellow"/>
        </w:rPr>
        <w:fldChar w:fldCharType="begin"/>
      </w:r>
      <w:r w:rsidRPr="002E2875">
        <w:rPr>
          <w:rFonts w:cs="Arial"/>
          <w:bCs/>
          <w:snapToGrid w:val="0"/>
          <w:sz w:val="18"/>
          <w:highlight w:val="yellow"/>
        </w:rPr>
        <w:instrText xml:space="preserve"> TOC \o "1-3" \h \z \u </w:instrText>
      </w:r>
      <w:r w:rsidRPr="002E2875">
        <w:rPr>
          <w:rFonts w:cs="Arial"/>
          <w:bCs/>
          <w:snapToGrid w:val="0"/>
          <w:sz w:val="18"/>
          <w:highlight w:val="yellow"/>
        </w:rPr>
        <w:fldChar w:fldCharType="separate"/>
      </w:r>
      <w:hyperlink w:anchor="_Toc475459387" w:history="1">
        <w:r w:rsidR="00DF1DBD" w:rsidRPr="00E8593A">
          <w:rPr>
            <w:rStyle w:val="Hyperlink"/>
            <w:noProof/>
          </w:rPr>
          <w:t>Executive summary</w:t>
        </w:r>
        <w:r w:rsidR="00DF1DBD">
          <w:rPr>
            <w:noProof/>
            <w:webHidden/>
          </w:rPr>
          <w:tab/>
        </w:r>
        <w:r w:rsidR="00DF1DBD">
          <w:rPr>
            <w:noProof/>
            <w:webHidden/>
          </w:rPr>
          <w:fldChar w:fldCharType="begin"/>
        </w:r>
        <w:r w:rsidR="00DF1DBD">
          <w:rPr>
            <w:noProof/>
            <w:webHidden/>
          </w:rPr>
          <w:instrText xml:space="preserve"> PAGEREF _Toc475459387 \h </w:instrText>
        </w:r>
        <w:r w:rsidR="00DF1DBD">
          <w:rPr>
            <w:noProof/>
            <w:webHidden/>
          </w:rPr>
        </w:r>
        <w:r w:rsidR="00DF1DBD">
          <w:rPr>
            <w:noProof/>
            <w:webHidden/>
          </w:rPr>
          <w:fldChar w:fldCharType="separate"/>
        </w:r>
        <w:r w:rsidR="00DF1DBD">
          <w:rPr>
            <w:noProof/>
            <w:webHidden/>
          </w:rPr>
          <w:t>1</w:t>
        </w:r>
        <w:r w:rsidR="00DF1DBD">
          <w:rPr>
            <w:noProof/>
            <w:webHidden/>
          </w:rPr>
          <w:fldChar w:fldCharType="end"/>
        </w:r>
      </w:hyperlink>
    </w:p>
    <w:p w:rsidR="00DF1DBD" w:rsidRDefault="00DF1DBD">
      <w:pPr>
        <w:pStyle w:val="TOC1"/>
        <w:rPr>
          <w:rFonts w:asciiTheme="minorHAnsi" w:eastAsiaTheme="minorEastAsia" w:hAnsiTheme="minorHAnsi" w:cstheme="minorBidi"/>
          <w:caps w:val="0"/>
          <w:noProof/>
          <w:sz w:val="22"/>
          <w:szCs w:val="22"/>
        </w:rPr>
      </w:pPr>
      <w:hyperlink w:anchor="_Toc475459388" w:history="1">
        <w:r w:rsidRPr="00E8593A">
          <w:rPr>
            <w:rStyle w:val="Hyperlink"/>
            <w:noProof/>
          </w:rPr>
          <w:t>background</w:t>
        </w:r>
        <w:r>
          <w:rPr>
            <w:noProof/>
            <w:webHidden/>
          </w:rPr>
          <w:tab/>
        </w:r>
        <w:r>
          <w:rPr>
            <w:noProof/>
            <w:webHidden/>
          </w:rPr>
          <w:fldChar w:fldCharType="begin"/>
        </w:r>
        <w:r>
          <w:rPr>
            <w:noProof/>
            <w:webHidden/>
          </w:rPr>
          <w:instrText xml:space="preserve"> PAGEREF _Toc475459388 \h </w:instrText>
        </w:r>
        <w:r>
          <w:rPr>
            <w:noProof/>
            <w:webHidden/>
          </w:rPr>
        </w:r>
        <w:r>
          <w:rPr>
            <w:noProof/>
            <w:webHidden/>
          </w:rPr>
          <w:fldChar w:fldCharType="separate"/>
        </w:r>
        <w:r>
          <w:rPr>
            <w:noProof/>
            <w:webHidden/>
          </w:rPr>
          <w:t>2</w:t>
        </w:r>
        <w:r>
          <w:rPr>
            <w:noProof/>
            <w:webHidden/>
          </w:rPr>
          <w:fldChar w:fldCharType="end"/>
        </w:r>
      </w:hyperlink>
    </w:p>
    <w:p w:rsidR="00DF1DBD" w:rsidRDefault="00DF1DBD">
      <w:pPr>
        <w:pStyle w:val="TOC1"/>
        <w:rPr>
          <w:rFonts w:asciiTheme="minorHAnsi" w:eastAsiaTheme="minorEastAsia" w:hAnsiTheme="minorHAnsi" w:cstheme="minorBidi"/>
          <w:caps w:val="0"/>
          <w:noProof/>
          <w:sz w:val="22"/>
          <w:szCs w:val="22"/>
        </w:rPr>
      </w:pPr>
      <w:hyperlink w:anchor="_Toc475459389" w:history="1">
        <w:r w:rsidRPr="00E8593A">
          <w:rPr>
            <w:rStyle w:val="Hyperlink"/>
            <w:noProof/>
            <w:lang w:eastAsia="ja-JP"/>
          </w:rPr>
          <w:t>Developments in 2016</w:t>
        </w:r>
        <w:r>
          <w:rPr>
            <w:noProof/>
            <w:webHidden/>
          </w:rPr>
          <w:tab/>
        </w:r>
        <w:r>
          <w:rPr>
            <w:noProof/>
            <w:webHidden/>
          </w:rPr>
          <w:fldChar w:fldCharType="begin"/>
        </w:r>
        <w:r>
          <w:rPr>
            <w:noProof/>
            <w:webHidden/>
          </w:rPr>
          <w:instrText xml:space="preserve"> PAGEREF _Toc475459389 \h </w:instrText>
        </w:r>
        <w:r>
          <w:rPr>
            <w:noProof/>
            <w:webHidden/>
          </w:rPr>
        </w:r>
        <w:r>
          <w:rPr>
            <w:noProof/>
            <w:webHidden/>
          </w:rPr>
          <w:fldChar w:fldCharType="separate"/>
        </w:r>
        <w:r>
          <w:rPr>
            <w:noProof/>
            <w:webHidden/>
          </w:rPr>
          <w:t>2</w:t>
        </w:r>
        <w:r>
          <w:rPr>
            <w:noProof/>
            <w:webHidden/>
          </w:rPr>
          <w:fldChar w:fldCharType="end"/>
        </w:r>
      </w:hyperlink>
    </w:p>
    <w:p w:rsidR="00DF1DBD" w:rsidRDefault="00DF1DBD">
      <w:pPr>
        <w:pStyle w:val="TOC2"/>
        <w:rPr>
          <w:rFonts w:asciiTheme="minorHAnsi" w:eastAsiaTheme="minorEastAsia" w:hAnsiTheme="minorHAnsi" w:cstheme="minorBidi"/>
          <w:smallCaps w:val="0"/>
          <w:noProof/>
          <w:sz w:val="22"/>
          <w:szCs w:val="22"/>
        </w:rPr>
      </w:pPr>
      <w:hyperlink w:anchor="_Toc475459390" w:history="1">
        <w:r w:rsidRPr="00E8593A">
          <w:rPr>
            <w:rStyle w:val="Hyperlink"/>
            <w:noProof/>
          </w:rPr>
          <w:t>Technical Working Party on Automation and Computer Programs</w:t>
        </w:r>
        <w:r>
          <w:rPr>
            <w:noProof/>
            <w:webHidden/>
          </w:rPr>
          <w:tab/>
        </w:r>
        <w:r>
          <w:rPr>
            <w:noProof/>
            <w:webHidden/>
          </w:rPr>
          <w:fldChar w:fldCharType="begin"/>
        </w:r>
        <w:r>
          <w:rPr>
            <w:noProof/>
            <w:webHidden/>
          </w:rPr>
          <w:instrText xml:space="preserve"> PAGEREF _Toc475459390 \h </w:instrText>
        </w:r>
        <w:r>
          <w:rPr>
            <w:noProof/>
            <w:webHidden/>
          </w:rPr>
        </w:r>
        <w:r>
          <w:rPr>
            <w:noProof/>
            <w:webHidden/>
          </w:rPr>
          <w:fldChar w:fldCharType="separate"/>
        </w:r>
        <w:r>
          <w:rPr>
            <w:noProof/>
            <w:webHidden/>
          </w:rPr>
          <w:t>2</w:t>
        </w:r>
        <w:r>
          <w:rPr>
            <w:noProof/>
            <w:webHidden/>
          </w:rPr>
          <w:fldChar w:fldCharType="end"/>
        </w:r>
      </w:hyperlink>
    </w:p>
    <w:p w:rsidR="00DF1DBD" w:rsidRDefault="00DF1DBD">
      <w:pPr>
        <w:pStyle w:val="TOC2"/>
        <w:rPr>
          <w:rFonts w:asciiTheme="minorHAnsi" w:eastAsiaTheme="minorEastAsia" w:hAnsiTheme="minorHAnsi" w:cstheme="minorBidi"/>
          <w:smallCaps w:val="0"/>
          <w:noProof/>
          <w:sz w:val="22"/>
          <w:szCs w:val="22"/>
        </w:rPr>
      </w:pPr>
      <w:hyperlink w:anchor="_Toc475459391" w:history="1">
        <w:r w:rsidRPr="00E8593A">
          <w:rPr>
            <w:rStyle w:val="Hyperlink"/>
            <w:rFonts w:eastAsia="PMingLiU"/>
            <w:noProof/>
          </w:rPr>
          <w:t>Technical Working Party for Ornamental Plants and Forest Trees</w:t>
        </w:r>
        <w:r>
          <w:rPr>
            <w:noProof/>
            <w:webHidden/>
          </w:rPr>
          <w:tab/>
        </w:r>
        <w:r>
          <w:rPr>
            <w:noProof/>
            <w:webHidden/>
          </w:rPr>
          <w:fldChar w:fldCharType="begin"/>
        </w:r>
        <w:r>
          <w:rPr>
            <w:noProof/>
            <w:webHidden/>
          </w:rPr>
          <w:instrText xml:space="preserve"> PAGEREF _Toc475459391 \h </w:instrText>
        </w:r>
        <w:r>
          <w:rPr>
            <w:noProof/>
            <w:webHidden/>
          </w:rPr>
        </w:r>
        <w:r>
          <w:rPr>
            <w:noProof/>
            <w:webHidden/>
          </w:rPr>
          <w:fldChar w:fldCharType="separate"/>
        </w:r>
        <w:r>
          <w:rPr>
            <w:noProof/>
            <w:webHidden/>
          </w:rPr>
          <w:t>2</w:t>
        </w:r>
        <w:r>
          <w:rPr>
            <w:noProof/>
            <w:webHidden/>
          </w:rPr>
          <w:fldChar w:fldCharType="end"/>
        </w:r>
      </w:hyperlink>
    </w:p>
    <w:p w:rsidR="00DF1DBD" w:rsidRDefault="00DF1DBD">
      <w:pPr>
        <w:pStyle w:val="TOC2"/>
        <w:rPr>
          <w:rFonts w:asciiTheme="minorHAnsi" w:eastAsiaTheme="minorEastAsia" w:hAnsiTheme="minorHAnsi" w:cstheme="minorBidi"/>
          <w:smallCaps w:val="0"/>
          <w:noProof/>
          <w:sz w:val="22"/>
          <w:szCs w:val="22"/>
        </w:rPr>
      </w:pPr>
      <w:hyperlink w:anchor="_Toc475459392" w:history="1">
        <w:r w:rsidRPr="00E8593A">
          <w:rPr>
            <w:rStyle w:val="Hyperlink"/>
            <w:rFonts w:eastAsia="PMingLiU"/>
            <w:noProof/>
          </w:rPr>
          <w:t>Technical Working Party for Vegetables</w:t>
        </w:r>
        <w:r>
          <w:rPr>
            <w:noProof/>
            <w:webHidden/>
          </w:rPr>
          <w:tab/>
        </w:r>
        <w:r>
          <w:rPr>
            <w:noProof/>
            <w:webHidden/>
          </w:rPr>
          <w:fldChar w:fldCharType="begin"/>
        </w:r>
        <w:r>
          <w:rPr>
            <w:noProof/>
            <w:webHidden/>
          </w:rPr>
          <w:instrText xml:space="preserve"> PAGEREF _Toc475459392 \h </w:instrText>
        </w:r>
        <w:r>
          <w:rPr>
            <w:noProof/>
            <w:webHidden/>
          </w:rPr>
        </w:r>
        <w:r>
          <w:rPr>
            <w:noProof/>
            <w:webHidden/>
          </w:rPr>
          <w:fldChar w:fldCharType="separate"/>
        </w:r>
        <w:r>
          <w:rPr>
            <w:noProof/>
            <w:webHidden/>
          </w:rPr>
          <w:t>2</w:t>
        </w:r>
        <w:r>
          <w:rPr>
            <w:noProof/>
            <w:webHidden/>
          </w:rPr>
          <w:fldChar w:fldCharType="end"/>
        </w:r>
      </w:hyperlink>
    </w:p>
    <w:p w:rsidR="00DF1DBD" w:rsidRDefault="00DF1DBD">
      <w:pPr>
        <w:pStyle w:val="TOC2"/>
        <w:rPr>
          <w:rFonts w:asciiTheme="minorHAnsi" w:eastAsiaTheme="minorEastAsia" w:hAnsiTheme="minorHAnsi" w:cstheme="minorBidi"/>
          <w:smallCaps w:val="0"/>
          <w:noProof/>
          <w:sz w:val="22"/>
          <w:szCs w:val="22"/>
        </w:rPr>
      </w:pPr>
      <w:hyperlink w:anchor="_Toc475459393" w:history="1">
        <w:r w:rsidRPr="00E8593A">
          <w:rPr>
            <w:rStyle w:val="Hyperlink"/>
            <w:rFonts w:eastAsia="PMingLiU"/>
            <w:noProof/>
          </w:rPr>
          <w:t>Technical Working Party for Agricultural Crops</w:t>
        </w:r>
        <w:r>
          <w:rPr>
            <w:noProof/>
            <w:webHidden/>
          </w:rPr>
          <w:tab/>
        </w:r>
        <w:r>
          <w:rPr>
            <w:noProof/>
            <w:webHidden/>
          </w:rPr>
          <w:fldChar w:fldCharType="begin"/>
        </w:r>
        <w:r>
          <w:rPr>
            <w:noProof/>
            <w:webHidden/>
          </w:rPr>
          <w:instrText xml:space="preserve"> PAGEREF _Toc475459393 \h </w:instrText>
        </w:r>
        <w:r>
          <w:rPr>
            <w:noProof/>
            <w:webHidden/>
          </w:rPr>
        </w:r>
        <w:r>
          <w:rPr>
            <w:noProof/>
            <w:webHidden/>
          </w:rPr>
          <w:fldChar w:fldCharType="separate"/>
        </w:r>
        <w:r>
          <w:rPr>
            <w:noProof/>
            <w:webHidden/>
          </w:rPr>
          <w:t>3</w:t>
        </w:r>
        <w:r>
          <w:rPr>
            <w:noProof/>
            <w:webHidden/>
          </w:rPr>
          <w:fldChar w:fldCharType="end"/>
        </w:r>
      </w:hyperlink>
    </w:p>
    <w:p w:rsidR="00DF1DBD" w:rsidRDefault="00DF1DBD">
      <w:pPr>
        <w:pStyle w:val="TOC2"/>
        <w:rPr>
          <w:rFonts w:asciiTheme="minorHAnsi" w:eastAsiaTheme="minorEastAsia" w:hAnsiTheme="minorHAnsi" w:cstheme="minorBidi"/>
          <w:smallCaps w:val="0"/>
          <w:noProof/>
          <w:sz w:val="22"/>
          <w:szCs w:val="22"/>
        </w:rPr>
      </w:pPr>
      <w:hyperlink w:anchor="_Toc475459394" w:history="1">
        <w:r w:rsidRPr="00E8593A">
          <w:rPr>
            <w:rStyle w:val="Hyperlink"/>
            <w:rFonts w:eastAsia="PMingLiU"/>
            <w:noProof/>
          </w:rPr>
          <w:t>Technical Working Party for Fruit Crops</w:t>
        </w:r>
        <w:r>
          <w:rPr>
            <w:noProof/>
            <w:webHidden/>
          </w:rPr>
          <w:tab/>
        </w:r>
        <w:r>
          <w:rPr>
            <w:noProof/>
            <w:webHidden/>
          </w:rPr>
          <w:fldChar w:fldCharType="begin"/>
        </w:r>
        <w:r>
          <w:rPr>
            <w:noProof/>
            <w:webHidden/>
          </w:rPr>
          <w:instrText xml:space="preserve"> PAGEREF _Toc475459394 \h </w:instrText>
        </w:r>
        <w:r>
          <w:rPr>
            <w:noProof/>
            <w:webHidden/>
          </w:rPr>
        </w:r>
        <w:r>
          <w:rPr>
            <w:noProof/>
            <w:webHidden/>
          </w:rPr>
          <w:fldChar w:fldCharType="separate"/>
        </w:r>
        <w:r>
          <w:rPr>
            <w:noProof/>
            <w:webHidden/>
          </w:rPr>
          <w:t>4</w:t>
        </w:r>
        <w:r>
          <w:rPr>
            <w:noProof/>
            <w:webHidden/>
          </w:rPr>
          <w:fldChar w:fldCharType="end"/>
        </w:r>
      </w:hyperlink>
    </w:p>
    <w:p w:rsidR="0029716D" w:rsidRDefault="00FB686B" w:rsidP="00715FDF">
      <w:pPr>
        <w:rPr>
          <w:noProof/>
          <w:snapToGrid w:val="0"/>
        </w:rPr>
      </w:pPr>
      <w:r w:rsidRPr="002E2875">
        <w:rPr>
          <w:noProof/>
          <w:snapToGrid w:val="0"/>
          <w:highlight w:val="yellow"/>
        </w:rPr>
        <w:fldChar w:fldCharType="end"/>
      </w:r>
    </w:p>
    <w:p w:rsidR="00B27B26" w:rsidRDefault="00DE0FEE" w:rsidP="00715FDF">
      <w:pPr>
        <w:rPr>
          <w:noProof/>
          <w:snapToGrid w:val="0"/>
        </w:rPr>
      </w:pPr>
      <w:r>
        <w:rPr>
          <w:noProof/>
          <w:snapToGrid w:val="0"/>
        </w:rPr>
        <w:t>ANNEX</w:t>
      </w:r>
      <w:r w:rsidR="00B27B26">
        <w:rPr>
          <w:noProof/>
          <w:snapToGrid w:val="0"/>
        </w:rPr>
        <w:t>:  S</w:t>
      </w:r>
      <w:r w:rsidR="00B27B26" w:rsidRPr="00B27B26">
        <w:rPr>
          <w:noProof/>
          <w:snapToGrid w:val="0"/>
        </w:rPr>
        <w:t>tatus on uniformity requirements in bulk characteristics</w:t>
      </w:r>
    </w:p>
    <w:p w:rsidR="00B27B26" w:rsidRPr="00B27B26" w:rsidRDefault="00B27B26" w:rsidP="00715FDF">
      <w:pPr>
        <w:rPr>
          <w:noProof/>
          <w:snapToGrid w:val="0"/>
          <w:lang w:val="en-GB"/>
        </w:rPr>
      </w:pPr>
    </w:p>
    <w:p w:rsidR="00FB686B" w:rsidRPr="005D437F" w:rsidRDefault="00FB686B" w:rsidP="00715FDF">
      <w:pPr>
        <w:rPr>
          <w:rFonts w:cs="Arial"/>
          <w:color w:val="000000"/>
        </w:rPr>
      </w:pPr>
      <w:r w:rsidRPr="005D437F">
        <w:fldChar w:fldCharType="begin"/>
      </w:r>
      <w:r w:rsidRPr="005D437F">
        <w:instrText xml:space="preserve"> AUTONUM  </w:instrText>
      </w:r>
      <w:r w:rsidRPr="005D437F">
        <w:fldChar w:fldCharType="end"/>
      </w:r>
      <w:r w:rsidRPr="005D437F">
        <w:tab/>
      </w:r>
      <w:r w:rsidRPr="005D437F">
        <w:rPr>
          <w:rFonts w:cs="Arial"/>
          <w:color w:val="000000"/>
        </w:rPr>
        <w:t>The following abbreviations are used in this document:</w:t>
      </w:r>
    </w:p>
    <w:p w:rsidR="00FB686B" w:rsidRPr="005D437F" w:rsidRDefault="00FB686B" w:rsidP="00FB686B">
      <w:pPr>
        <w:rPr>
          <w:rFonts w:cs="Arial"/>
          <w:color w:val="000000"/>
        </w:rPr>
      </w:pPr>
    </w:p>
    <w:p w:rsidR="00FB686B" w:rsidRPr="005D437F" w:rsidRDefault="00FB686B" w:rsidP="00FB686B">
      <w:pPr>
        <w:rPr>
          <w:rFonts w:cs="Arial"/>
        </w:rPr>
      </w:pPr>
      <w:r w:rsidRPr="005D437F">
        <w:rPr>
          <w:rFonts w:cs="Arial"/>
        </w:rPr>
        <w:tab/>
        <w:t>TC:</w:t>
      </w:r>
      <w:r w:rsidRPr="005D437F">
        <w:rPr>
          <w:rFonts w:cs="Arial"/>
        </w:rPr>
        <w:tab/>
      </w:r>
      <w:r w:rsidRPr="005D437F">
        <w:rPr>
          <w:rFonts w:cs="Arial"/>
        </w:rPr>
        <w:tab/>
        <w:t>Technical Committee</w:t>
      </w:r>
      <w:bookmarkStart w:id="10" w:name="_GoBack"/>
      <w:bookmarkEnd w:id="10"/>
    </w:p>
    <w:p w:rsidR="00FB686B" w:rsidRPr="005D437F" w:rsidRDefault="00FB686B" w:rsidP="00FB686B">
      <w:pPr>
        <w:rPr>
          <w:rFonts w:eastAsia="PMingLiU" w:cs="Arial"/>
          <w:szCs w:val="24"/>
        </w:rPr>
      </w:pPr>
      <w:r w:rsidRPr="005D437F">
        <w:rPr>
          <w:rFonts w:eastAsia="PMingLiU" w:cs="Arial"/>
          <w:szCs w:val="24"/>
        </w:rPr>
        <w:tab/>
        <w:t>TWA:</w:t>
      </w:r>
      <w:r w:rsidRPr="005D437F">
        <w:rPr>
          <w:rFonts w:eastAsia="PMingLiU" w:cs="Arial"/>
          <w:szCs w:val="24"/>
        </w:rPr>
        <w:tab/>
      </w:r>
      <w:r w:rsidRPr="005D437F">
        <w:rPr>
          <w:rFonts w:eastAsia="PMingLiU" w:cs="Arial"/>
          <w:szCs w:val="24"/>
        </w:rPr>
        <w:tab/>
        <w:t>Technical Working Party for Agricultural Crops</w:t>
      </w:r>
    </w:p>
    <w:p w:rsidR="00FB686B" w:rsidRPr="005D437F" w:rsidRDefault="00FB686B" w:rsidP="00FB686B">
      <w:pPr>
        <w:rPr>
          <w:rFonts w:eastAsia="PMingLiU" w:cs="Arial"/>
          <w:szCs w:val="24"/>
        </w:rPr>
      </w:pPr>
      <w:r w:rsidRPr="005D437F">
        <w:rPr>
          <w:rFonts w:eastAsia="PMingLiU" w:cs="Arial"/>
          <w:szCs w:val="24"/>
        </w:rPr>
        <w:tab/>
        <w:t>TWC:</w:t>
      </w:r>
      <w:r w:rsidRPr="005D437F">
        <w:rPr>
          <w:rFonts w:eastAsia="PMingLiU" w:cs="Arial"/>
          <w:szCs w:val="24"/>
        </w:rPr>
        <w:tab/>
      </w:r>
      <w:r w:rsidRPr="005D437F">
        <w:rPr>
          <w:rFonts w:eastAsia="PMingLiU" w:cs="Arial"/>
          <w:szCs w:val="24"/>
        </w:rPr>
        <w:tab/>
        <w:t>Technical Working Party on Automation and Computer Programs</w:t>
      </w:r>
    </w:p>
    <w:p w:rsidR="00FB686B" w:rsidRPr="005D437F" w:rsidRDefault="00FB686B" w:rsidP="00FB686B">
      <w:pPr>
        <w:rPr>
          <w:rFonts w:eastAsia="PMingLiU" w:cs="Arial"/>
          <w:szCs w:val="24"/>
        </w:rPr>
      </w:pPr>
      <w:r w:rsidRPr="005D437F">
        <w:rPr>
          <w:rFonts w:eastAsia="PMingLiU" w:cs="Arial"/>
          <w:szCs w:val="24"/>
        </w:rPr>
        <w:tab/>
        <w:t xml:space="preserve">TWF: </w:t>
      </w:r>
      <w:r w:rsidRPr="005D437F">
        <w:rPr>
          <w:rFonts w:eastAsia="PMingLiU" w:cs="Arial"/>
          <w:szCs w:val="24"/>
        </w:rPr>
        <w:tab/>
      </w:r>
      <w:r w:rsidRPr="005D437F">
        <w:rPr>
          <w:rFonts w:eastAsia="PMingLiU" w:cs="Arial"/>
          <w:szCs w:val="24"/>
        </w:rPr>
        <w:tab/>
        <w:t>Technical Working Party for Fruit Crops</w:t>
      </w:r>
    </w:p>
    <w:p w:rsidR="00FB686B" w:rsidRPr="005D437F" w:rsidRDefault="00FB686B" w:rsidP="00FB686B">
      <w:pPr>
        <w:rPr>
          <w:rFonts w:eastAsia="PMingLiU" w:cs="Arial"/>
          <w:szCs w:val="24"/>
        </w:rPr>
      </w:pPr>
      <w:r w:rsidRPr="005D437F">
        <w:rPr>
          <w:rFonts w:eastAsia="PMingLiU" w:cs="Arial"/>
          <w:szCs w:val="24"/>
        </w:rPr>
        <w:tab/>
        <w:t>TWO:</w:t>
      </w:r>
      <w:r w:rsidRPr="005D437F">
        <w:rPr>
          <w:rFonts w:eastAsia="PMingLiU" w:cs="Arial"/>
          <w:szCs w:val="24"/>
        </w:rPr>
        <w:tab/>
      </w:r>
      <w:r w:rsidRPr="005D437F">
        <w:rPr>
          <w:rFonts w:eastAsia="PMingLiU" w:cs="Arial"/>
          <w:szCs w:val="24"/>
        </w:rPr>
        <w:tab/>
        <w:t xml:space="preserve">Technical Working Party for Ornamental Plants and </w:t>
      </w:r>
      <w:smartTag w:uri="urn:schemas-microsoft-com:office:smarttags" w:element="place">
        <w:r w:rsidRPr="005D437F">
          <w:rPr>
            <w:rFonts w:eastAsia="PMingLiU" w:cs="Arial"/>
            <w:szCs w:val="24"/>
          </w:rPr>
          <w:t>Forest</w:t>
        </w:r>
      </w:smartTag>
      <w:r w:rsidRPr="005D437F">
        <w:rPr>
          <w:rFonts w:eastAsia="PMingLiU" w:cs="Arial"/>
          <w:szCs w:val="24"/>
        </w:rPr>
        <w:t xml:space="preserve"> Trees</w:t>
      </w:r>
    </w:p>
    <w:p w:rsidR="00FB686B" w:rsidRPr="005D437F" w:rsidRDefault="00FB686B" w:rsidP="00FB686B">
      <w:pPr>
        <w:rPr>
          <w:rFonts w:eastAsia="PMingLiU" w:cs="Arial"/>
          <w:szCs w:val="24"/>
        </w:rPr>
      </w:pPr>
      <w:r w:rsidRPr="005D437F">
        <w:rPr>
          <w:rFonts w:eastAsia="PMingLiU" w:cs="Arial"/>
          <w:szCs w:val="24"/>
        </w:rPr>
        <w:tab/>
        <w:t>TWPs:</w:t>
      </w:r>
      <w:r w:rsidRPr="005D437F">
        <w:rPr>
          <w:rFonts w:eastAsia="PMingLiU" w:cs="Arial"/>
          <w:szCs w:val="24"/>
        </w:rPr>
        <w:tab/>
      </w:r>
      <w:r w:rsidRPr="00013BCA">
        <w:rPr>
          <w:rFonts w:eastAsia="PMingLiU" w:cs="Arial"/>
          <w:szCs w:val="24"/>
        </w:rPr>
        <w:t>Technical Working Parties</w:t>
      </w:r>
    </w:p>
    <w:p w:rsidR="00FB686B" w:rsidRDefault="00FB686B" w:rsidP="00FB686B">
      <w:pPr>
        <w:rPr>
          <w:rFonts w:cs="Arial"/>
          <w:szCs w:val="24"/>
          <w:lang w:eastAsia="ja-JP"/>
        </w:rPr>
      </w:pPr>
      <w:r w:rsidRPr="005D437F">
        <w:rPr>
          <w:rFonts w:eastAsia="PMingLiU" w:cs="Arial"/>
          <w:szCs w:val="24"/>
        </w:rPr>
        <w:tab/>
      </w:r>
      <w:r w:rsidRPr="00013BCA">
        <w:rPr>
          <w:rFonts w:eastAsia="PMingLiU" w:cs="Arial"/>
          <w:szCs w:val="24"/>
        </w:rPr>
        <w:t>TWV:</w:t>
      </w:r>
      <w:r w:rsidRPr="005D437F">
        <w:rPr>
          <w:rFonts w:eastAsia="PMingLiU" w:cs="Arial"/>
          <w:szCs w:val="24"/>
        </w:rPr>
        <w:tab/>
      </w:r>
      <w:r w:rsidRPr="005D437F">
        <w:rPr>
          <w:rFonts w:eastAsia="PMingLiU" w:cs="Arial"/>
          <w:szCs w:val="24"/>
        </w:rPr>
        <w:tab/>
        <w:t>Technical Working Party for Vegetables</w:t>
      </w:r>
    </w:p>
    <w:p w:rsidR="00FB686B" w:rsidRPr="0081385D" w:rsidRDefault="00FB686B" w:rsidP="00B27B26">
      <w:pPr>
        <w:pStyle w:val="Heading1"/>
      </w:pPr>
      <w:bookmarkStart w:id="11" w:name="_Toc475459388"/>
      <w:r w:rsidRPr="0081385D">
        <w:lastRenderedPageBreak/>
        <w:t>background</w:t>
      </w:r>
      <w:bookmarkEnd w:id="11"/>
    </w:p>
    <w:p w:rsidR="00FB686B" w:rsidRPr="0081385D" w:rsidRDefault="00FB686B" w:rsidP="00FB686B">
      <w:pPr>
        <w:keepNext/>
        <w:rPr>
          <w:lang w:eastAsia="ja-JP"/>
        </w:rPr>
      </w:pPr>
    </w:p>
    <w:p w:rsidR="00FB686B" w:rsidRDefault="00FB686B" w:rsidP="00FB686B">
      <w:pPr>
        <w:rPr>
          <w:szCs w:val="24"/>
          <w:lang w:eastAsia="ja-JP"/>
        </w:rPr>
      </w:pPr>
      <w:r w:rsidRPr="0081385D">
        <w:fldChar w:fldCharType="begin"/>
      </w:r>
      <w:r w:rsidRPr="0081385D">
        <w:instrText xml:space="preserve"> AUTONUM  </w:instrText>
      </w:r>
      <w:r w:rsidRPr="0081385D">
        <w:fldChar w:fldCharType="end"/>
      </w:r>
      <w:r w:rsidRPr="0081385D">
        <w:tab/>
      </w:r>
      <w:r w:rsidRPr="0081385D">
        <w:rPr>
          <w:szCs w:val="24"/>
        </w:rPr>
        <w:t xml:space="preserve">The </w:t>
      </w:r>
      <w:r w:rsidRPr="0081385D">
        <w:rPr>
          <w:rFonts w:hint="eastAsia"/>
          <w:szCs w:val="24"/>
          <w:lang w:eastAsia="ja-JP"/>
        </w:rPr>
        <w:t xml:space="preserve">background to this matter </w:t>
      </w:r>
      <w:r w:rsidRPr="0081385D">
        <w:rPr>
          <w:szCs w:val="24"/>
        </w:rPr>
        <w:t xml:space="preserve">is provided in </w:t>
      </w:r>
      <w:r w:rsidRPr="00645E73">
        <w:rPr>
          <w:szCs w:val="24"/>
        </w:rPr>
        <w:t>document T</w:t>
      </w:r>
      <w:r w:rsidR="00455C03">
        <w:rPr>
          <w:szCs w:val="24"/>
        </w:rPr>
        <w:t>C</w:t>
      </w:r>
      <w:r w:rsidRPr="00645E73">
        <w:rPr>
          <w:szCs w:val="24"/>
        </w:rPr>
        <w:t>/</w:t>
      </w:r>
      <w:r w:rsidR="00455C03">
        <w:rPr>
          <w:szCs w:val="24"/>
        </w:rPr>
        <w:t>52</w:t>
      </w:r>
      <w:r w:rsidRPr="00645E73">
        <w:rPr>
          <w:szCs w:val="24"/>
        </w:rPr>
        <w:t>/</w:t>
      </w:r>
      <w:r w:rsidR="00455C03">
        <w:rPr>
          <w:szCs w:val="24"/>
          <w:lang w:eastAsia="ja-JP"/>
        </w:rPr>
        <w:t>18</w:t>
      </w:r>
      <w:r w:rsidRPr="0081385D">
        <w:rPr>
          <w:rFonts w:hint="eastAsia"/>
          <w:szCs w:val="24"/>
          <w:lang w:eastAsia="ja-JP"/>
        </w:rPr>
        <w:t xml:space="preserve"> </w:t>
      </w:r>
      <w:r w:rsidRPr="0081385D">
        <w:rPr>
          <w:szCs w:val="24"/>
          <w:lang w:eastAsia="ja-JP"/>
        </w:rPr>
        <w:t xml:space="preserve">“Revision of document TGP/8: Part II: Selected Techniques Used in DUS Examination, </w:t>
      </w:r>
      <w:r w:rsidRPr="0081385D">
        <w:rPr>
          <w:rFonts w:hint="eastAsia"/>
          <w:lang w:eastAsia="ja-JP"/>
        </w:rPr>
        <w:t>New Section: Examining DUS in Bulk Samples</w:t>
      </w:r>
      <w:r w:rsidRPr="0081385D">
        <w:rPr>
          <w:szCs w:val="24"/>
          <w:lang w:eastAsia="ja-JP"/>
        </w:rPr>
        <w:t>”</w:t>
      </w:r>
      <w:r w:rsidRPr="0081385D">
        <w:rPr>
          <w:rFonts w:hint="eastAsia"/>
          <w:szCs w:val="24"/>
          <w:lang w:eastAsia="ja-JP"/>
        </w:rPr>
        <w:t>.</w:t>
      </w:r>
    </w:p>
    <w:p w:rsidR="00FB686B" w:rsidRDefault="00FB686B" w:rsidP="00FB686B">
      <w:pPr>
        <w:rPr>
          <w:szCs w:val="24"/>
          <w:lang w:eastAsia="ja-JP"/>
        </w:rPr>
      </w:pPr>
    </w:p>
    <w:p w:rsidR="00FB686B" w:rsidRPr="0081385D" w:rsidRDefault="00FB686B" w:rsidP="00FB686B">
      <w:pPr>
        <w:rPr>
          <w:szCs w:val="24"/>
          <w:lang w:eastAsia="ja-JP"/>
        </w:rPr>
      </w:pPr>
    </w:p>
    <w:p w:rsidR="00FB686B" w:rsidRPr="0081385D" w:rsidRDefault="00FB686B" w:rsidP="00B27B26">
      <w:pPr>
        <w:pStyle w:val="Heading1"/>
        <w:rPr>
          <w:snapToGrid w:val="0"/>
          <w:color w:val="000000"/>
          <w:lang w:eastAsia="ja-JP"/>
        </w:rPr>
      </w:pPr>
      <w:bookmarkStart w:id="12" w:name="_Toc475459389"/>
      <w:r w:rsidRPr="0081385D">
        <w:rPr>
          <w:lang w:eastAsia="ja-JP"/>
        </w:rPr>
        <w:t>D</w:t>
      </w:r>
      <w:r w:rsidRPr="0081385D">
        <w:rPr>
          <w:rFonts w:hint="eastAsia"/>
          <w:lang w:eastAsia="ja-JP"/>
        </w:rPr>
        <w:t>evelopments in 201</w:t>
      </w:r>
      <w:r w:rsidR="00F63C9E">
        <w:rPr>
          <w:lang w:eastAsia="ja-JP"/>
        </w:rPr>
        <w:t>6</w:t>
      </w:r>
      <w:bookmarkEnd w:id="12"/>
    </w:p>
    <w:p w:rsidR="00FB686B" w:rsidRPr="0074496A" w:rsidRDefault="00FB686B" w:rsidP="00FB686B">
      <w:pPr>
        <w:keepNext/>
        <w:rPr>
          <w:rFonts w:cs="Arial"/>
        </w:rPr>
      </w:pPr>
    </w:p>
    <w:p w:rsidR="00FB686B" w:rsidRDefault="00FB686B" w:rsidP="00FB686B">
      <w:r w:rsidRPr="00512BC2">
        <w:rPr>
          <w:snapToGrid w:val="0"/>
          <w:color w:val="000000"/>
          <w:lang w:eastAsia="ja-JP"/>
        </w:rPr>
        <w:fldChar w:fldCharType="begin"/>
      </w:r>
      <w:r w:rsidRPr="00512BC2">
        <w:rPr>
          <w:snapToGrid w:val="0"/>
          <w:color w:val="000000"/>
          <w:lang w:eastAsia="ja-JP"/>
        </w:rPr>
        <w:instrText xml:space="preserve"> AUTONUM  </w:instrText>
      </w:r>
      <w:r w:rsidRPr="00512BC2">
        <w:rPr>
          <w:snapToGrid w:val="0"/>
          <w:color w:val="000000"/>
          <w:lang w:eastAsia="ja-JP"/>
        </w:rPr>
        <w:fldChar w:fldCharType="end"/>
      </w:r>
      <w:r w:rsidRPr="00512BC2">
        <w:rPr>
          <w:snapToGrid w:val="0"/>
          <w:color w:val="000000"/>
          <w:lang w:eastAsia="ja-JP"/>
        </w:rPr>
        <w:tab/>
      </w:r>
      <w:r w:rsidR="00FA27F4" w:rsidRPr="00512BC2">
        <w:rPr>
          <w:snapToGrid w:val="0"/>
          <w:color w:val="000000"/>
          <w:lang w:eastAsia="ja-JP"/>
        </w:rPr>
        <w:t>Following the invitation by the TC, at its fifty-second session, held in Geneva from March</w:t>
      </w:r>
      <w:r w:rsidR="00B27B26">
        <w:rPr>
          <w:snapToGrid w:val="0"/>
          <w:color w:val="000000"/>
          <w:lang w:eastAsia="ja-JP"/>
        </w:rPr>
        <w:t> </w:t>
      </w:r>
      <w:r w:rsidR="00FA27F4" w:rsidRPr="00512BC2">
        <w:rPr>
          <w:snapToGrid w:val="0"/>
          <w:color w:val="000000"/>
          <w:lang w:eastAsia="ja-JP"/>
        </w:rPr>
        <w:t>14</w:t>
      </w:r>
      <w:r w:rsidR="00B27B26">
        <w:rPr>
          <w:snapToGrid w:val="0"/>
          <w:color w:val="000000"/>
          <w:lang w:eastAsia="ja-JP"/>
        </w:rPr>
        <w:t> </w:t>
      </w:r>
      <w:r w:rsidR="00FA27F4" w:rsidRPr="00512BC2">
        <w:rPr>
          <w:snapToGrid w:val="0"/>
          <w:color w:val="000000"/>
          <w:lang w:eastAsia="ja-JP"/>
        </w:rPr>
        <w:t>to</w:t>
      </w:r>
      <w:r w:rsidR="00B27B26">
        <w:rPr>
          <w:snapToGrid w:val="0"/>
          <w:color w:val="000000"/>
          <w:lang w:eastAsia="ja-JP"/>
        </w:rPr>
        <w:t> </w:t>
      </w:r>
      <w:r w:rsidR="00FA27F4" w:rsidRPr="00512BC2">
        <w:rPr>
          <w:snapToGrid w:val="0"/>
          <w:color w:val="000000"/>
          <w:lang w:eastAsia="ja-JP"/>
        </w:rPr>
        <w:t>16,</w:t>
      </w:r>
      <w:r w:rsidR="00B27B26">
        <w:rPr>
          <w:snapToGrid w:val="0"/>
          <w:color w:val="000000"/>
          <w:lang w:eastAsia="ja-JP"/>
        </w:rPr>
        <w:t> </w:t>
      </w:r>
      <w:r w:rsidR="00FA27F4" w:rsidRPr="00512BC2">
        <w:rPr>
          <w:snapToGrid w:val="0"/>
          <w:color w:val="000000"/>
          <w:lang w:eastAsia="ja-JP"/>
        </w:rPr>
        <w:t xml:space="preserve">2016, the expert from </w:t>
      </w:r>
      <w:r w:rsidRPr="00512BC2">
        <w:t xml:space="preserve">the Netherlands </w:t>
      </w:r>
      <w:r w:rsidR="00FA27F4" w:rsidRPr="00512BC2">
        <w:t xml:space="preserve">developed draft guidance as </w:t>
      </w:r>
      <w:r w:rsidRPr="00512BC2">
        <w:t>reproduced in the Annex to this document.</w:t>
      </w:r>
    </w:p>
    <w:p w:rsidR="00F63C9E" w:rsidRDefault="00F63C9E" w:rsidP="00FB686B">
      <w:pPr>
        <w:jc w:val="left"/>
        <w:rPr>
          <w:snapToGrid w:val="0"/>
          <w:color w:val="000000"/>
          <w:lang w:eastAsia="ja-JP"/>
        </w:rPr>
      </w:pPr>
    </w:p>
    <w:p w:rsidR="00F63C9E" w:rsidRDefault="00F63C9E" w:rsidP="00F74A90">
      <w:pPr>
        <w:pStyle w:val="Heading2"/>
      </w:pPr>
      <w:bookmarkStart w:id="13" w:name="_Toc473121192"/>
      <w:bookmarkStart w:id="14" w:name="_Toc475459390"/>
      <w:r>
        <w:t>Technical Working Party on Automation and Computer Programs</w:t>
      </w:r>
      <w:bookmarkEnd w:id="13"/>
      <w:bookmarkEnd w:id="14"/>
    </w:p>
    <w:p w:rsidR="00F63C9E" w:rsidRDefault="00F63C9E" w:rsidP="00512BC2">
      <w:pPr>
        <w:keepNext/>
        <w:jc w:val="left"/>
        <w:rPr>
          <w:snapToGrid w:val="0"/>
          <w:color w:val="000000"/>
          <w:lang w:eastAsia="ja-JP"/>
        </w:rPr>
      </w:pPr>
    </w:p>
    <w:p w:rsidR="00F63C9E" w:rsidRPr="00340C7C" w:rsidRDefault="00F63C9E" w:rsidP="00512BC2">
      <w:pPr>
        <w:keepNext/>
        <w:rPr>
          <w:snapToGrid w:val="0"/>
        </w:rPr>
      </w:pPr>
      <w:r w:rsidRPr="00CE3579">
        <w:rPr>
          <w:snapToGrid w:val="0"/>
        </w:rPr>
        <w:fldChar w:fldCharType="begin"/>
      </w:r>
      <w:r w:rsidRPr="00CE3579">
        <w:rPr>
          <w:snapToGrid w:val="0"/>
        </w:rPr>
        <w:instrText xml:space="preserve"> AUTONUM  </w:instrText>
      </w:r>
      <w:r w:rsidRPr="00CE3579">
        <w:rPr>
          <w:snapToGrid w:val="0"/>
        </w:rPr>
        <w:fldChar w:fldCharType="end"/>
      </w:r>
      <w:r w:rsidRPr="00CE3579">
        <w:rPr>
          <w:snapToGrid w:val="0"/>
        </w:rPr>
        <w:tab/>
        <w:t>The TWC considered document TWC/34/11</w:t>
      </w:r>
      <w:r>
        <w:rPr>
          <w:snapToGrid w:val="0"/>
        </w:rPr>
        <w:t xml:space="preserve"> (see document TWC/34/32 “Report”, paragraphs</w:t>
      </w:r>
      <w:r w:rsidR="00F74A90">
        <w:rPr>
          <w:snapToGrid w:val="0"/>
        </w:rPr>
        <w:t> </w:t>
      </w:r>
      <w:r>
        <w:rPr>
          <w:snapToGrid w:val="0"/>
        </w:rPr>
        <w:t>35</w:t>
      </w:r>
      <w:r w:rsidR="00F74A90">
        <w:rPr>
          <w:snapToGrid w:val="0"/>
        </w:rPr>
        <w:t> </w:t>
      </w:r>
      <w:r>
        <w:rPr>
          <w:snapToGrid w:val="0"/>
        </w:rPr>
        <w:t>to</w:t>
      </w:r>
      <w:r w:rsidR="00F74A90">
        <w:rPr>
          <w:snapToGrid w:val="0"/>
        </w:rPr>
        <w:t> </w:t>
      </w:r>
      <w:r>
        <w:rPr>
          <w:snapToGrid w:val="0"/>
        </w:rPr>
        <w:t>38)</w:t>
      </w:r>
      <w:r w:rsidRPr="00CE3579">
        <w:rPr>
          <w:snapToGrid w:val="0"/>
        </w:rPr>
        <w:t>.</w:t>
      </w:r>
    </w:p>
    <w:p w:rsidR="00F63C9E" w:rsidRDefault="00F63C9E" w:rsidP="00F63C9E">
      <w:pPr>
        <w:rPr>
          <w:snapToGrid w:val="0"/>
        </w:rPr>
      </w:pPr>
    </w:p>
    <w:p w:rsidR="00F63C9E" w:rsidRDefault="00F63C9E" w:rsidP="00F63C9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t xml:space="preserve">The TWC noted that guidance for </w:t>
      </w:r>
      <w:r w:rsidRPr="00384BC5">
        <w:t xml:space="preserve">examining DUS in bulk samples </w:t>
      </w:r>
      <w:r>
        <w:t xml:space="preserve">would be developed on the basis of the criteria set out in document TWC/34/11, paragraph 22, and agreed with the proposal by the </w:t>
      </w:r>
      <w:r>
        <w:rPr>
          <w:snapToGrid w:val="0"/>
        </w:rPr>
        <w:t>expert from the Netherlands to use the approach “</w:t>
      </w:r>
      <w:r w:rsidRPr="00E4267C">
        <w:rPr>
          <w:snapToGrid w:val="0"/>
        </w:rPr>
        <w:t>Control of the characteristic before it is accepted in the relevant guideline</w:t>
      </w:r>
      <w:r>
        <w:rPr>
          <w:snapToGrid w:val="0"/>
        </w:rPr>
        <w:t xml:space="preserve">”.  </w:t>
      </w:r>
    </w:p>
    <w:p w:rsidR="00F63C9E" w:rsidRDefault="00F63C9E" w:rsidP="00F63C9E">
      <w:pPr>
        <w:rPr>
          <w:snapToGrid w:val="0"/>
        </w:rPr>
      </w:pPr>
    </w:p>
    <w:p w:rsidR="00F63C9E" w:rsidRDefault="00F63C9E" w:rsidP="00F63C9E">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TWC also agreed that approaches “subplots” and “plant number” </w:t>
      </w:r>
      <w:r>
        <w:rPr>
          <w:lang w:val="en-GB"/>
        </w:rPr>
        <w:t xml:space="preserve">would be acceptable on the basis of examples and discussions </w:t>
      </w:r>
      <w:r w:rsidRPr="0079098F">
        <w:rPr>
          <w:lang w:val="en-GB"/>
        </w:rPr>
        <w:t xml:space="preserve">in the </w:t>
      </w:r>
      <w:r>
        <w:rPr>
          <w:lang w:val="en-GB"/>
        </w:rPr>
        <w:t>relevant Technical Working Parties, as proposed in the Annex to document TWC/34/11</w:t>
      </w:r>
      <w:r>
        <w:rPr>
          <w:snapToGrid w:val="0"/>
        </w:rPr>
        <w:t>.</w:t>
      </w:r>
    </w:p>
    <w:p w:rsidR="00F63C9E" w:rsidRDefault="00F63C9E" w:rsidP="00F63C9E">
      <w:pPr>
        <w:rPr>
          <w:snapToGrid w:val="0"/>
        </w:rPr>
      </w:pPr>
    </w:p>
    <w:p w:rsidR="00F63C9E" w:rsidRPr="00340C7C" w:rsidRDefault="00F63C9E" w:rsidP="00F63C9E">
      <w:pPr>
        <w:rPr>
          <w:snapToGrid w:val="0"/>
          <w:lang w:eastAsia="ja-JP"/>
        </w:rPr>
      </w:pPr>
      <w:r w:rsidRPr="00DA3F06">
        <w:rPr>
          <w:snapToGrid w:val="0"/>
        </w:rPr>
        <w:fldChar w:fldCharType="begin"/>
      </w:r>
      <w:r w:rsidRPr="005A1056">
        <w:rPr>
          <w:snapToGrid w:val="0"/>
        </w:rPr>
        <w:instrText xml:space="preserve"> AUTONUM  </w:instrText>
      </w:r>
      <w:r w:rsidRPr="00DA3F06">
        <w:rPr>
          <w:snapToGrid w:val="0"/>
        </w:rPr>
        <w:fldChar w:fldCharType="end"/>
      </w:r>
      <w:r w:rsidRPr="005A1056">
        <w:rPr>
          <w:snapToGrid w:val="0"/>
        </w:rPr>
        <w:tab/>
        <w:t xml:space="preserve">The </w:t>
      </w:r>
      <w:r w:rsidRPr="00DA3F06">
        <w:rPr>
          <w:snapToGrid w:val="0"/>
        </w:rPr>
        <w:t xml:space="preserve">TWC </w:t>
      </w:r>
      <w:r>
        <w:rPr>
          <w:snapToGrid w:val="0"/>
        </w:rPr>
        <w:t>noted</w:t>
      </w:r>
      <w:r w:rsidRPr="005A1056">
        <w:rPr>
          <w:snapToGrid w:val="0"/>
        </w:rPr>
        <w:t xml:space="preserve"> that </w:t>
      </w:r>
      <w:r w:rsidRPr="005A1056">
        <w:rPr>
          <w:lang w:val="en-GB" w:eastAsia="ja-JP"/>
        </w:rPr>
        <w:t xml:space="preserve">DNA </w:t>
      </w:r>
      <w:r>
        <w:rPr>
          <w:lang w:val="en-GB" w:eastAsia="ja-JP"/>
        </w:rPr>
        <w:t>markers</w:t>
      </w:r>
      <w:r w:rsidRPr="005A1056">
        <w:rPr>
          <w:lang w:val="en-GB" w:eastAsia="ja-JP"/>
        </w:rPr>
        <w:t xml:space="preserve"> could be used to assess characteristics </w:t>
      </w:r>
      <w:r w:rsidRPr="00DA3F06">
        <w:rPr>
          <w:lang w:val="en-GB"/>
        </w:rPr>
        <w:t>on the basis of the existence of a reliable link between the marker and the characteristic and there was no need to develop guidance in this regard under a general guidance for characteristics observed on the basis of bulk samples.</w:t>
      </w:r>
      <w:r>
        <w:rPr>
          <w:i/>
          <w:lang w:val="en-GB"/>
        </w:rPr>
        <w:t xml:space="preserve"> </w:t>
      </w:r>
    </w:p>
    <w:p w:rsidR="00F63C9E" w:rsidRDefault="00F63C9E" w:rsidP="00FB686B">
      <w:pPr>
        <w:jc w:val="left"/>
        <w:rPr>
          <w:snapToGrid w:val="0"/>
          <w:color w:val="000000"/>
          <w:lang w:eastAsia="ja-JP"/>
        </w:rPr>
      </w:pPr>
    </w:p>
    <w:p w:rsidR="00F63C9E" w:rsidRDefault="00F63C9E" w:rsidP="00F74A90">
      <w:pPr>
        <w:pStyle w:val="Heading2"/>
      </w:pPr>
      <w:bookmarkStart w:id="15" w:name="_Toc473121193"/>
      <w:bookmarkStart w:id="16" w:name="_Toc475459391"/>
      <w:r w:rsidRPr="004F1C91">
        <w:rPr>
          <w:rFonts w:eastAsia="PMingLiU"/>
        </w:rPr>
        <w:t>Technical Working Party for Ornamental Plants and Forest Trees</w:t>
      </w:r>
      <w:bookmarkEnd w:id="15"/>
      <w:bookmarkEnd w:id="16"/>
    </w:p>
    <w:p w:rsidR="00F63C9E" w:rsidRDefault="00F63C9E" w:rsidP="00F63C9E">
      <w:pPr>
        <w:rPr>
          <w:snapToGrid w:val="0"/>
          <w:lang w:eastAsia="ja-JP"/>
        </w:rPr>
      </w:pPr>
      <w:bookmarkStart w:id="17" w:name="_Toc473121194"/>
    </w:p>
    <w:p w:rsidR="00F63C9E" w:rsidRDefault="00F63C9E" w:rsidP="00F63C9E">
      <w:pPr>
        <w:rPr>
          <w:snapToGrid w:val="0"/>
          <w:color w:val="000000"/>
          <w:lang w:eastAsia="ja-JP"/>
        </w:rPr>
      </w:pPr>
      <w:r w:rsidRPr="00C870D3">
        <w:rPr>
          <w:snapToGrid w:val="0"/>
          <w:lang w:eastAsia="ja-JP"/>
        </w:rPr>
        <w:fldChar w:fldCharType="begin"/>
      </w:r>
      <w:r w:rsidRPr="00C870D3">
        <w:rPr>
          <w:snapToGrid w:val="0"/>
          <w:lang w:eastAsia="ja-JP"/>
        </w:rPr>
        <w:instrText xml:space="preserve"> AUTONUM  </w:instrText>
      </w:r>
      <w:r w:rsidRPr="00C870D3">
        <w:rPr>
          <w:snapToGrid w:val="0"/>
          <w:lang w:eastAsia="ja-JP"/>
        </w:rPr>
        <w:fldChar w:fldCharType="end"/>
      </w:r>
      <w:r w:rsidRPr="00C870D3">
        <w:rPr>
          <w:snapToGrid w:val="0"/>
          <w:lang w:eastAsia="ja-JP"/>
        </w:rPr>
        <w:tab/>
        <w:t xml:space="preserve">The TWO considered </w:t>
      </w:r>
      <w:r w:rsidRPr="00C870D3">
        <w:t>document TWO/49/11</w:t>
      </w:r>
      <w:r>
        <w:t xml:space="preserve"> </w:t>
      </w:r>
      <w:r>
        <w:rPr>
          <w:snapToGrid w:val="0"/>
        </w:rPr>
        <w:t>(see document TWO/49/25 Rev. “Revised Report”, paragraphs 29 to 33)</w:t>
      </w:r>
      <w:r w:rsidRPr="00CE3579">
        <w:rPr>
          <w:snapToGrid w:val="0"/>
        </w:rPr>
        <w:t>.</w:t>
      </w:r>
    </w:p>
    <w:p w:rsidR="00F63C9E" w:rsidRPr="00C870D3" w:rsidRDefault="00F63C9E" w:rsidP="00F63C9E">
      <w:pPr>
        <w:rPr>
          <w:rFonts w:cs="Arial"/>
          <w:i/>
        </w:rPr>
      </w:pPr>
    </w:p>
    <w:p w:rsidR="00F63C9E" w:rsidRPr="00C870D3" w:rsidRDefault="00F63C9E" w:rsidP="00F63C9E">
      <w:r w:rsidRPr="00C870D3">
        <w:fldChar w:fldCharType="begin"/>
      </w:r>
      <w:r w:rsidRPr="00C870D3">
        <w:instrText xml:space="preserve"> AUTONUM  </w:instrText>
      </w:r>
      <w:r w:rsidRPr="00C870D3">
        <w:fldChar w:fldCharType="end"/>
      </w:r>
      <w:r w:rsidRPr="00C870D3">
        <w:tab/>
        <w:t xml:space="preserve">The TWO noted the proposed guidance for examining DUS in bulk samples as presented in the Annex to document TWO/49/11, for inclusion in a future revision of document TGP/8.  </w:t>
      </w:r>
    </w:p>
    <w:p w:rsidR="00F63C9E" w:rsidRPr="00C870D3" w:rsidRDefault="00F63C9E" w:rsidP="00F63C9E"/>
    <w:p w:rsidR="00F63C9E" w:rsidRPr="00C870D3" w:rsidRDefault="00F63C9E" w:rsidP="00F63C9E">
      <w:pPr>
        <w:rPr>
          <w:snapToGrid w:val="0"/>
          <w:color w:val="000000"/>
          <w:lang w:eastAsia="ja-JP"/>
        </w:rPr>
      </w:pPr>
      <w:r w:rsidRPr="00C870D3">
        <w:fldChar w:fldCharType="begin"/>
      </w:r>
      <w:r w:rsidRPr="00C870D3">
        <w:instrText xml:space="preserve"> AUTONUM  </w:instrText>
      </w:r>
      <w:r w:rsidRPr="00C870D3">
        <w:fldChar w:fldCharType="end"/>
      </w:r>
      <w:r w:rsidRPr="00C870D3">
        <w:tab/>
        <w:t xml:space="preserve">The TWO considered the proposed approach to assess uniformity of individual plants for different varieties to validate the characteristic before being used in DUS examination and agreed that for vegetatively propagated ornamental plants </w:t>
      </w:r>
      <w:r w:rsidRPr="00C870D3">
        <w:rPr>
          <w:snapToGrid w:val="0"/>
          <w:color w:val="000000"/>
          <w:lang w:eastAsia="ja-JP"/>
        </w:rPr>
        <w:t>the number of applications per crop would not be sufficient to provide over</w:t>
      </w:r>
      <w:r>
        <w:rPr>
          <w:snapToGrid w:val="0"/>
          <w:color w:val="000000"/>
          <w:lang w:eastAsia="ja-JP"/>
        </w:rPr>
        <w:noBreakHyphen/>
      </w:r>
      <w:r w:rsidRPr="00C870D3">
        <w:rPr>
          <w:snapToGrid w:val="0"/>
          <w:color w:val="000000"/>
          <w:lang w:eastAsia="ja-JP"/>
        </w:rPr>
        <w:t>years data from many varieties.</w:t>
      </w:r>
    </w:p>
    <w:p w:rsidR="00F63C9E" w:rsidRPr="00C870D3" w:rsidRDefault="00F63C9E" w:rsidP="00F63C9E">
      <w:pPr>
        <w:rPr>
          <w:rFonts w:cs="Arial"/>
          <w:i/>
        </w:rPr>
      </w:pPr>
    </w:p>
    <w:p w:rsidR="00F63C9E" w:rsidRPr="00C870D3" w:rsidRDefault="00F63C9E" w:rsidP="00F63C9E">
      <w:pPr>
        <w:rPr>
          <w:snapToGrid w:val="0"/>
          <w:color w:val="000000"/>
          <w:lang w:eastAsia="ja-JP"/>
        </w:rPr>
      </w:pPr>
      <w:r w:rsidRPr="00C870D3">
        <w:fldChar w:fldCharType="begin"/>
      </w:r>
      <w:r w:rsidRPr="00C870D3">
        <w:instrText xml:space="preserve"> AUTONUM  </w:instrText>
      </w:r>
      <w:r w:rsidRPr="00C870D3">
        <w:fldChar w:fldCharType="end"/>
      </w:r>
      <w:r w:rsidRPr="00C870D3">
        <w:tab/>
      </w:r>
      <w:r w:rsidRPr="00C870D3">
        <w:rPr>
          <w:snapToGrid w:val="0"/>
          <w:color w:val="000000"/>
          <w:lang w:eastAsia="ja-JP"/>
        </w:rPr>
        <w:t xml:space="preserve">The TWO noted the reports from members on experiences with assessing chemical component characteristics and agreed on the technical difficulty and cost implications to obtain a sufficient quantity of certain chemical components to assess uniformity on individual plants. </w:t>
      </w:r>
    </w:p>
    <w:p w:rsidR="00F63C9E" w:rsidRPr="00C870D3" w:rsidRDefault="00F63C9E" w:rsidP="00F63C9E">
      <w:pPr>
        <w:rPr>
          <w:snapToGrid w:val="0"/>
          <w:color w:val="000000"/>
          <w:lang w:eastAsia="ja-JP"/>
        </w:rPr>
      </w:pPr>
    </w:p>
    <w:p w:rsidR="00F63C9E" w:rsidRPr="00C870D3" w:rsidRDefault="00F63C9E" w:rsidP="00F63C9E">
      <w:pPr>
        <w:rPr>
          <w:rFonts w:cs="Arial"/>
          <w:i/>
        </w:rPr>
      </w:pPr>
      <w:r w:rsidRPr="00C870D3">
        <w:fldChar w:fldCharType="begin"/>
      </w:r>
      <w:r w:rsidRPr="00C870D3">
        <w:instrText xml:space="preserve"> AUTONUM  </w:instrText>
      </w:r>
      <w:r w:rsidRPr="00C870D3">
        <w:fldChar w:fldCharType="end"/>
      </w:r>
      <w:r w:rsidRPr="00C870D3">
        <w:tab/>
      </w:r>
      <w:r w:rsidRPr="00C870D3">
        <w:rPr>
          <w:snapToGrid w:val="0"/>
          <w:color w:val="000000"/>
          <w:lang w:eastAsia="ja-JP"/>
        </w:rPr>
        <w:t>The TWO agreed that characteristics assessed on the basis of bulk samples could provide complementary information for the analysis of distinctness in direct comparison of pairs of varieties for certain crops and agreed that the future guidance should set parameters for selecting among the approaches listed in the Annex to document TWO/49/11.</w:t>
      </w:r>
    </w:p>
    <w:p w:rsidR="00F63C9E" w:rsidRPr="00C870D3" w:rsidRDefault="00F63C9E" w:rsidP="00F63C9E">
      <w:pPr>
        <w:rPr>
          <w:rFonts w:cs="Arial"/>
          <w:i/>
        </w:rPr>
      </w:pPr>
    </w:p>
    <w:p w:rsidR="00F63C9E" w:rsidRDefault="00F63C9E" w:rsidP="00F74A90">
      <w:pPr>
        <w:pStyle w:val="Heading2"/>
      </w:pPr>
      <w:bookmarkStart w:id="18" w:name="_Toc475459392"/>
      <w:r w:rsidRPr="004F1C91">
        <w:rPr>
          <w:rFonts w:eastAsia="PMingLiU"/>
        </w:rPr>
        <w:t>Technical Working Party for Vegetables</w:t>
      </w:r>
      <w:bookmarkEnd w:id="17"/>
      <w:bookmarkEnd w:id="18"/>
    </w:p>
    <w:p w:rsidR="00F63C9E" w:rsidRDefault="00F63C9E" w:rsidP="00FB686B">
      <w:pPr>
        <w:jc w:val="left"/>
        <w:rPr>
          <w:snapToGrid w:val="0"/>
          <w:color w:val="000000"/>
          <w:lang w:eastAsia="ja-JP"/>
        </w:rPr>
      </w:pPr>
    </w:p>
    <w:p w:rsidR="00383EC2" w:rsidRPr="000F2AF4" w:rsidRDefault="00383EC2" w:rsidP="00383EC2">
      <w:r w:rsidRPr="000F2AF4">
        <w:fldChar w:fldCharType="begin"/>
      </w:r>
      <w:r w:rsidRPr="000F2AF4">
        <w:instrText xml:space="preserve"> AUTONUM  </w:instrText>
      </w:r>
      <w:r w:rsidRPr="000F2AF4">
        <w:fldChar w:fldCharType="end"/>
      </w:r>
      <w:r w:rsidRPr="000F2AF4">
        <w:tab/>
        <w:t>The TWV considered document TWV/50/11</w:t>
      </w:r>
      <w:r>
        <w:t xml:space="preserve"> </w:t>
      </w:r>
      <w:r>
        <w:rPr>
          <w:snapToGrid w:val="0"/>
        </w:rPr>
        <w:t>(see document TWV/50/25 “Report”, paragraphs</w:t>
      </w:r>
      <w:r w:rsidR="00F74A90">
        <w:rPr>
          <w:snapToGrid w:val="0"/>
        </w:rPr>
        <w:t> </w:t>
      </w:r>
      <w:r>
        <w:rPr>
          <w:snapToGrid w:val="0"/>
        </w:rPr>
        <w:t>34</w:t>
      </w:r>
      <w:r w:rsidR="00F74A90">
        <w:rPr>
          <w:snapToGrid w:val="0"/>
        </w:rPr>
        <w:t> </w:t>
      </w:r>
      <w:r>
        <w:rPr>
          <w:snapToGrid w:val="0"/>
        </w:rPr>
        <w:t>to</w:t>
      </w:r>
      <w:r w:rsidR="00F74A90">
        <w:rPr>
          <w:snapToGrid w:val="0"/>
        </w:rPr>
        <w:t> </w:t>
      </w:r>
      <w:r>
        <w:rPr>
          <w:snapToGrid w:val="0"/>
        </w:rPr>
        <w:t>38)</w:t>
      </w:r>
      <w:r w:rsidRPr="000F2AF4">
        <w:t>.</w:t>
      </w:r>
    </w:p>
    <w:p w:rsidR="00383EC2" w:rsidRPr="000F2AF4" w:rsidRDefault="00383EC2" w:rsidP="00383EC2"/>
    <w:p w:rsidR="00383EC2" w:rsidRPr="000F2AF4" w:rsidRDefault="00383EC2" w:rsidP="00383EC2">
      <w:r w:rsidRPr="000F2AF4">
        <w:fldChar w:fldCharType="begin"/>
      </w:r>
      <w:r w:rsidRPr="000F2AF4">
        <w:instrText xml:space="preserve"> AUTONUM  </w:instrText>
      </w:r>
      <w:r w:rsidRPr="000F2AF4">
        <w:fldChar w:fldCharType="end"/>
      </w:r>
      <w:r w:rsidRPr="000F2AF4">
        <w:tab/>
        <w:t>The TWV considered the proposed guidance for examining DUS in bulk samples as presented in the Annex to document TWV/50/11, for inclusion in a future revision of document TGP/8.</w:t>
      </w:r>
    </w:p>
    <w:p w:rsidR="00383EC2" w:rsidRPr="000F2AF4" w:rsidRDefault="00383EC2" w:rsidP="00383EC2"/>
    <w:p w:rsidR="00383EC2" w:rsidRPr="000F2AF4" w:rsidRDefault="00383EC2" w:rsidP="00DE0FEE">
      <w:pPr>
        <w:keepNext/>
      </w:pPr>
      <w:r w:rsidRPr="000F2AF4">
        <w:lastRenderedPageBreak/>
        <w:fldChar w:fldCharType="begin"/>
      </w:r>
      <w:r w:rsidRPr="000F2AF4">
        <w:instrText xml:space="preserve"> AUTONUM  </w:instrText>
      </w:r>
      <w:r w:rsidRPr="000F2AF4">
        <w:fldChar w:fldCharType="end"/>
      </w:r>
      <w:r w:rsidRPr="000F2AF4">
        <w:tab/>
        <w:t xml:space="preserve">The TWV </w:t>
      </w:r>
      <w:r>
        <w:t xml:space="preserve">received the confirmation by the </w:t>
      </w:r>
      <w:r w:rsidRPr="000F2AF4">
        <w:t>drafter</w:t>
      </w:r>
      <w:r>
        <w:t xml:space="preserve"> of</w:t>
      </w:r>
      <w:r w:rsidRPr="000F2AF4">
        <w:t xml:space="preserve"> the proposed guidance</w:t>
      </w:r>
      <w:r>
        <w:t xml:space="preserve"> (</w:t>
      </w:r>
      <w:r w:rsidRPr="000F2AF4">
        <w:t xml:space="preserve">Ms. Amanda van </w:t>
      </w:r>
      <w:proofErr w:type="spellStart"/>
      <w:r w:rsidRPr="000F2AF4">
        <w:t>Dijk</w:t>
      </w:r>
      <w:proofErr w:type="spellEnd"/>
      <w:r w:rsidRPr="000F2AF4">
        <w:t xml:space="preserve"> (Netherlands)</w:t>
      </w:r>
      <w:r>
        <w:t>)</w:t>
      </w:r>
      <w:r w:rsidRPr="000F2AF4">
        <w:t xml:space="preserve">, </w:t>
      </w:r>
      <w:r>
        <w:t>that</w:t>
      </w:r>
      <w:r w:rsidRPr="000F2AF4">
        <w:t xml:space="preserve"> in the paragraph reproduced below, the 3 subsamples are per plot</w:t>
      </w:r>
      <w:r>
        <w:t>, and proposed to read the following</w:t>
      </w:r>
      <w:r w:rsidRPr="000F2AF4">
        <w:t xml:space="preserve">: </w:t>
      </w:r>
    </w:p>
    <w:p w:rsidR="00383EC2" w:rsidRPr="000F2AF4" w:rsidRDefault="00383EC2" w:rsidP="00383EC2"/>
    <w:p w:rsidR="00383EC2" w:rsidRPr="000F2AF4" w:rsidRDefault="00383EC2" w:rsidP="00383EC2">
      <w:pPr>
        <w:ind w:left="567" w:right="425"/>
        <w:rPr>
          <w:sz w:val="18"/>
        </w:rPr>
      </w:pPr>
      <w:proofErr w:type="gramStart"/>
      <w:r w:rsidRPr="000F2AF4">
        <w:rPr>
          <w:sz w:val="18"/>
        </w:rPr>
        <w:t>“(2015, d) Subplots.</w:t>
      </w:r>
      <w:proofErr w:type="gramEnd"/>
    </w:p>
    <w:p w:rsidR="00383EC2" w:rsidRPr="000F2AF4" w:rsidRDefault="00383EC2" w:rsidP="00383EC2">
      <w:pPr>
        <w:ind w:left="567" w:right="425"/>
        <w:rPr>
          <w:sz w:val="18"/>
        </w:rPr>
      </w:pPr>
    </w:p>
    <w:p w:rsidR="00383EC2" w:rsidRPr="000F2AF4" w:rsidRDefault="00383EC2" w:rsidP="00383EC2">
      <w:pPr>
        <w:ind w:left="567" w:right="425"/>
        <w:rPr>
          <w:sz w:val="18"/>
        </w:rPr>
      </w:pPr>
      <w:proofErr w:type="gramStart"/>
      <w:r w:rsidRPr="000F2AF4">
        <w:rPr>
          <w:sz w:val="18"/>
        </w:rPr>
        <w:t>“Making use of subplots in order to indicate the uniformity of the characteristic.</w:t>
      </w:r>
      <w:proofErr w:type="gramEnd"/>
      <w:r w:rsidRPr="000F2AF4">
        <w:rPr>
          <w:sz w:val="18"/>
        </w:rPr>
        <w:t xml:space="preserve"> Only one observation per plot, but there are more subplots in the trial. An example is dry matter content in Onion. There are three subsamples in the trial. It is possible to work with 3 subsamples</w:t>
      </w:r>
      <w:r>
        <w:rPr>
          <w:sz w:val="18"/>
        </w:rPr>
        <w:t xml:space="preserve"> </w:t>
      </w:r>
      <w:r w:rsidRPr="00026E4A">
        <w:rPr>
          <w:sz w:val="18"/>
          <w:highlight w:val="lightGray"/>
          <w:u w:val="single"/>
        </w:rPr>
        <w:t>per plot</w:t>
      </w:r>
      <w:r w:rsidRPr="000F2AF4">
        <w:rPr>
          <w:sz w:val="18"/>
        </w:rPr>
        <w:t xml:space="preserve"> for an indication of uniformity. (</w:t>
      </w:r>
      <w:proofErr w:type="gramStart"/>
      <w:r w:rsidRPr="000F2AF4">
        <w:rPr>
          <w:sz w:val="18"/>
        </w:rPr>
        <w:t>see</w:t>
      </w:r>
      <w:proofErr w:type="gramEnd"/>
      <w:r w:rsidRPr="000F2AF4">
        <w:rPr>
          <w:sz w:val="18"/>
        </w:rPr>
        <w:t>: TGP/8.6).”</w:t>
      </w:r>
    </w:p>
    <w:p w:rsidR="00383EC2" w:rsidRPr="000F2AF4" w:rsidRDefault="00383EC2" w:rsidP="00383EC2"/>
    <w:p w:rsidR="00383EC2" w:rsidRPr="000F2AF4" w:rsidRDefault="00383EC2" w:rsidP="00383EC2">
      <w:r w:rsidRPr="000F2AF4">
        <w:fldChar w:fldCharType="begin"/>
      </w:r>
      <w:r w:rsidRPr="000F2AF4">
        <w:instrText xml:space="preserve"> AUTONUM  </w:instrText>
      </w:r>
      <w:r w:rsidRPr="000F2AF4">
        <w:fldChar w:fldCharType="end"/>
      </w:r>
      <w:r w:rsidRPr="000F2AF4">
        <w:tab/>
        <w:t>The TWV was not in favor of reducing the number of plants as proposed in the guidance and the paragraph reproduced below, because it was important to have the full range of expression of variation:</w:t>
      </w:r>
    </w:p>
    <w:p w:rsidR="00383EC2" w:rsidRPr="000F2AF4" w:rsidRDefault="00383EC2" w:rsidP="00383EC2"/>
    <w:p w:rsidR="00383EC2" w:rsidRPr="000F2AF4" w:rsidRDefault="00383EC2" w:rsidP="00383EC2">
      <w:pPr>
        <w:ind w:left="567" w:right="425"/>
        <w:rPr>
          <w:sz w:val="18"/>
        </w:rPr>
      </w:pPr>
      <w:proofErr w:type="gramStart"/>
      <w:r w:rsidRPr="000F2AF4">
        <w:rPr>
          <w:sz w:val="18"/>
        </w:rPr>
        <w:t xml:space="preserve">“(2015, </w:t>
      </w:r>
      <w:proofErr w:type="spellStart"/>
      <w:r w:rsidRPr="000F2AF4">
        <w:rPr>
          <w:sz w:val="18"/>
        </w:rPr>
        <w:t>i</w:t>
      </w:r>
      <w:proofErr w:type="spellEnd"/>
      <w:r w:rsidRPr="000F2AF4">
        <w:rPr>
          <w:sz w:val="18"/>
        </w:rPr>
        <w:t>) Plant number.</w:t>
      </w:r>
      <w:proofErr w:type="gramEnd"/>
    </w:p>
    <w:p w:rsidR="00383EC2" w:rsidRPr="000F2AF4" w:rsidRDefault="00383EC2" w:rsidP="00383EC2">
      <w:pPr>
        <w:ind w:left="567" w:right="425"/>
        <w:rPr>
          <w:sz w:val="18"/>
        </w:rPr>
      </w:pPr>
    </w:p>
    <w:p w:rsidR="00383EC2" w:rsidRPr="000F2AF4" w:rsidRDefault="00383EC2" w:rsidP="00383EC2">
      <w:pPr>
        <w:ind w:left="567" w:right="425"/>
        <w:rPr>
          <w:sz w:val="18"/>
        </w:rPr>
      </w:pPr>
      <w:r w:rsidRPr="000F2AF4">
        <w:rPr>
          <w:sz w:val="18"/>
        </w:rPr>
        <w:t>“Use a different number of plants for this characteristic to be tested in the guideline that is in congruence with the nature of the characteristic. For example: in a certain guideline it is mentioned that 60 plants have to be judged for uniformity. If the characteristic involved is not suitable for judgment of 60 plants, one can propose a lower number of plants for the relevant characteristic for example 5 plants.”</w:t>
      </w:r>
    </w:p>
    <w:p w:rsidR="00383EC2" w:rsidRPr="000F2AF4" w:rsidRDefault="00383EC2" w:rsidP="00383EC2"/>
    <w:p w:rsidR="00383EC2" w:rsidRPr="000F2AF4" w:rsidRDefault="00383EC2" w:rsidP="00383EC2">
      <w:r w:rsidRPr="000F2AF4">
        <w:fldChar w:fldCharType="begin"/>
      </w:r>
      <w:r w:rsidRPr="000F2AF4">
        <w:instrText xml:space="preserve"> AUTONUM  </w:instrText>
      </w:r>
      <w:r w:rsidRPr="000F2AF4">
        <w:fldChar w:fldCharType="end"/>
      </w:r>
      <w:r w:rsidRPr="000F2AF4">
        <w:tab/>
        <w:t xml:space="preserve">The TWV noted that the proposed guidance </w:t>
      </w:r>
      <w:r w:rsidR="00C42ED7">
        <w:t>did</w:t>
      </w:r>
      <w:r w:rsidRPr="000F2AF4">
        <w:t xml:space="preserve"> not present enough examples for examining DUS</w:t>
      </w:r>
      <w:r w:rsidR="00C42ED7">
        <w:t xml:space="preserve"> in bulk </w:t>
      </w:r>
      <w:r w:rsidRPr="000F2AF4">
        <w:t>sample</w:t>
      </w:r>
      <w:r w:rsidR="00C42ED7">
        <w:t>s</w:t>
      </w:r>
      <w:r w:rsidRPr="000F2AF4">
        <w:t>. Therefore, the TWV requested the drafter to further elaborate on the proposal and to include more examples, as requested by the TC, at its fifty-second session. It noted that the expert from France planned to provide other examples of characteristics based on bulk samples for vegetable crops.</w:t>
      </w:r>
    </w:p>
    <w:p w:rsidR="00F63C9E" w:rsidRDefault="00F63C9E" w:rsidP="00FB686B">
      <w:pPr>
        <w:jc w:val="left"/>
        <w:rPr>
          <w:snapToGrid w:val="0"/>
          <w:color w:val="000000"/>
          <w:lang w:eastAsia="ja-JP"/>
        </w:rPr>
      </w:pPr>
    </w:p>
    <w:p w:rsidR="00F63C9E" w:rsidRDefault="00F63C9E" w:rsidP="00F74A90">
      <w:pPr>
        <w:pStyle w:val="Heading2"/>
        <w:rPr>
          <w:rFonts w:eastAsia="PMingLiU"/>
        </w:rPr>
      </w:pPr>
      <w:bookmarkStart w:id="19" w:name="_Toc473121195"/>
      <w:bookmarkStart w:id="20" w:name="_Toc475459393"/>
      <w:r w:rsidRPr="004F1C91">
        <w:rPr>
          <w:rFonts w:eastAsia="PMingLiU"/>
        </w:rPr>
        <w:t>Technical Working Party for Agricultural Crops</w:t>
      </w:r>
      <w:bookmarkEnd w:id="19"/>
      <w:bookmarkEnd w:id="20"/>
    </w:p>
    <w:p w:rsidR="00F63C9E" w:rsidRDefault="00F63C9E" w:rsidP="00FB686B">
      <w:pPr>
        <w:jc w:val="left"/>
        <w:rPr>
          <w:snapToGrid w:val="0"/>
          <w:color w:val="000000"/>
          <w:lang w:eastAsia="ja-JP"/>
        </w:rPr>
      </w:pPr>
    </w:p>
    <w:p w:rsidR="00AD2218" w:rsidRPr="009765A5" w:rsidRDefault="00AD2218" w:rsidP="00AD2218">
      <w:r w:rsidRPr="009765A5">
        <w:fldChar w:fldCharType="begin"/>
      </w:r>
      <w:r w:rsidRPr="009765A5">
        <w:instrText xml:space="preserve"> AUTONUM  </w:instrText>
      </w:r>
      <w:r w:rsidRPr="009765A5">
        <w:fldChar w:fldCharType="end"/>
      </w:r>
      <w:r w:rsidRPr="009765A5">
        <w:tab/>
        <w:t>The TWA considered document TWA/45/11</w:t>
      </w:r>
      <w:r>
        <w:t xml:space="preserve"> </w:t>
      </w:r>
      <w:r>
        <w:rPr>
          <w:snapToGrid w:val="0"/>
        </w:rPr>
        <w:t>(see document TWA/45/25 “Report”, paragraphs</w:t>
      </w:r>
      <w:r w:rsidR="00F74A90">
        <w:rPr>
          <w:snapToGrid w:val="0"/>
        </w:rPr>
        <w:t> </w:t>
      </w:r>
      <w:r>
        <w:rPr>
          <w:snapToGrid w:val="0"/>
        </w:rPr>
        <w:t>33</w:t>
      </w:r>
      <w:r w:rsidR="00F74A90">
        <w:rPr>
          <w:snapToGrid w:val="0"/>
        </w:rPr>
        <w:t> </w:t>
      </w:r>
      <w:r>
        <w:rPr>
          <w:snapToGrid w:val="0"/>
        </w:rPr>
        <w:t>to</w:t>
      </w:r>
      <w:r w:rsidR="00F74A90">
        <w:rPr>
          <w:snapToGrid w:val="0"/>
        </w:rPr>
        <w:t> </w:t>
      </w:r>
      <w:r>
        <w:rPr>
          <w:snapToGrid w:val="0"/>
        </w:rPr>
        <w:t>36)</w:t>
      </w:r>
      <w:r w:rsidRPr="009765A5">
        <w:t>.</w:t>
      </w:r>
    </w:p>
    <w:p w:rsidR="00AD2218" w:rsidRPr="009765A5" w:rsidRDefault="00AD2218" w:rsidP="00AD2218"/>
    <w:p w:rsidR="00AD2218" w:rsidRPr="009765A5" w:rsidRDefault="00AD2218" w:rsidP="00AD2218">
      <w:r w:rsidRPr="009765A5">
        <w:fldChar w:fldCharType="begin"/>
      </w:r>
      <w:r w:rsidRPr="009765A5">
        <w:instrText xml:space="preserve"> AUTONUM  </w:instrText>
      </w:r>
      <w:r w:rsidRPr="009765A5">
        <w:fldChar w:fldCharType="end"/>
      </w:r>
      <w:r w:rsidRPr="009765A5">
        <w:tab/>
        <w:t>The TWA considered the proposed guidance for examining DUS in bulk samples as presented in the Annex to document TWA/45/11, for inclusion in a future revision of document TGP/8.</w:t>
      </w:r>
    </w:p>
    <w:p w:rsidR="00AD2218" w:rsidRPr="009765A5" w:rsidRDefault="00AD2218" w:rsidP="00AD2218"/>
    <w:p w:rsidR="00AD2218" w:rsidRPr="009765A5" w:rsidRDefault="00AD2218" w:rsidP="00AD2218">
      <w:r w:rsidRPr="009765A5">
        <w:fldChar w:fldCharType="begin"/>
      </w:r>
      <w:r w:rsidRPr="009765A5">
        <w:instrText xml:space="preserve"> AUTONUM  </w:instrText>
      </w:r>
      <w:r w:rsidRPr="009765A5">
        <w:fldChar w:fldCharType="end"/>
      </w:r>
      <w:r w:rsidRPr="009765A5">
        <w:tab/>
        <w:t>The TWA noted that the TC had agreed to invite the Netherlands to develop guidance, with the inclusion of examples, for examining DUS in bulk samples, and agreed that the following criteria proposed by the TC were a good basis for inclusion in a future revision of document TGP/8 (see document TWA/45/11, paragraph 22):</w:t>
      </w:r>
    </w:p>
    <w:p w:rsidR="00AD2218" w:rsidRPr="009765A5" w:rsidRDefault="00AD2218" w:rsidP="00AD2218"/>
    <w:p w:rsidR="00AD2218" w:rsidRPr="009765A5" w:rsidRDefault="00AD2218" w:rsidP="002664EA">
      <w:pPr>
        <w:numPr>
          <w:ilvl w:val="0"/>
          <w:numId w:val="5"/>
        </w:numPr>
        <w:ind w:left="1134" w:right="567" w:hanging="567"/>
        <w:rPr>
          <w:sz w:val="18"/>
        </w:rPr>
      </w:pPr>
      <w:r w:rsidRPr="009765A5">
        <w:rPr>
          <w:iCs/>
          <w:sz w:val="18"/>
        </w:rPr>
        <w:t xml:space="preserve">“the characteristic should fulfill the requirements </w:t>
      </w:r>
      <w:r w:rsidRPr="009765A5">
        <w:rPr>
          <w:sz w:val="18"/>
        </w:rPr>
        <w:t>of a characteristic, as set out in the “General Introduction to the Examination of Distinctness, Uniformity and Stability and the Development of Harmonized Descriptions of new Varieties of Plants” (see document TG/1/3, Section 4.2.1);</w:t>
      </w:r>
    </w:p>
    <w:p w:rsidR="00AD2218" w:rsidRPr="009765A5" w:rsidRDefault="00AD2218" w:rsidP="00AD2218">
      <w:pPr>
        <w:ind w:left="567" w:right="567" w:firstLine="567"/>
        <w:rPr>
          <w:sz w:val="18"/>
        </w:rPr>
      </w:pPr>
    </w:p>
    <w:p w:rsidR="00AD2218" w:rsidRPr="009765A5" w:rsidRDefault="00AD2218" w:rsidP="002664EA">
      <w:pPr>
        <w:numPr>
          <w:ilvl w:val="0"/>
          <w:numId w:val="5"/>
        </w:numPr>
        <w:ind w:left="567" w:right="567" w:firstLine="0"/>
        <w:rPr>
          <w:sz w:val="18"/>
        </w:rPr>
      </w:pPr>
      <w:r w:rsidRPr="009765A5">
        <w:rPr>
          <w:sz w:val="18"/>
        </w:rPr>
        <w:t>“there should be knowledge of the genetic control of the characteristic;</w:t>
      </w:r>
    </w:p>
    <w:p w:rsidR="00AD2218" w:rsidRPr="009765A5" w:rsidRDefault="00AD2218" w:rsidP="00AD2218">
      <w:pPr>
        <w:ind w:left="567" w:right="567" w:firstLine="567"/>
        <w:rPr>
          <w:iCs/>
          <w:sz w:val="18"/>
        </w:rPr>
      </w:pPr>
    </w:p>
    <w:p w:rsidR="00AD2218" w:rsidRPr="009765A5" w:rsidRDefault="00AD2218" w:rsidP="002664EA">
      <w:pPr>
        <w:numPr>
          <w:ilvl w:val="0"/>
          <w:numId w:val="5"/>
        </w:numPr>
        <w:ind w:left="1134" w:right="567" w:hanging="567"/>
        <w:rPr>
          <w:iCs/>
          <w:sz w:val="18"/>
        </w:rPr>
      </w:pPr>
      <w:r w:rsidRPr="009765A5">
        <w:rPr>
          <w:iCs/>
          <w:sz w:val="18"/>
        </w:rPr>
        <w:t xml:space="preserve">“the suitability of the characteristic should be validated through an initial assessment of uniformity on individual plants; </w:t>
      </w:r>
    </w:p>
    <w:p w:rsidR="00AD2218" w:rsidRPr="009765A5" w:rsidRDefault="00AD2218" w:rsidP="002664EA">
      <w:pPr>
        <w:ind w:left="1134" w:right="567" w:hanging="567"/>
        <w:rPr>
          <w:iCs/>
          <w:sz w:val="18"/>
        </w:rPr>
      </w:pPr>
    </w:p>
    <w:p w:rsidR="00AD2218" w:rsidRPr="009765A5" w:rsidRDefault="00AD2218" w:rsidP="002664EA">
      <w:pPr>
        <w:numPr>
          <w:ilvl w:val="0"/>
          <w:numId w:val="5"/>
        </w:numPr>
        <w:ind w:left="1134" w:right="567" w:hanging="567"/>
        <w:rPr>
          <w:iCs/>
          <w:sz w:val="18"/>
        </w:rPr>
      </w:pPr>
      <w:r w:rsidRPr="009765A5">
        <w:rPr>
          <w:sz w:val="18"/>
        </w:rPr>
        <w:t xml:space="preserve">“information on plant-by-plant variation and differences between growing cycles should be provided (data from </w:t>
      </w:r>
      <w:r w:rsidRPr="009765A5">
        <w:rPr>
          <w:iCs/>
          <w:sz w:val="18"/>
        </w:rPr>
        <w:t>routine measurement of the characteristic from different years);</w:t>
      </w:r>
    </w:p>
    <w:p w:rsidR="00AD2218" w:rsidRPr="009765A5" w:rsidRDefault="00AD2218" w:rsidP="002664EA">
      <w:pPr>
        <w:ind w:left="1134" w:right="567" w:hanging="567"/>
        <w:rPr>
          <w:iCs/>
          <w:sz w:val="18"/>
        </w:rPr>
      </w:pPr>
    </w:p>
    <w:p w:rsidR="00AD2218" w:rsidRPr="009765A5" w:rsidRDefault="00AD2218" w:rsidP="002664EA">
      <w:pPr>
        <w:numPr>
          <w:ilvl w:val="0"/>
          <w:numId w:val="5"/>
        </w:numPr>
        <w:ind w:left="1134" w:right="567" w:hanging="567"/>
        <w:rPr>
          <w:sz w:val="18"/>
        </w:rPr>
      </w:pPr>
      <w:r w:rsidRPr="009765A5">
        <w:rPr>
          <w:sz w:val="18"/>
        </w:rPr>
        <w:t>“a full description of the method of assessment should be provided;</w:t>
      </w:r>
    </w:p>
    <w:p w:rsidR="00AD2218" w:rsidRPr="009765A5" w:rsidRDefault="00AD2218" w:rsidP="002664EA">
      <w:pPr>
        <w:ind w:left="1134" w:right="567" w:hanging="567"/>
        <w:rPr>
          <w:sz w:val="18"/>
        </w:rPr>
      </w:pPr>
    </w:p>
    <w:p w:rsidR="00AD2218" w:rsidRDefault="00AD2218" w:rsidP="002664EA">
      <w:pPr>
        <w:numPr>
          <w:ilvl w:val="0"/>
          <w:numId w:val="5"/>
        </w:numPr>
        <w:ind w:left="1134" w:right="567" w:hanging="567"/>
        <w:rPr>
          <w:sz w:val="18"/>
        </w:rPr>
      </w:pPr>
      <w:r w:rsidRPr="009765A5">
        <w:rPr>
          <w:sz w:val="18"/>
        </w:rPr>
        <w:t>“</w:t>
      </w:r>
      <w:proofErr w:type="gramStart"/>
      <w:r w:rsidRPr="009765A5">
        <w:rPr>
          <w:sz w:val="18"/>
        </w:rPr>
        <w:t>states</w:t>
      </w:r>
      <w:proofErr w:type="gramEnd"/>
      <w:r w:rsidRPr="009765A5">
        <w:rPr>
          <w:sz w:val="18"/>
        </w:rPr>
        <w:t xml:space="preserve"> of expression should be based on existing variation between varieties considering environmental influence.”</w:t>
      </w:r>
    </w:p>
    <w:p w:rsidR="00AD2218" w:rsidRPr="009765A5" w:rsidRDefault="00AD2218" w:rsidP="00AD2218">
      <w:pPr>
        <w:ind w:left="1134" w:right="567"/>
        <w:rPr>
          <w:sz w:val="18"/>
        </w:rPr>
      </w:pPr>
    </w:p>
    <w:p w:rsidR="00AD2218" w:rsidRDefault="00AD2218" w:rsidP="00AD2218">
      <w:r w:rsidRPr="009765A5">
        <w:fldChar w:fldCharType="begin"/>
      </w:r>
      <w:r w:rsidRPr="009765A5">
        <w:instrText xml:space="preserve"> AUTONUM  </w:instrText>
      </w:r>
      <w:r w:rsidRPr="009765A5">
        <w:fldChar w:fldCharType="end"/>
      </w:r>
      <w:r w:rsidRPr="009765A5">
        <w:tab/>
        <w:t xml:space="preserve">The TWA agreed with the TWV that the proposed guidance did not present enough examples for examining DUS characteristics on the basis of bulk samples and that the drafter should be requested to further elaborate the proposal including more examples, as requested by the TC, at its fifty-second session. </w:t>
      </w:r>
      <w:r>
        <w:t xml:space="preserve"> The TWA agreed that further development of guidance on bulk samples should be subject to the availability of appropriate examples with </w:t>
      </w:r>
      <w:r w:rsidRPr="004C219D">
        <w:t>data from routine measurement of characteristic</w:t>
      </w:r>
      <w:r>
        <w:t>s</w:t>
      </w:r>
      <w:r w:rsidRPr="004C219D">
        <w:t xml:space="preserve"> </w:t>
      </w:r>
      <w:r>
        <w:t xml:space="preserve">such as chemical content or 1000 seed weight. </w:t>
      </w:r>
    </w:p>
    <w:p w:rsidR="00383EC2" w:rsidRDefault="00383EC2" w:rsidP="00FB686B">
      <w:pPr>
        <w:jc w:val="left"/>
        <w:rPr>
          <w:snapToGrid w:val="0"/>
          <w:color w:val="000000"/>
          <w:lang w:eastAsia="ja-JP"/>
        </w:rPr>
      </w:pPr>
    </w:p>
    <w:p w:rsidR="00F63C9E" w:rsidRDefault="00F63C9E" w:rsidP="00F74A90">
      <w:pPr>
        <w:pStyle w:val="Heading2"/>
        <w:rPr>
          <w:rFonts w:eastAsia="PMingLiU"/>
        </w:rPr>
      </w:pPr>
      <w:bookmarkStart w:id="21" w:name="_Toc473121196"/>
      <w:bookmarkStart w:id="22" w:name="_Toc475459394"/>
      <w:r w:rsidRPr="004F1C91">
        <w:rPr>
          <w:rFonts w:eastAsia="PMingLiU"/>
        </w:rPr>
        <w:lastRenderedPageBreak/>
        <w:t>Technical Working Party for Fruit Crops</w:t>
      </w:r>
      <w:bookmarkEnd w:id="21"/>
      <w:bookmarkEnd w:id="22"/>
    </w:p>
    <w:p w:rsidR="00F63C9E" w:rsidRDefault="00F63C9E" w:rsidP="00F74A90">
      <w:pPr>
        <w:keepNext/>
        <w:ind w:firstLine="567"/>
        <w:jc w:val="left"/>
        <w:rPr>
          <w:snapToGrid w:val="0"/>
          <w:color w:val="000000"/>
          <w:lang w:eastAsia="ja-JP"/>
        </w:rPr>
      </w:pPr>
    </w:p>
    <w:p w:rsidR="00AD2218" w:rsidRPr="005902C4" w:rsidRDefault="00AD2218" w:rsidP="00F74A90">
      <w:pPr>
        <w:keepNext/>
      </w:pPr>
      <w:r w:rsidRPr="005902C4">
        <w:rPr>
          <w:rFonts w:eastAsia="SimSun"/>
          <w:lang w:eastAsia="zh-CN"/>
        </w:rPr>
        <w:fldChar w:fldCharType="begin"/>
      </w:r>
      <w:r w:rsidRPr="005902C4">
        <w:rPr>
          <w:rFonts w:eastAsia="SimSun"/>
          <w:lang w:eastAsia="zh-CN"/>
        </w:rPr>
        <w:instrText xml:space="preserve"> AUTONUM  </w:instrText>
      </w:r>
      <w:r w:rsidRPr="005902C4">
        <w:rPr>
          <w:rFonts w:eastAsia="SimSun"/>
          <w:lang w:eastAsia="zh-CN"/>
        </w:rPr>
        <w:fldChar w:fldCharType="end"/>
      </w:r>
      <w:r w:rsidRPr="005902C4">
        <w:rPr>
          <w:rFonts w:eastAsia="SimSun"/>
          <w:lang w:eastAsia="zh-CN"/>
        </w:rPr>
        <w:tab/>
      </w:r>
      <w:r w:rsidRPr="005902C4">
        <w:t>The TWF considered document TWF/47/11</w:t>
      </w:r>
      <w:r>
        <w:t xml:space="preserve"> </w:t>
      </w:r>
      <w:r>
        <w:rPr>
          <w:snapToGrid w:val="0"/>
        </w:rPr>
        <w:t>(see document TWF/47/25 “Report”, paragraphs</w:t>
      </w:r>
      <w:r w:rsidR="00F74A90">
        <w:rPr>
          <w:snapToGrid w:val="0"/>
        </w:rPr>
        <w:t> </w:t>
      </w:r>
      <w:r>
        <w:rPr>
          <w:snapToGrid w:val="0"/>
        </w:rPr>
        <w:t>33</w:t>
      </w:r>
      <w:r w:rsidR="00F74A90">
        <w:rPr>
          <w:snapToGrid w:val="0"/>
        </w:rPr>
        <w:t> </w:t>
      </w:r>
      <w:r>
        <w:rPr>
          <w:snapToGrid w:val="0"/>
        </w:rPr>
        <w:t>and</w:t>
      </w:r>
      <w:r w:rsidR="00F74A90">
        <w:rPr>
          <w:snapToGrid w:val="0"/>
        </w:rPr>
        <w:t> </w:t>
      </w:r>
      <w:r>
        <w:rPr>
          <w:snapToGrid w:val="0"/>
        </w:rPr>
        <w:t>34)</w:t>
      </w:r>
      <w:r w:rsidRPr="005902C4">
        <w:t>.</w:t>
      </w:r>
    </w:p>
    <w:p w:rsidR="00AD2218" w:rsidRPr="005902C4" w:rsidRDefault="00AD2218" w:rsidP="00AD2218">
      <w:pPr>
        <w:rPr>
          <w:rFonts w:eastAsia="SimSun"/>
          <w:lang w:eastAsia="zh-CN"/>
        </w:rPr>
      </w:pPr>
    </w:p>
    <w:p w:rsidR="00AD2218" w:rsidRPr="005902C4" w:rsidRDefault="00AD2218" w:rsidP="00AD2218">
      <w:pPr>
        <w:rPr>
          <w:rFonts w:eastAsia="SimSun"/>
          <w:lang w:eastAsia="zh-CN"/>
        </w:rPr>
      </w:pPr>
      <w:r w:rsidRPr="005902C4">
        <w:fldChar w:fldCharType="begin"/>
      </w:r>
      <w:r w:rsidRPr="005902C4">
        <w:instrText xml:space="preserve"> AUTONUM  </w:instrText>
      </w:r>
      <w:r w:rsidRPr="005902C4">
        <w:fldChar w:fldCharType="end"/>
      </w:r>
      <w:r w:rsidRPr="005902C4">
        <w:tab/>
        <w:t xml:space="preserve">The </w:t>
      </w:r>
      <w:r w:rsidRPr="005902C4">
        <w:rPr>
          <w:lang w:eastAsia="ja-JP"/>
        </w:rPr>
        <w:t>TWF</w:t>
      </w:r>
      <w:r w:rsidRPr="005902C4">
        <w:t xml:space="preserve"> considered the proposed guidance for examining DUS in bulk samples</w:t>
      </w:r>
      <w:r w:rsidR="00ED1616">
        <w:t>,</w:t>
      </w:r>
      <w:r w:rsidRPr="005902C4">
        <w:t xml:space="preserve"> as </w:t>
      </w:r>
      <w:r w:rsidRPr="005902C4">
        <w:rPr>
          <w:rFonts w:cs="Arial"/>
          <w:lang w:eastAsia="ja-JP"/>
        </w:rPr>
        <w:t xml:space="preserve">presented in the Annex to </w:t>
      </w:r>
      <w:r w:rsidRPr="005902C4">
        <w:t>document TWF/47/11</w:t>
      </w:r>
      <w:r w:rsidRPr="005902C4">
        <w:rPr>
          <w:rFonts w:cs="Arial"/>
          <w:lang w:eastAsia="ja-JP"/>
        </w:rPr>
        <w:t xml:space="preserve">, </w:t>
      </w:r>
      <w:r w:rsidRPr="005902C4">
        <w:t>for inclusion in a future revision of document TGP/8. The TWF agreed with the TWV and the TWA that the proposed guidance did not present enough examples for examining DUS in bulk samples, and therefore requested the drafter to further elaborate on the proposal and to include more examples, as requested by the TC at its fifty-second session.</w:t>
      </w:r>
    </w:p>
    <w:p w:rsidR="00AD2218" w:rsidRDefault="00AD2218" w:rsidP="00AD2218">
      <w:pPr>
        <w:ind w:firstLine="567"/>
        <w:jc w:val="left"/>
        <w:rPr>
          <w:snapToGrid w:val="0"/>
          <w:color w:val="000000"/>
          <w:lang w:eastAsia="ja-JP"/>
        </w:rPr>
      </w:pPr>
    </w:p>
    <w:p w:rsidR="007813CA" w:rsidRDefault="00FB686B" w:rsidP="00FB686B">
      <w:pPr>
        <w:pStyle w:val="DecisionParagraphs"/>
        <w:keepLines/>
        <w:tabs>
          <w:tab w:val="left" w:pos="5954"/>
        </w:tabs>
      </w:pPr>
      <w:r w:rsidRPr="00543BC7">
        <w:fldChar w:fldCharType="begin"/>
      </w:r>
      <w:r w:rsidRPr="00543BC7">
        <w:instrText xml:space="preserve"> AUTONUM  </w:instrText>
      </w:r>
      <w:r w:rsidRPr="00543BC7">
        <w:fldChar w:fldCharType="end"/>
      </w:r>
      <w:r w:rsidRPr="00543BC7">
        <w:tab/>
        <w:t xml:space="preserve">The </w:t>
      </w:r>
      <w:r w:rsidR="00907FFE">
        <w:rPr>
          <w:lang w:eastAsia="ja-JP"/>
        </w:rPr>
        <w:t>TC</w:t>
      </w:r>
      <w:r w:rsidRPr="00543BC7">
        <w:t xml:space="preserve"> is invited to</w:t>
      </w:r>
      <w:r w:rsidR="007813CA">
        <w:t>:</w:t>
      </w:r>
    </w:p>
    <w:p w:rsidR="007813CA" w:rsidRDefault="007813CA" w:rsidP="00FB686B">
      <w:pPr>
        <w:pStyle w:val="DecisionParagraphs"/>
        <w:keepLines/>
        <w:tabs>
          <w:tab w:val="left" w:pos="5954"/>
        </w:tabs>
      </w:pPr>
    </w:p>
    <w:p w:rsidR="007813CA" w:rsidRDefault="007813CA" w:rsidP="00FB686B">
      <w:pPr>
        <w:pStyle w:val="DecisionParagraphs"/>
        <w:keepLines/>
        <w:tabs>
          <w:tab w:val="left" w:pos="5954"/>
        </w:tabs>
      </w:pPr>
      <w:r>
        <w:tab/>
        <w:t>(a)</w:t>
      </w:r>
      <w:r>
        <w:tab/>
      </w:r>
      <w:proofErr w:type="gramStart"/>
      <w:r w:rsidR="00FB686B" w:rsidRPr="00543BC7">
        <w:t>consider</w:t>
      </w:r>
      <w:proofErr w:type="gramEnd"/>
      <w:r w:rsidR="00FB686B" w:rsidRPr="00543BC7">
        <w:t xml:space="preserve"> the proposed guidance for examining DUS in bulk samples as </w:t>
      </w:r>
      <w:r w:rsidR="00FB686B" w:rsidRPr="00543BC7">
        <w:rPr>
          <w:rFonts w:cs="Arial"/>
          <w:lang w:eastAsia="ja-JP"/>
        </w:rPr>
        <w:t xml:space="preserve">presented in the Annex to this document, </w:t>
      </w:r>
      <w:r w:rsidR="00FB686B" w:rsidRPr="00543BC7">
        <w:t>for inclusion in a future revision of document TGP/8</w:t>
      </w:r>
      <w:r>
        <w:t xml:space="preserve">; </w:t>
      </w:r>
    </w:p>
    <w:p w:rsidR="007813CA" w:rsidRDefault="007813CA" w:rsidP="00FB686B">
      <w:pPr>
        <w:pStyle w:val="DecisionParagraphs"/>
        <w:keepLines/>
        <w:tabs>
          <w:tab w:val="left" w:pos="5954"/>
        </w:tabs>
      </w:pPr>
    </w:p>
    <w:p w:rsidR="00FB686B" w:rsidRDefault="007813CA" w:rsidP="00FB686B">
      <w:pPr>
        <w:pStyle w:val="DecisionParagraphs"/>
        <w:keepLines/>
        <w:tabs>
          <w:tab w:val="left" w:pos="5954"/>
        </w:tabs>
      </w:pPr>
      <w:r>
        <w:tab/>
        <w:t>(b)</w:t>
      </w:r>
      <w:r>
        <w:tab/>
        <w:t xml:space="preserve">consider whether to invite the drafter from the Netherlands to </w:t>
      </w:r>
      <w:r w:rsidR="00C42ED7">
        <w:t xml:space="preserve">further develop </w:t>
      </w:r>
      <w:r>
        <w:t>the proposed guidance</w:t>
      </w:r>
      <w:r w:rsidR="00C42ED7">
        <w:t xml:space="preserve"> </w:t>
      </w:r>
      <w:r w:rsidR="00242743">
        <w:t xml:space="preserve">in the Annex to this document </w:t>
      </w:r>
      <w:r w:rsidR="00C42ED7">
        <w:t>in order to include</w:t>
      </w:r>
      <w:r>
        <w:t xml:space="preserve"> </w:t>
      </w:r>
      <w:r w:rsidR="00962A9A">
        <w:t xml:space="preserve">parameters for selecting among the approaches listed and </w:t>
      </w:r>
      <w:r w:rsidR="00C42ED7">
        <w:t xml:space="preserve">to provide more </w:t>
      </w:r>
      <w:r w:rsidR="00962A9A">
        <w:t xml:space="preserve">examples with </w:t>
      </w:r>
      <w:r w:rsidR="00962A9A" w:rsidRPr="004C219D">
        <w:t>data from routine measurement of characteristic</w:t>
      </w:r>
      <w:r w:rsidR="00962A9A">
        <w:t>s</w:t>
      </w:r>
      <w:r w:rsidR="00962A9A" w:rsidRPr="004C219D">
        <w:t xml:space="preserve"> </w:t>
      </w:r>
      <w:r w:rsidR="00962A9A">
        <w:t>such as chemical content or 1000 seed weight;</w:t>
      </w:r>
    </w:p>
    <w:p w:rsidR="00962A9A" w:rsidRDefault="00962A9A" w:rsidP="00FB686B">
      <w:pPr>
        <w:pStyle w:val="DecisionParagraphs"/>
        <w:keepLines/>
        <w:tabs>
          <w:tab w:val="left" w:pos="5954"/>
        </w:tabs>
      </w:pPr>
    </w:p>
    <w:p w:rsidR="00962A9A" w:rsidRDefault="00962A9A" w:rsidP="00FB686B">
      <w:pPr>
        <w:pStyle w:val="DecisionParagraphs"/>
        <w:keepLines/>
        <w:tabs>
          <w:tab w:val="left" w:pos="5954"/>
        </w:tabs>
      </w:pPr>
      <w:r>
        <w:tab/>
        <w:t>(c)</w:t>
      </w:r>
      <w:r>
        <w:tab/>
      </w:r>
      <w:r w:rsidR="00242743">
        <w:t>consider</w:t>
      </w:r>
      <w:r>
        <w:t xml:space="preserve"> the amendment proposed by the drafter on the approach “Plant number”, as </w:t>
      </w:r>
      <w:r w:rsidRPr="00A77C85">
        <w:t>presented in paragraph 19 of this document; and</w:t>
      </w:r>
    </w:p>
    <w:p w:rsidR="00962A9A" w:rsidRDefault="00962A9A" w:rsidP="00FB686B">
      <w:pPr>
        <w:pStyle w:val="DecisionParagraphs"/>
        <w:keepLines/>
        <w:tabs>
          <w:tab w:val="left" w:pos="5954"/>
        </w:tabs>
      </w:pPr>
    </w:p>
    <w:p w:rsidR="00962A9A" w:rsidRPr="00C15CCA" w:rsidRDefault="00962A9A" w:rsidP="00FB686B">
      <w:pPr>
        <w:pStyle w:val="DecisionParagraphs"/>
        <w:keepLines/>
        <w:tabs>
          <w:tab w:val="left" w:pos="5954"/>
        </w:tabs>
        <w:rPr>
          <w:lang w:eastAsia="ja-JP"/>
        </w:rPr>
      </w:pPr>
      <w:r>
        <w:tab/>
        <w:t>(d)</w:t>
      </w:r>
      <w:r>
        <w:tab/>
      </w:r>
      <w:proofErr w:type="gramStart"/>
      <w:r>
        <w:t>note</w:t>
      </w:r>
      <w:proofErr w:type="gramEnd"/>
      <w:r>
        <w:t xml:space="preserve"> </w:t>
      </w:r>
      <w:r w:rsidRPr="000F2AF4">
        <w:t xml:space="preserve">the </w:t>
      </w:r>
      <w:r>
        <w:t xml:space="preserve">plan by </w:t>
      </w:r>
      <w:r w:rsidRPr="000F2AF4">
        <w:t>France to provide other examples of characteristics based on bulk samples for vegetable crops.</w:t>
      </w:r>
    </w:p>
    <w:p w:rsidR="00FB686B" w:rsidRPr="00C15CCA" w:rsidRDefault="00FB686B" w:rsidP="00FB686B">
      <w:pPr>
        <w:pStyle w:val="DecisionParagraphs"/>
        <w:tabs>
          <w:tab w:val="clear" w:pos="5387"/>
          <w:tab w:val="left" w:pos="5220"/>
          <w:tab w:val="left" w:pos="5310"/>
          <w:tab w:val="left" w:pos="5850"/>
        </w:tabs>
        <w:rPr>
          <w:lang w:eastAsia="ja-JP"/>
        </w:rPr>
      </w:pPr>
    </w:p>
    <w:p w:rsidR="00FB686B" w:rsidRDefault="00FB686B" w:rsidP="00FB686B">
      <w:pPr>
        <w:jc w:val="left"/>
        <w:rPr>
          <w:rFonts w:cs="Arial"/>
          <w:bCs/>
          <w:lang w:eastAsia="ja-JP"/>
        </w:rPr>
      </w:pPr>
    </w:p>
    <w:p w:rsidR="00FB686B" w:rsidRDefault="00FB686B" w:rsidP="00FB686B">
      <w:pPr>
        <w:jc w:val="left"/>
        <w:rPr>
          <w:rFonts w:cs="Arial"/>
          <w:bCs/>
          <w:lang w:eastAsia="ja-JP"/>
        </w:rPr>
      </w:pPr>
    </w:p>
    <w:p w:rsidR="00FB686B" w:rsidRDefault="00FB686B" w:rsidP="00FB686B">
      <w:pPr>
        <w:jc w:val="right"/>
        <w:rPr>
          <w:rFonts w:cs="Arial"/>
          <w:bCs/>
          <w:lang w:eastAsia="ja-JP"/>
        </w:rPr>
      </w:pPr>
      <w:r>
        <w:rPr>
          <w:rFonts w:cs="Arial" w:hint="eastAsia"/>
          <w:bCs/>
          <w:lang w:eastAsia="ja-JP"/>
        </w:rPr>
        <w:t>[Annex follow</w:t>
      </w:r>
      <w:r>
        <w:rPr>
          <w:rFonts w:cs="Arial"/>
          <w:bCs/>
          <w:lang w:eastAsia="ja-JP"/>
        </w:rPr>
        <w:t>s</w:t>
      </w:r>
      <w:r>
        <w:rPr>
          <w:rFonts w:cs="Arial" w:hint="eastAsia"/>
          <w:bCs/>
          <w:lang w:eastAsia="ja-JP"/>
        </w:rPr>
        <w:t>]</w:t>
      </w:r>
    </w:p>
    <w:p w:rsidR="00050E16" w:rsidRPr="004B1215" w:rsidRDefault="00050E16" w:rsidP="004B1215"/>
    <w:p w:rsidR="00FB686B" w:rsidRDefault="00FB686B" w:rsidP="00050E16">
      <w:pPr>
        <w:sectPr w:rsidR="00FB686B" w:rsidSect="00906DDC">
          <w:headerReference w:type="default" r:id="rId10"/>
          <w:pgSz w:w="11907" w:h="16840" w:code="9"/>
          <w:pgMar w:top="510" w:right="1134" w:bottom="1134" w:left="1134" w:header="510" w:footer="680" w:gutter="0"/>
          <w:cols w:space="720"/>
          <w:titlePg/>
        </w:sectPr>
      </w:pPr>
    </w:p>
    <w:p w:rsidR="00FB686B" w:rsidRDefault="00FB686B" w:rsidP="00FB686B">
      <w:pPr>
        <w:jc w:val="center"/>
        <w:rPr>
          <w:lang w:val="en-GB"/>
        </w:rPr>
      </w:pPr>
      <w:r>
        <w:rPr>
          <w:lang w:val="en-GB"/>
        </w:rPr>
        <w:lastRenderedPageBreak/>
        <w:t>TC/53/17</w:t>
      </w:r>
    </w:p>
    <w:p w:rsidR="00FB686B" w:rsidRDefault="00FB686B" w:rsidP="00FB686B">
      <w:pPr>
        <w:jc w:val="center"/>
        <w:rPr>
          <w:lang w:val="en-GB"/>
        </w:rPr>
      </w:pPr>
    </w:p>
    <w:p w:rsidR="00FB686B" w:rsidRDefault="00FB686B" w:rsidP="00FB686B">
      <w:pPr>
        <w:jc w:val="center"/>
        <w:rPr>
          <w:lang w:val="en-GB"/>
        </w:rPr>
      </w:pPr>
      <w:r>
        <w:rPr>
          <w:lang w:val="en-GB"/>
        </w:rPr>
        <w:t>ANNEX</w:t>
      </w:r>
    </w:p>
    <w:p w:rsidR="00FB686B" w:rsidRDefault="00FB686B" w:rsidP="00FB686B">
      <w:pPr>
        <w:jc w:val="center"/>
        <w:rPr>
          <w:lang w:val="en-GB"/>
        </w:rPr>
      </w:pPr>
    </w:p>
    <w:p w:rsidR="00FB686B" w:rsidRDefault="00FB686B" w:rsidP="00FB686B">
      <w:pPr>
        <w:jc w:val="center"/>
        <w:rPr>
          <w:lang w:val="en-GB"/>
        </w:rPr>
      </w:pPr>
    </w:p>
    <w:p w:rsidR="00FB686B" w:rsidRDefault="00FB686B" w:rsidP="00FB686B">
      <w:pPr>
        <w:jc w:val="center"/>
        <w:rPr>
          <w:lang w:val="en-GB"/>
        </w:rPr>
      </w:pPr>
      <w:r>
        <w:rPr>
          <w:lang w:val="en-GB"/>
        </w:rPr>
        <w:t xml:space="preserve">STATUS ON </w:t>
      </w:r>
      <w:r w:rsidRPr="00B03439">
        <w:rPr>
          <w:lang w:val="en-GB"/>
        </w:rPr>
        <w:t>UNIFORMITY REQUIREMENTS IN BULK CHARACTERISTICS</w:t>
      </w:r>
    </w:p>
    <w:p w:rsidR="00FB686B" w:rsidRDefault="00FB686B" w:rsidP="00FB686B">
      <w:pPr>
        <w:pStyle w:val="ListParagraph"/>
        <w:ind w:left="0"/>
        <w:rPr>
          <w:b/>
          <w:lang w:val="en-GB" w:eastAsia="ja-JP"/>
        </w:rPr>
      </w:pPr>
    </w:p>
    <w:p w:rsidR="00FB686B" w:rsidRDefault="00FB686B" w:rsidP="00FB686B">
      <w:pPr>
        <w:spacing w:line="360" w:lineRule="auto"/>
        <w:jc w:val="center"/>
      </w:pPr>
      <w:r>
        <w:t>Document prepared by an expert from the Netherlands</w:t>
      </w:r>
    </w:p>
    <w:p w:rsidR="00FB686B" w:rsidRDefault="00FB686B" w:rsidP="00FB686B">
      <w:pPr>
        <w:pStyle w:val="ListParagraph"/>
        <w:ind w:left="0"/>
        <w:rPr>
          <w:b/>
          <w:lang w:val="en-GB" w:eastAsia="ja-JP"/>
        </w:rPr>
      </w:pPr>
    </w:p>
    <w:p w:rsidR="00FB686B" w:rsidRDefault="00FB686B" w:rsidP="00FB686B">
      <w:pPr>
        <w:pStyle w:val="ListParagraph"/>
        <w:numPr>
          <w:ilvl w:val="1"/>
          <w:numId w:val="3"/>
        </w:numPr>
        <w:ind w:left="0" w:firstLine="0"/>
        <w:rPr>
          <w:lang w:val="en-GB" w:eastAsia="ja-JP"/>
        </w:rPr>
      </w:pPr>
      <w:r>
        <w:rPr>
          <w:lang w:val="en-GB"/>
        </w:rPr>
        <w:t>From the discussions in the TWPs in 2015 and in the TC it is clear that there is not much room to deviate from the standard way to observe characteristics in order to establish if the Uniformity requirements are fulfilled.</w:t>
      </w:r>
    </w:p>
    <w:p w:rsidR="00FB686B" w:rsidRDefault="00FB686B" w:rsidP="00FB686B">
      <w:pPr>
        <w:pStyle w:val="ListParagraph"/>
        <w:ind w:left="0"/>
        <w:rPr>
          <w:lang w:val="en-GB" w:eastAsia="ja-JP"/>
        </w:rPr>
      </w:pPr>
    </w:p>
    <w:p w:rsidR="00FB686B" w:rsidRDefault="00FB686B" w:rsidP="00FB686B">
      <w:pPr>
        <w:pStyle w:val="ListParagraph"/>
        <w:numPr>
          <w:ilvl w:val="1"/>
          <w:numId w:val="3"/>
        </w:numPr>
        <w:ind w:left="0" w:firstLine="0"/>
        <w:rPr>
          <w:lang w:val="en-GB" w:eastAsia="ja-JP"/>
        </w:rPr>
      </w:pPr>
      <w:r>
        <w:rPr>
          <w:lang w:val="en-GB"/>
        </w:rPr>
        <w:t xml:space="preserve">From the options that were proposed in 2015 (see Annex I in documents TWA/44/17, TWC/33/17, TWF/46/17, TWO/48/17 and TWV/49/17) only three approaches (a, d and </w:t>
      </w:r>
      <w:proofErr w:type="spellStart"/>
      <w:r>
        <w:rPr>
          <w:lang w:val="en-GB"/>
        </w:rPr>
        <w:t>i</w:t>
      </w:r>
      <w:proofErr w:type="spellEnd"/>
      <w:r>
        <w:rPr>
          <w:lang w:val="en-GB"/>
        </w:rPr>
        <w:t xml:space="preserve">) were deemed acceptable by the members of all TWP’s. Unfortunately no data were available to further study the pros and cons of these approaches. Therefore it is proposed to accept at this moment only approach a. In future other approaches can be re-discussed. </w:t>
      </w:r>
      <w:r w:rsidRPr="00753145">
        <w:rPr>
          <w:lang w:val="en-GB"/>
        </w:rPr>
        <w:t xml:space="preserve"> </w:t>
      </w:r>
    </w:p>
    <w:p w:rsidR="00FB686B" w:rsidRDefault="00FB686B" w:rsidP="00FB686B">
      <w:pPr>
        <w:rPr>
          <w:lang w:val="en-GB" w:eastAsia="ja-JP"/>
        </w:rPr>
      </w:pPr>
    </w:p>
    <w:p w:rsidR="00FB686B" w:rsidRDefault="00FB686B" w:rsidP="00FB686B">
      <w:pPr>
        <w:rPr>
          <w:lang w:val="en-GB" w:eastAsia="ja-JP"/>
        </w:rPr>
      </w:pPr>
      <w:r>
        <w:rPr>
          <w:rFonts w:hint="eastAsia"/>
          <w:lang w:val="en-GB" w:eastAsia="ja-JP"/>
        </w:rPr>
        <w:t>3.</w:t>
      </w:r>
      <w:r>
        <w:rPr>
          <w:rFonts w:hint="eastAsia"/>
          <w:lang w:val="en-GB" w:eastAsia="ja-JP"/>
        </w:rPr>
        <w:tab/>
      </w:r>
      <w:r>
        <w:rPr>
          <w:lang w:val="en-GB"/>
        </w:rPr>
        <w:t>Acceptable approach:</w:t>
      </w:r>
    </w:p>
    <w:p w:rsidR="00FB686B" w:rsidRPr="00127C67" w:rsidRDefault="00FB686B" w:rsidP="00FB686B">
      <w:pPr>
        <w:rPr>
          <w:lang w:val="en-GB" w:eastAsia="ja-JP"/>
        </w:rPr>
      </w:pPr>
    </w:p>
    <w:p w:rsidR="00FB686B" w:rsidRPr="000241B4" w:rsidRDefault="00FB686B" w:rsidP="00026E4A">
      <w:pPr>
        <w:spacing w:after="160" w:line="259" w:lineRule="auto"/>
        <w:ind w:firstLine="567"/>
        <w:jc w:val="left"/>
        <w:rPr>
          <w:u w:val="single"/>
          <w:lang w:val="en-GB"/>
        </w:rPr>
      </w:pPr>
      <w:r w:rsidRPr="000241B4">
        <w:rPr>
          <w:u w:val="single"/>
          <w:lang w:val="en-GB"/>
        </w:rPr>
        <w:t>(2015, a) Control of the characteristic before it is accepted in the relevant guideline.</w:t>
      </w:r>
    </w:p>
    <w:p w:rsidR="00FB686B" w:rsidRDefault="00FB686B" w:rsidP="00026E4A">
      <w:pPr>
        <w:pStyle w:val="ListParagraph"/>
        <w:ind w:left="567"/>
        <w:rPr>
          <w:lang w:val="en-GB"/>
        </w:rPr>
      </w:pPr>
      <w:r w:rsidRPr="00D047C4">
        <w:rPr>
          <w:lang w:val="en-GB"/>
        </w:rPr>
        <w:t xml:space="preserve">Before a new characteristic is accepted as a bulk characteristic within a UPOV </w:t>
      </w:r>
      <w:r>
        <w:rPr>
          <w:lang w:val="en-GB"/>
        </w:rPr>
        <w:t>Test G</w:t>
      </w:r>
      <w:r w:rsidRPr="00D047C4">
        <w:rPr>
          <w:lang w:val="en-GB"/>
        </w:rPr>
        <w:t>uideline</w:t>
      </w:r>
      <w:r>
        <w:rPr>
          <w:lang w:val="en-GB"/>
        </w:rPr>
        <w:t>s</w:t>
      </w:r>
      <w:r w:rsidRPr="00D047C4">
        <w:rPr>
          <w:lang w:val="en-GB"/>
        </w:rPr>
        <w:t>, the</w:t>
      </w:r>
      <w:r>
        <w:rPr>
          <w:lang w:val="en-GB"/>
        </w:rPr>
        <w:t xml:space="preserve"> </w:t>
      </w:r>
      <w:r w:rsidRPr="00D047C4">
        <w:rPr>
          <w:lang w:val="en-GB"/>
        </w:rPr>
        <w:t>uniformity is checked for a significant number of varieties using a plant by plant method for the required</w:t>
      </w:r>
      <w:r>
        <w:rPr>
          <w:lang w:val="en-GB"/>
        </w:rPr>
        <w:t xml:space="preserve"> </w:t>
      </w:r>
      <w:r w:rsidRPr="00D047C4">
        <w:rPr>
          <w:lang w:val="en-GB"/>
        </w:rPr>
        <w:t xml:space="preserve">number of plants in the relevant </w:t>
      </w:r>
      <w:r>
        <w:rPr>
          <w:lang w:val="en-GB"/>
        </w:rPr>
        <w:t>Test G</w:t>
      </w:r>
      <w:r w:rsidRPr="00D047C4">
        <w:rPr>
          <w:lang w:val="en-GB"/>
        </w:rPr>
        <w:t>uideline</w:t>
      </w:r>
      <w:r>
        <w:rPr>
          <w:lang w:val="en-GB"/>
        </w:rPr>
        <w:t>s</w:t>
      </w:r>
      <w:r w:rsidRPr="004C3815">
        <w:rPr>
          <w:lang w:val="en-GB"/>
        </w:rPr>
        <w:t xml:space="preserve">. In this way it is observed that the characteristic in itself is suitable as a UPOV characteristic on the basis that </w:t>
      </w:r>
      <w:r>
        <w:rPr>
          <w:lang w:val="en-GB"/>
        </w:rPr>
        <w:t>the</w:t>
      </w:r>
      <w:r w:rsidRPr="004C3815">
        <w:rPr>
          <w:lang w:val="en-GB"/>
        </w:rPr>
        <w:t xml:space="preserve"> uniformity may be checked.</w:t>
      </w:r>
    </w:p>
    <w:p w:rsidR="00FB686B" w:rsidRPr="00B16B09" w:rsidRDefault="00FB686B" w:rsidP="00FB686B">
      <w:pPr>
        <w:rPr>
          <w:lang w:val="en-GB"/>
        </w:rPr>
      </w:pPr>
    </w:p>
    <w:p w:rsidR="00FB686B" w:rsidRPr="0079098F" w:rsidRDefault="00FB686B" w:rsidP="00FB686B">
      <w:pPr>
        <w:pStyle w:val="ListParagraph"/>
        <w:numPr>
          <w:ilvl w:val="0"/>
          <w:numId w:val="4"/>
        </w:numPr>
        <w:ind w:left="0" w:firstLine="0"/>
        <w:rPr>
          <w:lang w:val="en-GB"/>
        </w:rPr>
      </w:pPr>
      <w:r w:rsidRPr="0079098F">
        <w:rPr>
          <w:lang w:val="en-GB"/>
        </w:rPr>
        <w:t xml:space="preserve">Approaches that may be acceptable in future, if data are available and the method is discussed </w:t>
      </w:r>
      <w:r>
        <w:rPr>
          <w:lang w:val="en-GB"/>
        </w:rPr>
        <w:t xml:space="preserve">and accepted </w:t>
      </w:r>
      <w:r w:rsidRPr="0079098F">
        <w:rPr>
          <w:lang w:val="en-GB"/>
        </w:rPr>
        <w:t>in the relevant Technical Working Party:</w:t>
      </w:r>
    </w:p>
    <w:p w:rsidR="00FB686B" w:rsidRPr="004C3815" w:rsidRDefault="00FB686B" w:rsidP="00FB686B">
      <w:pPr>
        <w:pStyle w:val="ListParagraph"/>
        <w:rPr>
          <w:lang w:val="en-GB"/>
        </w:rPr>
      </w:pPr>
      <w:r w:rsidRPr="004C3815">
        <w:rPr>
          <w:lang w:val="en-GB"/>
        </w:rPr>
        <w:t xml:space="preserve"> </w:t>
      </w:r>
    </w:p>
    <w:p w:rsidR="00FB686B" w:rsidRPr="000241B4" w:rsidRDefault="00FB686B" w:rsidP="00026E4A">
      <w:pPr>
        <w:spacing w:after="160" w:line="259" w:lineRule="auto"/>
        <w:ind w:left="567"/>
        <w:jc w:val="left"/>
        <w:rPr>
          <w:u w:val="single"/>
          <w:lang w:val="en-GB"/>
        </w:rPr>
      </w:pPr>
      <w:r w:rsidRPr="000241B4">
        <w:rPr>
          <w:u w:val="single"/>
          <w:lang w:val="en-GB"/>
        </w:rPr>
        <w:t xml:space="preserve">(2015, d) </w:t>
      </w:r>
      <w:proofErr w:type="gramStart"/>
      <w:r w:rsidRPr="000241B4">
        <w:rPr>
          <w:u w:val="single"/>
          <w:lang w:val="en-GB"/>
        </w:rPr>
        <w:t>Subplots.</w:t>
      </w:r>
      <w:proofErr w:type="gramEnd"/>
    </w:p>
    <w:p w:rsidR="00FB686B" w:rsidRPr="009F59BD" w:rsidRDefault="00FB686B" w:rsidP="00026E4A">
      <w:pPr>
        <w:pStyle w:val="ListParagraph"/>
        <w:ind w:left="567"/>
        <w:rPr>
          <w:lang w:val="en-GB"/>
        </w:rPr>
      </w:pPr>
      <w:proofErr w:type="gramStart"/>
      <w:r w:rsidRPr="004C3815">
        <w:rPr>
          <w:lang w:val="en-GB"/>
        </w:rPr>
        <w:t>Making use of subplots in order to indicate the uniformity of the characteristic.</w:t>
      </w:r>
      <w:proofErr w:type="gramEnd"/>
      <w:r w:rsidRPr="004C3815">
        <w:rPr>
          <w:lang w:val="en-GB"/>
        </w:rPr>
        <w:t xml:space="preserve"> Only one observation per plot, but there are more subplots in the trial. An example is dry matter content in Onion. There are three subsamples in the trial. It is possible to work with 3 subsamples </w:t>
      </w:r>
      <w:r w:rsidR="00962A9A" w:rsidRPr="00026E4A">
        <w:rPr>
          <w:highlight w:val="lightGray"/>
          <w:u w:val="single"/>
          <w:lang w:val="en-GB"/>
        </w:rPr>
        <w:t>per plot</w:t>
      </w:r>
      <w:r w:rsidR="00962A9A">
        <w:rPr>
          <w:lang w:val="en-GB"/>
        </w:rPr>
        <w:t xml:space="preserve"> </w:t>
      </w:r>
      <w:r w:rsidRPr="004C3815">
        <w:rPr>
          <w:lang w:val="en-GB"/>
        </w:rPr>
        <w:t>for an indication of uniformity</w:t>
      </w:r>
      <w:r w:rsidRPr="009F59BD">
        <w:rPr>
          <w:lang w:val="en-GB"/>
        </w:rPr>
        <w:t xml:space="preserve"> (see: TGP/8.6).</w:t>
      </w:r>
    </w:p>
    <w:p w:rsidR="00FB686B" w:rsidRPr="004C3815" w:rsidRDefault="00FB686B" w:rsidP="00026E4A">
      <w:pPr>
        <w:pStyle w:val="ListParagraph"/>
        <w:ind w:left="567"/>
        <w:rPr>
          <w:lang w:val="en-GB"/>
        </w:rPr>
      </w:pPr>
    </w:p>
    <w:p w:rsidR="00FB686B" w:rsidRPr="000241B4" w:rsidRDefault="00FB686B" w:rsidP="00026E4A">
      <w:pPr>
        <w:pStyle w:val="ListParagraph"/>
        <w:ind w:left="567"/>
        <w:rPr>
          <w:u w:val="single"/>
          <w:lang w:val="en-GB" w:eastAsia="ja-JP"/>
        </w:rPr>
      </w:pPr>
      <w:r w:rsidRPr="000241B4">
        <w:rPr>
          <w:u w:val="single"/>
          <w:lang w:val="en-GB" w:eastAsia="ja-JP"/>
        </w:rPr>
        <w:t xml:space="preserve">(2015, </w:t>
      </w:r>
      <w:proofErr w:type="spellStart"/>
      <w:r w:rsidRPr="000241B4">
        <w:rPr>
          <w:u w:val="single"/>
          <w:lang w:val="en-GB" w:eastAsia="ja-JP"/>
        </w:rPr>
        <w:t>i</w:t>
      </w:r>
      <w:proofErr w:type="spellEnd"/>
      <w:r w:rsidRPr="000241B4">
        <w:rPr>
          <w:u w:val="single"/>
          <w:lang w:val="en-GB" w:eastAsia="ja-JP"/>
        </w:rPr>
        <w:t xml:space="preserve">) </w:t>
      </w:r>
      <w:proofErr w:type="gramStart"/>
      <w:r w:rsidRPr="000241B4">
        <w:rPr>
          <w:u w:val="single"/>
          <w:lang w:val="en-GB" w:eastAsia="ja-JP"/>
        </w:rPr>
        <w:t>Plant number.</w:t>
      </w:r>
      <w:proofErr w:type="gramEnd"/>
    </w:p>
    <w:p w:rsidR="00FB686B" w:rsidRPr="00B16B09" w:rsidRDefault="00FB686B" w:rsidP="00026E4A">
      <w:pPr>
        <w:pStyle w:val="ListParagraph"/>
        <w:ind w:left="567"/>
        <w:rPr>
          <w:lang w:val="en-GB" w:eastAsia="ja-JP"/>
        </w:rPr>
      </w:pPr>
    </w:p>
    <w:p w:rsidR="00FB686B" w:rsidRDefault="00FB686B" w:rsidP="00026E4A">
      <w:pPr>
        <w:pStyle w:val="ListParagraph"/>
        <w:ind w:left="567"/>
        <w:rPr>
          <w:lang w:val="en-GB" w:eastAsia="ja-JP"/>
        </w:rPr>
      </w:pPr>
      <w:r w:rsidRPr="00B16B09">
        <w:rPr>
          <w:lang w:val="en-GB" w:eastAsia="ja-JP"/>
        </w:rPr>
        <w:t>Use a different number of plants for this characteristic to be tested in the guideline that is in congruence with the nature of the characteristic. For example: in a certain guideline it is mentioned that 60 plants have to be judged for uniformity. If the characteristic involved is not suitable for judgment of 60 plants, one can propose a lower number of plants for the relevant characteristic for example 5 plants.</w:t>
      </w:r>
    </w:p>
    <w:p w:rsidR="00FB686B" w:rsidRDefault="00FB686B" w:rsidP="00FB686B">
      <w:pPr>
        <w:rPr>
          <w:lang w:val="en-GB" w:eastAsia="ja-JP"/>
        </w:rPr>
      </w:pPr>
    </w:p>
    <w:p w:rsidR="00FB686B" w:rsidRPr="00BC5C31" w:rsidRDefault="00FB686B" w:rsidP="00FB686B">
      <w:pPr>
        <w:pStyle w:val="ListParagraph"/>
        <w:numPr>
          <w:ilvl w:val="0"/>
          <w:numId w:val="4"/>
        </w:numPr>
        <w:ind w:left="0" w:firstLine="0"/>
        <w:jc w:val="left"/>
        <w:rPr>
          <w:lang w:val="en-GB" w:eastAsia="ja-JP"/>
        </w:rPr>
      </w:pPr>
      <w:r w:rsidRPr="00BC5C31">
        <w:rPr>
          <w:lang w:val="en-GB" w:eastAsia="ja-JP"/>
        </w:rPr>
        <w:t>Item for Re-discussion</w:t>
      </w:r>
      <w:r w:rsidRPr="00BC5C31">
        <w:rPr>
          <w:lang w:val="en-GB" w:eastAsia="ja-JP"/>
        </w:rPr>
        <w:br/>
      </w:r>
    </w:p>
    <w:p w:rsidR="00FB686B" w:rsidRDefault="00FB686B" w:rsidP="00FB686B">
      <w:pPr>
        <w:jc w:val="left"/>
        <w:rPr>
          <w:lang w:val="en-GB"/>
        </w:rPr>
      </w:pPr>
      <w:r>
        <w:rPr>
          <w:lang w:val="en-GB" w:eastAsia="ja-JP"/>
        </w:rPr>
        <w:t xml:space="preserve">In line with the rapid development of DNA techniques, an approach where the uniformity of an application is judged by judging the DNA pattern </w:t>
      </w:r>
      <w:r w:rsidRPr="004C3815">
        <w:rPr>
          <w:lang w:val="en-GB"/>
        </w:rPr>
        <w:t>for the required number of plants in the relevant guideline</w:t>
      </w:r>
      <w:r>
        <w:rPr>
          <w:lang w:val="en-GB"/>
        </w:rPr>
        <w:t xml:space="preserve"> is well feasible. Therefore it is proposed to re-consider this option as a way to establish the suitability of bulk samples in a characteristic.</w:t>
      </w:r>
    </w:p>
    <w:p w:rsidR="00FB686B" w:rsidRPr="00B16B09" w:rsidRDefault="00FB686B" w:rsidP="00FB686B">
      <w:pPr>
        <w:jc w:val="left"/>
        <w:rPr>
          <w:lang w:val="en-GB" w:eastAsia="ja-JP"/>
        </w:rPr>
      </w:pPr>
    </w:p>
    <w:p w:rsidR="00FB686B" w:rsidRDefault="00FB686B" w:rsidP="00FB686B">
      <w:pPr>
        <w:rPr>
          <w:lang w:val="en-GB"/>
        </w:rPr>
      </w:pPr>
    </w:p>
    <w:p w:rsidR="00FB686B" w:rsidRPr="0079098F" w:rsidRDefault="00FB686B" w:rsidP="00FB686B">
      <w:pPr>
        <w:rPr>
          <w:lang w:val="en-GB"/>
        </w:rPr>
      </w:pPr>
    </w:p>
    <w:p w:rsidR="00FB686B" w:rsidRPr="00D44A44" w:rsidRDefault="00FB686B" w:rsidP="00FB686B">
      <w:pPr>
        <w:ind w:left="567" w:hanging="567"/>
        <w:jc w:val="right"/>
        <w:rPr>
          <w:i/>
        </w:rPr>
      </w:pPr>
      <w:r>
        <w:t>[End of Annex and of document</w:t>
      </w:r>
      <w:r w:rsidRPr="0089688F">
        <w:t>]</w:t>
      </w:r>
    </w:p>
    <w:p w:rsidR="00050E16" w:rsidRPr="00C5280D" w:rsidRDefault="00050E16" w:rsidP="00FB686B"/>
    <w:sectPr w:rsidR="00050E16" w:rsidRPr="00C5280D" w:rsidSect="00906DDC">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612" w:rsidRDefault="00486612" w:rsidP="006655D3">
      <w:r>
        <w:separator/>
      </w:r>
    </w:p>
    <w:p w:rsidR="00486612" w:rsidRDefault="00486612" w:rsidP="006655D3"/>
    <w:p w:rsidR="00486612" w:rsidRDefault="00486612" w:rsidP="006655D3"/>
  </w:endnote>
  <w:endnote w:type="continuationSeparator" w:id="0">
    <w:p w:rsidR="00486612" w:rsidRDefault="00486612" w:rsidP="006655D3">
      <w:r>
        <w:separator/>
      </w:r>
    </w:p>
    <w:p w:rsidR="00486612" w:rsidRPr="00294751" w:rsidRDefault="00486612">
      <w:pPr>
        <w:pStyle w:val="Footer"/>
        <w:spacing w:after="60"/>
        <w:rPr>
          <w:sz w:val="18"/>
          <w:lang w:val="fr-FR"/>
        </w:rPr>
      </w:pPr>
      <w:r w:rsidRPr="00294751">
        <w:rPr>
          <w:sz w:val="18"/>
          <w:lang w:val="fr-FR"/>
        </w:rPr>
        <w:t>[Suite de la note de la page précédente]</w:t>
      </w:r>
    </w:p>
    <w:p w:rsidR="00486612" w:rsidRPr="00294751" w:rsidRDefault="00486612" w:rsidP="006655D3">
      <w:pPr>
        <w:rPr>
          <w:lang w:val="fr-FR"/>
        </w:rPr>
      </w:pPr>
    </w:p>
    <w:p w:rsidR="00486612" w:rsidRPr="00294751" w:rsidRDefault="00486612" w:rsidP="006655D3">
      <w:pPr>
        <w:rPr>
          <w:lang w:val="fr-FR"/>
        </w:rPr>
      </w:pPr>
    </w:p>
  </w:endnote>
  <w:endnote w:type="continuationNotice" w:id="1">
    <w:p w:rsidR="00486612" w:rsidRPr="00294751" w:rsidRDefault="00486612" w:rsidP="006655D3">
      <w:pPr>
        <w:rPr>
          <w:lang w:val="fr-FR"/>
        </w:rPr>
      </w:pPr>
      <w:r w:rsidRPr="00294751">
        <w:rPr>
          <w:lang w:val="fr-FR"/>
        </w:rPr>
        <w:t>[Suite de la note page suivante]</w:t>
      </w:r>
    </w:p>
    <w:p w:rsidR="00486612" w:rsidRPr="00294751" w:rsidRDefault="00486612" w:rsidP="006655D3">
      <w:pPr>
        <w:rPr>
          <w:lang w:val="fr-FR"/>
        </w:rPr>
      </w:pPr>
    </w:p>
    <w:p w:rsidR="00486612" w:rsidRPr="00294751" w:rsidRDefault="0048661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612" w:rsidRDefault="00486612" w:rsidP="006655D3">
      <w:r>
        <w:separator/>
      </w:r>
    </w:p>
  </w:footnote>
  <w:footnote w:type="continuationSeparator" w:id="0">
    <w:p w:rsidR="00486612" w:rsidRDefault="00486612" w:rsidP="006655D3">
      <w:r>
        <w:separator/>
      </w:r>
    </w:p>
  </w:footnote>
  <w:footnote w:type="continuationNotice" w:id="1">
    <w:p w:rsidR="00486612" w:rsidRPr="00AB530F" w:rsidRDefault="0048661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7F0481" w:rsidP="00EB048E">
    <w:pPr>
      <w:pStyle w:val="Header"/>
      <w:rPr>
        <w:rStyle w:val="PageNumber"/>
        <w:lang w:val="en-US"/>
      </w:rPr>
    </w:pPr>
    <w:r>
      <w:rPr>
        <w:rStyle w:val="PageNumber"/>
        <w:lang w:val="en-US"/>
      </w:rPr>
      <w:t>TC/53/17</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F1DBD">
      <w:rPr>
        <w:rStyle w:val="PageNumber"/>
        <w:noProof/>
        <w:lang w:val="en-US"/>
      </w:rPr>
      <w:t>4</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D0E1D"/>
    <w:multiLevelType w:val="hybridMultilevel"/>
    <w:tmpl w:val="DBC21A4A"/>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C1F4D4A"/>
    <w:multiLevelType w:val="hybridMultilevel"/>
    <w:tmpl w:val="46B275D2"/>
    <w:lvl w:ilvl="0" w:tplc="0C88170C">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AF00DD"/>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1E0910"/>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875DA8"/>
    <w:multiLevelType w:val="hybridMultilevel"/>
    <w:tmpl w:val="ECD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24AB8"/>
    <w:rsid w:val="00026E4A"/>
    <w:rsid w:val="00030854"/>
    <w:rsid w:val="00036028"/>
    <w:rsid w:val="00044642"/>
    <w:rsid w:val="000446B9"/>
    <w:rsid w:val="00047E21"/>
    <w:rsid w:val="00050E16"/>
    <w:rsid w:val="000765BA"/>
    <w:rsid w:val="00085505"/>
    <w:rsid w:val="000A128F"/>
    <w:rsid w:val="000B1E50"/>
    <w:rsid w:val="000C4E25"/>
    <w:rsid w:val="000C7021"/>
    <w:rsid w:val="000D6BBC"/>
    <w:rsid w:val="000D7780"/>
    <w:rsid w:val="000E636A"/>
    <w:rsid w:val="000F2F11"/>
    <w:rsid w:val="00105929"/>
    <w:rsid w:val="00110C36"/>
    <w:rsid w:val="001131D5"/>
    <w:rsid w:val="00141DB8"/>
    <w:rsid w:val="00160F18"/>
    <w:rsid w:val="00172084"/>
    <w:rsid w:val="0017474A"/>
    <w:rsid w:val="001758C6"/>
    <w:rsid w:val="00182B99"/>
    <w:rsid w:val="0021332C"/>
    <w:rsid w:val="00213982"/>
    <w:rsid w:val="00242743"/>
    <w:rsid w:val="0024416D"/>
    <w:rsid w:val="002664EA"/>
    <w:rsid w:val="00271911"/>
    <w:rsid w:val="002800A0"/>
    <w:rsid w:val="002801B3"/>
    <w:rsid w:val="00281060"/>
    <w:rsid w:val="002940E8"/>
    <w:rsid w:val="00294751"/>
    <w:rsid w:val="0029716D"/>
    <w:rsid w:val="002A6E50"/>
    <w:rsid w:val="002B4298"/>
    <w:rsid w:val="002C175F"/>
    <w:rsid w:val="002C256A"/>
    <w:rsid w:val="002E2875"/>
    <w:rsid w:val="00304827"/>
    <w:rsid w:val="00305A7F"/>
    <w:rsid w:val="003152FE"/>
    <w:rsid w:val="00327436"/>
    <w:rsid w:val="00344BD6"/>
    <w:rsid w:val="0035528D"/>
    <w:rsid w:val="00361821"/>
    <w:rsid w:val="00361E9E"/>
    <w:rsid w:val="00383EC2"/>
    <w:rsid w:val="003C7FBE"/>
    <w:rsid w:val="003D227C"/>
    <w:rsid w:val="003D2B4D"/>
    <w:rsid w:val="004174C6"/>
    <w:rsid w:val="00417A9C"/>
    <w:rsid w:val="00444A88"/>
    <w:rsid w:val="00455C03"/>
    <w:rsid w:val="00474DA4"/>
    <w:rsid w:val="00476B4D"/>
    <w:rsid w:val="004805FA"/>
    <w:rsid w:val="00486612"/>
    <w:rsid w:val="004935D2"/>
    <w:rsid w:val="004B1215"/>
    <w:rsid w:val="004D047D"/>
    <w:rsid w:val="004D330A"/>
    <w:rsid w:val="004F1E9E"/>
    <w:rsid w:val="004F305A"/>
    <w:rsid w:val="00512164"/>
    <w:rsid w:val="00512BC2"/>
    <w:rsid w:val="00520297"/>
    <w:rsid w:val="005338F9"/>
    <w:rsid w:val="0054281C"/>
    <w:rsid w:val="00544581"/>
    <w:rsid w:val="00550581"/>
    <w:rsid w:val="0055268D"/>
    <w:rsid w:val="00570F4C"/>
    <w:rsid w:val="00576BE4"/>
    <w:rsid w:val="005A400A"/>
    <w:rsid w:val="005C7C50"/>
    <w:rsid w:val="005F42E6"/>
    <w:rsid w:val="005F5ACA"/>
    <w:rsid w:val="005F7B92"/>
    <w:rsid w:val="00612379"/>
    <w:rsid w:val="006153B6"/>
    <w:rsid w:val="0061555F"/>
    <w:rsid w:val="00636CA6"/>
    <w:rsid w:val="00641200"/>
    <w:rsid w:val="00645CA8"/>
    <w:rsid w:val="006604F7"/>
    <w:rsid w:val="006655D3"/>
    <w:rsid w:val="00667404"/>
    <w:rsid w:val="00687EB4"/>
    <w:rsid w:val="00695C56"/>
    <w:rsid w:val="006A5CDE"/>
    <w:rsid w:val="006A644A"/>
    <w:rsid w:val="006B10EF"/>
    <w:rsid w:val="006B17D2"/>
    <w:rsid w:val="006C224E"/>
    <w:rsid w:val="006D780A"/>
    <w:rsid w:val="006E0816"/>
    <w:rsid w:val="0071271E"/>
    <w:rsid w:val="00715FDF"/>
    <w:rsid w:val="00732DEC"/>
    <w:rsid w:val="00735491"/>
    <w:rsid w:val="00735BD5"/>
    <w:rsid w:val="00751613"/>
    <w:rsid w:val="007556F6"/>
    <w:rsid w:val="00760EEF"/>
    <w:rsid w:val="007659E5"/>
    <w:rsid w:val="00775FBD"/>
    <w:rsid w:val="00777EE5"/>
    <w:rsid w:val="007813CA"/>
    <w:rsid w:val="00784836"/>
    <w:rsid w:val="0079023E"/>
    <w:rsid w:val="007A2854"/>
    <w:rsid w:val="007C1D92"/>
    <w:rsid w:val="007C4CB9"/>
    <w:rsid w:val="007D0B9D"/>
    <w:rsid w:val="007D19B0"/>
    <w:rsid w:val="007F0481"/>
    <w:rsid w:val="007F498F"/>
    <w:rsid w:val="0080679D"/>
    <w:rsid w:val="008108B0"/>
    <w:rsid w:val="00811B20"/>
    <w:rsid w:val="008211B5"/>
    <w:rsid w:val="0082296E"/>
    <w:rsid w:val="00824099"/>
    <w:rsid w:val="00846D7C"/>
    <w:rsid w:val="00867AC1"/>
    <w:rsid w:val="00890DF8"/>
    <w:rsid w:val="008A743F"/>
    <w:rsid w:val="008C0970"/>
    <w:rsid w:val="008C7939"/>
    <w:rsid w:val="008D0BC5"/>
    <w:rsid w:val="008D2CF7"/>
    <w:rsid w:val="00900C26"/>
    <w:rsid w:val="0090197F"/>
    <w:rsid w:val="00902F01"/>
    <w:rsid w:val="00906DDC"/>
    <w:rsid w:val="00907FFE"/>
    <w:rsid w:val="009103CD"/>
    <w:rsid w:val="009162E2"/>
    <w:rsid w:val="00934E09"/>
    <w:rsid w:val="00936253"/>
    <w:rsid w:val="00940D46"/>
    <w:rsid w:val="00952DD4"/>
    <w:rsid w:val="00962A9A"/>
    <w:rsid w:val="00965AE7"/>
    <w:rsid w:val="00970FED"/>
    <w:rsid w:val="00990B2A"/>
    <w:rsid w:val="00992D82"/>
    <w:rsid w:val="00997029"/>
    <w:rsid w:val="009A7339"/>
    <w:rsid w:val="009B440E"/>
    <w:rsid w:val="009D690D"/>
    <w:rsid w:val="009E65B6"/>
    <w:rsid w:val="00A24C10"/>
    <w:rsid w:val="00A42AC3"/>
    <w:rsid w:val="00A430CF"/>
    <w:rsid w:val="00A54309"/>
    <w:rsid w:val="00A77C85"/>
    <w:rsid w:val="00AB2B93"/>
    <w:rsid w:val="00AB530F"/>
    <w:rsid w:val="00AB7E5B"/>
    <w:rsid w:val="00AC2883"/>
    <w:rsid w:val="00AC5389"/>
    <w:rsid w:val="00AD2218"/>
    <w:rsid w:val="00AE0EF1"/>
    <w:rsid w:val="00AE2937"/>
    <w:rsid w:val="00AE4C19"/>
    <w:rsid w:val="00B07301"/>
    <w:rsid w:val="00B11F3E"/>
    <w:rsid w:val="00B224DE"/>
    <w:rsid w:val="00B27B26"/>
    <w:rsid w:val="00B324D4"/>
    <w:rsid w:val="00B46575"/>
    <w:rsid w:val="00B53502"/>
    <w:rsid w:val="00B61777"/>
    <w:rsid w:val="00B84BBD"/>
    <w:rsid w:val="00BA43FB"/>
    <w:rsid w:val="00BC127D"/>
    <w:rsid w:val="00BC1FE6"/>
    <w:rsid w:val="00C061B6"/>
    <w:rsid w:val="00C2446C"/>
    <w:rsid w:val="00C36AE5"/>
    <w:rsid w:val="00C41F17"/>
    <w:rsid w:val="00C42ED7"/>
    <w:rsid w:val="00C527FA"/>
    <w:rsid w:val="00C5280D"/>
    <w:rsid w:val="00C53EB3"/>
    <w:rsid w:val="00C5791C"/>
    <w:rsid w:val="00C66290"/>
    <w:rsid w:val="00C72B7A"/>
    <w:rsid w:val="00C86D83"/>
    <w:rsid w:val="00C973F2"/>
    <w:rsid w:val="00CA0A0C"/>
    <w:rsid w:val="00CA304C"/>
    <w:rsid w:val="00CA774A"/>
    <w:rsid w:val="00CC11B0"/>
    <w:rsid w:val="00CC2841"/>
    <w:rsid w:val="00CF1330"/>
    <w:rsid w:val="00CF7E36"/>
    <w:rsid w:val="00D22DB2"/>
    <w:rsid w:val="00D3708D"/>
    <w:rsid w:val="00D40426"/>
    <w:rsid w:val="00D57C96"/>
    <w:rsid w:val="00D57D18"/>
    <w:rsid w:val="00D91203"/>
    <w:rsid w:val="00D95174"/>
    <w:rsid w:val="00DA4973"/>
    <w:rsid w:val="00DA6F36"/>
    <w:rsid w:val="00DB596E"/>
    <w:rsid w:val="00DB7773"/>
    <w:rsid w:val="00DC00EA"/>
    <w:rsid w:val="00DC3802"/>
    <w:rsid w:val="00DE0FEE"/>
    <w:rsid w:val="00DF1DBD"/>
    <w:rsid w:val="00E07D87"/>
    <w:rsid w:val="00E32F7E"/>
    <w:rsid w:val="00E5267B"/>
    <w:rsid w:val="00E63C0E"/>
    <w:rsid w:val="00E72D49"/>
    <w:rsid w:val="00E744B2"/>
    <w:rsid w:val="00E7593C"/>
    <w:rsid w:val="00E7678A"/>
    <w:rsid w:val="00E935F1"/>
    <w:rsid w:val="00E94A81"/>
    <w:rsid w:val="00EA0789"/>
    <w:rsid w:val="00EA1FFB"/>
    <w:rsid w:val="00EB048E"/>
    <w:rsid w:val="00EB4E9C"/>
    <w:rsid w:val="00ED1616"/>
    <w:rsid w:val="00EE34DF"/>
    <w:rsid w:val="00EF16C8"/>
    <w:rsid w:val="00EF2F89"/>
    <w:rsid w:val="00F030B4"/>
    <w:rsid w:val="00F03E98"/>
    <w:rsid w:val="00F1237A"/>
    <w:rsid w:val="00F22CBD"/>
    <w:rsid w:val="00F272F1"/>
    <w:rsid w:val="00F45372"/>
    <w:rsid w:val="00F560F7"/>
    <w:rsid w:val="00F6334D"/>
    <w:rsid w:val="00F63C9E"/>
    <w:rsid w:val="00F74A90"/>
    <w:rsid w:val="00F850C1"/>
    <w:rsid w:val="00FA1375"/>
    <w:rsid w:val="00FA27F4"/>
    <w:rsid w:val="00FA49AB"/>
    <w:rsid w:val="00FB686B"/>
    <w:rsid w:val="00FC4E6B"/>
    <w:rsid w:val="00FE39C7"/>
    <w:rsid w:val="00FF0211"/>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B27B26"/>
    <w:pPr>
      <w:keepNext/>
      <w:jc w:val="both"/>
      <w:outlineLvl w:val="0"/>
    </w:pPr>
    <w:rPr>
      <w:rFonts w:ascii="Arial" w:hAnsi="Arial"/>
      <w:caps/>
    </w:rPr>
  </w:style>
  <w:style w:type="paragraph" w:styleId="Heading2">
    <w:name w:val="heading 2"/>
    <w:aliases w:val="VARIETY,variety"/>
    <w:next w:val="Normal"/>
    <w:link w:val="Heading2Char"/>
    <w:autoRedefine/>
    <w:qFormat/>
    <w:rsid w:val="00F74A90"/>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27B26"/>
    <w:pPr>
      <w:tabs>
        <w:tab w:val="right" w:leader="dot" w:pos="9639"/>
      </w:tabs>
      <w:spacing w:before="6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FB686B"/>
    <w:pPr>
      <w:ind w:left="720"/>
      <w:contextualSpacing/>
    </w:pPr>
    <w:rPr>
      <w:rFonts w:eastAsia="MS Mincho"/>
    </w:rPr>
  </w:style>
  <w:style w:type="character" w:customStyle="1" w:styleId="Heading1Char">
    <w:name w:val="Heading 1 Char"/>
    <w:aliases w:val="COMMON NAME Char,common Char"/>
    <w:basedOn w:val="DefaultParagraphFont"/>
    <w:link w:val="Heading1"/>
    <w:rsid w:val="00B27B26"/>
    <w:rPr>
      <w:rFonts w:ascii="Arial" w:hAnsi="Arial"/>
      <w:caps/>
    </w:rPr>
  </w:style>
  <w:style w:type="character" w:customStyle="1" w:styleId="Heading2Char">
    <w:name w:val="Heading 2 Char"/>
    <w:aliases w:val="VARIETY Char,variety Char"/>
    <w:link w:val="Heading2"/>
    <w:locked/>
    <w:rsid w:val="00F74A90"/>
    <w:rPr>
      <w:rFonts w:ascii="Arial" w:hAnsi="Arial"/>
      <w:u w:val="single"/>
    </w:rPr>
  </w:style>
  <w:style w:type="character" w:customStyle="1" w:styleId="DecisionParagraphsChar">
    <w:name w:val="DecisionParagraphs Char"/>
    <w:basedOn w:val="DefaultParagraphFont"/>
    <w:link w:val="DecisionParagraphs"/>
    <w:rsid w:val="00FB686B"/>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B27B26"/>
    <w:pPr>
      <w:keepNext/>
      <w:jc w:val="both"/>
      <w:outlineLvl w:val="0"/>
    </w:pPr>
    <w:rPr>
      <w:rFonts w:ascii="Arial" w:hAnsi="Arial"/>
      <w:caps/>
    </w:rPr>
  </w:style>
  <w:style w:type="paragraph" w:styleId="Heading2">
    <w:name w:val="heading 2"/>
    <w:aliases w:val="VARIETY,variety"/>
    <w:next w:val="Normal"/>
    <w:link w:val="Heading2Char"/>
    <w:autoRedefine/>
    <w:qFormat/>
    <w:rsid w:val="00F74A90"/>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27B26"/>
    <w:pPr>
      <w:tabs>
        <w:tab w:val="right" w:leader="dot" w:pos="9639"/>
      </w:tabs>
      <w:spacing w:before="6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FB686B"/>
    <w:pPr>
      <w:ind w:left="720"/>
      <w:contextualSpacing/>
    </w:pPr>
    <w:rPr>
      <w:rFonts w:eastAsia="MS Mincho"/>
    </w:rPr>
  </w:style>
  <w:style w:type="character" w:customStyle="1" w:styleId="Heading1Char">
    <w:name w:val="Heading 1 Char"/>
    <w:aliases w:val="COMMON NAME Char,common Char"/>
    <w:basedOn w:val="DefaultParagraphFont"/>
    <w:link w:val="Heading1"/>
    <w:rsid w:val="00B27B26"/>
    <w:rPr>
      <w:rFonts w:ascii="Arial" w:hAnsi="Arial"/>
      <w:caps/>
    </w:rPr>
  </w:style>
  <w:style w:type="character" w:customStyle="1" w:styleId="Heading2Char">
    <w:name w:val="Heading 2 Char"/>
    <w:aliases w:val="VARIETY Char,variety Char"/>
    <w:link w:val="Heading2"/>
    <w:locked/>
    <w:rsid w:val="00F74A90"/>
    <w:rPr>
      <w:rFonts w:ascii="Arial" w:hAnsi="Arial"/>
      <w:u w:val="single"/>
    </w:rPr>
  </w:style>
  <w:style w:type="character" w:customStyle="1" w:styleId="DecisionParagraphsChar">
    <w:name w:val="DecisionParagraphs Char"/>
    <w:basedOn w:val="DefaultParagraphFont"/>
    <w:link w:val="DecisionParagraphs"/>
    <w:rsid w:val="00FB686B"/>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4ECB1-6A3E-4DC9-9BA9-A0C1C807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TC_53_EN</Template>
  <TotalTime>1165</TotalTime>
  <Pages>5</Pages>
  <Words>2081</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13901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29</cp:revision>
  <cp:lastPrinted>2017-02-06T12:58:00Z</cp:lastPrinted>
  <dcterms:created xsi:type="dcterms:W3CDTF">2017-01-13T10:05:00Z</dcterms:created>
  <dcterms:modified xsi:type="dcterms:W3CDTF">2017-02-21T15:54:00Z</dcterms:modified>
</cp:coreProperties>
</file>