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AC2883">
            <w:pPr>
              <w:pStyle w:val="Sessiontcplacedate"/>
              <w:rPr>
                <w:sz w:val="22"/>
              </w:rPr>
            </w:pPr>
            <w:r w:rsidRPr="00DA4973">
              <w:t>Fifty-Third Session</w:t>
            </w:r>
            <w:r w:rsidRPr="00DA4973">
              <w:br/>
              <w:t>Geneva, April 3 to 5, 2017</w:t>
            </w:r>
          </w:p>
        </w:tc>
        <w:tc>
          <w:tcPr>
            <w:tcW w:w="3127" w:type="dxa"/>
          </w:tcPr>
          <w:p w:rsidR="00EB4E9C" w:rsidRPr="003C7FBE" w:rsidRDefault="00F030B4" w:rsidP="003C7FBE">
            <w:pPr>
              <w:pStyle w:val="Doccode"/>
            </w:pPr>
            <w:r>
              <w:t>TC/53/10</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BC7E01">
            <w:pPr>
              <w:pStyle w:val="Docoriginal"/>
            </w:pPr>
            <w:r w:rsidRPr="00AC2883">
              <w:t>Dat</w:t>
            </w:r>
            <w:r w:rsidRPr="00BC7E01">
              <w:t>e:</w:t>
            </w:r>
            <w:r w:rsidR="00454EC9" w:rsidRPr="00BC7E01">
              <w:rPr>
                <w:b w:val="0"/>
                <w:spacing w:val="0"/>
              </w:rPr>
              <w:t xml:space="preserve">  March 2</w:t>
            </w:r>
            <w:r w:rsidR="00BC7E01" w:rsidRPr="00BC7E01">
              <w:rPr>
                <w:b w:val="0"/>
                <w:spacing w:val="0"/>
              </w:rPr>
              <w:t>8</w:t>
            </w:r>
            <w:r w:rsidRPr="000E636A">
              <w:rPr>
                <w:b w:val="0"/>
                <w:spacing w:val="0"/>
              </w:rPr>
              <w:t>, 2017</w:t>
            </w:r>
          </w:p>
        </w:tc>
      </w:tr>
    </w:tbl>
    <w:p w:rsidR="000D7780" w:rsidRPr="006A644A" w:rsidRDefault="00F030B4" w:rsidP="00417A9C">
      <w:pPr>
        <w:pStyle w:val="Titleofdoc0"/>
        <w:tabs>
          <w:tab w:val="left" w:pos="5760"/>
        </w:tabs>
      </w:pPr>
      <w:bookmarkStart w:id="0" w:name="TitleOfDoc"/>
      <w:bookmarkEnd w:id="0"/>
      <w:r w:rsidRPr="00AC6984">
        <w:rPr>
          <w:rFonts w:cs="Arial"/>
          <w:snapToGrid w:val="0"/>
        </w:rPr>
        <w:t>Report on developments in UPOV including relevant matters discussed in the last sessions of the Administrative and Legal Committee, the Consultative Committee and the Council</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E9536D" w:rsidRDefault="00E9536D" w:rsidP="00E9536D">
      <w:pPr>
        <w:pStyle w:val="Heading1"/>
        <w:rPr>
          <w:rFonts w:eastAsia="MS Mincho"/>
        </w:rPr>
      </w:pPr>
      <w:bookmarkStart w:id="2" w:name="_Toc438649862"/>
      <w:bookmarkStart w:id="3" w:name="_Ref438649598"/>
      <w:bookmarkStart w:id="4" w:name="_Toc477358702"/>
      <w:bookmarkStart w:id="5" w:name="_Toc478464886"/>
      <w:r>
        <w:rPr>
          <w:rFonts w:eastAsia="MS Mincho"/>
        </w:rPr>
        <w:t>EXECUTIVE SUMMARY</w:t>
      </w:r>
      <w:bookmarkEnd w:id="2"/>
      <w:bookmarkEnd w:id="3"/>
      <w:bookmarkEnd w:id="4"/>
      <w:bookmarkEnd w:id="5"/>
    </w:p>
    <w:p w:rsidR="00E9536D" w:rsidRDefault="00E9536D" w:rsidP="00454EC9">
      <w:pPr>
        <w:rPr>
          <w:rFonts w:cs="Arial"/>
          <w:snapToGrid w:val="0"/>
        </w:rPr>
      </w:pPr>
    </w:p>
    <w:p w:rsidR="00454EC9" w:rsidRPr="005C59AF" w:rsidRDefault="00454EC9" w:rsidP="00454EC9">
      <w:pPr>
        <w:rPr>
          <w:rFonts w:cs="Arial"/>
          <w:snapToGrid w:val="0"/>
        </w:rPr>
      </w:pPr>
      <w:r w:rsidRPr="005C59AF">
        <w:rPr>
          <w:rFonts w:cs="Arial"/>
          <w:snapToGrid w:val="0"/>
        </w:rPr>
        <w:fldChar w:fldCharType="begin"/>
      </w:r>
      <w:r w:rsidRPr="005C59AF">
        <w:rPr>
          <w:rFonts w:cs="Arial"/>
          <w:snapToGrid w:val="0"/>
        </w:rPr>
        <w:instrText xml:space="preserve"> AUTONUM  </w:instrText>
      </w:r>
      <w:r w:rsidRPr="005C59AF">
        <w:rPr>
          <w:rFonts w:cs="Arial"/>
          <w:snapToGrid w:val="0"/>
        </w:rPr>
        <w:fldChar w:fldCharType="end"/>
      </w:r>
      <w:r w:rsidRPr="005C59AF">
        <w:rPr>
          <w:rFonts w:cs="Arial"/>
          <w:snapToGrid w:val="0"/>
        </w:rPr>
        <w:tab/>
        <w:t>The purpose of this document is to report on developments in UPOV since the fifty-</w:t>
      </w:r>
      <w:r>
        <w:rPr>
          <w:rFonts w:cs="Arial"/>
          <w:snapToGrid w:val="0"/>
        </w:rPr>
        <w:t>second</w:t>
      </w:r>
      <w:r w:rsidRPr="005C59AF">
        <w:rPr>
          <w:rFonts w:cs="Arial"/>
          <w:snapToGrid w:val="0"/>
        </w:rPr>
        <w:t xml:space="preserve"> session of the Technical Committee (TC) that are not presented under specific items on the agenda of the fifty-</w:t>
      </w:r>
      <w:r>
        <w:rPr>
          <w:rFonts w:cs="Arial"/>
          <w:snapToGrid w:val="0"/>
        </w:rPr>
        <w:t>third</w:t>
      </w:r>
      <w:r w:rsidRPr="005C59AF">
        <w:rPr>
          <w:rFonts w:cs="Arial"/>
          <w:snapToGrid w:val="0"/>
        </w:rPr>
        <w:t xml:space="preserve"> session of the TC, including relevant matters discussed in the last sessions of the Administrative and Legal Committee (CAJ), the Consultative Committee and the Council.</w:t>
      </w:r>
    </w:p>
    <w:p w:rsidR="00454EC9" w:rsidRDefault="00454EC9" w:rsidP="00454EC9">
      <w:pPr>
        <w:rPr>
          <w:rFonts w:cs="Arial"/>
          <w:snapToGrid w:val="0"/>
        </w:rPr>
      </w:pPr>
    </w:p>
    <w:p w:rsidR="00DE16FF" w:rsidRPr="00DE16FF" w:rsidRDefault="00E9536D" w:rsidP="00454EC9">
      <w:pPr>
        <w:rPr>
          <w:rFonts w:cs="Arial"/>
          <w:snapToGrid w:val="0"/>
          <w:lang w:eastAsia="ja-JP"/>
        </w:rPr>
      </w:pPr>
      <w:r w:rsidRPr="005C59AF">
        <w:rPr>
          <w:rFonts w:cs="Arial"/>
          <w:snapToGrid w:val="0"/>
        </w:rPr>
        <w:fldChar w:fldCharType="begin"/>
      </w:r>
      <w:r w:rsidRPr="005C59AF">
        <w:rPr>
          <w:rFonts w:cs="Arial"/>
          <w:snapToGrid w:val="0"/>
        </w:rPr>
        <w:instrText xml:space="preserve"> AUTONUM  </w:instrText>
      </w:r>
      <w:r w:rsidRPr="005C59AF">
        <w:rPr>
          <w:rFonts w:cs="Arial"/>
          <w:snapToGrid w:val="0"/>
        </w:rPr>
        <w:fldChar w:fldCharType="end"/>
      </w:r>
      <w:r w:rsidRPr="005C59AF">
        <w:rPr>
          <w:rFonts w:cs="Arial"/>
          <w:snapToGrid w:val="0"/>
        </w:rPr>
        <w:tab/>
      </w:r>
      <w:r w:rsidRPr="00DE16FF">
        <w:rPr>
          <w:rFonts w:cs="Arial"/>
          <w:snapToGrid w:val="0"/>
          <w:lang w:eastAsia="ja-JP"/>
        </w:rPr>
        <w:t>The TC is invited to note</w:t>
      </w:r>
      <w:r w:rsidR="00DE16FF" w:rsidRPr="00DE16FF">
        <w:rPr>
          <w:rFonts w:cs="Arial"/>
          <w:snapToGrid w:val="0"/>
          <w:lang w:eastAsia="ja-JP"/>
        </w:rPr>
        <w:t>:</w:t>
      </w:r>
    </w:p>
    <w:p w:rsidR="00DE16FF" w:rsidRPr="00DE16FF" w:rsidRDefault="00DE16FF" w:rsidP="00454EC9">
      <w:pPr>
        <w:rPr>
          <w:rFonts w:cs="Arial"/>
          <w:snapToGrid w:val="0"/>
          <w:lang w:eastAsia="ja-JP"/>
        </w:rPr>
      </w:pPr>
    </w:p>
    <w:p w:rsidR="00E9536D" w:rsidRPr="00594218" w:rsidRDefault="00DE16FF" w:rsidP="00DE16FF">
      <w:pPr>
        <w:tabs>
          <w:tab w:val="left" w:pos="567"/>
          <w:tab w:val="left" w:pos="1134"/>
        </w:tabs>
        <w:rPr>
          <w:rFonts w:cs="Arial"/>
          <w:snapToGrid w:val="0"/>
          <w:lang w:eastAsia="ja-JP"/>
        </w:rPr>
      </w:pPr>
      <w:r w:rsidRPr="00DE16FF">
        <w:rPr>
          <w:rFonts w:cs="Arial"/>
          <w:snapToGrid w:val="0"/>
          <w:lang w:eastAsia="ja-JP"/>
        </w:rPr>
        <w:tab/>
      </w:r>
      <w:r w:rsidRPr="00594218">
        <w:rPr>
          <w:rFonts w:cs="Arial"/>
          <w:snapToGrid w:val="0"/>
          <w:lang w:eastAsia="ja-JP"/>
        </w:rPr>
        <w:t>(a)</w:t>
      </w:r>
      <w:r w:rsidRPr="00594218">
        <w:rPr>
          <w:rFonts w:cs="Arial"/>
          <w:snapToGrid w:val="0"/>
          <w:lang w:eastAsia="ja-JP"/>
        </w:rPr>
        <w:tab/>
      </w:r>
      <w:r w:rsidR="00E9536D" w:rsidRPr="00594218">
        <w:rPr>
          <w:rFonts w:cs="Arial"/>
          <w:snapToGrid w:val="0"/>
          <w:lang w:eastAsia="ja-JP"/>
        </w:rPr>
        <w:t xml:space="preserve">the </w:t>
      </w:r>
      <w:r w:rsidR="00E9536D" w:rsidRPr="00594218">
        <w:rPr>
          <w:rFonts w:cs="Arial"/>
          <w:snapToGrid w:val="0"/>
        </w:rPr>
        <w:t xml:space="preserve">developments in UPOV since its fifty-second session that are not presented under specific items on the agenda of its fifty-third session, including relevant matters discussed in the last sessions of the Administrative and Legal Committee (CAJ), the Consultative Committee and the Council </w:t>
      </w:r>
      <w:r w:rsidR="00E9536D" w:rsidRPr="00594218">
        <w:rPr>
          <w:rFonts w:cs="Arial"/>
          <w:snapToGrid w:val="0"/>
          <w:lang w:eastAsia="ja-JP"/>
        </w:rPr>
        <w:t xml:space="preserve">as set out in paragraphs </w:t>
      </w:r>
      <w:r w:rsidR="00594218" w:rsidRPr="00BC7E01">
        <w:rPr>
          <w:rFonts w:cs="Arial"/>
          <w:snapToGrid w:val="0"/>
          <w:lang w:eastAsia="ja-JP"/>
        </w:rPr>
        <w:t>4</w:t>
      </w:r>
      <w:r w:rsidR="00E9536D" w:rsidRPr="00BC7E01">
        <w:rPr>
          <w:rFonts w:cs="Arial"/>
          <w:snapToGrid w:val="0"/>
          <w:lang w:eastAsia="ja-JP"/>
        </w:rPr>
        <w:t xml:space="preserve"> to 4</w:t>
      </w:r>
      <w:r w:rsidR="007F6A1A" w:rsidRPr="00BC7E01">
        <w:rPr>
          <w:rFonts w:cs="Arial"/>
          <w:snapToGrid w:val="0"/>
          <w:lang w:eastAsia="ja-JP"/>
        </w:rPr>
        <w:t>7</w:t>
      </w:r>
      <w:r w:rsidR="00E9536D" w:rsidRPr="00594218">
        <w:rPr>
          <w:rFonts w:cs="Arial"/>
          <w:snapToGrid w:val="0"/>
          <w:lang w:eastAsia="ja-JP"/>
        </w:rPr>
        <w:t xml:space="preserve"> of this document</w:t>
      </w:r>
      <w:r w:rsidRPr="00594218">
        <w:rPr>
          <w:rFonts w:cs="Arial"/>
          <w:snapToGrid w:val="0"/>
          <w:lang w:eastAsia="ja-JP"/>
        </w:rPr>
        <w:t>;  and</w:t>
      </w:r>
    </w:p>
    <w:p w:rsidR="00DE16FF" w:rsidRPr="00594218" w:rsidRDefault="00DE16FF" w:rsidP="00DE16FF">
      <w:pPr>
        <w:tabs>
          <w:tab w:val="left" w:pos="567"/>
          <w:tab w:val="left" w:pos="1134"/>
        </w:tabs>
        <w:rPr>
          <w:rFonts w:cs="Arial"/>
          <w:snapToGrid w:val="0"/>
          <w:lang w:eastAsia="ja-JP"/>
        </w:rPr>
      </w:pPr>
    </w:p>
    <w:p w:rsidR="00454EC9" w:rsidRPr="005C59AF" w:rsidRDefault="00DE16FF" w:rsidP="00DE16FF">
      <w:pPr>
        <w:tabs>
          <w:tab w:val="left" w:pos="567"/>
          <w:tab w:val="left" w:pos="1134"/>
        </w:tabs>
        <w:rPr>
          <w:rFonts w:cs="Arial"/>
          <w:snapToGrid w:val="0"/>
        </w:rPr>
      </w:pPr>
      <w:r w:rsidRPr="00594218">
        <w:rPr>
          <w:rFonts w:cs="Arial"/>
          <w:snapToGrid w:val="0"/>
          <w:lang w:eastAsia="ja-JP"/>
        </w:rPr>
        <w:tab/>
        <w:t>(b)</w:t>
      </w:r>
      <w:r w:rsidRPr="00594218">
        <w:rPr>
          <w:rFonts w:cs="Arial"/>
          <w:snapToGrid w:val="0"/>
          <w:lang w:eastAsia="ja-JP"/>
        </w:rPr>
        <w:tab/>
      </w:r>
      <w:proofErr w:type="gramStart"/>
      <w:r w:rsidRPr="00594218">
        <w:rPr>
          <w:rFonts w:cs="Arial"/>
          <w:snapToGrid w:val="0"/>
          <w:lang w:eastAsia="ja-JP"/>
        </w:rPr>
        <w:t>that</w:t>
      </w:r>
      <w:proofErr w:type="gramEnd"/>
      <w:r>
        <w:rPr>
          <w:rFonts w:cs="Arial"/>
          <w:snapToGrid w:val="0"/>
          <w:lang w:eastAsia="ja-JP"/>
        </w:rPr>
        <w:t xml:space="preserve"> a</w:t>
      </w:r>
      <w:r w:rsidR="00454EC9" w:rsidRPr="005C59AF">
        <w:rPr>
          <w:rFonts w:cs="Arial"/>
          <w:snapToGrid w:val="0"/>
        </w:rPr>
        <w:t xml:space="preserve"> presentation summarizing the items in this document will be made at the fifty-</w:t>
      </w:r>
      <w:r w:rsidR="00454EC9">
        <w:rPr>
          <w:rFonts w:cs="Arial"/>
          <w:snapToGrid w:val="0"/>
        </w:rPr>
        <w:t>third</w:t>
      </w:r>
      <w:r w:rsidR="00454EC9" w:rsidRPr="005C59AF">
        <w:rPr>
          <w:rFonts w:cs="Arial"/>
          <w:snapToGrid w:val="0"/>
        </w:rPr>
        <w:t xml:space="preserve"> session of the TC, a copy of which (in English only) will be provided as an addendum to this document.</w:t>
      </w:r>
    </w:p>
    <w:p w:rsidR="00454EC9" w:rsidRDefault="00454EC9" w:rsidP="00454EC9">
      <w:pPr>
        <w:rPr>
          <w:rFonts w:cs="Arial"/>
        </w:rPr>
      </w:pPr>
    </w:p>
    <w:p w:rsidR="00E9536D" w:rsidRPr="00292CE5" w:rsidRDefault="00E9536D" w:rsidP="00E9536D">
      <w:pPr>
        <w:rPr>
          <w:snapToGrid w:val="0"/>
          <w:lang w:eastAsia="ja-JP"/>
        </w:rPr>
      </w:pPr>
    </w:p>
    <w:p w:rsidR="00E9536D" w:rsidRPr="005C59AF" w:rsidRDefault="00E9536D" w:rsidP="00454EC9">
      <w:pPr>
        <w:rPr>
          <w:rFonts w:cs="Arial"/>
        </w:rPr>
      </w:pPr>
    </w:p>
    <w:p w:rsidR="00454EC9" w:rsidRPr="005C59AF" w:rsidRDefault="00454EC9" w:rsidP="00454EC9">
      <w:pPr>
        <w:jc w:val="left"/>
        <w:rPr>
          <w:rFonts w:cs="Arial"/>
          <w:u w:val="single"/>
        </w:rPr>
      </w:pPr>
    </w:p>
    <w:p w:rsidR="00454EC9" w:rsidRDefault="00454EC9" w:rsidP="00454EC9">
      <w:pPr>
        <w:jc w:val="left"/>
        <w:rPr>
          <w:rFonts w:cs="Arial"/>
          <w:u w:val="single"/>
        </w:rPr>
      </w:pPr>
      <w:r>
        <w:rPr>
          <w:rFonts w:cs="Arial"/>
          <w:u w:val="single"/>
        </w:rPr>
        <w:br w:type="page"/>
      </w:r>
    </w:p>
    <w:p w:rsidR="00050E16" w:rsidRPr="004B1215" w:rsidRDefault="00050E16" w:rsidP="004B1215"/>
    <w:p w:rsidR="00050E16" w:rsidRDefault="00E9536D" w:rsidP="00050E16">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Pr="00292CE5">
        <w:rPr>
          <w:rFonts w:cs="Arial" w:hint="eastAsia"/>
          <w:snapToGrid w:val="0"/>
          <w:lang w:eastAsia="ja-JP"/>
        </w:rPr>
        <w:t>The structure of this document is as follows</w:t>
      </w:r>
      <w:r w:rsidR="00DA6C74">
        <w:rPr>
          <w:rFonts w:cs="Arial"/>
          <w:snapToGrid w:val="0"/>
          <w:lang w:eastAsia="ja-JP"/>
        </w:rPr>
        <w:t>:</w:t>
      </w:r>
    </w:p>
    <w:p w:rsidR="00544581" w:rsidRDefault="00544581">
      <w:pPr>
        <w:jc w:val="left"/>
      </w:pPr>
    </w:p>
    <w:p w:rsidR="00BC7E01" w:rsidRDefault="00454EC9">
      <w:pPr>
        <w:pStyle w:val="TOC1"/>
        <w:rPr>
          <w:rFonts w:asciiTheme="minorHAnsi" w:eastAsiaTheme="minorEastAsia" w:hAnsiTheme="minorHAnsi" w:cstheme="minorBidi"/>
          <w:caps w:val="0"/>
          <w:noProof/>
          <w:sz w:val="22"/>
          <w:szCs w:val="22"/>
        </w:rPr>
      </w:pPr>
      <w:r w:rsidRPr="00454EC9">
        <w:fldChar w:fldCharType="begin"/>
      </w:r>
      <w:r w:rsidRPr="00454EC9">
        <w:instrText xml:space="preserve"> TOC \o "1-3" \h \z \u </w:instrText>
      </w:r>
      <w:r w:rsidRPr="00454EC9">
        <w:fldChar w:fldCharType="separate"/>
      </w:r>
      <w:hyperlink w:anchor="_Toc478464886" w:history="1">
        <w:r w:rsidR="00BC7E01" w:rsidRPr="00A57EFD">
          <w:rPr>
            <w:rStyle w:val="Hyperlink"/>
            <w:rFonts w:eastAsia="MS Mincho"/>
            <w:noProof/>
          </w:rPr>
          <w:t>EXECUTIVE SUMMARY</w:t>
        </w:r>
        <w:r w:rsidR="00BC7E01">
          <w:rPr>
            <w:noProof/>
            <w:webHidden/>
          </w:rPr>
          <w:tab/>
        </w:r>
        <w:r w:rsidR="00BC7E01">
          <w:rPr>
            <w:noProof/>
            <w:webHidden/>
          </w:rPr>
          <w:fldChar w:fldCharType="begin"/>
        </w:r>
        <w:r w:rsidR="00BC7E01">
          <w:rPr>
            <w:noProof/>
            <w:webHidden/>
          </w:rPr>
          <w:instrText xml:space="preserve"> PAGEREF _Toc478464886 \h </w:instrText>
        </w:r>
        <w:r w:rsidR="00BC7E01">
          <w:rPr>
            <w:noProof/>
            <w:webHidden/>
          </w:rPr>
        </w:r>
        <w:r w:rsidR="00BC7E01">
          <w:rPr>
            <w:noProof/>
            <w:webHidden/>
          </w:rPr>
          <w:fldChar w:fldCharType="separate"/>
        </w:r>
        <w:r w:rsidR="00BC7E01">
          <w:rPr>
            <w:noProof/>
            <w:webHidden/>
          </w:rPr>
          <w:t>1</w:t>
        </w:r>
        <w:r w:rsidR="00BC7E01">
          <w:rPr>
            <w:noProof/>
            <w:webHidden/>
          </w:rPr>
          <w:fldChar w:fldCharType="end"/>
        </w:r>
      </w:hyperlink>
    </w:p>
    <w:p w:rsidR="00BC7E01" w:rsidRDefault="00BC7E01">
      <w:pPr>
        <w:pStyle w:val="TOC1"/>
        <w:rPr>
          <w:rFonts w:asciiTheme="minorHAnsi" w:eastAsiaTheme="minorEastAsia" w:hAnsiTheme="minorHAnsi" w:cstheme="minorBidi"/>
          <w:caps w:val="0"/>
          <w:noProof/>
          <w:sz w:val="22"/>
          <w:szCs w:val="22"/>
        </w:rPr>
      </w:pPr>
      <w:hyperlink w:anchor="_Toc478464887" w:history="1">
        <w:r w:rsidRPr="00A57EFD">
          <w:rPr>
            <w:rStyle w:val="Hyperlink"/>
            <w:noProof/>
          </w:rPr>
          <w:t>MEMBERSHIP</w:t>
        </w:r>
        <w:r>
          <w:rPr>
            <w:noProof/>
            <w:webHidden/>
          </w:rPr>
          <w:tab/>
        </w:r>
        <w:r>
          <w:rPr>
            <w:noProof/>
            <w:webHidden/>
          </w:rPr>
          <w:fldChar w:fldCharType="begin"/>
        </w:r>
        <w:r>
          <w:rPr>
            <w:noProof/>
            <w:webHidden/>
          </w:rPr>
          <w:instrText xml:space="preserve"> PAGEREF _Toc478464887 \h </w:instrText>
        </w:r>
        <w:r>
          <w:rPr>
            <w:noProof/>
            <w:webHidden/>
          </w:rPr>
        </w:r>
        <w:r>
          <w:rPr>
            <w:noProof/>
            <w:webHidden/>
          </w:rPr>
          <w:fldChar w:fldCharType="separate"/>
        </w:r>
        <w:r>
          <w:rPr>
            <w:noProof/>
            <w:webHidden/>
          </w:rPr>
          <w:t>3</w:t>
        </w:r>
        <w:r>
          <w:rPr>
            <w:noProof/>
            <w:webHidden/>
          </w:rPr>
          <w:fldChar w:fldCharType="end"/>
        </w:r>
      </w:hyperlink>
    </w:p>
    <w:p w:rsidR="00BC7E01" w:rsidRDefault="00BC7E01">
      <w:pPr>
        <w:pStyle w:val="TOC2"/>
        <w:rPr>
          <w:rFonts w:asciiTheme="minorHAnsi" w:eastAsiaTheme="minorEastAsia" w:hAnsiTheme="minorHAnsi" w:cstheme="minorBidi"/>
          <w:smallCaps w:val="0"/>
          <w:noProof/>
          <w:sz w:val="22"/>
          <w:szCs w:val="22"/>
        </w:rPr>
      </w:pPr>
      <w:hyperlink w:anchor="_Toc478464888" w:history="1">
        <w:r w:rsidRPr="00A57EFD">
          <w:rPr>
            <w:rStyle w:val="Hyperlink"/>
            <w:noProof/>
          </w:rPr>
          <w:t>Members of the Union</w:t>
        </w:r>
        <w:r>
          <w:rPr>
            <w:noProof/>
            <w:webHidden/>
          </w:rPr>
          <w:tab/>
        </w:r>
        <w:r>
          <w:rPr>
            <w:noProof/>
            <w:webHidden/>
          </w:rPr>
          <w:fldChar w:fldCharType="begin"/>
        </w:r>
        <w:r>
          <w:rPr>
            <w:noProof/>
            <w:webHidden/>
          </w:rPr>
          <w:instrText xml:space="preserve"> PAGEREF _Toc478464888 \h </w:instrText>
        </w:r>
        <w:r>
          <w:rPr>
            <w:noProof/>
            <w:webHidden/>
          </w:rPr>
        </w:r>
        <w:r>
          <w:rPr>
            <w:noProof/>
            <w:webHidden/>
          </w:rPr>
          <w:fldChar w:fldCharType="separate"/>
        </w:r>
        <w:r>
          <w:rPr>
            <w:noProof/>
            <w:webHidden/>
          </w:rPr>
          <w:t>3</w:t>
        </w:r>
        <w:r>
          <w:rPr>
            <w:noProof/>
            <w:webHidden/>
          </w:rPr>
          <w:fldChar w:fldCharType="end"/>
        </w:r>
      </w:hyperlink>
    </w:p>
    <w:p w:rsidR="00BC7E01" w:rsidRDefault="00BC7E01">
      <w:pPr>
        <w:pStyle w:val="TOC2"/>
        <w:rPr>
          <w:rFonts w:asciiTheme="minorHAnsi" w:eastAsiaTheme="minorEastAsia" w:hAnsiTheme="minorHAnsi" w:cstheme="minorBidi"/>
          <w:smallCaps w:val="0"/>
          <w:noProof/>
          <w:sz w:val="22"/>
          <w:szCs w:val="22"/>
        </w:rPr>
      </w:pPr>
      <w:hyperlink w:anchor="_Toc478464889" w:history="1">
        <w:r w:rsidRPr="00A57EFD">
          <w:rPr>
            <w:rStyle w:val="Hyperlink"/>
            <w:noProof/>
          </w:rPr>
          <w:t>Situation in relation to the various Acts of the Convention</w:t>
        </w:r>
        <w:r>
          <w:rPr>
            <w:noProof/>
            <w:webHidden/>
          </w:rPr>
          <w:tab/>
        </w:r>
        <w:r>
          <w:rPr>
            <w:noProof/>
            <w:webHidden/>
          </w:rPr>
          <w:fldChar w:fldCharType="begin"/>
        </w:r>
        <w:r>
          <w:rPr>
            <w:noProof/>
            <w:webHidden/>
          </w:rPr>
          <w:instrText xml:space="preserve"> PAGEREF _Toc478464889 \h </w:instrText>
        </w:r>
        <w:r>
          <w:rPr>
            <w:noProof/>
            <w:webHidden/>
          </w:rPr>
        </w:r>
        <w:r>
          <w:rPr>
            <w:noProof/>
            <w:webHidden/>
          </w:rPr>
          <w:fldChar w:fldCharType="separate"/>
        </w:r>
        <w:r>
          <w:rPr>
            <w:noProof/>
            <w:webHidden/>
          </w:rPr>
          <w:t>3</w:t>
        </w:r>
        <w:r>
          <w:rPr>
            <w:noProof/>
            <w:webHidden/>
          </w:rPr>
          <w:fldChar w:fldCharType="end"/>
        </w:r>
      </w:hyperlink>
    </w:p>
    <w:p w:rsidR="00BC7E01" w:rsidRDefault="00BC7E01">
      <w:pPr>
        <w:pStyle w:val="TOC1"/>
        <w:rPr>
          <w:rFonts w:asciiTheme="minorHAnsi" w:eastAsiaTheme="minorEastAsia" w:hAnsiTheme="minorHAnsi" w:cstheme="minorBidi"/>
          <w:caps w:val="0"/>
          <w:noProof/>
          <w:sz w:val="22"/>
          <w:szCs w:val="22"/>
        </w:rPr>
      </w:pPr>
      <w:hyperlink w:anchor="_Toc478464890" w:history="1">
        <w:r w:rsidRPr="00A57EFD">
          <w:rPr>
            <w:rStyle w:val="Hyperlink"/>
            <w:noProof/>
          </w:rPr>
          <w:t>Statistics on Plant Variety Protection</w:t>
        </w:r>
        <w:r>
          <w:rPr>
            <w:noProof/>
            <w:webHidden/>
          </w:rPr>
          <w:tab/>
        </w:r>
        <w:r>
          <w:rPr>
            <w:noProof/>
            <w:webHidden/>
          </w:rPr>
          <w:fldChar w:fldCharType="begin"/>
        </w:r>
        <w:r>
          <w:rPr>
            <w:noProof/>
            <w:webHidden/>
          </w:rPr>
          <w:instrText xml:space="preserve"> PAGEREF _Toc478464890 \h </w:instrText>
        </w:r>
        <w:r>
          <w:rPr>
            <w:noProof/>
            <w:webHidden/>
          </w:rPr>
        </w:r>
        <w:r>
          <w:rPr>
            <w:noProof/>
            <w:webHidden/>
          </w:rPr>
          <w:fldChar w:fldCharType="separate"/>
        </w:r>
        <w:r>
          <w:rPr>
            <w:noProof/>
            <w:webHidden/>
          </w:rPr>
          <w:t>3</w:t>
        </w:r>
        <w:r>
          <w:rPr>
            <w:noProof/>
            <w:webHidden/>
          </w:rPr>
          <w:fldChar w:fldCharType="end"/>
        </w:r>
      </w:hyperlink>
    </w:p>
    <w:p w:rsidR="00BC7E01" w:rsidRDefault="00BC7E01">
      <w:pPr>
        <w:pStyle w:val="TOC2"/>
        <w:rPr>
          <w:rFonts w:asciiTheme="minorHAnsi" w:eastAsiaTheme="minorEastAsia" w:hAnsiTheme="minorHAnsi" w:cstheme="minorBidi"/>
          <w:smallCaps w:val="0"/>
          <w:noProof/>
          <w:sz w:val="22"/>
          <w:szCs w:val="22"/>
        </w:rPr>
      </w:pPr>
      <w:hyperlink w:anchor="_Toc478464891" w:history="1">
        <w:r w:rsidRPr="00A57EFD">
          <w:rPr>
            <w:rStyle w:val="Hyperlink"/>
            <w:noProof/>
          </w:rPr>
          <w:t>List of the taxa protected by the members of the Union</w:t>
        </w:r>
        <w:r>
          <w:rPr>
            <w:noProof/>
            <w:webHidden/>
          </w:rPr>
          <w:tab/>
        </w:r>
        <w:r>
          <w:rPr>
            <w:noProof/>
            <w:webHidden/>
          </w:rPr>
          <w:fldChar w:fldCharType="begin"/>
        </w:r>
        <w:r>
          <w:rPr>
            <w:noProof/>
            <w:webHidden/>
          </w:rPr>
          <w:instrText xml:space="preserve"> PAGEREF _Toc478464891 \h </w:instrText>
        </w:r>
        <w:r>
          <w:rPr>
            <w:noProof/>
            <w:webHidden/>
          </w:rPr>
        </w:r>
        <w:r>
          <w:rPr>
            <w:noProof/>
            <w:webHidden/>
          </w:rPr>
          <w:fldChar w:fldCharType="separate"/>
        </w:r>
        <w:r>
          <w:rPr>
            <w:noProof/>
            <w:webHidden/>
          </w:rPr>
          <w:t>3</w:t>
        </w:r>
        <w:r>
          <w:rPr>
            <w:noProof/>
            <w:webHidden/>
          </w:rPr>
          <w:fldChar w:fldCharType="end"/>
        </w:r>
      </w:hyperlink>
    </w:p>
    <w:p w:rsidR="00BC7E01" w:rsidRDefault="00BC7E01">
      <w:pPr>
        <w:pStyle w:val="TOC2"/>
        <w:rPr>
          <w:rFonts w:asciiTheme="minorHAnsi" w:eastAsiaTheme="minorEastAsia" w:hAnsiTheme="minorHAnsi" w:cstheme="minorBidi"/>
          <w:smallCaps w:val="0"/>
          <w:noProof/>
          <w:sz w:val="22"/>
          <w:szCs w:val="22"/>
        </w:rPr>
      </w:pPr>
      <w:hyperlink w:anchor="_Toc478464892" w:history="1">
        <w:r w:rsidRPr="00A57EFD">
          <w:rPr>
            <w:rStyle w:val="Hyperlink"/>
            <w:noProof/>
          </w:rPr>
          <w:t>Plant variety protection statistics</w:t>
        </w:r>
        <w:r>
          <w:rPr>
            <w:noProof/>
            <w:webHidden/>
          </w:rPr>
          <w:tab/>
        </w:r>
        <w:r>
          <w:rPr>
            <w:noProof/>
            <w:webHidden/>
          </w:rPr>
          <w:fldChar w:fldCharType="begin"/>
        </w:r>
        <w:r>
          <w:rPr>
            <w:noProof/>
            <w:webHidden/>
          </w:rPr>
          <w:instrText xml:space="preserve"> PAGEREF _Toc478464892 \h </w:instrText>
        </w:r>
        <w:r>
          <w:rPr>
            <w:noProof/>
            <w:webHidden/>
          </w:rPr>
        </w:r>
        <w:r>
          <w:rPr>
            <w:noProof/>
            <w:webHidden/>
          </w:rPr>
          <w:fldChar w:fldCharType="separate"/>
        </w:r>
        <w:r>
          <w:rPr>
            <w:noProof/>
            <w:webHidden/>
          </w:rPr>
          <w:t>3</w:t>
        </w:r>
        <w:r>
          <w:rPr>
            <w:noProof/>
            <w:webHidden/>
          </w:rPr>
          <w:fldChar w:fldCharType="end"/>
        </w:r>
      </w:hyperlink>
    </w:p>
    <w:p w:rsidR="00BC7E01" w:rsidRDefault="00BC7E01">
      <w:pPr>
        <w:pStyle w:val="TOC2"/>
        <w:rPr>
          <w:rFonts w:asciiTheme="minorHAnsi" w:eastAsiaTheme="minorEastAsia" w:hAnsiTheme="minorHAnsi" w:cstheme="minorBidi"/>
          <w:smallCaps w:val="0"/>
          <w:noProof/>
          <w:sz w:val="22"/>
          <w:szCs w:val="22"/>
        </w:rPr>
      </w:pPr>
      <w:hyperlink w:anchor="_Toc478464893" w:history="1">
        <w:r w:rsidRPr="00A57EFD">
          <w:rPr>
            <w:rStyle w:val="Hyperlink"/>
            <w:noProof/>
          </w:rPr>
          <w:t>Cooperation in the examination of new plant varieties</w:t>
        </w:r>
        <w:r>
          <w:rPr>
            <w:noProof/>
            <w:webHidden/>
          </w:rPr>
          <w:tab/>
        </w:r>
        <w:r>
          <w:rPr>
            <w:noProof/>
            <w:webHidden/>
          </w:rPr>
          <w:fldChar w:fldCharType="begin"/>
        </w:r>
        <w:r>
          <w:rPr>
            <w:noProof/>
            <w:webHidden/>
          </w:rPr>
          <w:instrText xml:space="preserve"> PAGEREF _Toc478464893 \h </w:instrText>
        </w:r>
        <w:r>
          <w:rPr>
            <w:noProof/>
            <w:webHidden/>
          </w:rPr>
        </w:r>
        <w:r>
          <w:rPr>
            <w:noProof/>
            <w:webHidden/>
          </w:rPr>
          <w:fldChar w:fldCharType="separate"/>
        </w:r>
        <w:r>
          <w:rPr>
            <w:noProof/>
            <w:webHidden/>
          </w:rPr>
          <w:t>4</w:t>
        </w:r>
        <w:r>
          <w:rPr>
            <w:noProof/>
            <w:webHidden/>
          </w:rPr>
          <w:fldChar w:fldCharType="end"/>
        </w:r>
      </w:hyperlink>
    </w:p>
    <w:p w:rsidR="00BC7E01" w:rsidRDefault="00BC7E01">
      <w:pPr>
        <w:pStyle w:val="TOC1"/>
        <w:rPr>
          <w:rFonts w:asciiTheme="minorHAnsi" w:eastAsiaTheme="minorEastAsia" w:hAnsiTheme="minorHAnsi" w:cstheme="minorBidi"/>
          <w:caps w:val="0"/>
          <w:noProof/>
          <w:sz w:val="22"/>
          <w:szCs w:val="22"/>
        </w:rPr>
      </w:pPr>
      <w:hyperlink w:anchor="_Toc478464894" w:history="1">
        <w:r w:rsidRPr="00A57EFD">
          <w:rPr>
            <w:rStyle w:val="Hyperlink"/>
            <w:noProof/>
          </w:rPr>
          <w:t>Annual report of the Secretary-General for 2015; Performance report for the 2014-2015 Biennium</w:t>
        </w:r>
        <w:r>
          <w:rPr>
            <w:noProof/>
            <w:webHidden/>
          </w:rPr>
          <w:tab/>
        </w:r>
        <w:r>
          <w:rPr>
            <w:noProof/>
            <w:webHidden/>
          </w:rPr>
          <w:fldChar w:fldCharType="begin"/>
        </w:r>
        <w:r>
          <w:rPr>
            <w:noProof/>
            <w:webHidden/>
          </w:rPr>
          <w:instrText xml:space="preserve"> PAGEREF _Toc478464894 \h </w:instrText>
        </w:r>
        <w:r>
          <w:rPr>
            <w:noProof/>
            <w:webHidden/>
          </w:rPr>
        </w:r>
        <w:r>
          <w:rPr>
            <w:noProof/>
            <w:webHidden/>
          </w:rPr>
          <w:fldChar w:fldCharType="separate"/>
        </w:r>
        <w:r>
          <w:rPr>
            <w:noProof/>
            <w:webHidden/>
          </w:rPr>
          <w:t>4</w:t>
        </w:r>
        <w:r>
          <w:rPr>
            <w:noProof/>
            <w:webHidden/>
          </w:rPr>
          <w:fldChar w:fldCharType="end"/>
        </w:r>
      </w:hyperlink>
    </w:p>
    <w:p w:rsidR="00BC7E01" w:rsidRDefault="00BC7E01">
      <w:pPr>
        <w:pStyle w:val="TOC1"/>
        <w:rPr>
          <w:rFonts w:asciiTheme="minorHAnsi" w:eastAsiaTheme="minorEastAsia" w:hAnsiTheme="minorHAnsi" w:cstheme="minorBidi"/>
          <w:caps w:val="0"/>
          <w:noProof/>
          <w:sz w:val="22"/>
          <w:szCs w:val="22"/>
        </w:rPr>
      </w:pPr>
      <w:hyperlink w:anchor="_Toc478464895" w:history="1">
        <w:r w:rsidRPr="00A57EFD">
          <w:rPr>
            <w:rStyle w:val="Hyperlink"/>
            <w:rFonts w:cs="Arial"/>
            <w:noProof/>
          </w:rPr>
          <w:t xml:space="preserve">Evaluation report by the WIPO Internal Oversight Division </w:t>
        </w:r>
        <w:r w:rsidRPr="00A57EFD">
          <w:rPr>
            <w:rStyle w:val="Hyperlink"/>
            <w:noProof/>
          </w:rPr>
          <w:t>(IOD)</w:t>
        </w:r>
        <w:r>
          <w:rPr>
            <w:noProof/>
            <w:webHidden/>
          </w:rPr>
          <w:tab/>
        </w:r>
        <w:r>
          <w:rPr>
            <w:noProof/>
            <w:webHidden/>
          </w:rPr>
          <w:fldChar w:fldCharType="begin"/>
        </w:r>
        <w:r>
          <w:rPr>
            <w:noProof/>
            <w:webHidden/>
          </w:rPr>
          <w:instrText xml:space="preserve"> PAGEREF _Toc478464895 \h </w:instrText>
        </w:r>
        <w:r>
          <w:rPr>
            <w:noProof/>
            <w:webHidden/>
          </w:rPr>
        </w:r>
        <w:r>
          <w:rPr>
            <w:noProof/>
            <w:webHidden/>
          </w:rPr>
          <w:fldChar w:fldCharType="separate"/>
        </w:r>
        <w:r>
          <w:rPr>
            <w:noProof/>
            <w:webHidden/>
          </w:rPr>
          <w:t>4</w:t>
        </w:r>
        <w:r>
          <w:rPr>
            <w:noProof/>
            <w:webHidden/>
          </w:rPr>
          <w:fldChar w:fldCharType="end"/>
        </w:r>
      </w:hyperlink>
    </w:p>
    <w:p w:rsidR="00BC7E01" w:rsidRDefault="00BC7E01">
      <w:pPr>
        <w:pStyle w:val="TOC1"/>
        <w:rPr>
          <w:rFonts w:asciiTheme="minorHAnsi" w:eastAsiaTheme="minorEastAsia" w:hAnsiTheme="minorHAnsi" w:cstheme="minorBidi"/>
          <w:caps w:val="0"/>
          <w:noProof/>
          <w:sz w:val="22"/>
          <w:szCs w:val="22"/>
        </w:rPr>
      </w:pPr>
      <w:hyperlink w:anchor="_Toc478464896" w:history="1">
        <w:r w:rsidRPr="00A57EFD">
          <w:rPr>
            <w:rStyle w:val="Hyperlink"/>
            <w:noProof/>
          </w:rPr>
          <w:t>UPOV bodies and sessions</w:t>
        </w:r>
        <w:r>
          <w:rPr>
            <w:noProof/>
            <w:webHidden/>
          </w:rPr>
          <w:tab/>
        </w:r>
        <w:r>
          <w:rPr>
            <w:noProof/>
            <w:webHidden/>
          </w:rPr>
          <w:fldChar w:fldCharType="begin"/>
        </w:r>
        <w:r>
          <w:rPr>
            <w:noProof/>
            <w:webHidden/>
          </w:rPr>
          <w:instrText xml:space="preserve"> PAGEREF _Toc478464896 \h </w:instrText>
        </w:r>
        <w:r>
          <w:rPr>
            <w:noProof/>
            <w:webHidden/>
          </w:rPr>
        </w:r>
        <w:r>
          <w:rPr>
            <w:noProof/>
            <w:webHidden/>
          </w:rPr>
          <w:fldChar w:fldCharType="separate"/>
        </w:r>
        <w:r>
          <w:rPr>
            <w:noProof/>
            <w:webHidden/>
          </w:rPr>
          <w:t>4</w:t>
        </w:r>
        <w:r>
          <w:rPr>
            <w:noProof/>
            <w:webHidden/>
          </w:rPr>
          <w:fldChar w:fldCharType="end"/>
        </w:r>
      </w:hyperlink>
    </w:p>
    <w:p w:rsidR="00BC7E01" w:rsidRDefault="00BC7E01">
      <w:pPr>
        <w:pStyle w:val="TOC2"/>
        <w:rPr>
          <w:rFonts w:asciiTheme="minorHAnsi" w:eastAsiaTheme="minorEastAsia" w:hAnsiTheme="minorHAnsi" w:cstheme="minorBidi"/>
          <w:smallCaps w:val="0"/>
          <w:noProof/>
          <w:sz w:val="22"/>
          <w:szCs w:val="22"/>
        </w:rPr>
      </w:pPr>
      <w:hyperlink w:anchor="_Toc478464897" w:history="1">
        <w:r w:rsidRPr="00A57EFD">
          <w:rPr>
            <w:rStyle w:val="Hyperlink"/>
            <w:noProof/>
          </w:rPr>
          <w:t>President and Vice-President of the UPOV Council</w:t>
        </w:r>
        <w:r>
          <w:rPr>
            <w:noProof/>
            <w:webHidden/>
          </w:rPr>
          <w:tab/>
        </w:r>
        <w:r>
          <w:rPr>
            <w:noProof/>
            <w:webHidden/>
          </w:rPr>
          <w:fldChar w:fldCharType="begin"/>
        </w:r>
        <w:r>
          <w:rPr>
            <w:noProof/>
            <w:webHidden/>
          </w:rPr>
          <w:instrText xml:space="preserve"> PAGEREF _Toc478464897 \h </w:instrText>
        </w:r>
        <w:r>
          <w:rPr>
            <w:noProof/>
            <w:webHidden/>
          </w:rPr>
        </w:r>
        <w:r>
          <w:rPr>
            <w:noProof/>
            <w:webHidden/>
          </w:rPr>
          <w:fldChar w:fldCharType="separate"/>
        </w:r>
        <w:r>
          <w:rPr>
            <w:noProof/>
            <w:webHidden/>
          </w:rPr>
          <w:t>4</w:t>
        </w:r>
        <w:r>
          <w:rPr>
            <w:noProof/>
            <w:webHidden/>
          </w:rPr>
          <w:fldChar w:fldCharType="end"/>
        </w:r>
      </w:hyperlink>
    </w:p>
    <w:p w:rsidR="00BC7E01" w:rsidRDefault="00BC7E01">
      <w:pPr>
        <w:pStyle w:val="TOC2"/>
        <w:rPr>
          <w:rFonts w:asciiTheme="minorHAnsi" w:eastAsiaTheme="minorEastAsia" w:hAnsiTheme="minorHAnsi" w:cstheme="minorBidi"/>
          <w:smallCaps w:val="0"/>
          <w:noProof/>
          <w:sz w:val="22"/>
          <w:szCs w:val="22"/>
        </w:rPr>
      </w:pPr>
      <w:hyperlink w:anchor="_Toc478464898" w:history="1">
        <w:r w:rsidRPr="00A57EFD">
          <w:rPr>
            <w:rStyle w:val="Hyperlink"/>
            <w:noProof/>
          </w:rPr>
          <w:t>Chair and Vice-Chair of the Administrative and Legal Committee</w:t>
        </w:r>
        <w:r>
          <w:rPr>
            <w:noProof/>
            <w:webHidden/>
          </w:rPr>
          <w:tab/>
        </w:r>
        <w:r>
          <w:rPr>
            <w:noProof/>
            <w:webHidden/>
          </w:rPr>
          <w:fldChar w:fldCharType="begin"/>
        </w:r>
        <w:r>
          <w:rPr>
            <w:noProof/>
            <w:webHidden/>
          </w:rPr>
          <w:instrText xml:space="preserve"> PAGEREF _Toc478464898 \h </w:instrText>
        </w:r>
        <w:r>
          <w:rPr>
            <w:noProof/>
            <w:webHidden/>
          </w:rPr>
        </w:r>
        <w:r>
          <w:rPr>
            <w:noProof/>
            <w:webHidden/>
          </w:rPr>
          <w:fldChar w:fldCharType="separate"/>
        </w:r>
        <w:r>
          <w:rPr>
            <w:noProof/>
            <w:webHidden/>
          </w:rPr>
          <w:t>4</w:t>
        </w:r>
        <w:r>
          <w:rPr>
            <w:noProof/>
            <w:webHidden/>
          </w:rPr>
          <w:fldChar w:fldCharType="end"/>
        </w:r>
      </w:hyperlink>
    </w:p>
    <w:p w:rsidR="00BC7E01" w:rsidRDefault="00BC7E01">
      <w:pPr>
        <w:pStyle w:val="TOC2"/>
        <w:rPr>
          <w:rFonts w:asciiTheme="minorHAnsi" w:eastAsiaTheme="minorEastAsia" w:hAnsiTheme="minorHAnsi" w:cstheme="minorBidi"/>
          <w:smallCaps w:val="0"/>
          <w:noProof/>
          <w:sz w:val="22"/>
          <w:szCs w:val="22"/>
        </w:rPr>
      </w:pPr>
      <w:hyperlink w:anchor="_Toc478464899" w:history="1">
        <w:r w:rsidRPr="00A57EFD">
          <w:rPr>
            <w:rStyle w:val="Hyperlink"/>
            <w:noProof/>
          </w:rPr>
          <w:t>Chair and Vice-Chair of the Technical Committee</w:t>
        </w:r>
        <w:r>
          <w:rPr>
            <w:noProof/>
            <w:webHidden/>
          </w:rPr>
          <w:tab/>
        </w:r>
        <w:r>
          <w:rPr>
            <w:noProof/>
            <w:webHidden/>
          </w:rPr>
          <w:fldChar w:fldCharType="begin"/>
        </w:r>
        <w:r>
          <w:rPr>
            <w:noProof/>
            <w:webHidden/>
          </w:rPr>
          <w:instrText xml:space="preserve"> PAGEREF _Toc478464899 \h </w:instrText>
        </w:r>
        <w:r>
          <w:rPr>
            <w:noProof/>
            <w:webHidden/>
          </w:rPr>
        </w:r>
        <w:r>
          <w:rPr>
            <w:noProof/>
            <w:webHidden/>
          </w:rPr>
          <w:fldChar w:fldCharType="separate"/>
        </w:r>
        <w:r>
          <w:rPr>
            <w:noProof/>
            <w:webHidden/>
          </w:rPr>
          <w:t>5</w:t>
        </w:r>
        <w:r>
          <w:rPr>
            <w:noProof/>
            <w:webHidden/>
          </w:rPr>
          <w:fldChar w:fldCharType="end"/>
        </w:r>
      </w:hyperlink>
    </w:p>
    <w:p w:rsidR="00BC7E01" w:rsidRDefault="00BC7E01">
      <w:pPr>
        <w:pStyle w:val="TOC2"/>
        <w:rPr>
          <w:rFonts w:asciiTheme="minorHAnsi" w:eastAsiaTheme="minorEastAsia" w:hAnsiTheme="minorHAnsi" w:cstheme="minorBidi"/>
          <w:smallCaps w:val="0"/>
          <w:noProof/>
          <w:sz w:val="22"/>
          <w:szCs w:val="22"/>
        </w:rPr>
      </w:pPr>
      <w:hyperlink w:anchor="_Toc478464900" w:history="1">
        <w:r w:rsidRPr="00A57EFD">
          <w:rPr>
            <w:rStyle w:val="Hyperlink"/>
            <w:noProof/>
          </w:rPr>
          <w:t>Calendar of meetings</w:t>
        </w:r>
        <w:r>
          <w:rPr>
            <w:noProof/>
            <w:webHidden/>
          </w:rPr>
          <w:tab/>
        </w:r>
        <w:r>
          <w:rPr>
            <w:noProof/>
            <w:webHidden/>
          </w:rPr>
          <w:fldChar w:fldCharType="begin"/>
        </w:r>
        <w:r>
          <w:rPr>
            <w:noProof/>
            <w:webHidden/>
          </w:rPr>
          <w:instrText xml:space="preserve"> PAGEREF _Toc478464900 \h </w:instrText>
        </w:r>
        <w:r>
          <w:rPr>
            <w:noProof/>
            <w:webHidden/>
          </w:rPr>
        </w:r>
        <w:r>
          <w:rPr>
            <w:noProof/>
            <w:webHidden/>
          </w:rPr>
          <w:fldChar w:fldCharType="separate"/>
        </w:r>
        <w:r>
          <w:rPr>
            <w:noProof/>
            <w:webHidden/>
          </w:rPr>
          <w:t>5</w:t>
        </w:r>
        <w:r>
          <w:rPr>
            <w:noProof/>
            <w:webHidden/>
          </w:rPr>
          <w:fldChar w:fldCharType="end"/>
        </w:r>
      </w:hyperlink>
    </w:p>
    <w:p w:rsidR="00BC7E01" w:rsidRDefault="00BC7E01">
      <w:pPr>
        <w:pStyle w:val="TOC1"/>
        <w:rPr>
          <w:rFonts w:asciiTheme="minorHAnsi" w:eastAsiaTheme="minorEastAsia" w:hAnsiTheme="minorHAnsi" w:cstheme="minorBidi"/>
          <w:caps w:val="0"/>
          <w:noProof/>
          <w:sz w:val="22"/>
          <w:szCs w:val="22"/>
        </w:rPr>
      </w:pPr>
      <w:hyperlink w:anchor="_Toc478464901" w:history="1">
        <w:r w:rsidRPr="00A57EFD">
          <w:rPr>
            <w:rStyle w:val="Hyperlink"/>
            <w:noProof/>
          </w:rPr>
          <w:t>UPOV Collection</w:t>
        </w:r>
        <w:r>
          <w:rPr>
            <w:noProof/>
            <w:webHidden/>
          </w:rPr>
          <w:tab/>
        </w:r>
        <w:r>
          <w:rPr>
            <w:noProof/>
            <w:webHidden/>
          </w:rPr>
          <w:fldChar w:fldCharType="begin"/>
        </w:r>
        <w:r>
          <w:rPr>
            <w:noProof/>
            <w:webHidden/>
          </w:rPr>
          <w:instrText xml:space="preserve"> PAGEREF _Toc478464901 \h </w:instrText>
        </w:r>
        <w:r>
          <w:rPr>
            <w:noProof/>
            <w:webHidden/>
          </w:rPr>
        </w:r>
        <w:r>
          <w:rPr>
            <w:noProof/>
            <w:webHidden/>
          </w:rPr>
          <w:fldChar w:fldCharType="separate"/>
        </w:r>
        <w:r>
          <w:rPr>
            <w:noProof/>
            <w:webHidden/>
          </w:rPr>
          <w:t>6</w:t>
        </w:r>
        <w:r>
          <w:rPr>
            <w:noProof/>
            <w:webHidden/>
          </w:rPr>
          <w:fldChar w:fldCharType="end"/>
        </w:r>
      </w:hyperlink>
    </w:p>
    <w:p w:rsidR="00BC7E01" w:rsidRDefault="00BC7E01">
      <w:pPr>
        <w:pStyle w:val="TOC2"/>
        <w:rPr>
          <w:rFonts w:asciiTheme="minorHAnsi" w:eastAsiaTheme="minorEastAsia" w:hAnsiTheme="minorHAnsi" w:cstheme="minorBidi"/>
          <w:smallCaps w:val="0"/>
          <w:noProof/>
          <w:sz w:val="22"/>
          <w:szCs w:val="22"/>
        </w:rPr>
      </w:pPr>
      <w:hyperlink w:anchor="_Toc478464902" w:history="1">
        <w:r w:rsidRPr="00A57EFD">
          <w:rPr>
            <w:rStyle w:val="Hyperlink"/>
            <w:noProof/>
          </w:rPr>
          <w:t>Adoption of documents</w:t>
        </w:r>
        <w:r>
          <w:rPr>
            <w:noProof/>
            <w:webHidden/>
          </w:rPr>
          <w:tab/>
        </w:r>
        <w:r>
          <w:rPr>
            <w:noProof/>
            <w:webHidden/>
          </w:rPr>
          <w:fldChar w:fldCharType="begin"/>
        </w:r>
        <w:r>
          <w:rPr>
            <w:noProof/>
            <w:webHidden/>
          </w:rPr>
          <w:instrText xml:space="preserve"> PAGEREF _Toc478464902 \h </w:instrText>
        </w:r>
        <w:r>
          <w:rPr>
            <w:noProof/>
            <w:webHidden/>
          </w:rPr>
        </w:r>
        <w:r>
          <w:rPr>
            <w:noProof/>
            <w:webHidden/>
          </w:rPr>
          <w:fldChar w:fldCharType="separate"/>
        </w:r>
        <w:r>
          <w:rPr>
            <w:noProof/>
            <w:webHidden/>
          </w:rPr>
          <w:t>6</w:t>
        </w:r>
        <w:r>
          <w:rPr>
            <w:noProof/>
            <w:webHidden/>
          </w:rPr>
          <w:fldChar w:fldCharType="end"/>
        </w:r>
      </w:hyperlink>
    </w:p>
    <w:p w:rsidR="00BC7E01" w:rsidRDefault="00BC7E01">
      <w:pPr>
        <w:pStyle w:val="TOC2"/>
        <w:rPr>
          <w:rFonts w:asciiTheme="minorHAnsi" w:eastAsiaTheme="minorEastAsia" w:hAnsiTheme="minorHAnsi" w:cstheme="minorBidi"/>
          <w:smallCaps w:val="0"/>
          <w:noProof/>
          <w:sz w:val="22"/>
          <w:szCs w:val="22"/>
        </w:rPr>
      </w:pPr>
      <w:hyperlink w:anchor="_Toc478464903" w:history="1">
        <w:r w:rsidRPr="00A57EFD">
          <w:rPr>
            <w:rStyle w:val="Hyperlink"/>
            <w:noProof/>
          </w:rPr>
          <w:t>Matters to be considered by the Administrative and Legal Committee</w:t>
        </w:r>
        <w:r>
          <w:rPr>
            <w:noProof/>
            <w:webHidden/>
          </w:rPr>
          <w:tab/>
        </w:r>
        <w:r>
          <w:rPr>
            <w:noProof/>
            <w:webHidden/>
          </w:rPr>
          <w:fldChar w:fldCharType="begin"/>
        </w:r>
        <w:r>
          <w:rPr>
            <w:noProof/>
            <w:webHidden/>
          </w:rPr>
          <w:instrText xml:space="preserve"> PAGEREF _Toc478464903 \h </w:instrText>
        </w:r>
        <w:r>
          <w:rPr>
            <w:noProof/>
            <w:webHidden/>
          </w:rPr>
        </w:r>
        <w:r>
          <w:rPr>
            <w:noProof/>
            <w:webHidden/>
          </w:rPr>
          <w:fldChar w:fldCharType="separate"/>
        </w:r>
        <w:r>
          <w:rPr>
            <w:noProof/>
            <w:webHidden/>
          </w:rPr>
          <w:t>6</w:t>
        </w:r>
        <w:r>
          <w:rPr>
            <w:noProof/>
            <w:webHidden/>
          </w:rPr>
          <w:fldChar w:fldCharType="end"/>
        </w:r>
      </w:hyperlink>
    </w:p>
    <w:p w:rsidR="00BC7E01" w:rsidRDefault="00BC7E01">
      <w:pPr>
        <w:pStyle w:val="TOC1"/>
        <w:rPr>
          <w:rFonts w:asciiTheme="minorHAnsi" w:eastAsiaTheme="minorEastAsia" w:hAnsiTheme="minorHAnsi" w:cstheme="minorBidi"/>
          <w:caps w:val="0"/>
          <w:noProof/>
          <w:sz w:val="22"/>
          <w:szCs w:val="22"/>
        </w:rPr>
      </w:pPr>
      <w:hyperlink w:anchor="_Toc478464904" w:history="1">
        <w:r w:rsidRPr="00A57EFD">
          <w:rPr>
            <w:rStyle w:val="Hyperlink"/>
            <w:noProof/>
          </w:rPr>
          <w:t>Observers in UPOV Bodies</w:t>
        </w:r>
        <w:r>
          <w:rPr>
            <w:noProof/>
            <w:webHidden/>
          </w:rPr>
          <w:tab/>
        </w:r>
        <w:r>
          <w:rPr>
            <w:noProof/>
            <w:webHidden/>
          </w:rPr>
          <w:fldChar w:fldCharType="begin"/>
        </w:r>
        <w:r>
          <w:rPr>
            <w:noProof/>
            <w:webHidden/>
          </w:rPr>
          <w:instrText xml:space="preserve"> PAGEREF _Toc478464904 \h </w:instrText>
        </w:r>
        <w:r>
          <w:rPr>
            <w:noProof/>
            <w:webHidden/>
          </w:rPr>
        </w:r>
        <w:r>
          <w:rPr>
            <w:noProof/>
            <w:webHidden/>
          </w:rPr>
          <w:fldChar w:fldCharType="separate"/>
        </w:r>
        <w:r>
          <w:rPr>
            <w:noProof/>
            <w:webHidden/>
          </w:rPr>
          <w:t>7</w:t>
        </w:r>
        <w:r>
          <w:rPr>
            <w:noProof/>
            <w:webHidden/>
          </w:rPr>
          <w:fldChar w:fldCharType="end"/>
        </w:r>
      </w:hyperlink>
    </w:p>
    <w:p w:rsidR="00BC7E01" w:rsidRDefault="00BC7E01">
      <w:pPr>
        <w:pStyle w:val="TOC1"/>
        <w:rPr>
          <w:rFonts w:asciiTheme="minorHAnsi" w:eastAsiaTheme="minorEastAsia" w:hAnsiTheme="minorHAnsi" w:cstheme="minorBidi"/>
          <w:caps w:val="0"/>
          <w:noProof/>
          <w:sz w:val="22"/>
          <w:szCs w:val="22"/>
        </w:rPr>
      </w:pPr>
      <w:hyperlink w:anchor="_Toc478464905" w:history="1">
        <w:r w:rsidRPr="00A57EFD">
          <w:rPr>
            <w:rStyle w:val="Hyperlink"/>
            <w:noProof/>
          </w:rPr>
          <w:t>Communication strategy</w:t>
        </w:r>
        <w:r>
          <w:rPr>
            <w:noProof/>
            <w:webHidden/>
          </w:rPr>
          <w:tab/>
        </w:r>
        <w:r>
          <w:rPr>
            <w:noProof/>
            <w:webHidden/>
          </w:rPr>
          <w:fldChar w:fldCharType="begin"/>
        </w:r>
        <w:r>
          <w:rPr>
            <w:noProof/>
            <w:webHidden/>
          </w:rPr>
          <w:instrText xml:space="preserve"> PAGEREF _Toc478464905 \h </w:instrText>
        </w:r>
        <w:r>
          <w:rPr>
            <w:noProof/>
            <w:webHidden/>
          </w:rPr>
        </w:r>
        <w:r>
          <w:rPr>
            <w:noProof/>
            <w:webHidden/>
          </w:rPr>
          <w:fldChar w:fldCharType="separate"/>
        </w:r>
        <w:r>
          <w:rPr>
            <w:noProof/>
            <w:webHidden/>
          </w:rPr>
          <w:t>7</w:t>
        </w:r>
        <w:r>
          <w:rPr>
            <w:noProof/>
            <w:webHidden/>
          </w:rPr>
          <w:fldChar w:fldCharType="end"/>
        </w:r>
      </w:hyperlink>
    </w:p>
    <w:p w:rsidR="00BC7E01" w:rsidRDefault="00BC7E01">
      <w:pPr>
        <w:pStyle w:val="TOC2"/>
        <w:rPr>
          <w:rFonts w:asciiTheme="minorHAnsi" w:eastAsiaTheme="minorEastAsia" w:hAnsiTheme="minorHAnsi" w:cstheme="minorBidi"/>
          <w:smallCaps w:val="0"/>
          <w:noProof/>
          <w:sz w:val="22"/>
          <w:szCs w:val="22"/>
        </w:rPr>
      </w:pPr>
      <w:hyperlink w:anchor="_Toc478464906" w:history="1">
        <w:r w:rsidRPr="00A57EFD">
          <w:rPr>
            <w:rStyle w:val="Hyperlink"/>
            <w:noProof/>
          </w:rPr>
          <w:t>New UPOV Logo and updated website</w:t>
        </w:r>
        <w:r>
          <w:rPr>
            <w:noProof/>
            <w:webHidden/>
          </w:rPr>
          <w:tab/>
        </w:r>
        <w:r>
          <w:rPr>
            <w:noProof/>
            <w:webHidden/>
          </w:rPr>
          <w:fldChar w:fldCharType="begin"/>
        </w:r>
        <w:r>
          <w:rPr>
            <w:noProof/>
            <w:webHidden/>
          </w:rPr>
          <w:instrText xml:space="preserve"> PAGEREF _Toc478464906 \h </w:instrText>
        </w:r>
        <w:r>
          <w:rPr>
            <w:noProof/>
            <w:webHidden/>
          </w:rPr>
        </w:r>
        <w:r>
          <w:rPr>
            <w:noProof/>
            <w:webHidden/>
          </w:rPr>
          <w:fldChar w:fldCharType="separate"/>
        </w:r>
        <w:r>
          <w:rPr>
            <w:noProof/>
            <w:webHidden/>
          </w:rPr>
          <w:t>7</w:t>
        </w:r>
        <w:r>
          <w:rPr>
            <w:noProof/>
            <w:webHidden/>
          </w:rPr>
          <w:fldChar w:fldCharType="end"/>
        </w:r>
      </w:hyperlink>
    </w:p>
    <w:p w:rsidR="00BC7E01" w:rsidRDefault="00BC7E01">
      <w:pPr>
        <w:pStyle w:val="TOC2"/>
        <w:rPr>
          <w:rFonts w:asciiTheme="minorHAnsi" w:eastAsiaTheme="minorEastAsia" w:hAnsiTheme="minorHAnsi" w:cstheme="minorBidi"/>
          <w:smallCaps w:val="0"/>
          <w:noProof/>
          <w:sz w:val="22"/>
          <w:szCs w:val="22"/>
        </w:rPr>
      </w:pPr>
      <w:hyperlink w:anchor="_Toc478464907" w:history="1">
        <w:r w:rsidRPr="00A57EFD">
          <w:rPr>
            <w:rStyle w:val="Hyperlink"/>
            <w:noProof/>
          </w:rPr>
          <w:t>FAQs</w:t>
        </w:r>
        <w:r>
          <w:rPr>
            <w:noProof/>
            <w:webHidden/>
          </w:rPr>
          <w:tab/>
        </w:r>
        <w:r>
          <w:rPr>
            <w:noProof/>
            <w:webHidden/>
          </w:rPr>
          <w:fldChar w:fldCharType="begin"/>
        </w:r>
        <w:r>
          <w:rPr>
            <w:noProof/>
            <w:webHidden/>
          </w:rPr>
          <w:instrText xml:space="preserve"> PAGEREF _Toc478464907 \h </w:instrText>
        </w:r>
        <w:r>
          <w:rPr>
            <w:noProof/>
            <w:webHidden/>
          </w:rPr>
        </w:r>
        <w:r>
          <w:rPr>
            <w:noProof/>
            <w:webHidden/>
          </w:rPr>
          <w:fldChar w:fldCharType="separate"/>
        </w:r>
        <w:r>
          <w:rPr>
            <w:noProof/>
            <w:webHidden/>
          </w:rPr>
          <w:t>7</w:t>
        </w:r>
        <w:r>
          <w:rPr>
            <w:noProof/>
            <w:webHidden/>
          </w:rPr>
          <w:fldChar w:fldCharType="end"/>
        </w:r>
      </w:hyperlink>
    </w:p>
    <w:p w:rsidR="00BC7E01" w:rsidRDefault="00BC7E01">
      <w:pPr>
        <w:pStyle w:val="TOC2"/>
        <w:rPr>
          <w:rFonts w:asciiTheme="minorHAnsi" w:eastAsiaTheme="minorEastAsia" w:hAnsiTheme="minorHAnsi" w:cstheme="minorBidi"/>
          <w:smallCaps w:val="0"/>
          <w:noProof/>
          <w:sz w:val="22"/>
          <w:szCs w:val="22"/>
        </w:rPr>
      </w:pPr>
      <w:hyperlink w:anchor="_Toc478464908" w:history="1">
        <w:r w:rsidRPr="00A57EFD">
          <w:rPr>
            <w:rStyle w:val="Hyperlink"/>
            <w:noProof/>
          </w:rPr>
          <w:t>Benefits of the UPOV System</w:t>
        </w:r>
        <w:r>
          <w:rPr>
            <w:noProof/>
            <w:webHidden/>
          </w:rPr>
          <w:tab/>
        </w:r>
        <w:r>
          <w:rPr>
            <w:noProof/>
            <w:webHidden/>
          </w:rPr>
          <w:fldChar w:fldCharType="begin"/>
        </w:r>
        <w:r>
          <w:rPr>
            <w:noProof/>
            <w:webHidden/>
          </w:rPr>
          <w:instrText xml:space="preserve"> PAGEREF _Toc478464908 \h </w:instrText>
        </w:r>
        <w:r>
          <w:rPr>
            <w:noProof/>
            <w:webHidden/>
          </w:rPr>
        </w:r>
        <w:r>
          <w:rPr>
            <w:noProof/>
            <w:webHidden/>
          </w:rPr>
          <w:fldChar w:fldCharType="separate"/>
        </w:r>
        <w:r>
          <w:rPr>
            <w:noProof/>
            <w:webHidden/>
          </w:rPr>
          <w:t>7</w:t>
        </w:r>
        <w:r>
          <w:rPr>
            <w:noProof/>
            <w:webHidden/>
          </w:rPr>
          <w:fldChar w:fldCharType="end"/>
        </w:r>
      </w:hyperlink>
    </w:p>
    <w:p w:rsidR="00BC7E01" w:rsidRDefault="00BC7E01">
      <w:pPr>
        <w:pStyle w:val="TOC2"/>
        <w:rPr>
          <w:rFonts w:asciiTheme="minorHAnsi" w:eastAsiaTheme="minorEastAsia" w:hAnsiTheme="minorHAnsi" w:cstheme="minorBidi"/>
          <w:smallCaps w:val="0"/>
          <w:noProof/>
          <w:sz w:val="22"/>
          <w:szCs w:val="22"/>
        </w:rPr>
      </w:pPr>
      <w:hyperlink w:anchor="_Toc478464909" w:history="1">
        <w:r w:rsidRPr="00A57EFD">
          <w:rPr>
            <w:rStyle w:val="Hyperlink"/>
            <w:noProof/>
          </w:rPr>
          <w:t>Distance learning courses</w:t>
        </w:r>
        <w:r>
          <w:rPr>
            <w:noProof/>
            <w:webHidden/>
          </w:rPr>
          <w:tab/>
        </w:r>
        <w:r>
          <w:rPr>
            <w:noProof/>
            <w:webHidden/>
          </w:rPr>
          <w:fldChar w:fldCharType="begin"/>
        </w:r>
        <w:r>
          <w:rPr>
            <w:noProof/>
            <w:webHidden/>
          </w:rPr>
          <w:instrText xml:space="preserve"> PAGEREF _Toc478464909 \h </w:instrText>
        </w:r>
        <w:r>
          <w:rPr>
            <w:noProof/>
            <w:webHidden/>
          </w:rPr>
        </w:r>
        <w:r>
          <w:rPr>
            <w:noProof/>
            <w:webHidden/>
          </w:rPr>
          <w:fldChar w:fldCharType="separate"/>
        </w:r>
        <w:r>
          <w:rPr>
            <w:noProof/>
            <w:webHidden/>
          </w:rPr>
          <w:t>8</w:t>
        </w:r>
        <w:r>
          <w:rPr>
            <w:noProof/>
            <w:webHidden/>
          </w:rPr>
          <w:fldChar w:fldCharType="end"/>
        </w:r>
      </w:hyperlink>
    </w:p>
    <w:p w:rsidR="00BC7E01" w:rsidRDefault="00BC7E01">
      <w:pPr>
        <w:pStyle w:val="TOC1"/>
        <w:rPr>
          <w:rFonts w:asciiTheme="minorHAnsi" w:eastAsiaTheme="minorEastAsia" w:hAnsiTheme="minorHAnsi" w:cstheme="minorBidi"/>
          <w:caps w:val="0"/>
          <w:noProof/>
          <w:sz w:val="22"/>
          <w:szCs w:val="22"/>
        </w:rPr>
      </w:pPr>
      <w:hyperlink w:anchor="_Toc478464910" w:history="1">
        <w:r w:rsidRPr="00A57EFD">
          <w:rPr>
            <w:rStyle w:val="Hyperlink"/>
            <w:noProof/>
          </w:rPr>
          <w:t>UPOV EAF</w:t>
        </w:r>
        <w:r>
          <w:rPr>
            <w:noProof/>
            <w:webHidden/>
          </w:rPr>
          <w:tab/>
        </w:r>
        <w:r>
          <w:rPr>
            <w:noProof/>
            <w:webHidden/>
          </w:rPr>
          <w:fldChar w:fldCharType="begin"/>
        </w:r>
        <w:r>
          <w:rPr>
            <w:noProof/>
            <w:webHidden/>
          </w:rPr>
          <w:instrText xml:space="preserve"> PAGEREF _Toc478464910 \h </w:instrText>
        </w:r>
        <w:r>
          <w:rPr>
            <w:noProof/>
            <w:webHidden/>
          </w:rPr>
        </w:r>
        <w:r>
          <w:rPr>
            <w:noProof/>
            <w:webHidden/>
          </w:rPr>
          <w:fldChar w:fldCharType="separate"/>
        </w:r>
        <w:r>
          <w:rPr>
            <w:noProof/>
            <w:webHidden/>
          </w:rPr>
          <w:t>8</w:t>
        </w:r>
        <w:r>
          <w:rPr>
            <w:noProof/>
            <w:webHidden/>
          </w:rPr>
          <w:fldChar w:fldCharType="end"/>
        </w:r>
      </w:hyperlink>
    </w:p>
    <w:p w:rsidR="00BC7E01" w:rsidRDefault="00BC7E01">
      <w:pPr>
        <w:pStyle w:val="TOC1"/>
        <w:rPr>
          <w:rFonts w:asciiTheme="minorHAnsi" w:eastAsiaTheme="minorEastAsia" w:hAnsiTheme="minorHAnsi" w:cstheme="minorBidi"/>
          <w:caps w:val="0"/>
          <w:noProof/>
          <w:sz w:val="22"/>
          <w:szCs w:val="22"/>
        </w:rPr>
      </w:pPr>
      <w:hyperlink w:anchor="_Toc478464911" w:history="1">
        <w:r w:rsidRPr="00A57EFD">
          <w:rPr>
            <w:rStyle w:val="Hyperlink"/>
            <w:noProof/>
          </w:rPr>
          <w:t>International System of Cooperation (ISC)</w:t>
        </w:r>
        <w:r>
          <w:rPr>
            <w:noProof/>
            <w:webHidden/>
          </w:rPr>
          <w:tab/>
        </w:r>
        <w:r>
          <w:rPr>
            <w:noProof/>
            <w:webHidden/>
          </w:rPr>
          <w:fldChar w:fldCharType="begin"/>
        </w:r>
        <w:r>
          <w:rPr>
            <w:noProof/>
            <w:webHidden/>
          </w:rPr>
          <w:instrText xml:space="preserve"> PAGEREF _Toc478464911 \h </w:instrText>
        </w:r>
        <w:r>
          <w:rPr>
            <w:noProof/>
            <w:webHidden/>
          </w:rPr>
        </w:r>
        <w:r>
          <w:rPr>
            <w:noProof/>
            <w:webHidden/>
          </w:rPr>
          <w:fldChar w:fldCharType="separate"/>
        </w:r>
        <w:r>
          <w:rPr>
            <w:noProof/>
            <w:webHidden/>
          </w:rPr>
          <w:t>8</w:t>
        </w:r>
        <w:r>
          <w:rPr>
            <w:noProof/>
            <w:webHidden/>
          </w:rPr>
          <w:fldChar w:fldCharType="end"/>
        </w:r>
      </w:hyperlink>
    </w:p>
    <w:p w:rsidR="00BC7E01" w:rsidRDefault="00BC7E01">
      <w:pPr>
        <w:pStyle w:val="TOC3"/>
        <w:rPr>
          <w:rFonts w:asciiTheme="minorHAnsi" w:eastAsiaTheme="minorEastAsia" w:hAnsiTheme="minorHAnsi" w:cstheme="minorBidi"/>
          <w:noProof/>
          <w:sz w:val="22"/>
          <w:szCs w:val="22"/>
          <w:lang w:val="en-US"/>
        </w:rPr>
      </w:pPr>
      <w:hyperlink w:anchor="_Toc478464912" w:history="1">
        <w:r w:rsidRPr="00A57EFD">
          <w:rPr>
            <w:rStyle w:val="Hyperlink"/>
            <w:noProof/>
            <w:snapToGrid w:val="0"/>
          </w:rPr>
          <w:t>Purpose</w:t>
        </w:r>
        <w:r>
          <w:rPr>
            <w:noProof/>
            <w:webHidden/>
          </w:rPr>
          <w:tab/>
        </w:r>
        <w:r>
          <w:rPr>
            <w:noProof/>
            <w:webHidden/>
          </w:rPr>
          <w:fldChar w:fldCharType="begin"/>
        </w:r>
        <w:r>
          <w:rPr>
            <w:noProof/>
            <w:webHidden/>
          </w:rPr>
          <w:instrText xml:space="preserve"> PAGEREF _Toc478464912 \h </w:instrText>
        </w:r>
        <w:r>
          <w:rPr>
            <w:noProof/>
            <w:webHidden/>
          </w:rPr>
        </w:r>
        <w:r>
          <w:rPr>
            <w:noProof/>
            <w:webHidden/>
          </w:rPr>
          <w:fldChar w:fldCharType="separate"/>
        </w:r>
        <w:r>
          <w:rPr>
            <w:noProof/>
            <w:webHidden/>
          </w:rPr>
          <w:t>8</w:t>
        </w:r>
        <w:r>
          <w:rPr>
            <w:noProof/>
            <w:webHidden/>
          </w:rPr>
          <w:fldChar w:fldCharType="end"/>
        </w:r>
      </w:hyperlink>
    </w:p>
    <w:p w:rsidR="00BC7E01" w:rsidRDefault="00BC7E01">
      <w:pPr>
        <w:pStyle w:val="TOC3"/>
        <w:rPr>
          <w:rFonts w:asciiTheme="minorHAnsi" w:eastAsiaTheme="minorEastAsia" w:hAnsiTheme="minorHAnsi" w:cstheme="minorBidi"/>
          <w:noProof/>
          <w:sz w:val="22"/>
          <w:szCs w:val="22"/>
          <w:lang w:val="en-US"/>
        </w:rPr>
      </w:pPr>
      <w:hyperlink w:anchor="_Toc478464913" w:history="1">
        <w:r w:rsidRPr="00A57EFD">
          <w:rPr>
            <w:rStyle w:val="Hyperlink"/>
            <w:noProof/>
            <w:snapToGrid w:val="0"/>
          </w:rPr>
          <w:t>Composition</w:t>
        </w:r>
        <w:r>
          <w:rPr>
            <w:noProof/>
            <w:webHidden/>
          </w:rPr>
          <w:tab/>
        </w:r>
        <w:r>
          <w:rPr>
            <w:noProof/>
            <w:webHidden/>
          </w:rPr>
          <w:fldChar w:fldCharType="begin"/>
        </w:r>
        <w:r>
          <w:rPr>
            <w:noProof/>
            <w:webHidden/>
          </w:rPr>
          <w:instrText xml:space="preserve"> PAGEREF _Toc478464913 \h </w:instrText>
        </w:r>
        <w:r>
          <w:rPr>
            <w:noProof/>
            <w:webHidden/>
          </w:rPr>
        </w:r>
        <w:r>
          <w:rPr>
            <w:noProof/>
            <w:webHidden/>
          </w:rPr>
          <w:fldChar w:fldCharType="separate"/>
        </w:r>
        <w:r>
          <w:rPr>
            <w:noProof/>
            <w:webHidden/>
          </w:rPr>
          <w:t>9</w:t>
        </w:r>
        <w:r>
          <w:rPr>
            <w:noProof/>
            <w:webHidden/>
          </w:rPr>
          <w:fldChar w:fldCharType="end"/>
        </w:r>
      </w:hyperlink>
    </w:p>
    <w:p w:rsidR="00BC7E01" w:rsidRDefault="00BC7E01">
      <w:pPr>
        <w:pStyle w:val="TOC1"/>
        <w:rPr>
          <w:rFonts w:asciiTheme="minorHAnsi" w:eastAsiaTheme="minorEastAsia" w:hAnsiTheme="minorHAnsi" w:cstheme="minorBidi"/>
          <w:caps w:val="0"/>
          <w:noProof/>
          <w:sz w:val="22"/>
          <w:szCs w:val="22"/>
        </w:rPr>
      </w:pPr>
      <w:hyperlink w:anchor="_Toc478464914" w:history="1">
        <w:r w:rsidRPr="00A57EFD">
          <w:rPr>
            <w:rStyle w:val="Hyperlink"/>
            <w:noProof/>
          </w:rPr>
          <w:t>InterrelationS with the International Treaty on Plant Genetic Resources for Food and Agriculture (ITPGRFA)</w:t>
        </w:r>
        <w:r>
          <w:rPr>
            <w:noProof/>
            <w:webHidden/>
          </w:rPr>
          <w:tab/>
        </w:r>
        <w:r>
          <w:rPr>
            <w:noProof/>
            <w:webHidden/>
          </w:rPr>
          <w:fldChar w:fldCharType="begin"/>
        </w:r>
        <w:r>
          <w:rPr>
            <w:noProof/>
            <w:webHidden/>
          </w:rPr>
          <w:instrText xml:space="preserve"> PAGEREF _Toc478464914 \h </w:instrText>
        </w:r>
        <w:r>
          <w:rPr>
            <w:noProof/>
            <w:webHidden/>
          </w:rPr>
        </w:r>
        <w:r>
          <w:rPr>
            <w:noProof/>
            <w:webHidden/>
          </w:rPr>
          <w:fldChar w:fldCharType="separate"/>
        </w:r>
        <w:r>
          <w:rPr>
            <w:noProof/>
            <w:webHidden/>
          </w:rPr>
          <w:t>10</w:t>
        </w:r>
        <w:r>
          <w:rPr>
            <w:noProof/>
            <w:webHidden/>
          </w:rPr>
          <w:fldChar w:fldCharType="end"/>
        </w:r>
      </w:hyperlink>
    </w:p>
    <w:p w:rsidR="00BC7E01" w:rsidRDefault="00BC7E01">
      <w:pPr>
        <w:pStyle w:val="TOC1"/>
        <w:rPr>
          <w:rFonts w:asciiTheme="minorHAnsi" w:eastAsiaTheme="minorEastAsia" w:hAnsiTheme="minorHAnsi" w:cstheme="minorBidi"/>
          <w:caps w:val="0"/>
          <w:noProof/>
          <w:sz w:val="22"/>
          <w:szCs w:val="22"/>
        </w:rPr>
      </w:pPr>
      <w:hyperlink w:anchor="_Toc478464915" w:history="1">
        <w:r w:rsidRPr="00A57EFD">
          <w:rPr>
            <w:rStyle w:val="Hyperlink"/>
            <w:noProof/>
          </w:rPr>
          <w:t>SEMINAR ON PROPAGATING AND HARVESTED MATERIAL</w:t>
        </w:r>
        <w:r>
          <w:rPr>
            <w:noProof/>
            <w:webHidden/>
          </w:rPr>
          <w:tab/>
        </w:r>
        <w:r>
          <w:rPr>
            <w:noProof/>
            <w:webHidden/>
          </w:rPr>
          <w:fldChar w:fldCharType="begin"/>
        </w:r>
        <w:r>
          <w:rPr>
            <w:noProof/>
            <w:webHidden/>
          </w:rPr>
          <w:instrText xml:space="preserve"> PAGEREF _Toc478464915 \h </w:instrText>
        </w:r>
        <w:r>
          <w:rPr>
            <w:noProof/>
            <w:webHidden/>
          </w:rPr>
        </w:r>
        <w:r>
          <w:rPr>
            <w:noProof/>
            <w:webHidden/>
          </w:rPr>
          <w:fldChar w:fldCharType="separate"/>
        </w:r>
        <w:r>
          <w:rPr>
            <w:noProof/>
            <w:webHidden/>
          </w:rPr>
          <w:t>10</w:t>
        </w:r>
        <w:r>
          <w:rPr>
            <w:noProof/>
            <w:webHidden/>
          </w:rPr>
          <w:fldChar w:fldCharType="end"/>
        </w:r>
      </w:hyperlink>
    </w:p>
    <w:p w:rsidR="00454EC9" w:rsidRPr="00454EC9" w:rsidRDefault="00454EC9" w:rsidP="00454EC9">
      <w:r w:rsidRPr="00454EC9">
        <w:fldChar w:fldCharType="end"/>
      </w:r>
    </w:p>
    <w:p w:rsidR="00454EC9" w:rsidRPr="00454EC9" w:rsidRDefault="00454EC9" w:rsidP="00454EC9">
      <w:r w:rsidRPr="00454EC9">
        <w:br w:type="page"/>
      </w:r>
    </w:p>
    <w:p w:rsidR="00454EC9" w:rsidRPr="00454EC9" w:rsidRDefault="00454EC9" w:rsidP="00454EC9">
      <w:pPr>
        <w:pStyle w:val="Heading1"/>
      </w:pPr>
      <w:bookmarkStart w:id="6" w:name="_Toc478464887"/>
      <w:r w:rsidRPr="00454EC9">
        <w:lastRenderedPageBreak/>
        <w:t>MEMBERSHIP</w:t>
      </w:r>
      <w:bookmarkEnd w:id="6"/>
    </w:p>
    <w:p w:rsidR="00454EC9" w:rsidRPr="00454EC9" w:rsidRDefault="00454EC9" w:rsidP="00454EC9"/>
    <w:p w:rsidR="00454EC9" w:rsidRPr="00454EC9" w:rsidRDefault="00454EC9" w:rsidP="00454EC9">
      <w:pPr>
        <w:pStyle w:val="Heading2"/>
      </w:pPr>
      <w:bookmarkStart w:id="7" w:name="_Toc399960528"/>
      <w:bookmarkStart w:id="8" w:name="_Toc478464888"/>
      <w:r w:rsidRPr="00454EC9">
        <w:t>Members</w:t>
      </w:r>
      <w:bookmarkEnd w:id="7"/>
      <w:r w:rsidRPr="00454EC9">
        <w:t xml:space="preserve"> of the Union</w:t>
      </w:r>
      <w:bookmarkEnd w:id="8"/>
    </w:p>
    <w:p w:rsidR="00454EC9" w:rsidRPr="00454EC9" w:rsidRDefault="00454EC9" w:rsidP="00454EC9"/>
    <w:p w:rsidR="00454EC9" w:rsidRPr="00454EC9" w:rsidRDefault="00454EC9" w:rsidP="00454EC9">
      <w:r w:rsidRPr="00454EC9">
        <w:fldChar w:fldCharType="begin"/>
      </w:r>
      <w:r w:rsidRPr="00454EC9">
        <w:instrText xml:space="preserve"> AUTONUM  </w:instrText>
      </w:r>
      <w:r w:rsidRPr="00454EC9">
        <w:fldChar w:fldCharType="end"/>
      </w:r>
      <w:r w:rsidRPr="00454EC9">
        <w:tab/>
        <w:t xml:space="preserve">As of </w:t>
      </w:r>
      <w:r w:rsidRPr="00BC7E01">
        <w:t xml:space="preserve">March </w:t>
      </w:r>
      <w:r w:rsidR="008C5778" w:rsidRPr="00BC7E01">
        <w:t>2</w:t>
      </w:r>
      <w:r w:rsidR="00BC7E01">
        <w:t>8</w:t>
      </w:r>
      <w:r w:rsidRPr="00454EC9">
        <w:t>, 201</w:t>
      </w:r>
      <w:r w:rsidR="00D828DB">
        <w:t>7</w:t>
      </w:r>
      <w:r w:rsidRPr="00454EC9">
        <w:t>, th</w:t>
      </w:r>
      <w:r w:rsidRPr="00594218">
        <w:t xml:space="preserve">e </w:t>
      </w:r>
      <w:r w:rsidR="00DE16FF" w:rsidRPr="00594218">
        <w:t xml:space="preserve">74 </w:t>
      </w:r>
      <w:r w:rsidRPr="00594218">
        <w:t>mem</w:t>
      </w:r>
      <w:r w:rsidRPr="00454EC9">
        <w:t>bers of UPOV were:</w:t>
      </w:r>
    </w:p>
    <w:p w:rsidR="00454EC9" w:rsidRPr="00454EC9" w:rsidRDefault="00454EC9" w:rsidP="00454EC9"/>
    <w:p w:rsidR="00454EC9" w:rsidRPr="00454EC9" w:rsidRDefault="00454EC9" w:rsidP="00454EC9">
      <w:pPr>
        <w:ind w:left="567"/>
      </w:pPr>
      <w:r w:rsidRPr="00454EC9">
        <w:t>African Intellectual Property Organization, Albania, Argentina, Australia, Austria, Azerbaijan, Belarus, Belgium, Bolivia (Plurinational State of), Brazil, Bulgaria, Canada, Chile, China, Colombia, Costa Rica, Croatia, Czech Republic, Denmark, Dominican Republic, Ecuador, Estonia, European Union, Finland, France, Georgia, Germany, Hungary, Iceland, Ireland, Israel, Italy, Japan, Jordan, Kenya, Kyrgyzstan, Latvia, Lithuania, Mexico, Montenegro, Morocco, Netherlands, New Zealand, Nicaragua, Norway, Oman, Panama, Paraguay, Peru, Poland, Portugal, Republic of Korea, Republic of Moldova, Romania, Russian Federation, Serbia, Singapore, Slovakia, Slovenia, South Africa, Spain, Sweden, Switzerland, the former Yugoslav Republic of Macedonia, Trinidad and</w:t>
      </w:r>
      <w:r w:rsidR="00B635F9">
        <w:t> </w:t>
      </w:r>
      <w:r w:rsidRPr="00454EC9">
        <w:t>Tobago, Tunisia, Turkey, Ukraine, United Kingdom, United Republic of Tanzania, United States of America, Uruguay, Uzbekistan and Viet Nam.</w:t>
      </w:r>
    </w:p>
    <w:p w:rsidR="00454EC9" w:rsidRPr="00454EC9" w:rsidRDefault="00454EC9" w:rsidP="00454EC9"/>
    <w:p w:rsidR="00454EC9" w:rsidRPr="00454EC9" w:rsidRDefault="00454EC9" w:rsidP="00454EC9">
      <w:pPr>
        <w:pStyle w:val="Heading2"/>
      </w:pPr>
      <w:bookmarkStart w:id="9" w:name="_Toc399960529"/>
      <w:bookmarkStart w:id="10" w:name="_Toc478464889"/>
      <w:r w:rsidRPr="00454EC9">
        <w:t>Situation in relation to the various Acts of the Convention</w:t>
      </w:r>
      <w:bookmarkEnd w:id="9"/>
      <w:bookmarkEnd w:id="10"/>
    </w:p>
    <w:p w:rsidR="00454EC9" w:rsidRPr="00454EC9" w:rsidRDefault="00454EC9" w:rsidP="00454EC9"/>
    <w:p w:rsidR="00454EC9" w:rsidRPr="00454EC9" w:rsidRDefault="00454EC9" w:rsidP="00454EC9">
      <w:r w:rsidRPr="00454EC9">
        <w:fldChar w:fldCharType="begin"/>
      </w:r>
      <w:r w:rsidRPr="00454EC9">
        <w:instrText xml:space="preserve"> AUTONUM  </w:instrText>
      </w:r>
      <w:r w:rsidRPr="00454EC9">
        <w:fldChar w:fldCharType="end"/>
      </w:r>
      <w:r w:rsidRPr="00454EC9">
        <w:tab/>
      </w:r>
      <w:r w:rsidR="00B635F9">
        <w:t>Kenya</w:t>
      </w:r>
      <w:r w:rsidRPr="00454EC9">
        <w:t xml:space="preserve">, which was already a member of UPOV, deposited its instrument of </w:t>
      </w:r>
      <w:r w:rsidR="008C5778">
        <w:t>accession</w:t>
      </w:r>
      <w:r w:rsidRPr="00454EC9">
        <w:t xml:space="preserve"> </w:t>
      </w:r>
      <w:r w:rsidR="008C5778">
        <w:t>to</w:t>
      </w:r>
      <w:r w:rsidRPr="00454EC9">
        <w:t xml:space="preserve"> the 1991 Act of the International Convention for the Protection of New Varieties of Plants on </w:t>
      </w:r>
      <w:r w:rsidR="00B635F9">
        <w:t>April 11, 2016</w:t>
      </w:r>
      <w:r w:rsidRPr="00454EC9">
        <w:t>.</w:t>
      </w:r>
      <w:r w:rsidR="008C5778">
        <w:t xml:space="preserve">  Kenya became bond by the 1991 Act on May 11, 2016. </w:t>
      </w:r>
    </w:p>
    <w:p w:rsidR="00454EC9" w:rsidRPr="00454EC9" w:rsidRDefault="00454EC9" w:rsidP="00454EC9"/>
    <w:p w:rsidR="00454EC9" w:rsidRPr="00454EC9" w:rsidRDefault="00454EC9" w:rsidP="00454EC9">
      <w:r w:rsidRPr="00454EC9">
        <w:fldChar w:fldCharType="begin"/>
      </w:r>
      <w:r w:rsidRPr="00454EC9">
        <w:instrText xml:space="preserve"> AUTONUM  </w:instrText>
      </w:r>
      <w:r w:rsidRPr="00454EC9">
        <w:fldChar w:fldCharType="end"/>
      </w:r>
      <w:r w:rsidRPr="00454EC9">
        <w:tab/>
        <w:t>As o</w:t>
      </w:r>
      <w:r w:rsidRPr="00BC7E01">
        <w:t xml:space="preserve">f March </w:t>
      </w:r>
      <w:r w:rsidR="008C5778" w:rsidRPr="00BC7E01">
        <w:t>2</w:t>
      </w:r>
      <w:r w:rsidR="00BC7E01" w:rsidRPr="00BC7E01">
        <w:t>8</w:t>
      </w:r>
      <w:r w:rsidRPr="00BC7E01">
        <w:t>,</w:t>
      </w:r>
      <w:r w:rsidRPr="00454EC9">
        <w:t xml:space="preserve"> 201</w:t>
      </w:r>
      <w:r w:rsidR="00B635F9" w:rsidRPr="00594218">
        <w:t>7</w:t>
      </w:r>
      <w:r w:rsidR="00DE16FF" w:rsidRPr="00594218">
        <w:t xml:space="preserve"> (see </w:t>
      </w:r>
      <w:hyperlink r:id="rId10" w:history="1">
        <w:r w:rsidR="00DE16FF" w:rsidRPr="00594218">
          <w:rPr>
            <w:rStyle w:val="Hyperlink"/>
          </w:rPr>
          <w:t>http://www.upov.int/members/en/</w:t>
        </w:r>
      </w:hyperlink>
      <w:r w:rsidR="00DE16FF" w:rsidRPr="00594218">
        <w:t>)</w:t>
      </w:r>
      <w:r w:rsidRPr="00594218">
        <w:t>:</w:t>
      </w:r>
    </w:p>
    <w:p w:rsidR="00454EC9" w:rsidRPr="00454EC9" w:rsidRDefault="00454EC9" w:rsidP="00454EC9"/>
    <w:p w:rsidR="00454EC9" w:rsidRPr="00454EC9" w:rsidRDefault="00454EC9" w:rsidP="00454EC9">
      <w:pPr>
        <w:numPr>
          <w:ilvl w:val="0"/>
          <w:numId w:val="2"/>
        </w:numPr>
      </w:pPr>
      <w:r w:rsidRPr="00454EC9">
        <w:t>5</w:t>
      </w:r>
      <w:r w:rsidR="00B635F9">
        <w:t>6</w:t>
      </w:r>
      <w:r w:rsidRPr="00454EC9">
        <w:t xml:space="preserve"> members were bound by the 1991 Act</w:t>
      </w:r>
    </w:p>
    <w:p w:rsidR="00454EC9" w:rsidRPr="00454EC9" w:rsidRDefault="00454EC9" w:rsidP="00454EC9">
      <w:pPr>
        <w:numPr>
          <w:ilvl w:val="0"/>
          <w:numId w:val="2"/>
        </w:numPr>
      </w:pPr>
      <w:r w:rsidRPr="00454EC9">
        <w:t>1</w:t>
      </w:r>
      <w:r w:rsidR="00B635F9">
        <w:t>7</w:t>
      </w:r>
      <w:r w:rsidRPr="00454EC9">
        <w:t xml:space="preserve"> members were bound by the 1978 Act</w:t>
      </w:r>
    </w:p>
    <w:p w:rsidR="00454EC9" w:rsidRPr="00454EC9" w:rsidRDefault="00454EC9" w:rsidP="00454EC9">
      <w:pPr>
        <w:numPr>
          <w:ilvl w:val="0"/>
          <w:numId w:val="2"/>
        </w:numPr>
      </w:pPr>
      <w:r w:rsidRPr="00454EC9">
        <w:t xml:space="preserve">one member was bound by the 1961 Convention as amended by the 1972 Act </w:t>
      </w:r>
    </w:p>
    <w:p w:rsidR="00454EC9" w:rsidRPr="00454EC9" w:rsidRDefault="00454EC9" w:rsidP="00454EC9"/>
    <w:p w:rsidR="00454EC9" w:rsidRPr="00454EC9" w:rsidRDefault="00454EC9" w:rsidP="00454EC9"/>
    <w:p w:rsidR="00454EC9" w:rsidRPr="00454EC9" w:rsidRDefault="00454EC9" w:rsidP="00454EC9">
      <w:pPr>
        <w:pStyle w:val="Heading1"/>
      </w:pPr>
      <w:bookmarkStart w:id="11" w:name="_Toc381174857"/>
      <w:bookmarkStart w:id="12" w:name="_Toc478464890"/>
      <w:r w:rsidRPr="00454EC9">
        <w:t>Statistics on Plant Variety Protection</w:t>
      </w:r>
      <w:bookmarkEnd w:id="11"/>
      <w:bookmarkEnd w:id="12"/>
    </w:p>
    <w:p w:rsidR="00454EC9" w:rsidRPr="00454EC9" w:rsidRDefault="00454EC9" w:rsidP="00454EC9"/>
    <w:p w:rsidR="00454EC9" w:rsidRDefault="00454EC9" w:rsidP="00454EC9">
      <w:pPr>
        <w:pStyle w:val="Heading2"/>
      </w:pPr>
      <w:bookmarkStart w:id="13" w:name="_Toc381174858"/>
      <w:bookmarkStart w:id="14" w:name="_Toc478464891"/>
      <w:r w:rsidRPr="00454EC9">
        <w:t>List of the taxa protected by the members of the Union</w:t>
      </w:r>
      <w:bookmarkEnd w:id="14"/>
    </w:p>
    <w:p w:rsidR="00454EC9" w:rsidRPr="00454EC9" w:rsidRDefault="00B635F9" w:rsidP="00454EC9">
      <w:r>
        <w:t>(</w:t>
      </w:r>
      <w:proofErr w:type="gramStart"/>
      <w:r>
        <w:t>see</w:t>
      </w:r>
      <w:proofErr w:type="gramEnd"/>
      <w:r>
        <w:t xml:space="preserve"> document C/50</w:t>
      </w:r>
      <w:r w:rsidR="00454EC9" w:rsidRPr="00454EC9">
        <w:t>/6</w:t>
      </w:r>
      <w:r>
        <w:t xml:space="preserve"> </w:t>
      </w:r>
      <w:r w:rsidRPr="00B635F9">
        <w:t>Corr</w:t>
      </w:r>
      <w:r>
        <w:t>.</w:t>
      </w:r>
      <w:r w:rsidR="00454EC9" w:rsidRPr="00454EC9">
        <w:t xml:space="preserve"> “List of the Taxa Protected by the Members of the Union”)</w:t>
      </w:r>
    </w:p>
    <w:p w:rsidR="00454EC9" w:rsidRPr="00454EC9" w:rsidRDefault="00454EC9" w:rsidP="00454EC9"/>
    <w:p w:rsidR="00454EC9" w:rsidRPr="00454EC9" w:rsidRDefault="00454EC9" w:rsidP="00454EC9">
      <w:r w:rsidRPr="00454EC9">
        <w:fldChar w:fldCharType="begin"/>
      </w:r>
      <w:r w:rsidRPr="00454EC9">
        <w:instrText xml:space="preserve"> AUTONUM  </w:instrText>
      </w:r>
      <w:r w:rsidRPr="00454EC9">
        <w:fldChar w:fldCharType="end"/>
      </w:r>
      <w:r w:rsidRPr="00454EC9">
        <w:tab/>
      </w:r>
      <w:r w:rsidR="00B635F9">
        <w:t xml:space="preserve">A total of 61 members of the Union now offer protection to all plant genera and species (59 in 2015), with 13 members of the Union offering protection to a limited number of plant genera and species. Of those 13, five members (Brazil, China, Morocco, South Africa and Turkey) extended protection to additional plant genera and </w:t>
      </w:r>
      <w:r w:rsidR="00B635F9" w:rsidRPr="00594218">
        <w:t>species in 201</w:t>
      </w:r>
      <w:r w:rsidR="008C5778" w:rsidRPr="00594218">
        <w:t>6</w:t>
      </w:r>
      <w:r w:rsidRPr="00594218">
        <w:t>.</w:t>
      </w:r>
    </w:p>
    <w:p w:rsidR="00454EC9" w:rsidRPr="00454EC9" w:rsidRDefault="00454EC9" w:rsidP="00454EC9"/>
    <w:p w:rsidR="00454EC9" w:rsidRDefault="00454EC9" w:rsidP="00454EC9">
      <w:pPr>
        <w:pStyle w:val="Heading2"/>
      </w:pPr>
      <w:bookmarkStart w:id="15" w:name="_Toc381174859"/>
      <w:bookmarkStart w:id="16" w:name="_Toc478464892"/>
      <w:r w:rsidRPr="00454EC9">
        <w:t>Plant variety protection statistics</w:t>
      </w:r>
      <w:bookmarkEnd w:id="15"/>
      <w:bookmarkEnd w:id="16"/>
      <w:r w:rsidRPr="00454EC9">
        <w:t xml:space="preserve"> </w:t>
      </w:r>
    </w:p>
    <w:p w:rsidR="00454EC9" w:rsidRPr="00454EC9" w:rsidRDefault="00B635F9" w:rsidP="00454EC9">
      <w:r>
        <w:t>(</w:t>
      </w:r>
      <w:proofErr w:type="gramStart"/>
      <w:r>
        <w:t>see</w:t>
      </w:r>
      <w:proofErr w:type="gramEnd"/>
      <w:r>
        <w:t xml:space="preserve"> document C/50</w:t>
      </w:r>
      <w:r w:rsidR="00454EC9" w:rsidRPr="00454EC9">
        <w:t>/7 “Plant variety protection statistics for the period 201</w:t>
      </w:r>
      <w:r>
        <w:t>1</w:t>
      </w:r>
      <w:r w:rsidR="00454EC9" w:rsidRPr="00454EC9">
        <w:t>-201</w:t>
      </w:r>
      <w:r>
        <w:t>5</w:t>
      </w:r>
      <w:r w:rsidR="00454EC9" w:rsidRPr="00454EC9">
        <w:t>”)</w:t>
      </w:r>
    </w:p>
    <w:p w:rsidR="00454EC9" w:rsidRPr="00454EC9" w:rsidRDefault="00454EC9" w:rsidP="00454EC9"/>
    <w:p w:rsidR="00B635F9" w:rsidRDefault="00454EC9" w:rsidP="00B635F9">
      <w:pPr>
        <w:pStyle w:val="Default"/>
        <w:jc w:val="both"/>
        <w:rPr>
          <w:sz w:val="20"/>
          <w:szCs w:val="20"/>
        </w:rPr>
      </w:pPr>
      <w:r w:rsidRPr="00B635F9">
        <w:rPr>
          <w:sz w:val="20"/>
          <w:szCs w:val="20"/>
        </w:rPr>
        <w:fldChar w:fldCharType="begin"/>
      </w:r>
      <w:r w:rsidRPr="00B635F9">
        <w:rPr>
          <w:sz w:val="20"/>
          <w:szCs w:val="20"/>
        </w:rPr>
        <w:instrText xml:space="preserve"> AUTONUM  </w:instrText>
      </w:r>
      <w:r w:rsidRPr="00B635F9">
        <w:rPr>
          <w:sz w:val="20"/>
          <w:szCs w:val="20"/>
        </w:rPr>
        <w:fldChar w:fldCharType="end"/>
      </w:r>
      <w:r w:rsidR="00B635F9" w:rsidRPr="00B635F9">
        <w:rPr>
          <w:sz w:val="20"/>
          <w:szCs w:val="20"/>
        </w:rPr>
        <w:tab/>
      </w:r>
      <w:r w:rsidR="00B635F9">
        <w:rPr>
          <w:sz w:val="20"/>
          <w:szCs w:val="20"/>
        </w:rPr>
        <w:t xml:space="preserve">In </w:t>
      </w:r>
      <w:r w:rsidR="00B635F9" w:rsidRPr="00B635F9">
        <w:rPr>
          <w:sz w:val="20"/>
          <w:szCs w:val="20"/>
        </w:rPr>
        <w:t>2015, there was a 3.2 percent decrease in the number of applications for plant variety protection</w:t>
      </w:r>
      <w:r w:rsidR="00B635F9">
        <w:rPr>
          <w:sz w:val="20"/>
          <w:szCs w:val="20"/>
        </w:rPr>
        <w:t xml:space="preserve"> (15,017 in 2015; 15,511 in 2014), resulting from a 2.9 percent increase in the number of applications by residents (10,061 in 2015; 9,778 in 2014) and a 13.6 percent decrease in the number of applications by non-residents (4,956 in 2015; 5,733 in 2014). The number of titles granted increased from 11,566 in 2014 to 12,409 in 2015 (7.3 percent increase). </w:t>
      </w:r>
    </w:p>
    <w:p w:rsidR="00B635F9" w:rsidRDefault="00B635F9" w:rsidP="00B635F9">
      <w:pPr>
        <w:pStyle w:val="Default"/>
        <w:jc w:val="both"/>
        <w:rPr>
          <w:sz w:val="20"/>
          <w:szCs w:val="20"/>
        </w:rPr>
      </w:pPr>
    </w:p>
    <w:p w:rsidR="00454EC9" w:rsidRPr="00454EC9" w:rsidRDefault="000F4325" w:rsidP="00B635F9">
      <w:r w:rsidRPr="00B635F9">
        <w:fldChar w:fldCharType="begin"/>
      </w:r>
      <w:r w:rsidRPr="00B635F9">
        <w:instrText xml:space="preserve"> AUTONUM  </w:instrText>
      </w:r>
      <w:r w:rsidRPr="00B635F9">
        <w:fldChar w:fldCharType="end"/>
      </w:r>
      <w:r>
        <w:tab/>
      </w:r>
      <w:r w:rsidR="00B635F9">
        <w:t>The total of 107,232 titles in force in 2015 represented a 0.6 percent increase on figures for 2014 (106,575)</w:t>
      </w:r>
      <w:r w:rsidR="00454EC9" w:rsidRPr="00454EC9">
        <w:t>.</w:t>
      </w:r>
    </w:p>
    <w:p w:rsidR="00454EC9" w:rsidRDefault="00454EC9" w:rsidP="00B635F9"/>
    <w:p w:rsidR="00B635F9" w:rsidRDefault="00B635F9" w:rsidP="000F4325">
      <w:r w:rsidRPr="00B635F9">
        <w:fldChar w:fldCharType="begin"/>
      </w:r>
      <w:r w:rsidRPr="00B635F9">
        <w:instrText xml:space="preserve"> AUTONUM  </w:instrText>
      </w:r>
      <w:r w:rsidRPr="00B635F9">
        <w:fldChar w:fldCharType="end"/>
      </w:r>
      <w:r w:rsidR="000F4325">
        <w:tab/>
      </w:r>
      <w:r>
        <w:t>The Consultative Committee noted that, in cases where there were significant differences between the</w:t>
      </w:r>
      <w:r w:rsidR="000F4325">
        <w:t xml:space="preserve"> </w:t>
      </w:r>
      <w:r>
        <w:t>data in the PLUTO database and in document C/50/7, the Office of the Union would consult relevant</w:t>
      </w:r>
      <w:r w:rsidR="000F4325">
        <w:t xml:space="preserve"> </w:t>
      </w:r>
      <w:r>
        <w:t>members of the Union.</w:t>
      </w:r>
    </w:p>
    <w:p w:rsidR="00B635F9" w:rsidRDefault="00B635F9" w:rsidP="000F4325"/>
    <w:p w:rsidR="00B635F9" w:rsidRDefault="00B635F9" w:rsidP="000F4325">
      <w:r w:rsidRPr="00B635F9">
        <w:fldChar w:fldCharType="begin"/>
      </w:r>
      <w:r w:rsidRPr="00B635F9">
        <w:instrText xml:space="preserve"> AUTONUM  </w:instrText>
      </w:r>
      <w:r w:rsidRPr="00B635F9">
        <w:fldChar w:fldCharType="end"/>
      </w:r>
      <w:r w:rsidR="000F4325">
        <w:tab/>
      </w:r>
      <w:r>
        <w:t>The Consultative Committee noted that the Office of the Union would investigate the reason for the</w:t>
      </w:r>
      <w:r w:rsidR="000F4325">
        <w:t xml:space="preserve"> </w:t>
      </w:r>
      <w:r>
        <w:t>differences between years in relation to the completeness of data in the PLUTO database in terms of</w:t>
      </w:r>
      <w:r w:rsidR="000F4325">
        <w:t xml:space="preserve"> </w:t>
      </w:r>
      <w:r>
        <w:t>members of the Union providing data.</w:t>
      </w:r>
    </w:p>
    <w:p w:rsidR="008C5778" w:rsidRDefault="008C5778" w:rsidP="000F4325"/>
    <w:p w:rsidR="00B635F9" w:rsidRDefault="00B635F9" w:rsidP="000F4325">
      <w:r w:rsidRPr="00B635F9">
        <w:lastRenderedPageBreak/>
        <w:fldChar w:fldCharType="begin"/>
      </w:r>
      <w:r w:rsidRPr="00B635F9">
        <w:instrText xml:space="preserve"> AUTONUM  </w:instrText>
      </w:r>
      <w:r w:rsidRPr="00B635F9">
        <w:fldChar w:fldCharType="end"/>
      </w:r>
      <w:r w:rsidR="000F4325">
        <w:tab/>
      </w:r>
      <w:r w:rsidRPr="00BC7E01">
        <w:t>The Consultative Committee noted that the statistical analysis reported in document CC/92/12 would</w:t>
      </w:r>
      <w:r w:rsidR="000F4325" w:rsidRPr="00BC7E01">
        <w:t xml:space="preserve"> </w:t>
      </w:r>
      <w:r w:rsidRPr="00BC7E01">
        <w:t>be provided in future versions of document C</w:t>
      </w:r>
      <w:proofErr w:type="gramStart"/>
      <w:r w:rsidRPr="00BC7E01">
        <w:t>/[</w:t>
      </w:r>
      <w:proofErr w:type="gramEnd"/>
      <w:r w:rsidRPr="00BC7E01">
        <w:t>session]/7 “Plant variety protection statistics for the period</w:t>
      </w:r>
      <w:r w:rsidR="000F4325" w:rsidRPr="00BC7E01">
        <w:t xml:space="preserve"> </w:t>
      </w:r>
      <w:r w:rsidRPr="00BC7E01">
        <w:t>[</w:t>
      </w:r>
      <w:proofErr w:type="spellStart"/>
      <w:r w:rsidRPr="00BC7E01">
        <w:t>xxxx</w:t>
      </w:r>
      <w:proofErr w:type="spellEnd"/>
      <w:r w:rsidRPr="00BC7E01">
        <w:t>]-[</w:t>
      </w:r>
      <w:proofErr w:type="spellStart"/>
      <w:r w:rsidRPr="00BC7E01">
        <w:t>xxxx</w:t>
      </w:r>
      <w:proofErr w:type="spellEnd"/>
      <w:r w:rsidRPr="00BC7E01">
        <w:t>]”.</w:t>
      </w:r>
    </w:p>
    <w:p w:rsidR="008C5778" w:rsidRDefault="008C5778" w:rsidP="000F4325"/>
    <w:p w:rsidR="00454EC9" w:rsidRPr="00454EC9" w:rsidRDefault="00454EC9" w:rsidP="00454EC9">
      <w:pPr>
        <w:pStyle w:val="Heading2"/>
      </w:pPr>
      <w:bookmarkStart w:id="17" w:name="_Toc478464893"/>
      <w:r w:rsidRPr="00454EC9">
        <w:t>Cooperation in the examination of new plant varieties</w:t>
      </w:r>
      <w:bookmarkEnd w:id="17"/>
      <w:r w:rsidRPr="00454EC9">
        <w:t xml:space="preserve"> </w:t>
      </w:r>
    </w:p>
    <w:p w:rsidR="00454EC9" w:rsidRPr="00454EC9" w:rsidRDefault="00454EC9" w:rsidP="00454EC9"/>
    <w:p w:rsidR="00454EC9" w:rsidRPr="00454EC9" w:rsidRDefault="00454EC9" w:rsidP="00454EC9">
      <w:r w:rsidRPr="00454EC9">
        <w:fldChar w:fldCharType="begin"/>
      </w:r>
      <w:r w:rsidRPr="00454EC9">
        <w:instrText xml:space="preserve"> AUTONUM  </w:instrText>
      </w:r>
      <w:r w:rsidRPr="00454EC9">
        <w:fldChar w:fldCharType="end"/>
      </w:r>
      <w:r w:rsidRPr="00454EC9">
        <w:tab/>
      </w:r>
      <w:r w:rsidR="000F4325" w:rsidRPr="00B03035">
        <w:rPr>
          <w:spacing w:val="-2"/>
        </w:rPr>
        <w:t>In 2015, the number of plant genera and species for which there were agreements between members of the Union for cooperation in the examination of distinctness, uniformity and stability totaled 2,031, compared to 2,002 in 2014</w:t>
      </w:r>
      <w:r w:rsidRPr="00B03035">
        <w:rPr>
          <w:spacing w:val="-2"/>
        </w:rPr>
        <w:t>.</w:t>
      </w:r>
    </w:p>
    <w:p w:rsidR="00454EC9" w:rsidRPr="00454EC9" w:rsidRDefault="00454EC9" w:rsidP="00454EC9">
      <w:pPr>
        <w:rPr>
          <w:u w:val="single"/>
        </w:rPr>
      </w:pPr>
    </w:p>
    <w:bookmarkEnd w:id="13"/>
    <w:p w:rsidR="00454EC9" w:rsidRPr="00454EC9" w:rsidRDefault="00454EC9" w:rsidP="00454EC9"/>
    <w:p w:rsidR="00454EC9" w:rsidRPr="00454EC9" w:rsidRDefault="000F4325" w:rsidP="00454EC9">
      <w:pPr>
        <w:pStyle w:val="Heading1"/>
      </w:pPr>
      <w:bookmarkStart w:id="18" w:name="_Toc478464894"/>
      <w:r>
        <w:t>Annual report of the Secretary-General for 2015; Performance report for the 2014-2015 Biennium</w:t>
      </w:r>
      <w:bookmarkEnd w:id="18"/>
    </w:p>
    <w:p w:rsidR="00454EC9" w:rsidRPr="00454EC9" w:rsidRDefault="00454EC9" w:rsidP="00454EC9"/>
    <w:p w:rsidR="00454EC9" w:rsidRPr="00594218" w:rsidRDefault="00454EC9" w:rsidP="00454EC9">
      <w:r w:rsidRPr="00454EC9">
        <w:fldChar w:fldCharType="begin"/>
      </w:r>
      <w:r w:rsidRPr="00454EC9">
        <w:instrText xml:space="preserve"> AUTONUM  </w:instrText>
      </w:r>
      <w:r w:rsidRPr="00454EC9">
        <w:fldChar w:fldCharType="end"/>
      </w:r>
      <w:r w:rsidR="000F4325">
        <w:tab/>
        <w:t xml:space="preserve">The Council noted the report of </w:t>
      </w:r>
      <w:r w:rsidR="000F4325" w:rsidRPr="00594218">
        <w:t>the Secretary-General on the activities of the Union in 2015 and the results and performance indicators for 2015, as provided in document C/50/2</w:t>
      </w:r>
      <w:r w:rsidR="00DE16FF" w:rsidRPr="00594218">
        <w:t xml:space="preserve"> “Annual report of the Secretary-General for 2015”</w:t>
      </w:r>
      <w:r w:rsidRPr="00594218">
        <w:t>.</w:t>
      </w:r>
    </w:p>
    <w:p w:rsidR="00454EC9" w:rsidRPr="00594218" w:rsidRDefault="00454EC9" w:rsidP="00454EC9"/>
    <w:p w:rsidR="00454EC9" w:rsidRPr="00454EC9" w:rsidRDefault="00454EC9" w:rsidP="00454EC9">
      <w:r w:rsidRPr="00594218">
        <w:fldChar w:fldCharType="begin"/>
      </w:r>
      <w:r w:rsidRPr="00594218">
        <w:instrText xml:space="preserve"> AUTONUM  </w:instrText>
      </w:r>
      <w:r w:rsidRPr="00594218">
        <w:fldChar w:fldCharType="end"/>
      </w:r>
      <w:r w:rsidRPr="00594218">
        <w:tab/>
      </w:r>
      <w:r w:rsidR="000F4325" w:rsidRPr="00594218">
        <w:t>The Council noted the performance report for the 2014-2015 Biennium, as provided in document C/50/12</w:t>
      </w:r>
      <w:r w:rsidR="00DE16FF" w:rsidRPr="00594218">
        <w:t xml:space="preserve"> “Performance report for the 2014-2015 Biennium”</w:t>
      </w:r>
      <w:r w:rsidRPr="00594218">
        <w:t>.</w:t>
      </w:r>
    </w:p>
    <w:p w:rsidR="00454EC9" w:rsidRPr="00454EC9" w:rsidRDefault="00454EC9" w:rsidP="00454EC9"/>
    <w:p w:rsidR="00454EC9" w:rsidRPr="00454EC9" w:rsidRDefault="00454EC9" w:rsidP="00454EC9"/>
    <w:p w:rsidR="00454EC9" w:rsidRPr="00454EC9" w:rsidRDefault="000F4325" w:rsidP="00454EC9">
      <w:pPr>
        <w:pStyle w:val="Heading1"/>
      </w:pPr>
      <w:bookmarkStart w:id="19" w:name="_Toc478464895"/>
      <w:r>
        <w:rPr>
          <w:rFonts w:cs="Arial"/>
          <w:sz w:val="19"/>
          <w:szCs w:val="19"/>
        </w:rPr>
        <w:t xml:space="preserve">Evaluation report by the WIPO Internal Oversight Division </w:t>
      </w:r>
      <w:r w:rsidR="00454EC9" w:rsidRPr="00454EC9">
        <w:t>(IOD)</w:t>
      </w:r>
      <w:bookmarkEnd w:id="19"/>
    </w:p>
    <w:p w:rsidR="00454EC9" w:rsidRPr="00454EC9" w:rsidRDefault="00454EC9" w:rsidP="00454EC9"/>
    <w:p w:rsidR="000F4325" w:rsidRDefault="00454EC9" w:rsidP="000F4325">
      <w:r w:rsidRPr="00454EC9">
        <w:fldChar w:fldCharType="begin"/>
      </w:r>
      <w:r w:rsidRPr="00454EC9">
        <w:instrText xml:space="preserve"> AUTONUM  </w:instrText>
      </w:r>
      <w:r w:rsidRPr="00454EC9">
        <w:fldChar w:fldCharType="end"/>
      </w:r>
      <w:r w:rsidRPr="00454EC9">
        <w:tab/>
      </w:r>
      <w:r w:rsidR="00B03035">
        <w:t>At its ninety-s</w:t>
      </w:r>
      <w:r w:rsidR="00B03035" w:rsidRPr="00B03035">
        <w:t xml:space="preserve">econd </w:t>
      </w:r>
      <w:r w:rsidR="00B03035">
        <w:t>s</w:t>
      </w:r>
      <w:r w:rsidR="00B03035" w:rsidRPr="00B03035">
        <w:t>ession</w:t>
      </w:r>
      <w:r w:rsidR="008C5778">
        <w:t xml:space="preserve">, held </w:t>
      </w:r>
      <w:r w:rsidR="00B03035">
        <w:t>in Geneva on October 27, 2016, t</w:t>
      </w:r>
      <w:r w:rsidR="000F4325">
        <w:t>he Consultative Committee considered the IOD Evaluation Report and a presentation by Mr.</w:t>
      </w:r>
      <w:r w:rsidR="00FB34A2">
        <w:t> </w:t>
      </w:r>
      <w:proofErr w:type="spellStart"/>
      <w:r w:rsidR="000F4325">
        <w:t>Tuncay</w:t>
      </w:r>
      <w:proofErr w:type="spellEnd"/>
      <w:r w:rsidR="00FB34A2">
        <w:t> </w:t>
      </w:r>
      <w:proofErr w:type="spellStart"/>
      <w:r w:rsidR="000F4325">
        <w:t>Efendioglu</w:t>
      </w:r>
      <w:proofErr w:type="spellEnd"/>
      <w:r w:rsidR="000F4325">
        <w:t xml:space="preserve">, Acting Director, </w:t>
      </w:r>
      <w:proofErr w:type="gramStart"/>
      <w:r w:rsidR="000F4325">
        <w:t>WIPO</w:t>
      </w:r>
      <w:proofErr w:type="gramEnd"/>
      <w:r w:rsidR="005F6571">
        <w:t> </w:t>
      </w:r>
      <w:r w:rsidR="000F4325">
        <w:t>Internal Oversight Division (IOD).</w:t>
      </w:r>
    </w:p>
    <w:p w:rsidR="00FB34A2" w:rsidRDefault="00FB34A2" w:rsidP="000F4325"/>
    <w:p w:rsidR="000F4325" w:rsidRDefault="000F4325" w:rsidP="000F4325">
      <w:r w:rsidRPr="00454EC9">
        <w:fldChar w:fldCharType="begin"/>
      </w:r>
      <w:r w:rsidRPr="00454EC9">
        <w:instrText xml:space="preserve"> AUTONUM  </w:instrText>
      </w:r>
      <w:r w:rsidRPr="00454EC9">
        <w:fldChar w:fldCharType="end"/>
      </w:r>
      <w:r w:rsidRPr="00454EC9">
        <w:tab/>
      </w:r>
      <w:r w:rsidR="00B03035">
        <w:t>Th</w:t>
      </w:r>
      <w:r>
        <w:t>e Consultative Committee noted that the IOD Evaluation Report would be published on the</w:t>
      </w:r>
      <w:r w:rsidR="00FB34A2">
        <w:t xml:space="preserve"> </w:t>
      </w:r>
      <w:r>
        <w:t>UPOV</w:t>
      </w:r>
      <w:r w:rsidR="00FB34A2">
        <w:t> </w:t>
      </w:r>
      <w:r>
        <w:t>website after the fiftieth ordinary session of the Council.</w:t>
      </w:r>
    </w:p>
    <w:p w:rsidR="00FB34A2" w:rsidRDefault="00FB34A2" w:rsidP="000F4325"/>
    <w:p w:rsidR="000F4325" w:rsidRDefault="000F4325" w:rsidP="000F4325">
      <w:r w:rsidRPr="00454EC9">
        <w:fldChar w:fldCharType="begin"/>
      </w:r>
      <w:r w:rsidRPr="00454EC9">
        <w:instrText xml:space="preserve"> AUTONUM  </w:instrText>
      </w:r>
      <w:r w:rsidRPr="00454EC9">
        <w:fldChar w:fldCharType="end"/>
      </w:r>
      <w:r w:rsidRPr="00454EC9">
        <w:tab/>
      </w:r>
      <w:r w:rsidR="00FB34A2">
        <w:t>I</w:t>
      </w:r>
      <w:r>
        <w:t>n response to the recommendation of the IOD Evaluation Report, the Consultative Committee</w:t>
      </w:r>
      <w:r w:rsidR="00FB34A2">
        <w:t xml:space="preserve"> </w:t>
      </w:r>
      <w:r>
        <w:t>approved the proposal of the Office of the Union to prepare a draft Strategic Business Plan to be presented</w:t>
      </w:r>
      <w:r w:rsidR="00FB34A2">
        <w:t xml:space="preserve"> </w:t>
      </w:r>
      <w:r>
        <w:t>to the Consultative Committee in October/November 2017.</w:t>
      </w:r>
    </w:p>
    <w:p w:rsidR="00FB34A2" w:rsidRDefault="00FB34A2" w:rsidP="000F4325"/>
    <w:p w:rsidR="000F4325" w:rsidRDefault="00FB34A2" w:rsidP="000F4325">
      <w:r w:rsidRPr="00454EC9">
        <w:fldChar w:fldCharType="begin"/>
      </w:r>
      <w:r w:rsidRPr="00454EC9">
        <w:instrText xml:space="preserve"> AUTONUM  </w:instrText>
      </w:r>
      <w:r w:rsidRPr="00454EC9">
        <w:fldChar w:fldCharType="end"/>
      </w:r>
      <w:r w:rsidRPr="00454EC9">
        <w:tab/>
      </w:r>
      <w:r w:rsidR="000F4325">
        <w:t>The Consultative Committee expressed its appreciation to the WIPO IOD for the Evaluation Report.</w:t>
      </w:r>
    </w:p>
    <w:p w:rsidR="00FB34A2" w:rsidRDefault="00FB34A2" w:rsidP="000F4325"/>
    <w:p w:rsidR="00454EC9" w:rsidRDefault="00FB34A2" w:rsidP="000F4325">
      <w:r w:rsidRPr="00454EC9">
        <w:fldChar w:fldCharType="begin"/>
      </w:r>
      <w:r w:rsidRPr="00454EC9">
        <w:instrText xml:space="preserve"> AUTONUM  </w:instrText>
      </w:r>
      <w:r w:rsidRPr="00454EC9">
        <w:fldChar w:fldCharType="end"/>
      </w:r>
      <w:r w:rsidRPr="00454EC9">
        <w:tab/>
      </w:r>
      <w:r w:rsidR="000F4325">
        <w:t>The Consultative Committee noted that the conclusions of the Consultative Committee concerning the</w:t>
      </w:r>
      <w:r>
        <w:t xml:space="preserve"> </w:t>
      </w:r>
      <w:r w:rsidR="000F4325">
        <w:t>IOD Evaluation Report would be reported to the Council, at its fiftieth ordinary session, to be held in Geneva</w:t>
      </w:r>
      <w:r>
        <w:t xml:space="preserve"> </w:t>
      </w:r>
      <w:r w:rsidR="000F4325">
        <w:t>on October 28, 2016.</w:t>
      </w:r>
    </w:p>
    <w:p w:rsidR="000F4325" w:rsidRDefault="000F4325" w:rsidP="000F4325"/>
    <w:p w:rsidR="008C5778" w:rsidRDefault="008C5778" w:rsidP="000F4325"/>
    <w:p w:rsidR="00454EC9" w:rsidRPr="00454EC9" w:rsidRDefault="00454EC9" w:rsidP="00454EC9">
      <w:pPr>
        <w:pStyle w:val="Heading1"/>
      </w:pPr>
      <w:bookmarkStart w:id="20" w:name="_Toc478464896"/>
      <w:r w:rsidRPr="00454EC9">
        <w:t>UPOV bodies and sessions</w:t>
      </w:r>
      <w:bookmarkEnd w:id="20"/>
    </w:p>
    <w:p w:rsidR="00454EC9" w:rsidRPr="00454EC9" w:rsidRDefault="00454EC9" w:rsidP="00454EC9"/>
    <w:p w:rsidR="00454EC9" w:rsidRPr="00454EC9" w:rsidRDefault="00454EC9" w:rsidP="00454EC9">
      <w:pPr>
        <w:pStyle w:val="Heading2"/>
      </w:pPr>
      <w:bookmarkStart w:id="21" w:name="_Toc478464897"/>
      <w:r w:rsidRPr="00454EC9">
        <w:t>President and Vice-President of the UPOV Council</w:t>
      </w:r>
      <w:bookmarkEnd w:id="21"/>
    </w:p>
    <w:p w:rsidR="00454EC9" w:rsidRPr="00454EC9" w:rsidRDefault="00454EC9" w:rsidP="00454EC9"/>
    <w:p w:rsidR="00454EC9" w:rsidRPr="00454EC9" w:rsidRDefault="00454EC9" w:rsidP="00454EC9">
      <w:r w:rsidRPr="00454EC9">
        <w:fldChar w:fldCharType="begin"/>
      </w:r>
      <w:r w:rsidRPr="00454EC9">
        <w:instrText xml:space="preserve"> AUTONUM  </w:instrText>
      </w:r>
      <w:r w:rsidRPr="00454EC9">
        <w:fldChar w:fldCharType="end"/>
      </w:r>
      <w:r w:rsidRPr="00454EC9">
        <w:tab/>
        <w:t>At its f</w:t>
      </w:r>
      <w:r w:rsidR="00FB34A2">
        <w:t>iftieth</w:t>
      </w:r>
      <w:r w:rsidRPr="00454EC9">
        <w:t xml:space="preserve"> ordinary session, the Council elected, in each case for a term of three years ending with the fifty-</w:t>
      </w:r>
      <w:r w:rsidR="00FB34A2">
        <w:t>third</w:t>
      </w:r>
      <w:r w:rsidRPr="00454EC9">
        <w:t xml:space="preserve"> ordinary session of the Council, in 201</w:t>
      </w:r>
      <w:r w:rsidR="00FB34A2">
        <w:t>9</w:t>
      </w:r>
      <w:r w:rsidRPr="00454EC9">
        <w:t>:</w:t>
      </w:r>
    </w:p>
    <w:p w:rsidR="00B03035" w:rsidRDefault="00B03035" w:rsidP="00DA6C74">
      <w:pPr>
        <w:ind w:firstLine="567"/>
      </w:pPr>
    </w:p>
    <w:p w:rsidR="00454EC9" w:rsidRPr="00454EC9" w:rsidRDefault="00454EC9" w:rsidP="00DA6C74">
      <w:pPr>
        <w:ind w:firstLine="567"/>
      </w:pPr>
      <w:r w:rsidRPr="00454EC9">
        <w:t>(a)</w:t>
      </w:r>
      <w:r w:rsidRPr="00454EC9">
        <w:tab/>
      </w:r>
      <w:r w:rsidR="00FB34A2">
        <w:t>Mr. Raimundo Lavignolle (Argentina), President of the Council</w:t>
      </w:r>
      <w:r w:rsidRPr="00454EC9">
        <w:t>;</w:t>
      </w:r>
    </w:p>
    <w:p w:rsidR="00454EC9" w:rsidRPr="00454EC9" w:rsidRDefault="00454EC9" w:rsidP="00DA6C74">
      <w:pPr>
        <w:ind w:firstLine="567"/>
      </w:pPr>
      <w:r w:rsidRPr="00454EC9">
        <w:t>(b)</w:t>
      </w:r>
      <w:r w:rsidRPr="00454EC9">
        <w:tab/>
      </w:r>
      <w:r w:rsidR="00FB34A2">
        <w:t>Mr. Marien Valstar (Netherlands), Vice-President of the Council</w:t>
      </w:r>
      <w:r w:rsidRPr="00454EC9">
        <w:t>.</w:t>
      </w:r>
    </w:p>
    <w:p w:rsidR="00454EC9" w:rsidRDefault="00454EC9" w:rsidP="00454EC9"/>
    <w:p w:rsidR="00FB34A2" w:rsidRDefault="00FB34A2" w:rsidP="00FB34A2">
      <w:pPr>
        <w:pStyle w:val="Heading2"/>
      </w:pPr>
      <w:bookmarkStart w:id="22" w:name="_Toc478464898"/>
      <w:r>
        <w:t>Chair and Vice-Chair of the Administrative and Legal Committee</w:t>
      </w:r>
      <w:bookmarkEnd w:id="22"/>
    </w:p>
    <w:p w:rsidR="00FB34A2" w:rsidRDefault="00FB34A2" w:rsidP="00454EC9"/>
    <w:p w:rsidR="00FB34A2" w:rsidRDefault="00FB34A2" w:rsidP="00FB34A2">
      <w:pPr>
        <w:pStyle w:val="Default"/>
        <w:jc w:val="both"/>
        <w:rPr>
          <w:sz w:val="20"/>
          <w:szCs w:val="20"/>
        </w:rPr>
      </w:pPr>
      <w:r w:rsidRPr="00FB34A2">
        <w:rPr>
          <w:sz w:val="20"/>
          <w:szCs w:val="20"/>
        </w:rPr>
        <w:fldChar w:fldCharType="begin"/>
      </w:r>
      <w:r w:rsidRPr="00FB34A2">
        <w:rPr>
          <w:sz w:val="20"/>
          <w:szCs w:val="20"/>
        </w:rPr>
        <w:instrText xml:space="preserve"> AUTONUM  </w:instrText>
      </w:r>
      <w:r w:rsidRPr="00FB34A2">
        <w:rPr>
          <w:sz w:val="20"/>
          <w:szCs w:val="20"/>
        </w:rPr>
        <w:fldChar w:fldCharType="end"/>
      </w:r>
      <w:r w:rsidRPr="00FB34A2">
        <w:rPr>
          <w:sz w:val="20"/>
          <w:szCs w:val="20"/>
        </w:rPr>
        <w:tab/>
      </w:r>
      <w:r w:rsidR="00DA6C74" w:rsidRPr="00DA6C74">
        <w:rPr>
          <w:sz w:val="20"/>
          <w:szCs w:val="20"/>
        </w:rPr>
        <w:t>At its fiftieth ordinary session</w:t>
      </w:r>
      <w:r w:rsidR="00DA6C74">
        <w:rPr>
          <w:sz w:val="20"/>
          <w:szCs w:val="20"/>
        </w:rPr>
        <w:t>, t</w:t>
      </w:r>
      <w:r>
        <w:rPr>
          <w:sz w:val="20"/>
          <w:szCs w:val="20"/>
        </w:rPr>
        <w:t xml:space="preserve">he Council elected, in each case for a term of three years ending with the fifty-third ordinary session of the Council, in 2019: </w:t>
      </w:r>
    </w:p>
    <w:p w:rsidR="00FB34A2" w:rsidRDefault="00FB34A2" w:rsidP="00FB34A2">
      <w:pPr>
        <w:pStyle w:val="Default"/>
        <w:rPr>
          <w:sz w:val="20"/>
          <w:szCs w:val="20"/>
        </w:rPr>
      </w:pPr>
    </w:p>
    <w:p w:rsidR="00FB34A2" w:rsidRPr="00FB34A2" w:rsidRDefault="00FB34A2" w:rsidP="00DA6C74">
      <w:pPr>
        <w:pStyle w:val="Default"/>
        <w:ind w:firstLine="567"/>
        <w:jc w:val="both"/>
        <w:rPr>
          <w:sz w:val="20"/>
          <w:szCs w:val="20"/>
        </w:rPr>
      </w:pPr>
      <w:r w:rsidRPr="00FB34A2">
        <w:rPr>
          <w:sz w:val="20"/>
          <w:szCs w:val="20"/>
        </w:rPr>
        <w:t>(a)</w:t>
      </w:r>
      <w:r w:rsidRPr="00FB34A2">
        <w:rPr>
          <w:sz w:val="20"/>
          <w:szCs w:val="20"/>
        </w:rPr>
        <w:tab/>
        <w:t>Mr. Anthony Parker (Canada), Chair of the Administrative and Legal Committee;</w:t>
      </w:r>
    </w:p>
    <w:p w:rsidR="00FB34A2" w:rsidRDefault="00FB34A2" w:rsidP="00DA6C74">
      <w:pPr>
        <w:pStyle w:val="Default"/>
        <w:ind w:left="1134" w:hanging="567"/>
        <w:jc w:val="both"/>
      </w:pPr>
      <w:r w:rsidRPr="00FB34A2">
        <w:rPr>
          <w:sz w:val="20"/>
          <w:szCs w:val="20"/>
        </w:rPr>
        <w:t>(b)</w:t>
      </w:r>
      <w:r w:rsidRPr="00FB34A2">
        <w:rPr>
          <w:sz w:val="20"/>
          <w:szCs w:val="20"/>
        </w:rPr>
        <w:tab/>
      </w:r>
      <w:r w:rsidRPr="00B03035">
        <w:rPr>
          <w:spacing w:val="-4"/>
          <w:sz w:val="20"/>
          <w:szCs w:val="20"/>
        </w:rPr>
        <w:t xml:space="preserve">Mr. Patrick </w:t>
      </w:r>
      <w:proofErr w:type="spellStart"/>
      <w:r w:rsidRPr="00B03035">
        <w:rPr>
          <w:spacing w:val="-4"/>
          <w:sz w:val="20"/>
          <w:szCs w:val="20"/>
        </w:rPr>
        <w:t>Ngwediagi</w:t>
      </w:r>
      <w:proofErr w:type="spellEnd"/>
      <w:r w:rsidRPr="00B03035">
        <w:rPr>
          <w:spacing w:val="-4"/>
          <w:sz w:val="20"/>
          <w:szCs w:val="20"/>
        </w:rPr>
        <w:t xml:space="preserve"> (United Republic of Tanzania), Vice-Chair of the Administrative and Legal Committee</w:t>
      </w:r>
    </w:p>
    <w:p w:rsidR="00FB34A2" w:rsidRDefault="00FB34A2" w:rsidP="00FB34A2"/>
    <w:p w:rsidR="00E90EE6" w:rsidRDefault="00E90EE6" w:rsidP="00E90EE6">
      <w:pPr>
        <w:pStyle w:val="Heading2"/>
      </w:pPr>
      <w:bookmarkStart w:id="23" w:name="_Toc478464899"/>
      <w:r>
        <w:lastRenderedPageBreak/>
        <w:t>Chair and Vice-Chair of the Technical Committee</w:t>
      </w:r>
      <w:bookmarkEnd w:id="23"/>
    </w:p>
    <w:p w:rsidR="00E90EE6" w:rsidRDefault="00E90EE6" w:rsidP="008C5778">
      <w:pPr>
        <w:keepNext/>
      </w:pPr>
    </w:p>
    <w:p w:rsidR="00E90EE6" w:rsidRDefault="00454EC9" w:rsidP="00E90EE6">
      <w:r w:rsidRPr="00454EC9">
        <w:fldChar w:fldCharType="begin"/>
      </w:r>
      <w:r w:rsidRPr="00454EC9">
        <w:instrText xml:space="preserve"> AUTONUM  </w:instrText>
      </w:r>
      <w:r w:rsidRPr="00454EC9">
        <w:fldChar w:fldCharType="end"/>
      </w:r>
      <w:r w:rsidR="00E90EE6">
        <w:tab/>
      </w:r>
      <w:r w:rsidR="00DA6C74" w:rsidRPr="00454EC9">
        <w:t>At its f</w:t>
      </w:r>
      <w:r w:rsidR="00DA6C74">
        <w:t>iftieth</w:t>
      </w:r>
      <w:r w:rsidR="00DA6C74" w:rsidRPr="00454EC9">
        <w:t xml:space="preserve"> ordinary session</w:t>
      </w:r>
      <w:r w:rsidR="00DA6C74">
        <w:t>, t</w:t>
      </w:r>
      <w:r w:rsidR="00E90EE6">
        <w:t>he Council elected, in each case for a term of three years ending with the fifty-third ordinary session of the Council, in 2019:</w:t>
      </w:r>
    </w:p>
    <w:p w:rsidR="00E90EE6" w:rsidRDefault="00E90EE6" w:rsidP="00E90EE6"/>
    <w:p w:rsidR="00E90EE6" w:rsidRDefault="00E90EE6" w:rsidP="00DA6C74">
      <w:pPr>
        <w:ind w:firstLine="567"/>
      </w:pPr>
      <w:r>
        <w:t>(a)</w:t>
      </w:r>
      <w:r>
        <w:tab/>
        <w:t>Mr. Kees van Ettekoven (Netherlands), Chair of the Technical Committee</w:t>
      </w:r>
      <w:r w:rsidR="00DA6C74">
        <w:t>;</w:t>
      </w:r>
    </w:p>
    <w:p w:rsidR="00454EC9" w:rsidRPr="00454EC9" w:rsidRDefault="00E90EE6" w:rsidP="00DA6C74">
      <w:pPr>
        <w:ind w:firstLine="567"/>
      </w:pPr>
      <w:r>
        <w:t>(b)</w:t>
      </w:r>
      <w:r>
        <w:tab/>
        <w:t>Mr. Nik Hulse (Australia), Vice-Chair of the Technical Committee</w:t>
      </w:r>
      <w:r w:rsidR="00454EC9" w:rsidRPr="00454EC9">
        <w:t>.</w:t>
      </w:r>
    </w:p>
    <w:p w:rsidR="00B03035" w:rsidRDefault="00B03035" w:rsidP="00D828DB">
      <w:pPr>
        <w:pStyle w:val="Heading2"/>
      </w:pPr>
    </w:p>
    <w:p w:rsidR="00454EC9" w:rsidRPr="00454EC9" w:rsidRDefault="00454EC9" w:rsidP="00D828DB">
      <w:pPr>
        <w:pStyle w:val="Heading2"/>
      </w:pPr>
      <w:bookmarkStart w:id="24" w:name="_Toc478464900"/>
      <w:r w:rsidRPr="00454EC9">
        <w:t>Calendar of meetings</w:t>
      </w:r>
      <w:bookmarkEnd w:id="24"/>
      <w:r w:rsidRPr="00454EC9">
        <w:t xml:space="preserve"> </w:t>
      </w:r>
    </w:p>
    <w:p w:rsidR="00454EC9" w:rsidRPr="00454EC9" w:rsidRDefault="00454EC9" w:rsidP="00454EC9"/>
    <w:p w:rsidR="00E90EE6" w:rsidRDefault="00454EC9" w:rsidP="00454EC9">
      <w:r w:rsidRPr="00454EC9">
        <w:fldChar w:fldCharType="begin"/>
      </w:r>
      <w:r w:rsidRPr="00454EC9">
        <w:instrText xml:space="preserve"> AUTONUM  </w:instrText>
      </w:r>
      <w:r w:rsidRPr="00454EC9">
        <w:fldChar w:fldCharType="end"/>
      </w:r>
      <w:r w:rsidRPr="00454EC9">
        <w:tab/>
      </w:r>
      <w:r w:rsidR="00E90EE6">
        <w:t>Developments concerning the organization of UPOV sessions are reported in document TC/53/14</w:t>
      </w:r>
      <w:r w:rsidR="00B03035">
        <w:t xml:space="preserve"> “</w:t>
      </w:r>
      <w:r w:rsidR="00B03035" w:rsidRPr="00B03035">
        <w:t>Organization of the UPOV sessions</w:t>
      </w:r>
      <w:r w:rsidR="00B03035">
        <w:t>”</w:t>
      </w:r>
      <w:r w:rsidR="00E90EE6">
        <w:t xml:space="preserve">.  </w:t>
      </w:r>
    </w:p>
    <w:p w:rsidR="00E90EE6" w:rsidRDefault="00E90EE6" w:rsidP="00454EC9"/>
    <w:p w:rsidR="00E90EE6" w:rsidRDefault="00E90EE6" w:rsidP="00454EC9">
      <w:r>
        <w:t xml:space="preserve">The calendar of meetings for 2017 is as follows: </w:t>
      </w:r>
    </w:p>
    <w:p w:rsidR="00E90EE6" w:rsidRDefault="00E90EE6" w:rsidP="00454EC9"/>
    <w:p w:rsidR="006D6254" w:rsidRPr="00B03035" w:rsidRDefault="006D6254" w:rsidP="00B03035">
      <w:pPr>
        <w:ind w:firstLine="567"/>
        <w:rPr>
          <w:rFonts w:cs="Arial"/>
          <w:i/>
        </w:rPr>
      </w:pPr>
      <w:r w:rsidRPr="00B03035">
        <w:rPr>
          <w:rFonts w:cs="Arial"/>
          <w:i/>
        </w:rPr>
        <w:t>Council</w:t>
      </w:r>
    </w:p>
    <w:p w:rsidR="006D6254" w:rsidRPr="00272741" w:rsidRDefault="006D6254" w:rsidP="006D6254">
      <w:pPr>
        <w:tabs>
          <w:tab w:val="left" w:pos="567"/>
        </w:tabs>
        <w:ind w:left="1843" w:hanging="1843"/>
        <w:rPr>
          <w:szCs w:val="24"/>
        </w:rPr>
      </w:pPr>
      <w:r w:rsidRPr="00272741">
        <w:rPr>
          <w:szCs w:val="24"/>
        </w:rPr>
        <w:tab/>
      </w:r>
      <w:proofErr w:type="gramStart"/>
      <w:r w:rsidRPr="00272741">
        <w:rPr>
          <w:szCs w:val="24"/>
        </w:rPr>
        <w:t>C(</w:t>
      </w:r>
      <w:proofErr w:type="spellStart"/>
      <w:proofErr w:type="gramEnd"/>
      <w:r w:rsidRPr="00272741">
        <w:rPr>
          <w:szCs w:val="24"/>
        </w:rPr>
        <w:t>Extr</w:t>
      </w:r>
      <w:proofErr w:type="spellEnd"/>
      <w:r w:rsidRPr="00272741">
        <w:rPr>
          <w:szCs w:val="24"/>
        </w:rPr>
        <w:t>.)/3</w:t>
      </w:r>
      <w:r>
        <w:rPr>
          <w:szCs w:val="24"/>
        </w:rPr>
        <w:t>4</w:t>
      </w:r>
      <w:r w:rsidRPr="00272741">
        <w:rPr>
          <w:szCs w:val="24"/>
        </w:rPr>
        <w:tab/>
      </w:r>
      <w:r>
        <w:rPr>
          <w:szCs w:val="24"/>
        </w:rPr>
        <w:t xml:space="preserve">April 6 </w:t>
      </w:r>
      <w:r w:rsidRPr="00272741">
        <w:rPr>
          <w:szCs w:val="24"/>
        </w:rPr>
        <w:t>(afternoon) (extraordinary session)</w:t>
      </w:r>
    </w:p>
    <w:p w:rsidR="006D6254" w:rsidRPr="00673575" w:rsidRDefault="006D6254" w:rsidP="006D6254">
      <w:pPr>
        <w:tabs>
          <w:tab w:val="left" w:pos="567"/>
        </w:tabs>
        <w:ind w:left="1843" w:hanging="1843"/>
        <w:rPr>
          <w:szCs w:val="24"/>
        </w:rPr>
      </w:pPr>
      <w:r w:rsidRPr="00272741">
        <w:rPr>
          <w:szCs w:val="24"/>
        </w:rPr>
        <w:tab/>
      </w:r>
      <w:r w:rsidRPr="00673575">
        <w:rPr>
          <w:szCs w:val="24"/>
        </w:rPr>
        <w:t>C/5</w:t>
      </w:r>
      <w:r>
        <w:rPr>
          <w:szCs w:val="24"/>
        </w:rPr>
        <w:t>1</w:t>
      </w:r>
      <w:r w:rsidRPr="00673575">
        <w:rPr>
          <w:szCs w:val="24"/>
        </w:rPr>
        <w:tab/>
        <w:t xml:space="preserve">October </w:t>
      </w:r>
      <w:r>
        <w:rPr>
          <w:szCs w:val="24"/>
        </w:rPr>
        <w:t>26</w:t>
      </w:r>
    </w:p>
    <w:p w:rsidR="006D6254" w:rsidRPr="00673575" w:rsidRDefault="006D6254" w:rsidP="006D6254">
      <w:pPr>
        <w:spacing w:after="60"/>
        <w:ind w:left="1701" w:hanging="1701"/>
      </w:pPr>
    </w:p>
    <w:p w:rsidR="006D6254" w:rsidRPr="00B03035" w:rsidRDefault="006D6254" w:rsidP="00B03035">
      <w:pPr>
        <w:ind w:left="1701" w:hanging="1134"/>
        <w:rPr>
          <w:rFonts w:cs="Arial"/>
          <w:i/>
        </w:rPr>
      </w:pPr>
      <w:r w:rsidRPr="00B03035">
        <w:rPr>
          <w:rFonts w:cs="Arial"/>
          <w:i/>
        </w:rPr>
        <w:t>Consultative Committee</w:t>
      </w:r>
    </w:p>
    <w:p w:rsidR="006D6254" w:rsidRPr="00673575" w:rsidRDefault="006D6254" w:rsidP="006D6254">
      <w:pPr>
        <w:tabs>
          <w:tab w:val="left" w:pos="567"/>
        </w:tabs>
        <w:ind w:left="1843" w:hanging="1843"/>
        <w:rPr>
          <w:szCs w:val="24"/>
        </w:rPr>
      </w:pPr>
      <w:r w:rsidRPr="00673575">
        <w:rPr>
          <w:szCs w:val="24"/>
        </w:rPr>
        <w:tab/>
        <w:t>CC/9</w:t>
      </w:r>
      <w:r>
        <w:rPr>
          <w:szCs w:val="24"/>
        </w:rPr>
        <w:t>3</w:t>
      </w:r>
      <w:r w:rsidRPr="00673575">
        <w:rPr>
          <w:szCs w:val="24"/>
        </w:rPr>
        <w:tab/>
      </w:r>
      <w:r>
        <w:rPr>
          <w:szCs w:val="24"/>
        </w:rPr>
        <w:t xml:space="preserve">April 6 </w:t>
      </w:r>
      <w:r w:rsidRPr="00673575">
        <w:rPr>
          <w:szCs w:val="24"/>
        </w:rPr>
        <w:t>(morning)</w:t>
      </w:r>
    </w:p>
    <w:p w:rsidR="006D6254" w:rsidRPr="00AC5928" w:rsidRDefault="006D6254" w:rsidP="006D6254">
      <w:pPr>
        <w:ind w:left="1843"/>
        <w:jc w:val="left"/>
        <w:rPr>
          <w:rFonts w:cs="Arial"/>
        </w:rPr>
      </w:pPr>
      <w:r w:rsidRPr="00AC5928">
        <w:rPr>
          <w:rFonts w:cs="Arial"/>
        </w:rPr>
        <w:t xml:space="preserve">(Working Group on a Possible International System of Cooperation (WG-ISC/2):  </w:t>
      </w:r>
      <w:r w:rsidRPr="00AC5928">
        <w:rPr>
          <w:rFonts w:cs="Arial"/>
        </w:rPr>
        <w:br/>
        <w:t>April 5 (afternoon))</w:t>
      </w:r>
    </w:p>
    <w:p w:rsidR="006D6254" w:rsidRPr="00673575" w:rsidRDefault="006D6254" w:rsidP="006D6254">
      <w:pPr>
        <w:tabs>
          <w:tab w:val="left" w:pos="567"/>
        </w:tabs>
        <w:ind w:left="1843" w:hanging="1843"/>
        <w:rPr>
          <w:szCs w:val="24"/>
        </w:rPr>
      </w:pPr>
      <w:r w:rsidRPr="00673575">
        <w:rPr>
          <w:szCs w:val="24"/>
        </w:rPr>
        <w:tab/>
        <w:t>CC/9</w:t>
      </w:r>
      <w:r>
        <w:rPr>
          <w:szCs w:val="24"/>
        </w:rPr>
        <w:t>4</w:t>
      </w:r>
      <w:r w:rsidRPr="00673575">
        <w:rPr>
          <w:szCs w:val="24"/>
        </w:rPr>
        <w:tab/>
        <w:t xml:space="preserve">October </w:t>
      </w:r>
      <w:r>
        <w:rPr>
          <w:szCs w:val="24"/>
        </w:rPr>
        <w:t>25</w:t>
      </w:r>
    </w:p>
    <w:p w:rsidR="006D6254" w:rsidRPr="00673575" w:rsidRDefault="006D6254" w:rsidP="006D6254">
      <w:pPr>
        <w:spacing w:after="60"/>
        <w:ind w:left="1701" w:hanging="1701"/>
      </w:pPr>
    </w:p>
    <w:p w:rsidR="006D6254" w:rsidRPr="00B03035" w:rsidRDefault="006D6254" w:rsidP="00B03035">
      <w:pPr>
        <w:ind w:left="1701" w:hanging="1134"/>
        <w:rPr>
          <w:rFonts w:cs="Arial"/>
          <w:i/>
        </w:rPr>
      </w:pPr>
      <w:r w:rsidRPr="00B03035">
        <w:rPr>
          <w:rFonts w:cs="Arial"/>
          <w:i/>
        </w:rPr>
        <w:t>Administrative and Legal Committee</w:t>
      </w:r>
    </w:p>
    <w:p w:rsidR="006D6254" w:rsidRPr="00673575" w:rsidRDefault="006D6254" w:rsidP="006D6254">
      <w:pPr>
        <w:tabs>
          <w:tab w:val="left" w:pos="567"/>
        </w:tabs>
        <w:ind w:left="1843" w:hanging="1843"/>
        <w:rPr>
          <w:szCs w:val="24"/>
        </w:rPr>
      </w:pPr>
      <w:r w:rsidRPr="00673575">
        <w:rPr>
          <w:szCs w:val="24"/>
        </w:rPr>
        <w:tab/>
        <w:t>CAJ/7</w:t>
      </w:r>
      <w:r>
        <w:rPr>
          <w:szCs w:val="24"/>
        </w:rPr>
        <w:t>4</w:t>
      </w:r>
      <w:r w:rsidRPr="00673575">
        <w:rPr>
          <w:szCs w:val="24"/>
        </w:rPr>
        <w:tab/>
        <w:t xml:space="preserve">October </w:t>
      </w:r>
      <w:r>
        <w:rPr>
          <w:szCs w:val="24"/>
        </w:rPr>
        <w:t>23</w:t>
      </w:r>
      <w:r w:rsidRPr="00673575">
        <w:rPr>
          <w:szCs w:val="24"/>
        </w:rPr>
        <w:t xml:space="preserve"> and </w:t>
      </w:r>
      <w:r>
        <w:rPr>
          <w:szCs w:val="24"/>
        </w:rPr>
        <w:t>24</w:t>
      </w:r>
    </w:p>
    <w:p w:rsidR="006D6254" w:rsidRPr="00AB5166" w:rsidRDefault="006D6254" w:rsidP="006D6254">
      <w:pPr>
        <w:ind w:left="1843"/>
        <w:jc w:val="left"/>
        <w:rPr>
          <w:rFonts w:cs="Arial"/>
        </w:rPr>
      </w:pPr>
      <w:r w:rsidRPr="00AB5166">
        <w:rPr>
          <w:rFonts w:cs="Arial"/>
        </w:rPr>
        <w:t>(Working Group on Variety Denominations (WG-DEN/3):  April 7 (morning))</w:t>
      </w:r>
    </w:p>
    <w:p w:rsidR="006D6254" w:rsidRPr="00AB5166" w:rsidRDefault="006D6254" w:rsidP="006D6254">
      <w:pPr>
        <w:ind w:left="1843" w:right="-142"/>
        <w:jc w:val="left"/>
        <w:rPr>
          <w:rFonts w:cs="Arial"/>
        </w:rPr>
      </w:pPr>
      <w:r w:rsidRPr="00AB5166">
        <w:rPr>
          <w:rFonts w:cs="Arial"/>
        </w:rPr>
        <w:t>(Meeting on the Development of a Prototype Electronic Form (EAF/9): April 7 (afternoon))</w:t>
      </w:r>
    </w:p>
    <w:p w:rsidR="006D6254" w:rsidRPr="00C713FA" w:rsidRDefault="006D6254" w:rsidP="006D6254">
      <w:pPr>
        <w:spacing w:after="60"/>
        <w:ind w:left="1701" w:hanging="1701"/>
      </w:pPr>
    </w:p>
    <w:p w:rsidR="006D6254" w:rsidRPr="00B03035" w:rsidRDefault="006D6254" w:rsidP="00B03035">
      <w:pPr>
        <w:ind w:left="1701" w:hanging="1134"/>
        <w:rPr>
          <w:rFonts w:cs="Arial"/>
          <w:i/>
        </w:rPr>
      </w:pPr>
      <w:r w:rsidRPr="00B03035">
        <w:rPr>
          <w:rFonts w:cs="Arial"/>
          <w:i/>
        </w:rPr>
        <w:t>Technical Committee</w:t>
      </w:r>
    </w:p>
    <w:p w:rsidR="006D6254" w:rsidRPr="00272741" w:rsidRDefault="006D6254" w:rsidP="006D6254">
      <w:pPr>
        <w:tabs>
          <w:tab w:val="left" w:pos="567"/>
        </w:tabs>
        <w:ind w:left="1843" w:hanging="1843"/>
        <w:rPr>
          <w:szCs w:val="24"/>
        </w:rPr>
      </w:pPr>
      <w:r w:rsidRPr="00272741">
        <w:rPr>
          <w:szCs w:val="24"/>
        </w:rPr>
        <w:tab/>
        <w:t>TC/5</w:t>
      </w:r>
      <w:r>
        <w:rPr>
          <w:szCs w:val="24"/>
        </w:rPr>
        <w:t>3</w:t>
      </w:r>
      <w:r w:rsidRPr="00272741">
        <w:rPr>
          <w:szCs w:val="24"/>
        </w:rPr>
        <w:tab/>
      </w:r>
      <w:r>
        <w:rPr>
          <w:szCs w:val="24"/>
        </w:rPr>
        <w:t>April 3 to 5 (morning)</w:t>
      </w:r>
    </w:p>
    <w:p w:rsidR="006D6254" w:rsidRPr="00272741" w:rsidRDefault="006D6254" w:rsidP="006D6254">
      <w:pPr>
        <w:tabs>
          <w:tab w:val="left" w:pos="567"/>
        </w:tabs>
        <w:ind w:left="1843" w:hanging="1843"/>
        <w:rPr>
          <w:szCs w:val="24"/>
        </w:rPr>
      </w:pPr>
      <w:r w:rsidRPr="00272741">
        <w:rPr>
          <w:b/>
          <w:szCs w:val="24"/>
        </w:rPr>
        <w:tab/>
      </w:r>
      <w:r w:rsidRPr="00272741">
        <w:rPr>
          <w:b/>
          <w:szCs w:val="24"/>
        </w:rPr>
        <w:tab/>
      </w:r>
      <w:r w:rsidRPr="002B3A24">
        <w:rPr>
          <w:szCs w:val="24"/>
        </w:rPr>
        <w:t>(Editorial Committee: (January 11 and 12), April 3 (evening), April 4 (evening))</w:t>
      </w:r>
    </w:p>
    <w:p w:rsidR="006D6254" w:rsidRPr="00C713FA" w:rsidRDefault="006D6254" w:rsidP="006D6254">
      <w:pPr>
        <w:spacing w:after="60"/>
        <w:ind w:left="1701" w:hanging="1701"/>
      </w:pPr>
    </w:p>
    <w:p w:rsidR="006D6254" w:rsidRPr="00B03035" w:rsidRDefault="006D6254" w:rsidP="00B03035">
      <w:pPr>
        <w:ind w:left="1701" w:hanging="1134"/>
        <w:rPr>
          <w:rFonts w:cs="Arial"/>
          <w:i/>
        </w:rPr>
      </w:pPr>
      <w:r w:rsidRPr="00B03035">
        <w:rPr>
          <w:rFonts w:cs="Arial"/>
          <w:i/>
        </w:rPr>
        <w:t>Technical Working Party for Agricultural Crops (TWA)</w:t>
      </w:r>
    </w:p>
    <w:p w:rsidR="006D6254" w:rsidRPr="00397FBC" w:rsidRDefault="006D6254" w:rsidP="006D6254">
      <w:pPr>
        <w:tabs>
          <w:tab w:val="left" w:pos="567"/>
        </w:tabs>
        <w:ind w:left="1701" w:hanging="1701"/>
      </w:pPr>
      <w:r w:rsidRPr="00397FBC">
        <w:rPr>
          <w:rFonts w:cs="Arial"/>
        </w:rPr>
        <w:tab/>
        <w:t>TWA/46</w:t>
      </w:r>
      <w:r w:rsidRPr="00397FBC">
        <w:rPr>
          <w:rFonts w:cs="Arial"/>
        </w:rPr>
        <w:tab/>
        <w:t>June 19 to 23</w:t>
      </w:r>
      <w:r w:rsidRPr="00397FBC">
        <w:t xml:space="preserve">, </w:t>
      </w:r>
      <w:r w:rsidRPr="00397FBC">
        <w:rPr>
          <w:rFonts w:cs="Arial"/>
        </w:rPr>
        <w:t>Hannover</w:t>
      </w:r>
      <w:r w:rsidRPr="00397FBC">
        <w:t>, Germany</w:t>
      </w:r>
    </w:p>
    <w:p w:rsidR="006D6254" w:rsidRPr="00397FBC" w:rsidRDefault="006D6254" w:rsidP="006D6254">
      <w:pPr>
        <w:ind w:left="1134" w:firstLine="567"/>
      </w:pPr>
      <w:r w:rsidRPr="00397FBC">
        <w:t>(Preparatory workshop on June 18)</w:t>
      </w:r>
    </w:p>
    <w:p w:rsidR="006D6254" w:rsidRPr="00397FBC" w:rsidRDefault="006D6254" w:rsidP="006D6254">
      <w:pPr>
        <w:spacing w:after="60"/>
        <w:ind w:left="1701" w:hanging="1701"/>
      </w:pPr>
    </w:p>
    <w:p w:rsidR="006D6254" w:rsidRPr="00B03035" w:rsidRDefault="006D6254" w:rsidP="00B03035">
      <w:pPr>
        <w:ind w:left="1701" w:hanging="1134"/>
        <w:rPr>
          <w:rFonts w:cs="Arial"/>
          <w:i/>
        </w:rPr>
      </w:pPr>
      <w:r w:rsidRPr="00B03035">
        <w:rPr>
          <w:rFonts w:cs="Arial"/>
          <w:i/>
        </w:rPr>
        <w:t>Technical Working Party on Automation and Computer Programs (TWC)</w:t>
      </w:r>
    </w:p>
    <w:p w:rsidR="006D6254" w:rsidRPr="00C34091" w:rsidRDefault="006D6254" w:rsidP="006D6254">
      <w:r w:rsidRPr="00C34091">
        <w:rPr>
          <w:rFonts w:cs="Arial"/>
        </w:rPr>
        <w:tab/>
      </w:r>
      <w:r w:rsidRPr="00C34091">
        <w:t>TWC/35</w:t>
      </w:r>
      <w:r w:rsidRPr="00C34091">
        <w:tab/>
      </w:r>
      <w:r w:rsidRPr="00C34091">
        <w:rPr>
          <w:rFonts w:cs="Arial"/>
        </w:rPr>
        <w:t>November 1</w:t>
      </w:r>
      <w:r>
        <w:rPr>
          <w:rFonts w:cs="Arial"/>
        </w:rPr>
        <w:t>4</w:t>
      </w:r>
      <w:r w:rsidRPr="00C34091">
        <w:rPr>
          <w:rFonts w:cs="Arial"/>
        </w:rPr>
        <w:t xml:space="preserve"> to 17</w:t>
      </w:r>
      <w:r w:rsidRPr="00C34091">
        <w:t xml:space="preserve">, </w:t>
      </w:r>
      <w:r w:rsidRPr="00C34091">
        <w:rPr>
          <w:rFonts w:cs="Arial" w:hint="eastAsia"/>
          <w:lang w:eastAsia="ja-JP"/>
        </w:rPr>
        <w:t>Buenos Aires</w:t>
      </w:r>
      <w:r w:rsidRPr="00C34091">
        <w:rPr>
          <w:rFonts w:cs="Arial"/>
        </w:rPr>
        <w:t>, Argentina</w:t>
      </w:r>
    </w:p>
    <w:p w:rsidR="006D6254" w:rsidRPr="00C34091" w:rsidRDefault="006D6254" w:rsidP="006D6254">
      <w:pPr>
        <w:ind w:left="1134" w:firstLine="567"/>
      </w:pPr>
      <w:r w:rsidRPr="00C34091">
        <w:t xml:space="preserve">(Preparatory workshop on </w:t>
      </w:r>
      <w:r>
        <w:t>November 13</w:t>
      </w:r>
      <w:r w:rsidRPr="00C34091">
        <w:t>)</w:t>
      </w:r>
    </w:p>
    <w:p w:rsidR="006D6254" w:rsidRPr="00C34091" w:rsidRDefault="006D6254" w:rsidP="006D6254">
      <w:pPr>
        <w:spacing w:after="60"/>
        <w:ind w:left="1701" w:hanging="1701"/>
      </w:pPr>
    </w:p>
    <w:p w:rsidR="006D6254" w:rsidRPr="00B03035" w:rsidRDefault="006D6254" w:rsidP="00B03035">
      <w:pPr>
        <w:ind w:left="1701" w:hanging="1134"/>
        <w:rPr>
          <w:rFonts w:cs="Arial"/>
          <w:i/>
        </w:rPr>
      </w:pPr>
      <w:r w:rsidRPr="00B03035">
        <w:rPr>
          <w:rFonts w:cs="Arial"/>
          <w:i/>
        </w:rPr>
        <w:t>Technical Working Party for Fruit Crops (TWF)</w:t>
      </w:r>
    </w:p>
    <w:p w:rsidR="006D6254" w:rsidRPr="005E6F4E" w:rsidRDefault="006D6254" w:rsidP="006D6254">
      <w:r w:rsidRPr="00641FBC">
        <w:tab/>
      </w:r>
      <w:r w:rsidRPr="005E6F4E">
        <w:t xml:space="preserve">TWF/48 </w:t>
      </w:r>
      <w:r w:rsidRPr="005E6F4E">
        <w:tab/>
        <w:t>September 18 to 22, Kelowna, British Columbia, Canada</w:t>
      </w:r>
    </w:p>
    <w:p w:rsidR="006D6254" w:rsidRPr="005E6F4E" w:rsidRDefault="006D6254" w:rsidP="006D6254">
      <w:pPr>
        <w:ind w:left="1134" w:firstLine="567"/>
      </w:pPr>
      <w:r w:rsidRPr="005E6F4E">
        <w:t>(Preparatory workshop on September 17)</w:t>
      </w:r>
    </w:p>
    <w:p w:rsidR="006D6254" w:rsidRPr="005E6F4E" w:rsidRDefault="006D6254" w:rsidP="006D6254">
      <w:pPr>
        <w:spacing w:after="60"/>
        <w:ind w:left="1701" w:hanging="1701"/>
      </w:pPr>
    </w:p>
    <w:p w:rsidR="006D6254" w:rsidRPr="00B03035" w:rsidRDefault="006D6254" w:rsidP="00B03035">
      <w:pPr>
        <w:ind w:left="1701" w:hanging="1134"/>
        <w:rPr>
          <w:rFonts w:cs="Arial"/>
          <w:i/>
        </w:rPr>
      </w:pPr>
      <w:r w:rsidRPr="00B03035">
        <w:rPr>
          <w:rFonts w:cs="Arial"/>
          <w:i/>
        </w:rPr>
        <w:t>Technical Working Party for Ornamental Plants and Forest Trees (TWO)</w:t>
      </w:r>
    </w:p>
    <w:p w:rsidR="006D6254" w:rsidRPr="005E6F4E" w:rsidRDefault="006D6254" w:rsidP="006D6254">
      <w:r w:rsidRPr="005E6F4E">
        <w:tab/>
        <w:t xml:space="preserve">TWO/50 </w:t>
      </w:r>
      <w:r w:rsidRPr="005E6F4E">
        <w:tab/>
      </w:r>
      <w:r w:rsidRPr="005E6F4E">
        <w:rPr>
          <w:rFonts w:cs="Arial"/>
        </w:rPr>
        <w:t>September 11 to 15</w:t>
      </w:r>
      <w:r w:rsidRPr="005E6F4E">
        <w:t xml:space="preserve">, </w:t>
      </w:r>
      <w:r w:rsidRPr="005E6F4E">
        <w:rPr>
          <w:rFonts w:cs="Arial"/>
        </w:rPr>
        <w:t>Victoria, British Columbia, Canada</w:t>
      </w:r>
    </w:p>
    <w:p w:rsidR="006D6254" w:rsidRPr="005E6F4E" w:rsidRDefault="006D6254" w:rsidP="006D6254">
      <w:pPr>
        <w:ind w:left="1134" w:firstLine="567"/>
      </w:pPr>
      <w:r w:rsidRPr="005E6F4E">
        <w:t>(Preparatory workshop on September 10)</w:t>
      </w:r>
    </w:p>
    <w:p w:rsidR="006D6254" w:rsidRPr="005E6F4E" w:rsidRDefault="006D6254" w:rsidP="006D6254">
      <w:pPr>
        <w:spacing w:after="60"/>
        <w:ind w:left="1701" w:hanging="1701"/>
      </w:pPr>
    </w:p>
    <w:p w:rsidR="006D6254" w:rsidRPr="00B03035" w:rsidRDefault="006D6254" w:rsidP="00B03035">
      <w:pPr>
        <w:ind w:left="1701" w:hanging="1134"/>
        <w:rPr>
          <w:rFonts w:cs="Arial"/>
          <w:i/>
        </w:rPr>
      </w:pPr>
      <w:r w:rsidRPr="00B03035">
        <w:rPr>
          <w:rFonts w:cs="Arial"/>
          <w:i/>
        </w:rPr>
        <w:t>Technical Working Party for Vegetables (TWV)</w:t>
      </w:r>
    </w:p>
    <w:p w:rsidR="006D6254" w:rsidRPr="005E6F4E" w:rsidRDefault="006D6254" w:rsidP="006D6254">
      <w:r w:rsidRPr="005E6F4E">
        <w:rPr>
          <w:lang w:val="pl-PL"/>
        </w:rPr>
        <w:tab/>
      </w:r>
      <w:r w:rsidRPr="005E6F4E">
        <w:t xml:space="preserve">TWV/51 </w:t>
      </w:r>
      <w:r w:rsidRPr="005E6F4E">
        <w:tab/>
        <w:t xml:space="preserve">July 3 to 7, </w:t>
      </w:r>
      <w:proofErr w:type="spellStart"/>
      <w:r w:rsidRPr="005E6F4E">
        <w:t>Roelofarendsveen</w:t>
      </w:r>
      <w:proofErr w:type="spellEnd"/>
      <w:r w:rsidRPr="005E6F4E">
        <w:t>, Netherlands</w:t>
      </w:r>
    </w:p>
    <w:p w:rsidR="006D6254" w:rsidRPr="005E6F4E" w:rsidRDefault="006D6254" w:rsidP="006D6254">
      <w:pPr>
        <w:ind w:left="1134" w:firstLine="567"/>
      </w:pPr>
      <w:r w:rsidRPr="005E6F4E">
        <w:t>(Preparatory workshop on July 2)</w:t>
      </w:r>
    </w:p>
    <w:p w:rsidR="006D6254" w:rsidRPr="005E6F4E" w:rsidRDefault="006D6254" w:rsidP="006D6254">
      <w:pPr>
        <w:spacing w:after="60"/>
        <w:ind w:left="1701" w:hanging="1701"/>
      </w:pPr>
    </w:p>
    <w:p w:rsidR="006D6254" w:rsidRPr="00B03035" w:rsidRDefault="006D6254" w:rsidP="00B03035">
      <w:pPr>
        <w:ind w:left="1701" w:hanging="1134"/>
        <w:rPr>
          <w:rFonts w:cs="Arial"/>
          <w:i/>
        </w:rPr>
      </w:pPr>
      <w:r w:rsidRPr="00B03035">
        <w:rPr>
          <w:rFonts w:cs="Arial"/>
          <w:i/>
        </w:rPr>
        <w:t>Working Group on Biochemical and Molecular Techniques, and DNA-Profiling in Particular (BMT)</w:t>
      </w:r>
    </w:p>
    <w:p w:rsidR="006D6254" w:rsidRPr="006D6254" w:rsidRDefault="006D6254" w:rsidP="006D6254">
      <w:pPr>
        <w:tabs>
          <w:tab w:val="left" w:pos="567"/>
          <w:tab w:val="left" w:pos="1701"/>
        </w:tabs>
        <w:ind w:left="1701" w:hanging="1701"/>
        <w:rPr>
          <w:rFonts w:cs="Arial"/>
          <w:lang w:val="fr-FR"/>
        </w:rPr>
      </w:pPr>
      <w:r w:rsidRPr="005E6F4E">
        <w:rPr>
          <w:rFonts w:cs="Arial"/>
        </w:rPr>
        <w:tab/>
      </w:r>
      <w:r w:rsidRPr="006D6254">
        <w:rPr>
          <w:rFonts w:cs="Arial"/>
          <w:lang w:val="fr-FR"/>
        </w:rPr>
        <w:t>BMT/16</w:t>
      </w:r>
      <w:r w:rsidRPr="006D6254">
        <w:rPr>
          <w:rFonts w:cs="Arial"/>
          <w:lang w:val="fr-FR"/>
        </w:rPr>
        <w:tab/>
      </w:r>
      <w:proofErr w:type="spellStart"/>
      <w:r w:rsidRPr="006D6254">
        <w:rPr>
          <w:rFonts w:cs="Arial"/>
          <w:lang w:val="fr-FR" w:eastAsia="ja-JP"/>
        </w:rPr>
        <w:t>November</w:t>
      </w:r>
      <w:proofErr w:type="spellEnd"/>
      <w:r w:rsidRPr="006D6254">
        <w:rPr>
          <w:rFonts w:cs="Arial"/>
          <w:lang w:val="fr-FR" w:eastAsia="ja-JP"/>
        </w:rPr>
        <w:t xml:space="preserve"> 7 to 10</w:t>
      </w:r>
      <w:r w:rsidRPr="006D6254">
        <w:rPr>
          <w:rFonts w:cs="Arial"/>
          <w:lang w:val="fr-FR"/>
        </w:rPr>
        <w:t>, La Rochelle, France</w:t>
      </w:r>
    </w:p>
    <w:p w:rsidR="008C5778" w:rsidRDefault="006D6254" w:rsidP="00B03035">
      <w:pPr>
        <w:ind w:left="1134" w:firstLine="567"/>
      </w:pPr>
      <w:r w:rsidRPr="005E6F4E">
        <w:t xml:space="preserve">(Preparatory workshop on </w:t>
      </w:r>
      <w:r>
        <w:rPr>
          <w:lang w:eastAsia="ja-JP"/>
        </w:rPr>
        <w:t>November 6</w:t>
      </w:r>
      <w:r w:rsidRPr="005E6F4E">
        <w:t>)</w:t>
      </w:r>
    </w:p>
    <w:p w:rsidR="006D6254" w:rsidRDefault="006D6254" w:rsidP="00B03035">
      <w:pPr>
        <w:ind w:left="1134" w:firstLine="567"/>
        <w:rPr>
          <w:rFonts w:eastAsiaTheme="minorEastAsia" w:cs="Arial"/>
        </w:rPr>
      </w:pPr>
      <w:r>
        <w:rPr>
          <w:rFonts w:eastAsiaTheme="minorEastAsia" w:cs="Arial"/>
        </w:rPr>
        <w:br w:type="page"/>
      </w:r>
    </w:p>
    <w:p w:rsidR="00454EC9" w:rsidRPr="00454EC9" w:rsidRDefault="00454EC9" w:rsidP="00454EC9">
      <w:pPr>
        <w:pStyle w:val="Heading1"/>
      </w:pPr>
      <w:bookmarkStart w:id="25" w:name="_Toc381174865"/>
      <w:bookmarkStart w:id="26" w:name="_Toc478464901"/>
      <w:r w:rsidRPr="00454EC9">
        <w:lastRenderedPageBreak/>
        <w:t>UPOV Collection</w:t>
      </w:r>
      <w:bookmarkEnd w:id="25"/>
      <w:bookmarkEnd w:id="26"/>
    </w:p>
    <w:p w:rsidR="00454EC9" w:rsidRPr="00454EC9" w:rsidRDefault="00454EC9" w:rsidP="00454EC9">
      <w:r w:rsidRPr="00454EC9">
        <w:t>(</w:t>
      </w:r>
      <w:proofErr w:type="gramStart"/>
      <w:r w:rsidRPr="00454EC9">
        <w:t>see</w:t>
      </w:r>
      <w:proofErr w:type="gramEnd"/>
      <w:r w:rsidRPr="00454EC9">
        <w:t xml:space="preserve"> </w:t>
      </w:r>
      <w:hyperlink r:id="rId11" w:history="1">
        <w:r w:rsidRPr="00454EC9">
          <w:rPr>
            <w:rStyle w:val="Hyperlink"/>
          </w:rPr>
          <w:t>http://www.upov.int/upov_collection/en/</w:t>
        </w:r>
      </w:hyperlink>
      <w:r w:rsidRPr="00454EC9">
        <w:t>)</w:t>
      </w:r>
    </w:p>
    <w:p w:rsidR="00454EC9" w:rsidRPr="00454EC9" w:rsidRDefault="00454EC9" w:rsidP="00454EC9"/>
    <w:p w:rsidR="00454EC9" w:rsidRPr="00454EC9" w:rsidRDefault="00454EC9" w:rsidP="00454EC9">
      <w:pPr>
        <w:pStyle w:val="Heading2"/>
      </w:pPr>
      <w:bookmarkStart w:id="27" w:name="_Toc478464902"/>
      <w:r w:rsidRPr="00454EC9">
        <w:t>Adoption of documents</w:t>
      </w:r>
      <w:bookmarkEnd w:id="27"/>
    </w:p>
    <w:p w:rsidR="00454EC9" w:rsidRPr="00454EC9" w:rsidRDefault="00454EC9" w:rsidP="00454EC9"/>
    <w:p w:rsidR="00454EC9" w:rsidRPr="00454EC9" w:rsidRDefault="00454EC9" w:rsidP="00454EC9">
      <w:r w:rsidRPr="00454EC9">
        <w:fldChar w:fldCharType="begin"/>
      </w:r>
      <w:r w:rsidRPr="00454EC9">
        <w:instrText xml:space="preserve"> AUTONUM  </w:instrText>
      </w:r>
      <w:r w:rsidRPr="00454EC9">
        <w:fldChar w:fldCharType="end"/>
      </w:r>
      <w:r w:rsidRPr="00454EC9">
        <w:tab/>
        <w:t xml:space="preserve">The Council adopted the following revisions of documents at its </w:t>
      </w:r>
      <w:r w:rsidR="00612438">
        <w:t xml:space="preserve">fiftieth </w:t>
      </w:r>
      <w:r w:rsidRPr="00454EC9">
        <w:t>ordinary session:</w:t>
      </w:r>
    </w:p>
    <w:p w:rsidR="00454EC9" w:rsidRPr="00454EC9" w:rsidRDefault="00454EC9" w:rsidP="00454EC9"/>
    <w:p w:rsidR="00612438" w:rsidRPr="0079538F" w:rsidRDefault="00612438" w:rsidP="00612438">
      <w:pPr>
        <w:ind w:left="567"/>
        <w:rPr>
          <w:bCs/>
          <w:snapToGrid w:val="0"/>
          <w:szCs w:val="24"/>
        </w:rPr>
      </w:pPr>
      <w:r w:rsidRPr="0079538F">
        <w:rPr>
          <w:bCs/>
          <w:snapToGrid w:val="0"/>
          <w:szCs w:val="24"/>
        </w:rPr>
        <w:t>(a)</w:t>
      </w:r>
      <w:r w:rsidRPr="0079538F">
        <w:rPr>
          <w:bCs/>
          <w:snapToGrid w:val="0"/>
          <w:szCs w:val="24"/>
        </w:rPr>
        <w:tab/>
        <w:t>TGP documents:</w:t>
      </w:r>
    </w:p>
    <w:p w:rsidR="00612438" w:rsidRPr="0079538F" w:rsidRDefault="00612438" w:rsidP="00612438">
      <w:pPr>
        <w:ind w:left="2268" w:hanging="1701"/>
        <w:rPr>
          <w:bCs/>
          <w:snapToGrid w:val="0"/>
          <w:szCs w:val="24"/>
        </w:rPr>
      </w:pPr>
    </w:p>
    <w:p w:rsidR="00612438" w:rsidRPr="009A60F9" w:rsidRDefault="00612438" w:rsidP="00612438">
      <w:pPr>
        <w:ind w:left="1134"/>
        <w:rPr>
          <w:bCs/>
          <w:snapToGrid w:val="0"/>
          <w:szCs w:val="24"/>
        </w:rPr>
      </w:pPr>
      <w:r w:rsidRPr="009A60F9">
        <w:rPr>
          <w:bCs/>
          <w:snapToGrid w:val="0"/>
          <w:szCs w:val="24"/>
        </w:rPr>
        <w:t xml:space="preserve">TGP/7 </w:t>
      </w:r>
      <w:r>
        <w:rPr>
          <w:bCs/>
          <w:snapToGrid w:val="0"/>
          <w:szCs w:val="24"/>
        </w:rPr>
        <w:tab/>
      </w:r>
      <w:r w:rsidR="00594218">
        <w:rPr>
          <w:bCs/>
          <w:snapToGrid w:val="0"/>
          <w:szCs w:val="24"/>
        </w:rPr>
        <w:t>Development of Test Guidelines</w:t>
      </w:r>
    </w:p>
    <w:p w:rsidR="00612438" w:rsidRPr="009A60F9" w:rsidRDefault="00612438" w:rsidP="00612438">
      <w:pPr>
        <w:ind w:left="1134"/>
        <w:rPr>
          <w:bCs/>
          <w:snapToGrid w:val="0"/>
          <w:szCs w:val="24"/>
        </w:rPr>
      </w:pPr>
      <w:r w:rsidRPr="009A60F9">
        <w:rPr>
          <w:bCs/>
          <w:snapToGrid w:val="0"/>
          <w:szCs w:val="24"/>
        </w:rPr>
        <w:t xml:space="preserve">TGP/8 </w:t>
      </w:r>
      <w:r>
        <w:rPr>
          <w:bCs/>
          <w:snapToGrid w:val="0"/>
          <w:szCs w:val="24"/>
        </w:rPr>
        <w:tab/>
      </w:r>
      <w:r w:rsidRPr="009A60F9">
        <w:rPr>
          <w:bCs/>
          <w:snapToGrid w:val="0"/>
          <w:szCs w:val="24"/>
        </w:rPr>
        <w:t>Trial Design and Techniques Used in the Examination of Distinctness, Uniformity</w:t>
      </w:r>
    </w:p>
    <w:p w:rsidR="00612438" w:rsidRDefault="00612438" w:rsidP="00612438">
      <w:pPr>
        <w:ind w:left="1134"/>
        <w:rPr>
          <w:bCs/>
          <w:snapToGrid w:val="0"/>
          <w:szCs w:val="24"/>
        </w:rPr>
      </w:pPr>
      <w:r>
        <w:rPr>
          <w:bCs/>
          <w:snapToGrid w:val="0"/>
          <w:szCs w:val="24"/>
        </w:rPr>
        <w:tab/>
      </w:r>
      <w:r>
        <w:rPr>
          <w:bCs/>
          <w:snapToGrid w:val="0"/>
          <w:szCs w:val="24"/>
        </w:rPr>
        <w:tab/>
      </w:r>
      <w:proofErr w:type="gramStart"/>
      <w:r w:rsidR="00594218">
        <w:rPr>
          <w:bCs/>
          <w:snapToGrid w:val="0"/>
          <w:szCs w:val="24"/>
        </w:rPr>
        <w:t>and</w:t>
      </w:r>
      <w:proofErr w:type="gramEnd"/>
      <w:r w:rsidR="00594218">
        <w:rPr>
          <w:bCs/>
          <w:snapToGrid w:val="0"/>
          <w:szCs w:val="24"/>
        </w:rPr>
        <w:t xml:space="preserve"> Stability</w:t>
      </w:r>
    </w:p>
    <w:p w:rsidR="00612438" w:rsidRPr="009A60F9" w:rsidRDefault="00612438" w:rsidP="00612438">
      <w:pPr>
        <w:ind w:left="1134"/>
        <w:rPr>
          <w:bCs/>
          <w:snapToGrid w:val="0"/>
          <w:szCs w:val="24"/>
        </w:rPr>
      </w:pPr>
    </w:p>
    <w:p w:rsidR="00612438" w:rsidRPr="0079538F" w:rsidRDefault="00612438" w:rsidP="00612438">
      <w:pPr>
        <w:keepNext/>
        <w:ind w:left="567"/>
        <w:rPr>
          <w:bCs/>
          <w:snapToGrid w:val="0"/>
          <w:szCs w:val="24"/>
        </w:rPr>
      </w:pPr>
      <w:r>
        <w:rPr>
          <w:bCs/>
          <w:snapToGrid w:val="0"/>
          <w:szCs w:val="24"/>
        </w:rPr>
        <w:t>(b</w:t>
      </w:r>
      <w:r w:rsidRPr="0079538F">
        <w:rPr>
          <w:bCs/>
          <w:snapToGrid w:val="0"/>
          <w:szCs w:val="24"/>
        </w:rPr>
        <w:t>)</w:t>
      </w:r>
      <w:r w:rsidRPr="0079538F">
        <w:rPr>
          <w:bCs/>
          <w:snapToGrid w:val="0"/>
          <w:szCs w:val="24"/>
        </w:rPr>
        <w:tab/>
        <w:t>Information documents:</w:t>
      </w:r>
    </w:p>
    <w:p w:rsidR="00612438" w:rsidRPr="0079538F" w:rsidRDefault="00612438" w:rsidP="00612438">
      <w:pPr>
        <w:keepNext/>
        <w:ind w:left="2268" w:hanging="1701"/>
        <w:rPr>
          <w:bCs/>
          <w:snapToGrid w:val="0"/>
          <w:szCs w:val="24"/>
        </w:rPr>
      </w:pPr>
    </w:p>
    <w:p w:rsidR="00612438" w:rsidRPr="0079538F" w:rsidRDefault="00612438" w:rsidP="00612438">
      <w:pPr>
        <w:ind w:left="2835" w:hanging="1701"/>
        <w:rPr>
          <w:kern w:val="28"/>
        </w:rPr>
      </w:pPr>
      <w:r w:rsidRPr="0079538F">
        <w:rPr>
          <w:bCs/>
          <w:snapToGrid w:val="0"/>
          <w:szCs w:val="24"/>
        </w:rPr>
        <w:t>UPOV/INF/16</w:t>
      </w:r>
      <w:r w:rsidRPr="0079538F">
        <w:rPr>
          <w:bCs/>
          <w:snapToGrid w:val="0"/>
          <w:szCs w:val="24"/>
        </w:rPr>
        <w:tab/>
      </w:r>
      <w:r w:rsidRPr="0079538F">
        <w:rPr>
          <w:bCs/>
          <w:snapToGrid w:val="0"/>
          <w:spacing w:val="-4"/>
          <w:szCs w:val="24"/>
        </w:rPr>
        <w:t>Ex</w:t>
      </w:r>
      <w:r>
        <w:rPr>
          <w:bCs/>
          <w:snapToGrid w:val="0"/>
          <w:spacing w:val="-4"/>
          <w:szCs w:val="24"/>
        </w:rPr>
        <w:t>changeable Software</w:t>
      </w:r>
      <w:r w:rsidRPr="0079538F">
        <w:rPr>
          <w:bCs/>
          <w:snapToGrid w:val="0"/>
          <w:spacing w:val="-4"/>
          <w:szCs w:val="24"/>
        </w:rPr>
        <w:t xml:space="preserve"> </w:t>
      </w:r>
    </w:p>
    <w:p w:rsidR="00612438" w:rsidRPr="0079538F" w:rsidRDefault="00612438" w:rsidP="00612438">
      <w:pPr>
        <w:ind w:left="2835" w:hanging="1701"/>
        <w:rPr>
          <w:kern w:val="28"/>
        </w:rPr>
      </w:pPr>
      <w:r w:rsidRPr="0079538F">
        <w:rPr>
          <w:bCs/>
          <w:snapToGrid w:val="0"/>
          <w:szCs w:val="24"/>
        </w:rPr>
        <w:t>UPOV/INF/22</w:t>
      </w:r>
      <w:r w:rsidRPr="0079538F">
        <w:rPr>
          <w:bCs/>
          <w:snapToGrid w:val="0"/>
          <w:szCs w:val="24"/>
        </w:rPr>
        <w:tab/>
      </w:r>
      <w:r w:rsidRPr="0079538F">
        <w:rPr>
          <w:bCs/>
          <w:snapToGrid w:val="0"/>
          <w:spacing w:val="-4"/>
          <w:szCs w:val="24"/>
        </w:rPr>
        <w:t>Software and Equipmen</w:t>
      </w:r>
      <w:r>
        <w:rPr>
          <w:bCs/>
          <w:snapToGrid w:val="0"/>
          <w:spacing w:val="-4"/>
          <w:szCs w:val="24"/>
        </w:rPr>
        <w:t>t Used by Members of the Union</w:t>
      </w:r>
    </w:p>
    <w:p w:rsidR="00454EC9" w:rsidRPr="00454EC9" w:rsidRDefault="00454EC9" w:rsidP="00454EC9"/>
    <w:p w:rsidR="00454EC9" w:rsidRPr="00454EC9" w:rsidRDefault="00454EC9" w:rsidP="00612438">
      <w:r w:rsidRPr="00454EC9">
        <w:fldChar w:fldCharType="begin"/>
      </w:r>
      <w:r w:rsidRPr="00454EC9">
        <w:instrText xml:space="preserve"> AUTONUM  </w:instrText>
      </w:r>
      <w:r w:rsidRPr="00454EC9">
        <w:fldChar w:fldCharType="end"/>
      </w:r>
      <w:r w:rsidRPr="00454EC9">
        <w:tab/>
      </w:r>
      <w:r w:rsidR="00612438" w:rsidRPr="00612438">
        <w:rPr>
          <w:rFonts w:cs="Arial"/>
          <w:spacing w:val="-4"/>
        </w:rPr>
        <w:t xml:space="preserve">All adopted documents </w:t>
      </w:r>
      <w:r w:rsidR="00B03035">
        <w:rPr>
          <w:rFonts w:cs="Arial"/>
          <w:spacing w:val="-4"/>
        </w:rPr>
        <w:t>are</w:t>
      </w:r>
      <w:r w:rsidR="00612438" w:rsidRPr="00612438">
        <w:rPr>
          <w:rFonts w:cs="Arial"/>
          <w:spacing w:val="-4"/>
        </w:rPr>
        <w:t xml:space="preserve"> published in the UPOV Collection (see</w:t>
      </w:r>
      <w:r w:rsidR="00612438">
        <w:rPr>
          <w:rFonts w:cs="Arial"/>
          <w:spacing w:val="-4"/>
        </w:rPr>
        <w:t xml:space="preserve"> </w:t>
      </w:r>
      <w:hyperlink r:id="rId12" w:history="1">
        <w:r w:rsidR="00612438" w:rsidRPr="00612438">
          <w:rPr>
            <w:rStyle w:val="Hyperlink"/>
            <w:rFonts w:cs="Arial"/>
            <w:spacing w:val="-4"/>
          </w:rPr>
          <w:t>http://www.upov.int/upov_collection/en/</w:t>
        </w:r>
      </w:hyperlink>
      <w:r w:rsidR="00612438" w:rsidRPr="00612438">
        <w:rPr>
          <w:rFonts w:cs="Arial"/>
          <w:spacing w:val="-4"/>
        </w:rPr>
        <w:t>)</w:t>
      </w:r>
      <w:r w:rsidRPr="00454EC9">
        <w:t xml:space="preserve"> </w:t>
      </w:r>
    </w:p>
    <w:p w:rsidR="00454EC9" w:rsidRDefault="00454EC9" w:rsidP="00454EC9"/>
    <w:p w:rsidR="00612438" w:rsidRDefault="00612438" w:rsidP="00454EC9"/>
    <w:p w:rsidR="00612438" w:rsidRDefault="00612438" w:rsidP="00454EC9">
      <w:r w:rsidRPr="00454EC9">
        <w:fldChar w:fldCharType="begin"/>
      </w:r>
      <w:r w:rsidRPr="00454EC9">
        <w:instrText xml:space="preserve"> AUTONUM  </w:instrText>
      </w:r>
      <w:r w:rsidRPr="00454EC9">
        <w:fldChar w:fldCharType="end"/>
      </w:r>
      <w:r w:rsidRPr="00454EC9">
        <w:tab/>
      </w:r>
      <w:r w:rsidR="001228E2">
        <w:t>The following d</w:t>
      </w:r>
      <w:r>
        <w:t xml:space="preserve">ocuments </w:t>
      </w:r>
      <w:r w:rsidR="001228E2">
        <w:t>will</w:t>
      </w:r>
      <w:r>
        <w:t xml:space="preserve"> be considered for adoption by the Council at its t</w:t>
      </w:r>
      <w:r w:rsidRPr="00612438">
        <w:t>hirty-</w:t>
      </w:r>
      <w:r>
        <w:t>third e</w:t>
      </w:r>
      <w:r w:rsidRPr="00612438">
        <w:t xml:space="preserve">xtraordinary </w:t>
      </w:r>
      <w:r>
        <w:t>s</w:t>
      </w:r>
      <w:r w:rsidRPr="00612438">
        <w:t>ession</w:t>
      </w:r>
      <w:r w:rsidR="006D6254">
        <w:t>, to be held on April 6, 2017:</w:t>
      </w:r>
    </w:p>
    <w:p w:rsidR="001228E2" w:rsidRDefault="001228E2" w:rsidP="00454EC9"/>
    <w:p w:rsidR="001228E2" w:rsidRDefault="001228E2" w:rsidP="001228E2">
      <w:pPr>
        <w:ind w:left="2552" w:hanging="1985"/>
        <w:jc w:val="left"/>
      </w:pPr>
      <w:r w:rsidRPr="005471B4">
        <w:t>UPOV/EXN/EDV/2</w:t>
      </w:r>
      <w:r w:rsidRPr="009549AD">
        <w:tab/>
      </w:r>
      <w:r w:rsidRPr="005471B4">
        <w:t>Explanatory Notes on Essentially Derived Varieties under the 1991 Act of the UPOV Convention (Revision</w:t>
      </w:r>
      <w:proofErr w:type="gramStart"/>
      <w:r w:rsidRPr="005471B4">
        <w:t>)</w:t>
      </w:r>
      <w:proofErr w:type="gramEnd"/>
      <w:r w:rsidRPr="009549AD">
        <w:br/>
        <w:t xml:space="preserve">(document </w:t>
      </w:r>
      <w:r w:rsidRPr="005471B4">
        <w:t xml:space="preserve">UPOV/EXN/EDV/2 Draft </w:t>
      </w:r>
      <w:r>
        <w:t>8</w:t>
      </w:r>
      <w:r w:rsidRPr="009549AD">
        <w:t>)</w:t>
      </w:r>
    </w:p>
    <w:p w:rsidR="001228E2" w:rsidRDefault="001228E2" w:rsidP="001228E2">
      <w:pPr>
        <w:ind w:left="2552" w:hanging="1985"/>
        <w:jc w:val="left"/>
      </w:pPr>
    </w:p>
    <w:p w:rsidR="001228E2" w:rsidRPr="009549AD" w:rsidRDefault="001228E2" w:rsidP="001228E2">
      <w:pPr>
        <w:ind w:left="2552" w:hanging="1985"/>
        <w:jc w:val="left"/>
      </w:pPr>
      <w:r w:rsidRPr="005471B4">
        <w:t>UPOV/EXN/PPM/1</w:t>
      </w:r>
      <w:r>
        <w:tab/>
      </w:r>
      <w:r w:rsidRPr="005471B4">
        <w:t xml:space="preserve">Explanatory Notes on Propagating Material under the UPOV </w:t>
      </w:r>
      <w:proofErr w:type="gramStart"/>
      <w:r w:rsidRPr="005471B4">
        <w:t>Convention</w:t>
      </w:r>
      <w:proofErr w:type="gramEnd"/>
      <w:r>
        <w:br/>
        <w:t>(document UPOV/EXN/PPM/1 Draft 7)</w:t>
      </w:r>
    </w:p>
    <w:p w:rsidR="001228E2" w:rsidRPr="009549AD" w:rsidRDefault="001228E2" w:rsidP="001228E2">
      <w:pPr>
        <w:ind w:left="2552" w:hanging="1985"/>
        <w:jc w:val="left"/>
      </w:pPr>
    </w:p>
    <w:p w:rsidR="001228E2" w:rsidRDefault="001228E2" w:rsidP="001228E2">
      <w:pPr>
        <w:ind w:left="2552" w:hanging="1985"/>
        <w:jc w:val="left"/>
      </w:pPr>
      <w:r>
        <w:t>UPOV/INF/6/5</w:t>
      </w:r>
      <w:r>
        <w:tab/>
        <w:t>Guidance for the preparation of laws based on the 1991 Act of the UPOV Convention (Revision</w:t>
      </w:r>
      <w:proofErr w:type="gramStart"/>
      <w:r>
        <w:t>)</w:t>
      </w:r>
      <w:proofErr w:type="gramEnd"/>
      <w:r>
        <w:br/>
        <w:t>(document C(</w:t>
      </w:r>
      <w:proofErr w:type="spellStart"/>
      <w:r>
        <w:t>Extr</w:t>
      </w:r>
      <w:proofErr w:type="spellEnd"/>
      <w:r>
        <w:t>.)/34/2, Annex)</w:t>
      </w:r>
    </w:p>
    <w:p w:rsidR="001228E2" w:rsidRDefault="001228E2" w:rsidP="001228E2">
      <w:pPr>
        <w:ind w:left="2552" w:hanging="1985"/>
        <w:jc w:val="left"/>
      </w:pPr>
    </w:p>
    <w:p w:rsidR="001228E2" w:rsidRDefault="001228E2" w:rsidP="001228E2">
      <w:pPr>
        <w:ind w:left="2552" w:hanging="1985"/>
      </w:pPr>
      <w:r>
        <w:t>UPOV/INF-EXN/10</w:t>
      </w:r>
      <w:r w:rsidRPr="009549AD">
        <w:tab/>
        <w:t>List of UPOV/INF-EXN Documents and Latest Issue Dates</w:t>
      </w:r>
      <w:r>
        <w:t xml:space="preserve"> (Revision</w:t>
      </w:r>
      <w:proofErr w:type="gramStart"/>
      <w:r>
        <w:t>)</w:t>
      </w:r>
      <w:proofErr w:type="gramEnd"/>
      <w:r w:rsidRPr="009549AD">
        <w:br/>
        <w:t xml:space="preserve">(document </w:t>
      </w:r>
      <w:r>
        <w:t>UPOV/INF-EXN/10</w:t>
      </w:r>
      <w:r w:rsidRPr="009549AD">
        <w:t xml:space="preserve"> Draft 1)</w:t>
      </w:r>
    </w:p>
    <w:p w:rsidR="001228E2" w:rsidRDefault="001228E2" w:rsidP="00B03035"/>
    <w:p w:rsidR="00B03035" w:rsidRDefault="00B03035" w:rsidP="00B03035"/>
    <w:p w:rsidR="00B03035" w:rsidRDefault="00B03035" w:rsidP="00A72390">
      <w:pPr>
        <w:pStyle w:val="Heading2"/>
      </w:pPr>
      <w:bookmarkStart w:id="28" w:name="_Toc478464903"/>
      <w:r w:rsidRPr="00594218">
        <w:t xml:space="preserve">Matters to be considered by the </w:t>
      </w:r>
      <w:r w:rsidR="00A72390" w:rsidRPr="00594218">
        <w:t>Administrative and Legal Committee</w:t>
      </w:r>
      <w:bookmarkEnd w:id="28"/>
    </w:p>
    <w:p w:rsidR="00B03035" w:rsidRDefault="00B03035" w:rsidP="00B03035"/>
    <w:bookmarkStart w:id="29" w:name="_Toc381174870"/>
    <w:p w:rsidR="00454EC9" w:rsidRDefault="001228E2" w:rsidP="00454EC9">
      <w:r w:rsidRPr="00454EC9">
        <w:fldChar w:fldCharType="begin"/>
      </w:r>
      <w:r w:rsidRPr="00454EC9">
        <w:instrText xml:space="preserve"> AUTONUM  </w:instrText>
      </w:r>
      <w:r w:rsidRPr="00454EC9">
        <w:fldChar w:fldCharType="end"/>
      </w:r>
      <w:r w:rsidRPr="00454EC9">
        <w:tab/>
      </w:r>
      <w:r>
        <w:t>The following matte</w:t>
      </w:r>
      <w:r w:rsidR="008C5778">
        <w:t>r</w:t>
      </w:r>
      <w:r>
        <w:t xml:space="preserve">s will be considered by the </w:t>
      </w:r>
      <w:r w:rsidRPr="001228E2">
        <w:t>Administrative and Legal Committee</w:t>
      </w:r>
      <w:r>
        <w:t xml:space="preserve"> at its seventy</w:t>
      </w:r>
      <w:r w:rsidR="004D1213">
        <w:noBreakHyphen/>
        <w:t>fourth</w:t>
      </w:r>
      <w:r w:rsidRPr="001228E2">
        <w:t xml:space="preserve"> </w:t>
      </w:r>
      <w:r>
        <w:t>s</w:t>
      </w:r>
      <w:r w:rsidRPr="001228E2">
        <w:t>ession</w:t>
      </w:r>
      <w:r>
        <w:t>, to be held on October 23 and 24, 2017</w:t>
      </w:r>
      <w:r w:rsidR="004D1213">
        <w:t>:</w:t>
      </w:r>
    </w:p>
    <w:p w:rsidR="006D6254" w:rsidRDefault="006D6254" w:rsidP="00454EC9"/>
    <w:p w:rsidR="004D1213" w:rsidRPr="00075AC2" w:rsidRDefault="004D1213" w:rsidP="004D1213">
      <w:pPr>
        <w:ind w:left="1701" w:hanging="567"/>
        <w:rPr>
          <w:kern w:val="28"/>
        </w:rPr>
      </w:pPr>
      <w:r w:rsidRPr="00075AC2">
        <w:t xml:space="preserve">(a) </w:t>
      </w:r>
      <w:r w:rsidRPr="00075AC2">
        <w:tab/>
        <w:t>Possible revision of document UPOV/EXN/EDV/2 Explanatory Notes on Essentially Derived Varieties under the 1991 Act of the UPOV Convention (Revision)</w:t>
      </w:r>
    </w:p>
    <w:p w:rsidR="004D1213" w:rsidRPr="00075AC2" w:rsidRDefault="004D1213" w:rsidP="004D1213">
      <w:pPr>
        <w:ind w:left="567"/>
        <w:rPr>
          <w:kern w:val="28"/>
        </w:rPr>
      </w:pPr>
    </w:p>
    <w:p w:rsidR="004D1213" w:rsidRPr="00075AC2" w:rsidRDefault="004D1213" w:rsidP="004D1213">
      <w:pPr>
        <w:keepNext/>
        <w:ind w:left="1701" w:hanging="567"/>
      </w:pPr>
      <w:r w:rsidRPr="00075AC2">
        <w:t>(b)</w:t>
      </w:r>
      <w:r w:rsidRPr="00075AC2">
        <w:tab/>
        <w:t>Possible revision of document UPOV/EXN/CAL/1 “Explanatory Notes on Conditions and Limitations Concerning the Breeder's Authorization in Respect of Propagating Material under the UPOV Convention”</w:t>
      </w:r>
    </w:p>
    <w:p w:rsidR="004D1213" w:rsidRPr="00075AC2" w:rsidRDefault="004D1213" w:rsidP="004D1213">
      <w:pPr>
        <w:keepNext/>
      </w:pPr>
    </w:p>
    <w:p w:rsidR="004D1213" w:rsidRPr="00075AC2" w:rsidRDefault="004D1213" w:rsidP="004D1213">
      <w:pPr>
        <w:keepNext/>
        <w:ind w:left="1701" w:hanging="567"/>
      </w:pPr>
      <w:r w:rsidRPr="00075AC2">
        <w:t>(c)</w:t>
      </w:r>
      <w:r w:rsidRPr="00075AC2">
        <w:tab/>
        <w:t>Possible revision of document UPOV/EXN/PRP/2 “Explanatory Notes on Provisional Protection under the UPOV Convention”</w:t>
      </w:r>
    </w:p>
    <w:p w:rsidR="004D1213" w:rsidRPr="00075AC2" w:rsidRDefault="004D1213" w:rsidP="00FE7BB8">
      <w:pPr>
        <w:keepNext/>
        <w:jc w:val="left"/>
      </w:pPr>
    </w:p>
    <w:p w:rsidR="00F077A9" w:rsidRPr="00075AC2" w:rsidRDefault="00F077A9" w:rsidP="00FE7BB8">
      <w:pPr>
        <w:keepNext/>
        <w:jc w:val="left"/>
      </w:pPr>
    </w:p>
    <w:p w:rsidR="00FE7BB8" w:rsidRDefault="00FE7BB8" w:rsidP="00FE7BB8">
      <w:r w:rsidRPr="00594218">
        <w:fldChar w:fldCharType="begin"/>
      </w:r>
      <w:r w:rsidRPr="00594218">
        <w:instrText xml:space="preserve"> AUTONUM  </w:instrText>
      </w:r>
      <w:r w:rsidRPr="00594218">
        <w:fldChar w:fldCharType="end"/>
      </w:r>
      <w:r w:rsidRPr="00594218">
        <w:tab/>
        <w:t xml:space="preserve">At its seventy-third session, the </w:t>
      </w:r>
      <w:r w:rsidR="00A72390" w:rsidRPr="00594218">
        <w:t xml:space="preserve">Administrative and Legal Committee </w:t>
      </w:r>
      <w:r w:rsidRPr="00594218">
        <w:t>agreed to continue to defer the</w:t>
      </w:r>
      <w:r w:rsidRPr="00FE7BB8">
        <w:t xml:space="preserve"> preparation of a draft revision of document UPOV/INF/5 “UPOV Model Plant Breeders’ Rights Gazette (Revision)” (document UPOV/INF/5/1 Draft 1), pending developments in relation to the development of a prototype electronic form (see document CAJ/73/4 “Electronic application form”)</w:t>
      </w:r>
      <w:r w:rsidR="008C5778">
        <w:t>.</w:t>
      </w:r>
    </w:p>
    <w:p w:rsidR="001228E2" w:rsidRPr="00454EC9" w:rsidRDefault="001228E2" w:rsidP="00454EC9"/>
    <w:bookmarkEnd w:id="29"/>
    <w:p w:rsidR="00FE7BB8" w:rsidRDefault="00FE7BB8" w:rsidP="00454EC9">
      <w:r>
        <w:br w:type="page"/>
      </w:r>
    </w:p>
    <w:p w:rsidR="00454EC9" w:rsidRDefault="004D1213" w:rsidP="004D1213">
      <w:pPr>
        <w:pStyle w:val="Heading1"/>
      </w:pPr>
      <w:bookmarkStart w:id="30" w:name="_Toc478464904"/>
      <w:r>
        <w:lastRenderedPageBreak/>
        <w:t>Observers in UPOV Bodies</w:t>
      </w:r>
      <w:bookmarkEnd w:id="30"/>
    </w:p>
    <w:p w:rsidR="004D1213" w:rsidRDefault="004D1213" w:rsidP="004D1213"/>
    <w:p w:rsidR="004D1213" w:rsidRDefault="004D1213" w:rsidP="004D1213">
      <w:r w:rsidRPr="00594218">
        <w:fldChar w:fldCharType="begin"/>
      </w:r>
      <w:r w:rsidRPr="00594218">
        <w:instrText xml:space="preserve"> AUTONUM  </w:instrText>
      </w:r>
      <w:r w:rsidRPr="00594218">
        <w:fldChar w:fldCharType="end"/>
      </w:r>
      <w:r w:rsidRPr="00594218">
        <w:tab/>
        <w:t>The Consultative Committee</w:t>
      </w:r>
      <w:r w:rsidR="00FE7BB8" w:rsidRPr="00594218">
        <w:t xml:space="preserve">, at its ninety-second session, </w:t>
      </w:r>
      <w:r w:rsidRPr="00594218">
        <w:t xml:space="preserve">noted the </w:t>
      </w:r>
      <w:r w:rsidRPr="00594218">
        <w:rPr>
          <w:i/>
        </w:rPr>
        <w:t>ad hoc</w:t>
      </w:r>
      <w:r w:rsidRPr="00594218">
        <w:t xml:space="preserve"> invitations issued to</w:t>
      </w:r>
      <w:r>
        <w:t xml:space="preserve"> experts.</w:t>
      </w:r>
    </w:p>
    <w:p w:rsidR="004D1213" w:rsidRDefault="004D1213" w:rsidP="004D1213"/>
    <w:p w:rsidR="004D1213" w:rsidRDefault="004D1213" w:rsidP="004D1213">
      <w:r>
        <w:fldChar w:fldCharType="begin"/>
      </w:r>
      <w:r>
        <w:instrText xml:space="preserve"> AUTONUM  </w:instrText>
      </w:r>
      <w:r>
        <w:fldChar w:fldCharType="end"/>
      </w:r>
      <w:r>
        <w:tab/>
        <w:t>The Consultative Committee considered the information provided by the</w:t>
      </w:r>
      <w:r w:rsidRPr="001E7300">
        <w:t xml:space="preserve"> </w:t>
      </w:r>
      <w:r>
        <w:t>International Institute for IP </w:t>
      </w:r>
      <w:r w:rsidRPr="00734424">
        <w:t>Management (I</w:t>
      </w:r>
      <w:r w:rsidRPr="007A511E">
        <w:rPr>
          <w:vertAlign w:val="superscript"/>
        </w:rPr>
        <w:t>3</w:t>
      </w:r>
      <w:r w:rsidRPr="00734424">
        <w:t>PM)</w:t>
      </w:r>
      <w:r>
        <w:t xml:space="preserve">, at its ninety-second session, in relation to the </w:t>
      </w:r>
      <w:r w:rsidRPr="00734424">
        <w:t>I</w:t>
      </w:r>
      <w:r w:rsidRPr="007A511E">
        <w:rPr>
          <w:vertAlign w:val="superscript"/>
        </w:rPr>
        <w:t>3</w:t>
      </w:r>
      <w:r w:rsidRPr="00734424">
        <w:t>PM</w:t>
      </w:r>
      <w:r>
        <w:t xml:space="preserve"> request for the granting of observer status to the Council.</w:t>
      </w:r>
    </w:p>
    <w:p w:rsidR="004D1213" w:rsidRDefault="004D1213" w:rsidP="004D1213"/>
    <w:p w:rsidR="004D1213" w:rsidRPr="00476B64" w:rsidRDefault="004D1213" w:rsidP="004D1213">
      <w:r>
        <w:fldChar w:fldCharType="begin"/>
      </w:r>
      <w:r>
        <w:instrText xml:space="preserve"> AUTONUM  </w:instrText>
      </w:r>
      <w:r>
        <w:fldChar w:fldCharType="end"/>
      </w:r>
      <w:r>
        <w:tab/>
      </w:r>
      <w:r w:rsidRPr="00476B64">
        <w:t xml:space="preserve">The Consultative Committee concluded that, at that stage, it was not possible to </w:t>
      </w:r>
      <w:r>
        <w:t>agree</w:t>
      </w:r>
      <w:r w:rsidRPr="00476B64">
        <w:t xml:space="preserve"> that I</w:t>
      </w:r>
      <w:r w:rsidRPr="00476B64">
        <w:rPr>
          <w:vertAlign w:val="superscript"/>
        </w:rPr>
        <w:t>3</w:t>
      </w:r>
      <w:r w:rsidRPr="00476B64">
        <w:t xml:space="preserve">PM had demonstrated its “competence in areas of direct relevance in respect </w:t>
      </w:r>
      <w:r>
        <w:t>of matters governed by the UPOV </w:t>
      </w:r>
      <w:r w:rsidRPr="00476B64">
        <w:t xml:space="preserve">Convention”. </w:t>
      </w:r>
    </w:p>
    <w:p w:rsidR="004D1213" w:rsidRPr="00476B64" w:rsidRDefault="004D1213" w:rsidP="004D1213"/>
    <w:p w:rsidR="004D1213" w:rsidRPr="00476B64" w:rsidRDefault="004D1213" w:rsidP="004D1213">
      <w:r w:rsidRPr="00476B64">
        <w:fldChar w:fldCharType="begin"/>
      </w:r>
      <w:r w:rsidRPr="00476B64">
        <w:instrText xml:space="preserve"> AUTONUM  </w:instrText>
      </w:r>
      <w:r w:rsidRPr="00476B64">
        <w:fldChar w:fldCharType="end"/>
      </w:r>
      <w:r w:rsidRPr="00476B64">
        <w:tab/>
        <w:t xml:space="preserve">In relation to the request of the European Law Students’ Association (ELSA) for the granting of observer status to the Council and to the CAJ, the Consultative Committee concluded that, at that stage, it was not possible to </w:t>
      </w:r>
      <w:r>
        <w:t>agree</w:t>
      </w:r>
      <w:r w:rsidRPr="00476B64">
        <w:t xml:space="preserve"> that ELSA had demonstrated its “competence in areas of direct relevance in respect of matters governed by the UPOV Convention”.</w:t>
      </w:r>
    </w:p>
    <w:p w:rsidR="004D1213" w:rsidRDefault="004D1213" w:rsidP="004D1213"/>
    <w:p w:rsidR="004D1213" w:rsidRDefault="004D1213" w:rsidP="004D1213">
      <w:r w:rsidRPr="005550C8">
        <w:fldChar w:fldCharType="begin"/>
      </w:r>
      <w:r w:rsidRPr="005550C8">
        <w:instrText xml:space="preserve"> AUTONUM  </w:instrText>
      </w:r>
      <w:r w:rsidRPr="005550C8">
        <w:fldChar w:fldCharType="end"/>
      </w:r>
      <w:r w:rsidRPr="005550C8">
        <w:tab/>
        <w:t>The Consultative Committee requested that the Office of the Union</w:t>
      </w:r>
      <w:r>
        <w:t xml:space="preserve">, when informing </w:t>
      </w:r>
      <w:r w:rsidRPr="00734424">
        <w:t>I</w:t>
      </w:r>
      <w:r w:rsidRPr="007A511E">
        <w:rPr>
          <w:vertAlign w:val="superscript"/>
        </w:rPr>
        <w:t>3</w:t>
      </w:r>
      <w:r w:rsidRPr="00734424">
        <w:t>PM</w:t>
      </w:r>
      <w:r>
        <w:t xml:space="preserve"> and ELSA of the outcome, offer to explore possibilities to provide information on the UPOV system of </w:t>
      </w:r>
      <w:r w:rsidRPr="005550C8">
        <w:t>plant variety protection</w:t>
      </w:r>
      <w:r>
        <w:t xml:space="preserve"> to their members</w:t>
      </w:r>
      <w:r w:rsidRPr="005550C8">
        <w:t>.</w:t>
      </w:r>
    </w:p>
    <w:p w:rsidR="004D1213" w:rsidRDefault="004D1213" w:rsidP="004D1213"/>
    <w:p w:rsidR="004D1213" w:rsidRPr="004D1213" w:rsidRDefault="004D1213" w:rsidP="004D1213"/>
    <w:p w:rsidR="00454EC9" w:rsidRPr="00454EC9" w:rsidRDefault="00454EC9" w:rsidP="004D1213">
      <w:pPr>
        <w:pStyle w:val="Heading1"/>
      </w:pPr>
      <w:bookmarkStart w:id="31" w:name="_Toc381174873"/>
      <w:bookmarkStart w:id="32" w:name="_Toc478464905"/>
      <w:r w:rsidRPr="00454EC9">
        <w:t>Communication strategy</w:t>
      </w:r>
      <w:bookmarkEnd w:id="31"/>
      <w:bookmarkEnd w:id="32"/>
    </w:p>
    <w:p w:rsidR="00454EC9" w:rsidRDefault="00454EC9" w:rsidP="00454EC9"/>
    <w:p w:rsidR="004D1213" w:rsidRDefault="004D1213" w:rsidP="004D1213">
      <w:pPr>
        <w:pStyle w:val="Heading2"/>
      </w:pPr>
      <w:bookmarkStart w:id="33" w:name="_Toc478464906"/>
      <w:r w:rsidRPr="004D1213">
        <w:t>New UPOV Logo and updated website</w:t>
      </w:r>
      <w:bookmarkEnd w:id="33"/>
    </w:p>
    <w:p w:rsidR="004D1213" w:rsidRDefault="004D1213" w:rsidP="004D1213"/>
    <w:p w:rsidR="004D1213" w:rsidRPr="00C56397" w:rsidRDefault="004D1213" w:rsidP="004D1213">
      <w:pPr>
        <w:rPr>
          <w:rFonts w:cs="Arial"/>
          <w:u w:val="single"/>
        </w:rPr>
      </w:pPr>
      <w:r w:rsidRPr="00594218">
        <w:fldChar w:fldCharType="begin"/>
      </w:r>
      <w:r w:rsidRPr="00594218">
        <w:instrText xml:space="preserve"> AUTONUM  </w:instrText>
      </w:r>
      <w:r w:rsidRPr="00594218">
        <w:fldChar w:fldCharType="end"/>
      </w:r>
      <w:r w:rsidRPr="00594218">
        <w:tab/>
      </w:r>
      <w:r w:rsidRPr="00594218">
        <w:rPr>
          <w:rFonts w:cs="Arial"/>
        </w:rPr>
        <w:t>On November 8, 2016, UPOV launched its new logo, which was introduced on the UPOV website in</w:t>
      </w:r>
      <w:r w:rsidRPr="00C56397">
        <w:rPr>
          <w:rFonts w:cs="Arial"/>
        </w:rPr>
        <w:t xml:space="preserve"> conjunction with the introduction of the</w:t>
      </w:r>
      <w:r>
        <w:rPr>
          <w:rFonts w:cs="Arial"/>
        </w:rPr>
        <w:t xml:space="preserve"> new stakeholder features for: breeders</w:t>
      </w:r>
      <w:proofErr w:type="gramStart"/>
      <w:r>
        <w:rPr>
          <w:rFonts w:cs="Arial"/>
        </w:rPr>
        <w:t>;  f</w:t>
      </w:r>
      <w:r w:rsidRPr="00C56397">
        <w:rPr>
          <w:rFonts w:cs="Arial"/>
        </w:rPr>
        <w:t>a</w:t>
      </w:r>
      <w:r>
        <w:rPr>
          <w:rFonts w:cs="Arial"/>
        </w:rPr>
        <w:t>rmers</w:t>
      </w:r>
      <w:proofErr w:type="gramEnd"/>
      <w:r>
        <w:rPr>
          <w:rFonts w:cs="Arial"/>
        </w:rPr>
        <w:t>;  policy-makers;  and the general p</w:t>
      </w:r>
      <w:r w:rsidRPr="00C56397">
        <w:rPr>
          <w:rFonts w:cs="Arial"/>
        </w:rPr>
        <w:t>ublic and with the introduction of the UPOV YouTube channel.</w:t>
      </w:r>
    </w:p>
    <w:p w:rsidR="004D1213" w:rsidRPr="00C56397" w:rsidRDefault="004D1213" w:rsidP="004D1213">
      <w:pPr>
        <w:rPr>
          <w:rFonts w:cs="Arial"/>
          <w:u w:val="single"/>
        </w:rPr>
      </w:pPr>
    </w:p>
    <w:p w:rsidR="004D1213" w:rsidRDefault="004D1213" w:rsidP="004D1213">
      <w:pPr>
        <w:rPr>
          <w:rFonts w:cs="Arial"/>
          <w:u w:val="single"/>
        </w:rPr>
      </w:pPr>
    </w:p>
    <w:p w:rsidR="004D1213" w:rsidRPr="00C56397" w:rsidRDefault="004D1213" w:rsidP="004D1213">
      <w:pPr>
        <w:rPr>
          <w:rFonts w:cs="Arial"/>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4D1213" w:rsidRPr="00C56397" w:rsidTr="00DA6C74">
        <w:tc>
          <w:tcPr>
            <w:tcW w:w="9855" w:type="dxa"/>
          </w:tcPr>
          <w:p w:rsidR="004D1213" w:rsidRDefault="004D1213" w:rsidP="00DA6C74">
            <w:pPr>
              <w:jc w:val="center"/>
              <w:rPr>
                <w:rFonts w:cs="Arial"/>
              </w:rPr>
            </w:pPr>
            <w:r w:rsidRPr="00C56397">
              <w:rPr>
                <w:rFonts w:cs="Arial"/>
                <w:noProof/>
              </w:rPr>
              <w:drawing>
                <wp:inline distT="0" distB="0" distL="0" distR="0" wp14:anchorId="1B120429" wp14:editId="1D365AC2">
                  <wp:extent cx="3009900" cy="771769"/>
                  <wp:effectExtent l="0" t="0" r="0" b="9525"/>
                  <wp:docPr id="1" name="Picture 1" descr="N:\OrgUPOV\Shared\Logo_new\Finalized_logo\logo\png_jpg\green_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gUPOV\Shared\Logo_new\Finalized_logo\logo\png_jpg\green_tran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09900" cy="771769"/>
                          </a:xfrm>
                          <a:prstGeom prst="rect">
                            <a:avLst/>
                          </a:prstGeom>
                          <a:noFill/>
                          <a:ln>
                            <a:noFill/>
                          </a:ln>
                        </pic:spPr>
                      </pic:pic>
                    </a:graphicData>
                  </a:graphic>
                </wp:inline>
              </w:drawing>
            </w:r>
          </w:p>
          <w:p w:rsidR="004D1213" w:rsidRDefault="004D1213" w:rsidP="00DA6C74">
            <w:pPr>
              <w:jc w:val="center"/>
              <w:rPr>
                <w:rFonts w:cs="Arial"/>
              </w:rPr>
            </w:pPr>
          </w:p>
          <w:p w:rsidR="004D1213" w:rsidRPr="00C56397" w:rsidRDefault="004D1213" w:rsidP="00DA6C74">
            <w:pPr>
              <w:jc w:val="center"/>
              <w:rPr>
                <w:rFonts w:cs="Arial"/>
              </w:rPr>
            </w:pPr>
          </w:p>
        </w:tc>
      </w:tr>
    </w:tbl>
    <w:p w:rsidR="004D1213" w:rsidRDefault="004D1213" w:rsidP="004D1213"/>
    <w:p w:rsidR="00FE7BB8" w:rsidRDefault="00FE7BB8" w:rsidP="00FE7BB8">
      <w:pPr>
        <w:pStyle w:val="Heading2"/>
      </w:pPr>
      <w:bookmarkStart w:id="34" w:name="_Toc478464907"/>
      <w:r>
        <w:t>FAQs</w:t>
      </w:r>
      <w:bookmarkEnd w:id="34"/>
    </w:p>
    <w:p w:rsidR="00FE7BB8" w:rsidRPr="00FE7BB8" w:rsidRDefault="00FE7BB8" w:rsidP="00FE7BB8"/>
    <w:p w:rsidR="004D1213" w:rsidRDefault="004D1213" w:rsidP="004D1213">
      <w:r w:rsidRPr="00594218">
        <w:fldChar w:fldCharType="begin"/>
      </w:r>
      <w:r w:rsidRPr="00594218">
        <w:instrText xml:space="preserve"> AUTONUM  </w:instrText>
      </w:r>
      <w:r w:rsidRPr="00594218">
        <w:fldChar w:fldCharType="end"/>
      </w:r>
      <w:r w:rsidRPr="00594218">
        <w:tab/>
        <w:t>The Consultative Committee</w:t>
      </w:r>
      <w:r w:rsidR="00FE7BB8" w:rsidRPr="00594218">
        <w:t>, at its ninety-second session,</w:t>
      </w:r>
      <w:r w:rsidRPr="00594218">
        <w:t xml:space="preserve"> agreed that the proposed FAQ on how the</w:t>
      </w:r>
      <w:r w:rsidRPr="00476B64">
        <w:t xml:space="preserve"> UPOV system of plant variety protection contributes to the United Nations Sustainable Development Goals (SDGs), be circulated to the Consultative Committee</w:t>
      </w:r>
      <w:r>
        <w:t xml:space="preserve"> with an invitation to make proposals to revise the text</w:t>
      </w:r>
      <w:r w:rsidRPr="00476B64">
        <w:t xml:space="preserve"> </w:t>
      </w:r>
      <w:r>
        <w:t xml:space="preserve">and to provide examples.  On the basis of the inputs received, a new draft would be prepared </w:t>
      </w:r>
      <w:r w:rsidRPr="00476B64">
        <w:t>for consideration by the Consultative Committee at its ninety-fourth session</w:t>
      </w:r>
      <w:r>
        <w:t xml:space="preserve"> in October 2017</w:t>
      </w:r>
      <w:r w:rsidRPr="00476B64">
        <w:t>.</w:t>
      </w:r>
    </w:p>
    <w:p w:rsidR="004D1213" w:rsidRDefault="004D1213" w:rsidP="004D1213"/>
    <w:p w:rsidR="00FE7BB8" w:rsidRDefault="00FE7BB8" w:rsidP="00FE7BB8">
      <w:pPr>
        <w:pStyle w:val="Heading2"/>
      </w:pPr>
      <w:bookmarkStart w:id="35" w:name="_Toc478464908"/>
      <w:r>
        <w:t>Benefits of the UPOV System</w:t>
      </w:r>
      <w:bookmarkEnd w:id="35"/>
    </w:p>
    <w:p w:rsidR="00FE7BB8" w:rsidRDefault="00FE7BB8" w:rsidP="004D1213"/>
    <w:p w:rsidR="004D1213" w:rsidRDefault="004D1213" w:rsidP="004D1213">
      <w:r>
        <w:fldChar w:fldCharType="begin"/>
      </w:r>
      <w:r>
        <w:instrText xml:space="preserve"> AUTONUM  </w:instrText>
      </w:r>
      <w:r>
        <w:fldChar w:fldCharType="end"/>
      </w:r>
      <w:r>
        <w:tab/>
        <w:t>The Consultative Committee agreed that it would not be feasible to prepare an updated version of the Impact Study in the current format and agreed that individual members of the Union should be encouraged to undertake their own studies and provide the resulting information to the Office of the Union.  It also agreed that the Office of the Union should develop videos to illustrate various benefits of the UPOV system of plant variety protection.</w:t>
      </w:r>
    </w:p>
    <w:p w:rsidR="008C5778" w:rsidRDefault="008C5778" w:rsidP="004D1213">
      <w:r>
        <w:br w:type="page"/>
      </w:r>
    </w:p>
    <w:p w:rsidR="00454EC9" w:rsidRPr="00454EC9" w:rsidRDefault="00454EC9" w:rsidP="00454EC9">
      <w:pPr>
        <w:pStyle w:val="Heading2"/>
      </w:pPr>
      <w:bookmarkStart w:id="36" w:name="_Toc381174876"/>
      <w:bookmarkStart w:id="37" w:name="_Toc478464909"/>
      <w:r w:rsidRPr="00454EC9">
        <w:lastRenderedPageBreak/>
        <w:t>Distance learning courses</w:t>
      </w:r>
      <w:bookmarkEnd w:id="36"/>
      <w:bookmarkEnd w:id="37"/>
    </w:p>
    <w:p w:rsidR="00454EC9" w:rsidRPr="00454EC9" w:rsidRDefault="00454EC9" w:rsidP="00454EC9"/>
    <w:p w:rsidR="00454EC9" w:rsidRPr="00454EC9" w:rsidRDefault="00454EC9" w:rsidP="00454EC9">
      <w:r w:rsidRPr="00454EC9">
        <w:fldChar w:fldCharType="begin"/>
      </w:r>
      <w:r w:rsidRPr="00454EC9">
        <w:instrText xml:space="preserve"> AUTONUM  </w:instrText>
      </w:r>
      <w:r w:rsidRPr="00454EC9">
        <w:fldChar w:fldCharType="end"/>
      </w:r>
      <w:r w:rsidRPr="00454EC9">
        <w:tab/>
        <w:t xml:space="preserve">Two sessions of each of the following UPOV Distance Learning Courses will be run in English, French, </w:t>
      </w:r>
      <w:r w:rsidRPr="00594218">
        <w:t xml:space="preserve">German and Spanish </w:t>
      </w:r>
      <w:r w:rsidR="00FE7BB8" w:rsidRPr="00594218">
        <w:t xml:space="preserve">in </w:t>
      </w:r>
      <w:r w:rsidRPr="00594218">
        <w:t>201</w:t>
      </w:r>
      <w:r w:rsidR="00122251" w:rsidRPr="00594218">
        <w:t>7</w:t>
      </w:r>
      <w:r w:rsidRPr="00594218">
        <w:t>:</w:t>
      </w:r>
    </w:p>
    <w:p w:rsidR="00454EC9" w:rsidRPr="00454EC9" w:rsidRDefault="00454EC9" w:rsidP="00454EC9"/>
    <w:p w:rsidR="00454EC9" w:rsidRPr="00454EC9" w:rsidRDefault="00454EC9" w:rsidP="00FE7BB8">
      <w:pPr>
        <w:keepNext/>
        <w:keepLines/>
        <w:numPr>
          <w:ilvl w:val="0"/>
          <w:numId w:val="4"/>
        </w:numPr>
      </w:pPr>
      <w:r w:rsidRPr="00454EC9">
        <w:t>DL-205 “Introduction to the UPOV System of Plant Variety Protection under the UPOV Convention”</w:t>
      </w:r>
    </w:p>
    <w:p w:rsidR="00454EC9" w:rsidRPr="00454EC9" w:rsidRDefault="00454EC9" w:rsidP="00454EC9">
      <w:pPr>
        <w:numPr>
          <w:ilvl w:val="0"/>
          <w:numId w:val="4"/>
        </w:numPr>
      </w:pPr>
      <w:r w:rsidRPr="00454EC9">
        <w:t>DL-305 “Examination of applications for plant breeders’ rights”</w:t>
      </w:r>
    </w:p>
    <w:p w:rsidR="00454EC9" w:rsidRPr="00454EC9" w:rsidRDefault="00454EC9" w:rsidP="00454EC9">
      <w:pPr>
        <w:numPr>
          <w:ilvl w:val="0"/>
          <w:numId w:val="4"/>
        </w:numPr>
      </w:pPr>
      <w:r w:rsidRPr="00454EC9">
        <w:t>DL-305A “Administration of Plant Breeders’ Rights” (Part A of DL-305)</w:t>
      </w:r>
    </w:p>
    <w:p w:rsidR="00454EC9" w:rsidRPr="00454EC9" w:rsidRDefault="00454EC9" w:rsidP="00454EC9">
      <w:pPr>
        <w:numPr>
          <w:ilvl w:val="0"/>
          <w:numId w:val="4"/>
        </w:numPr>
      </w:pPr>
      <w:r w:rsidRPr="00454EC9">
        <w:t>DL-305B “DUS Examination” (Part B of DL-305)</w:t>
      </w:r>
    </w:p>
    <w:p w:rsidR="00454EC9" w:rsidRPr="00454EC9" w:rsidRDefault="00454EC9" w:rsidP="00454EC9"/>
    <w:p w:rsidR="00454EC9" w:rsidRPr="00454EC9" w:rsidRDefault="00454EC9" w:rsidP="00454EC9">
      <w:r w:rsidRPr="00454EC9">
        <w:fldChar w:fldCharType="begin"/>
      </w:r>
      <w:r w:rsidRPr="00454EC9">
        <w:instrText xml:space="preserve"> AUTONUM  </w:instrText>
      </w:r>
      <w:r w:rsidRPr="00454EC9">
        <w:fldChar w:fldCharType="end"/>
      </w:r>
      <w:r w:rsidRPr="00454EC9">
        <w:tab/>
        <w:t>The timetable for all courses will be the following:</w:t>
      </w:r>
    </w:p>
    <w:p w:rsidR="00454EC9" w:rsidRPr="00454EC9" w:rsidRDefault="00454EC9" w:rsidP="00454EC9"/>
    <w:p w:rsidR="00454EC9" w:rsidRPr="00454EC9" w:rsidRDefault="00122251" w:rsidP="00FE7BB8">
      <w:pPr>
        <w:tabs>
          <w:tab w:val="left" w:pos="567"/>
        </w:tabs>
        <w:ind w:left="567"/>
        <w:rPr>
          <w:i/>
        </w:rPr>
      </w:pPr>
      <w:r>
        <w:rPr>
          <w:i/>
        </w:rPr>
        <w:t>Session I - 2017</w:t>
      </w:r>
    </w:p>
    <w:p w:rsidR="00454EC9" w:rsidRPr="00454EC9" w:rsidRDefault="00454EC9" w:rsidP="00FE7BB8">
      <w:pPr>
        <w:tabs>
          <w:tab w:val="left" w:pos="567"/>
        </w:tabs>
        <w:ind w:left="567"/>
      </w:pPr>
    </w:p>
    <w:p w:rsidR="00454EC9" w:rsidRPr="00454EC9" w:rsidRDefault="00122251" w:rsidP="00FE7BB8">
      <w:pPr>
        <w:tabs>
          <w:tab w:val="left" w:pos="567"/>
        </w:tabs>
        <w:ind w:left="567"/>
      </w:pPr>
      <w:r>
        <w:t>Registration: January 9 to February 10</w:t>
      </w:r>
    </w:p>
    <w:p w:rsidR="00454EC9" w:rsidRPr="00454EC9" w:rsidRDefault="00454EC9" w:rsidP="00FE7BB8">
      <w:pPr>
        <w:tabs>
          <w:tab w:val="left" w:pos="567"/>
        </w:tabs>
        <w:ind w:left="567"/>
      </w:pPr>
      <w:r w:rsidRPr="00454EC9">
        <w:t xml:space="preserve">Study period: </w:t>
      </w:r>
      <w:r w:rsidR="00122251">
        <w:t>March 6 to April 9</w:t>
      </w:r>
    </w:p>
    <w:p w:rsidR="00454EC9" w:rsidRPr="00454EC9" w:rsidRDefault="00454EC9" w:rsidP="00FE7BB8">
      <w:pPr>
        <w:tabs>
          <w:tab w:val="left" w:pos="567"/>
        </w:tabs>
        <w:ind w:left="567"/>
      </w:pPr>
      <w:r w:rsidRPr="00454EC9">
        <w:t xml:space="preserve">Final exam: </w:t>
      </w:r>
      <w:r w:rsidR="00122251">
        <w:t>April 3 to 9</w:t>
      </w:r>
    </w:p>
    <w:p w:rsidR="00454EC9" w:rsidRPr="00454EC9" w:rsidRDefault="00454EC9" w:rsidP="00FE7BB8">
      <w:pPr>
        <w:tabs>
          <w:tab w:val="left" w:pos="567"/>
        </w:tabs>
        <w:ind w:left="567"/>
      </w:pPr>
    </w:p>
    <w:p w:rsidR="00454EC9" w:rsidRPr="00454EC9" w:rsidRDefault="00454EC9" w:rsidP="00FE7BB8">
      <w:pPr>
        <w:tabs>
          <w:tab w:val="left" w:pos="567"/>
        </w:tabs>
        <w:ind w:left="567"/>
        <w:rPr>
          <w:i/>
        </w:rPr>
      </w:pPr>
      <w:r w:rsidRPr="00454EC9">
        <w:rPr>
          <w:i/>
        </w:rPr>
        <w:t>Session II – 201</w:t>
      </w:r>
      <w:r w:rsidR="00122251">
        <w:rPr>
          <w:i/>
        </w:rPr>
        <w:t>7</w:t>
      </w:r>
    </w:p>
    <w:p w:rsidR="00454EC9" w:rsidRPr="00454EC9" w:rsidRDefault="00454EC9" w:rsidP="00FE7BB8">
      <w:pPr>
        <w:tabs>
          <w:tab w:val="left" w:pos="567"/>
        </w:tabs>
        <w:ind w:left="567"/>
      </w:pPr>
    </w:p>
    <w:p w:rsidR="00454EC9" w:rsidRPr="00454EC9" w:rsidRDefault="00454EC9" w:rsidP="00FE7BB8">
      <w:pPr>
        <w:tabs>
          <w:tab w:val="left" w:pos="567"/>
        </w:tabs>
        <w:ind w:left="567"/>
      </w:pPr>
      <w:r w:rsidRPr="00454EC9">
        <w:t xml:space="preserve">Registration: August </w:t>
      </w:r>
      <w:r w:rsidR="00122251">
        <w:t>7</w:t>
      </w:r>
      <w:r w:rsidRPr="00454EC9">
        <w:t xml:space="preserve"> to September 8</w:t>
      </w:r>
    </w:p>
    <w:p w:rsidR="00454EC9" w:rsidRPr="00454EC9" w:rsidRDefault="00454EC9" w:rsidP="00FE7BB8">
      <w:pPr>
        <w:tabs>
          <w:tab w:val="left" w:pos="567"/>
        </w:tabs>
        <w:ind w:left="567"/>
      </w:pPr>
      <w:r w:rsidRPr="00454EC9">
        <w:t xml:space="preserve">Study period: September 25 to October </w:t>
      </w:r>
      <w:r w:rsidR="00122251">
        <w:t>29</w:t>
      </w:r>
    </w:p>
    <w:p w:rsidR="00454EC9" w:rsidRPr="00454EC9" w:rsidRDefault="00454EC9" w:rsidP="00FE7BB8">
      <w:pPr>
        <w:tabs>
          <w:tab w:val="left" w:pos="567"/>
        </w:tabs>
        <w:ind w:left="567"/>
      </w:pPr>
      <w:r w:rsidRPr="00454EC9">
        <w:t>Final exam: October 2</w:t>
      </w:r>
      <w:r w:rsidR="00122251">
        <w:t>3</w:t>
      </w:r>
      <w:r w:rsidRPr="00454EC9">
        <w:t xml:space="preserve"> to </w:t>
      </w:r>
      <w:r w:rsidR="00122251">
        <w:t>29</w:t>
      </w:r>
    </w:p>
    <w:p w:rsidR="00454EC9" w:rsidRPr="00454EC9" w:rsidRDefault="00454EC9" w:rsidP="00FE7BB8">
      <w:pPr>
        <w:tabs>
          <w:tab w:val="left" w:pos="567"/>
        </w:tabs>
        <w:ind w:left="567"/>
      </w:pPr>
    </w:p>
    <w:p w:rsidR="00454EC9" w:rsidRPr="00454EC9" w:rsidRDefault="00454EC9" w:rsidP="00FE7BB8">
      <w:pPr>
        <w:tabs>
          <w:tab w:val="left" w:pos="567"/>
        </w:tabs>
        <w:ind w:left="567"/>
      </w:pPr>
      <w:r w:rsidRPr="00454EC9">
        <w:t>(</w:t>
      </w:r>
      <w:proofErr w:type="gramStart"/>
      <w:r w:rsidRPr="00454EC9">
        <w:t>see</w:t>
      </w:r>
      <w:proofErr w:type="gramEnd"/>
      <w:r w:rsidRPr="00454EC9">
        <w:t xml:space="preserve"> </w:t>
      </w:r>
      <w:hyperlink r:id="rId14" w:history="1">
        <w:r w:rsidRPr="00454EC9">
          <w:rPr>
            <w:rStyle w:val="Hyperlink"/>
          </w:rPr>
          <w:t>http://www.upov.int/resource/en/training.html</w:t>
        </w:r>
      </w:hyperlink>
      <w:r w:rsidRPr="00454EC9">
        <w:t>)</w:t>
      </w:r>
    </w:p>
    <w:p w:rsidR="00454EC9" w:rsidRDefault="00454EC9" w:rsidP="00454EC9"/>
    <w:p w:rsidR="00F077A9" w:rsidRDefault="00F077A9" w:rsidP="00454EC9"/>
    <w:p w:rsidR="00F077A9" w:rsidRPr="00454EC9" w:rsidRDefault="00F077A9" w:rsidP="00F077A9">
      <w:pPr>
        <w:pStyle w:val="Heading1"/>
      </w:pPr>
      <w:bookmarkStart w:id="38" w:name="_Toc478464910"/>
      <w:r>
        <w:t>UPOV EAF</w:t>
      </w:r>
      <w:bookmarkEnd w:id="38"/>
    </w:p>
    <w:p w:rsidR="00454EC9" w:rsidRDefault="00454EC9" w:rsidP="00454EC9"/>
    <w:p w:rsidR="00F077A9" w:rsidRDefault="00FE7BB8" w:rsidP="00454EC9">
      <w:pPr>
        <w:rPr>
          <w:rFonts w:cs="Arial"/>
        </w:rPr>
      </w:pPr>
      <w:r w:rsidRPr="00454EC9">
        <w:fldChar w:fldCharType="begin"/>
      </w:r>
      <w:r w:rsidRPr="00454EC9">
        <w:instrText xml:space="preserve"> AUTONUM  </w:instrText>
      </w:r>
      <w:r w:rsidRPr="00454EC9">
        <w:fldChar w:fldCharType="end"/>
      </w:r>
      <w:r w:rsidRPr="00454EC9">
        <w:tab/>
      </w:r>
      <w:r w:rsidR="00F077A9">
        <w:t>Developments concerning the EAF are reported in document TC/53/7 “</w:t>
      </w:r>
      <w:r w:rsidR="00F077A9">
        <w:rPr>
          <w:rFonts w:cs="Arial"/>
        </w:rPr>
        <w:t>Electronic application form”.</w:t>
      </w:r>
    </w:p>
    <w:p w:rsidR="00F077A9" w:rsidRDefault="00F077A9" w:rsidP="00454EC9"/>
    <w:p w:rsidR="00F077A9" w:rsidRPr="00454EC9" w:rsidRDefault="00F077A9" w:rsidP="00454EC9"/>
    <w:p w:rsidR="00454EC9" w:rsidRPr="00454EC9" w:rsidRDefault="00454EC9" w:rsidP="00454EC9">
      <w:pPr>
        <w:pStyle w:val="Heading1"/>
      </w:pPr>
      <w:bookmarkStart w:id="39" w:name="_Toc381174877"/>
      <w:bookmarkStart w:id="40" w:name="_Toc478464911"/>
      <w:r w:rsidRPr="00454EC9">
        <w:t>International System of Cooperation (ISC)</w:t>
      </w:r>
      <w:bookmarkEnd w:id="40"/>
    </w:p>
    <w:p w:rsidR="00454EC9" w:rsidRPr="00454EC9" w:rsidRDefault="00454EC9" w:rsidP="00454EC9"/>
    <w:p w:rsidR="00122251" w:rsidRPr="00F1337D" w:rsidRDefault="00454EC9" w:rsidP="00122251">
      <w:pPr>
        <w:keepNext/>
      </w:pPr>
      <w:r w:rsidRPr="00454EC9">
        <w:fldChar w:fldCharType="begin"/>
      </w:r>
      <w:r w:rsidRPr="00454EC9">
        <w:instrText xml:space="preserve"> AUTONUM  </w:instrText>
      </w:r>
      <w:r w:rsidRPr="00454EC9">
        <w:fldChar w:fldCharType="end"/>
      </w:r>
      <w:r w:rsidRPr="00454EC9">
        <w:tab/>
      </w:r>
      <w:r w:rsidR="00122251" w:rsidRPr="00F1337D">
        <w:t>The Consultative Committee agreed the draft mandate and terms of reference for a Working Group on a Possible International System of Cooperation (WG-ISC), as follows:</w:t>
      </w:r>
    </w:p>
    <w:p w:rsidR="00122251" w:rsidRPr="00F1337D" w:rsidRDefault="00122251" w:rsidP="00122251">
      <w:pPr>
        <w:keepNext/>
      </w:pPr>
    </w:p>
    <w:p w:rsidR="00122251" w:rsidRPr="009A288E" w:rsidRDefault="00122251" w:rsidP="00F077A9">
      <w:pPr>
        <w:pStyle w:val="Heading3"/>
        <w:ind w:left="0" w:firstLine="0"/>
        <w:rPr>
          <w:snapToGrid w:val="0"/>
        </w:rPr>
      </w:pPr>
      <w:bookmarkStart w:id="41" w:name="_Toc478464912"/>
      <w:r w:rsidRPr="00F1337D">
        <w:rPr>
          <w:snapToGrid w:val="0"/>
        </w:rPr>
        <w:t>Purpose</w:t>
      </w:r>
      <w:bookmarkEnd w:id="41"/>
      <w:r w:rsidRPr="009A288E">
        <w:rPr>
          <w:snapToGrid w:val="0"/>
        </w:rPr>
        <w:t xml:space="preserve"> </w:t>
      </w:r>
    </w:p>
    <w:p w:rsidR="00122251" w:rsidRPr="009A288E" w:rsidRDefault="00122251" w:rsidP="00122251">
      <w:pPr>
        <w:keepNext/>
        <w:rPr>
          <w:snapToGrid w:val="0"/>
        </w:rPr>
      </w:pPr>
    </w:p>
    <w:p w:rsidR="00122251" w:rsidRDefault="00122251" w:rsidP="00122251">
      <w:pPr>
        <w:keepNext/>
        <w:ind w:left="709" w:hanging="425"/>
        <w:rPr>
          <w:snapToGrid w:val="0"/>
        </w:rPr>
      </w:pPr>
      <w:r w:rsidRPr="00982D77">
        <w:rPr>
          <w:snapToGrid w:val="0"/>
        </w:rPr>
        <w:t>1.</w:t>
      </w:r>
      <w:r w:rsidRPr="00982D77">
        <w:rPr>
          <w:snapToGrid w:val="0"/>
        </w:rPr>
        <w:tab/>
        <w:t>To prepare proposals for consideration by the Consultative Committee concerning a possible ISC</w:t>
      </w:r>
      <w:r>
        <w:rPr>
          <w:snapToGrid w:val="0"/>
        </w:rPr>
        <w:t xml:space="preserve"> that would:</w:t>
      </w:r>
    </w:p>
    <w:p w:rsidR="00122251" w:rsidRDefault="00122251" w:rsidP="00122251">
      <w:pPr>
        <w:keepNext/>
        <w:ind w:left="360"/>
        <w:rPr>
          <w:snapToGrid w:val="0"/>
        </w:rPr>
      </w:pPr>
    </w:p>
    <w:p w:rsidR="00122251" w:rsidRDefault="00122251" w:rsidP="00122251">
      <w:pPr>
        <w:pStyle w:val="ListParagraph"/>
        <w:keepNext/>
        <w:numPr>
          <w:ilvl w:val="0"/>
          <w:numId w:val="6"/>
        </w:numPr>
        <w:spacing w:after="60"/>
        <w:ind w:left="1134" w:hanging="425"/>
        <w:contextualSpacing w:val="0"/>
        <w:rPr>
          <w:snapToGrid w:val="0"/>
        </w:rPr>
      </w:pPr>
      <w:r w:rsidRPr="00ED34B6">
        <w:rPr>
          <w:snapToGrid w:val="0"/>
        </w:rPr>
        <w:t>not affect the responsibility of the members of the Union in relation to the grant and protection of breeders</w:t>
      </w:r>
      <w:r>
        <w:rPr>
          <w:snapToGrid w:val="0"/>
        </w:rPr>
        <w:t>’</w:t>
      </w:r>
      <w:r w:rsidRPr="00ED34B6">
        <w:rPr>
          <w:snapToGrid w:val="0"/>
        </w:rPr>
        <w:t xml:space="preserve"> rights</w:t>
      </w:r>
      <w:r>
        <w:rPr>
          <w:snapToGrid w:val="0"/>
        </w:rPr>
        <w:t xml:space="preserve">, </w:t>
      </w:r>
      <w:r w:rsidRPr="0096502E">
        <w:rPr>
          <w:snapToGrid w:val="0"/>
        </w:rPr>
        <w:t>or other international obligations</w:t>
      </w:r>
      <w:r>
        <w:rPr>
          <w:snapToGrid w:val="0"/>
        </w:rPr>
        <w:t>;</w:t>
      </w:r>
    </w:p>
    <w:p w:rsidR="00122251" w:rsidRDefault="00122251" w:rsidP="00122251">
      <w:pPr>
        <w:pStyle w:val="ListParagraph"/>
        <w:numPr>
          <w:ilvl w:val="0"/>
          <w:numId w:val="6"/>
        </w:numPr>
        <w:spacing w:after="60"/>
        <w:ind w:left="1134" w:hanging="425"/>
        <w:contextualSpacing w:val="0"/>
        <w:rPr>
          <w:snapToGrid w:val="0"/>
        </w:rPr>
      </w:pPr>
      <w:r>
        <w:rPr>
          <w:snapToGrid w:val="0"/>
        </w:rPr>
        <w:t xml:space="preserve">be relevant for </w:t>
      </w:r>
      <w:r>
        <w:t>all members of the Union, irrespective of the Act of the UPOV Convention by which they are bound;</w:t>
      </w:r>
    </w:p>
    <w:p w:rsidR="00122251" w:rsidRDefault="00122251" w:rsidP="00122251">
      <w:pPr>
        <w:pStyle w:val="ListParagraph"/>
        <w:numPr>
          <w:ilvl w:val="0"/>
          <w:numId w:val="6"/>
        </w:numPr>
        <w:spacing w:after="60"/>
        <w:ind w:left="1134" w:hanging="425"/>
        <w:contextualSpacing w:val="0"/>
        <w:rPr>
          <w:snapToGrid w:val="0"/>
        </w:rPr>
      </w:pPr>
      <w:r w:rsidRPr="004B4C1D">
        <w:rPr>
          <w:snapToGrid w:val="0"/>
        </w:rPr>
        <w:t xml:space="preserve">would not affect </w:t>
      </w:r>
      <w:r>
        <w:rPr>
          <w:snapToGrid w:val="0"/>
        </w:rPr>
        <w:t xml:space="preserve">the existing flexibility </w:t>
      </w:r>
      <w:r w:rsidRPr="004B4C1D">
        <w:rPr>
          <w:snapToGrid w:val="0"/>
        </w:rPr>
        <w:t xml:space="preserve">of members of the Union to formulate policy and to address their own specific needs and circumstances according to the relevant </w:t>
      </w:r>
      <w:r>
        <w:rPr>
          <w:snapToGrid w:val="0"/>
        </w:rPr>
        <w:t>Act of the UPOV </w:t>
      </w:r>
      <w:r w:rsidRPr="004B4C1D">
        <w:rPr>
          <w:snapToGrid w:val="0"/>
        </w:rPr>
        <w:t>Convention</w:t>
      </w:r>
      <w:r>
        <w:rPr>
          <w:snapToGrid w:val="0"/>
        </w:rPr>
        <w:t>;</w:t>
      </w:r>
    </w:p>
    <w:p w:rsidR="00122251" w:rsidRDefault="00122251" w:rsidP="00122251">
      <w:pPr>
        <w:pStyle w:val="ListParagraph"/>
        <w:numPr>
          <w:ilvl w:val="0"/>
          <w:numId w:val="6"/>
        </w:numPr>
        <w:spacing w:after="60"/>
        <w:ind w:left="1134" w:hanging="425"/>
        <w:contextualSpacing w:val="0"/>
        <w:rPr>
          <w:snapToGrid w:val="0"/>
        </w:rPr>
      </w:pPr>
      <w:r>
        <w:rPr>
          <w:snapToGrid w:val="0"/>
        </w:rPr>
        <w:t xml:space="preserve">be based on voluntary participation by </w:t>
      </w:r>
      <w:r w:rsidRPr="00ED34B6">
        <w:rPr>
          <w:snapToGrid w:val="0"/>
        </w:rPr>
        <w:t>members of the Union</w:t>
      </w:r>
      <w:r>
        <w:rPr>
          <w:snapToGrid w:val="0"/>
        </w:rPr>
        <w:t xml:space="preserve"> according to their measures for participation; </w:t>
      </w:r>
    </w:p>
    <w:p w:rsidR="00122251" w:rsidRDefault="00122251" w:rsidP="00122251">
      <w:pPr>
        <w:pStyle w:val="ListParagraph"/>
        <w:numPr>
          <w:ilvl w:val="0"/>
          <w:numId w:val="6"/>
        </w:numPr>
        <w:spacing w:after="60"/>
        <w:ind w:left="1134" w:hanging="425"/>
        <w:contextualSpacing w:val="0"/>
        <w:rPr>
          <w:snapToGrid w:val="0"/>
        </w:rPr>
      </w:pPr>
      <w:r>
        <w:rPr>
          <w:snapToGrid w:val="0"/>
        </w:rPr>
        <w:t xml:space="preserve">allow </w:t>
      </w:r>
      <w:r w:rsidRPr="003E331D">
        <w:rPr>
          <w:snapToGrid w:val="0"/>
        </w:rPr>
        <w:t>members of the Union</w:t>
      </w:r>
      <w:r>
        <w:rPr>
          <w:snapToGrid w:val="0"/>
        </w:rPr>
        <w:t xml:space="preserve"> to choose to participate in selected elements of an ISC;</w:t>
      </w:r>
    </w:p>
    <w:p w:rsidR="00122251" w:rsidRPr="00622084" w:rsidRDefault="00122251" w:rsidP="00122251">
      <w:pPr>
        <w:pStyle w:val="ListParagraph"/>
        <w:numPr>
          <w:ilvl w:val="0"/>
          <w:numId w:val="6"/>
        </w:numPr>
        <w:spacing w:after="60"/>
        <w:ind w:left="1134" w:hanging="425"/>
        <w:contextualSpacing w:val="0"/>
        <w:rPr>
          <w:snapToGrid w:val="0"/>
        </w:rPr>
      </w:pPr>
      <w:r w:rsidRPr="00622084">
        <w:rPr>
          <w:snapToGrid w:val="0"/>
        </w:rPr>
        <w:t>be based on voluntary cooperation between members of the Union;</w:t>
      </w:r>
    </w:p>
    <w:p w:rsidR="00122251" w:rsidRPr="00622084" w:rsidRDefault="00122251" w:rsidP="00122251">
      <w:pPr>
        <w:pStyle w:val="ListParagraph"/>
        <w:numPr>
          <w:ilvl w:val="0"/>
          <w:numId w:val="6"/>
        </w:numPr>
        <w:spacing w:after="60"/>
        <w:ind w:left="1134" w:hanging="425"/>
        <w:contextualSpacing w:val="0"/>
        <w:rPr>
          <w:snapToGrid w:val="0"/>
        </w:rPr>
      </w:pPr>
      <w:r w:rsidRPr="00622084">
        <w:rPr>
          <w:snapToGrid w:val="0"/>
        </w:rPr>
        <w:t>not affect cooperation with, and between, members of the Union</w:t>
      </w:r>
      <w:r>
        <w:rPr>
          <w:snapToGrid w:val="0"/>
        </w:rPr>
        <w:t xml:space="preserve"> that did not participate in an </w:t>
      </w:r>
      <w:r w:rsidRPr="00622084">
        <w:rPr>
          <w:snapToGrid w:val="0"/>
        </w:rPr>
        <w:t>ISC</w:t>
      </w:r>
      <w:r>
        <w:rPr>
          <w:snapToGrid w:val="0"/>
        </w:rPr>
        <w:t>;</w:t>
      </w:r>
    </w:p>
    <w:p w:rsidR="00122251" w:rsidRPr="00622084" w:rsidRDefault="00122251" w:rsidP="00122251">
      <w:pPr>
        <w:pStyle w:val="ListParagraph"/>
        <w:numPr>
          <w:ilvl w:val="0"/>
          <w:numId w:val="6"/>
        </w:numPr>
        <w:spacing w:after="60"/>
        <w:ind w:left="1134" w:hanging="425"/>
        <w:contextualSpacing w:val="0"/>
        <w:rPr>
          <w:snapToGrid w:val="0"/>
        </w:rPr>
      </w:pPr>
      <w:r w:rsidRPr="00622084">
        <w:rPr>
          <w:snapToGrid w:val="0"/>
        </w:rPr>
        <w:t>be based on filing of applications with individual members of the Union and not with the Office of the Union;</w:t>
      </w:r>
    </w:p>
    <w:p w:rsidR="00122251" w:rsidRPr="00622084" w:rsidRDefault="00122251" w:rsidP="00122251">
      <w:pPr>
        <w:pStyle w:val="ListParagraph"/>
        <w:numPr>
          <w:ilvl w:val="0"/>
          <w:numId w:val="6"/>
        </w:numPr>
        <w:spacing w:after="60"/>
        <w:ind w:left="1134" w:hanging="425"/>
        <w:contextualSpacing w:val="0"/>
        <w:rPr>
          <w:snapToGrid w:val="0"/>
        </w:rPr>
      </w:pPr>
      <w:r w:rsidRPr="00622084">
        <w:rPr>
          <w:snapToGrid w:val="0"/>
        </w:rPr>
        <w:t>not be based on examination of applications by the Office of the Union</w:t>
      </w:r>
      <w:r>
        <w:rPr>
          <w:snapToGrid w:val="0"/>
        </w:rPr>
        <w:t>;</w:t>
      </w:r>
    </w:p>
    <w:p w:rsidR="00122251" w:rsidRPr="00622084" w:rsidRDefault="00122251" w:rsidP="00122251">
      <w:pPr>
        <w:pStyle w:val="ListParagraph"/>
        <w:numPr>
          <w:ilvl w:val="0"/>
          <w:numId w:val="6"/>
        </w:numPr>
        <w:spacing w:after="60"/>
        <w:ind w:left="1134" w:hanging="425"/>
        <w:contextualSpacing w:val="0"/>
        <w:rPr>
          <w:snapToGrid w:val="0"/>
        </w:rPr>
      </w:pPr>
      <w:r w:rsidRPr="00622084">
        <w:rPr>
          <w:snapToGrid w:val="0"/>
        </w:rPr>
        <w:t>not affect the determination</w:t>
      </w:r>
      <w:r>
        <w:rPr>
          <w:snapToGrid w:val="0"/>
        </w:rPr>
        <w:t xml:space="preserve"> and payment</w:t>
      </w:r>
      <w:r w:rsidRPr="00622084">
        <w:rPr>
          <w:snapToGrid w:val="0"/>
        </w:rPr>
        <w:t xml:space="preserve"> of fees by individual members of the Union;  </w:t>
      </w:r>
    </w:p>
    <w:p w:rsidR="00122251" w:rsidRPr="00894ED2" w:rsidRDefault="00122251" w:rsidP="00122251">
      <w:pPr>
        <w:pStyle w:val="ListParagraph"/>
        <w:numPr>
          <w:ilvl w:val="0"/>
          <w:numId w:val="6"/>
        </w:numPr>
        <w:spacing w:after="60"/>
        <w:ind w:left="1134" w:hanging="425"/>
        <w:contextualSpacing w:val="0"/>
        <w:rPr>
          <w:snapToGrid w:val="0"/>
        </w:rPr>
      </w:pPr>
      <w:r w:rsidRPr="00894ED2">
        <w:rPr>
          <w:snapToGrid w:val="0"/>
        </w:rPr>
        <w:lastRenderedPageBreak/>
        <w:t xml:space="preserve">not affect the right of each </w:t>
      </w:r>
      <w:r w:rsidRPr="0096601B">
        <w:rPr>
          <w:snapToGrid w:val="0"/>
        </w:rPr>
        <w:t>member of the Union</w:t>
      </w:r>
      <w:r w:rsidRPr="00894ED2">
        <w:rPr>
          <w:snapToGrid w:val="0"/>
        </w:rPr>
        <w:t xml:space="preserve"> to conduct its own </w:t>
      </w:r>
      <w:r>
        <w:rPr>
          <w:snapToGrid w:val="0"/>
        </w:rPr>
        <w:t>examination</w:t>
      </w:r>
      <w:r w:rsidRPr="00894ED2">
        <w:rPr>
          <w:snapToGrid w:val="0"/>
        </w:rPr>
        <w:t xml:space="preserve"> for the gr</w:t>
      </w:r>
      <w:r>
        <w:rPr>
          <w:snapToGrid w:val="0"/>
        </w:rPr>
        <w:t>anting of breeders’ rights;</w:t>
      </w:r>
    </w:p>
    <w:p w:rsidR="00122251" w:rsidRPr="00894ED2" w:rsidRDefault="00122251" w:rsidP="00122251">
      <w:pPr>
        <w:pStyle w:val="ListParagraph"/>
        <w:numPr>
          <w:ilvl w:val="0"/>
          <w:numId w:val="6"/>
        </w:numPr>
        <w:spacing w:after="60"/>
        <w:ind w:left="1134" w:hanging="425"/>
        <w:contextualSpacing w:val="0"/>
        <w:rPr>
          <w:snapToGrid w:val="0"/>
        </w:rPr>
      </w:pPr>
      <w:proofErr w:type="gramStart"/>
      <w:r w:rsidRPr="00622084">
        <w:rPr>
          <w:snapToGrid w:val="0"/>
        </w:rPr>
        <w:t>be</w:t>
      </w:r>
      <w:proofErr w:type="gramEnd"/>
      <w:r w:rsidRPr="00622084">
        <w:rPr>
          <w:snapToGrid w:val="0"/>
        </w:rPr>
        <w:t xml:space="preserve"> based as far as possible on existing UPOV initiatives and materials, including in particular:  the GENIE database; </w:t>
      </w:r>
      <w:r>
        <w:rPr>
          <w:snapToGrid w:val="0"/>
        </w:rPr>
        <w:t xml:space="preserve">the </w:t>
      </w:r>
      <w:r w:rsidRPr="00622084">
        <w:rPr>
          <w:snapToGrid w:val="0"/>
        </w:rPr>
        <w:t xml:space="preserve">Electronic Application Form </w:t>
      </w:r>
      <w:r>
        <w:rPr>
          <w:snapToGrid w:val="0"/>
        </w:rPr>
        <w:t xml:space="preserve">(EAF) </w:t>
      </w:r>
      <w:r w:rsidRPr="00622084">
        <w:rPr>
          <w:snapToGrid w:val="0"/>
        </w:rPr>
        <w:t xml:space="preserve">project; </w:t>
      </w:r>
      <w:r>
        <w:rPr>
          <w:snapToGrid w:val="0"/>
        </w:rPr>
        <w:t xml:space="preserve">the </w:t>
      </w:r>
      <w:r w:rsidRPr="00622084">
        <w:rPr>
          <w:snapToGrid w:val="0"/>
        </w:rPr>
        <w:t>UPOV similarity search tool for variety denomination purposes; and UPOV information materials</w:t>
      </w:r>
      <w:r w:rsidRPr="00894ED2">
        <w:rPr>
          <w:snapToGrid w:val="0"/>
        </w:rPr>
        <w:t>.</w:t>
      </w:r>
    </w:p>
    <w:p w:rsidR="00122251" w:rsidRDefault="00122251" w:rsidP="00122251">
      <w:pPr>
        <w:ind w:left="360"/>
        <w:jc w:val="left"/>
      </w:pPr>
    </w:p>
    <w:p w:rsidR="00122251" w:rsidRDefault="00122251" w:rsidP="00122251">
      <w:pPr>
        <w:ind w:left="709" w:hanging="425"/>
      </w:pPr>
      <w:r w:rsidRPr="00982D77">
        <w:t>2.</w:t>
      </w:r>
      <w:r w:rsidRPr="00982D77">
        <w:tab/>
        <w:t xml:space="preserve">For the </w:t>
      </w:r>
      <w:r w:rsidRPr="00982D77">
        <w:rPr>
          <w:snapToGrid w:val="0"/>
        </w:rPr>
        <w:t>above</w:t>
      </w:r>
      <w:r w:rsidRPr="00982D77">
        <w:t xml:space="preserve"> proposals, to provide the Consultative Committee with an analysis of the:</w:t>
      </w:r>
    </w:p>
    <w:p w:rsidR="00122251" w:rsidRDefault="00122251" w:rsidP="00122251">
      <w:pPr>
        <w:ind w:left="360"/>
        <w:jc w:val="left"/>
      </w:pPr>
    </w:p>
    <w:p w:rsidR="00122251" w:rsidRPr="00982D77" w:rsidRDefault="00122251" w:rsidP="00122251">
      <w:pPr>
        <w:pStyle w:val="ListParagraph"/>
        <w:numPr>
          <w:ilvl w:val="0"/>
          <w:numId w:val="11"/>
        </w:numPr>
        <w:spacing w:after="60"/>
        <w:contextualSpacing w:val="0"/>
        <w:rPr>
          <w:snapToGrid w:val="0"/>
        </w:rPr>
      </w:pPr>
      <w:r>
        <w:rPr>
          <w:snapToGrid w:val="0"/>
        </w:rPr>
        <w:t>the need for an ISC;</w:t>
      </w:r>
    </w:p>
    <w:p w:rsidR="00122251" w:rsidRPr="003410C7" w:rsidRDefault="00122251" w:rsidP="00122251">
      <w:pPr>
        <w:pStyle w:val="ListParagraph"/>
        <w:numPr>
          <w:ilvl w:val="0"/>
          <w:numId w:val="11"/>
        </w:numPr>
        <w:spacing w:after="60"/>
        <w:contextualSpacing w:val="0"/>
        <w:rPr>
          <w:snapToGrid w:val="0"/>
        </w:rPr>
      </w:pPr>
      <w:r>
        <w:t>a</w:t>
      </w:r>
      <w:r w:rsidRPr="003410C7">
        <w:rPr>
          <w:snapToGrid w:val="0"/>
        </w:rPr>
        <w:t>dvantages and disadvantages of the proposals, compared to existing arrangements;</w:t>
      </w:r>
    </w:p>
    <w:p w:rsidR="00122251" w:rsidRPr="003410C7" w:rsidRDefault="00122251" w:rsidP="00122251">
      <w:pPr>
        <w:pStyle w:val="ListParagraph"/>
        <w:numPr>
          <w:ilvl w:val="0"/>
          <w:numId w:val="11"/>
        </w:numPr>
        <w:spacing w:after="60"/>
        <w:contextualSpacing w:val="0"/>
        <w:rPr>
          <w:snapToGrid w:val="0"/>
        </w:rPr>
      </w:pPr>
      <w:r w:rsidRPr="003410C7">
        <w:rPr>
          <w:snapToGrid w:val="0"/>
        </w:rPr>
        <w:t>existence of a legal basis under the Acts of the UPOV Convention;</w:t>
      </w:r>
    </w:p>
    <w:p w:rsidR="00122251" w:rsidRPr="003410C7" w:rsidRDefault="00122251" w:rsidP="00122251">
      <w:pPr>
        <w:pStyle w:val="ListParagraph"/>
        <w:numPr>
          <w:ilvl w:val="0"/>
          <w:numId w:val="11"/>
        </w:numPr>
        <w:spacing w:after="60"/>
        <w:contextualSpacing w:val="0"/>
        <w:rPr>
          <w:snapToGrid w:val="0"/>
        </w:rPr>
      </w:pPr>
      <w:r w:rsidRPr="003410C7">
        <w:rPr>
          <w:snapToGrid w:val="0"/>
        </w:rPr>
        <w:t xml:space="preserve">impact on domestic legislation, administrative procedures, rights and policy framework, in relation to the relevant Act of the UPOV Convention, for the PVP Offices of UPOV members; </w:t>
      </w:r>
    </w:p>
    <w:p w:rsidR="00122251" w:rsidRDefault="00122251" w:rsidP="00122251">
      <w:pPr>
        <w:pStyle w:val="ListParagraph"/>
        <w:numPr>
          <w:ilvl w:val="0"/>
          <w:numId w:val="11"/>
        </w:numPr>
        <w:spacing w:after="60"/>
        <w:contextualSpacing w:val="0"/>
      </w:pPr>
      <w:r w:rsidRPr="003410C7">
        <w:rPr>
          <w:snapToGrid w:val="0"/>
        </w:rPr>
        <w:t>potential advantages</w:t>
      </w:r>
      <w:r>
        <w:t xml:space="preserve"> and disadvantages for:</w:t>
      </w:r>
    </w:p>
    <w:p w:rsidR="00122251" w:rsidRDefault="00122251" w:rsidP="00122251">
      <w:pPr>
        <w:spacing w:after="60"/>
        <w:ind w:left="1560" w:hanging="426"/>
      </w:pPr>
      <w:r>
        <w:t>(</w:t>
      </w:r>
      <w:proofErr w:type="spellStart"/>
      <w:r>
        <w:t>i</w:t>
      </w:r>
      <w:proofErr w:type="spellEnd"/>
      <w:r>
        <w:t>)</w:t>
      </w:r>
      <w:r>
        <w:tab/>
      </w:r>
      <w:proofErr w:type="gramStart"/>
      <w:r>
        <w:t>society</w:t>
      </w:r>
      <w:proofErr w:type="gramEnd"/>
      <w:r>
        <w:t xml:space="preserve"> in the members of the Union;</w:t>
      </w:r>
    </w:p>
    <w:p w:rsidR="00122251" w:rsidRDefault="00122251" w:rsidP="00122251">
      <w:pPr>
        <w:spacing w:after="60"/>
        <w:ind w:left="1560" w:hanging="426"/>
      </w:pPr>
      <w:r>
        <w:t>(ii)</w:t>
      </w:r>
      <w:r>
        <w:tab/>
        <w:t>PVP Offices of members of the Union, including:</w:t>
      </w:r>
    </w:p>
    <w:p w:rsidR="00122251" w:rsidRDefault="00122251" w:rsidP="00122251">
      <w:pPr>
        <w:pStyle w:val="ListParagraph"/>
        <w:numPr>
          <w:ilvl w:val="2"/>
          <w:numId w:val="7"/>
        </w:numPr>
        <w:spacing w:after="60"/>
        <w:ind w:left="1843" w:hanging="284"/>
        <w:contextualSpacing w:val="0"/>
      </w:pPr>
      <w:r>
        <w:t>costs and income</w:t>
      </w:r>
    </w:p>
    <w:p w:rsidR="00122251" w:rsidRDefault="00122251" w:rsidP="00122251">
      <w:pPr>
        <w:pStyle w:val="ListParagraph"/>
        <w:numPr>
          <w:ilvl w:val="2"/>
          <w:numId w:val="7"/>
        </w:numPr>
        <w:spacing w:after="60"/>
        <w:ind w:left="1843" w:hanging="284"/>
        <w:contextualSpacing w:val="0"/>
      </w:pPr>
      <w:r>
        <w:t>number of applications and income received for applications;</w:t>
      </w:r>
    </w:p>
    <w:p w:rsidR="00122251" w:rsidRDefault="00122251" w:rsidP="00122251">
      <w:pPr>
        <w:spacing w:after="60"/>
        <w:ind w:left="1560" w:hanging="426"/>
      </w:pPr>
      <w:r>
        <w:t>(iii)</w:t>
      </w:r>
      <w:r>
        <w:tab/>
      </w:r>
      <w:proofErr w:type="gramStart"/>
      <w:r>
        <w:t>domestic</w:t>
      </w:r>
      <w:proofErr w:type="gramEnd"/>
      <w:r>
        <w:t xml:space="preserve"> and foreign breeders, including for small- and medium-sized enterprises (SMEs);</w:t>
      </w:r>
    </w:p>
    <w:p w:rsidR="00122251" w:rsidRDefault="00122251" w:rsidP="00122251">
      <w:pPr>
        <w:spacing w:after="60"/>
        <w:ind w:left="1560" w:hanging="426"/>
      </w:pPr>
      <w:r>
        <w:t>(iv)</w:t>
      </w:r>
      <w:r>
        <w:tab/>
      </w:r>
      <w:proofErr w:type="gramStart"/>
      <w:r>
        <w:t>farmers</w:t>
      </w:r>
      <w:proofErr w:type="gramEnd"/>
      <w:r>
        <w:t>; and</w:t>
      </w:r>
    </w:p>
    <w:p w:rsidR="00122251" w:rsidRDefault="00122251" w:rsidP="00122251">
      <w:pPr>
        <w:spacing w:after="60"/>
        <w:ind w:left="1560" w:hanging="426"/>
      </w:pPr>
      <w:r>
        <w:t>(v)</w:t>
      </w:r>
      <w:r>
        <w:tab/>
        <w:t>UPOV.</w:t>
      </w:r>
    </w:p>
    <w:p w:rsidR="00122251" w:rsidRDefault="00122251" w:rsidP="00122251"/>
    <w:p w:rsidR="00122251" w:rsidRDefault="00122251" w:rsidP="00F077A9">
      <w:pPr>
        <w:pStyle w:val="Heading3"/>
        <w:ind w:left="0" w:firstLine="0"/>
        <w:rPr>
          <w:snapToGrid w:val="0"/>
        </w:rPr>
      </w:pPr>
      <w:bookmarkStart w:id="42" w:name="_Toc478464913"/>
      <w:r>
        <w:rPr>
          <w:snapToGrid w:val="0"/>
        </w:rPr>
        <w:t>Composition</w:t>
      </w:r>
      <w:bookmarkEnd w:id="42"/>
    </w:p>
    <w:p w:rsidR="00122251" w:rsidRDefault="00122251" w:rsidP="00122251">
      <w:pPr>
        <w:keepNext/>
        <w:rPr>
          <w:snapToGrid w:val="0"/>
        </w:rPr>
      </w:pPr>
    </w:p>
    <w:p w:rsidR="00122251" w:rsidRDefault="00122251" w:rsidP="00122251">
      <w:pPr>
        <w:pStyle w:val="ListParagraph"/>
        <w:keepNext/>
        <w:numPr>
          <w:ilvl w:val="0"/>
          <w:numId w:val="8"/>
        </w:numPr>
        <w:ind w:left="851" w:hanging="425"/>
        <w:rPr>
          <w:snapToGrid w:val="0"/>
        </w:rPr>
      </w:pPr>
      <w:r w:rsidRPr="00592A15">
        <w:rPr>
          <w:snapToGrid w:val="0"/>
        </w:rPr>
        <w:t xml:space="preserve">to be composed of </w:t>
      </w:r>
      <w:r>
        <w:rPr>
          <w:snapToGrid w:val="0"/>
        </w:rPr>
        <w:t xml:space="preserve">the following </w:t>
      </w:r>
      <w:r w:rsidRPr="00592A15">
        <w:rPr>
          <w:snapToGrid w:val="0"/>
        </w:rPr>
        <w:t>members of the Union</w:t>
      </w:r>
      <w:r>
        <w:rPr>
          <w:snapToGrid w:val="0"/>
        </w:rPr>
        <w:t>:</w:t>
      </w:r>
    </w:p>
    <w:p w:rsidR="00122251" w:rsidRDefault="00122251" w:rsidP="00122251">
      <w:pPr>
        <w:keepNext/>
        <w:rPr>
          <w:snapToGrid w:val="0"/>
        </w:rPr>
      </w:pPr>
    </w:p>
    <w:p w:rsidR="00122251" w:rsidRPr="00055DE9" w:rsidRDefault="00122251" w:rsidP="00122251">
      <w:pPr>
        <w:pStyle w:val="ListParagraph"/>
        <w:keepNext/>
        <w:numPr>
          <w:ilvl w:val="0"/>
          <w:numId w:val="10"/>
        </w:numPr>
        <w:ind w:left="1494"/>
      </w:pPr>
      <w:r w:rsidRPr="00055DE9">
        <w:t>Bolivia (Plurinational State of)</w:t>
      </w:r>
    </w:p>
    <w:p w:rsidR="00122251" w:rsidRPr="00055DE9" w:rsidRDefault="00122251" w:rsidP="00122251">
      <w:pPr>
        <w:pStyle w:val="ListParagraph"/>
        <w:keepNext/>
        <w:numPr>
          <w:ilvl w:val="0"/>
          <w:numId w:val="10"/>
        </w:numPr>
        <w:ind w:left="1494"/>
      </w:pPr>
      <w:r w:rsidRPr="00055DE9">
        <w:t>Brazil</w:t>
      </w:r>
    </w:p>
    <w:p w:rsidR="00122251" w:rsidRPr="00055DE9" w:rsidRDefault="00122251" w:rsidP="00122251">
      <w:pPr>
        <w:pStyle w:val="ListParagraph"/>
        <w:keepNext/>
        <w:numPr>
          <w:ilvl w:val="0"/>
          <w:numId w:val="10"/>
        </w:numPr>
        <w:ind w:left="1494"/>
      </w:pPr>
      <w:r w:rsidRPr="00055DE9">
        <w:rPr>
          <w:snapToGrid w:val="0"/>
          <w:color w:val="000000" w:themeColor="text1"/>
        </w:rPr>
        <w:t>Canada</w:t>
      </w:r>
    </w:p>
    <w:p w:rsidR="00122251" w:rsidRPr="00055DE9" w:rsidRDefault="00122251" w:rsidP="00122251">
      <w:pPr>
        <w:pStyle w:val="ListParagraph"/>
        <w:numPr>
          <w:ilvl w:val="0"/>
          <w:numId w:val="10"/>
        </w:numPr>
        <w:ind w:left="1494"/>
      </w:pPr>
      <w:r w:rsidRPr="00055DE9">
        <w:rPr>
          <w:snapToGrid w:val="0"/>
          <w:color w:val="000000" w:themeColor="text1"/>
        </w:rPr>
        <w:t>Chile</w:t>
      </w:r>
    </w:p>
    <w:p w:rsidR="00122251" w:rsidRPr="00055DE9" w:rsidRDefault="00122251" w:rsidP="00122251">
      <w:pPr>
        <w:pStyle w:val="ListParagraph"/>
        <w:numPr>
          <w:ilvl w:val="0"/>
          <w:numId w:val="10"/>
        </w:numPr>
        <w:ind w:left="1494"/>
      </w:pPr>
      <w:r w:rsidRPr="00055DE9">
        <w:rPr>
          <w:snapToGrid w:val="0"/>
          <w:color w:val="000000" w:themeColor="text1"/>
        </w:rPr>
        <w:t>Colombia</w:t>
      </w:r>
    </w:p>
    <w:p w:rsidR="00122251" w:rsidRPr="00ED3502" w:rsidRDefault="00122251" w:rsidP="00122251">
      <w:pPr>
        <w:pStyle w:val="ListParagraph"/>
        <w:numPr>
          <w:ilvl w:val="0"/>
          <w:numId w:val="10"/>
        </w:numPr>
        <w:ind w:left="1494"/>
      </w:pPr>
      <w:r w:rsidRPr="00055DE9">
        <w:rPr>
          <w:snapToGrid w:val="0"/>
          <w:color w:val="000000" w:themeColor="text1"/>
        </w:rPr>
        <w:t>Ecuador</w:t>
      </w:r>
    </w:p>
    <w:p w:rsidR="00122251" w:rsidRPr="00ED3502" w:rsidRDefault="00122251" w:rsidP="00122251">
      <w:pPr>
        <w:pStyle w:val="ListParagraph"/>
        <w:numPr>
          <w:ilvl w:val="0"/>
          <w:numId w:val="10"/>
        </w:numPr>
        <w:ind w:left="1494"/>
      </w:pPr>
      <w:r w:rsidRPr="00055DE9">
        <w:rPr>
          <w:snapToGrid w:val="0"/>
          <w:color w:val="000000" w:themeColor="text1"/>
        </w:rPr>
        <w:t>European Union</w:t>
      </w:r>
      <w:r>
        <w:rPr>
          <w:snapToGrid w:val="0"/>
          <w:color w:val="000000" w:themeColor="text1"/>
        </w:rPr>
        <w:t xml:space="preserve"> (European Commission, Community Plant Variety Office of the European Union (CPVO), Estonia, France, Germany, Netherlands and United Kingdom)</w:t>
      </w:r>
    </w:p>
    <w:p w:rsidR="00122251" w:rsidRPr="00ED3502" w:rsidRDefault="00122251" w:rsidP="00122251">
      <w:pPr>
        <w:pStyle w:val="ListParagraph"/>
        <w:numPr>
          <w:ilvl w:val="0"/>
          <w:numId w:val="10"/>
        </w:numPr>
        <w:ind w:left="1494"/>
      </w:pPr>
      <w:r w:rsidRPr="00055DE9">
        <w:rPr>
          <w:snapToGrid w:val="0"/>
          <w:color w:val="000000" w:themeColor="text1"/>
        </w:rPr>
        <w:t>Japan</w:t>
      </w:r>
    </w:p>
    <w:p w:rsidR="00122251" w:rsidRPr="00ED3502" w:rsidRDefault="00122251" w:rsidP="00122251">
      <w:pPr>
        <w:pStyle w:val="ListParagraph"/>
        <w:numPr>
          <w:ilvl w:val="0"/>
          <w:numId w:val="10"/>
        </w:numPr>
        <w:ind w:left="1494"/>
      </w:pPr>
      <w:r w:rsidRPr="00055DE9">
        <w:rPr>
          <w:snapToGrid w:val="0"/>
          <w:color w:val="000000" w:themeColor="text1"/>
        </w:rPr>
        <w:t>Norway</w:t>
      </w:r>
    </w:p>
    <w:p w:rsidR="00122251" w:rsidRPr="00055DE9" w:rsidRDefault="00122251" w:rsidP="00122251">
      <w:pPr>
        <w:pStyle w:val="ListParagraph"/>
        <w:numPr>
          <w:ilvl w:val="0"/>
          <w:numId w:val="10"/>
        </w:numPr>
        <w:ind w:left="1494"/>
      </w:pPr>
      <w:r w:rsidRPr="00055DE9">
        <w:rPr>
          <w:snapToGrid w:val="0"/>
          <w:color w:val="000000" w:themeColor="text1"/>
        </w:rPr>
        <w:t>United States of America</w:t>
      </w:r>
    </w:p>
    <w:p w:rsidR="00122251" w:rsidRDefault="00122251" w:rsidP="00122251">
      <w:pPr>
        <w:rPr>
          <w:snapToGrid w:val="0"/>
        </w:rPr>
      </w:pPr>
    </w:p>
    <w:p w:rsidR="00122251" w:rsidRPr="00592A15" w:rsidRDefault="00122251" w:rsidP="00122251">
      <w:pPr>
        <w:pStyle w:val="ListParagraph"/>
        <w:numPr>
          <w:ilvl w:val="0"/>
          <w:numId w:val="8"/>
        </w:numPr>
        <w:ind w:left="851" w:hanging="425"/>
        <w:rPr>
          <w:snapToGrid w:val="0"/>
        </w:rPr>
      </w:pPr>
      <w:r w:rsidRPr="00592A15">
        <w:rPr>
          <w:snapToGrid w:val="0"/>
        </w:rPr>
        <w:t xml:space="preserve">other members of the Union would be free to participate at any meeting of the </w:t>
      </w:r>
      <w:r>
        <w:rPr>
          <w:snapToGrid w:val="0"/>
        </w:rPr>
        <w:t>WG-ISC and make comments,</w:t>
      </w:r>
      <w:r w:rsidRPr="00592A15">
        <w:rPr>
          <w:snapToGrid w:val="0"/>
        </w:rPr>
        <w:t xml:space="preserve"> where so desired;</w:t>
      </w:r>
    </w:p>
    <w:p w:rsidR="00122251" w:rsidRDefault="00122251" w:rsidP="00122251">
      <w:pPr>
        <w:rPr>
          <w:snapToGrid w:val="0"/>
        </w:rPr>
      </w:pPr>
    </w:p>
    <w:p w:rsidR="00122251" w:rsidRPr="00EC2E5F" w:rsidRDefault="00122251" w:rsidP="00122251">
      <w:pPr>
        <w:pStyle w:val="ListParagraph"/>
        <w:numPr>
          <w:ilvl w:val="0"/>
          <w:numId w:val="8"/>
        </w:numPr>
        <w:ind w:left="851" w:hanging="425"/>
        <w:rPr>
          <w:snapToGrid w:val="0"/>
        </w:rPr>
      </w:pPr>
      <w:r w:rsidRPr="00EC2E5F">
        <w:rPr>
          <w:snapToGrid w:val="0"/>
        </w:rPr>
        <w:t>the WG-ISC would be restricted to members of the Union and the WG-ISC would revert back to the Consultative Committee if the WG-ISC recommends to invite observers or experts to any of its meetings;</w:t>
      </w:r>
    </w:p>
    <w:p w:rsidR="00122251" w:rsidRDefault="00122251" w:rsidP="00122251">
      <w:pPr>
        <w:rPr>
          <w:snapToGrid w:val="0"/>
        </w:rPr>
      </w:pPr>
    </w:p>
    <w:p w:rsidR="00122251" w:rsidRPr="00592A15" w:rsidRDefault="00122251" w:rsidP="00122251">
      <w:pPr>
        <w:pStyle w:val="ListParagraph"/>
        <w:numPr>
          <w:ilvl w:val="0"/>
          <w:numId w:val="8"/>
        </w:numPr>
        <w:ind w:left="851" w:hanging="425"/>
        <w:rPr>
          <w:snapToGrid w:val="0"/>
        </w:rPr>
      </w:pPr>
      <w:proofErr w:type="gramStart"/>
      <w:r w:rsidRPr="00592A15">
        <w:rPr>
          <w:snapToGrid w:val="0"/>
        </w:rPr>
        <w:t>meetings</w:t>
      </w:r>
      <w:proofErr w:type="gramEnd"/>
      <w:r w:rsidRPr="00592A15">
        <w:rPr>
          <w:snapToGrid w:val="0"/>
        </w:rPr>
        <w:t xml:space="preserve"> to be chaired by the Vice Secretary</w:t>
      </w:r>
      <w:r w:rsidRPr="00592A15">
        <w:rPr>
          <w:snapToGrid w:val="0"/>
        </w:rPr>
        <w:noBreakHyphen/>
        <w:t>General.</w:t>
      </w:r>
    </w:p>
    <w:p w:rsidR="00122251" w:rsidRDefault="00122251" w:rsidP="00122251">
      <w:pPr>
        <w:rPr>
          <w:snapToGrid w:val="0"/>
        </w:rPr>
      </w:pPr>
    </w:p>
    <w:p w:rsidR="00122251" w:rsidRPr="00055DE9" w:rsidRDefault="00122251" w:rsidP="00122251">
      <w:pPr>
        <w:keepNext/>
        <w:rPr>
          <w:i/>
        </w:rPr>
      </w:pPr>
      <w:r w:rsidRPr="00055DE9">
        <w:rPr>
          <w:i/>
          <w:iCs/>
        </w:rPr>
        <w:t>Modus operandi</w:t>
      </w:r>
    </w:p>
    <w:p w:rsidR="00122251" w:rsidRPr="009A288E" w:rsidRDefault="00122251" w:rsidP="00122251">
      <w:pPr>
        <w:keepNext/>
      </w:pPr>
    </w:p>
    <w:p w:rsidR="00122251" w:rsidRDefault="00122251" w:rsidP="00122251">
      <w:pPr>
        <w:pStyle w:val="ListParagraph"/>
        <w:numPr>
          <w:ilvl w:val="0"/>
          <w:numId w:val="9"/>
        </w:numPr>
        <w:spacing w:after="60"/>
        <w:ind w:left="851" w:hanging="425"/>
        <w:contextualSpacing w:val="0"/>
      </w:pPr>
      <w:r w:rsidRPr="009C3712">
        <w:t xml:space="preserve">to meet, as far as possible, </w:t>
      </w:r>
      <w:r w:rsidRPr="009C3712">
        <w:rPr>
          <w:shd w:val="clear" w:color="auto" w:fill="FFFFFF" w:themeFill="background1"/>
        </w:rPr>
        <w:t xml:space="preserve">in conjunction with </w:t>
      </w:r>
      <w:r w:rsidRPr="009C3712">
        <w:t>the sessions of the Consultative Committee at a time and frequency to address the requests of the Consu</w:t>
      </w:r>
      <w:r w:rsidRPr="009A288E">
        <w:t>ltative Committee;</w:t>
      </w:r>
    </w:p>
    <w:p w:rsidR="00122251" w:rsidRPr="00EC2E5F" w:rsidRDefault="00122251" w:rsidP="00122251">
      <w:pPr>
        <w:pStyle w:val="ListParagraph"/>
        <w:numPr>
          <w:ilvl w:val="0"/>
          <w:numId w:val="9"/>
        </w:numPr>
        <w:spacing w:after="60"/>
        <w:ind w:left="851" w:hanging="425"/>
        <w:contextualSpacing w:val="0"/>
      </w:pPr>
      <w:r w:rsidRPr="00EC2E5F">
        <w:t>in the first instance, to prepare a document presenting the issues for consideration according to the following structure:</w:t>
      </w:r>
    </w:p>
    <w:p w:rsidR="00122251" w:rsidRPr="00EC2E5F" w:rsidRDefault="00122251" w:rsidP="00122251">
      <w:pPr>
        <w:pStyle w:val="ListParagraph"/>
        <w:numPr>
          <w:ilvl w:val="1"/>
          <w:numId w:val="9"/>
        </w:numPr>
        <w:spacing w:after="60"/>
        <w:ind w:left="1701" w:hanging="567"/>
        <w:contextualSpacing w:val="0"/>
      </w:pPr>
      <w:r w:rsidRPr="00EC2E5F">
        <w:t>International system of administration</w:t>
      </w:r>
    </w:p>
    <w:p w:rsidR="00122251" w:rsidRPr="00EC2E5F" w:rsidRDefault="00122251" w:rsidP="00122251">
      <w:pPr>
        <w:pStyle w:val="ListParagraph"/>
        <w:numPr>
          <w:ilvl w:val="1"/>
          <w:numId w:val="9"/>
        </w:numPr>
        <w:spacing w:after="60"/>
        <w:ind w:left="1701" w:hanging="567"/>
        <w:contextualSpacing w:val="0"/>
      </w:pPr>
      <w:r w:rsidRPr="00EC2E5F">
        <w:t>Preliminary observation on novelty and denomination</w:t>
      </w:r>
    </w:p>
    <w:p w:rsidR="00122251" w:rsidRPr="00EC2E5F" w:rsidRDefault="00122251" w:rsidP="00122251">
      <w:pPr>
        <w:pStyle w:val="ListParagraph"/>
        <w:numPr>
          <w:ilvl w:val="1"/>
          <w:numId w:val="9"/>
        </w:numPr>
        <w:spacing w:after="60"/>
        <w:ind w:left="1701" w:hanging="567"/>
        <w:contextualSpacing w:val="0"/>
      </w:pPr>
      <w:r w:rsidRPr="00EC2E5F">
        <w:t>DUS examination</w:t>
      </w:r>
    </w:p>
    <w:p w:rsidR="00122251" w:rsidRPr="00EC2E5F" w:rsidRDefault="00122251" w:rsidP="00122251">
      <w:pPr>
        <w:pStyle w:val="ListParagraph"/>
        <w:numPr>
          <w:ilvl w:val="1"/>
          <w:numId w:val="9"/>
        </w:numPr>
        <w:spacing w:after="60"/>
        <w:ind w:left="1701" w:hanging="567"/>
        <w:contextualSpacing w:val="0"/>
      </w:pPr>
      <w:r w:rsidRPr="00EC2E5F">
        <w:t>Examination by members of the Union using the ISC</w:t>
      </w:r>
    </w:p>
    <w:p w:rsidR="00122251" w:rsidRDefault="00122251" w:rsidP="00122251">
      <w:pPr>
        <w:pStyle w:val="ListParagraph"/>
        <w:numPr>
          <w:ilvl w:val="0"/>
          <w:numId w:val="9"/>
        </w:numPr>
        <w:spacing w:after="60"/>
        <w:contextualSpacing w:val="0"/>
      </w:pPr>
      <w:r w:rsidRPr="009A288E">
        <w:lastRenderedPageBreak/>
        <w:t xml:space="preserve">to </w:t>
      </w:r>
      <w:r>
        <w:t xml:space="preserve">prepare a document containing </w:t>
      </w:r>
      <w:r w:rsidRPr="009A288E">
        <w:t>proposals</w:t>
      </w:r>
      <w:r>
        <w:t>, analysis</w:t>
      </w:r>
      <w:r w:rsidRPr="009A288E">
        <w:t xml:space="preserve"> </w:t>
      </w:r>
      <w:r>
        <w:t>and information according to the purpose specified above, for consideration by the Consultative Committee, according to a timetable to be specified by the Consultative Committee;</w:t>
      </w:r>
    </w:p>
    <w:p w:rsidR="00122251" w:rsidRDefault="00122251" w:rsidP="00122251">
      <w:pPr>
        <w:pStyle w:val="ListParagraph"/>
        <w:numPr>
          <w:ilvl w:val="0"/>
          <w:numId w:val="9"/>
        </w:numPr>
        <w:spacing w:after="60"/>
        <w:contextualSpacing w:val="0"/>
      </w:pPr>
      <w:r>
        <w:t>to report on progress to the Consultative Committee after each meeting of the WG-ISC;</w:t>
      </w:r>
    </w:p>
    <w:p w:rsidR="00122251" w:rsidRDefault="00122251" w:rsidP="00122251">
      <w:pPr>
        <w:pStyle w:val="ListParagraph"/>
        <w:numPr>
          <w:ilvl w:val="0"/>
          <w:numId w:val="9"/>
        </w:numPr>
      </w:pPr>
      <w:r>
        <w:t>WG-ISC documents to be made available to the Consultative Committee.</w:t>
      </w:r>
    </w:p>
    <w:p w:rsidR="00122251" w:rsidRDefault="00122251" w:rsidP="00122251"/>
    <w:p w:rsidR="00454EC9" w:rsidRPr="00454EC9" w:rsidRDefault="00122251" w:rsidP="00122251">
      <w:r w:rsidRPr="008D3C90">
        <w:fldChar w:fldCharType="begin"/>
      </w:r>
      <w:r w:rsidRPr="008D3C90">
        <w:instrText xml:space="preserve"> AUTONUM  </w:instrText>
      </w:r>
      <w:r w:rsidRPr="008D3C90">
        <w:fldChar w:fldCharType="end"/>
      </w:r>
      <w:r w:rsidRPr="008D3C90">
        <w:tab/>
        <w:t xml:space="preserve">The Consultative Committee approved </w:t>
      </w:r>
      <w:r>
        <w:t xml:space="preserve">that </w:t>
      </w:r>
      <w:r w:rsidRPr="008D3C90">
        <w:t>a meeting of the WG</w:t>
      </w:r>
      <w:r w:rsidRPr="008D3C90">
        <w:noBreakHyphen/>
        <w:t xml:space="preserve">ISC </w:t>
      </w:r>
      <w:r>
        <w:t xml:space="preserve">be held </w:t>
      </w:r>
      <w:r w:rsidRPr="008D3C90">
        <w:t>immediately following the ninety</w:t>
      </w:r>
      <w:r w:rsidRPr="008D3C90">
        <w:noBreakHyphen/>
        <w:t>second session of the Consultative Committee</w:t>
      </w:r>
      <w:r w:rsidR="00454EC9" w:rsidRPr="00454EC9">
        <w:t>.</w:t>
      </w:r>
    </w:p>
    <w:p w:rsidR="00454EC9" w:rsidRDefault="00454EC9" w:rsidP="00454EC9"/>
    <w:p w:rsidR="008C5778" w:rsidRPr="00454EC9" w:rsidRDefault="008C5778" w:rsidP="00454EC9"/>
    <w:p w:rsidR="00454EC9" w:rsidRPr="00594218" w:rsidRDefault="00454EC9" w:rsidP="00454EC9">
      <w:pPr>
        <w:pStyle w:val="Heading1"/>
      </w:pPr>
      <w:bookmarkStart w:id="43" w:name="_Toc478464914"/>
      <w:bookmarkEnd w:id="39"/>
      <w:r w:rsidRPr="00594218">
        <w:t>Interrelation</w:t>
      </w:r>
      <w:r w:rsidR="00FE7BB8" w:rsidRPr="00594218">
        <w:t>S</w:t>
      </w:r>
      <w:r w:rsidRPr="00594218">
        <w:t xml:space="preserve"> with the International Treaty on Plant Genetic Resources for Food and Agriculture (ITPGRFA)</w:t>
      </w:r>
      <w:bookmarkEnd w:id="43"/>
    </w:p>
    <w:p w:rsidR="00454EC9" w:rsidRPr="00594218" w:rsidRDefault="00454EC9" w:rsidP="00454EC9"/>
    <w:p w:rsidR="00122251" w:rsidRDefault="00454EC9" w:rsidP="00122251">
      <w:pPr>
        <w:rPr>
          <w:rFonts w:cs="Arial"/>
        </w:rPr>
      </w:pPr>
      <w:r w:rsidRPr="00594218">
        <w:fldChar w:fldCharType="begin"/>
      </w:r>
      <w:r w:rsidRPr="00594218">
        <w:instrText xml:space="preserve"> AUTONUM  </w:instrText>
      </w:r>
      <w:r w:rsidRPr="00594218">
        <w:fldChar w:fldCharType="end"/>
      </w:r>
      <w:r w:rsidRPr="00594218">
        <w:tab/>
      </w:r>
      <w:r w:rsidR="00122251" w:rsidRPr="00594218">
        <w:t>The Consultative Committee</w:t>
      </w:r>
      <w:r w:rsidR="00FE7BB8" w:rsidRPr="00594218">
        <w:t>, at its ninety-second session,</w:t>
      </w:r>
      <w:r w:rsidR="00122251" w:rsidRPr="00594218">
        <w:t xml:space="preserve"> received an oral report on the “Symposium on possible interrelations between the ITPGRFA and the UPOV Convention”, held at UPOV Headquarters in</w:t>
      </w:r>
      <w:r w:rsidR="00122251">
        <w:t xml:space="preserve"> Geneva, on October 26, 2016, from Mr. Raimundo Lavignolle, Vice-President of the Council.  It noted that the Symposium had been </w:t>
      </w:r>
      <w:r w:rsidR="00122251" w:rsidRPr="009B1C34">
        <w:rPr>
          <w:rFonts w:cs="Arial"/>
        </w:rPr>
        <w:t>attended by 1</w:t>
      </w:r>
      <w:r w:rsidR="00122251">
        <w:rPr>
          <w:rFonts w:cs="Arial"/>
        </w:rPr>
        <w:t>47</w:t>
      </w:r>
      <w:r w:rsidR="00122251" w:rsidRPr="009B1C34">
        <w:rPr>
          <w:rFonts w:cs="Arial"/>
        </w:rPr>
        <w:t xml:space="preserve"> participants</w:t>
      </w:r>
      <w:r w:rsidR="00122251">
        <w:rPr>
          <w:rFonts w:cs="Arial"/>
        </w:rPr>
        <w:t xml:space="preserve">, and had been opened by </w:t>
      </w:r>
      <w:r w:rsidR="00122251" w:rsidRPr="00A946D5">
        <w:rPr>
          <w:rFonts w:cs="Arial"/>
        </w:rPr>
        <w:t xml:space="preserve">Mr. Francis </w:t>
      </w:r>
      <w:proofErr w:type="spellStart"/>
      <w:r w:rsidR="00122251" w:rsidRPr="00A946D5">
        <w:rPr>
          <w:rFonts w:cs="Arial"/>
        </w:rPr>
        <w:t>Gurry</w:t>
      </w:r>
      <w:proofErr w:type="spellEnd"/>
      <w:r w:rsidR="00122251" w:rsidRPr="00A946D5">
        <w:rPr>
          <w:rFonts w:cs="Arial"/>
        </w:rPr>
        <w:t>, Secretary</w:t>
      </w:r>
      <w:r w:rsidR="00122251">
        <w:rPr>
          <w:rFonts w:cs="Arial"/>
        </w:rPr>
        <w:noBreakHyphen/>
      </w:r>
      <w:r w:rsidR="00122251" w:rsidRPr="00A946D5">
        <w:rPr>
          <w:rFonts w:cs="Arial"/>
        </w:rPr>
        <w:t>General, UPOV</w:t>
      </w:r>
      <w:r w:rsidR="00122251">
        <w:rPr>
          <w:rFonts w:cs="Arial"/>
        </w:rPr>
        <w:t xml:space="preserve"> and Mr. </w:t>
      </w:r>
      <w:r w:rsidR="00122251" w:rsidRPr="00A946D5">
        <w:rPr>
          <w:rFonts w:cs="Arial"/>
        </w:rPr>
        <w:t xml:space="preserve">Kent </w:t>
      </w:r>
      <w:proofErr w:type="spellStart"/>
      <w:r w:rsidR="00122251" w:rsidRPr="00A946D5">
        <w:rPr>
          <w:rFonts w:cs="Arial"/>
        </w:rPr>
        <w:t>Nnadozie</w:t>
      </w:r>
      <w:proofErr w:type="spellEnd"/>
      <w:r w:rsidR="00122251" w:rsidRPr="00A946D5">
        <w:rPr>
          <w:rFonts w:cs="Arial"/>
        </w:rPr>
        <w:t xml:space="preserve">, Secretary </w:t>
      </w:r>
      <w:r w:rsidR="00122251" w:rsidRPr="00A946D5">
        <w:rPr>
          <w:rFonts w:cs="Arial"/>
          <w:i/>
        </w:rPr>
        <w:t>ad interim</w:t>
      </w:r>
      <w:r w:rsidR="00122251" w:rsidRPr="00A946D5">
        <w:rPr>
          <w:rFonts w:cs="Arial"/>
        </w:rPr>
        <w:t xml:space="preserve"> of the ITPGRFA</w:t>
      </w:r>
      <w:r w:rsidR="00122251">
        <w:rPr>
          <w:rFonts w:cs="Arial"/>
        </w:rPr>
        <w:t>.</w:t>
      </w:r>
    </w:p>
    <w:p w:rsidR="00122251" w:rsidRDefault="00122251" w:rsidP="00122251">
      <w:pPr>
        <w:rPr>
          <w:rFonts w:cs="Arial"/>
        </w:rPr>
      </w:pPr>
    </w:p>
    <w:p w:rsidR="00122251" w:rsidRDefault="00122251" w:rsidP="00122251">
      <w:pPr>
        <w:rPr>
          <w:rFonts w:cs="Arial"/>
        </w:rPr>
      </w:pPr>
      <w:r>
        <w:fldChar w:fldCharType="begin"/>
      </w:r>
      <w:r>
        <w:instrText xml:space="preserve"> AUTONUM  </w:instrText>
      </w:r>
      <w:r>
        <w:fldChar w:fldCharType="end"/>
      </w:r>
      <w:r>
        <w:tab/>
      </w:r>
      <w:r>
        <w:rPr>
          <w:rFonts w:cs="Arial"/>
        </w:rPr>
        <w:t>In their closing remarks, the Co-Moderators:  Mr. </w:t>
      </w:r>
      <w:r w:rsidRPr="00A946D5">
        <w:rPr>
          <w:rFonts w:cs="Arial"/>
        </w:rPr>
        <w:t xml:space="preserve">Muhamad </w:t>
      </w:r>
      <w:proofErr w:type="spellStart"/>
      <w:r w:rsidRPr="00A946D5">
        <w:rPr>
          <w:rFonts w:cs="Arial"/>
        </w:rPr>
        <w:t>Sabran</w:t>
      </w:r>
      <w:proofErr w:type="spellEnd"/>
      <w:r w:rsidRPr="00A946D5">
        <w:rPr>
          <w:rFonts w:cs="Arial"/>
        </w:rPr>
        <w:t>, Chairperson of the Seventh</w:t>
      </w:r>
      <w:r w:rsidR="00F077A9">
        <w:rPr>
          <w:rFonts w:cs="Arial"/>
        </w:rPr>
        <w:t> </w:t>
      </w:r>
      <w:r w:rsidRPr="00A946D5">
        <w:rPr>
          <w:rFonts w:cs="Arial"/>
        </w:rPr>
        <w:t xml:space="preserve">Session of the </w:t>
      </w:r>
      <w:r>
        <w:rPr>
          <w:rFonts w:cs="Arial"/>
        </w:rPr>
        <w:t>Governing Body, ITPGRFA and Mr. </w:t>
      </w:r>
      <w:r w:rsidRPr="00A946D5">
        <w:rPr>
          <w:rFonts w:cs="Arial"/>
        </w:rPr>
        <w:t>Raimundo Lavignolle, Vice-President of the Council of UPOV</w:t>
      </w:r>
      <w:r>
        <w:rPr>
          <w:rFonts w:cs="Arial"/>
        </w:rPr>
        <w:t>, had concluded that:</w:t>
      </w:r>
    </w:p>
    <w:p w:rsidR="00122251" w:rsidRDefault="00122251" w:rsidP="00122251">
      <w:pPr>
        <w:rPr>
          <w:rFonts w:cs="Arial"/>
        </w:rPr>
      </w:pPr>
    </w:p>
    <w:p w:rsidR="00122251" w:rsidRPr="00A946D5" w:rsidRDefault="00122251" w:rsidP="00122251">
      <w:pPr>
        <w:pStyle w:val="ListParagraph"/>
        <w:keepNext/>
        <w:numPr>
          <w:ilvl w:val="0"/>
          <w:numId w:val="12"/>
        </w:numPr>
        <w:rPr>
          <w:rFonts w:cs="Arial"/>
        </w:rPr>
      </w:pPr>
      <w:r w:rsidRPr="00A946D5">
        <w:rPr>
          <w:rFonts w:cs="Arial"/>
        </w:rPr>
        <w:t>We have seen the objectives and benefits of both tre</w:t>
      </w:r>
      <w:r>
        <w:rPr>
          <w:rFonts w:cs="Arial"/>
        </w:rPr>
        <w:t>aties: UPOV Convention, ITPGRFA;</w:t>
      </w:r>
    </w:p>
    <w:p w:rsidR="00122251" w:rsidRPr="00A946D5" w:rsidRDefault="00122251" w:rsidP="00122251">
      <w:pPr>
        <w:pStyle w:val="ListParagraph"/>
        <w:numPr>
          <w:ilvl w:val="0"/>
          <w:numId w:val="12"/>
        </w:numPr>
        <w:rPr>
          <w:rFonts w:cs="Arial"/>
        </w:rPr>
      </w:pPr>
      <w:r w:rsidRPr="00A946D5">
        <w:rPr>
          <w:rFonts w:cs="Arial"/>
        </w:rPr>
        <w:t>It is important to interpret and implement the two treaties in a mutually supportive way in the context of each Contracting Part</w:t>
      </w:r>
      <w:r>
        <w:rPr>
          <w:rFonts w:cs="Arial"/>
        </w:rPr>
        <w:t>y;</w:t>
      </w:r>
    </w:p>
    <w:p w:rsidR="00122251" w:rsidRPr="00A946D5" w:rsidRDefault="00122251" w:rsidP="00122251">
      <w:pPr>
        <w:pStyle w:val="ListParagraph"/>
        <w:numPr>
          <w:ilvl w:val="0"/>
          <w:numId w:val="12"/>
        </w:numPr>
        <w:rPr>
          <w:rFonts w:cs="Arial"/>
        </w:rPr>
      </w:pPr>
      <w:r w:rsidRPr="00A946D5">
        <w:rPr>
          <w:rFonts w:cs="Arial"/>
        </w:rPr>
        <w:t>In order to succeed in these objectives, it is important for the two organizations to work together and to provide the necessary support</w:t>
      </w:r>
      <w:r>
        <w:rPr>
          <w:rFonts w:cs="Arial"/>
        </w:rPr>
        <w:t>;</w:t>
      </w:r>
    </w:p>
    <w:p w:rsidR="00122251" w:rsidRPr="00A946D5" w:rsidRDefault="00122251" w:rsidP="00122251">
      <w:pPr>
        <w:pStyle w:val="ListParagraph"/>
        <w:numPr>
          <w:ilvl w:val="0"/>
          <w:numId w:val="12"/>
        </w:numPr>
        <w:rPr>
          <w:rFonts w:cs="Arial"/>
        </w:rPr>
      </w:pPr>
      <w:r w:rsidRPr="00A946D5">
        <w:rPr>
          <w:rFonts w:cs="Arial"/>
        </w:rPr>
        <w:t>The Symposium highlights the need to involve all stakeholders in this process.</w:t>
      </w:r>
    </w:p>
    <w:p w:rsidR="00122251" w:rsidRDefault="00122251" w:rsidP="00122251"/>
    <w:p w:rsidR="00122251" w:rsidRDefault="00122251" w:rsidP="00122251">
      <w:r>
        <w:fldChar w:fldCharType="begin"/>
      </w:r>
      <w:r>
        <w:instrText xml:space="preserve"> AUTONUM  </w:instrText>
      </w:r>
      <w:r>
        <w:fldChar w:fldCharType="end"/>
      </w:r>
      <w:r>
        <w:tab/>
        <w:t>The Consultative Committee agreed that members of the Union and observers be invited to provide suggestions on any possible further action concerning interrelations between the ITPGRFA and the UPOV Convention for the consideration by the Consultative Committee at its ninety-third session.</w:t>
      </w:r>
    </w:p>
    <w:p w:rsidR="00122251" w:rsidRDefault="00122251" w:rsidP="00122251"/>
    <w:p w:rsidR="00454EC9" w:rsidRPr="00454EC9" w:rsidRDefault="00122251" w:rsidP="00122251">
      <w:r>
        <w:fldChar w:fldCharType="begin"/>
      </w:r>
      <w:r>
        <w:instrText xml:space="preserve"> AUTONUM  </w:instrText>
      </w:r>
      <w:r>
        <w:fldChar w:fldCharType="end"/>
      </w:r>
      <w:r>
        <w:tab/>
        <w:t>The Consultative Committee noted the developments concerning the ITPGRFA Platform for the Co</w:t>
      </w:r>
      <w:r>
        <w:noBreakHyphen/>
        <w:t>Development and Transfer of Technologies</w:t>
      </w:r>
      <w:r w:rsidR="00454EC9" w:rsidRPr="00454EC9">
        <w:t>.</w:t>
      </w:r>
    </w:p>
    <w:p w:rsidR="00454EC9" w:rsidRPr="00454EC9" w:rsidRDefault="00454EC9" w:rsidP="00454EC9"/>
    <w:p w:rsidR="00454EC9" w:rsidRPr="00454EC9" w:rsidRDefault="00454EC9" w:rsidP="00454EC9"/>
    <w:p w:rsidR="00454EC9" w:rsidRPr="00454EC9" w:rsidRDefault="00FE7BB8" w:rsidP="00454EC9">
      <w:pPr>
        <w:pStyle w:val="Heading1"/>
      </w:pPr>
      <w:bookmarkStart w:id="44" w:name="_Toc478464915"/>
      <w:r>
        <w:t>SEMINAR ON PROPAGATING AND HARVESTED MATERIAL</w:t>
      </w:r>
      <w:bookmarkEnd w:id="44"/>
    </w:p>
    <w:p w:rsidR="00454EC9" w:rsidRPr="00454EC9" w:rsidRDefault="00454EC9" w:rsidP="00454EC9"/>
    <w:p w:rsidR="00122251" w:rsidRPr="00C81FC5" w:rsidRDefault="00454EC9" w:rsidP="00122251">
      <w:pPr>
        <w:rPr>
          <w:rFonts w:cs="Arial"/>
          <w:spacing w:val="-4"/>
        </w:rPr>
      </w:pPr>
      <w:r w:rsidRPr="00454EC9">
        <w:fldChar w:fldCharType="begin"/>
      </w:r>
      <w:r w:rsidRPr="00454EC9">
        <w:instrText xml:space="preserve"> AUTONUM  </w:instrText>
      </w:r>
      <w:r w:rsidRPr="00454EC9">
        <w:fldChar w:fldCharType="end"/>
      </w:r>
      <w:r w:rsidRPr="00454EC9">
        <w:tab/>
      </w:r>
      <w:r w:rsidR="00122251" w:rsidRPr="00C81FC5">
        <w:rPr>
          <w:rFonts w:cs="Arial"/>
          <w:spacing w:val="-4"/>
        </w:rPr>
        <w:t>On October 24, 2016, UPOV organized a “Seminar on Propagating and Harvested Material in the Context of the UPOV Convention”.  The Seminar was attended by 151 participants (see</w:t>
      </w:r>
      <w:r w:rsidR="00C81FC5">
        <w:rPr>
          <w:rFonts w:cs="Arial"/>
          <w:spacing w:val="-4"/>
        </w:rPr>
        <w:t> </w:t>
      </w:r>
      <w:hyperlink r:id="rId15" w:history="1">
        <w:r w:rsidR="00122251" w:rsidRPr="00C81FC5">
          <w:rPr>
            <w:rStyle w:val="Hyperlink"/>
            <w:rFonts w:cs="Arial"/>
            <w:spacing w:val="-4"/>
          </w:rPr>
          <w:t>http://www.upov.int/meetings/en/details.jsp?meeting_id=39124</w:t>
        </w:r>
      </w:hyperlink>
      <w:r w:rsidR="00122251" w:rsidRPr="00C81FC5">
        <w:rPr>
          <w:rFonts w:cs="Arial"/>
          <w:spacing w:val="-4"/>
        </w:rPr>
        <w:t>).</w:t>
      </w:r>
    </w:p>
    <w:p w:rsidR="00122251" w:rsidRDefault="00122251" w:rsidP="00122251">
      <w:pPr>
        <w:rPr>
          <w:rFonts w:cs="Arial"/>
        </w:rPr>
      </w:pPr>
    </w:p>
    <w:p w:rsidR="00FE7BB8" w:rsidRDefault="00454EC9" w:rsidP="00D828DB">
      <w:pPr>
        <w:tabs>
          <w:tab w:val="left" w:pos="5387"/>
        </w:tabs>
        <w:ind w:left="4820"/>
        <w:rPr>
          <w:i/>
        </w:rPr>
      </w:pPr>
      <w:r w:rsidRPr="00454EC9">
        <w:rPr>
          <w:i/>
        </w:rPr>
        <w:fldChar w:fldCharType="begin"/>
      </w:r>
      <w:r w:rsidRPr="00454EC9">
        <w:rPr>
          <w:i/>
        </w:rPr>
        <w:instrText xml:space="preserve"> AUTONUM  </w:instrText>
      </w:r>
      <w:r w:rsidRPr="00454EC9">
        <w:fldChar w:fldCharType="end"/>
      </w:r>
      <w:r w:rsidRPr="00454EC9">
        <w:rPr>
          <w:i/>
        </w:rPr>
        <w:tab/>
        <w:t xml:space="preserve">The TC is invited </w:t>
      </w:r>
      <w:r w:rsidRPr="00E9536D">
        <w:rPr>
          <w:i/>
        </w:rPr>
        <w:t>to note</w:t>
      </w:r>
      <w:r w:rsidR="00FE7BB8">
        <w:rPr>
          <w:i/>
        </w:rPr>
        <w:t>:</w:t>
      </w:r>
    </w:p>
    <w:p w:rsidR="00FE7BB8" w:rsidRDefault="00FE7BB8" w:rsidP="00D828DB">
      <w:pPr>
        <w:tabs>
          <w:tab w:val="left" w:pos="5387"/>
        </w:tabs>
        <w:ind w:left="4820"/>
        <w:rPr>
          <w:i/>
        </w:rPr>
      </w:pPr>
    </w:p>
    <w:p w:rsidR="00454EC9" w:rsidRDefault="00FE7BB8" w:rsidP="00FE7BB8">
      <w:pPr>
        <w:tabs>
          <w:tab w:val="left" w:pos="5387"/>
          <w:tab w:val="left" w:pos="5954"/>
        </w:tabs>
        <w:ind w:left="4820"/>
        <w:rPr>
          <w:i/>
        </w:rPr>
      </w:pPr>
      <w:r>
        <w:rPr>
          <w:i/>
        </w:rPr>
        <w:tab/>
        <w:t>(a)</w:t>
      </w:r>
      <w:r>
        <w:rPr>
          <w:i/>
        </w:rPr>
        <w:tab/>
      </w:r>
      <w:r w:rsidRPr="00FE7BB8">
        <w:rPr>
          <w:i/>
        </w:rPr>
        <w:t>the developments in UPOV since its fifty-second session that are not presented under specific items on the agenda of its fifty-third session, including relevant matters discussed in the last sessions of the Administrative and Legal Committee (CAJ), the Consultative Committee and the Co</w:t>
      </w:r>
      <w:r w:rsidR="00594218">
        <w:rPr>
          <w:i/>
        </w:rPr>
        <w:t xml:space="preserve">uncil as set out in paragraphs </w:t>
      </w:r>
      <w:r w:rsidR="00594218" w:rsidRPr="00BC7E01">
        <w:rPr>
          <w:i/>
        </w:rPr>
        <w:t>4</w:t>
      </w:r>
      <w:r w:rsidRPr="00BC7E01">
        <w:rPr>
          <w:i/>
        </w:rPr>
        <w:t xml:space="preserve"> to 47</w:t>
      </w:r>
      <w:bookmarkStart w:id="45" w:name="_GoBack"/>
      <w:bookmarkEnd w:id="45"/>
      <w:r w:rsidRPr="00FE7BB8">
        <w:rPr>
          <w:i/>
        </w:rPr>
        <w:t xml:space="preserve"> of this document;  and</w:t>
      </w:r>
    </w:p>
    <w:p w:rsidR="00FE7BB8" w:rsidRDefault="00FE7BB8" w:rsidP="00FE7BB8">
      <w:pPr>
        <w:tabs>
          <w:tab w:val="left" w:pos="5387"/>
          <w:tab w:val="left" w:pos="5954"/>
        </w:tabs>
        <w:ind w:left="4820"/>
        <w:rPr>
          <w:i/>
        </w:rPr>
      </w:pPr>
    </w:p>
    <w:p w:rsidR="00FE7BB8" w:rsidRPr="00454EC9" w:rsidRDefault="00FE7BB8" w:rsidP="00FE7BB8">
      <w:pPr>
        <w:tabs>
          <w:tab w:val="left" w:pos="5387"/>
          <w:tab w:val="left" w:pos="5954"/>
        </w:tabs>
        <w:ind w:left="4820"/>
        <w:rPr>
          <w:i/>
        </w:rPr>
      </w:pPr>
      <w:r>
        <w:rPr>
          <w:i/>
        </w:rPr>
        <w:tab/>
        <w:t>(b)</w:t>
      </w:r>
      <w:r>
        <w:rPr>
          <w:i/>
        </w:rPr>
        <w:tab/>
      </w:r>
      <w:proofErr w:type="gramStart"/>
      <w:r w:rsidRPr="00FE7BB8">
        <w:rPr>
          <w:i/>
        </w:rPr>
        <w:t>that</w:t>
      </w:r>
      <w:proofErr w:type="gramEnd"/>
      <w:r w:rsidRPr="00FE7BB8">
        <w:rPr>
          <w:i/>
        </w:rPr>
        <w:t xml:space="preserve"> a presentation summarizing the items in this document will be made at the fifty-third session of the TC, a copy of which (in English only) will be provided as an addendum to this document.</w:t>
      </w:r>
    </w:p>
    <w:p w:rsidR="00050E16" w:rsidRPr="00C651CE" w:rsidRDefault="00050E16" w:rsidP="00050E16"/>
    <w:p w:rsidR="00FE7BB8" w:rsidRDefault="00050E16" w:rsidP="00050E16">
      <w:pPr>
        <w:jc w:val="right"/>
      </w:pPr>
      <w:r w:rsidRPr="00C5280D">
        <w:t xml:space="preserve"> [End of document]</w:t>
      </w:r>
    </w:p>
    <w:p w:rsidR="00FE7BB8" w:rsidRDefault="00FE7BB8" w:rsidP="00050E16">
      <w:pPr>
        <w:jc w:val="right"/>
      </w:pPr>
    </w:p>
    <w:p w:rsidR="00050E16" w:rsidRPr="00C5280D" w:rsidRDefault="00050E16" w:rsidP="009B440E">
      <w:pPr>
        <w:jc w:val="left"/>
      </w:pPr>
    </w:p>
    <w:sectPr w:rsidR="00050E16" w:rsidRPr="00C5280D" w:rsidSect="00906DDC">
      <w:headerReference w:type="default" r:id="rId16"/>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6FF" w:rsidRDefault="00DE16FF" w:rsidP="006655D3">
      <w:r>
        <w:separator/>
      </w:r>
    </w:p>
    <w:p w:rsidR="00DE16FF" w:rsidRDefault="00DE16FF" w:rsidP="006655D3"/>
    <w:p w:rsidR="00DE16FF" w:rsidRDefault="00DE16FF" w:rsidP="006655D3"/>
  </w:endnote>
  <w:endnote w:type="continuationSeparator" w:id="0">
    <w:p w:rsidR="00DE16FF" w:rsidRDefault="00DE16FF" w:rsidP="006655D3">
      <w:r>
        <w:separator/>
      </w:r>
    </w:p>
    <w:p w:rsidR="00DE16FF" w:rsidRPr="00294751" w:rsidRDefault="00DE16FF">
      <w:pPr>
        <w:pStyle w:val="Footer"/>
        <w:spacing w:after="60"/>
        <w:rPr>
          <w:sz w:val="18"/>
          <w:lang w:val="fr-FR"/>
        </w:rPr>
      </w:pPr>
      <w:r w:rsidRPr="00294751">
        <w:rPr>
          <w:sz w:val="18"/>
          <w:lang w:val="fr-FR"/>
        </w:rPr>
        <w:t>[Suite de la note de la page précédente]</w:t>
      </w:r>
    </w:p>
    <w:p w:rsidR="00DE16FF" w:rsidRPr="00294751" w:rsidRDefault="00DE16FF" w:rsidP="006655D3">
      <w:pPr>
        <w:rPr>
          <w:lang w:val="fr-FR"/>
        </w:rPr>
      </w:pPr>
    </w:p>
    <w:p w:rsidR="00DE16FF" w:rsidRPr="00294751" w:rsidRDefault="00DE16FF" w:rsidP="006655D3">
      <w:pPr>
        <w:rPr>
          <w:lang w:val="fr-FR"/>
        </w:rPr>
      </w:pPr>
    </w:p>
  </w:endnote>
  <w:endnote w:type="continuationNotice" w:id="1">
    <w:p w:rsidR="00DE16FF" w:rsidRPr="00294751" w:rsidRDefault="00DE16FF" w:rsidP="006655D3">
      <w:pPr>
        <w:rPr>
          <w:lang w:val="fr-FR"/>
        </w:rPr>
      </w:pPr>
      <w:r w:rsidRPr="00294751">
        <w:rPr>
          <w:lang w:val="fr-FR"/>
        </w:rPr>
        <w:t>[Suite de la note page suivante]</w:t>
      </w:r>
    </w:p>
    <w:p w:rsidR="00DE16FF" w:rsidRPr="00294751" w:rsidRDefault="00DE16FF" w:rsidP="006655D3">
      <w:pPr>
        <w:rPr>
          <w:lang w:val="fr-FR"/>
        </w:rPr>
      </w:pPr>
    </w:p>
    <w:p w:rsidR="00DE16FF" w:rsidRPr="00294751" w:rsidRDefault="00DE16F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6FF" w:rsidRDefault="00DE16FF" w:rsidP="006655D3">
      <w:r>
        <w:separator/>
      </w:r>
    </w:p>
  </w:footnote>
  <w:footnote w:type="continuationSeparator" w:id="0">
    <w:p w:rsidR="00DE16FF" w:rsidRDefault="00DE16FF" w:rsidP="006655D3">
      <w:r>
        <w:separator/>
      </w:r>
    </w:p>
  </w:footnote>
  <w:footnote w:type="continuationNotice" w:id="1">
    <w:p w:rsidR="00DE16FF" w:rsidRPr="00AB530F" w:rsidRDefault="00DE16FF"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6FF" w:rsidRPr="00C5280D" w:rsidRDefault="00DE16FF" w:rsidP="00EB048E">
    <w:pPr>
      <w:pStyle w:val="Header"/>
      <w:rPr>
        <w:rStyle w:val="PageNumber"/>
        <w:lang w:val="en-US"/>
      </w:rPr>
    </w:pPr>
    <w:r>
      <w:rPr>
        <w:rStyle w:val="PageNumber"/>
        <w:lang w:val="en-US"/>
      </w:rPr>
      <w:t>TC/53/10</w:t>
    </w:r>
  </w:p>
  <w:p w:rsidR="00DE16FF" w:rsidRPr="00C5280D" w:rsidRDefault="00DE16FF"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C7E01">
      <w:rPr>
        <w:rStyle w:val="PageNumber"/>
        <w:noProof/>
        <w:lang w:val="en-US"/>
      </w:rPr>
      <w:t>2</w:t>
    </w:r>
    <w:r w:rsidRPr="00C5280D">
      <w:rPr>
        <w:rStyle w:val="PageNumber"/>
        <w:lang w:val="en-US"/>
      </w:rPr>
      <w:fldChar w:fldCharType="end"/>
    </w:r>
  </w:p>
  <w:p w:rsidR="00DE16FF" w:rsidRPr="00C5280D" w:rsidRDefault="00DE16FF"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D3151"/>
    <w:multiLevelType w:val="hybridMultilevel"/>
    <w:tmpl w:val="589CE2D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17C46F84"/>
    <w:multiLevelType w:val="hybridMultilevel"/>
    <w:tmpl w:val="DD769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8447FE"/>
    <w:multiLevelType w:val="hybridMultilevel"/>
    <w:tmpl w:val="35F417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1E195460"/>
    <w:multiLevelType w:val="hybridMultilevel"/>
    <w:tmpl w:val="4A724D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265536BF"/>
    <w:multiLevelType w:val="hybridMultilevel"/>
    <w:tmpl w:val="104C77A0"/>
    <w:lvl w:ilvl="0" w:tplc="04090017">
      <w:start w:val="1"/>
      <w:numFmt w:val="lowerLetter"/>
      <w:lvlText w:val="%1)"/>
      <w:lvlJc w:val="left"/>
      <w:pPr>
        <w:ind w:left="720" w:hanging="360"/>
      </w:pPr>
    </w:lvl>
    <w:lvl w:ilvl="1" w:tplc="147C5972">
      <w:start w:val="1"/>
      <w:numFmt w:val="lowerRoman"/>
      <w:lvlText w:val="%2)"/>
      <w:lvlJc w:val="righ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752B7E"/>
    <w:multiLevelType w:val="hybridMultilevel"/>
    <w:tmpl w:val="67189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B170E0"/>
    <w:multiLevelType w:val="hybridMultilevel"/>
    <w:tmpl w:val="DEB42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137C90"/>
    <w:multiLevelType w:val="hybridMultilevel"/>
    <w:tmpl w:val="C54EDE04"/>
    <w:lvl w:ilvl="0" w:tplc="1152D39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55D476B3"/>
    <w:multiLevelType w:val="hybridMultilevel"/>
    <w:tmpl w:val="7C228526"/>
    <w:lvl w:ilvl="0" w:tplc="B14681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EE4233"/>
    <w:multiLevelType w:val="hybridMultilevel"/>
    <w:tmpl w:val="9054753C"/>
    <w:lvl w:ilvl="0" w:tplc="2F28985C">
      <w:start w:val="1"/>
      <w:numFmt w:val="lowerLetter"/>
      <w:lvlText w:val="(%1)"/>
      <w:lvlJc w:val="left"/>
      <w:pPr>
        <w:ind w:left="930" w:hanging="570"/>
      </w:pPr>
      <w:rPr>
        <w:rFonts w:hint="default"/>
      </w:rPr>
    </w:lvl>
    <w:lvl w:ilvl="1" w:tplc="462C67EE">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8616BF"/>
    <w:multiLevelType w:val="hybridMultilevel"/>
    <w:tmpl w:val="915E38E8"/>
    <w:lvl w:ilvl="0" w:tplc="9B70957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7D45183C"/>
    <w:multiLevelType w:val="hybridMultilevel"/>
    <w:tmpl w:val="EB28F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11"/>
  </w:num>
  <w:num w:numId="5">
    <w:abstractNumId w:val="5"/>
  </w:num>
  <w:num w:numId="6">
    <w:abstractNumId w:val="10"/>
  </w:num>
  <w:num w:numId="7">
    <w:abstractNumId w:val="4"/>
  </w:num>
  <w:num w:numId="8">
    <w:abstractNumId w:val="8"/>
  </w:num>
  <w:num w:numId="9">
    <w:abstractNumId w:val="9"/>
  </w:num>
  <w:num w:numId="10">
    <w:abstractNumId w:val="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12"/>
    <w:rsid w:val="00010CF3"/>
    <w:rsid w:val="00011E27"/>
    <w:rsid w:val="000148BC"/>
    <w:rsid w:val="00024AB8"/>
    <w:rsid w:val="00030854"/>
    <w:rsid w:val="00036028"/>
    <w:rsid w:val="00044642"/>
    <w:rsid w:val="000446B9"/>
    <w:rsid w:val="00047E21"/>
    <w:rsid w:val="00050E16"/>
    <w:rsid w:val="00085505"/>
    <w:rsid w:val="000A128F"/>
    <w:rsid w:val="000C4E25"/>
    <w:rsid w:val="000C7021"/>
    <w:rsid w:val="000D6BBC"/>
    <w:rsid w:val="000D7780"/>
    <w:rsid w:val="000E636A"/>
    <w:rsid w:val="000F2F11"/>
    <w:rsid w:val="000F4325"/>
    <w:rsid w:val="00105929"/>
    <w:rsid w:val="00110C36"/>
    <w:rsid w:val="001131D5"/>
    <w:rsid w:val="00122251"/>
    <w:rsid w:val="001228E2"/>
    <w:rsid w:val="00141DB8"/>
    <w:rsid w:val="00160F18"/>
    <w:rsid w:val="00172084"/>
    <w:rsid w:val="0017474A"/>
    <w:rsid w:val="001758C6"/>
    <w:rsid w:val="00182B99"/>
    <w:rsid w:val="0021332C"/>
    <w:rsid w:val="00213982"/>
    <w:rsid w:val="0024416D"/>
    <w:rsid w:val="00271911"/>
    <w:rsid w:val="002800A0"/>
    <w:rsid w:val="002801B3"/>
    <w:rsid w:val="00281060"/>
    <w:rsid w:val="00291F4C"/>
    <w:rsid w:val="002940E8"/>
    <w:rsid w:val="00294751"/>
    <w:rsid w:val="002A6E50"/>
    <w:rsid w:val="002B4298"/>
    <w:rsid w:val="002C175F"/>
    <w:rsid w:val="002C256A"/>
    <w:rsid w:val="002C4221"/>
    <w:rsid w:val="00304827"/>
    <w:rsid w:val="00305A7F"/>
    <w:rsid w:val="003152FE"/>
    <w:rsid w:val="00324413"/>
    <w:rsid w:val="00327436"/>
    <w:rsid w:val="00344BD6"/>
    <w:rsid w:val="0035528D"/>
    <w:rsid w:val="00361821"/>
    <w:rsid w:val="00361E9E"/>
    <w:rsid w:val="003C7FBE"/>
    <w:rsid w:val="003D227C"/>
    <w:rsid w:val="003D2B4D"/>
    <w:rsid w:val="00417A9C"/>
    <w:rsid w:val="00444A88"/>
    <w:rsid w:val="00454EC9"/>
    <w:rsid w:val="00474DA4"/>
    <w:rsid w:val="00476B4D"/>
    <w:rsid w:val="004805FA"/>
    <w:rsid w:val="00486612"/>
    <w:rsid w:val="004935D2"/>
    <w:rsid w:val="004B1215"/>
    <w:rsid w:val="004D047D"/>
    <w:rsid w:val="004D1213"/>
    <w:rsid w:val="004D330A"/>
    <w:rsid w:val="004F1E9E"/>
    <w:rsid w:val="004F305A"/>
    <w:rsid w:val="00512164"/>
    <w:rsid w:val="00520297"/>
    <w:rsid w:val="005338F9"/>
    <w:rsid w:val="0054281C"/>
    <w:rsid w:val="00544581"/>
    <w:rsid w:val="00550581"/>
    <w:rsid w:val="0055268D"/>
    <w:rsid w:val="00576BE4"/>
    <w:rsid w:val="00594218"/>
    <w:rsid w:val="005A400A"/>
    <w:rsid w:val="005C7C50"/>
    <w:rsid w:val="005F5ACA"/>
    <w:rsid w:val="005F6571"/>
    <w:rsid w:val="005F7B92"/>
    <w:rsid w:val="00612379"/>
    <w:rsid w:val="00612438"/>
    <w:rsid w:val="006153B6"/>
    <w:rsid w:val="0061555F"/>
    <w:rsid w:val="00636CA6"/>
    <w:rsid w:val="00641200"/>
    <w:rsid w:val="00645CA8"/>
    <w:rsid w:val="006604F7"/>
    <w:rsid w:val="006655D3"/>
    <w:rsid w:val="00667404"/>
    <w:rsid w:val="00687EB4"/>
    <w:rsid w:val="00695C56"/>
    <w:rsid w:val="006A5CDE"/>
    <w:rsid w:val="006A644A"/>
    <w:rsid w:val="006B17D2"/>
    <w:rsid w:val="006B6516"/>
    <w:rsid w:val="006C224E"/>
    <w:rsid w:val="006D6254"/>
    <w:rsid w:val="006D780A"/>
    <w:rsid w:val="006E0816"/>
    <w:rsid w:val="0071271E"/>
    <w:rsid w:val="00732DEC"/>
    <w:rsid w:val="00735491"/>
    <w:rsid w:val="00735BD5"/>
    <w:rsid w:val="00751613"/>
    <w:rsid w:val="007556F6"/>
    <w:rsid w:val="00760EEF"/>
    <w:rsid w:val="007659E5"/>
    <w:rsid w:val="00775FBD"/>
    <w:rsid w:val="00777EE5"/>
    <w:rsid w:val="00784836"/>
    <w:rsid w:val="0079023E"/>
    <w:rsid w:val="007A2854"/>
    <w:rsid w:val="007C1D92"/>
    <w:rsid w:val="007C4CB9"/>
    <w:rsid w:val="007D0B9D"/>
    <w:rsid w:val="007D19B0"/>
    <w:rsid w:val="007F498F"/>
    <w:rsid w:val="007F6A1A"/>
    <w:rsid w:val="0080679D"/>
    <w:rsid w:val="008108B0"/>
    <w:rsid w:val="00811B20"/>
    <w:rsid w:val="008211B5"/>
    <w:rsid w:val="0082296E"/>
    <w:rsid w:val="00824099"/>
    <w:rsid w:val="00846D7C"/>
    <w:rsid w:val="00867AC1"/>
    <w:rsid w:val="00890DF8"/>
    <w:rsid w:val="008A743F"/>
    <w:rsid w:val="008C0970"/>
    <w:rsid w:val="008C5778"/>
    <w:rsid w:val="008D0BC5"/>
    <w:rsid w:val="008D2CF7"/>
    <w:rsid w:val="00900C26"/>
    <w:rsid w:val="0090197F"/>
    <w:rsid w:val="00906DDC"/>
    <w:rsid w:val="00934E09"/>
    <w:rsid w:val="00936253"/>
    <w:rsid w:val="00940D46"/>
    <w:rsid w:val="00952DD4"/>
    <w:rsid w:val="00965AE7"/>
    <w:rsid w:val="00970FED"/>
    <w:rsid w:val="00990B2A"/>
    <w:rsid w:val="00992D82"/>
    <w:rsid w:val="00997029"/>
    <w:rsid w:val="009A7339"/>
    <w:rsid w:val="009B440E"/>
    <w:rsid w:val="009D690D"/>
    <w:rsid w:val="009E65B6"/>
    <w:rsid w:val="00A24C10"/>
    <w:rsid w:val="00A42AC3"/>
    <w:rsid w:val="00A430CF"/>
    <w:rsid w:val="00A54309"/>
    <w:rsid w:val="00A72390"/>
    <w:rsid w:val="00AB2B93"/>
    <w:rsid w:val="00AB530F"/>
    <w:rsid w:val="00AB7E5B"/>
    <w:rsid w:val="00AC2883"/>
    <w:rsid w:val="00AE0EF1"/>
    <w:rsid w:val="00AE2937"/>
    <w:rsid w:val="00AE4C19"/>
    <w:rsid w:val="00B03035"/>
    <w:rsid w:val="00B07301"/>
    <w:rsid w:val="00B11F3E"/>
    <w:rsid w:val="00B224DE"/>
    <w:rsid w:val="00B324D4"/>
    <w:rsid w:val="00B46575"/>
    <w:rsid w:val="00B61777"/>
    <w:rsid w:val="00B635F9"/>
    <w:rsid w:val="00B84BBD"/>
    <w:rsid w:val="00BA43FB"/>
    <w:rsid w:val="00BC127D"/>
    <w:rsid w:val="00BC1FE6"/>
    <w:rsid w:val="00BC7E01"/>
    <w:rsid w:val="00C061B6"/>
    <w:rsid w:val="00C2446C"/>
    <w:rsid w:val="00C36AE5"/>
    <w:rsid w:val="00C41F17"/>
    <w:rsid w:val="00C527FA"/>
    <w:rsid w:val="00C5280D"/>
    <w:rsid w:val="00C53EB3"/>
    <w:rsid w:val="00C5791C"/>
    <w:rsid w:val="00C66290"/>
    <w:rsid w:val="00C72B7A"/>
    <w:rsid w:val="00C81FC5"/>
    <w:rsid w:val="00C86D83"/>
    <w:rsid w:val="00C973F2"/>
    <w:rsid w:val="00CA304C"/>
    <w:rsid w:val="00CA774A"/>
    <w:rsid w:val="00CC11B0"/>
    <w:rsid w:val="00CC2841"/>
    <w:rsid w:val="00CF1330"/>
    <w:rsid w:val="00CF7E36"/>
    <w:rsid w:val="00D22DB2"/>
    <w:rsid w:val="00D3708D"/>
    <w:rsid w:val="00D40426"/>
    <w:rsid w:val="00D57C96"/>
    <w:rsid w:val="00D57D18"/>
    <w:rsid w:val="00D828DB"/>
    <w:rsid w:val="00D91203"/>
    <w:rsid w:val="00D95174"/>
    <w:rsid w:val="00DA4973"/>
    <w:rsid w:val="00DA6C74"/>
    <w:rsid w:val="00DA6F36"/>
    <w:rsid w:val="00DB596E"/>
    <w:rsid w:val="00DB7773"/>
    <w:rsid w:val="00DC00EA"/>
    <w:rsid w:val="00DC3802"/>
    <w:rsid w:val="00DE16FF"/>
    <w:rsid w:val="00E07D87"/>
    <w:rsid w:val="00E32F7E"/>
    <w:rsid w:val="00E5267B"/>
    <w:rsid w:val="00E63C0E"/>
    <w:rsid w:val="00E72D49"/>
    <w:rsid w:val="00E744B2"/>
    <w:rsid w:val="00E7593C"/>
    <w:rsid w:val="00E7678A"/>
    <w:rsid w:val="00E90EE6"/>
    <w:rsid w:val="00E935F1"/>
    <w:rsid w:val="00E94A81"/>
    <w:rsid w:val="00E9536D"/>
    <w:rsid w:val="00EA1FFB"/>
    <w:rsid w:val="00EB048E"/>
    <w:rsid w:val="00EB4E9C"/>
    <w:rsid w:val="00EE34DF"/>
    <w:rsid w:val="00EF2F89"/>
    <w:rsid w:val="00F030B4"/>
    <w:rsid w:val="00F03E98"/>
    <w:rsid w:val="00F077A9"/>
    <w:rsid w:val="00F1237A"/>
    <w:rsid w:val="00F22CBD"/>
    <w:rsid w:val="00F272F1"/>
    <w:rsid w:val="00F45372"/>
    <w:rsid w:val="00F560F7"/>
    <w:rsid w:val="00F6334D"/>
    <w:rsid w:val="00FA49AB"/>
    <w:rsid w:val="00FB34A2"/>
    <w:rsid w:val="00FE39C7"/>
    <w:rsid w:val="00FE7BB8"/>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54EC9"/>
    <w:pPr>
      <w:keepNext/>
      <w:jc w:val="both"/>
      <w:outlineLvl w:val="1"/>
    </w:pPr>
    <w:rPr>
      <w:rFonts w:ascii="Arial" w:hAnsi="Arial"/>
      <w:u w:val="single"/>
    </w:rPr>
  </w:style>
  <w:style w:type="paragraph" w:styleId="Heading3">
    <w:name w:val="heading 3"/>
    <w:next w:val="Normal"/>
    <w:autoRedefine/>
    <w:qFormat/>
    <w:rsid w:val="00F077A9"/>
    <w:pPr>
      <w:keepNext/>
      <w:ind w:left="1134" w:hanging="567"/>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7F6A1A"/>
    <w:pPr>
      <w:tabs>
        <w:tab w:val="right" w:leader="dot" w:pos="9639"/>
      </w:tabs>
      <w:spacing w:before="120" w:after="120"/>
      <w:ind w:right="567"/>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Default">
    <w:name w:val="Default"/>
    <w:rsid w:val="00B635F9"/>
    <w:pPr>
      <w:autoSpaceDE w:val="0"/>
      <w:autoSpaceDN w:val="0"/>
      <w:adjustRightInd w:val="0"/>
    </w:pPr>
    <w:rPr>
      <w:rFonts w:ascii="Arial" w:hAnsi="Arial" w:cs="Arial"/>
      <w:color w:val="000000"/>
      <w:sz w:val="24"/>
      <w:szCs w:val="24"/>
    </w:rPr>
  </w:style>
  <w:style w:type="table" w:styleId="TableGrid">
    <w:name w:val="Table Grid"/>
    <w:basedOn w:val="TableNormal"/>
    <w:rsid w:val="004D1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22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54EC9"/>
    <w:pPr>
      <w:keepNext/>
      <w:jc w:val="both"/>
      <w:outlineLvl w:val="1"/>
    </w:pPr>
    <w:rPr>
      <w:rFonts w:ascii="Arial" w:hAnsi="Arial"/>
      <w:u w:val="single"/>
    </w:rPr>
  </w:style>
  <w:style w:type="paragraph" w:styleId="Heading3">
    <w:name w:val="heading 3"/>
    <w:next w:val="Normal"/>
    <w:autoRedefine/>
    <w:qFormat/>
    <w:rsid w:val="00F077A9"/>
    <w:pPr>
      <w:keepNext/>
      <w:ind w:left="1134" w:hanging="567"/>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7F6A1A"/>
    <w:pPr>
      <w:tabs>
        <w:tab w:val="right" w:leader="dot" w:pos="9639"/>
      </w:tabs>
      <w:spacing w:before="120" w:after="120"/>
      <w:ind w:right="567"/>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Default">
    <w:name w:val="Default"/>
    <w:rsid w:val="00B635F9"/>
    <w:pPr>
      <w:autoSpaceDE w:val="0"/>
      <w:autoSpaceDN w:val="0"/>
      <w:adjustRightInd w:val="0"/>
    </w:pPr>
    <w:rPr>
      <w:rFonts w:ascii="Arial" w:hAnsi="Arial" w:cs="Arial"/>
      <w:color w:val="000000"/>
      <w:sz w:val="24"/>
      <w:szCs w:val="24"/>
    </w:rPr>
  </w:style>
  <w:style w:type="table" w:styleId="TableGrid">
    <w:name w:val="Table Grid"/>
    <w:basedOn w:val="TableNormal"/>
    <w:rsid w:val="004D1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22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493191">
      <w:bodyDiv w:val="1"/>
      <w:marLeft w:val="0"/>
      <w:marRight w:val="0"/>
      <w:marTop w:val="0"/>
      <w:marBottom w:val="0"/>
      <w:divBdr>
        <w:top w:val="none" w:sz="0" w:space="0" w:color="auto"/>
        <w:left w:val="none" w:sz="0" w:space="0" w:color="auto"/>
        <w:bottom w:val="none" w:sz="0" w:space="0" w:color="auto"/>
        <w:right w:val="none" w:sz="0" w:space="0" w:color="auto"/>
      </w:divBdr>
    </w:div>
    <w:div w:id="1281300688">
      <w:bodyDiv w:val="1"/>
      <w:marLeft w:val="0"/>
      <w:marRight w:val="0"/>
      <w:marTop w:val="0"/>
      <w:marBottom w:val="0"/>
      <w:divBdr>
        <w:top w:val="none" w:sz="0" w:space="0" w:color="auto"/>
        <w:left w:val="none" w:sz="0" w:space="0" w:color="auto"/>
        <w:bottom w:val="none" w:sz="0" w:space="0" w:color="auto"/>
        <w:right w:val="none" w:sz="0" w:space="0" w:color="auto"/>
      </w:divBdr>
    </w:div>
    <w:div w:id="2104837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pov.int/upov_collection/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upov_collection/en/" TargetMode="External"/><Relationship Id="rId5" Type="http://schemas.openxmlformats.org/officeDocument/2006/relationships/settings" Target="settings.xml"/><Relationship Id="rId15" Type="http://schemas.openxmlformats.org/officeDocument/2006/relationships/hyperlink" Target="http://www.upov.int/meetings/en/details.jsp?meeting_id=39124" TargetMode="External"/><Relationship Id="rId10" Type="http://schemas.openxmlformats.org/officeDocument/2006/relationships/hyperlink" Target="http://www.upov.int/members/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resource/en/training.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3\templates\TC_5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42ABE-5588-40EB-8FF8-74138AFD8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TC_53_EN</Template>
  <TotalTime>56</TotalTime>
  <Pages>10</Pages>
  <Words>3589</Words>
  <Characters>22699</Characters>
  <Application>Microsoft Office Word</Application>
  <DocSecurity>0</DocSecurity>
  <Lines>189</Lines>
  <Paragraphs>52</Paragraphs>
  <ScaleCrop>false</ScaleCrop>
  <HeadingPairs>
    <vt:vector size="2" baseType="variant">
      <vt:variant>
        <vt:lpstr>Title</vt:lpstr>
      </vt:variant>
      <vt:variant>
        <vt:i4>1</vt:i4>
      </vt:variant>
    </vt:vector>
  </HeadingPairs>
  <TitlesOfParts>
    <vt:vector size="1" baseType="lpstr">
      <vt:lpstr>TC/53</vt:lpstr>
    </vt:vector>
  </TitlesOfParts>
  <Company>UPOV</Company>
  <LinksUpToDate>false</LinksUpToDate>
  <CharactersWithSpaces>26236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BESSE Ariane</dc:creator>
  <cp:lastModifiedBy>GIACHINO Erika</cp:lastModifiedBy>
  <cp:revision>10</cp:revision>
  <cp:lastPrinted>2017-03-27T12:33:00Z</cp:lastPrinted>
  <dcterms:created xsi:type="dcterms:W3CDTF">2017-03-27T12:00:00Z</dcterms:created>
  <dcterms:modified xsi:type="dcterms:W3CDTF">2017-03-28T09:47:00Z</dcterms:modified>
</cp:coreProperties>
</file>