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7359B5" w:rsidRDefault="009372A3" w:rsidP="006655D3">
            <w:pPr>
              <w:pStyle w:val="Docoriginal"/>
            </w:pPr>
            <w:r>
              <w:t>T</w:t>
            </w:r>
            <w:r w:rsidRPr="007359B5">
              <w:t>C/52/21</w:t>
            </w:r>
          </w:p>
          <w:p w:rsidR="000D7780" w:rsidRPr="007359B5" w:rsidRDefault="0061555F" w:rsidP="006655D3">
            <w:pPr>
              <w:pStyle w:val="Docoriginal"/>
              <w:rPr>
                <w:b w:val="0"/>
                <w:spacing w:val="0"/>
              </w:rPr>
            </w:pPr>
            <w:r w:rsidRPr="007359B5">
              <w:rPr>
                <w:rStyle w:val="StyleDoclangBold"/>
                <w:b/>
                <w:bCs/>
                <w:spacing w:val="0"/>
              </w:rPr>
              <w:t>ORIGINAL</w:t>
            </w:r>
            <w:r w:rsidR="000D7780" w:rsidRPr="007359B5">
              <w:rPr>
                <w:rStyle w:val="StyleDoclangBold"/>
                <w:b/>
                <w:bCs/>
                <w:spacing w:val="0"/>
              </w:rPr>
              <w:t>:</w:t>
            </w:r>
            <w:r w:rsidRPr="007359B5">
              <w:rPr>
                <w:rStyle w:val="StyleDocoriginalNotBold1"/>
                <w:spacing w:val="0"/>
              </w:rPr>
              <w:t xml:space="preserve"> </w:t>
            </w:r>
            <w:r w:rsidR="00846D7C" w:rsidRPr="007359B5">
              <w:rPr>
                <w:rStyle w:val="StyleDocoriginalNotBold1"/>
                <w:spacing w:val="0"/>
              </w:rPr>
              <w:t xml:space="preserve"> </w:t>
            </w:r>
            <w:bookmarkStart w:id="0" w:name="Original"/>
            <w:bookmarkEnd w:id="0"/>
            <w:r w:rsidR="0024416D" w:rsidRPr="007359B5">
              <w:rPr>
                <w:b w:val="0"/>
                <w:spacing w:val="0"/>
              </w:rPr>
              <w:t>English</w:t>
            </w:r>
          </w:p>
          <w:p w:rsidR="000D7780" w:rsidRPr="00C5280D" w:rsidRDefault="000D7780" w:rsidP="007359B5">
            <w:pPr>
              <w:pStyle w:val="Docoriginal"/>
            </w:pPr>
            <w:r w:rsidRPr="007359B5">
              <w:rPr>
                <w:spacing w:val="0"/>
              </w:rPr>
              <w:t>DATE:</w:t>
            </w:r>
            <w:r w:rsidR="0061555F" w:rsidRPr="007359B5">
              <w:rPr>
                <w:spacing w:val="0"/>
              </w:rPr>
              <w:t xml:space="preserve"> </w:t>
            </w:r>
            <w:r w:rsidRPr="007359B5">
              <w:rPr>
                <w:rStyle w:val="StyleDocoriginalNotBold1"/>
                <w:spacing w:val="0"/>
              </w:rPr>
              <w:t xml:space="preserve"> </w:t>
            </w:r>
            <w:bookmarkStart w:id="1" w:name="Date"/>
            <w:bookmarkEnd w:id="1"/>
            <w:r w:rsidR="000211A6" w:rsidRPr="007359B5">
              <w:rPr>
                <w:b w:val="0"/>
                <w:spacing w:val="0"/>
              </w:rPr>
              <w:t xml:space="preserve">January </w:t>
            </w:r>
            <w:r w:rsidR="00652280" w:rsidRPr="007359B5">
              <w:rPr>
                <w:b w:val="0"/>
                <w:spacing w:val="0"/>
              </w:rPr>
              <w:t>2</w:t>
            </w:r>
            <w:r w:rsidR="007359B5" w:rsidRPr="007359B5">
              <w:rPr>
                <w:b w:val="0"/>
                <w:spacing w:val="0"/>
              </w:rPr>
              <w:t>6</w:t>
            </w:r>
            <w:r w:rsidR="0024416D" w:rsidRPr="007359B5">
              <w:rPr>
                <w:b w:val="0"/>
                <w:spacing w:val="0"/>
              </w:rPr>
              <w:t xml:space="preserve">, </w:t>
            </w:r>
            <w:r w:rsidR="001131D5" w:rsidRPr="007359B5">
              <w:rPr>
                <w:b w:val="0"/>
                <w:spacing w:val="0"/>
              </w:rPr>
              <w:t>201</w:t>
            </w:r>
            <w:r w:rsidR="007359B5">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54458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544581">
        <w:t>14</w:t>
      </w:r>
      <w:r w:rsidR="004B1215">
        <w:t xml:space="preserve"> to </w:t>
      </w:r>
      <w:r w:rsidR="00544581">
        <w:t>16</w:t>
      </w:r>
      <w:r w:rsidRPr="00C5280D">
        <w:t>,</w:t>
      </w:r>
      <w:r w:rsidR="00867AC1" w:rsidRPr="00C5280D">
        <w:t xml:space="preserve"> 201</w:t>
      </w:r>
      <w:r w:rsidR="00544581">
        <w:t>6</w:t>
      </w:r>
    </w:p>
    <w:p w:rsidR="000D7780" w:rsidRPr="00C5280D" w:rsidRDefault="0055179D" w:rsidP="0055179D">
      <w:pPr>
        <w:pStyle w:val="Titleofdoc0"/>
      </w:pPr>
      <w:bookmarkStart w:id="2" w:name="TitleOfDoc"/>
      <w:bookmarkEnd w:id="2"/>
      <w:r w:rsidRPr="00BE4A7F">
        <w:t>Matters concerning variety descriptions</w:t>
      </w:r>
    </w:p>
    <w:p w:rsidR="00050E16" w:rsidRPr="00C5280D" w:rsidRDefault="00AE0EF1" w:rsidP="00050E16">
      <w:pPr>
        <w:pStyle w:val="preparedby1"/>
      </w:pPr>
      <w:bookmarkStart w:id="3" w:name="Prepared"/>
      <w:bookmarkEnd w:id="3"/>
      <w:r w:rsidRPr="0055179D">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55179D" w:rsidRDefault="0055179D" w:rsidP="0055179D">
      <w:bookmarkStart w:id="4" w:name="_Toc418531189"/>
      <w:r>
        <w:t>EXECUTIVE SUMMARY</w:t>
      </w:r>
    </w:p>
    <w:p w:rsidR="0055179D" w:rsidRDefault="0055179D" w:rsidP="0055179D"/>
    <w:p w:rsidR="0055179D" w:rsidRDefault="0055179D" w:rsidP="0055179D">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Technical</w:t>
      </w:r>
      <w:r w:rsidR="00374651">
        <w:t> </w:t>
      </w:r>
      <w:r>
        <w:t>Committee by the Administrative and Legal Committee</w:t>
      </w:r>
      <w:r w:rsidR="002D0983">
        <w:t>, and to consider the role of the plant material used as basis of the DUS examination in relation to th</w:t>
      </w:r>
      <w:r w:rsidR="00652280">
        <w:t>o</w:t>
      </w:r>
      <w:r w:rsidR="002D0983">
        <w:t>se matters</w:t>
      </w:r>
      <w:r w:rsidRPr="007C63B0">
        <w:rPr>
          <w:snapToGrid w:val="0"/>
        </w:rPr>
        <w:t>.</w:t>
      </w:r>
    </w:p>
    <w:p w:rsidR="0055179D" w:rsidRDefault="0055179D" w:rsidP="0055179D">
      <w:pPr>
        <w:rPr>
          <w:snapToGrid w:val="0"/>
        </w:rPr>
      </w:pPr>
    </w:p>
    <w:p w:rsidR="000D1759" w:rsidRPr="000D1759" w:rsidRDefault="000D1759" w:rsidP="000D1759">
      <w:pPr>
        <w:tabs>
          <w:tab w:val="left" w:pos="567"/>
          <w:tab w:val="left" w:pos="1134"/>
          <w:tab w:val="left" w:pos="5387"/>
        </w:tabs>
      </w:pPr>
      <w:r w:rsidRPr="000D1759">
        <w:fldChar w:fldCharType="begin"/>
      </w:r>
      <w:r w:rsidRPr="000D1759">
        <w:instrText xml:space="preserve"> AUTONUM  </w:instrText>
      </w:r>
      <w:r w:rsidRPr="000D1759">
        <w:fldChar w:fldCharType="end"/>
      </w:r>
      <w:r w:rsidRPr="000D1759">
        <w:tab/>
        <w:t>The TC is invited to:</w:t>
      </w:r>
    </w:p>
    <w:p w:rsidR="000D1759" w:rsidRPr="000D1759" w:rsidRDefault="000D1759" w:rsidP="000D1759">
      <w:pPr>
        <w:tabs>
          <w:tab w:val="left" w:pos="567"/>
          <w:tab w:val="left" w:pos="1134"/>
          <w:tab w:val="left" w:pos="5387"/>
        </w:tabs>
      </w:pPr>
    </w:p>
    <w:p w:rsidR="000D1759" w:rsidRPr="000D1759" w:rsidRDefault="000D1759" w:rsidP="000D1759">
      <w:pPr>
        <w:tabs>
          <w:tab w:val="left" w:pos="567"/>
          <w:tab w:val="left" w:pos="1134"/>
          <w:tab w:val="left" w:pos="5387"/>
          <w:tab w:val="left" w:pos="5954"/>
        </w:tabs>
      </w:pPr>
      <w:r w:rsidRPr="000D1759">
        <w:tab/>
        <w:t>(a)</w:t>
      </w:r>
      <w:r w:rsidRPr="000D1759">
        <w:tab/>
      </w:r>
      <w:proofErr w:type="gramStart"/>
      <w:r w:rsidRPr="000D1759">
        <w:t>note</w:t>
      </w:r>
      <w:proofErr w:type="gramEnd"/>
      <w:r w:rsidRPr="000D1759">
        <w:t xml:space="preserve"> that the CAJ, at its seventy-first session, endorsed the conclusion of the CAJ-AG, at its ninth session, on the:</w:t>
      </w:r>
    </w:p>
    <w:p w:rsidR="000D1759" w:rsidRPr="000D1759" w:rsidRDefault="000D1759" w:rsidP="000D1759">
      <w:pPr>
        <w:tabs>
          <w:tab w:val="left" w:pos="567"/>
          <w:tab w:val="left" w:pos="1134"/>
          <w:tab w:val="left" w:pos="5387"/>
          <w:tab w:val="left" w:pos="5954"/>
        </w:tabs>
      </w:pPr>
    </w:p>
    <w:p w:rsidR="000D1759" w:rsidRPr="00254EB4" w:rsidRDefault="000D1759" w:rsidP="000D1759">
      <w:pPr>
        <w:tabs>
          <w:tab w:val="left" w:pos="567"/>
          <w:tab w:val="left" w:pos="1134"/>
          <w:tab w:val="left" w:pos="5387"/>
          <w:tab w:val="left" w:pos="5954"/>
        </w:tabs>
      </w:pPr>
      <w:r w:rsidRPr="000D1759">
        <w:tab/>
      </w:r>
      <w:r w:rsidRPr="000D1759">
        <w:tab/>
        <w:t>(</w:t>
      </w:r>
      <w:proofErr w:type="spellStart"/>
      <w:r w:rsidRPr="000D1759">
        <w:t>i</w:t>
      </w:r>
      <w:proofErr w:type="spellEnd"/>
      <w:r w:rsidRPr="000D1759">
        <w:t xml:space="preserve">) </w:t>
      </w:r>
      <w:proofErr w:type="gramStart"/>
      <w:r w:rsidRPr="000D1759">
        <w:t>purpose</w:t>
      </w:r>
      <w:proofErr w:type="gramEnd"/>
      <w:r w:rsidRPr="000D1759">
        <w:t xml:space="preserve"> of the variety description developed at the time of the granted of the breeder</w:t>
      </w:r>
      <w:r w:rsidR="00254EB4">
        <w:t>’</w:t>
      </w:r>
      <w:r w:rsidRPr="000D1759">
        <w:t xml:space="preserve">s right </w:t>
      </w:r>
      <w:r w:rsidRPr="00254EB4">
        <w:t>(original variety description), as set out in paragraph 12 of this document; and</w:t>
      </w:r>
    </w:p>
    <w:p w:rsidR="000D1759" w:rsidRPr="00254EB4" w:rsidRDefault="000D1759" w:rsidP="000D1759">
      <w:pPr>
        <w:tabs>
          <w:tab w:val="left" w:pos="567"/>
          <w:tab w:val="left" w:pos="1134"/>
          <w:tab w:val="left" w:pos="5387"/>
          <w:tab w:val="left" w:pos="5954"/>
        </w:tabs>
      </w:pPr>
    </w:p>
    <w:p w:rsidR="000D1759" w:rsidRPr="00254EB4" w:rsidRDefault="000D1759" w:rsidP="000D1759">
      <w:pPr>
        <w:tabs>
          <w:tab w:val="left" w:pos="567"/>
          <w:tab w:val="left" w:pos="1134"/>
          <w:tab w:val="left" w:pos="5387"/>
          <w:tab w:val="left" w:pos="5954"/>
        </w:tabs>
      </w:pPr>
      <w:r w:rsidRPr="00254EB4">
        <w:tab/>
      </w:r>
      <w:r w:rsidRPr="00254EB4">
        <w:tab/>
        <w:t>(ii) status of the original variety description in relation to the verification of the conformity of plant material to a protected variety for enforcement of the breeder</w:t>
      </w:r>
      <w:r w:rsidR="00254EB4">
        <w:t>’</w:t>
      </w:r>
      <w:r w:rsidRPr="00254EB4">
        <w:t>s right, as set out in paragraph 13 of this document;</w:t>
      </w:r>
    </w:p>
    <w:p w:rsidR="000D1759" w:rsidRPr="00254EB4" w:rsidRDefault="000D1759" w:rsidP="000D1759">
      <w:pPr>
        <w:tabs>
          <w:tab w:val="left" w:pos="567"/>
          <w:tab w:val="left" w:pos="1134"/>
          <w:tab w:val="left" w:pos="5387"/>
          <w:tab w:val="left" w:pos="5954"/>
        </w:tabs>
      </w:pPr>
    </w:p>
    <w:p w:rsidR="000D1759" w:rsidRPr="00254EB4" w:rsidRDefault="000D1759" w:rsidP="000D1759">
      <w:pPr>
        <w:tabs>
          <w:tab w:val="left" w:pos="567"/>
          <w:tab w:val="left" w:pos="1134"/>
          <w:tab w:val="left" w:pos="5387"/>
          <w:tab w:val="left" w:pos="5954"/>
        </w:tabs>
      </w:pPr>
      <w:r w:rsidRPr="00254EB4">
        <w:tab/>
        <w:t>(b)</w:t>
      </w:r>
      <w:r w:rsidRPr="00254EB4">
        <w:tab/>
      </w:r>
      <w:proofErr w:type="gramStart"/>
      <w:r w:rsidRPr="00254EB4">
        <w:t>note</w:t>
      </w:r>
      <w:proofErr w:type="gramEnd"/>
      <w:r w:rsidRPr="00254EB4">
        <w:t xml:space="preserve"> the presentations on “matters concerning variety descriptions” received by the TWPs, at their sessions in 2015, as set out in paragraph 17 of this document;</w:t>
      </w:r>
    </w:p>
    <w:p w:rsidR="000D1759" w:rsidRPr="00254EB4" w:rsidRDefault="000D1759" w:rsidP="000D1759">
      <w:pPr>
        <w:tabs>
          <w:tab w:val="left" w:pos="567"/>
          <w:tab w:val="left" w:pos="1134"/>
          <w:tab w:val="left" w:pos="5387"/>
          <w:tab w:val="left" w:pos="5954"/>
        </w:tabs>
      </w:pPr>
    </w:p>
    <w:p w:rsidR="000D1759" w:rsidRPr="00254EB4" w:rsidRDefault="000D1759" w:rsidP="000D1759">
      <w:pPr>
        <w:keepLines/>
        <w:tabs>
          <w:tab w:val="left" w:pos="567"/>
          <w:tab w:val="left" w:pos="1134"/>
          <w:tab w:val="left" w:pos="5387"/>
          <w:tab w:val="left" w:pos="5954"/>
        </w:tabs>
      </w:pPr>
      <w:r w:rsidRPr="00254EB4">
        <w:tab/>
        <w:t>(c)</w:t>
      </w:r>
      <w:r w:rsidRPr="00254EB4">
        <w:tab/>
        <w:t>note the comments by the TWPs, at their sessions in 2015, on matters concerning variety descriptions and the role of plant material used as the basis for the DUS examination, as set out in paragraphs 18 to 40 of this document; and</w:t>
      </w:r>
    </w:p>
    <w:p w:rsidR="000D1759" w:rsidRPr="00254EB4" w:rsidRDefault="000D1759" w:rsidP="000D1759">
      <w:pPr>
        <w:tabs>
          <w:tab w:val="left" w:pos="567"/>
          <w:tab w:val="left" w:pos="1134"/>
          <w:tab w:val="left" w:pos="5387"/>
          <w:tab w:val="left" w:pos="5954"/>
        </w:tabs>
      </w:pPr>
    </w:p>
    <w:p w:rsidR="00254EB4" w:rsidRDefault="000D1759" w:rsidP="00254EB4">
      <w:pPr>
        <w:tabs>
          <w:tab w:val="left" w:pos="567"/>
          <w:tab w:val="left" w:pos="1134"/>
        </w:tabs>
      </w:pPr>
      <w:r w:rsidRPr="00254EB4">
        <w:tab/>
        <w:t>(d)</w:t>
      </w:r>
      <w:r w:rsidRPr="00254EB4">
        <w:tab/>
      </w:r>
      <w:proofErr w:type="gramStart"/>
      <w:r w:rsidRPr="00254EB4">
        <w:t>consider</w:t>
      </w:r>
      <w:proofErr w:type="gramEnd"/>
      <w:r w:rsidRPr="00254EB4">
        <w:t xml:space="preserve"> whether to invite experts to present to the TWPs, at their sessions in 2016, their experiences with regard to the role of plant material used as the basis for the DUS examination in relation to matters presented in paragraph 5 of this document.</w:t>
      </w:r>
    </w:p>
    <w:p w:rsidR="00E25395" w:rsidRPr="000D1759" w:rsidRDefault="00E25395" w:rsidP="00254EB4">
      <w:pPr>
        <w:tabs>
          <w:tab w:val="left" w:pos="567"/>
          <w:tab w:val="left" w:pos="1134"/>
        </w:tabs>
        <w:rPr>
          <w:rFonts w:eastAsia="SimSun"/>
        </w:rPr>
      </w:pPr>
      <w:r w:rsidRPr="000D1759">
        <w:rPr>
          <w:rFonts w:eastAsia="SimSun"/>
        </w:rPr>
        <w:br w:type="page"/>
      </w:r>
    </w:p>
    <w:p w:rsidR="0055179D" w:rsidRDefault="0055179D" w:rsidP="0055179D">
      <w:pPr>
        <w:rPr>
          <w:snapToGrid w:val="0"/>
        </w:rPr>
      </w:pPr>
      <w:r w:rsidRPr="00E25395">
        <w:lastRenderedPageBreak/>
        <w:fldChar w:fldCharType="begin"/>
      </w:r>
      <w:r w:rsidRPr="00E25395">
        <w:instrText xml:space="preserve"> AUTONUM  </w:instrText>
      </w:r>
      <w:r w:rsidRPr="00E25395">
        <w:fldChar w:fldCharType="end"/>
      </w:r>
      <w:r w:rsidRPr="00E25395">
        <w:tab/>
        <w:t>The structure of this document</w:t>
      </w:r>
      <w:r w:rsidRPr="00E25395">
        <w:rPr>
          <w:snapToGrid w:val="0"/>
        </w:rPr>
        <w:t xml:space="preserve"> is as follows:</w:t>
      </w:r>
    </w:p>
    <w:p w:rsidR="0055179D" w:rsidRDefault="0055179D" w:rsidP="0055179D"/>
    <w:p w:rsidR="00E25395" w:rsidRDefault="0055179D">
      <w:pPr>
        <w:pStyle w:val="TOC1"/>
        <w:rPr>
          <w:rFonts w:asciiTheme="minorHAnsi" w:eastAsiaTheme="minorEastAsia" w:hAnsiTheme="minorHAnsi" w:cstheme="minorBidi"/>
          <w:caps w:val="0"/>
          <w:noProof/>
          <w:sz w:val="22"/>
          <w:szCs w:val="22"/>
        </w:rPr>
      </w:pPr>
      <w:r>
        <w:rPr>
          <w:noProof/>
        </w:rPr>
        <w:fldChar w:fldCharType="begin"/>
      </w:r>
      <w:r>
        <w:instrText xml:space="preserve"> TOC \o "1-3" \h \z \u </w:instrText>
      </w:r>
      <w:r>
        <w:rPr>
          <w:noProof/>
        </w:rPr>
        <w:fldChar w:fldCharType="separate"/>
      </w:r>
      <w:hyperlink w:anchor="_Toc440985313" w:history="1">
        <w:r w:rsidR="00E25395" w:rsidRPr="00037C03">
          <w:rPr>
            <w:rStyle w:val="Hyperlink"/>
            <w:noProof/>
          </w:rPr>
          <w:t>Background</w:t>
        </w:r>
        <w:r w:rsidR="00E25395">
          <w:rPr>
            <w:noProof/>
            <w:webHidden/>
          </w:rPr>
          <w:tab/>
        </w:r>
        <w:r w:rsidR="00E25395">
          <w:rPr>
            <w:noProof/>
            <w:webHidden/>
          </w:rPr>
          <w:fldChar w:fldCharType="begin"/>
        </w:r>
        <w:r w:rsidR="00E25395">
          <w:rPr>
            <w:noProof/>
            <w:webHidden/>
          </w:rPr>
          <w:instrText xml:space="preserve"> PAGEREF _Toc440985313 \h </w:instrText>
        </w:r>
        <w:r w:rsidR="00E25395">
          <w:rPr>
            <w:noProof/>
            <w:webHidden/>
          </w:rPr>
        </w:r>
        <w:r w:rsidR="00E25395">
          <w:rPr>
            <w:noProof/>
            <w:webHidden/>
          </w:rPr>
          <w:fldChar w:fldCharType="separate"/>
        </w:r>
        <w:r w:rsidR="005115CA">
          <w:rPr>
            <w:noProof/>
            <w:webHidden/>
          </w:rPr>
          <w:t>2</w:t>
        </w:r>
        <w:r w:rsidR="00E25395">
          <w:rPr>
            <w:noProof/>
            <w:webHidden/>
          </w:rPr>
          <w:fldChar w:fldCharType="end"/>
        </w:r>
      </w:hyperlink>
    </w:p>
    <w:p w:rsidR="00E25395" w:rsidRDefault="00F064A0">
      <w:pPr>
        <w:pStyle w:val="TOC1"/>
        <w:rPr>
          <w:rFonts w:asciiTheme="minorHAnsi" w:eastAsiaTheme="minorEastAsia" w:hAnsiTheme="minorHAnsi" w:cstheme="minorBidi"/>
          <w:caps w:val="0"/>
          <w:noProof/>
          <w:sz w:val="22"/>
          <w:szCs w:val="22"/>
        </w:rPr>
      </w:pPr>
      <w:hyperlink w:anchor="_Toc440985314" w:history="1">
        <w:r w:rsidR="00E25395" w:rsidRPr="00037C03">
          <w:rPr>
            <w:rStyle w:val="Hyperlink"/>
            <w:noProof/>
          </w:rPr>
          <w:t>Developments in the Technical Committee in 2015</w:t>
        </w:r>
        <w:r w:rsidR="00E25395">
          <w:rPr>
            <w:noProof/>
            <w:webHidden/>
          </w:rPr>
          <w:tab/>
        </w:r>
        <w:r w:rsidR="00E25395">
          <w:rPr>
            <w:noProof/>
            <w:webHidden/>
          </w:rPr>
          <w:fldChar w:fldCharType="begin"/>
        </w:r>
        <w:r w:rsidR="00E25395">
          <w:rPr>
            <w:noProof/>
            <w:webHidden/>
          </w:rPr>
          <w:instrText xml:space="preserve"> PAGEREF _Toc440985314 \h </w:instrText>
        </w:r>
        <w:r w:rsidR="00E25395">
          <w:rPr>
            <w:noProof/>
            <w:webHidden/>
          </w:rPr>
        </w:r>
        <w:r w:rsidR="00E25395">
          <w:rPr>
            <w:noProof/>
            <w:webHidden/>
          </w:rPr>
          <w:fldChar w:fldCharType="separate"/>
        </w:r>
        <w:r w:rsidR="005115CA">
          <w:rPr>
            <w:noProof/>
            <w:webHidden/>
          </w:rPr>
          <w:t>3</w:t>
        </w:r>
        <w:r w:rsidR="00E25395">
          <w:rPr>
            <w:noProof/>
            <w:webHidden/>
          </w:rPr>
          <w:fldChar w:fldCharType="end"/>
        </w:r>
      </w:hyperlink>
    </w:p>
    <w:p w:rsidR="00E25395" w:rsidRDefault="00F064A0">
      <w:pPr>
        <w:pStyle w:val="TOC1"/>
        <w:rPr>
          <w:rFonts w:asciiTheme="minorHAnsi" w:eastAsiaTheme="minorEastAsia" w:hAnsiTheme="minorHAnsi" w:cstheme="minorBidi"/>
          <w:caps w:val="0"/>
          <w:noProof/>
          <w:sz w:val="22"/>
          <w:szCs w:val="22"/>
        </w:rPr>
      </w:pPr>
      <w:hyperlink w:anchor="_Toc440985315" w:history="1">
        <w:r w:rsidR="00E25395" w:rsidRPr="00037C03">
          <w:rPr>
            <w:rStyle w:val="Hyperlink"/>
            <w:noProof/>
          </w:rPr>
          <w:t>Developments in the CAJ in 2015</w:t>
        </w:r>
        <w:r w:rsidR="00E25395">
          <w:rPr>
            <w:noProof/>
            <w:webHidden/>
          </w:rPr>
          <w:tab/>
        </w:r>
        <w:r w:rsidR="00E25395">
          <w:rPr>
            <w:noProof/>
            <w:webHidden/>
          </w:rPr>
          <w:fldChar w:fldCharType="begin"/>
        </w:r>
        <w:r w:rsidR="00E25395">
          <w:rPr>
            <w:noProof/>
            <w:webHidden/>
          </w:rPr>
          <w:instrText xml:space="preserve"> PAGEREF _Toc440985315 \h </w:instrText>
        </w:r>
        <w:r w:rsidR="00E25395">
          <w:rPr>
            <w:noProof/>
            <w:webHidden/>
          </w:rPr>
        </w:r>
        <w:r w:rsidR="00E25395">
          <w:rPr>
            <w:noProof/>
            <w:webHidden/>
          </w:rPr>
          <w:fldChar w:fldCharType="separate"/>
        </w:r>
        <w:r w:rsidR="005115CA">
          <w:rPr>
            <w:noProof/>
            <w:webHidden/>
          </w:rPr>
          <w:t>3</w:t>
        </w:r>
        <w:r w:rsidR="00E25395">
          <w:rPr>
            <w:noProof/>
            <w:webHidden/>
          </w:rPr>
          <w:fldChar w:fldCharType="end"/>
        </w:r>
      </w:hyperlink>
    </w:p>
    <w:p w:rsidR="00E25395" w:rsidRDefault="00F064A0">
      <w:pPr>
        <w:pStyle w:val="TOC1"/>
        <w:rPr>
          <w:rFonts w:asciiTheme="minorHAnsi" w:eastAsiaTheme="minorEastAsia" w:hAnsiTheme="minorHAnsi" w:cstheme="minorBidi"/>
          <w:caps w:val="0"/>
          <w:noProof/>
          <w:sz w:val="22"/>
          <w:szCs w:val="22"/>
        </w:rPr>
      </w:pPr>
      <w:hyperlink w:anchor="_Toc440985316" w:history="1">
        <w:r w:rsidR="00E25395" w:rsidRPr="00037C03">
          <w:rPr>
            <w:rStyle w:val="Hyperlink"/>
            <w:noProof/>
          </w:rPr>
          <w:t>presentations to the TWPs at their sessions in 2015</w:t>
        </w:r>
        <w:r w:rsidR="00E25395">
          <w:rPr>
            <w:noProof/>
            <w:webHidden/>
          </w:rPr>
          <w:tab/>
        </w:r>
        <w:r w:rsidR="00E25395">
          <w:rPr>
            <w:noProof/>
            <w:webHidden/>
          </w:rPr>
          <w:fldChar w:fldCharType="begin"/>
        </w:r>
        <w:r w:rsidR="00E25395">
          <w:rPr>
            <w:noProof/>
            <w:webHidden/>
          </w:rPr>
          <w:instrText xml:space="preserve"> PAGEREF _Toc440985316 \h </w:instrText>
        </w:r>
        <w:r w:rsidR="00E25395">
          <w:rPr>
            <w:noProof/>
            <w:webHidden/>
          </w:rPr>
        </w:r>
        <w:r w:rsidR="00E25395">
          <w:rPr>
            <w:noProof/>
            <w:webHidden/>
          </w:rPr>
          <w:fldChar w:fldCharType="separate"/>
        </w:r>
        <w:r w:rsidR="005115CA">
          <w:rPr>
            <w:noProof/>
            <w:webHidden/>
          </w:rPr>
          <w:t>4</w:t>
        </w:r>
        <w:r w:rsidR="00E25395">
          <w:rPr>
            <w:noProof/>
            <w:webHidden/>
          </w:rPr>
          <w:fldChar w:fldCharType="end"/>
        </w:r>
      </w:hyperlink>
    </w:p>
    <w:p w:rsidR="00E25395" w:rsidRDefault="00F064A0">
      <w:pPr>
        <w:pStyle w:val="TOC1"/>
        <w:rPr>
          <w:rFonts w:asciiTheme="minorHAnsi" w:eastAsiaTheme="minorEastAsia" w:hAnsiTheme="minorHAnsi" w:cstheme="minorBidi"/>
          <w:caps w:val="0"/>
          <w:noProof/>
          <w:sz w:val="22"/>
          <w:szCs w:val="22"/>
        </w:rPr>
      </w:pPr>
      <w:hyperlink w:anchor="_Toc440985317" w:history="1">
        <w:r w:rsidR="00E25395" w:rsidRPr="00037C03">
          <w:rPr>
            <w:rStyle w:val="Hyperlink"/>
            <w:noProof/>
          </w:rPr>
          <w:t>Comments by the Technical Working Parties</w:t>
        </w:r>
        <w:r w:rsidR="00E25395">
          <w:rPr>
            <w:noProof/>
            <w:webHidden/>
          </w:rPr>
          <w:tab/>
        </w:r>
        <w:r w:rsidR="00E25395">
          <w:rPr>
            <w:noProof/>
            <w:webHidden/>
          </w:rPr>
          <w:fldChar w:fldCharType="begin"/>
        </w:r>
        <w:r w:rsidR="00E25395">
          <w:rPr>
            <w:noProof/>
            <w:webHidden/>
          </w:rPr>
          <w:instrText xml:space="preserve"> PAGEREF _Toc440985317 \h </w:instrText>
        </w:r>
        <w:r w:rsidR="00E25395">
          <w:rPr>
            <w:noProof/>
            <w:webHidden/>
          </w:rPr>
        </w:r>
        <w:r w:rsidR="00E25395">
          <w:rPr>
            <w:noProof/>
            <w:webHidden/>
          </w:rPr>
          <w:fldChar w:fldCharType="separate"/>
        </w:r>
        <w:r w:rsidR="005115CA">
          <w:rPr>
            <w:noProof/>
            <w:webHidden/>
          </w:rPr>
          <w:t>5</w:t>
        </w:r>
        <w:r w:rsidR="00E25395">
          <w:rPr>
            <w:noProof/>
            <w:webHidden/>
          </w:rPr>
          <w:fldChar w:fldCharType="end"/>
        </w:r>
      </w:hyperlink>
    </w:p>
    <w:p w:rsidR="00E25395" w:rsidRDefault="00F064A0">
      <w:pPr>
        <w:pStyle w:val="TOC2"/>
        <w:rPr>
          <w:rFonts w:asciiTheme="minorHAnsi" w:eastAsiaTheme="minorEastAsia" w:hAnsiTheme="minorHAnsi" w:cstheme="minorBidi"/>
          <w:smallCaps w:val="0"/>
          <w:noProof/>
          <w:sz w:val="22"/>
          <w:szCs w:val="22"/>
        </w:rPr>
      </w:pPr>
      <w:hyperlink w:anchor="_Toc440985318" w:history="1">
        <w:r w:rsidR="00E25395" w:rsidRPr="00037C03">
          <w:rPr>
            <w:rStyle w:val="Hyperlink"/>
            <w:noProof/>
          </w:rPr>
          <w:t>Technical Working Party for Vegetables</w:t>
        </w:r>
        <w:r w:rsidR="00E25395">
          <w:rPr>
            <w:noProof/>
            <w:webHidden/>
          </w:rPr>
          <w:tab/>
        </w:r>
        <w:r w:rsidR="00E25395">
          <w:rPr>
            <w:noProof/>
            <w:webHidden/>
          </w:rPr>
          <w:fldChar w:fldCharType="begin"/>
        </w:r>
        <w:r w:rsidR="00E25395">
          <w:rPr>
            <w:noProof/>
            <w:webHidden/>
          </w:rPr>
          <w:instrText xml:space="preserve"> PAGEREF _Toc440985318 \h </w:instrText>
        </w:r>
        <w:r w:rsidR="00E25395">
          <w:rPr>
            <w:noProof/>
            <w:webHidden/>
          </w:rPr>
        </w:r>
        <w:r w:rsidR="00E25395">
          <w:rPr>
            <w:noProof/>
            <w:webHidden/>
          </w:rPr>
          <w:fldChar w:fldCharType="separate"/>
        </w:r>
        <w:r w:rsidR="005115CA">
          <w:rPr>
            <w:noProof/>
            <w:webHidden/>
          </w:rPr>
          <w:t>5</w:t>
        </w:r>
        <w:r w:rsidR="00E25395">
          <w:rPr>
            <w:noProof/>
            <w:webHidden/>
          </w:rPr>
          <w:fldChar w:fldCharType="end"/>
        </w:r>
      </w:hyperlink>
    </w:p>
    <w:p w:rsidR="00E25395" w:rsidRDefault="00F064A0">
      <w:pPr>
        <w:pStyle w:val="TOC2"/>
        <w:rPr>
          <w:rFonts w:asciiTheme="minorHAnsi" w:eastAsiaTheme="minorEastAsia" w:hAnsiTheme="minorHAnsi" w:cstheme="minorBidi"/>
          <w:smallCaps w:val="0"/>
          <w:noProof/>
          <w:sz w:val="22"/>
          <w:szCs w:val="22"/>
        </w:rPr>
      </w:pPr>
      <w:hyperlink w:anchor="_Toc440985319" w:history="1">
        <w:r w:rsidR="00E25395" w:rsidRPr="00037C03">
          <w:rPr>
            <w:rStyle w:val="Hyperlink"/>
            <w:rFonts w:eastAsia="PMingLiU"/>
            <w:noProof/>
          </w:rPr>
          <w:t>Technical Working Party on Automation and Computer Programs</w:t>
        </w:r>
        <w:r w:rsidR="00E25395">
          <w:rPr>
            <w:noProof/>
            <w:webHidden/>
          </w:rPr>
          <w:tab/>
        </w:r>
        <w:r w:rsidR="00E25395">
          <w:rPr>
            <w:noProof/>
            <w:webHidden/>
          </w:rPr>
          <w:fldChar w:fldCharType="begin"/>
        </w:r>
        <w:r w:rsidR="00E25395">
          <w:rPr>
            <w:noProof/>
            <w:webHidden/>
          </w:rPr>
          <w:instrText xml:space="preserve"> PAGEREF _Toc440985319 \h </w:instrText>
        </w:r>
        <w:r w:rsidR="00E25395">
          <w:rPr>
            <w:noProof/>
            <w:webHidden/>
          </w:rPr>
        </w:r>
        <w:r w:rsidR="00E25395">
          <w:rPr>
            <w:noProof/>
            <w:webHidden/>
          </w:rPr>
          <w:fldChar w:fldCharType="separate"/>
        </w:r>
        <w:r w:rsidR="005115CA">
          <w:rPr>
            <w:noProof/>
            <w:webHidden/>
          </w:rPr>
          <w:t>5</w:t>
        </w:r>
        <w:r w:rsidR="00E25395">
          <w:rPr>
            <w:noProof/>
            <w:webHidden/>
          </w:rPr>
          <w:fldChar w:fldCharType="end"/>
        </w:r>
      </w:hyperlink>
    </w:p>
    <w:p w:rsidR="00E25395" w:rsidRDefault="00F064A0">
      <w:pPr>
        <w:pStyle w:val="TOC3"/>
        <w:rPr>
          <w:rFonts w:asciiTheme="minorHAnsi" w:eastAsiaTheme="minorEastAsia" w:hAnsiTheme="minorHAnsi" w:cstheme="minorBidi"/>
          <w:noProof/>
          <w:sz w:val="22"/>
          <w:szCs w:val="22"/>
          <w:lang w:val="en-US"/>
        </w:rPr>
      </w:pPr>
      <w:hyperlink w:anchor="_Toc440985320" w:history="1">
        <w:r w:rsidR="00E25395" w:rsidRPr="00037C03">
          <w:rPr>
            <w:rStyle w:val="Hyperlink"/>
            <w:noProof/>
          </w:rPr>
          <w:t>Verifying the maintenance of the variety</w:t>
        </w:r>
        <w:r w:rsidR="00E25395">
          <w:rPr>
            <w:noProof/>
            <w:webHidden/>
          </w:rPr>
          <w:tab/>
        </w:r>
        <w:r w:rsidR="00E25395">
          <w:rPr>
            <w:noProof/>
            <w:webHidden/>
          </w:rPr>
          <w:fldChar w:fldCharType="begin"/>
        </w:r>
        <w:r w:rsidR="00E25395">
          <w:rPr>
            <w:noProof/>
            <w:webHidden/>
          </w:rPr>
          <w:instrText xml:space="preserve"> PAGEREF _Toc440985320 \h </w:instrText>
        </w:r>
        <w:r w:rsidR="00E25395">
          <w:rPr>
            <w:noProof/>
            <w:webHidden/>
          </w:rPr>
        </w:r>
        <w:r w:rsidR="00E25395">
          <w:rPr>
            <w:noProof/>
            <w:webHidden/>
          </w:rPr>
          <w:fldChar w:fldCharType="separate"/>
        </w:r>
        <w:r w:rsidR="005115CA">
          <w:rPr>
            <w:noProof/>
            <w:webHidden/>
          </w:rPr>
          <w:t>5</w:t>
        </w:r>
        <w:r w:rsidR="00E25395">
          <w:rPr>
            <w:noProof/>
            <w:webHidden/>
          </w:rPr>
          <w:fldChar w:fldCharType="end"/>
        </w:r>
      </w:hyperlink>
    </w:p>
    <w:p w:rsidR="00E25395" w:rsidRDefault="00F064A0">
      <w:pPr>
        <w:pStyle w:val="TOC3"/>
        <w:rPr>
          <w:rFonts w:asciiTheme="minorHAnsi" w:eastAsiaTheme="minorEastAsia" w:hAnsiTheme="minorHAnsi" w:cstheme="minorBidi"/>
          <w:noProof/>
          <w:sz w:val="22"/>
          <w:szCs w:val="22"/>
          <w:lang w:val="en-US"/>
        </w:rPr>
      </w:pPr>
      <w:hyperlink w:anchor="_Toc440985321" w:history="1">
        <w:r w:rsidR="00E25395" w:rsidRPr="00037C03">
          <w:rPr>
            <w:rStyle w:val="Hyperlink"/>
            <w:noProof/>
          </w:rPr>
          <w:t>Matters concerning variety descriptions</w:t>
        </w:r>
        <w:r w:rsidR="00E25395">
          <w:rPr>
            <w:noProof/>
            <w:webHidden/>
          </w:rPr>
          <w:tab/>
        </w:r>
        <w:r w:rsidR="00E25395">
          <w:rPr>
            <w:noProof/>
            <w:webHidden/>
          </w:rPr>
          <w:fldChar w:fldCharType="begin"/>
        </w:r>
        <w:r w:rsidR="00E25395">
          <w:rPr>
            <w:noProof/>
            <w:webHidden/>
          </w:rPr>
          <w:instrText xml:space="preserve"> PAGEREF _Toc440985321 \h </w:instrText>
        </w:r>
        <w:r w:rsidR="00E25395">
          <w:rPr>
            <w:noProof/>
            <w:webHidden/>
          </w:rPr>
        </w:r>
        <w:r w:rsidR="00E25395">
          <w:rPr>
            <w:noProof/>
            <w:webHidden/>
          </w:rPr>
          <w:fldChar w:fldCharType="separate"/>
        </w:r>
        <w:r w:rsidR="005115CA">
          <w:rPr>
            <w:noProof/>
            <w:webHidden/>
          </w:rPr>
          <w:t>5</w:t>
        </w:r>
        <w:r w:rsidR="00E25395">
          <w:rPr>
            <w:noProof/>
            <w:webHidden/>
          </w:rPr>
          <w:fldChar w:fldCharType="end"/>
        </w:r>
      </w:hyperlink>
    </w:p>
    <w:p w:rsidR="00E25395" w:rsidRDefault="00F064A0">
      <w:pPr>
        <w:pStyle w:val="TOC2"/>
        <w:rPr>
          <w:rFonts w:asciiTheme="minorHAnsi" w:eastAsiaTheme="minorEastAsia" w:hAnsiTheme="minorHAnsi" w:cstheme="minorBidi"/>
          <w:smallCaps w:val="0"/>
          <w:noProof/>
          <w:sz w:val="22"/>
          <w:szCs w:val="22"/>
        </w:rPr>
      </w:pPr>
      <w:hyperlink w:anchor="_Toc440985322" w:history="1">
        <w:r w:rsidR="00E25395" w:rsidRPr="00037C03">
          <w:rPr>
            <w:rStyle w:val="Hyperlink"/>
            <w:noProof/>
          </w:rPr>
          <w:t>Technical Working Party for Agricultural Crops</w:t>
        </w:r>
        <w:r w:rsidR="00E25395">
          <w:rPr>
            <w:noProof/>
            <w:webHidden/>
          </w:rPr>
          <w:tab/>
        </w:r>
        <w:r w:rsidR="00E25395">
          <w:rPr>
            <w:noProof/>
            <w:webHidden/>
          </w:rPr>
          <w:fldChar w:fldCharType="begin"/>
        </w:r>
        <w:r w:rsidR="00E25395">
          <w:rPr>
            <w:noProof/>
            <w:webHidden/>
          </w:rPr>
          <w:instrText xml:space="preserve"> PAGEREF _Toc440985322 \h </w:instrText>
        </w:r>
        <w:r w:rsidR="00E25395">
          <w:rPr>
            <w:noProof/>
            <w:webHidden/>
          </w:rPr>
        </w:r>
        <w:r w:rsidR="00E25395">
          <w:rPr>
            <w:noProof/>
            <w:webHidden/>
          </w:rPr>
          <w:fldChar w:fldCharType="separate"/>
        </w:r>
        <w:r w:rsidR="005115CA">
          <w:rPr>
            <w:noProof/>
            <w:webHidden/>
          </w:rPr>
          <w:t>6</w:t>
        </w:r>
        <w:r w:rsidR="00E25395">
          <w:rPr>
            <w:noProof/>
            <w:webHidden/>
          </w:rPr>
          <w:fldChar w:fldCharType="end"/>
        </w:r>
      </w:hyperlink>
    </w:p>
    <w:p w:rsidR="00E25395" w:rsidRDefault="00F064A0">
      <w:pPr>
        <w:pStyle w:val="TOC2"/>
        <w:rPr>
          <w:rFonts w:asciiTheme="minorHAnsi" w:eastAsiaTheme="minorEastAsia" w:hAnsiTheme="minorHAnsi" w:cstheme="minorBidi"/>
          <w:smallCaps w:val="0"/>
          <w:noProof/>
          <w:sz w:val="22"/>
          <w:szCs w:val="22"/>
        </w:rPr>
      </w:pPr>
      <w:hyperlink w:anchor="_Toc440985323" w:history="1">
        <w:r w:rsidR="00E25395" w:rsidRPr="00037C03">
          <w:rPr>
            <w:rStyle w:val="Hyperlink"/>
            <w:noProof/>
          </w:rPr>
          <w:t>Technical Working Party for Fruit Crops</w:t>
        </w:r>
        <w:r w:rsidR="00E25395">
          <w:rPr>
            <w:noProof/>
            <w:webHidden/>
          </w:rPr>
          <w:tab/>
        </w:r>
        <w:r w:rsidR="00E25395">
          <w:rPr>
            <w:noProof/>
            <w:webHidden/>
          </w:rPr>
          <w:fldChar w:fldCharType="begin"/>
        </w:r>
        <w:r w:rsidR="00E25395">
          <w:rPr>
            <w:noProof/>
            <w:webHidden/>
          </w:rPr>
          <w:instrText xml:space="preserve"> PAGEREF _Toc440985323 \h </w:instrText>
        </w:r>
        <w:r w:rsidR="00E25395">
          <w:rPr>
            <w:noProof/>
            <w:webHidden/>
          </w:rPr>
        </w:r>
        <w:r w:rsidR="00E25395">
          <w:rPr>
            <w:noProof/>
            <w:webHidden/>
          </w:rPr>
          <w:fldChar w:fldCharType="separate"/>
        </w:r>
        <w:r w:rsidR="005115CA">
          <w:rPr>
            <w:noProof/>
            <w:webHidden/>
          </w:rPr>
          <w:t>6</w:t>
        </w:r>
        <w:r w:rsidR="00E25395">
          <w:rPr>
            <w:noProof/>
            <w:webHidden/>
          </w:rPr>
          <w:fldChar w:fldCharType="end"/>
        </w:r>
      </w:hyperlink>
    </w:p>
    <w:p w:rsidR="00E25395" w:rsidRDefault="00F064A0">
      <w:pPr>
        <w:pStyle w:val="TOC2"/>
        <w:rPr>
          <w:rFonts w:asciiTheme="minorHAnsi" w:eastAsiaTheme="minorEastAsia" w:hAnsiTheme="minorHAnsi" w:cstheme="minorBidi"/>
          <w:smallCaps w:val="0"/>
          <w:noProof/>
          <w:sz w:val="22"/>
          <w:szCs w:val="22"/>
        </w:rPr>
      </w:pPr>
      <w:hyperlink w:anchor="_Toc440985324" w:history="1">
        <w:r w:rsidR="00E25395" w:rsidRPr="00037C03">
          <w:rPr>
            <w:rStyle w:val="Hyperlink"/>
            <w:noProof/>
          </w:rPr>
          <w:t>Technical Working Party on Ornamental Plants</w:t>
        </w:r>
        <w:r w:rsidR="00E25395">
          <w:rPr>
            <w:noProof/>
            <w:webHidden/>
          </w:rPr>
          <w:tab/>
        </w:r>
        <w:r w:rsidR="00E25395">
          <w:rPr>
            <w:noProof/>
            <w:webHidden/>
          </w:rPr>
          <w:fldChar w:fldCharType="begin"/>
        </w:r>
        <w:r w:rsidR="00E25395">
          <w:rPr>
            <w:noProof/>
            <w:webHidden/>
          </w:rPr>
          <w:instrText xml:space="preserve"> PAGEREF _Toc440985324 \h </w:instrText>
        </w:r>
        <w:r w:rsidR="00E25395">
          <w:rPr>
            <w:noProof/>
            <w:webHidden/>
          </w:rPr>
        </w:r>
        <w:r w:rsidR="00E25395">
          <w:rPr>
            <w:noProof/>
            <w:webHidden/>
          </w:rPr>
          <w:fldChar w:fldCharType="separate"/>
        </w:r>
        <w:r w:rsidR="005115CA">
          <w:rPr>
            <w:noProof/>
            <w:webHidden/>
          </w:rPr>
          <w:t>6</w:t>
        </w:r>
        <w:r w:rsidR="00E25395">
          <w:rPr>
            <w:noProof/>
            <w:webHidden/>
          </w:rPr>
          <w:fldChar w:fldCharType="end"/>
        </w:r>
      </w:hyperlink>
    </w:p>
    <w:p w:rsidR="00FB1BCD" w:rsidRPr="00FB1BCD" w:rsidRDefault="0055179D" w:rsidP="0055179D">
      <w:pPr>
        <w:ind w:left="851" w:hanging="851"/>
      </w:pPr>
      <w:r>
        <w:fldChar w:fldCharType="end"/>
      </w:r>
    </w:p>
    <w:p w:rsidR="0055179D" w:rsidRPr="00803FBF" w:rsidRDefault="0055179D" w:rsidP="0055179D">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55179D" w:rsidRPr="00803FBF" w:rsidRDefault="0055179D" w:rsidP="0055179D">
      <w:pPr>
        <w:ind w:left="1701" w:hanging="1134"/>
        <w:rPr>
          <w:rFonts w:cs="Arial"/>
        </w:rPr>
      </w:pPr>
    </w:p>
    <w:p w:rsidR="0055179D" w:rsidRPr="00803FBF" w:rsidRDefault="0055179D" w:rsidP="0055179D">
      <w:pPr>
        <w:ind w:left="1701" w:hanging="1134"/>
        <w:rPr>
          <w:rFonts w:cs="Arial"/>
        </w:rPr>
      </w:pPr>
      <w:r w:rsidRPr="00803FBF">
        <w:rPr>
          <w:rFonts w:cs="Arial"/>
        </w:rPr>
        <w:t xml:space="preserve">CAJ:  </w:t>
      </w:r>
      <w:r w:rsidRPr="00803FBF">
        <w:rPr>
          <w:rFonts w:cs="Arial"/>
        </w:rPr>
        <w:tab/>
        <w:t xml:space="preserve">Administrative and Legal Committee </w:t>
      </w:r>
    </w:p>
    <w:p w:rsidR="0055179D" w:rsidRPr="00803FBF" w:rsidRDefault="0055179D" w:rsidP="0055179D">
      <w:pPr>
        <w:ind w:left="1701" w:hanging="1134"/>
        <w:rPr>
          <w:rFonts w:cs="Arial"/>
        </w:rPr>
      </w:pPr>
      <w:r w:rsidRPr="00803FBF">
        <w:rPr>
          <w:rFonts w:cs="Arial"/>
        </w:rPr>
        <w:t xml:space="preserve">TC:  </w:t>
      </w:r>
      <w:r w:rsidRPr="00803FBF">
        <w:rPr>
          <w:rFonts w:cs="Arial"/>
        </w:rPr>
        <w:tab/>
        <w:t>Technical Committee</w:t>
      </w:r>
    </w:p>
    <w:p w:rsidR="0055179D" w:rsidRPr="00803FBF" w:rsidRDefault="0055179D" w:rsidP="0055179D">
      <w:pPr>
        <w:ind w:left="1701" w:hanging="1134"/>
        <w:rPr>
          <w:rFonts w:cs="Arial"/>
        </w:rPr>
      </w:pPr>
      <w:r w:rsidRPr="00803FBF">
        <w:rPr>
          <w:rFonts w:cs="Arial"/>
        </w:rPr>
        <w:t xml:space="preserve">TC-EDC:  </w:t>
      </w:r>
      <w:r w:rsidRPr="00803FBF">
        <w:rPr>
          <w:rFonts w:cs="Arial"/>
        </w:rPr>
        <w:tab/>
        <w:t>Enlarged Editorial Committee</w:t>
      </w:r>
    </w:p>
    <w:p w:rsidR="0055179D" w:rsidRPr="00803FBF" w:rsidRDefault="0055179D" w:rsidP="0055179D">
      <w:pPr>
        <w:ind w:left="1701" w:hanging="1134"/>
        <w:rPr>
          <w:rFonts w:cs="Arial"/>
        </w:rPr>
      </w:pPr>
      <w:r w:rsidRPr="00803FBF">
        <w:rPr>
          <w:rFonts w:cs="Arial"/>
        </w:rPr>
        <w:t xml:space="preserve">TWA:  </w:t>
      </w:r>
      <w:r w:rsidRPr="00803FBF">
        <w:rPr>
          <w:rFonts w:cs="Arial"/>
        </w:rPr>
        <w:tab/>
        <w:t>Technical Working Party for Agricultural Crops</w:t>
      </w:r>
    </w:p>
    <w:p w:rsidR="0055179D" w:rsidRPr="00803FBF" w:rsidRDefault="0055179D" w:rsidP="0055179D">
      <w:pPr>
        <w:ind w:left="1701" w:hanging="1134"/>
        <w:rPr>
          <w:rFonts w:cs="Arial"/>
        </w:rPr>
      </w:pPr>
      <w:r w:rsidRPr="00803FBF">
        <w:rPr>
          <w:rFonts w:cs="Arial"/>
        </w:rPr>
        <w:t xml:space="preserve">TWC:  </w:t>
      </w:r>
      <w:r w:rsidRPr="00803FBF">
        <w:rPr>
          <w:rFonts w:cs="Arial"/>
        </w:rPr>
        <w:tab/>
        <w:t>Technical Working Party on Automation and Computer Programs</w:t>
      </w:r>
    </w:p>
    <w:p w:rsidR="0055179D" w:rsidRPr="00803FBF" w:rsidRDefault="0055179D" w:rsidP="0055179D">
      <w:pPr>
        <w:ind w:left="1701" w:hanging="1134"/>
        <w:rPr>
          <w:rFonts w:cs="Arial"/>
        </w:rPr>
      </w:pPr>
      <w:r w:rsidRPr="00803FBF">
        <w:rPr>
          <w:rFonts w:cs="Arial"/>
        </w:rPr>
        <w:t xml:space="preserve">TWF:  </w:t>
      </w:r>
      <w:r w:rsidRPr="00803FBF">
        <w:rPr>
          <w:rFonts w:cs="Arial"/>
        </w:rPr>
        <w:tab/>
        <w:t xml:space="preserve">Technical Working Party for Fruit Crops </w:t>
      </w:r>
    </w:p>
    <w:p w:rsidR="0055179D" w:rsidRPr="00803FBF" w:rsidRDefault="0055179D" w:rsidP="0055179D">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55179D" w:rsidRPr="00803FBF" w:rsidRDefault="0055179D" w:rsidP="0055179D">
      <w:pPr>
        <w:ind w:left="1701" w:hanging="1134"/>
        <w:rPr>
          <w:rFonts w:cs="Arial"/>
        </w:rPr>
      </w:pPr>
      <w:r w:rsidRPr="00803FBF">
        <w:rPr>
          <w:rFonts w:cs="Arial"/>
        </w:rPr>
        <w:t xml:space="preserve">TWV:  </w:t>
      </w:r>
      <w:r w:rsidRPr="00803FBF">
        <w:rPr>
          <w:rFonts w:cs="Arial"/>
        </w:rPr>
        <w:tab/>
        <w:t>Technical Working Party for Vegetables</w:t>
      </w:r>
    </w:p>
    <w:p w:rsidR="0055179D" w:rsidRDefault="0055179D" w:rsidP="0055179D">
      <w:pPr>
        <w:ind w:firstLine="567"/>
        <w:rPr>
          <w:rFonts w:cs="Arial"/>
          <w:color w:val="000000"/>
        </w:rPr>
      </w:pPr>
      <w:r w:rsidRPr="00803FBF">
        <w:rPr>
          <w:rFonts w:cs="Arial"/>
          <w:color w:val="000000"/>
        </w:rPr>
        <w:t>TWPs:</w:t>
      </w:r>
      <w:r w:rsidRPr="00803FBF">
        <w:rPr>
          <w:rFonts w:cs="Arial"/>
          <w:color w:val="000000"/>
        </w:rPr>
        <w:tab/>
        <w:t>Technical Working Parties</w:t>
      </w:r>
    </w:p>
    <w:p w:rsidR="0055179D" w:rsidRPr="00254EB4" w:rsidRDefault="0055179D" w:rsidP="00254EB4"/>
    <w:p w:rsidR="0055179D" w:rsidRDefault="0055179D" w:rsidP="0055179D">
      <w:pPr>
        <w:jc w:val="left"/>
      </w:pPr>
    </w:p>
    <w:p w:rsidR="00FE4CA8" w:rsidRDefault="00FE4CA8" w:rsidP="00FE4CA8">
      <w:pPr>
        <w:pStyle w:val="Heading1"/>
      </w:pPr>
      <w:bookmarkStart w:id="5" w:name="_Toc440985313"/>
      <w:bookmarkStart w:id="6" w:name="_Toc418531190"/>
      <w:bookmarkEnd w:id="4"/>
      <w:r>
        <w:t>Background</w:t>
      </w:r>
      <w:bookmarkEnd w:id="5"/>
    </w:p>
    <w:p w:rsidR="00FE4CA8" w:rsidRPr="00FE4CA8" w:rsidRDefault="00FE4CA8" w:rsidP="00FE4CA8"/>
    <w:bookmarkEnd w:id="6"/>
    <w:p w:rsidR="0055179D" w:rsidRPr="00697F3F" w:rsidRDefault="0055179D" w:rsidP="0055179D">
      <w:pPr>
        <w:rPr>
          <w:rFonts w:cs="Arial"/>
        </w:rPr>
      </w:pPr>
      <w:r w:rsidRPr="00697F3F">
        <w:rPr>
          <w:rFonts w:cs="Arial"/>
        </w:rPr>
        <w:fldChar w:fldCharType="begin"/>
      </w:r>
      <w:r w:rsidRPr="00697F3F">
        <w:rPr>
          <w:rFonts w:cs="Arial"/>
        </w:rPr>
        <w:instrText xml:space="preserve"> AUTONUM  </w:instrText>
      </w:r>
      <w:r w:rsidRPr="00697F3F">
        <w:rPr>
          <w:rFonts w:cs="Arial"/>
        </w:rPr>
        <w:fldChar w:fldCharType="end"/>
      </w:r>
      <w:r w:rsidRPr="00697F3F">
        <w:rPr>
          <w:rFonts w:cs="Arial"/>
        </w:rPr>
        <w:tab/>
        <w:t xml:space="preserve">The CAJ, at its sixty-ninth session, held in Geneva on April 10, 2014, in accordance with the proposal by the CAJ-AG, </w:t>
      </w:r>
      <w:r w:rsidR="00917E30" w:rsidRPr="00697F3F">
        <w:t xml:space="preserve">agreed to invite the TC to consider the development of guidance on the following matters concerning variety descriptions </w:t>
      </w:r>
      <w:r w:rsidRPr="00697F3F">
        <w:t>(see document CAJ/69/13 “Report”, paragraph 19)</w:t>
      </w:r>
      <w:r w:rsidRPr="00697F3F">
        <w:rPr>
          <w:rFonts w:cs="Arial"/>
        </w:rPr>
        <w:t>:</w:t>
      </w:r>
    </w:p>
    <w:p w:rsidR="0055179D" w:rsidRPr="00697F3F" w:rsidRDefault="0055179D" w:rsidP="005115CA">
      <w:pPr>
        <w:tabs>
          <w:tab w:val="left" w:pos="810"/>
        </w:tabs>
        <w:rPr>
          <w:rFonts w:cs="Arial"/>
        </w:rPr>
      </w:pPr>
    </w:p>
    <w:p w:rsidR="00917E30" w:rsidRPr="00697F3F" w:rsidRDefault="00917E30" w:rsidP="00917E30">
      <w:pPr>
        <w:rPr>
          <w:rFonts w:cs="Arial"/>
        </w:rPr>
      </w:pPr>
      <w:r w:rsidRPr="00697F3F">
        <w:rPr>
          <w:rFonts w:cs="Arial"/>
        </w:rPr>
        <w:tab/>
        <w:t>(a)</w:t>
      </w:r>
      <w:r w:rsidRPr="00697F3F">
        <w:rPr>
          <w:rFonts w:cs="Arial"/>
        </w:rPr>
        <w:tab/>
        <w:t>use of information, documents or material provided by the breeder for verifying the maintenance of the variety, as set out in paragraph 15 of document CAJ-AG/13/8/4 “Matters concerning cancellation of the breeder</w:t>
      </w:r>
      <w:r w:rsidR="00254EB4">
        <w:rPr>
          <w:rFonts w:cs="Arial"/>
        </w:rPr>
        <w:t>’</w:t>
      </w:r>
      <w:r w:rsidRPr="00697F3F">
        <w:rPr>
          <w:rFonts w:cs="Arial"/>
        </w:rPr>
        <w:t xml:space="preserve">s right”, with an explanation that the information, documents or material could be maintained in a different country;  </w:t>
      </w:r>
    </w:p>
    <w:p w:rsidR="00917E30" w:rsidRPr="00697F3F" w:rsidRDefault="00917E30" w:rsidP="00917E30">
      <w:pPr>
        <w:tabs>
          <w:tab w:val="left" w:pos="7500"/>
        </w:tabs>
        <w:rPr>
          <w:rFonts w:cs="Arial"/>
        </w:rPr>
      </w:pPr>
    </w:p>
    <w:p w:rsidR="00917E30" w:rsidRPr="00697F3F" w:rsidRDefault="00917E30" w:rsidP="00917E30">
      <w:pPr>
        <w:rPr>
          <w:rFonts w:cs="Arial"/>
        </w:rPr>
      </w:pPr>
      <w:r w:rsidRPr="00697F3F">
        <w:rPr>
          <w:rFonts w:cs="Arial"/>
        </w:rPr>
        <w:tab/>
        <w:t>(b)</w:t>
      </w:r>
      <w:r w:rsidRPr="00697F3F">
        <w:rPr>
          <w:rFonts w:cs="Arial"/>
        </w:rPr>
        <w:tab/>
        <w:t>use of Test Guidelines for verifying the maintenance of the variety that were different from the Test Guidelines used for the examination of Distinctness, Uniformity and Stability (“DUS”)</w:t>
      </w:r>
      <w:r w:rsidR="00697F3F" w:rsidRPr="00697F3F">
        <w:rPr>
          <w:rFonts w:cs="Arial"/>
        </w:rPr>
        <w:t>;</w:t>
      </w:r>
    </w:p>
    <w:p w:rsidR="00917E30" w:rsidRPr="00697F3F" w:rsidRDefault="00917E30" w:rsidP="00917E30">
      <w:pPr>
        <w:ind w:left="567" w:right="567"/>
      </w:pPr>
    </w:p>
    <w:p w:rsidR="00917E30" w:rsidRDefault="00917E30" w:rsidP="00D15CFF">
      <w:pPr>
        <w:ind w:firstLine="567"/>
      </w:pPr>
      <w:r w:rsidRPr="00697F3F">
        <w:t>(</w:t>
      </w:r>
      <w:r w:rsidR="00697F3F" w:rsidRPr="00697F3F">
        <w:t>c</w:t>
      </w:r>
      <w:r w:rsidRPr="00697F3F">
        <w:t>)</w:t>
      </w:r>
      <w:r w:rsidRPr="00697F3F">
        <w:tab/>
      </w:r>
      <w:proofErr w:type="gramStart"/>
      <w:r w:rsidRPr="00697F3F">
        <w:t>the</w:t>
      </w:r>
      <w:proofErr w:type="gramEnd"/>
      <w:r w:rsidRPr="00697F3F">
        <w:t xml:space="preserve"> status of the original variety description in relation to the verification of the conformity of plant material to a protected variety for the purposes of:</w:t>
      </w:r>
    </w:p>
    <w:p w:rsidR="00254EB4" w:rsidRPr="00697F3F" w:rsidRDefault="00254EB4" w:rsidP="00D15CFF">
      <w:pPr>
        <w:ind w:firstLine="567"/>
      </w:pPr>
    </w:p>
    <w:p w:rsidR="00917E30" w:rsidRPr="00697F3F" w:rsidRDefault="00917E30" w:rsidP="00CA70E8">
      <w:pPr>
        <w:ind w:left="1701" w:hanging="567"/>
      </w:pPr>
      <w:r w:rsidRPr="00697F3F">
        <w:t>(</w:t>
      </w:r>
      <w:proofErr w:type="spellStart"/>
      <w:r w:rsidRPr="00697F3F">
        <w:t>i</w:t>
      </w:r>
      <w:proofErr w:type="spellEnd"/>
      <w:r w:rsidRPr="00697F3F">
        <w:t>)</w:t>
      </w:r>
      <w:r w:rsidRPr="00697F3F">
        <w:tab/>
      </w:r>
      <w:proofErr w:type="gramStart"/>
      <w:r w:rsidRPr="00697F3F">
        <w:t>verifying</w:t>
      </w:r>
      <w:proofErr w:type="gramEnd"/>
      <w:r w:rsidRPr="00697F3F">
        <w:t xml:space="preserve"> the maintenance of the variety (Article 22 of the 1991 Act, Article 10 of the 1978 Act);</w:t>
      </w:r>
    </w:p>
    <w:p w:rsidR="00917E30" w:rsidRPr="00697F3F" w:rsidRDefault="00917E30" w:rsidP="00CA70E8">
      <w:pPr>
        <w:ind w:left="1134"/>
      </w:pPr>
      <w:r w:rsidRPr="00697F3F">
        <w:t>(ii)</w:t>
      </w:r>
      <w:r w:rsidRPr="00697F3F">
        <w:tab/>
      </w:r>
      <w:proofErr w:type="gramStart"/>
      <w:r w:rsidRPr="00697F3F">
        <w:t>the</w:t>
      </w:r>
      <w:proofErr w:type="gramEnd"/>
      <w:r w:rsidRPr="00697F3F">
        <w:t xml:space="preserve"> examination of distinctness, uniformity and stability (“DUS”) of candidate varieties;  </w:t>
      </w:r>
    </w:p>
    <w:p w:rsidR="00917E30" w:rsidRPr="00697F3F" w:rsidRDefault="00917E30" w:rsidP="00917E30">
      <w:pPr>
        <w:ind w:left="567" w:right="567"/>
      </w:pPr>
    </w:p>
    <w:p w:rsidR="00917E30" w:rsidRDefault="00917E30" w:rsidP="00697F3F">
      <w:pPr>
        <w:ind w:right="567" w:firstLine="567"/>
      </w:pPr>
      <w:r w:rsidRPr="00697F3F">
        <w:t>(</w:t>
      </w:r>
      <w:r w:rsidR="00697F3F" w:rsidRPr="00697F3F">
        <w:t>d</w:t>
      </w:r>
      <w:r w:rsidRPr="00697F3F">
        <w:t>)</w:t>
      </w:r>
      <w:r w:rsidRPr="00697F3F">
        <w:tab/>
      </w:r>
      <w:proofErr w:type="gramStart"/>
      <w:r w:rsidRPr="00697F3F">
        <w:t>the</w:t>
      </w:r>
      <w:proofErr w:type="gramEnd"/>
      <w:r w:rsidRPr="00697F3F">
        <w:t xml:space="preserve"> status of a modified variety description produced, for example, as a result of:</w:t>
      </w:r>
    </w:p>
    <w:p w:rsidR="00254EB4" w:rsidRPr="00697F3F" w:rsidRDefault="00254EB4" w:rsidP="00697F3F">
      <w:pPr>
        <w:ind w:right="567" w:firstLine="567"/>
      </w:pPr>
    </w:p>
    <w:p w:rsidR="00917E30" w:rsidRPr="00697F3F" w:rsidRDefault="00917E30" w:rsidP="00CA70E8">
      <w:pPr>
        <w:spacing w:after="60"/>
        <w:ind w:left="1701" w:hanging="567"/>
      </w:pPr>
      <w:r w:rsidRPr="00697F3F">
        <w:t>(</w:t>
      </w:r>
      <w:proofErr w:type="spellStart"/>
      <w:r w:rsidRPr="00697F3F">
        <w:t>i</w:t>
      </w:r>
      <w:proofErr w:type="spellEnd"/>
      <w:r w:rsidRPr="00697F3F">
        <w:t>)</w:t>
      </w:r>
      <w:r w:rsidRPr="00697F3F">
        <w:tab/>
      </w:r>
      <w:proofErr w:type="gramStart"/>
      <w:r w:rsidRPr="00697F3F">
        <w:t>a</w:t>
      </w:r>
      <w:proofErr w:type="gramEnd"/>
      <w:r w:rsidRPr="00697F3F">
        <w:t xml:space="preserve"> recalibration of the scale in the Test Guidelines (particularly for non</w:t>
      </w:r>
      <w:r w:rsidRPr="00697F3F">
        <w:noBreakHyphen/>
        <w:t>asterisked characteristics);</w:t>
      </w:r>
    </w:p>
    <w:p w:rsidR="00917E30" w:rsidRPr="00697F3F" w:rsidRDefault="00917E30" w:rsidP="00CA70E8">
      <w:pPr>
        <w:spacing w:after="60"/>
        <w:ind w:left="1701" w:hanging="567"/>
      </w:pPr>
      <w:r w:rsidRPr="00697F3F">
        <w:t>(ii)</w:t>
      </w:r>
      <w:r w:rsidRPr="00697F3F">
        <w:tab/>
      </w:r>
      <w:proofErr w:type="gramStart"/>
      <w:r w:rsidRPr="00697F3F">
        <w:t>variation</w:t>
      </w:r>
      <w:proofErr w:type="gramEnd"/>
      <w:r w:rsidRPr="00697F3F">
        <w:t xml:space="preserve"> due to the environmental conditions of the years of testing for characteristics that are influenced by the environment;</w:t>
      </w:r>
    </w:p>
    <w:p w:rsidR="00917E30" w:rsidRPr="00697F3F" w:rsidRDefault="00917E30" w:rsidP="00CA70E8">
      <w:pPr>
        <w:spacing w:after="60"/>
        <w:ind w:left="1701" w:hanging="567"/>
      </w:pPr>
      <w:r w:rsidRPr="00697F3F">
        <w:t>(iii)</w:t>
      </w:r>
      <w:r w:rsidRPr="00697F3F">
        <w:tab/>
      </w:r>
      <w:proofErr w:type="gramStart"/>
      <w:r w:rsidRPr="00697F3F">
        <w:t>variation</w:t>
      </w:r>
      <w:proofErr w:type="gramEnd"/>
      <w:r w:rsidRPr="00697F3F">
        <w:t xml:space="preserve"> due to observation by different experts;  or</w:t>
      </w:r>
    </w:p>
    <w:p w:rsidR="00917E30" w:rsidRPr="00697F3F" w:rsidRDefault="00917E30" w:rsidP="00CA70E8">
      <w:pPr>
        <w:ind w:left="1701" w:hanging="567"/>
      </w:pPr>
      <w:r w:rsidRPr="00697F3F">
        <w:t>(iv)</w:t>
      </w:r>
      <w:r w:rsidRPr="00697F3F">
        <w:tab/>
      </w:r>
      <w:proofErr w:type="gramStart"/>
      <w:r w:rsidRPr="00697F3F">
        <w:t>the</w:t>
      </w:r>
      <w:proofErr w:type="gramEnd"/>
      <w:r w:rsidRPr="00697F3F">
        <w:t xml:space="preserve"> use of different versions of scales (e.g. different v</w:t>
      </w:r>
      <w:r w:rsidR="00D15CFF">
        <w:t xml:space="preserve">ersions of the RHS Color Chart); and </w:t>
      </w:r>
    </w:p>
    <w:p w:rsidR="00917E30" w:rsidRPr="00697F3F" w:rsidRDefault="00917E30" w:rsidP="00917E30">
      <w:pPr>
        <w:ind w:left="567" w:right="567"/>
      </w:pPr>
    </w:p>
    <w:p w:rsidR="00917E30" w:rsidRPr="00697F3F" w:rsidRDefault="00917E30" w:rsidP="00917E30">
      <w:pPr>
        <w:ind w:left="567" w:right="567"/>
      </w:pPr>
      <w:r w:rsidRPr="00697F3F">
        <w:t>(</w:t>
      </w:r>
      <w:r w:rsidR="00697F3F" w:rsidRPr="00697F3F">
        <w:t>e</w:t>
      </w:r>
      <w:r w:rsidRPr="00697F3F">
        <w:t>)</w:t>
      </w:r>
      <w:r w:rsidRPr="00697F3F">
        <w:tab/>
      </w:r>
      <w:proofErr w:type="gramStart"/>
      <w:r w:rsidRPr="00697F3F">
        <w:t>situations</w:t>
      </w:r>
      <w:proofErr w:type="gramEnd"/>
      <w:r w:rsidRPr="00697F3F">
        <w:t xml:space="preserve"> where an error is subsequently discovered in the initial variety description.</w:t>
      </w:r>
    </w:p>
    <w:p w:rsidR="0055179D" w:rsidRPr="000B7667" w:rsidRDefault="0055179D" w:rsidP="0055179D">
      <w:pPr>
        <w:ind w:left="567" w:right="567"/>
        <w:rPr>
          <w:sz w:val="18"/>
          <w:szCs w:val="18"/>
        </w:rPr>
      </w:pPr>
    </w:p>
    <w:p w:rsidR="0055179D" w:rsidRPr="00804825" w:rsidRDefault="0055179D" w:rsidP="00B54B69">
      <w:pPr>
        <w:pStyle w:val="Heading1"/>
      </w:pPr>
      <w:bookmarkStart w:id="7" w:name="_Toc418531193"/>
      <w:bookmarkStart w:id="8" w:name="_Toc440985314"/>
      <w:r>
        <w:lastRenderedPageBreak/>
        <w:t>Developments in the Technical Committee</w:t>
      </w:r>
      <w:bookmarkEnd w:id="7"/>
      <w:r>
        <w:t xml:space="preserve"> in 2015</w:t>
      </w:r>
      <w:bookmarkEnd w:id="8"/>
    </w:p>
    <w:p w:rsidR="0055179D" w:rsidRDefault="0055179D" w:rsidP="00254EB4">
      <w:pPr>
        <w:keepNext/>
        <w:jc w:val="left"/>
      </w:pPr>
    </w:p>
    <w:p w:rsidR="00CA70E8" w:rsidRDefault="00FE4CA8" w:rsidP="00FE4CA8">
      <w:r w:rsidRPr="00804825">
        <w:fldChar w:fldCharType="begin"/>
      </w:r>
      <w:r w:rsidRPr="00804825">
        <w:instrText xml:space="preserve"> AUTONUM  </w:instrText>
      </w:r>
      <w:r w:rsidRPr="00804825">
        <w:fldChar w:fldCharType="end"/>
      </w:r>
      <w:r w:rsidRPr="00804825">
        <w:tab/>
      </w:r>
      <w:r>
        <w:t>The TC</w:t>
      </w:r>
      <w:r w:rsidR="00CA70E8">
        <w:t>,</w:t>
      </w:r>
      <w:r>
        <w:t xml:space="preserve"> at its fifty-first session, held in Geneva from March 23 to 25, 2015, </w:t>
      </w:r>
      <w:r w:rsidRPr="00804825">
        <w:t>considered document TC/51/38 “Matters concerning variety descriptions”</w:t>
      </w:r>
      <w:r>
        <w:t xml:space="preserve"> </w:t>
      </w:r>
      <w:r w:rsidR="00CA70E8">
        <w:t>(see document TC/51</w:t>
      </w:r>
      <w:r w:rsidR="00254EB4">
        <w:t>/39 “Report”, paragraphs 214 to </w:t>
      </w:r>
      <w:r w:rsidR="00CA70E8">
        <w:t>219).</w:t>
      </w:r>
    </w:p>
    <w:p w:rsidR="00CA70E8" w:rsidRDefault="00CA70E8" w:rsidP="00FE4CA8"/>
    <w:p w:rsidR="00FE4CA8" w:rsidRDefault="00CA70E8" w:rsidP="00FE4CA8">
      <w:r>
        <w:fldChar w:fldCharType="begin"/>
      </w:r>
      <w:r>
        <w:instrText xml:space="preserve"> AUTONUM  </w:instrText>
      </w:r>
      <w:r>
        <w:fldChar w:fldCharType="end"/>
      </w:r>
      <w:r>
        <w:tab/>
        <w:t xml:space="preserve">The TC </w:t>
      </w:r>
      <w:r w:rsidR="00FE4CA8" w:rsidRPr="00804825">
        <w:t>agreed to invite experts to present to the TWPs, at their sessions in 2015, their experiences with regard to the use of information, documents or material provided by the breeder for verifying the maintenance of the variety and the use of versions of Test</w:t>
      </w:r>
      <w:r w:rsidR="00FE4CA8">
        <w:t> </w:t>
      </w:r>
      <w:r w:rsidR="00FE4CA8" w:rsidRPr="00804825">
        <w:t>Guidelines for verifying the maintenance of the variety that were different from the version of the Test</w:t>
      </w:r>
      <w:r w:rsidR="00FE4CA8">
        <w:t> </w:t>
      </w:r>
      <w:r w:rsidR="00FE4CA8" w:rsidRPr="00804825">
        <w:t>Guidelines used for the examination of DUS.</w:t>
      </w:r>
    </w:p>
    <w:p w:rsidR="00FE4CA8" w:rsidRDefault="00FE4CA8" w:rsidP="00FE4CA8"/>
    <w:p w:rsidR="0055179D" w:rsidRPr="00804825" w:rsidRDefault="0055179D" w:rsidP="0055179D">
      <w:r w:rsidRPr="00804825">
        <w:fldChar w:fldCharType="begin"/>
      </w:r>
      <w:r w:rsidRPr="00804825">
        <w:instrText xml:space="preserve"> AUTONUM  </w:instrText>
      </w:r>
      <w:r w:rsidRPr="00804825">
        <w:fldChar w:fldCharType="end"/>
      </w:r>
      <w:r w:rsidRPr="00804825">
        <w:tab/>
      </w:r>
      <w:r>
        <w:t xml:space="preserve">The TC </w:t>
      </w:r>
      <w:r w:rsidRPr="00804825">
        <w:t>noted the existence of different approaches for generating variety descriptions and verifying the maintenance of varieties in different UPOV members and under different DUS testing systems</w:t>
      </w:r>
      <w:r w:rsidR="00CA70E8">
        <w:t>.</w:t>
      </w:r>
    </w:p>
    <w:p w:rsidR="0055179D" w:rsidRPr="00804825" w:rsidRDefault="0055179D" w:rsidP="0055179D"/>
    <w:p w:rsidR="0055179D" w:rsidRPr="00804825" w:rsidRDefault="0055179D" w:rsidP="0055179D">
      <w:r w:rsidRPr="00804825">
        <w:fldChar w:fldCharType="begin"/>
      </w:r>
      <w:r w:rsidRPr="00804825">
        <w:instrText xml:space="preserve"> AUTONUM  </w:instrText>
      </w:r>
      <w:r w:rsidRPr="00804825">
        <w:fldChar w:fldCharType="end"/>
      </w:r>
      <w:r w:rsidRPr="00804825">
        <w:tab/>
        <w:t xml:space="preserve">The TC </w:t>
      </w:r>
      <w:r>
        <w:t xml:space="preserve">noted the information in document </w:t>
      </w:r>
      <w:r w:rsidRPr="00804825">
        <w:t>TC/51/38, paragraphs 9 to 12</w:t>
      </w:r>
      <w:r>
        <w:t>, in relation</w:t>
      </w:r>
      <w:r w:rsidRPr="00804825">
        <w:t xml:space="preserve"> to the matters concerning va</w:t>
      </w:r>
      <w:r>
        <w:t xml:space="preserve">riety description presented in </w:t>
      </w:r>
      <w:r w:rsidRPr="00804825">
        <w:t>document TC/51/38, paragraph 8.</w:t>
      </w:r>
      <w:r>
        <w:t xml:space="preserve"> </w:t>
      </w:r>
    </w:p>
    <w:p w:rsidR="0055179D" w:rsidRPr="00804825" w:rsidRDefault="0055179D" w:rsidP="0055179D"/>
    <w:p w:rsidR="0055179D" w:rsidRDefault="0055179D" w:rsidP="0055179D">
      <w:r w:rsidRPr="00804825">
        <w:fldChar w:fldCharType="begin"/>
      </w:r>
      <w:r w:rsidRPr="00804825">
        <w:instrText xml:space="preserve"> AUTONUM  </w:instrText>
      </w:r>
      <w:r w:rsidRPr="00804825">
        <w:fldChar w:fldCharType="end"/>
      </w:r>
      <w:r w:rsidRPr="00804825">
        <w:tab/>
        <w:t>The TC agreed to invite experts to present to the TWPs, at their sessions in 2015, how variety descriptions were generated in DUS examination, how were they used after the granting of a breeders</w:t>
      </w:r>
      <w:r w:rsidR="00254EB4">
        <w:t>’</w:t>
      </w:r>
      <w:r w:rsidRPr="00804825">
        <w:t xml:space="preserve"> right and how variety maintenance was verified</w:t>
      </w:r>
      <w:r>
        <w:t>.  In particular, the TC noted the possible impact of the interaction genotype x environment in generating the variety description.</w:t>
      </w:r>
    </w:p>
    <w:p w:rsidR="0055179D" w:rsidRPr="00804825" w:rsidRDefault="0055179D" w:rsidP="0055179D"/>
    <w:p w:rsidR="0055179D" w:rsidRDefault="0055179D" w:rsidP="0055179D">
      <w:r w:rsidRPr="00804825">
        <w:fldChar w:fldCharType="begin"/>
      </w:r>
      <w:r w:rsidRPr="00804825">
        <w:instrText xml:space="preserve"> AUTONUM  </w:instrText>
      </w:r>
      <w:r w:rsidRPr="00804825">
        <w:fldChar w:fldCharType="end"/>
      </w:r>
      <w:r w:rsidRPr="00804825">
        <w:tab/>
        <w:t>The TC agreed that experts should also be invited to present to the TWPs, at their sessions in 2015, the role of the plant material used as basis for the DUS examination in relation to matters presented in document TC/51/38, paragraph 8.</w:t>
      </w:r>
    </w:p>
    <w:p w:rsidR="000010B2" w:rsidRDefault="000010B2" w:rsidP="0055179D"/>
    <w:p w:rsidR="00254EB4" w:rsidRDefault="00254EB4" w:rsidP="0055179D"/>
    <w:p w:rsidR="0055179D" w:rsidRDefault="0055179D" w:rsidP="00A00C7A">
      <w:pPr>
        <w:pStyle w:val="Heading1"/>
      </w:pPr>
      <w:bookmarkStart w:id="9" w:name="_Toc440985315"/>
      <w:r>
        <w:t>Developments in the CAJ in 2015</w:t>
      </w:r>
      <w:bookmarkEnd w:id="9"/>
    </w:p>
    <w:p w:rsidR="0055179D" w:rsidRDefault="0055179D" w:rsidP="0055179D">
      <w:pPr>
        <w:ind w:left="567" w:right="567"/>
        <w:rPr>
          <w:sz w:val="18"/>
          <w:szCs w:val="18"/>
        </w:rPr>
      </w:pPr>
    </w:p>
    <w:p w:rsidR="0055179D" w:rsidRPr="007528A3" w:rsidRDefault="0055179D" w:rsidP="0055179D">
      <w:r w:rsidRPr="007528A3">
        <w:fldChar w:fldCharType="begin"/>
      </w:r>
      <w:r w:rsidRPr="007528A3">
        <w:instrText xml:space="preserve"> AUTONUM  </w:instrText>
      </w:r>
      <w:r w:rsidRPr="007528A3">
        <w:fldChar w:fldCharType="end"/>
      </w:r>
      <w:r w:rsidRPr="007528A3">
        <w:tab/>
        <w:t>The CAJ</w:t>
      </w:r>
      <w:r>
        <w:t>, at its seventy-first session, held in Geneva on March 26, 2015,</w:t>
      </w:r>
      <w:r w:rsidRPr="007528A3">
        <w:t xml:space="preserve"> endorsed the conclusion of the CAJ-AG, at its ninth session, on the purpose(s) of the variety description developed at the time of the grant of the breeder</w:t>
      </w:r>
      <w:r w:rsidR="00254EB4">
        <w:t>’</w:t>
      </w:r>
      <w:r w:rsidRPr="007528A3">
        <w:t>s right (original variety description), as set out in document CAJ/71/2, paragraph 37, as follows</w:t>
      </w:r>
      <w:r>
        <w:t xml:space="preserve"> (see document CAJ/71/1</w:t>
      </w:r>
      <w:r w:rsidR="00A00C7A">
        <w:t>1</w:t>
      </w:r>
      <w:r>
        <w:t xml:space="preserve"> “Report”, paragraphs </w:t>
      </w:r>
      <w:r w:rsidR="00A00C7A">
        <w:t>30</w:t>
      </w:r>
      <w:r>
        <w:t xml:space="preserve"> to </w:t>
      </w:r>
      <w:r w:rsidR="00A00C7A">
        <w:t>33</w:t>
      </w:r>
      <w:r>
        <w:t>)</w:t>
      </w:r>
      <w:r w:rsidRPr="007528A3">
        <w:t>:</w:t>
      </w:r>
    </w:p>
    <w:p w:rsidR="0055179D" w:rsidRPr="007528A3" w:rsidRDefault="0055179D" w:rsidP="0055179D"/>
    <w:p w:rsidR="0055179D" w:rsidRPr="007528A3" w:rsidRDefault="0055179D" w:rsidP="0055179D">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sidR="00254EB4">
        <w:rPr>
          <w:sz w:val="18"/>
        </w:rPr>
        <w:t>’</w:t>
      </w:r>
      <w:r w:rsidRPr="007528A3">
        <w:rPr>
          <w:sz w:val="18"/>
        </w:rPr>
        <w:t>s right (original variety description) might be summarized as follows:</w:t>
      </w:r>
    </w:p>
    <w:p w:rsidR="0055179D" w:rsidRPr="007528A3" w:rsidRDefault="0055179D" w:rsidP="0055179D">
      <w:pPr>
        <w:ind w:left="567" w:right="567"/>
        <w:rPr>
          <w:sz w:val="18"/>
        </w:rPr>
      </w:pPr>
    </w:p>
    <w:p w:rsidR="0055179D" w:rsidRPr="007528A3" w:rsidRDefault="0055179D" w:rsidP="0055179D">
      <w:pPr>
        <w:ind w:left="1134" w:right="567"/>
        <w:rPr>
          <w:sz w:val="18"/>
        </w:rPr>
      </w:pPr>
      <w:r w:rsidRPr="007528A3">
        <w:rPr>
          <w:sz w:val="18"/>
        </w:rPr>
        <w:t>(a)</w:t>
      </w:r>
      <w:r w:rsidRPr="007528A3">
        <w:rPr>
          <w:sz w:val="18"/>
        </w:rPr>
        <w:tab/>
        <w:t>to describe the characteristics of the variety; and</w:t>
      </w:r>
    </w:p>
    <w:p w:rsidR="0055179D" w:rsidRPr="007528A3" w:rsidRDefault="0055179D" w:rsidP="0055179D">
      <w:pPr>
        <w:ind w:left="1134" w:right="567"/>
        <w:rPr>
          <w:sz w:val="18"/>
        </w:rPr>
      </w:pPr>
      <w:r w:rsidRPr="007528A3">
        <w:rPr>
          <w:sz w:val="18"/>
        </w:rPr>
        <w:t>(b)</w:t>
      </w:r>
      <w:r w:rsidRPr="007528A3">
        <w:rPr>
          <w:sz w:val="18"/>
        </w:rPr>
        <w:tab/>
        <w:t xml:space="preserve">to identify and list similar varieties and differences from these varieties; </w:t>
      </w:r>
    </w:p>
    <w:p w:rsidR="0055179D" w:rsidRPr="007528A3" w:rsidRDefault="0055179D" w:rsidP="0055179D">
      <w:pPr>
        <w:ind w:left="2835" w:right="567" w:hanging="1134"/>
        <w:rPr>
          <w:sz w:val="18"/>
        </w:rPr>
      </w:pPr>
      <w:r w:rsidRPr="007528A3">
        <w:rPr>
          <w:sz w:val="18"/>
        </w:rPr>
        <w:t>combined with the information on the basis for (a) and (b), namely:</w:t>
      </w:r>
    </w:p>
    <w:p w:rsidR="0055179D" w:rsidRPr="007528A3" w:rsidRDefault="0055179D" w:rsidP="0055179D">
      <w:pPr>
        <w:ind w:left="1701" w:right="567"/>
        <w:rPr>
          <w:sz w:val="18"/>
        </w:rPr>
      </w:pPr>
      <w:r w:rsidRPr="007528A3">
        <w:rPr>
          <w:rFonts w:cs="Arial"/>
          <w:sz w:val="18"/>
        </w:rPr>
        <w:t>▪</w:t>
      </w:r>
      <w:r w:rsidRPr="007528A3">
        <w:rPr>
          <w:sz w:val="18"/>
        </w:rPr>
        <w:tab/>
        <w:t>Date and document number of UPOV Test Guidelines;</w:t>
      </w:r>
    </w:p>
    <w:p w:rsidR="0055179D" w:rsidRPr="007528A3" w:rsidRDefault="0055179D" w:rsidP="0055179D">
      <w:pPr>
        <w:ind w:left="1701" w:right="567"/>
        <w:rPr>
          <w:sz w:val="18"/>
        </w:rPr>
      </w:pPr>
      <w:r w:rsidRPr="007528A3">
        <w:rPr>
          <w:rFonts w:cs="Arial"/>
          <w:sz w:val="18"/>
        </w:rPr>
        <w:t>▪</w:t>
      </w:r>
      <w:r w:rsidRPr="007528A3">
        <w:rPr>
          <w:sz w:val="18"/>
        </w:rPr>
        <w:tab/>
        <w:t>Date and/or document number of Reporting Authority</w:t>
      </w:r>
      <w:r w:rsidR="00254EB4">
        <w:rPr>
          <w:sz w:val="18"/>
        </w:rPr>
        <w:t>’</w:t>
      </w:r>
      <w:r w:rsidRPr="007528A3">
        <w:rPr>
          <w:sz w:val="18"/>
        </w:rPr>
        <w:t>s test guidelines;</w:t>
      </w:r>
    </w:p>
    <w:p w:rsidR="0055179D" w:rsidRPr="007528A3" w:rsidRDefault="0055179D" w:rsidP="0055179D">
      <w:pPr>
        <w:ind w:left="1701" w:right="567"/>
        <w:rPr>
          <w:sz w:val="18"/>
        </w:rPr>
      </w:pPr>
      <w:r w:rsidRPr="007528A3">
        <w:rPr>
          <w:rFonts w:cs="Arial"/>
          <w:sz w:val="18"/>
        </w:rPr>
        <w:t>▪</w:t>
      </w:r>
      <w:r w:rsidRPr="007528A3">
        <w:rPr>
          <w:sz w:val="18"/>
        </w:rPr>
        <w:tab/>
        <w:t>Reporting Authority;</w:t>
      </w:r>
    </w:p>
    <w:p w:rsidR="0055179D" w:rsidRPr="007528A3" w:rsidRDefault="0055179D" w:rsidP="0055179D">
      <w:pPr>
        <w:ind w:left="1701" w:right="567"/>
        <w:rPr>
          <w:sz w:val="18"/>
        </w:rPr>
      </w:pPr>
      <w:r w:rsidRPr="007528A3">
        <w:rPr>
          <w:rFonts w:cs="Arial"/>
          <w:sz w:val="18"/>
        </w:rPr>
        <w:t>▪</w:t>
      </w:r>
      <w:r w:rsidRPr="007528A3">
        <w:rPr>
          <w:sz w:val="18"/>
        </w:rPr>
        <w:tab/>
        <w:t>Testing station(s) and place(s);</w:t>
      </w:r>
    </w:p>
    <w:p w:rsidR="0055179D" w:rsidRPr="007528A3" w:rsidRDefault="0055179D" w:rsidP="0055179D">
      <w:pPr>
        <w:ind w:left="1701" w:right="567"/>
        <w:rPr>
          <w:sz w:val="18"/>
        </w:rPr>
      </w:pPr>
      <w:r w:rsidRPr="007528A3">
        <w:rPr>
          <w:rFonts w:cs="Arial"/>
          <w:sz w:val="18"/>
        </w:rPr>
        <w:t>▪</w:t>
      </w:r>
      <w:r w:rsidRPr="007528A3">
        <w:rPr>
          <w:sz w:val="18"/>
        </w:rPr>
        <w:tab/>
        <w:t>Period of testing;</w:t>
      </w:r>
    </w:p>
    <w:p w:rsidR="0055179D" w:rsidRPr="007528A3" w:rsidRDefault="0055179D" w:rsidP="0055179D">
      <w:pPr>
        <w:ind w:left="1701" w:right="567"/>
        <w:rPr>
          <w:sz w:val="18"/>
        </w:rPr>
      </w:pPr>
      <w:r w:rsidRPr="007528A3">
        <w:rPr>
          <w:rFonts w:cs="Arial"/>
          <w:sz w:val="18"/>
        </w:rPr>
        <w:t>▪</w:t>
      </w:r>
      <w:r w:rsidRPr="007528A3">
        <w:rPr>
          <w:sz w:val="18"/>
        </w:rPr>
        <w:tab/>
        <w:t>Date and place of issue of document;</w:t>
      </w:r>
    </w:p>
    <w:p w:rsidR="0055179D" w:rsidRPr="007528A3" w:rsidRDefault="0055179D" w:rsidP="0055179D">
      <w:pPr>
        <w:ind w:left="1701" w:right="567"/>
        <w:rPr>
          <w:sz w:val="18"/>
        </w:rPr>
      </w:pPr>
      <w:r w:rsidRPr="007528A3">
        <w:rPr>
          <w:rFonts w:cs="Arial"/>
          <w:sz w:val="18"/>
        </w:rPr>
        <w:t>▪</w:t>
      </w:r>
      <w:r w:rsidRPr="007528A3">
        <w:rPr>
          <w:sz w:val="18"/>
        </w:rPr>
        <w:tab/>
        <w:t>Group: (Table: Characteristics; States of Expression; Note; Remarks);</w:t>
      </w:r>
    </w:p>
    <w:p w:rsidR="0055179D" w:rsidRPr="007528A3" w:rsidRDefault="0055179D" w:rsidP="0055179D">
      <w:pPr>
        <w:ind w:left="1701" w:right="567"/>
        <w:rPr>
          <w:sz w:val="18"/>
        </w:rPr>
      </w:pPr>
      <w:r w:rsidRPr="007528A3">
        <w:rPr>
          <w:rFonts w:cs="Arial"/>
          <w:sz w:val="18"/>
        </w:rPr>
        <w:t>▪</w:t>
      </w:r>
      <w:r w:rsidRPr="007528A3">
        <w:rPr>
          <w:sz w:val="18"/>
        </w:rPr>
        <w:tab/>
        <w:t>Additional Information;</w:t>
      </w:r>
    </w:p>
    <w:p w:rsidR="0055179D" w:rsidRPr="007528A3" w:rsidRDefault="0055179D" w:rsidP="0055179D">
      <w:pPr>
        <w:ind w:left="1701" w:right="567"/>
        <w:rPr>
          <w:sz w:val="18"/>
        </w:rPr>
      </w:pPr>
      <w:r w:rsidRPr="007528A3">
        <w:rPr>
          <w:sz w:val="18"/>
        </w:rPr>
        <w:tab/>
        <w:t>(a)</w:t>
      </w:r>
      <w:r w:rsidRPr="007528A3">
        <w:rPr>
          <w:sz w:val="18"/>
        </w:rPr>
        <w:tab/>
        <w:t>Additional Data</w:t>
      </w:r>
    </w:p>
    <w:p w:rsidR="0055179D" w:rsidRPr="007528A3" w:rsidRDefault="0055179D" w:rsidP="0055179D">
      <w:pPr>
        <w:ind w:left="1701" w:right="567"/>
        <w:rPr>
          <w:sz w:val="18"/>
        </w:rPr>
      </w:pPr>
      <w:r w:rsidRPr="007528A3">
        <w:rPr>
          <w:sz w:val="18"/>
        </w:rPr>
        <w:tab/>
        <w:t>(b)</w:t>
      </w:r>
      <w:r w:rsidRPr="007528A3">
        <w:rPr>
          <w:sz w:val="18"/>
        </w:rPr>
        <w:tab/>
        <w:t>Photograph (if appropriate)</w:t>
      </w:r>
    </w:p>
    <w:p w:rsidR="0055179D" w:rsidRPr="007528A3" w:rsidRDefault="0055179D" w:rsidP="0055179D">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55179D" w:rsidRPr="007528A3" w:rsidRDefault="0055179D" w:rsidP="0055179D">
      <w:pPr>
        <w:ind w:left="1701" w:right="567"/>
        <w:rPr>
          <w:sz w:val="18"/>
        </w:rPr>
      </w:pPr>
      <w:r w:rsidRPr="007528A3">
        <w:rPr>
          <w:sz w:val="18"/>
        </w:rPr>
        <w:tab/>
        <w:t>(d)</w:t>
      </w:r>
      <w:r w:rsidRPr="007528A3">
        <w:rPr>
          <w:sz w:val="18"/>
        </w:rPr>
        <w:tab/>
        <w:t>Remarks.”</w:t>
      </w:r>
    </w:p>
    <w:p w:rsidR="0055179D" w:rsidRPr="007528A3" w:rsidRDefault="0055179D" w:rsidP="0055179D"/>
    <w:p w:rsidR="0055179D" w:rsidRPr="007528A3" w:rsidRDefault="0055179D" w:rsidP="0055179D">
      <w:r w:rsidRPr="007528A3">
        <w:fldChar w:fldCharType="begin"/>
      </w:r>
      <w:r w:rsidRPr="007528A3">
        <w:instrText xml:space="preserve"> AUTONUM  </w:instrText>
      </w:r>
      <w:r w:rsidRPr="007528A3">
        <w:fldChar w:fldCharType="end"/>
      </w:r>
      <w:r w:rsidRPr="007528A3">
        <w:tab/>
        <w:t>The CAJ endorsed the conclusion of the CAJ-AG, at its ninth session, on the status of the original variety description in relation to the verification of the conformity of plant material to a protected variety for enforcement of the breeder</w:t>
      </w:r>
      <w:r w:rsidR="00254EB4">
        <w:t>’</w:t>
      </w:r>
      <w:r w:rsidRPr="007528A3">
        <w:t>s right, as set out in document CAJ/71/2, paragraphs 38 and 39, as follows:</w:t>
      </w:r>
    </w:p>
    <w:p w:rsidR="0055179D" w:rsidRPr="007528A3" w:rsidRDefault="0055179D" w:rsidP="0055179D"/>
    <w:p w:rsidR="0055179D" w:rsidRPr="007528A3" w:rsidRDefault="0055179D" w:rsidP="0055179D">
      <w:pPr>
        <w:ind w:left="567" w:right="567"/>
        <w:rPr>
          <w:snapToGrid w:val="0"/>
          <w:spacing w:val="-2"/>
          <w:sz w:val="18"/>
          <w:szCs w:val="18"/>
        </w:rPr>
      </w:pPr>
      <w:r w:rsidRPr="007528A3">
        <w:rPr>
          <w:snapToGrid w:val="0"/>
          <w:spacing w:val="-2"/>
          <w:sz w:val="18"/>
          <w:szCs w:val="18"/>
        </w:rPr>
        <w:t>“38.</w:t>
      </w:r>
      <w:r w:rsidRPr="007528A3">
        <w:rPr>
          <w:snapToGrid w:val="0"/>
          <w:spacing w:val="-2"/>
          <w:sz w:val="18"/>
          <w:szCs w:val="18"/>
        </w:rPr>
        <w:tab/>
        <w:t>The CAJ-AG</w:t>
      </w:r>
      <w:r w:rsidRPr="007528A3">
        <w:rPr>
          <w:spacing w:val="-2"/>
          <w:sz w:val="18"/>
          <w:szCs w:val="18"/>
        </w:rPr>
        <w:t xml:space="preserve"> </w:t>
      </w:r>
      <w:r w:rsidRPr="007528A3">
        <w:rPr>
          <w:snapToGrid w:val="0"/>
          <w:spacing w:val="-2"/>
          <w:sz w:val="18"/>
          <w:szCs w:val="18"/>
        </w:rPr>
        <w:t>considered the status of the original variety description in relation to the verification of plant material of a protected variety for the purposes of enforcement of the breeder</w:t>
      </w:r>
      <w:r w:rsidR="00254EB4">
        <w:rPr>
          <w:snapToGrid w:val="0"/>
          <w:spacing w:val="-2"/>
          <w:sz w:val="18"/>
          <w:szCs w:val="18"/>
        </w:rPr>
        <w:t>’</w:t>
      </w:r>
      <w:r w:rsidRPr="007528A3">
        <w:rPr>
          <w:snapToGrid w:val="0"/>
          <w:spacing w:val="-2"/>
          <w:sz w:val="18"/>
          <w:szCs w:val="18"/>
        </w:rPr>
        <w:t>s right and noted that UPOV guidance on the enforcement of breeders</w:t>
      </w:r>
      <w:r w:rsidR="00254EB4">
        <w:rPr>
          <w:snapToGrid w:val="0"/>
          <w:spacing w:val="-2"/>
          <w:sz w:val="18"/>
          <w:szCs w:val="18"/>
        </w:rPr>
        <w:t>’</w:t>
      </w:r>
      <w:r w:rsidRPr="007528A3">
        <w:rPr>
          <w:snapToGrid w:val="0"/>
          <w:spacing w:val="-2"/>
          <w:sz w:val="18"/>
          <w:szCs w:val="18"/>
        </w:rPr>
        <w:t xml:space="preserve"> rights contained in document UPOV/EXN/ENF/1 “Explanatory notes on the enforcement of breeders</w:t>
      </w:r>
      <w:r w:rsidR="00254EB4">
        <w:rPr>
          <w:snapToGrid w:val="0"/>
          <w:spacing w:val="-2"/>
          <w:sz w:val="18"/>
          <w:szCs w:val="18"/>
        </w:rPr>
        <w:t>’</w:t>
      </w:r>
      <w:r w:rsidRPr="007528A3">
        <w:rPr>
          <w:snapToGrid w:val="0"/>
          <w:spacing w:val="-2"/>
          <w:sz w:val="18"/>
          <w:szCs w:val="18"/>
        </w:rPr>
        <w:t xml:space="preserve"> rights under the UPOV Convention” explains as follows</w:t>
      </w:r>
      <w:r w:rsidRPr="007528A3">
        <w:rPr>
          <w:rStyle w:val="FootnoteReference"/>
          <w:snapToGrid w:val="0"/>
          <w:spacing w:val="-2"/>
          <w:sz w:val="18"/>
          <w:szCs w:val="18"/>
        </w:rPr>
        <w:footnoteReference w:id="2"/>
      </w:r>
      <w:r w:rsidRPr="007528A3">
        <w:rPr>
          <w:snapToGrid w:val="0"/>
          <w:spacing w:val="-2"/>
          <w:sz w:val="18"/>
          <w:szCs w:val="18"/>
        </w:rPr>
        <w:t xml:space="preserve">: </w:t>
      </w:r>
    </w:p>
    <w:p w:rsidR="0055179D" w:rsidRPr="007528A3" w:rsidRDefault="0055179D" w:rsidP="0055179D">
      <w:pPr>
        <w:pStyle w:val="ListParagraph"/>
        <w:ind w:left="567" w:right="567"/>
        <w:rPr>
          <w:snapToGrid w:val="0"/>
          <w:sz w:val="18"/>
          <w:szCs w:val="18"/>
        </w:rPr>
      </w:pPr>
    </w:p>
    <w:p w:rsidR="0055179D" w:rsidRPr="007528A3" w:rsidRDefault="0055179D" w:rsidP="0055179D">
      <w:pPr>
        <w:pStyle w:val="ListParagraph"/>
        <w:ind w:left="567" w:right="567"/>
        <w:rPr>
          <w:snapToGrid w:val="0"/>
          <w:sz w:val="18"/>
          <w:szCs w:val="18"/>
        </w:rPr>
      </w:pPr>
      <w:r w:rsidRPr="007528A3">
        <w:rPr>
          <w:snapToGrid w:val="0"/>
          <w:sz w:val="18"/>
          <w:szCs w:val="18"/>
        </w:rPr>
        <w:t>“SECTION II: Some possible measures for the enforcement of breeders</w:t>
      </w:r>
      <w:r w:rsidR="00254EB4">
        <w:rPr>
          <w:snapToGrid w:val="0"/>
          <w:sz w:val="18"/>
          <w:szCs w:val="18"/>
        </w:rPr>
        <w:t>’</w:t>
      </w:r>
      <w:r w:rsidRPr="007528A3">
        <w:rPr>
          <w:snapToGrid w:val="0"/>
          <w:sz w:val="18"/>
          <w:szCs w:val="18"/>
        </w:rPr>
        <w:t xml:space="preserve"> rights </w:t>
      </w:r>
    </w:p>
    <w:p w:rsidR="0055179D" w:rsidRPr="007528A3" w:rsidRDefault="0055179D" w:rsidP="0055179D">
      <w:pPr>
        <w:pStyle w:val="ListParagraph"/>
        <w:ind w:left="567" w:right="567"/>
        <w:rPr>
          <w:snapToGrid w:val="0"/>
          <w:sz w:val="18"/>
          <w:szCs w:val="18"/>
        </w:rPr>
      </w:pPr>
    </w:p>
    <w:p w:rsidR="0055179D" w:rsidRPr="007528A3" w:rsidRDefault="0055179D" w:rsidP="0055179D">
      <w:pPr>
        <w:pStyle w:val="ListParagraph"/>
        <w:ind w:left="567" w:right="567"/>
        <w:rPr>
          <w:snapToGrid w:val="0"/>
          <w:sz w:val="18"/>
          <w:szCs w:val="18"/>
        </w:rPr>
      </w:pPr>
      <w:r w:rsidRPr="007528A3">
        <w:rPr>
          <w:snapToGrid w:val="0"/>
          <w:sz w:val="18"/>
          <w:szCs w:val="18"/>
        </w:rPr>
        <w:t>“While the UPOV Convention requires members of the Union to provide for appropriate legal remedies for the effective enforcement of breeders</w:t>
      </w:r>
      <w:r w:rsidR="00254EB4">
        <w:rPr>
          <w:snapToGrid w:val="0"/>
          <w:sz w:val="18"/>
          <w:szCs w:val="18"/>
        </w:rPr>
        <w:t>’</w:t>
      </w:r>
      <w:r w:rsidRPr="007528A3">
        <w:rPr>
          <w:snapToGrid w:val="0"/>
          <w:sz w:val="18"/>
          <w:szCs w:val="18"/>
        </w:rPr>
        <w:t xml:space="preserve"> rights, it is a matter for breeders to enforce their rights.”</w:t>
      </w:r>
    </w:p>
    <w:p w:rsidR="0055179D" w:rsidRPr="007528A3" w:rsidRDefault="0055179D" w:rsidP="0055179D">
      <w:pPr>
        <w:pStyle w:val="ListParagraph"/>
        <w:ind w:left="567" w:right="567"/>
        <w:rPr>
          <w:snapToGrid w:val="0"/>
          <w:sz w:val="18"/>
          <w:szCs w:val="18"/>
        </w:rPr>
      </w:pPr>
      <w:r w:rsidRPr="007528A3">
        <w:rPr>
          <w:snapToGrid w:val="0"/>
          <w:sz w:val="18"/>
          <w:szCs w:val="18"/>
        </w:rPr>
        <w:t>[…]</w:t>
      </w:r>
    </w:p>
    <w:p w:rsidR="0055179D" w:rsidRPr="007528A3" w:rsidRDefault="0055179D" w:rsidP="0055179D">
      <w:pPr>
        <w:ind w:left="567" w:right="567"/>
        <w:rPr>
          <w:snapToGrid w:val="0"/>
          <w:sz w:val="18"/>
          <w:szCs w:val="18"/>
        </w:rPr>
      </w:pPr>
      <w:r w:rsidRPr="007528A3">
        <w:rPr>
          <w:snapToGrid w:val="0"/>
          <w:sz w:val="18"/>
          <w:szCs w:val="18"/>
        </w:rPr>
        <w:t>“39.</w:t>
      </w:r>
      <w:r w:rsidRPr="007528A3">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7528A3">
        <w:rPr>
          <w:rStyle w:val="FootnoteReference"/>
          <w:snapToGrid w:val="0"/>
          <w:sz w:val="18"/>
          <w:szCs w:val="18"/>
        </w:rPr>
        <w:footnoteReference w:id="3"/>
      </w:r>
      <w:r w:rsidRPr="007528A3">
        <w:rPr>
          <w:snapToGrid w:val="0"/>
          <w:sz w:val="18"/>
          <w:szCs w:val="18"/>
        </w:rPr>
        <w:t>:</w:t>
      </w:r>
    </w:p>
    <w:p w:rsidR="0055179D" w:rsidRPr="007528A3" w:rsidRDefault="0055179D" w:rsidP="0055179D">
      <w:pPr>
        <w:ind w:left="567" w:right="567"/>
        <w:rPr>
          <w:snapToGrid w:val="0"/>
          <w:sz w:val="18"/>
          <w:szCs w:val="18"/>
        </w:rPr>
      </w:pPr>
    </w:p>
    <w:p w:rsidR="0055179D" w:rsidRPr="007528A3" w:rsidRDefault="0055179D" w:rsidP="0055179D">
      <w:pPr>
        <w:pStyle w:val="ListParagraph"/>
        <w:keepNext/>
        <w:numPr>
          <w:ilvl w:val="2"/>
          <w:numId w:val="2"/>
        </w:numPr>
        <w:tabs>
          <w:tab w:val="left" w:pos="567"/>
          <w:tab w:val="left" w:pos="1560"/>
        </w:tabs>
        <w:spacing w:line="276" w:lineRule="auto"/>
        <w:ind w:left="567" w:right="567" w:firstLine="0"/>
        <w:rPr>
          <w:sz w:val="18"/>
          <w:szCs w:val="18"/>
        </w:rPr>
      </w:pPr>
      <w:r w:rsidRPr="007528A3">
        <w:rPr>
          <w:sz w:val="18"/>
          <w:szCs w:val="18"/>
        </w:rPr>
        <w:t>Date and document number of UPOV Test Guidelines</w:t>
      </w:r>
      <w:r w:rsidRPr="007528A3">
        <w:rPr>
          <w:snapToGrid w:val="0"/>
          <w:sz w:val="18"/>
          <w:szCs w:val="18"/>
        </w:rPr>
        <w:t>;</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sidRPr="007528A3">
        <w:rPr>
          <w:sz w:val="18"/>
          <w:szCs w:val="18"/>
        </w:rPr>
        <w:t>Date and/or document number of Reporting Authority</w:t>
      </w:r>
      <w:r w:rsidR="00254EB4">
        <w:rPr>
          <w:sz w:val="18"/>
          <w:szCs w:val="18"/>
        </w:rPr>
        <w:t>’</w:t>
      </w:r>
      <w:r w:rsidRPr="007528A3">
        <w:rPr>
          <w:sz w:val="18"/>
          <w:szCs w:val="18"/>
        </w:rPr>
        <w:t>s test guidelines</w:t>
      </w:r>
      <w:r w:rsidRPr="007528A3">
        <w:rPr>
          <w:snapToGrid w:val="0"/>
          <w:sz w:val="18"/>
          <w:szCs w:val="18"/>
        </w:rPr>
        <w:t>;</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sidRPr="007528A3">
        <w:rPr>
          <w:sz w:val="18"/>
          <w:szCs w:val="18"/>
        </w:rPr>
        <w:t>Reporting Authority</w:t>
      </w:r>
      <w:r w:rsidRPr="007528A3">
        <w:rPr>
          <w:snapToGrid w:val="0"/>
          <w:sz w:val="18"/>
          <w:szCs w:val="18"/>
        </w:rPr>
        <w:t>;</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sidRPr="007528A3">
        <w:rPr>
          <w:sz w:val="18"/>
          <w:szCs w:val="18"/>
        </w:rPr>
        <w:t>Testing station(s) and place(s)</w:t>
      </w:r>
      <w:r w:rsidRPr="007528A3">
        <w:rPr>
          <w:snapToGrid w:val="0"/>
          <w:sz w:val="18"/>
          <w:szCs w:val="18"/>
        </w:rPr>
        <w:t>;</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sidRPr="007528A3">
        <w:rPr>
          <w:sz w:val="18"/>
          <w:szCs w:val="18"/>
        </w:rPr>
        <w:t>Period of testing</w:t>
      </w:r>
      <w:r w:rsidRPr="007528A3">
        <w:rPr>
          <w:snapToGrid w:val="0"/>
          <w:sz w:val="18"/>
          <w:szCs w:val="18"/>
        </w:rPr>
        <w:t>;</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sidRPr="007528A3">
        <w:rPr>
          <w:sz w:val="18"/>
          <w:szCs w:val="18"/>
        </w:rPr>
        <w:t>Date and place of issue of document</w:t>
      </w:r>
      <w:r w:rsidRPr="007528A3">
        <w:rPr>
          <w:snapToGrid w:val="0"/>
          <w:sz w:val="18"/>
          <w:szCs w:val="18"/>
        </w:rPr>
        <w:t>;</w:t>
      </w:r>
    </w:p>
    <w:p w:rsidR="0055179D" w:rsidRPr="007528A3" w:rsidRDefault="0055179D" w:rsidP="0055179D">
      <w:pPr>
        <w:pStyle w:val="ListParagraph"/>
        <w:numPr>
          <w:ilvl w:val="2"/>
          <w:numId w:val="2"/>
        </w:numPr>
        <w:tabs>
          <w:tab w:val="left" w:pos="1560"/>
        </w:tabs>
        <w:spacing w:line="276" w:lineRule="auto"/>
        <w:ind w:left="567" w:right="567" w:firstLine="0"/>
        <w:rPr>
          <w:sz w:val="18"/>
          <w:szCs w:val="18"/>
        </w:rPr>
      </w:pPr>
      <w:r w:rsidRPr="007528A3">
        <w:rPr>
          <w:sz w:val="18"/>
          <w:szCs w:val="18"/>
        </w:rPr>
        <w:t>Group: (Table: Characteristics; States of Expression; Note; Remarks)</w:t>
      </w:r>
      <w:r w:rsidRPr="007528A3">
        <w:rPr>
          <w:snapToGrid w:val="0"/>
          <w:sz w:val="18"/>
          <w:szCs w:val="18"/>
        </w:rPr>
        <w:t>;</w:t>
      </w:r>
    </w:p>
    <w:p w:rsidR="0055179D" w:rsidRPr="007528A3" w:rsidRDefault="0055179D" w:rsidP="0055179D">
      <w:pPr>
        <w:pStyle w:val="ListParagraph"/>
        <w:numPr>
          <w:ilvl w:val="2"/>
          <w:numId w:val="2"/>
        </w:numPr>
        <w:tabs>
          <w:tab w:val="left" w:pos="1560"/>
        </w:tabs>
        <w:spacing w:line="276" w:lineRule="auto"/>
        <w:ind w:left="567" w:right="567" w:firstLine="0"/>
        <w:rPr>
          <w:sz w:val="18"/>
          <w:szCs w:val="18"/>
        </w:rPr>
      </w:pPr>
      <w:r w:rsidRPr="007528A3">
        <w:rPr>
          <w:sz w:val="18"/>
          <w:szCs w:val="18"/>
        </w:rPr>
        <w:t>Additional Information;</w:t>
      </w:r>
    </w:p>
    <w:p w:rsidR="0055179D" w:rsidRPr="007528A3" w:rsidRDefault="0055179D" w:rsidP="0055179D">
      <w:pPr>
        <w:spacing w:line="276" w:lineRule="auto"/>
        <w:ind w:left="567" w:right="567"/>
        <w:rPr>
          <w:sz w:val="18"/>
          <w:szCs w:val="18"/>
        </w:rPr>
      </w:pPr>
      <w:r w:rsidRPr="007528A3">
        <w:rPr>
          <w:sz w:val="18"/>
          <w:szCs w:val="18"/>
        </w:rPr>
        <w:tab/>
        <w:t>(a)</w:t>
      </w:r>
      <w:r w:rsidRPr="007528A3">
        <w:rPr>
          <w:sz w:val="18"/>
          <w:szCs w:val="18"/>
        </w:rPr>
        <w:tab/>
        <w:t>Additional Data</w:t>
      </w:r>
    </w:p>
    <w:p w:rsidR="0055179D" w:rsidRPr="007528A3" w:rsidRDefault="0055179D" w:rsidP="0055179D">
      <w:pPr>
        <w:spacing w:line="276" w:lineRule="auto"/>
        <w:ind w:left="567" w:right="567"/>
        <w:rPr>
          <w:color w:val="000000"/>
          <w:sz w:val="18"/>
          <w:szCs w:val="18"/>
        </w:rPr>
      </w:pPr>
      <w:r w:rsidRPr="007528A3">
        <w:rPr>
          <w:sz w:val="18"/>
          <w:szCs w:val="18"/>
        </w:rPr>
        <w:tab/>
      </w:r>
      <w:r w:rsidRPr="007528A3">
        <w:rPr>
          <w:color w:val="000000"/>
          <w:sz w:val="18"/>
          <w:szCs w:val="18"/>
        </w:rPr>
        <w:t>(b)</w:t>
      </w:r>
      <w:r w:rsidRPr="007528A3">
        <w:rPr>
          <w:color w:val="000000"/>
          <w:sz w:val="18"/>
          <w:szCs w:val="18"/>
        </w:rPr>
        <w:tab/>
        <w:t>Photograph (if appropriate)</w:t>
      </w:r>
    </w:p>
    <w:p w:rsidR="0055179D" w:rsidRPr="007528A3" w:rsidRDefault="0055179D" w:rsidP="0055179D">
      <w:pPr>
        <w:spacing w:line="276" w:lineRule="auto"/>
        <w:ind w:left="567" w:right="567"/>
        <w:rPr>
          <w:color w:val="000000"/>
          <w:sz w:val="18"/>
          <w:szCs w:val="18"/>
        </w:rPr>
      </w:pPr>
      <w:r w:rsidRPr="007528A3">
        <w:rPr>
          <w:sz w:val="18"/>
          <w:szCs w:val="18"/>
        </w:rPr>
        <w:tab/>
      </w:r>
      <w:r w:rsidRPr="007528A3">
        <w:rPr>
          <w:color w:val="000000"/>
          <w:sz w:val="18"/>
          <w:szCs w:val="18"/>
        </w:rPr>
        <w:t>(c)</w:t>
      </w:r>
      <w:r w:rsidRPr="007528A3">
        <w:rPr>
          <w:color w:val="000000"/>
          <w:sz w:val="18"/>
          <w:szCs w:val="18"/>
        </w:rPr>
        <w:tab/>
        <w:t xml:space="preserve">RHS </w:t>
      </w:r>
      <w:proofErr w:type="spellStart"/>
      <w:r w:rsidRPr="007528A3">
        <w:rPr>
          <w:color w:val="000000"/>
          <w:sz w:val="18"/>
          <w:szCs w:val="18"/>
        </w:rPr>
        <w:t>Colour</w:t>
      </w:r>
      <w:proofErr w:type="spellEnd"/>
      <w:r w:rsidRPr="007528A3">
        <w:rPr>
          <w:color w:val="000000"/>
          <w:sz w:val="18"/>
          <w:szCs w:val="18"/>
        </w:rPr>
        <w:t xml:space="preserve"> Chart version used (if appropriate)</w:t>
      </w:r>
    </w:p>
    <w:p w:rsidR="0055179D" w:rsidRPr="007528A3" w:rsidRDefault="0055179D" w:rsidP="0055179D">
      <w:pPr>
        <w:tabs>
          <w:tab w:val="left" w:pos="284"/>
        </w:tabs>
        <w:spacing w:line="276" w:lineRule="auto"/>
        <w:ind w:left="567" w:right="567"/>
        <w:rPr>
          <w:sz w:val="18"/>
          <w:szCs w:val="18"/>
        </w:rPr>
      </w:pPr>
      <w:r w:rsidRPr="007528A3">
        <w:rPr>
          <w:sz w:val="18"/>
          <w:szCs w:val="18"/>
        </w:rPr>
        <w:tab/>
        <w:t>(d)</w:t>
      </w:r>
      <w:r w:rsidRPr="007528A3">
        <w:rPr>
          <w:sz w:val="18"/>
          <w:szCs w:val="18"/>
        </w:rPr>
        <w:tab/>
        <w:t>Remarks”</w:t>
      </w:r>
    </w:p>
    <w:p w:rsidR="0055179D" w:rsidRPr="007528A3" w:rsidRDefault="0055179D" w:rsidP="0055179D"/>
    <w:p w:rsidR="0055179D" w:rsidRPr="007528A3" w:rsidRDefault="0055179D" w:rsidP="0055179D">
      <w:r w:rsidRPr="007528A3">
        <w:fldChar w:fldCharType="begin"/>
      </w:r>
      <w:r w:rsidRPr="007528A3">
        <w:instrText xml:space="preserve"> AUTONUM  </w:instrText>
      </w:r>
      <w:r w:rsidRPr="007528A3">
        <w:fldChar w:fldCharType="end"/>
      </w:r>
      <w:r w:rsidRPr="007528A3">
        <w:tab/>
        <w:t>The CAJ noted that the TC had noted the existence of different approaches for generating variety descriptions and verifying the maintenance of varieties in different UPOV members and under different DUS testing systems.  It also noted that the TC had agreed to invite experts to present to the TWPs, at their sessions in 2015, how variety descriptions were generated in DUS examination, how they were used after the granting of a breeders</w:t>
      </w:r>
      <w:r w:rsidR="00254EB4">
        <w:t>’</w:t>
      </w:r>
      <w:r w:rsidRPr="007528A3">
        <w:t xml:space="preserve"> right and how variety maintenance was verified.  The CAJ further noted that the TC had agreed that experts should also be invited to present to the TWPs, at their sessions in 2015, the role of the plant material used as the basis for the DUS examination in relation to matters presented in document TC/51/38, paragraph 8.</w:t>
      </w:r>
    </w:p>
    <w:p w:rsidR="0055179D" w:rsidRPr="007528A3" w:rsidRDefault="0055179D" w:rsidP="0055179D"/>
    <w:p w:rsidR="0055179D" w:rsidRPr="007528A3" w:rsidRDefault="0055179D" w:rsidP="0055179D">
      <w:r w:rsidRPr="007528A3">
        <w:fldChar w:fldCharType="begin"/>
      </w:r>
      <w:r w:rsidRPr="007528A3">
        <w:instrText xml:space="preserve"> AUTONUM  </w:instrText>
      </w:r>
      <w:r w:rsidRPr="007528A3">
        <w:fldChar w:fldCharType="end"/>
      </w:r>
      <w:r w:rsidRPr="007528A3">
        <w:tab/>
        <w:t>The CAJ noted that the TC had agreed to include discussion on variety descriptions and the role of plant material, including minimum number of growing cycles for DUS examination, during its fifty-second session, to be held in Geneva in 2016.</w:t>
      </w:r>
    </w:p>
    <w:p w:rsidR="009D5F41" w:rsidRDefault="009D5F41" w:rsidP="00A00C7A">
      <w:bookmarkStart w:id="10" w:name="_Toc440377316"/>
    </w:p>
    <w:p w:rsidR="00254EB4" w:rsidRDefault="00254EB4" w:rsidP="00A00C7A"/>
    <w:p w:rsidR="00A00C7A" w:rsidRPr="000B03FD" w:rsidRDefault="00A00C7A" w:rsidP="00A00C7A">
      <w:pPr>
        <w:pStyle w:val="Heading1"/>
      </w:pPr>
      <w:bookmarkStart w:id="11" w:name="_Toc440985316"/>
      <w:r>
        <w:t>presentations to the TWPs at their sessions in 2015</w:t>
      </w:r>
      <w:bookmarkEnd w:id="11"/>
    </w:p>
    <w:p w:rsidR="00A00C7A" w:rsidRDefault="00A00C7A" w:rsidP="00A00C7A">
      <w:pPr>
        <w:rPr>
          <w:rFonts w:cs="Arial"/>
        </w:rPr>
      </w:pPr>
    </w:p>
    <w:p w:rsidR="00A00C7A" w:rsidRDefault="00A00C7A" w:rsidP="00A00C7A">
      <w:r w:rsidRPr="00ED714A">
        <w:fldChar w:fldCharType="begin"/>
      </w:r>
      <w:r w:rsidRPr="00ED714A">
        <w:instrText xml:space="preserve"> AUTONUM  </w:instrText>
      </w:r>
      <w:r w:rsidRPr="00ED714A">
        <w:fldChar w:fldCharType="end"/>
      </w:r>
      <w:r w:rsidRPr="00ED714A">
        <w:tab/>
        <w:t xml:space="preserve">On May 5, 2015, </w:t>
      </w:r>
      <w:r>
        <w:t xml:space="preserve">by means of </w:t>
      </w:r>
      <w:r w:rsidRPr="00ED714A">
        <w:t>Circular E</w:t>
      </w:r>
      <w:r w:rsidRPr="00ED714A">
        <w:noBreakHyphen/>
        <w:t>15/108</w:t>
      </w:r>
      <w:r>
        <w:t xml:space="preserve">, </w:t>
      </w:r>
      <w:r w:rsidRPr="00ED714A">
        <w:t xml:space="preserve">the TC and TWP experts were invited to </w:t>
      </w:r>
      <w:r>
        <w:t>make presentations</w:t>
      </w:r>
      <w:r w:rsidRPr="00ED714A">
        <w:t xml:space="preserve"> to the TWPs, at their sessions in 2015</w:t>
      </w:r>
      <w:r>
        <w:t xml:space="preserve"> on experiences with regard to variety descriptions and verifying the maintenance of the variety, in particular:</w:t>
      </w:r>
    </w:p>
    <w:p w:rsidR="00A00C7A" w:rsidRDefault="00A00C7A" w:rsidP="00A00C7A"/>
    <w:p w:rsidR="00A00C7A" w:rsidRDefault="00A00C7A" w:rsidP="00A00C7A">
      <w:pPr>
        <w:ind w:left="1134" w:hanging="567"/>
      </w:pPr>
      <w:r>
        <w:t>-</w:t>
      </w:r>
      <w:r>
        <w:tab/>
      </w:r>
      <w:proofErr w:type="gramStart"/>
      <w:r>
        <w:t>the</w:t>
      </w:r>
      <w:proofErr w:type="gramEnd"/>
      <w:r>
        <w:t xml:space="preserve"> use of information, documents or material provided by the breeder for verifying the maintenance of the variety;</w:t>
      </w:r>
    </w:p>
    <w:p w:rsidR="00A00C7A" w:rsidRDefault="00A00C7A" w:rsidP="00A00C7A">
      <w:pPr>
        <w:ind w:left="1134" w:hanging="567"/>
      </w:pPr>
    </w:p>
    <w:p w:rsidR="00A00C7A" w:rsidRDefault="00A00C7A" w:rsidP="00A00C7A">
      <w:pPr>
        <w:ind w:left="1134" w:hanging="567"/>
      </w:pPr>
      <w:r>
        <w:t>-</w:t>
      </w:r>
      <w:r>
        <w:tab/>
      </w:r>
      <w:proofErr w:type="gramStart"/>
      <w:r>
        <w:t>the</w:t>
      </w:r>
      <w:proofErr w:type="gramEnd"/>
      <w:r>
        <w:t xml:space="preserve"> use of versions of Test Guidelines for verifying the maintenance of the variety that were different from the version of the Test Guidelines used for the examination of DUS; </w:t>
      </w:r>
    </w:p>
    <w:p w:rsidR="00A00C7A" w:rsidRDefault="00A00C7A" w:rsidP="00A00C7A">
      <w:pPr>
        <w:ind w:left="1134" w:hanging="567"/>
      </w:pPr>
    </w:p>
    <w:p w:rsidR="00A00C7A" w:rsidRDefault="00A00C7A" w:rsidP="00A00C7A">
      <w:pPr>
        <w:ind w:left="1134" w:hanging="567"/>
      </w:pPr>
      <w:r>
        <w:t>-</w:t>
      </w:r>
      <w:r>
        <w:tab/>
      </w:r>
      <w:proofErr w:type="gramStart"/>
      <w:r>
        <w:t>how</w:t>
      </w:r>
      <w:proofErr w:type="gramEnd"/>
      <w:r>
        <w:t xml:space="preserve"> variety descriptions are generated in DUS examination, how are they used after the granting of a breeders</w:t>
      </w:r>
      <w:r w:rsidR="00254EB4">
        <w:t>’</w:t>
      </w:r>
      <w:r>
        <w:t xml:space="preserve"> right and how variety maintenance is verified;</w:t>
      </w:r>
    </w:p>
    <w:p w:rsidR="00A00C7A" w:rsidRDefault="00A00C7A" w:rsidP="00A00C7A">
      <w:pPr>
        <w:ind w:left="1134" w:hanging="567"/>
      </w:pPr>
    </w:p>
    <w:p w:rsidR="00A00C7A" w:rsidRDefault="00A00C7A" w:rsidP="00A00C7A">
      <w:pPr>
        <w:ind w:left="1134" w:hanging="567"/>
      </w:pPr>
      <w:r>
        <w:t>-</w:t>
      </w:r>
      <w:r>
        <w:tab/>
        <w:t>the role of the plant material used as basis for the DUS examination in relation to the verification of conformity of plant material to a protected variety, a modified variety description or where an error is subsequently discovered in the initial variety description.</w:t>
      </w:r>
    </w:p>
    <w:p w:rsidR="00254EB4" w:rsidRDefault="00254EB4">
      <w:pPr>
        <w:jc w:val="left"/>
      </w:pPr>
    </w:p>
    <w:p w:rsidR="00E7036F" w:rsidRDefault="00E7036F">
      <w:pPr>
        <w:jc w:val="left"/>
      </w:pPr>
      <w:r>
        <w:br w:type="page"/>
      </w:r>
    </w:p>
    <w:p w:rsidR="00A00C7A" w:rsidRDefault="00A00C7A" w:rsidP="00A00C7A">
      <w:r>
        <w:lastRenderedPageBreak/>
        <w:fldChar w:fldCharType="begin"/>
      </w:r>
      <w:r>
        <w:instrText xml:space="preserve"> AUTONUM  </w:instrText>
      </w:r>
      <w:r>
        <w:fldChar w:fldCharType="end"/>
      </w:r>
      <w:r>
        <w:tab/>
        <w:t>The following presentations were made during the TWPs, at their sessions in 2015:</w:t>
      </w:r>
    </w:p>
    <w:p w:rsidR="00A00C7A" w:rsidRDefault="00A00C7A" w:rsidP="00A00C7A"/>
    <w:tbl>
      <w:tblPr>
        <w:tblStyle w:val="TableGrid"/>
        <w:tblW w:w="0" w:type="auto"/>
        <w:tblLook w:val="04A0" w:firstRow="1" w:lastRow="0" w:firstColumn="1" w:lastColumn="0" w:noHBand="0" w:noVBand="1"/>
      </w:tblPr>
      <w:tblGrid>
        <w:gridCol w:w="817"/>
        <w:gridCol w:w="5528"/>
        <w:gridCol w:w="1687"/>
        <w:gridCol w:w="1823"/>
      </w:tblGrid>
      <w:tr w:rsidR="00932B7A" w:rsidRPr="00B97838" w:rsidTr="00652280">
        <w:trPr>
          <w:cantSplit/>
          <w:trHeight w:val="554"/>
        </w:trPr>
        <w:tc>
          <w:tcPr>
            <w:tcW w:w="817" w:type="dxa"/>
            <w:vAlign w:val="center"/>
          </w:tcPr>
          <w:p w:rsidR="00932B7A" w:rsidRPr="00B97838" w:rsidRDefault="00932B7A" w:rsidP="00B97838">
            <w:pPr>
              <w:jc w:val="left"/>
            </w:pPr>
            <w:r w:rsidRPr="00B97838">
              <w:t>TWP</w:t>
            </w:r>
          </w:p>
        </w:tc>
        <w:tc>
          <w:tcPr>
            <w:tcW w:w="5528" w:type="dxa"/>
            <w:vAlign w:val="center"/>
          </w:tcPr>
          <w:p w:rsidR="00932B7A" w:rsidRPr="00B97838" w:rsidRDefault="00932B7A" w:rsidP="00B97838">
            <w:pPr>
              <w:jc w:val="left"/>
            </w:pPr>
            <w:r w:rsidRPr="00B97838">
              <w:t>Title:</w:t>
            </w:r>
          </w:p>
        </w:tc>
        <w:tc>
          <w:tcPr>
            <w:tcW w:w="1687" w:type="dxa"/>
            <w:vAlign w:val="center"/>
          </w:tcPr>
          <w:p w:rsidR="00932B7A" w:rsidRPr="00B97838" w:rsidRDefault="00932B7A" w:rsidP="00B97838">
            <w:pPr>
              <w:jc w:val="left"/>
            </w:pPr>
            <w:r w:rsidRPr="00B97838">
              <w:t>Presenter:</w:t>
            </w:r>
          </w:p>
        </w:tc>
        <w:tc>
          <w:tcPr>
            <w:tcW w:w="1823" w:type="dxa"/>
            <w:vAlign w:val="center"/>
          </w:tcPr>
          <w:p w:rsidR="00932B7A" w:rsidRPr="00B97838" w:rsidRDefault="00932B7A" w:rsidP="00B97838">
            <w:pPr>
              <w:jc w:val="left"/>
            </w:pPr>
            <w:r w:rsidRPr="00B97838">
              <w:t>Available at document:</w:t>
            </w:r>
          </w:p>
        </w:tc>
      </w:tr>
      <w:tr w:rsidR="00932B7A" w:rsidTr="00652280">
        <w:trPr>
          <w:cantSplit/>
        </w:trPr>
        <w:tc>
          <w:tcPr>
            <w:tcW w:w="817" w:type="dxa"/>
          </w:tcPr>
          <w:p w:rsidR="00932B7A" w:rsidRDefault="00932B7A" w:rsidP="00932B7A">
            <w:pPr>
              <w:ind w:right="34"/>
              <w:jc w:val="left"/>
            </w:pPr>
            <w:r>
              <w:t>TWV;</w:t>
            </w:r>
          </w:p>
          <w:p w:rsidR="00932B7A" w:rsidRDefault="00932B7A" w:rsidP="00932B7A">
            <w:pPr>
              <w:ind w:right="34"/>
              <w:jc w:val="left"/>
            </w:pPr>
            <w:r>
              <w:t>TWA;</w:t>
            </w:r>
          </w:p>
          <w:p w:rsidR="00932B7A" w:rsidRDefault="00932B7A" w:rsidP="00932B7A">
            <w:pPr>
              <w:ind w:right="34"/>
              <w:jc w:val="left"/>
            </w:pPr>
            <w:r>
              <w:t>TWF;</w:t>
            </w:r>
          </w:p>
          <w:p w:rsidR="00932B7A" w:rsidRPr="00D34DF2" w:rsidRDefault="00932B7A" w:rsidP="00932B7A">
            <w:pPr>
              <w:ind w:right="34"/>
              <w:jc w:val="left"/>
            </w:pPr>
            <w:r>
              <w:t>TWO</w:t>
            </w:r>
          </w:p>
        </w:tc>
        <w:tc>
          <w:tcPr>
            <w:tcW w:w="5528" w:type="dxa"/>
            <w:vAlign w:val="center"/>
          </w:tcPr>
          <w:p w:rsidR="00932B7A" w:rsidRPr="00D34DF2" w:rsidRDefault="00932B7A" w:rsidP="00DA7A85">
            <w:pPr>
              <w:spacing w:before="60" w:after="60"/>
              <w:ind w:right="34"/>
              <w:jc w:val="left"/>
            </w:pPr>
            <w:r w:rsidRPr="00D34DF2">
              <w:t xml:space="preserve">Experience with regard to variety descriptions and verifying the maintenance of the variety at the Community Plant Variety Office of the European Union (CPVO) </w:t>
            </w:r>
          </w:p>
        </w:tc>
        <w:tc>
          <w:tcPr>
            <w:tcW w:w="1687" w:type="dxa"/>
          </w:tcPr>
          <w:p w:rsidR="00932B7A" w:rsidRPr="00D34DF2" w:rsidRDefault="00932B7A" w:rsidP="00DA7A85">
            <w:pPr>
              <w:spacing w:before="60" w:after="60"/>
              <w:ind w:right="-108"/>
              <w:jc w:val="left"/>
            </w:pPr>
            <w:r w:rsidRPr="00D34DF2">
              <w:t>European Union</w:t>
            </w:r>
          </w:p>
        </w:tc>
        <w:tc>
          <w:tcPr>
            <w:tcW w:w="1823" w:type="dxa"/>
          </w:tcPr>
          <w:p w:rsidR="00932B7A" w:rsidRDefault="00932B7A" w:rsidP="00DA7A85">
            <w:r>
              <w:t>TWV/49/10 Add.;</w:t>
            </w:r>
          </w:p>
          <w:p w:rsidR="00932B7A" w:rsidRDefault="00932B7A" w:rsidP="00DA7A85">
            <w:r>
              <w:t>TWA/44/10 Add.;</w:t>
            </w:r>
          </w:p>
          <w:p w:rsidR="00932B7A" w:rsidRDefault="00932B7A" w:rsidP="00DA7A85">
            <w:r>
              <w:t>TWF/46/10 Add.;</w:t>
            </w:r>
          </w:p>
          <w:p w:rsidR="00932B7A" w:rsidRDefault="00932B7A" w:rsidP="00DA7A85">
            <w:r>
              <w:t>TWO/48/10 Add.</w:t>
            </w:r>
          </w:p>
        </w:tc>
      </w:tr>
      <w:tr w:rsidR="00932B7A" w:rsidTr="00652280">
        <w:trPr>
          <w:cantSplit/>
        </w:trPr>
        <w:tc>
          <w:tcPr>
            <w:tcW w:w="817" w:type="dxa"/>
          </w:tcPr>
          <w:p w:rsidR="00932B7A" w:rsidRPr="00D34DF2" w:rsidRDefault="00932B7A" w:rsidP="00932B7A">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vegetable varieties </w:t>
            </w:r>
          </w:p>
        </w:tc>
        <w:tc>
          <w:tcPr>
            <w:tcW w:w="1687" w:type="dxa"/>
          </w:tcPr>
          <w:p w:rsidR="00932B7A" w:rsidRPr="00D34DF2" w:rsidRDefault="00932B7A" w:rsidP="00DA7A85">
            <w:pPr>
              <w:spacing w:before="60" w:after="60"/>
              <w:ind w:right="-108"/>
              <w:jc w:val="left"/>
            </w:pPr>
            <w:r w:rsidRPr="00D34DF2">
              <w:t>Netherlands</w:t>
            </w:r>
          </w:p>
        </w:tc>
        <w:tc>
          <w:tcPr>
            <w:tcW w:w="1823" w:type="dxa"/>
          </w:tcPr>
          <w:p w:rsidR="00932B7A" w:rsidRDefault="00932B7A" w:rsidP="00DA7A85">
            <w:r>
              <w:t>TWV/49/10 Add.</w:t>
            </w:r>
          </w:p>
        </w:tc>
      </w:tr>
      <w:tr w:rsidR="00932B7A" w:rsidTr="00652280">
        <w:trPr>
          <w:cantSplit/>
        </w:trPr>
        <w:tc>
          <w:tcPr>
            <w:tcW w:w="817" w:type="dxa"/>
          </w:tcPr>
          <w:p w:rsidR="00932B7A" w:rsidRPr="00D34DF2" w:rsidRDefault="00932B7A" w:rsidP="00202EC7">
            <w:pPr>
              <w:ind w:right="34"/>
              <w:jc w:val="left"/>
            </w:pPr>
            <w:r>
              <w:t>TWV</w:t>
            </w:r>
          </w:p>
        </w:tc>
        <w:tc>
          <w:tcPr>
            <w:tcW w:w="5528" w:type="dxa"/>
            <w:vAlign w:val="center"/>
          </w:tcPr>
          <w:p w:rsidR="00932B7A" w:rsidRPr="00D34DF2" w:rsidRDefault="00932B7A" w:rsidP="00202EC7">
            <w:pPr>
              <w:spacing w:before="60" w:after="60"/>
              <w:ind w:right="34"/>
              <w:jc w:val="left"/>
            </w:pPr>
            <w:r w:rsidRPr="00D34DF2">
              <w:t>Verification of the maintenance of the variety in the Republic of Korea</w:t>
            </w:r>
          </w:p>
        </w:tc>
        <w:tc>
          <w:tcPr>
            <w:tcW w:w="1687" w:type="dxa"/>
          </w:tcPr>
          <w:p w:rsidR="00932B7A" w:rsidRPr="00321C5A" w:rsidRDefault="00932B7A" w:rsidP="00202EC7">
            <w:pPr>
              <w:spacing w:before="60" w:after="60"/>
              <w:ind w:right="-108"/>
              <w:jc w:val="left"/>
            </w:pPr>
            <w:r w:rsidRPr="00D34DF2">
              <w:t>Republic of Korea</w:t>
            </w:r>
          </w:p>
        </w:tc>
        <w:tc>
          <w:tcPr>
            <w:tcW w:w="1823" w:type="dxa"/>
          </w:tcPr>
          <w:p w:rsidR="00932B7A" w:rsidRDefault="00932B7A" w:rsidP="00202EC7">
            <w:r>
              <w:t>TWV/49/10 Add.</w:t>
            </w:r>
          </w:p>
        </w:tc>
      </w:tr>
      <w:tr w:rsidR="00932B7A" w:rsidTr="00652280">
        <w:trPr>
          <w:cantSplit/>
        </w:trPr>
        <w:tc>
          <w:tcPr>
            <w:tcW w:w="817" w:type="dxa"/>
          </w:tcPr>
          <w:p w:rsidR="00932B7A" w:rsidRPr="00D34DF2" w:rsidRDefault="00932B7A" w:rsidP="00DA7A85">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a variety and </w:t>
            </w:r>
            <w:r w:rsidRPr="00D34DF2">
              <w:br/>
              <w:t>Matters concerning variety descriptions</w:t>
            </w:r>
          </w:p>
        </w:tc>
        <w:tc>
          <w:tcPr>
            <w:tcW w:w="1687" w:type="dxa"/>
          </w:tcPr>
          <w:p w:rsidR="00932B7A" w:rsidRPr="00D34DF2" w:rsidRDefault="00932B7A" w:rsidP="00DA7A85">
            <w:pPr>
              <w:spacing w:before="60" w:after="60"/>
              <w:ind w:right="-108"/>
              <w:jc w:val="left"/>
            </w:pPr>
            <w:r w:rsidRPr="00D34DF2">
              <w:t>Spain</w:t>
            </w:r>
          </w:p>
        </w:tc>
        <w:tc>
          <w:tcPr>
            <w:tcW w:w="1823" w:type="dxa"/>
          </w:tcPr>
          <w:p w:rsidR="00932B7A" w:rsidRDefault="00932B7A" w:rsidP="00DA7A85">
            <w:r>
              <w:t>TWV/49/10 Add.</w:t>
            </w:r>
          </w:p>
        </w:tc>
      </w:tr>
    </w:tbl>
    <w:p w:rsidR="00A00C7A" w:rsidRDefault="00A00C7A" w:rsidP="00A00C7A"/>
    <w:p w:rsidR="009635AF" w:rsidRPr="00A00C7A" w:rsidRDefault="009635AF" w:rsidP="00A00C7A"/>
    <w:p w:rsidR="00822D20" w:rsidRDefault="00822D20" w:rsidP="009635AF">
      <w:pPr>
        <w:pStyle w:val="Heading1"/>
      </w:pPr>
      <w:bookmarkStart w:id="12" w:name="_Toc440985317"/>
      <w:r>
        <w:t xml:space="preserve">Comments by the </w:t>
      </w:r>
      <w:r w:rsidR="00B940CB">
        <w:t>T</w:t>
      </w:r>
      <w:r>
        <w:t xml:space="preserve">echnical </w:t>
      </w:r>
      <w:r w:rsidR="00B940CB">
        <w:t>W</w:t>
      </w:r>
      <w:r>
        <w:t xml:space="preserve">orking </w:t>
      </w:r>
      <w:r w:rsidR="00B940CB">
        <w:t>P</w:t>
      </w:r>
      <w:r>
        <w:t>arties</w:t>
      </w:r>
      <w:bookmarkEnd w:id="10"/>
      <w:bookmarkEnd w:id="12"/>
      <w:r w:rsidR="00B940CB">
        <w:t xml:space="preserve"> </w:t>
      </w:r>
    </w:p>
    <w:p w:rsidR="00822D20" w:rsidRDefault="00822D20" w:rsidP="00822D20"/>
    <w:p w:rsidR="00822D20" w:rsidRPr="00B97838" w:rsidRDefault="00822D20" w:rsidP="00B97838">
      <w:pPr>
        <w:pStyle w:val="Heading2"/>
        <w:rPr>
          <w:rStyle w:val="Emphasis"/>
          <w:i w:val="0"/>
          <w:iCs w:val="0"/>
        </w:rPr>
      </w:pPr>
      <w:bookmarkStart w:id="13" w:name="_Toc440299521"/>
      <w:bookmarkStart w:id="14" w:name="_Toc440377317"/>
      <w:bookmarkStart w:id="15" w:name="_Toc440985318"/>
      <w:r w:rsidRPr="00B97838">
        <w:rPr>
          <w:rStyle w:val="Emphasis"/>
          <w:i w:val="0"/>
          <w:iCs w:val="0"/>
        </w:rPr>
        <w:t>Technical Working Party for Vegetables</w:t>
      </w:r>
      <w:bookmarkEnd w:id="13"/>
      <w:bookmarkEnd w:id="14"/>
      <w:bookmarkEnd w:id="15"/>
    </w:p>
    <w:p w:rsidR="00822D20" w:rsidRDefault="00822D20" w:rsidP="00822D20"/>
    <w:p w:rsidR="00B97838" w:rsidRDefault="00822D20" w:rsidP="00822D2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5149">
        <w:rPr>
          <w:snapToGrid w:val="0"/>
        </w:rPr>
        <w:t xml:space="preserve">The </w:t>
      </w:r>
      <w:r w:rsidRPr="000C354B">
        <w:rPr>
          <w:snapToGrid w:val="0"/>
        </w:rPr>
        <w:t>TWV,</w:t>
      </w:r>
      <w:r>
        <w:rPr>
          <w:snapToGrid w:val="0"/>
        </w:rPr>
        <w:t xml:space="preserve"> at its forty-ninth session, held in Angers, France, from June 15 to 19, 2015,</w:t>
      </w:r>
      <w:r w:rsidRPr="000C354B">
        <w:rPr>
          <w:snapToGrid w:val="0"/>
        </w:rPr>
        <w:t xml:space="preserve"> </w:t>
      </w:r>
      <w:r w:rsidRPr="008E5149">
        <w:rPr>
          <w:snapToGrid w:val="0"/>
        </w:rPr>
        <w:t>considered document TWV/49/</w:t>
      </w:r>
      <w:r>
        <w:rPr>
          <w:snapToGrid w:val="0"/>
        </w:rPr>
        <w:t xml:space="preserve">10 </w:t>
      </w:r>
      <w:r>
        <w:t>“Matters concerning variety descriptions”</w:t>
      </w:r>
      <w:r w:rsidR="00B97838">
        <w:t xml:space="preserve"> </w:t>
      </w:r>
      <w:r w:rsidR="00B97838" w:rsidRPr="00D34DF2">
        <w:t>(see document TWV/49/32 Rev. “R</w:t>
      </w:r>
      <w:r w:rsidR="00F064A0">
        <w:t>evised R</w:t>
      </w:r>
      <w:r w:rsidR="00B97838" w:rsidRPr="00D34DF2">
        <w:t>eport”, paragraphs 73 to 75)</w:t>
      </w:r>
      <w:r w:rsidRPr="008E5149">
        <w:rPr>
          <w:snapToGrid w:val="0"/>
        </w:rPr>
        <w:t>.</w:t>
      </w:r>
      <w:r w:rsidR="00B97838">
        <w:rPr>
          <w:snapToGrid w:val="0"/>
        </w:rPr>
        <w:t xml:space="preserve">  </w:t>
      </w:r>
    </w:p>
    <w:p w:rsidR="00B97838" w:rsidRDefault="00B97838" w:rsidP="00822D20">
      <w:pPr>
        <w:rPr>
          <w:snapToGrid w:val="0"/>
        </w:rPr>
      </w:pPr>
    </w:p>
    <w:p w:rsidR="00822D20" w:rsidRPr="00D34DF2" w:rsidRDefault="00B97838" w:rsidP="00822D20">
      <w:r>
        <w:fldChar w:fldCharType="begin"/>
      </w:r>
      <w:r>
        <w:instrText xml:space="preserve"> AUTONUM  </w:instrText>
      </w:r>
      <w:r>
        <w:fldChar w:fldCharType="end"/>
      </w:r>
      <w:r>
        <w:tab/>
      </w:r>
      <w:r w:rsidR="00822D20" w:rsidRPr="00D34DF2">
        <w:t>The TWV noted the harmonized approaches in the vegetable sector for verifying the maintenance of varieties and the common understanding and use of variety descriptions within the members of the Union.</w:t>
      </w:r>
    </w:p>
    <w:p w:rsidR="00822D20" w:rsidRPr="00D34DF2" w:rsidRDefault="00822D20" w:rsidP="00822D20"/>
    <w:p w:rsidR="00822D20" w:rsidRPr="00D34DF2" w:rsidRDefault="00822D20" w:rsidP="00B97838">
      <w:pPr>
        <w:pStyle w:val="Heading2"/>
        <w:rPr>
          <w:rFonts w:eastAsia="PMingLiU"/>
        </w:rPr>
      </w:pPr>
      <w:bookmarkStart w:id="16" w:name="_Toc440299522"/>
      <w:bookmarkStart w:id="17" w:name="_Toc440377318"/>
      <w:bookmarkStart w:id="18" w:name="_Toc440985319"/>
      <w:r w:rsidRPr="00D34DF2">
        <w:rPr>
          <w:rFonts w:eastAsia="PMingLiU"/>
        </w:rPr>
        <w:t>Technical Working Party on Automation and Computer Programs</w:t>
      </w:r>
      <w:bookmarkEnd w:id="16"/>
      <w:bookmarkEnd w:id="17"/>
      <w:bookmarkEnd w:id="18"/>
    </w:p>
    <w:p w:rsidR="00822D20" w:rsidRDefault="00822D20" w:rsidP="00822D20">
      <w:pPr>
        <w:ind w:firstLine="567"/>
      </w:pPr>
    </w:p>
    <w:p w:rsidR="00822D20" w:rsidRPr="00FE4CA8" w:rsidRDefault="00822D20" w:rsidP="00B97838">
      <w:pPr>
        <w:pStyle w:val="Heading3"/>
      </w:pPr>
      <w:bookmarkStart w:id="19" w:name="_Toc440985320"/>
      <w:r w:rsidRPr="00FE4CA8">
        <w:t>Verifying the maintenance of the variety</w:t>
      </w:r>
      <w:bookmarkEnd w:id="19"/>
    </w:p>
    <w:p w:rsidR="00822D20" w:rsidRPr="00D34DF2" w:rsidRDefault="00822D20" w:rsidP="00822D20">
      <w:pPr>
        <w:ind w:firstLine="567"/>
      </w:pPr>
    </w:p>
    <w:p w:rsidR="00822D20" w:rsidRPr="00D34DF2" w:rsidRDefault="00822D20" w:rsidP="00822D20">
      <w:r w:rsidRPr="00D34DF2">
        <w:rPr>
          <w:snapToGrid w:val="0"/>
        </w:rPr>
        <w:fldChar w:fldCharType="begin"/>
      </w:r>
      <w:r w:rsidRPr="00D34DF2">
        <w:rPr>
          <w:snapToGrid w:val="0"/>
        </w:rPr>
        <w:instrText xml:space="preserve"> AUTONUM  </w:instrText>
      </w:r>
      <w:r w:rsidRPr="00D34DF2">
        <w:rPr>
          <w:snapToGrid w:val="0"/>
        </w:rPr>
        <w:fldChar w:fldCharType="end"/>
      </w:r>
      <w:r w:rsidRPr="00D34DF2">
        <w:rPr>
          <w:snapToGrid w:val="0"/>
        </w:rPr>
        <w:tab/>
        <w:t xml:space="preserve">The TWC, at its thirty-third session, held in Natal, Brazil, from June 30 to July 3, 2015, considered document TWC/33/10 </w:t>
      </w:r>
      <w:r w:rsidRPr="00D34DF2">
        <w:t>“Matters concerning variety descriptions”</w:t>
      </w:r>
      <w:r w:rsidRPr="00D34DF2">
        <w:rPr>
          <w:snapToGrid w:val="0"/>
        </w:rPr>
        <w:t>.</w:t>
      </w:r>
    </w:p>
    <w:p w:rsidR="00822D20" w:rsidRPr="00D34DF2" w:rsidRDefault="00822D20" w:rsidP="00822D20">
      <w:pPr>
        <w:ind w:firstLine="567"/>
      </w:pPr>
    </w:p>
    <w:p w:rsidR="00822D20" w:rsidRPr="00D34DF2" w:rsidRDefault="00822D20" w:rsidP="00822D20">
      <w:r w:rsidRPr="00D34DF2">
        <w:fldChar w:fldCharType="begin"/>
      </w:r>
      <w:r w:rsidRPr="00D34DF2">
        <w:instrText xml:space="preserve"> AUTONUM  </w:instrText>
      </w:r>
      <w:r w:rsidRPr="00D34DF2">
        <w:fldChar w:fldCharType="end"/>
      </w:r>
      <w:r w:rsidRPr="00D34DF2">
        <w:tab/>
        <w:t xml:space="preserve">The TWC considered the use of Test Guidelines for verifying the maintenance of the variety that were different from the Test Guidelines used for the examination of DUS.  The TWC noted that not all UPOV members required the maintenance of varieties to be verified.  The TWC noted that </w:t>
      </w:r>
      <w:r w:rsidRPr="00D34DF2">
        <w:rPr>
          <w:lang w:eastAsia="ja-JP"/>
        </w:rPr>
        <w:t>China</w:t>
      </w:r>
      <w:r w:rsidRPr="00D34DF2">
        <w:t xml:space="preserve"> used the original trial data to generate a new variety description in the case of changes to the Test Guidelines.</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TWC considered the experiences presented by experts with regard to the use of information, documents or material provided by the breeder for verifying the maintenance of the variety and noted that some authorities grew the standard sample beside new plant material provided to verify the maintenance of the variety (see document TWC/33/30 “Report”, paragraphs 62 to 64).</w:t>
      </w:r>
    </w:p>
    <w:p w:rsidR="00822D20" w:rsidRDefault="00822D20" w:rsidP="00822D20"/>
    <w:p w:rsidR="00822D20" w:rsidRPr="00FE4CA8" w:rsidRDefault="00822D20" w:rsidP="00B97838">
      <w:pPr>
        <w:pStyle w:val="Heading3"/>
      </w:pPr>
      <w:bookmarkStart w:id="20" w:name="_Toc440985321"/>
      <w:r w:rsidRPr="00FE4CA8">
        <w:t>Matters concerning variety descriptions</w:t>
      </w:r>
      <w:bookmarkEnd w:id="20"/>
    </w:p>
    <w:p w:rsidR="00822D20" w:rsidRPr="00340C7C" w:rsidRDefault="00822D20" w:rsidP="00822D20">
      <w:pPr>
        <w:keepNext/>
      </w:pPr>
    </w:p>
    <w:p w:rsidR="00822D20" w:rsidRPr="00822D20" w:rsidRDefault="00822D20" w:rsidP="00822D20">
      <w:pPr>
        <w:keepNext/>
      </w:pPr>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generated in DUS examination and noted that in some UPOV members the variety descriptions were generated by the authority while in others the variety descriptions were generated by the breeders.</w:t>
      </w:r>
    </w:p>
    <w:p w:rsidR="00822D20" w:rsidRPr="00822D20" w:rsidRDefault="00822D20" w:rsidP="00822D20"/>
    <w:p w:rsidR="00822D20" w:rsidRPr="00822D20"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used after the granting of a breeders</w:t>
      </w:r>
      <w:r w:rsidR="00254EB4">
        <w:t>’</w:t>
      </w:r>
      <w:r w:rsidRPr="00822D20">
        <w:t xml:space="preserve"> right and noted that </w:t>
      </w:r>
      <w:r w:rsidRPr="00822D20">
        <w:rPr>
          <w:lang w:eastAsia="ja-JP"/>
        </w:rPr>
        <w:t>Brazil</w:t>
      </w:r>
      <w:r w:rsidRPr="00822D20">
        <w:t xml:space="preserve"> used the variety descriptions to verify the maintenance of varieties, in particular for QL and PQ characteristics.  The TWC noted that in many countries additional information could be added to databases of variety descriptions to complement information on a variety</w:t>
      </w:r>
      <w:r w:rsidRPr="00822D20">
        <w:rPr>
          <w:rFonts w:hint="eastAsia"/>
          <w:lang w:eastAsia="ja-JP"/>
        </w:rPr>
        <w:t xml:space="preserve">.  </w:t>
      </w:r>
      <w:r w:rsidRPr="00822D20">
        <w:t xml:space="preserve">The TWC noted that in Germany the </w:t>
      </w:r>
      <w:r w:rsidRPr="00822D20">
        <w:rPr>
          <w:rFonts w:hint="eastAsia"/>
          <w:lang w:eastAsia="ja-JP"/>
        </w:rPr>
        <w:t xml:space="preserve">variety </w:t>
      </w:r>
      <w:r w:rsidRPr="00822D20">
        <w:t>description had been</w:t>
      </w:r>
      <w:r w:rsidRPr="00822D20">
        <w:rPr>
          <w:rFonts w:hint="eastAsia"/>
          <w:lang w:eastAsia="ja-JP"/>
        </w:rPr>
        <w:t xml:space="preserve"> stored as a </w:t>
      </w:r>
      <w:r w:rsidRPr="00822D20">
        <w:rPr>
          <w:lang w:eastAsia="ja-JP"/>
        </w:rPr>
        <w:t>file</w:t>
      </w:r>
      <w:r w:rsidRPr="00822D20">
        <w:rPr>
          <w:rFonts w:hint="eastAsia"/>
          <w:lang w:eastAsia="ja-JP"/>
        </w:rPr>
        <w:t xml:space="preserve">.  There </w:t>
      </w:r>
      <w:r w:rsidRPr="00822D20">
        <w:rPr>
          <w:lang w:eastAsia="ja-JP"/>
        </w:rPr>
        <w:t>were</w:t>
      </w:r>
      <w:r w:rsidRPr="00822D20">
        <w:rPr>
          <w:rFonts w:hint="eastAsia"/>
          <w:lang w:eastAsia="ja-JP"/>
        </w:rPr>
        <w:t xml:space="preserve"> possibilities to transform the data </w:t>
      </w:r>
      <w:r w:rsidRPr="00822D20">
        <w:rPr>
          <w:lang w:eastAsia="ja-JP"/>
        </w:rPr>
        <w:t xml:space="preserve">of the variety description </w:t>
      </w:r>
      <w:r w:rsidRPr="00822D20">
        <w:rPr>
          <w:rFonts w:hint="eastAsia"/>
          <w:lang w:eastAsia="ja-JP"/>
        </w:rPr>
        <w:t xml:space="preserve">into a new scale </w:t>
      </w:r>
      <w:r w:rsidRPr="00822D20">
        <w:rPr>
          <w:lang w:eastAsia="ja-JP"/>
        </w:rPr>
        <w:t xml:space="preserve">in the database </w:t>
      </w:r>
      <w:r w:rsidRPr="00822D20">
        <w:rPr>
          <w:rFonts w:hint="eastAsia"/>
          <w:lang w:eastAsia="ja-JP"/>
        </w:rPr>
        <w:t xml:space="preserve">in case of </w:t>
      </w:r>
      <w:r w:rsidRPr="00822D20">
        <w:rPr>
          <w:lang w:eastAsia="ja-JP"/>
        </w:rPr>
        <w:t>change</w:t>
      </w:r>
      <w:r w:rsidRPr="00822D20">
        <w:rPr>
          <w:rFonts w:hint="eastAsia"/>
          <w:lang w:eastAsia="ja-JP"/>
        </w:rPr>
        <w:t xml:space="preserve"> of </w:t>
      </w:r>
      <w:r w:rsidRPr="00822D20">
        <w:rPr>
          <w:lang w:eastAsia="ja-JP"/>
        </w:rPr>
        <w:t>Technical Guidelines.</w:t>
      </w:r>
      <w:r w:rsidRPr="00822D20">
        <w:t xml:space="preserve">  The TWC also noted that in Germany when characteristics could not be transformed, a new characteristic could be added to the database. </w:t>
      </w:r>
    </w:p>
    <w:p w:rsidR="00822D20" w:rsidRPr="00822D20" w:rsidRDefault="00822D20" w:rsidP="00822D20">
      <w:pPr>
        <w:rPr>
          <w:lang w:eastAsia="ja-JP"/>
        </w:rPr>
      </w:pPr>
    </w:p>
    <w:p w:rsidR="00822D20" w:rsidRPr="00340C7C" w:rsidRDefault="00822D20" w:rsidP="00822D20">
      <w:r w:rsidRPr="00822D20">
        <w:fldChar w:fldCharType="begin"/>
      </w:r>
      <w:r w:rsidRPr="00822D20">
        <w:instrText xml:space="preserve"> AUTONUM  </w:instrText>
      </w:r>
      <w:r w:rsidRPr="00822D20">
        <w:fldChar w:fldCharType="end"/>
      </w:r>
      <w:r w:rsidRPr="00822D20">
        <w:tab/>
        <w:t xml:space="preserve">The TWC considered the experiences presented by experts with regard to the role of the plant material used as the basis for the DUS examination and noted that in some members, such as the Netherlands, the plant material was considered to represent the variety while its description had limited value </w:t>
      </w:r>
      <w:r w:rsidRPr="00822D20">
        <w:lastRenderedPageBreak/>
        <w:t>only.  The TWC noted that in some members the variety description could change and that other descriptions</w:t>
      </w:r>
      <w:r w:rsidRPr="00340C7C">
        <w:t xml:space="preserve"> of the same variety could be added to the database without changing the original variety description.  The TWC also noted that in Argentina the variety description could only be changed </w:t>
      </w:r>
      <w:r>
        <w:t xml:space="preserve">if </w:t>
      </w:r>
      <w:r w:rsidRPr="00340C7C">
        <w:t>the variety was</w:t>
      </w:r>
      <w:r>
        <w:t xml:space="preserve"> not</w:t>
      </w:r>
      <w:r w:rsidRPr="00340C7C">
        <w:t xml:space="preserve"> commercialized and that in Brazil it could not be changed</w:t>
      </w:r>
      <w:r>
        <w:t xml:space="preserve"> after the title is granted </w:t>
      </w:r>
      <w:r w:rsidRPr="00D34DF2">
        <w:t>(see document</w:t>
      </w:r>
      <w:r w:rsidR="00B97838">
        <w:t> </w:t>
      </w:r>
      <w:r w:rsidRPr="00D34DF2">
        <w:t>TWC/33/30</w:t>
      </w:r>
      <w:r w:rsidR="00B97838">
        <w:t> </w:t>
      </w:r>
      <w:r w:rsidRPr="00D34DF2">
        <w:t>“Report”, paragraphs 6</w:t>
      </w:r>
      <w:r>
        <w:t>5</w:t>
      </w:r>
      <w:r w:rsidRPr="00D34DF2">
        <w:t xml:space="preserve"> to 6</w:t>
      </w:r>
      <w:r>
        <w:t>7</w:t>
      </w:r>
      <w:r w:rsidRPr="00D34DF2">
        <w:t>)</w:t>
      </w:r>
      <w:r w:rsidRPr="00340C7C">
        <w:t>.</w:t>
      </w:r>
    </w:p>
    <w:p w:rsidR="00822D20" w:rsidRPr="00D34DF2" w:rsidRDefault="00822D20" w:rsidP="00822D20"/>
    <w:p w:rsidR="00822D20" w:rsidRPr="00D34DF2" w:rsidRDefault="00822D20" w:rsidP="00B97838">
      <w:pPr>
        <w:pStyle w:val="Heading2"/>
      </w:pPr>
      <w:bookmarkStart w:id="21" w:name="_Toc440299523"/>
      <w:bookmarkStart w:id="22" w:name="_Toc440377319"/>
      <w:bookmarkStart w:id="23" w:name="_Toc440985322"/>
      <w:r w:rsidRPr="00D34DF2">
        <w:t>Technical Working Party for Agricultural Crops</w:t>
      </w:r>
      <w:bookmarkEnd w:id="21"/>
      <w:bookmarkEnd w:id="22"/>
      <w:bookmarkEnd w:id="23"/>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r>
      <w:r w:rsidRPr="00D34DF2">
        <w:rPr>
          <w:snapToGrid w:val="0"/>
        </w:rPr>
        <w:t xml:space="preserve">The TWA, at its forty-forth session, held in </w:t>
      </w:r>
      <w:proofErr w:type="spellStart"/>
      <w:r w:rsidRPr="00D34DF2">
        <w:rPr>
          <w:snapToGrid w:val="0"/>
        </w:rPr>
        <w:t>Obihiro</w:t>
      </w:r>
      <w:proofErr w:type="spellEnd"/>
      <w:r w:rsidRPr="00D34DF2">
        <w:rPr>
          <w:snapToGrid w:val="0"/>
        </w:rPr>
        <w:t xml:space="preserve">, Japan, from July 6 to 10, 2015, considered document TWA/44/10 </w:t>
      </w:r>
      <w:r w:rsidRPr="00D34DF2">
        <w:t>“Matters concerning variety descriptions”</w:t>
      </w:r>
      <w:r w:rsidR="00B97838">
        <w:t xml:space="preserve"> </w:t>
      </w:r>
      <w:r w:rsidR="00B97838" w:rsidRPr="00D34DF2">
        <w:t>(see document TWA/4</w:t>
      </w:r>
      <w:r w:rsidR="00F064A0">
        <w:t>4</w:t>
      </w:r>
      <w:r w:rsidR="00B97838" w:rsidRPr="00D34DF2">
        <w:t>/23 “Report”, paragraphs 56 to 58)</w:t>
      </w:r>
      <w:r w:rsidRPr="00D34DF2">
        <w:t>.</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TWA noted the experience of the European Union examination offices that, for agricultural crops, a standard sample of the plant material submitted for DUS examination was usually kept by the authority and would be used for verifying the maintenance of the variety against the material provided by the breeder.</w:t>
      </w:r>
    </w:p>
    <w:p w:rsidR="00822D20" w:rsidRPr="00D34DF2" w:rsidRDefault="00822D20" w:rsidP="00822D20"/>
    <w:p w:rsidR="00822D20" w:rsidRDefault="00822D20" w:rsidP="00822D20">
      <w:pPr>
        <w:tabs>
          <w:tab w:val="left" w:pos="567"/>
          <w:tab w:val="left" w:pos="5954"/>
        </w:tabs>
      </w:pPr>
      <w:r w:rsidRPr="00D34DF2">
        <w:fldChar w:fldCharType="begin"/>
      </w:r>
      <w:r w:rsidRPr="00D34DF2">
        <w:instrText xml:space="preserve"> AUTONUM  </w:instrText>
      </w:r>
      <w:r w:rsidRPr="00D34DF2">
        <w:fldChar w:fldCharType="end"/>
      </w:r>
      <w:r w:rsidRPr="00D34DF2">
        <w:tab/>
        <w:t>The TWA agreed to invite Australia, the European Union and Germany to make a presentation on matters concerning variety descriptions at its forty-fifth session, to be held in 2016.</w:t>
      </w:r>
    </w:p>
    <w:p w:rsidR="00822D20" w:rsidRDefault="00822D20" w:rsidP="00822D20"/>
    <w:p w:rsidR="00822D20" w:rsidRPr="00AA56DF" w:rsidRDefault="00822D20" w:rsidP="00B97838">
      <w:pPr>
        <w:pStyle w:val="Heading2"/>
      </w:pPr>
      <w:bookmarkStart w:id="24" w:name="_Toc440299524"/>
      <w:bookmarkStart w:id="25" w:name="_Toc440377320"/>
      <w:bookmarkStart w:id="26" w:name="_Toc440985323"/>
      <w:r>
        <w:t>Technical Working Party for Fruit Crops</w:t>
      </w:r>
      <w:bookmarkEnd w:id="24"/>
      <w:bookmarkEnd w:id="25"/>
      <w:bookmarkEnd w:id="26"/>
    </w:p>
    <w:p w:rsidR="00822D20" w:rsidRDefault="00822D20" w:rsidP="00822D20"/>
    <w:p w:rsidR="00822D20" w:rsidRPr="00212ED6" w:rsidRDefault="00822D20" w:rsidP="00822D20">
      <w:r>
        <w:fldChar w:fldCharType="begin"/>
      </w:r>
      <w:r>
        <w:instrText xml:space="preserve"> AUTONUM  </w:instrText>
      </w:r>
      <w:r>
        <w:fldChar w:fldCharType="end"/>
      </w:r>
      <w:r>
        <w:tab/>
      </w:r>
      <w:r w:rsidRPr="008E5149">
        <w:rPr>
          <w:snapToGrid w:val="0"/>
        </w:rPr>
        <w:t>The TW</w:t>
      </w:r>
      <w:r>
        <w:rPr>
          <w:snapToGrid w:val="0"/>
        </w:rPr>
        <w:t>F, at its forty-sixth session, held in Mpumalanga, South Africa, from August 24 to 28, 2015,</w:t>
      </w:r>
      <w:r w:rsidRPr="008E5149">
        <w:rPr>
          <w:snapToGrid w:val="0"/>
        </w:rPr>
        <w:t xml:space="preserve"> considered </w:t>
      </w:r>
      <w:r>
        <w:rPr>
          <w:snapToGrid w:val="0"/>
        </w:rPr>
        <w:t xml:space="preserve">document TWF/46/10 </w:t>
      </w:r>
      <w:r>
        <w:t>“Matters concerning variety descriptions”</w:t>
      </w:r>
      <w:r w:rsidR="00B97838" w:rsidRPr="00B97838">
        <w:t xml:space="preserve"> </w:t>
      </w:r>
      <w:r w:rsidR="00B97838">
        <w:t>(see document TWF/46/29 “R</w:t>
      </w:r>
      <w:r w:rsidR="00F064A0">
        <w:t>evised R</w:t>
      </w:r>
      <w:r w:rsidR="00B97838">
        <w:t>eport”, paragraphs 64 and 65)</w:t>
      </w:r>
      <w:r w:rsidRPr="00212ED6">
        <w:t>.</w:t>
      </w:r>
    </w:p>
    <w:p w:rsidR="00822D20" w:rsidRPr="00212ED6" w:rsidRDefault="00822D20" w:rsidP="00822D20"/>
    <w:p w:rsidR="00822D20" w:rsidRDefault="00822D20" w:rsidP="00822D20">
      <w:r>
        <w:fldChar w:fldCharType="begin"/>
      </w:r>
      <w:r>
        <w:instrText xml:space="preserve"> AUTONUM  </w:instrText>
      </w:r>
      <w:r>
        <w:fldChar w:fldCharType="end"/>
      </w:r>
      <w:r>
        <w:tab/>
      </w:r>
      <w:r w:rsidRPr="00212ED6">
        <w:t xml:space="preserve">The TWF agreed that the plant material used as the basis for DUS examination was representative of the protected variety.  The TWF agreed that, whenever possible, authorities should maintain a reference sample of the plant material of a protected variety.  The TWF agreed that the description of a variety </w:t>
      </w:r>
      <w:r>
        <w:t xml:space="preserve">had limitations </w:t>
      </w:r>
      <w:r w:rsidRPr="00212ED6">
        <w:t>due to its link to the circumstances of the DUS examination but was an important element of the plant variety protection system and a useful tool for the analysis of distinctness</w:t>
      </w:r>
      <w:r>
        <w:t>.</w:t>
      </w:r>
    </w:p>
    <w:p w:rsidR="00822D20" w:rsidRDefault="00822D20" w:rsidP="00822D20"/>
    <w:p w:rsidR="00822D20" w:rsidRDefault="00822D20" w:rsidP="00B97838">
      <w:pPr>
        <w:pStyle w:val="Heading2"/>
      </w:pPr>
      <w:bookmarkStart w:id="27" w:name="_Toc440299525"/>
      <w:bookmarkStart w:id="28" w:name="_Toc440377321"/>
      <w:bookmarkStart w:id="29" w:name="_Toc440985324"/>
      <w:r>
        <w:t>Technical Working Party on Ornamental Plants</w:t>
      </w:r>
      <w:bookmarkEnd w:id="27"/>
      <w:bookmarkEnd w:id="28"/>
      <w:bookmarkEnd w:id="29"/>
    </w:p>
    <w:p w:rsidR="00822D20" w:rsidRDefault="00822D20" w:rsidP="00822D20"/>
    <w:p w:rsidR="00822D20" w:rsidRPr="002B4CFF" w:rsidRDefault="00822D20" w:rsidP="00822D20">
      <w:r>
        <w:fldChar w:fldCharType="begin"/>
      </w:r>
      <w:r>
        <w:instrText xml:space="preserve"> AUTONUM  </w:instrText>
      </w:r>
      <w:r>
        <w:fldChar w:fldCharType="end"/>
      </w:r>
      <w:r>
        <w:tab/>
      </w:r>
      <w:r w:rsidRPr="008E5149">
        <w:rPr>
          <w:snapToGrid w:val="0"/>
        </w:rPr>
        <w:t>The TW</w:t>
      </w:r>
      <w:r>
        <w:rPr>
          <w:snapToGrid w:val="0"/>
        </w:rPr>
        <w:t>O, at its forty-eighth session, held in Cambridge, United Kingdom, from September 14 to 18, 2015,</w:t>
      </w:r>
      <w:r w:rsidRPr="008E5149">
        <w:rPr>
          <w:snapToGrid w:val="0"/>
        </w:rPr>
        <w:t xml:space="preserve"> considered </w:t>
      </w:r>
      <w:r>
        <w:rPr>
          <w:snapToGrid w:val="0"/>
        </w:rPr>
        <w:t xml:space="preserve">document TWO/48/10 </w:t>
      </w:r>
      <w:r>
        <w:t>“Matters concerning variety descriptions”</w:t>
      </w:r>
      <w:r w:rsidR="00B97838">
        <w:t xml:space="preserve"> </w:t>
      </w:r>
      <w:r w:rsidR="00B97838" w:rsidRPr="00ED062B">
        <w:t>(see document</w:t>
      </w:r>
      <w:r w:rsidR="003076E5">
        <w:t> </w:t>
      </w:r>
      <w:r w:rsidR="00B97838" w:rsidRPr="00ED062B">
        <w:t>TWO/48/26</w:t>
      </w:r>
      <w:r w:rsidR="00B97838">
        <w:t xml:space="preserve"> “Repo</w:t>
      </w:r>
      <w:bookmarkStart w:id="30" w:name="_GoBack"/>
      <w:bookmarkEnd w:id="30"/>
      <w:r w:rsidR="00B97838">
        <w:t>rt”, paragraphs 60 to 69)</w:t>
      </w:r>
      <w:r w:rsidRPr="002B4CFF">
        <w:t>.</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considered the use of Test Guidelines for verifying the maintenance of the variety where the version of the Test Guidelines was different from the Test Guidelines used for the examination of DUS.  It</w:t>
      </w:r>
      <w:r>
        <w:t> noted</w:t>
      </w:r>
      <w:r w:rsidRPr="002B4CFF">
        <w:t xml:space="preserve"> that, in many cases, different versions of Test Guidelines were still </w:t>
      </w:r>
      <w:r>
        <w:t xml:space="preserve">useful </w:t>
      </w:r>
      <w:r w:rsidRPr="002B4CFF">
        <w:t>for verifying the maintenance of a variety, because many characteristics and states of expression would be</w:t>
      </w:r>
      <w:r>
        <w:t xml:space="preserve"> essentially</w:t>
      </w:r>
      <w:r w:rsidRPr="002B4CFF">
        <w:t xml:space="preserve"> the same. </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in the United Kingdom, the same version of the Test Guidelines used for the examination of DUS was used for verifying the maintenance of the variety.</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Germany and the Netherlands used data generated during the examination of DUS and additional information, such as photographs, to verify maintenance of a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t xml:space="preserve">The TWO noted that in some members, in litigation cases, there were ongoing discussions on access and ownership of plant material that was not maintained by the </w:t>
      </w:r>
      <w:r>
        <w:t>a</w:t>
      </w:r>
      <w:r w:rsidRPr="002B4CFF">
        <w:t xml:space="preserve">uthority and agreed that verification of conformity was more difficult when the </w:t>
      </w:r>
      <w:r>
        <w:t>a</w:t>
      </w:r>
      <w:r w:rsidRPr="002B4CFF">
        <w:t>uthority did not maintain a standard sample of the material used for DUS examination</w:t>
      </w:r>
      <w:r>
        <w:t>.</w:t>
      </w:r>
    </w:p>
    <w:p w:rsidR="00822D20" w:rsidRDefault="00822D20" w:rsidP="00822D20">
      <w:pPr>
        <w:tabs>
          <w:tab w:val="left" w:pos="567"/>
        </w:tabs>
      </w:pPr>
    </w:p>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in Germany, new plant material </w:t>
      </w:r>
      <w:r>
        <w:t>of protected varieties would be</w:t>
      </w:r>
      <w:r w:rsidRPr="002B4CFF">
        <w:t xml:space="preserve"> requested from breeders for </w:t>
      </w:r>
      <w:r>
        <w:t xml:space="preserve">establishing distinctness in relation to candidate </w:t>
      </w:r>
      <w:r w:rsidRPr="002B4CFF">
        <w:t xml:space="preserve">varieties </w:t>
      </w:r>
      <w:r>
        <w:t xml:space="preserve">in species with no living variety collection.  The plant material submitted would be </w:t>
      </w:r>
      <w:r w:rsidRPr="002B4CFF">
        <w:t xml:space="preserve">verified for </w:t>
      </w:r>
      <w:r>
        <w:t>maintenance of the variety</w:t>
      </w:r>
      <w:r w:rsidRPr="002B4CFF">
        <w:t xml:space="preserve">.  </w:t>
      </w:r>
    </w:p>
    <w:p w:rsidR="00822D20" w:rsidRPr="002B4CFF" w:rsidRDefault="00822D20" w:rsidP="00822D20">
      <w:pPr>
        <w:tabs>
          <w:tab w:val="left" w:pos="5387"/>
          <w:tab w:val="left" w:pos="5954"/>
        </w:tabs>
      </w:pPr>
    </w:p>
    <w:p w:rsidR="00822D20" w:rsidRPr="002B4CFF" w:rsidRDefault="00822D20" w:rsidP="00822D20">
      <w:pPr>
        <w:tabs>
          <w:tab w:val="left" w:pos="567"/>
          <w:tab w:val="left" w:pos="5954"/>
        </w:tabs>
      </w:pPr>
      <w:r w:rsidRPr="002B4CFF">
        <w:fldChar w:fldCharType="begin"/>
      </w:r>
      <w:r w:rsidRPr="002B4CFF">
        <w:instrText xml:space="preserve"> AUTONUM  </w:instrText>
      </w:r>
      <w:r w:rsidRPr="002B4CFF">
        <w:fldChar w:fldCharType="end"/>
      </w:r>
      <w:r w:rsidRPr="002B4CFF">
        <w:tab/>
        <w:t xml:space="preserve">The TWO noted that, in New Zealand, the verification of maintenance </w:t>
      </w:r>
      <w:r>
        <w:t>could be</w:t>
      </w:r>
      <w:r w:rsidRPr="002B4CFF">
        <w:t xml:space="preserve"> conducted when growing a variety</w:t>
      </w:r>
      <w:r w:rsidRPr="002B4CFF">
        <w:rPr>
          <w:i/>
        </w:rPr>
        <w:t xml:space="preserve"> </w:t>
      </w:r>
      <w:r w:rsidRPr="002B4CFF">
        <w:t>for comparison during the examination of DUS of other varieties.</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for ornamental plants, it was not always possible or feasible for </w:t>
      </w:r>
      <w:r>
        <w:t>a</w:t>
      </w:r>
      <w:r w:rsidRPr="002B4CFF">
        <w:t xml:space="preserve">uthorities to maintain a living plant material collection for DUS examination purposes and noted that, in such </w:t>
      </w:r>
      <w:r w:rsidRPr="002B4CFF">
        <w:lastRenderedPageBreak/>
        <w:t xml:space="preserve">circumstances, the variety descriptions generated from the DUS examination were used for </w:t>
      </w:r>
      <w:r>
        <w:t xml:space="preserve">selecting similar varieties for </w:t>
      </w:r>
      <w:r w:rsidRPr="002B4CFF">
        <w:t xml:space="preserve">examining distinctness of candidate varieties.  </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CIOPORA explained that variety descriptions were important for the enforcement of breeders</w:t>
      </w:r>
      <w:r w:rsidR="00254EB4">
        <w:t>’</w:t>
      </w:r>
      <w:r w:rsidRPr="002B4CFF">
        <w:t xml:space="preserve"> rights and were frequently challenged when seeking to determine if plant material in question was of the protected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r>
      <w:r w:rsidRPr="002B4CFF">
        <w:rPr>
          <w:rFonts w:eastAsia="SimSun"/>
        </w:rPr>
        <w:t xml:space="preserve">The TWO agreed to invite Australia, </w:t>
      </w:r>
      <w:r>
        <w:rPr>
          <w:rFonts w:eastAsia="SimSun"/>
        </w:rPr>
        <w:t xml:space="preserve">the </w:t>
      </w:r>
      <w:r w:rsidRPr="002B4CFF">
        <w:rPr>
          <w:rFonts w:eastAsia="SimSun"/>
        </w:rPr>
        <w:t xml:space="preserve">European Union, Germany and </w:t>
      </w:r>
      <w:r>
        <w:rPr>
          <w:rFonts w:eastAsia="SimSun"/>
        </w:rPr>
        <w:t xml:space="preserve">the </w:t>
      </w:r>
      <w:r w:rsidRPr="002B4CFF">
        <w:rPr>
          <w:rFonts w:eastAsia="SimSun"/>
        </w:rPr>
        <w:t xml:space="preserve">Netherlands </w:t>
      </w:r>
      <w:r w:rsidRPr="002B4CFF">
        <w:t>to make a presentation on matters concerning variety descriptions at its forty-ninth session, to be held in 2016</w:t>
      </w:r>
      <w:r>
        <w:t>.</w:t>
      </w:r>
    </w:p>
    <w:p w:rsidR="00822D20" w:rsidRPr="000B7667" w:rsidRDefault="00822D20" w:rsidP="0055179D">
      <w:pPr>
        <w:rPr>
          <w:rFonts w:cs="Arial"/>
        </w:rPr>
      </w:pPr>
    </w:p>
    <w:p w:rsidR="0055179D" w:rsidRPr="00D476C2" w:rsidRDefault="0055179D" w:rsidP="005F22C0">
      <w:pPr>
        <w:pStyle w:val="DecisionParagraphs"/>
        <w:tabs>
          <w:tab w:val="left" w:pos="5954"/>
          <w:tab w:val="left" w:pos="6521"/>
        </w:tabs>
      </w:pPr>
      <w:r w:rsidRPr="00D476C2">
        <w:fldChar w:fldCharType="begin"/>
      </w:r>
      <w:r w:rsidRPr="00D476C2">
        <w:instrText xml:space="preserve"> AUTONUM  </w:instrText>
      </w:r>
      <w:r w:rsidRPr="00D476C2">
        <w:fldChar w:fldCharType="end"/>
      </w:r>
      <w:r w:rsidRPr="00D476C2">
        <w:tab/>
        <w:t xml:space="preserve">The </w:t>
      </w:r>
      <w:r w:rsidR="00D476C2" w:rsidRPr="00D476C2">
        <w:t>TC</w:t>
      </w:r>
      <w:r w:rsidRPr="00D476C2">
        <w:t xml:space="preserve"> is invited to:</w:t>
      </w:r>
    </w:p>
    <w:p w:rsidR="00D476C2" w:rsidRPr="00D476C2" w:rsidRDefault="00D476C2" w:rsidP="005F22C0">
      <w:pPr>
        <w:pStyle w:val="DecisionParagraphs"/>
        <w:tabs>
          <w:tab w:val="left" w:pos="5954"/>
          <w:tab w:val="left" w:pos="6521"/>
        </w:tabs>
      </w:pPr>
    </w:p>
    <w:p w:rsidR="00C334C6" w:rsidRDefault="00015F74" w:rsidP="005F22C0">
      <w:pPr>
        <w:pStyle w:val="DecisionParagraphs"/>
        <w:tabs>
          <w:tab w:val="left" w:pos="5954"/>
          <w:tab w:val="left" w:pos="6521"/>
        </w:tabs>
      </w:pPr>
      <w:r>
        <w:tab/>
        <w:t>(a)</w:t>
      </w:r>
      <w:r>
        <w:tab/>
      </w:r>
      <w:proofErr w:type="gramStart"/>
      <w:r w:rsidR="00D476C2" w:rsidRPr="00D476C2">
        <w:t>note</w:t>
      </w:r>
      <w:proofErr w:type="gramEnd"/>
      <w:r w:rsidR="00D476C2" w:rsidRPr="00D476C2">
        <w:t xml:space="preserve"> that the CAJ, at its seventy-first session, endorsed the conclusion of the CAJ-AG, at its ninth session, on the</w:t>
      </w:r>
      <w:r w:rsidR="00C334C6">
        <w:t>:</w:t>
      </w:r>
    </w:p>
    <w:p w:rsidR="00C334C6" w:rsidRDefault="00C334C6" w:rsidP="005F22C0">
      <w:pPr>
        <w:pStyle w:val="DecisionParagraphs"/>
        <w:tabs>
          <w:tab w:val="left" w:pos="5954"/>
          <w:tab w:val="left" w:pos="6521"/>
        </w:tabs>
      </w:pPr>
    </w:p>
    <w:p w:rsidR="00D476C2" w:rsidRPr="00254EB4" w:rsidRDefault="00C334C6" w:rsidP="005F22C0">
      <w:pPr>
        <w:pStyle w:val="DecisionParagraphs"/>
        <w:tabs>
          <w:tab w:val="left" w:pos="5954"/>
          <w:tab w:val="left" w:pos="6521"/>
        </w:tabs>
      </w:pPr>
      <w:r>
        <w:tab/>
      </w:r>
      <w:r>
        <w:tab/>
        <w:t>(</w:t>
      </w:r>
      <w:proofErr w:type="spellStart"/>
      <w:r>
        <w:t>i</w:t>
      </w:r>
      <w:proofErr w:type="spellEnd"/>
      <w:r>
        <w:t>)</w:t>
      </w:r>
      <w:r w:rsidR="00254EB4">
        <w:tab/>
      </w:r>
      <w:proofErr w:type="gramStart"/>
      <w:r w:rsidR="00D476C2" w:rsidRPr="00D476C2">
        <w:t>purpose</w:t>
      </w:r>
      <w:proofErr w:type="gramEnd"/>
      <w:r w:rsidR="00D476C2" w:rsidRPr="00D476C2">
        <w:t xml:space="preserve"> of the variety description developed at the time of the granted of the breeder</w:t>
      </w:r>
      <w:r w:rsidR="00254EB4">
        <w:t>’</w:t>
      </w:r>
      <w:r w:rsidR="00D476C2" w:rsidRPr="00D476C2">
        <w:t xml:space="preserve">s </w:t>
      </w:r>
      <w:r w:rsidR="00D476C2" w:rsidRPr="00254EB4">
        <w:t>right (original variety description)</w:t>
      </w:r>
      <w:r w:rsidR="002B17EF" w:rsidRPr="00254EB4">
        <w:t>, as set out in paragraph 1</w:t>
      </w:r>
      <w:r w:rsidR="00917B74" w:rsidRPr="00254EB4">
        <w:t>2</w:t>
      </w:r>
      <w:r w:rsidR="002B17EF" w:rsidRPr="00254EB4">
        <w:t xml:space="preserve"> of this document;</w:t>
      </w:r>
      <w:r w:rsidRPr="00254EB4">
        <w:t xml:space="preserve"> and</w:t>
      </w:r>
    </w:p>
    <w:p w:rsidR="002B17EF" w:rsidRPr="00254EB4" w:rsidRDefault="002B17EF" w:rsidP="005F22C0">
      <w:pPr>
        <w:pStyle w:val="DecisionParagraphs"/>
        <w:tabs>
          <w:tab w:val="left" w:pos="5954"/>
          <w:tab w:val="left" w:pos="6521"/>
        </w:tabs>
      </w:pPr>
    </w:p>
    <w:p w:rsidR="002B17EF" w:rsidRPr="00254EB4" w:rsidRDefault="00015F74" w:rsidP="005F22C0">
      <w:pPr>
        <w:pStyle w:val="DecisionParagraphs"/>
        <w:tabs>
          <w:tab w:val="left" w:pos="5954"/>
          <w:tab w:val="left" w:pos="6521"/>
        </w:tabs>
      </w:pPr>
      <w:r w:rsidRPr="00254EB4">
        <w:tab/>
      </w:r>
      <w:r w:rsidR="00C334C6" w:rsidRPr="00254EB4">
        <w:tab/>
      </w:r>
      <w:r w:rsidRPr="00254EB4">
        <w:t>(</w:t>
      </w:r>
      <w:r w:rsidR="00254EB4" w:rsidRPr="00254EB4">
        <w:t>ii)</w:t>
      </w:r>
      <w:r w:rsidR="00254EB4" w:rsidRPr="00254EB4">
        <w:tab/>
      </w:r>
      <w:r w:rsidR="002B17EF" w:rsidRPr="00254EB4">
        <w:t>status of the original variety description in relation to the verification of the conformity of plant material to a protected variety for enforcement of the breeder</w:t>
      </w:r>
      <w:r w:rsidR="00254EB4" w:rsidRPr="00254EB4">
        <w:t>’</w:t>
      </w:r>
      <w:r w:rsidR="002B17EF" w:rsidRPr="00254EB4">
        <w:t>s right, as set out in paragraph 1</w:t>
      </w:r>
      <w:r w:rsidR="00917B74" w:rsidRPr="00254EB4">
        <w:t>3</w:t>
      </w:r>
      <w:r w:rsidR="002B17EF" w:rsidRPr="00254EB4">
        <w:t xml:space="preserve"> of this document;</w:t>
      </w:r>
    </w:p>
    <w:p w:rsidR="008B44BD" w:rsidRPr="00254EB4" w:rsidRDefault="008B44BD" w:rsidP="005F22C0">
      <w:pPr>
        <w:pStyle w:val="DecisionParagraphs"/>
        <w:tabs>
          <w:tab w:val="left" w:pos="5954"/>
          <w:tab w:val="left" w:pos="6521"/>
        </w:tabs>
      </w:pPr>
    </w:p>
    <w:p w:rsidR="008B44BD" w:rsidRPr="00254EB4" w:rsidRDefault="00015F74" w:rsidP="005F22C0">
      <w:pPr>
        <w:pStyle w:val="DecisionParagraphs"/>
        <w:tabs>
          <w:tab w:val="left" w:pos="5954"/>
          <w:tab w:val="left" w:pos="6521"/>
        </w:tabs>
      </w:pPr>
      <w:r w:rsidRPr="00254EB4">
        <w:tab/>
        <w:t>(</w:t>
      </w:r>
      <w:r w:rsidR="00C334C6" w:rsidRPr="00254EB4">
        <w:t>b</w:t>
      </w:r>
      <w:r w:rsidRPr="00254EB4">
        <w:t>)</w:t>
      </w:r>
      <w:r w:rsidRPr="00254EB4">
        <w:tab/>
      </w:r>
      <w:proofErr w:type="gramStart"/>
      <w:r w:rsidR="008B44BD" w:rsidRPr="00254EB4">
        <w:t>note</w:t>
      </w:r>
      <w:proofErr w:type="gramEnd"/>
      <w:r w:rsidR="008B44BD" w:rsidRPr="00254EB4">
        <w:t xml:space="preserve"> the presentations </w:t>
      </w:r>
      <w:r w:rsidR="005C665E" w:rsidRPr="00254EB4">
        <w:t xml:space="preserve">on “matters concerning variety descriptions” </w:t>
      </w:r>
      <w:r w:rsidR="008B44BD" w:rsidRPr="00254EB4">
        <w:t xml:space="preserve">received by the TWPs, at their sessions in 2015, as </w:t>
      </w:r>
      <w:r w:rsidR="00917B74" w:rsidRPr="00254EB4">
        <w:t>set out in paragraph 17 of this document</w:t>
      </w:r>
      <w:r w:rsidR="005C665E" w:rsidRPr="00254EB4">
        <w:t>;</w:t>
      </w:r>
    </w:p>
    <w:p w:rsidR="0055179D" w:rsidRPr="00254EB4" w:rsidRDefault="0055179D" w:rsidP="005F22C0">
      <w:pPr>
        <w:pStyle w:val="DecisionParagraphs"/>
        <w:tabs>
          <w:tab w:val="left" w:pos="5954"/>
          <w:tab w:val="left" w:pos="6521"/>
        </w:tabs>
      </w:pPr>
    </w:p>
    <w:p w:rsidR="00250F46" w:rsidRPr="00254EB4" w:rsidRDefault="00015F74" w:rsidP="005F22C0">
      <w:pPr>
        <w:pStyle w:val="DecisionParagraphs"/>
        <w:tabs>
          <w:tab w:val="left" w:pos="5954"/>
          <w:tab w:val="left" w:pos="6521"/>
        </w:tabs>
      </w:pPr>
      <w:r w:rsidRPr="00254EB4">
        <w:tab/>
        <w:t>(</w:t>
      </w:r>
      <w:r w:rsidR="00C334C6" w:rsidRPr="00254EB4">
        <w:t>c</w:t>
      </w:r>
      <w:r w:rsidRPr="00254EB4">
        <w:t>)</w:t>
      </w:r>
      <w:r w:rsidRPr="00254EB4">
        <w:tab/>
      </w:r>
      <w:r w:rsidR="00917B74" w:rsidRPr="00254EB4">
        <w:t>note</w:t>
      </w:r>
      <w:r w:rsidR="00250F46" w:rsidRPr="00254EB4">
        <w:t xml:space="preserve"> </w:t>
      </w:r>
      <w:r w:rsidR="00BE4939" w:rsidRPr="00254EB4">
        <w:t xml:space="preserve">the comments by the TWPs, at their sessions in 2015, </w:t>
      </w:r>
      <w:r w:rsidR="00917B74" w:rsidRPr="00254EB4">
        <w:t>on matters concerning variety descriptions and the role of plant material used as the basis for the DUS examination</w:t>
      </w:r>
      <w:r w:rsidR="00250F46" w:rsidRPr="00254EB4">
        <w:t xml:space="preserve">, as set out </w:t>
      </w:r>
      <w:r w:rsidR="00BE4939" w:rsidRPr="00254EB4">
        <w:t>in</w:t>
      </w:r>
      <w:r w:rsidR="00250F46" w:rsidRPr="00254EB4">
        <w:t xml:space="preserve"> paragraphs </w:t>
      </w:r>
      <w:r w:rsidR="00BE4939" w:rsidRPr="00254EB4">
        <w:t>18</w:t>
      </w:r>
      <w:r w:rsidR="00250F46" w:rsidRPr="00254EB4">
        <w:t xml:space="preserve"> to 4</w:t>
      </w:r>
      <w:r w:rsidR="00BE4939" w:rsidRPr="00254EB4">
        <w:t>0</w:t>
      </w:r>
      <w:r w:rsidR="00250F46" w:rsidRPr="00254EB4">
        <w:t xml:space="preserve"> of this document;</w:t>
      </w:r>
      <w:r w:rsidR="00E25395" w:rsidRPr="00254EB4">
        <w:t xml:space="preserve"> and</w:t>
      </w:r>
    </w:p>
    <w:p w:rsidR="00250F46" w:rsidRPr="00254EB4" w:rsidRDefault="00250F46" w:rsidP="005F22C0">
      <w:pPr>
        <w:pStyle w:val="DecisionParagraphs"/>
        <w:tabs>
          <w:tab w:val="left" w:pos="5954"/>
          <w:tab w:val="left" w:pos="6521"/>
        </w:tabs>
      </w:pPr>
    </w:p>
    <w:p w:rsidR="0055179D" w:rsidRDefault="00015F74" w:rsidP="005F22C0">
      <w:pPr>
        <w:pStyle w:val="DecisionParagraphs"/>
        <w:tabs>
          <w:tab w:val="left" w:pos="5954"/>
          <w:tab w:val="left" w:pos="6521"/>
        </w:tabs>
        <w:rPr>
          <w:rFonts w:eastAsia="SimSun"/>
        </w:rPr>
      </w:pPr>
      <w:r w:rsidRPr="00254EB4">
        <w:tab/>
        <w:t>(</w:t>
      </w:r>
      <w:r w:rsidR="00C334C6" w:rsidRPr="00254EB4">
        <w:t>d</w:t>
      </w:r>
      <w:r w:rsidRPr="00254EB4">
        <w:t>)</w:t>
      </w:r>
      <w:r w:rsidRPr="00254EB4">
        <w:tab/>
      </w:r>
      <w:proofErr w:type="gramStart"/>
      <w:r w:rsidR="0017698D" w:rsidRPr="00254EB4">
        <w:t>consider</w:t>
      </w:r>
      <w:proofErr w:type="gramEnd"/>
      <w:r w:rsidR="0017698D" w:rsidRPr="00254EB4">
        <w:t xml:space="preserve"> </w:t>
      </w:r>
      <w:r w:rsidR="00C334C6" w:rsidRPr="00254EB4">
        <w:t xml:space="preserve">whether to invite experts to present to the TWPs, at their sessions in 2016, their experiences with regard to </w:t>
      </w:r>
      <w:r w:rsidR="0017698D" w:rsidRPr="00254EB4">
        <w:t>t</w:t>
      </w:r>
      <w:r w:rsidR="00BE4939" w:rsidRPr="00254EB4">
        <w:t xml:space="preserve">he role of plant material used as the basis for the DUS examination in relation to matters presented in paragraph </w:t>
      </w:r>
      <w:r w:rsidR="00682EEC" w:rsidRPr="00254EB4">
        <w:t>5</w:t>
      </w:r>
      <w:r w:rsidR="00BE4939" w:rsidRPr="00254EB4">
        <w:t xml:space="preserve"> of this document.</w:t>
      </w:r>
    </w:p>
    <w:p w:rsidR="00D22F83" w:rsidRDefault="00D22F83" w:rsidP="00254EB4">
      <w:pPr>
        <w:rPr>
          <w:rFonts w:eastAsia="SimSun"/>
        </w:rPr>
      </w:pPr>
    </w:p>
    <w:p w:rsidR="00254EB4" w:rsidRDefault="00254EB4" w:rsidP="00254EB4">
      <w:pPr>
        <w:rPr>
          <w:rFonts w:eastAsia="SimSun"/>
        </w:rPr>
      </w:pPr>
    </w:p>
    <w:p w:rsidR="00254EB4" w:rsidRDefault="00254EB4" w:rsidP="00254EB4">
      <w:pPr>
        <w:rPr>
          <w:rFonts w:eastAsia="SimSun"/>
        </w:rPr>
      </w:pPr>
    </w:p>
    <w:p w:rsidR="00254EB4" w:rsidRPr="00254EB4" w:rsidRDefault="00254EB4" w:rsidP="00254EB4">
      <w:pPr>
        <w:jc w:val="right"/>
        <w:rPr>
          <w:rFonts w:eastAsia="SimSun"/>
        </w:rPr>
      </w:pPr>
      <w:r>
        <w:rPr>
          <w:rFonts w:eastAsia="SimSun"/>
        </w:rPr>
        <w:t>[End of document]</w:t>
      </w:r>
    </w:p>
    <w:sectPr w:rsidR="00254EB4" w:rsidRPr="00254EB4" w:rsidSect="00254EB4">
      <w:headerReference w:type="default" r:id="rId1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EF" w:rsidRDefault="002B17EF" w:rsidP="006655D3">
      <w:r>
        <w:separator/>
      </w:r>
    </w:p>
    <w:p w:rsidR="002B17EF" w:rsidRDefault="002B17EF" w:rsidP="006655D3"/>
    <w:p w:rsidR="002B17EF" w:rsidRDefault="002B17EF" w:rsidP="006655D3"/>
  </w:endnote>
  <w:endnote w:type="continuationSeparator" w:id="0">
    <w:p w:rsidR="002B17EF" w:rsidRDefault="002B17EF" w:rsidP="006655D3">
      <w:r>
        <w:separator/>
      </w:r>
    </w:p>
    <w:p w:rsidR="002B17EF" w:rsidRPr="009154B0" w:rsidRDefault="002B17EF">
      <w:pPr>
        <w:pStyle w:val="Footer"/>
        <w:spacing w:after="60"/>
        <w:rPr>
          <w:sz w:val="18"/>
          <w:lang w:val="fr-FR"/>
        </w:rPr>
      </w:pPr>
      <w:r w:rsidRPr="009154B0">
        <w:rPr>
          <w:sz w:val="18"/>
          <w:lang w:val="fr-FR"/>
        </w:rPr>
        <w:t>[Suite de la note de la page précédente]</w:t>
      </w:r>
    </w:p>
    <w:p w:rsidR="002B17EF" w:rsidRPr="009154B0" w:rsidRDefault="002B17EF" w:rsidP="006655D3">
      <w:pPr>
        <w:rPr>
          <w:lang w:val="fr-FR"/>
        </w:rPr>
      </w:pPr>
    </w:p>
    <w:p w:rsidR="002B17EF" w:rsidRPr="009154B0" w:rsidRDefault="002B17EF" w:rsidP="006655D3">
      <w:pPr>
        <w:rPr>
          <w:lang w:val="fr-FR"/>
        </w:rPr>
      </w:pPr>
    </w:p>
  </w:endnote>
  <w:endnote w:type="continuationNotice" w:id="1">
    <w:p w:rsidR="002B17EF" w:rsidRPr="009154B0" w:rsidRDefault="002B17EF" w:rsidP="006655D3">
      <w:pPr>
        <w:rPr>
          <w:lang w:val="fr-FR"/>
        </w:rPr>
      </w:pPr>
      <w:r w:rsidRPr="009154B0">
        <w:rPr>
          <w:lang w:val="fr-FR"/>
        </w:rPr>
        <w:t>[Suite de la note page suivante]</w:t>
      </w:r>
    </w:p>
    <w:p w:rsidR="002B17EF" w:rsidRPr="009154B0" w:rsidRDefault="002B17EF" w:rsidP="006655D3">
      <w:pPr>
        <w:rPr>
          <w:lang w:val="fr-FR"/>
        </w:rPr>
      </w:pPr>
    </w:p>
    <w:p w:rsidR="002B17EF" w:rsidRPr="009154B0" w:rsidRDefault="002B17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EF" w:rsidRPr="00254EB4" w:rsidRDefault="002B17EF" w:rsidP="006655D3">
      <w:pPr>
        <w:rPr>
          <w:sz w:val="14"/>
          <w:szCs w:val="14"/>
        </w:rPr>
      </w:pPr>
      <w:r w:rsidRPr="00254EB4">
        <w:rPr>
          <w:sz w:val="14"/>
          <w:szCs w:val="14"/>
        </w:rPr>
        <w:separator/>
      </w:r>
    </w:p>
  </w:footnote>
  <w:footnote w:type="continuationSeparator" w:id="0">
    <w:p w:rsidR="002B17EF" w:rsidRPr="00254EB4" w:rsidRDefault="002B17EF" w:rsidP="006655D3">
      <w:pPr>
        <w:rPr>
          <w:sz w:val="14"/>
          <w:szCs w:val="14"/>
        </w:rPr>
      </w:pPr>
      <w:r w:rsidRPr="00254EB4">
        <w:rPr>
          <w:sz w:val="14"/>
          <w:szCs w:val="14"/>
        </w:rPr>
        <w:separator/>
      </w:r>
    </w:p>
  </w:footnote>
  <w:footnote w:type="continuationNotice" w:id="1">
    <w:p w:rsidR="002B17EF" w:rsidRPr="00254EB4" w:rsidRDefault="002B17EF" w:rsidP="00254EB4">
      <w:pPr>
        <w:pStyle w:val="Footer"/>
      </w:pPr>
    </w:p>
  </w:footnote>
  <w:footnote w:id="2">
    <w:p w:rsidR="002B17EF" w:rsidRPr="00E831EC" w:rsidRDefault="002B17EF" w:rsidP="0055179D">
      <w:pPr>
        <w:pStyle w:val="FootnoteText"/>
      </w:pPr>
      <w:r>
        <w:rPr>
          <w:rStyle w:val="FootnoteReference"/>
        </w:rPr>
        <w:footnoteRef/>
      </w:r>
      <w:r>
        <w:tab/>
      </w:r>
      <w:r w:rsidRPr="00E831EC">
        <w:t>See document CAJ-AG/14/9/6 “Report on the Conclusions”, paragraph 21.</w:t>
      </w:r>
    </w:p>
  </w:footnote>
  <w:footnote w:id="3">
    <w:p w:rsidR="002B17EF" w:rsidRDefault="002B17EF" w:rsidP="0055179D">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F" w:rsidRPr="00C5280D" w:rsidRDefault="009372A3" w:rsidP="00EB048E">
    <w:pPr>
      <w:pStyle w:val="Header"/>
      <w:rPr>
        <w:rStyle w:val="PageNumber"/>
        <w:lang w:val="en-US"/>
      </w:rPr>
    </w:pPr>
    <w:r>
      <w:rPr>
        <w:rStyle w:val="PageNumber"/>
        <w:lang w:val="en-US"/>
      </w:rPr>
      <w:t>TC/52/21</w:t>
    </w:r>
  </w:p>
  <w:p w:rsidR="002B17EF" w:rsidRPr="00C5280D" w:rsidRDefault="002B17E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064A0">
      <w:rPr>
        <w:rStyle w:val="PageNumber"/>
        <w:noProof/>
        <w:lang w:val="en-US"/>
      </w:rPr>
      <w:t>7</w:t>
    </w:r>
    <w:r w:rsidRPr="00C5280D">
      <w:rPr>
        <w:rStyle w:val="PageNumber"/>
        <w:lang w:val="en-US"/>
      </w:rPr>
      <w:fldChar w:fldCharType="end"/>
    </w:r>
  </w:p>
  <w:p w:rsidR="002B17EF" w:rsidRPr="00C5280D" w:rsidRDefault="002B17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B0"/>
    <w:rsid w:val="000010B2"/>
    <w:rsid w:val="00006102"/>
    <w:rsid w:val="00010CF3"/>
    <w:rsid w:val="00011E27"/>
    <w:rsid w:val="000148BC"/>
    <w:rsid w:val="00015F74"/>
    <w:rsid w:val="000169D3"/>
    <w:rsid w:val="000211A6"/>
    <w:rsid w:val="00024AB8"/>
    <w:rsid w:val="00030854"/>
    <w:rsid w:val="00036028"/>
    <w:rsid w:val="00044642"/>
    <w:rsid w:val="000446B9"/>
    <w:rsid w:val="00047E21"/>
    <w:rsid w:val="00050E16"/>
    <w:rsid w:val="00051332"/>
    <w:rsid w:val="00051694"/>
    <w:rsid w:val="00085505"/>
    <w:rsid w:val="000C7021"/>
    <w:rsid w:val="000D1759"/>
    <w:rsid w:val="000D6BBC"/>
    <w:rsid w:val="000D7780"/>
    <w:rsid w:val="000F2F11"/>
    <w:rsid w:val="00105929"/>
    <w:rsid w:val="00110C36"/>
    <w:rsid w:val="001131D5"/>
    <w:rsid w:val="00141DB8"/>
    <w:rsid w:val="0017474A"/>
    <w:rsid w:val="001758C6"/>
    <w:rsid w:val="0017698D"/>
    <w:rsid w:val="001778B5"/>
    <w:rsid w:val="00182B99"/>
    <w:rsid w:val="001D0AD1"/>
    <w:rsid w:val="001E7C64"/>
    <w:rsid w:val="0021332C"/>
    <w:rsid w:val="00213982"/>
    <w:rsid w:val="0024416D"/>
    <w:rsid w:val="00250F46"/>
    <w:rsid w:val="00254EB4"/>
    <w:rsid w:val="00271911"/>
    <w:rsid w:val="002800A0"/>
    <w:rsid w:val="002801B3"/>
    <w:rsid w:val="00281060"/>
    <w:rsid w:val="00283737"/>
    <w:rsid w:val="002940E8"/>
    <w:rsid w:val="002A6E50"/>
    <w:rsid w:val="002B17EF"/>
    <w:rsid w:val="002C256A"/>
    <w:rsid w:val="002D0983"/>
    <w:rsid w:val="00305A7F"/>
    <w:rsid w:val="003076E5"/>
    <w:rsid w:val="00314042"/>
    <w:rsid w:val="003152FE"/>
    <w:rsid w:val="00317C95"/>
    <w:rsid w:val="00327436"/>
    <w:rsid w:val="00344BD6"/>
    <w:rsid w:val="0035528D"/>
    <w:rsid w:val="00361821"/>
    <w:rsid w:val="00374651"/>
    <w:rsid w:val="003D227C"/>
    <w:rsid w:val="003D2B4D"/>
    <w:rsid w:val="00427270"/>
    <w:rsid w:val="00444A88"/>
    <w:rsid w:val="00474DA4"/>
    <w:rsid w:val="00476B4D"/>
    <w:rsid w:val="004805FA"/>
    <w:rsid w:val="004935D2"/>
    <w:rsid w:val="004B1215"/>
    <w:rsid w:val="004D047D"/>
    <w:rsid w:val="004D51B3"/>
    <w:rsid w:val="004F305A"/>
    <w:rsid w:val="005115CA"/>
    <w:rsid w:val="00512164"/>
    <w:rsid w:val="00514BD2"/>
    <w:rsid w:val="00520297"/>
    <w:rsid w:val="005338F9"/>
    <w:rsid w:val="0054281C"/>
    <w:rsid w:val="00544581"/>
    <w:rsid w:val="0055179D"/>
    <w:rsid w:val="0055268D"/>
    <w:rsid w:val="00576BE4"/>
    <w:rsid w:val="005A400A"/>
    <w:rsid w:val="005C665E"/>
    <w:rsid w:val="005F22C0"/>
    <w:rsid w:val="00612379"/>
    <w:rsid w:val="0061555F"/>
    <w:rsid w:val="00641200"/>
    <w:rsid w:val="00652280"/>
    <w:rsid w:val="006655D3"/>
    <w:rsid w:val="00667404"/>
    <w:rsid w:val="00671540"/>
    <w:rsid w:val="00682EEC"/>
    <w:rsid w:val="00687EB4"/>
    <w:rsid w:val="00697F3F"/>
    <w:rsid w:val="006B17D2"/>
    <w:rsid w:val="006C224E"/>
    <w:rsid w:val="006D780A"/>
    <w:rsid w:val="00732DEC"/>
    <w:rsid w:val="007359B5"/>
    <w:rsid w:val="00735BD5"/>
    <w:rsid w:val="007556F6"/>
    <w:rsid w:val="00760EEF"/>
    <w:rsid w:val="00777EE5"/>
    <w:rsid w:val="00784836"/>
    <w:rsid w:val="0079023E"/>
    <w:rsid w:val="007A2854"/>
    <w:rsid w:val="007D0B9D"/>
    <w:rsid w:val="007D19B0"/>
    <w:rsid w:val="007F498F"/>
    <w:rsid w:val="0080679D"/>
    <w:rsid w:val="00807855"/>
    <w:rsid w:val="008108B0"/>
    <w:rsid w:val="00811B20"/>
    <w:rsid w:val="0082296E"/>
    <w:rsid w:val="00822D20"/>
    <w:rsid w:val="00824099"/>
    <w:rsid w:val="00846D7C"/>
    <w:rsid w:val="008513D5"/>
    <w:rsid w:val="00867AC1"/>
    <w:rsid w:val="00882B21"/>
    <w:rsid w:val="008A743F"/>
    <w:rsid w:val="008B44BD"/>
    <w:rsid w:val="008C0970"/>
    <w:rsid w:val="008D0BC5"/>
    <w:rsid w:val="008D2CF7"/>
    <w:rsid w:val="008D6019"/>
    <w:rsid w:val="00900C26"/>
    <w:rsid w:val="0090197F"/>
    <w:rsid w:val="00906DDC"/>
    <w:rsid w:val="00913F3E"/>
    <w:rsid w:val="00914742"/>
    <w:rsid w:val="009154B0"/>
    <w:rsid w:val="00917B74"/>
    <w:rsid w:val="00917E30"/>
    <w:rsid w:val="00932B7A"/>
    <w:rsid w:val="00934E09"/>
    <w:rsid w:val="00936253"/>
    <w:rsid w:val="009372A3"/>
    <w:rsid w:val="009424F6"/>
    <w:rsid w:val="00952DD4"/>
    <w:rsid w:val="009635AF"/>
    <w:rsid w:val="00970FED"/>
    <w:rsid w:val="00992D82"/>
    <w:rsid w:val="00997029"/>
    <w:rsid w:val="009B440E"/>
    <w:rsid w:val="009D5F41"/>
    <w:rsid w:val="009D690D"/>
    <w:rsid w:val="009E65B6"/>
    <w:rsid w:val="00A00C7A"/>
    <w:rsid w:val="00A24C10"/>
    <w:rsid w:val="00A307C2"/>
    <w:rsid w:val="00A341BF"/>
    <w:rsid w:val="00A3528B"/>
    <w:rsid w:val="00A42AC3"/>
    <w:rsid w:val="00A430CF"/>
    <w:rsid w:val="00A54309"/>
    <w:rsid w:val="00AA6AFA"/>
    <w:rsid w:val="00AB2B93"/>
    <w:rsid w:val="00AB530F"/>
    <w:rsid w:val="00AB7E5B"/>
    <w:rsid w:val="00AE0EF1"/>
    <w:rsid w:val="00AE2937"/>
    <w:rsid w:val="00B07301"/>
    <w:rsid w:val="00B224DE"/>
    <w:rsid w:val="00B324D4"/>
    <w:rsid w:val="00B46575"/>
    <w:rsid w:val="00B54B69"/>
    <w:rsid w:val="00B84BBD"/>
    <w:rsid w:val="00B940CB"/>
    <w:rsid w:val="00B97838"/>
    <w:rsid w:val="00BA43FB"/>
    <w:rsid w:val="00BC127D"/>
    <w:rsid w:val="00BC1FE6"/>
    <w:rsid w:val="00BE32A5"/>
    <w:rsid w:val="00BE4939"/>
    <w:rsid w:val="00C061B6"/>
    <w:rsid w:val="00C2446C"/>
    <w:rsid w:val="00C27506"/>
    <w:rsid w:val="00C334C6"/>
    <w:rsid w:val="00C33AF5"/>
    <w:rsid w:val="00C36AE5"/>
    <w:rsid w:val="00C41F17"/>
    <w:rsid w:val="00C5280D"/>
    <w:rsid w:val="00C5791C"/>
    <w:rsid w:val="00C66290"/>
    <w:rsid w:val="00C71FC6"/>
    <w:rsid w:val="00C72B7A"/>
    <w:rsid w:val="00C973F2"/>
    <w:rsid w:val="00CA02B7"/>
    <w:rsid w:val="00CA304C"/>
    <w:rsid w:val="00CA70E8"/>
    <w:rsid w:val="00CA774A"/>
    <w:rsid w:val="00CC11B0"/>
    <w:rsid w:val="00CE21A6"/>
    <w:rsid w:val="00CF7E36"/>
    <w:rsid w:val="00D15CFF"/>
    <w:rsid w:val="00D22F83"/>
    <w:rsid w:val="00D34DF2"/>
    <w:rsid w:val="00D3708D"/>
    <w:rsid w:val="00D40426"/>
    <w:rsid w:val="00D476C2"/>
    <w:rsid w:val="00D56302"/>
    <w:rsid w:val="00D57C96"/>
    <w:rsid w:val="00D91203"/>
    <w:rsid w:val="00D95174"/>
    <w:rsid w:val="00DA6F36"/>
    <w:rsid w:val="00DB596E"/>
    <w:rsid w:val="00DB7773"/>
    <w:rsid w:val="00DC00EA"/>
    <w:rsid w:val="00DE0034"/>
    <w:rsid w:val="00E25395"/>
    <w:rsid w:val="00E32F7E"/>
    <w:rsid w:val="00E7036F"/>
    <w:rsid w:val="00E72D49"/>
    <w:rsid w:val="00E7593C"/>
    <w:rsid w:val="00E7678A"/>
    <w:rsid w:val="00E935F1"/>
    <w:rsid w:val="00E94A81"/>
    <w:rsid w:val="00EA1FFB"/>
    <w:rsid w:val="00EB048E"/>
    <w:rsid w:val="00EE34DF"/>
    <w:rsid w:val="00EF2F89"/>
    <w:rsid w:val="00F064A0"/>
    <w:rsid w:val="00F1237A"/>
    <w:rsid w:val="00F22CBD"/>
    <w:rsid w:val="00F45372"/>
    <w:rsid w:val="00F560F7"/>
    <w:rsid w:val="00F6334D"/>
    <w:rsid w:val="00F745F4"/>
    <w:rsid w:val="00F95499"/>
    <w:rsid w:val="00FA49AB"/>
    <w:rsid w:val="00FB1BCD"/>
    <w:rsid w:val="00FD3F8E"/>
    <w:rsid w:val="00FE39C7"/>
    <w:rsid w:val="00FE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22651-5F5C-410B-8E52-9CAEBA4D3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1496</TotalTime>
  <Pages>7</Pages>
  <Words>3389</Words>
  <Characters>19276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GIACHINO Erika</cp:lastModifiedBy>
  <cp:revision>26</cp:revision>
  <cp:lastPrinted>2016-02-01T13:47:00Z</cp:lastPrinted>
  <dcterms:created xsi:type="dcterms:W3CDTF">2016-01-14T09:47:00Z</dcterms:created>
  <dcterms:modified xsi:type="dcterms:W3CDTF">2016-02-01T15:08:00Z</dcterms:modified>
</cp:coreProperties>
</file>