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0D7780" w:rsidRPr="00074801"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074801" w:rsidRDefault="00B56743" w:rsidP="006655D3">
            <w:pPr>
              <w:pStyle w:val="LogoUPOV"/>
            </w:pPr>
            <w:r>
              <w:rPr>
                <w:noProof/>
              </w:rPr>
              <w:drawing>
                <wp:inline distT="0" distB="0" distL="0" distR="0">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074801" w:rsidRDefault="0024416D" w:rsidP="006655D3">
            <w:pPr>
              <w:pStyle w:val="Lettrine"/>
            </w:pPr>
            <w:r w:rsidRPr="00074801">
              <w:t>E</w:t>
            </w:r>
          </w:p>
          <w:p w:rsidR="00121794" w:rsidRPr="00074801" w:rsidRDefault="00121794" w:rsidP="00121794">
            <w:pPr>
              <w:pStyle w:val="Docoriginal"/>
            </w:pPr>
            <w:r w:rsidRPr="00074801">
              <w:t>TC/</w:t>
            </w:r>
            <w:bookmarkStart w:id="1" w:name="Code"/>
            <w:bookmarkEnd w:id="1"/>
            <w:r>
              <w:t>5</w:t>
            </w:r>
            <w:r w:rsidR="00B56743">
              <w:t>1</w:t>
            </w:r>
            <w:r>
              <w:t>/</w:t>
            </w:r>
            <w:r w:rsidR="00B56743">
              <w:t>9</w:t>
            </w:r>
          </w:p>
          <w:p w:rsidR="000D7780" w:rsidRPr="00074801" w:rsidRDefault="0061555F" w:rsidP="006655D3">
            <w:pPr>
              <w:pStyle w:val="Docoriginal"/>
              <w:rPr>
                <w:b w:val="0"/>
                <w:spacing w:val="0"/>
              </w:rPr>
            </w:pPr>
            <w:r w:rsidRPr="00074801">
              <w:rPr>
                <w:rStyle w:val="StyleDoclangBold"/>
                <w:b/>
                <w:bCs/>
                <w:spacing w:val="0"/>
              </w:rPr>
              <w:t>ORIGINAL</w:t>
            </w:r>
            <w:r w:rsidR="000D7780" w:rsidRPr="00074801">
              <w:rPr>
                <w:rStyle w:val="StyleDoclangBold"/>
                <w:b/>
                <w:bCs/>
                <w:spacing w:val="0"/>
              </w:rPr>
              <w:t>:</w:t>
            </w:r>
            <w:r w:rsidRPr="00074801">
              <w:rPr>
                <w:rStyle w:val="StyleDocoriginalNotBold1"/>
                <w:spacing w:val="0"/>
              </w:rPr>
              <w:t xml:space="preserve"> </w:t>
            </w:r>
            <w:r w:rsidR="000D7780" w:rsidRPr="00074801">
              <w:rPr>
                <w:spacing w:val="0"/>
              </w:rPr>
              <w:t xml:space="preserve"> </w:t>
            </w:r>
            <w:bookmarkStart w:id="2" w:name="Original"/>
            <w:bookmarkEnd w:id="2"/>
            <w:r w:rsidR="0024416D" w:rsidRPr="00074801">
              <w:rPr>
                <w:b w:val="0"/>
                <w:spacing w:val="0"/>
              </w:rPr>
              <w:t>English</w:t>
            </w:r>
          </w:p>
          <w:p w:rsidR="000D7780" w:rsidRPr="00074801" w:rsidRDefault="00121794" w:rsidP="002514A9">
            <w:pPr>
              <w:pStyle w:val="Docoriginal"/>
            </w:pPr>
            <w:r w:rsidRPr="00382590">
              <w:rPr>
                <w:spacing w:val="0"/>
              </w:rPr>
              <w:t xml:space="preserve">DATE: </w:t>
            </w:r>
            <w:r w:rsidRPr="00382590">
              <w:rPr>
                <w:rStyle w:val="StyleDocoriginalNotBold1"/>
                <w:spacing w:val="0"/>
              </w:rPr>
              <w:t xml:space="preserve"> </w:t>
            </w:r>
            <w:bookmarkStart w:id="3" w:name="Date"/>
            <w:bookmarkEnd w:id="3"/>
            <w:r w:rsidR="00B56743">
              <w:rPr>
                <w:b w:val="0"/>
                <w:spacing w:val="0"/>
              </w:rPr>
              <w:t xml:space="preserve">February </w:t>
            </w:r>
            <w:r w:rsidR="00E148A2">
              <w:rPr>
                <w:b w:val="0"/>
                <w:spacing w:val="0"/>
              </w:rPr>
              <w:t>2</w:t>
            </w:r>
            <w:r w:rsidR="002514A9">
              <w:rPr>
                <w:b w:val="0"/>
                <w:spacing w:val="0"/>
              </w:rPr>
              <w:t>4</w:t>
            </w:r>
            <w:r w:rsidR="00B56743">
              <w:rPr>
                <w:b w:val="0"/>
                <w:spacing w:val="0"/>
              </w:rPr>
              <w:t>, 2015</w:t>
            </w:r>
          </w:p>
        </w:tc>
      </w:tr>
      <w:tr w:rsidR="000D7780" w:rsidRPr="00074801" w:rsidTr="00FA49AB">
        <w:tc>
          <w:tcPr>
            <w:tcW w:w="9534" w:type="dxa"/>
            <w:gridSpan w:val="3"/>
          </w:tcPr>
          <w:p w:rsidR="000D7780" w:rsidRPr="00074801" w:rsidRDefault="0024416D" w:rsidP="006655D3">
            <w:pPr>
              <w:pStyle w:val="upove"/>
              <w:rPr>
                <w:sz w:val="28"/>
              </w:rPr>
            </w:pPr>
            <w:r w:rsidRPr="00074801">
              <w:rPr>
                <w:snapToGrid w:val="0"/>
              </w:rPr>
              <w:t xml:space="preserve">INTERNATIONAL </w:t>
            </w:r>
            <w:smartTag w:uri="urn:schemas-microsoft-com:office:smarttags" w:element="place">
              <w:r w:rsidRPr="00074801">
                <w:rPr>
                  <w:snapToGrid w:val="0"/>
                </w:rPr>
                <w:t>UNION</w:t>
              </w:r>
            </w:smartTag>
            <w:r w:rsidRPr="00074801">
              <w:rPr>
                <w:snapToGrid w:val="0"/>
              </w:rPr>
              <w:t xml:space="preserve"> FOR THE PROTECTION OF NEW VARIETIES OF PLANTS </w:t>
            </w:r>
          </w:p>
        </w:tc>
      </w:tr>
      <w:tr w:rsidR="000D7780" w:rsidRPr="00074801" w:rsidTr="00FA49AB">
        <w:tc>
          <w:tcPr>
            <w:tcW w:w="9534" w:type="dxa"/>
            <w:gridSpan w:val="3"/>
          </w:tcPr>
          <w:p w:rsidR="000D7780" w:rsidRPr="00074801" w:rsidRDefault="00867AC1" w:rsidP="006655D3">
            <w:pPr>
              <w:pStyle w:val="Country"/>
            </w:pPr>
            <w:smartTag w:uri="urn:schemas-microsoft-com:office:smarttags" w:element="City">
              <w:smartTag w:uri="urn:schemas-microsoft-com:office:smarttags" w:element="place">
                <w:r w:rsidRPr="00074801">
                  <w:t>Gen</w:t>
                </w:r>
                <w:r w:rsidR="0061555F" w:rsidRPr="00074801">
                  <w:t>e</w:t>
                </w:r>
                <w:r w:rsidRPr="00074801">
                  <w:t>v</w:t>
                </w:r>
                <w:r w:rsidR="0061555F" w:rsidRPr="00074801">
                  <w:t>a</w:t>
                </w:r>
              </w:smartTag>
            </w:smartTag>
          </w:p>
        </w:tc>
      </w:tr>
    </w:tbl>
    <w:p w:rsidR="000D7780" w:rsidRPr="00074801" w:rsidRDefault="0024416D" w:rsidP="006655D3">
      <w:pPr>
        <w:pStyle w:val="Sessiontc"/>
      </w:pPr>
      <w:r w:rsidRPr="00074801">
        <w:t>Technical Committee</w:t>
      </w:r>
    </w:p>
    <w:p w:rsidR="00B56743" w:rsidRPr="00C5280D" w:rsidRDefault="00B56743" w:rsidP="00B56743">
      <w:pPr>
        <w:pStyle w:val="Sessiontcplacedate"/>
      </w:pPr>
      <w:bookmarkStart w:id="4" w:name="TitleOfDoc"/>
      <w:bookmarkEnd w:id="4"/>
      <w:r w:rsidRPr="00C5280D">
        <w:t>F</w:t>
      </w:r>
      <w:r>
        <w:t>ifty-First</w:t>
      </w:r>
      <w:r w:rsidRPr="00C5280D">
        <w:t xml:space="preserve"> Session</w:t>
      </w:r>
      <w:r w:rsidRPr="00C5280D">
        <w:br/>
        <w:t xml:space="preserve">Geneva, </w:t>
      </w:r>
      <w:r>
        <w:t>March 23 to 25</w:t>
      </w:r>
      <w:r w:rsidRPr="00C5280D">
        <w:t>, 201</w:t>
      </w:r>
      <w:r>
        <w:t>5</w:t>
      </w:r>
    </w:p>
    <w:p w:rsidR="000D7780" w:rsidRPr="00C5280D" w:rsidRDefault="00251D75" w:rsidP="006655D3">
      <w:pPr>
        <w:pStyle w:val="Titleofdoc0"/>
      </w:pPr>
      <w:r w:rsidRPr="00074801">
        <w:t>Variety description databases</w:t>
      </w:r>
      <w:r w:rsidR="00B86D49" w:rsidRPr="002322FD">
        <w:t xml:space="preserve"> </w:t>
      </w:r>
    </w:p>
    <w:p w:rsidR="000D7780" w:rsidRPr="00C5280D" w:rsidRDefault="00AE0EF1" w:rsidP="006655D3">
      <w:pPr>
        <w:pStyle w:val="preparedby1"/>
      </w:pPr>
      <w:bookmarkStart w:id="5" w:name="Prepared"/>
      <w:bookmarkEnd w:id="5"/>
      <w:r w:rsidRPr="00544BE7">
        <w:t xml:space="preserve">Document </w:t>
      </w:r>
      <w:r w:rsidR="0061555F" w:rsidRPr="00544BE7">
        <w:t>pre</w:t>
      </w:r>
      <w:r w:rsidR="0061555F" w:rsidRPr="00C5280D">
        <w:t>pared by the Office of the Union</w:t>
      </w:r>
      <w:r w:rsidR="00813956">
        <w:br/>
      </w:r>
      <w:r w:rsidR="00813956">
        <w:br/>
      </w:r>
      <w:r w:rsidR="00813956" w:rsidRPr="00813956">
        <w:rPr>
          <w:color w:val="A6A6A6"/>
        </w:rPr>
        <w:t>Disclaimer:  this document does not represent UPOV policies or guidance</w:t>
      </w:r>
    </w:p>
    <w:p w:rsidR="008F0675" w:rsidRPr="006D54BA" w:rsidRDefault="008F0675" w:rsidP="008F0675">
      <w:pPr>
        <w:rPr>
          <w:rFonts w:cs="Arial"/>
        </w:rPr>
      </w:pPr>
      <w:r w:rsidRPr="006D54BA">
        <w:rPr>
          <w:rFonts w:cs="Arial"/>
        </w:rPr>
        <w:fldChar w:fldCharType="begin"/>
      </w:r>
      <w:r w:rsidRPr="006D54BA">
        <w:rPr>
          <w:rFonts w:cs="Arial"/>
        </w:rPr>
        <w:instrText xml:space="preserve"> AUTONUM  </w:instrText>
      </w:r>
      <w:r w:rsidRPr="006D54BA">
        <w:rPr>
          <w:rFonts w:cs="Arial"/>
        </w:rPr>
        <w:fldChar w:fldCharType="end"/>
      </w:r>
      <w:r w:rsidRPr="006D54BA">
        <w:rPr>
          <w:rFonts w:cs="Arial"/>
        </w:rPr>
        <w:tab/>
        <w:t xml:space="preserve">The purpose of this document is to report on developments </w:t>
      </w:r>
      <w:r w:rsidR="00E148A2">
        <w:rPr>
          <w:rFonts w:cs="Arial"/>
        </w:rPr>
        <w:t>since the fiftieth session of the Technical Committee (TC)</w:t>
      </w:r>
      <w:r w:rsidR="002514A9">
        <w:rPr>
          <w:rFonts w:cs="Arial"/>
        </w:rPr>
        <w:t>,</w:t>
      </w:r>
      <w:r w:rsidR="00E148A2">
        <w:rPr>
          <w:rFonts w:cs="Arial"/>
        </w:rPr>
        <w:t xml:space="preserve"> </w:t>
      </w:r>
      <w:r w:rsidRPr="006D54BA">
        <w:rPr>
          <w:rFonts w:cs="Arial"/>
        </w:rPr>
        <w:t xml:space="preserve">concerning </w:t>
      </w:r>
      <w:r w:rsidRPr="006D54BA">
        <w:rPr>
          <w:rFonts w:cs="Arial"/>
          <w:snapToGrid w:val="0"/>
          <w:szCs w:val="24"/>
        </w:rPr>
        <w:t>variety description databases.</w:t>
      </w:r>
    </w:p>
    <w:p w:rsidR="008F0675" w:rsidRDefault="008F0675" w:rsidP="008F0675">
      <w:pPr>
        <w:rPr>
          <w:rFonts w:cs="Arial"/>
        </w:rPr>
      </w:pPr>
    </w:p>
    <w:p w:rsidR="00AE69FD" w:rsidRPr="004F1C91" w:rsidRDefault="00AE69FD" w:rsidP="00AE69FD">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AE69FD" w:rsidRPr="004F1C91" w:rsidRDefault="00AE69FD" w:rsidP="00AE69FD">
      <w:pPr>
        <w:rPr>
          <w:rFonts w:cs="Arial"/>
          <w:color w:val="000000"/>
        </w:rPr>
      </w:pPr>
    </w:p>
    <w:p w:rsidR="00AE69FD" w:rsidRPr="004F1C91" w:rsidRDefault="00AE69FD" w:rsidP="00AE69FD">
      <w:pPr>
        <w:rPr>
          <w:rFonts w:cs="Arial"/>
        </w:rPr>
      </w:pPr>
      <w:r w:rsidRPr="004F1C91">
        <w:rPr>
          <w:rFonts w:cs="Arial"/>
        </w:rPr>
        <w:tab/>
        <w:t>TC:</w:t>
      </w:r>
      <w:r w:rsidRPr="004F1C91">
        <w:rPr>
          <w:rFonts w:cs="Arial"/>
        </w:rPr>
        <w:tab/>
      </w:r>
      <w:r w:rsidRPr="004F1C91">
        <w:rPr>
          <w:rFonts w:cs="Arial"/>
        </w:rPr>
        <w:tab/>
        <w:t>Technical Committee</w:t>
      </w:r>
    </w:p>
    <w:p w:rsidR="00AE69FD" w:rsidRPr="004F1C91" w:rsidRDefault="00AE69FD" w:rsidP="00AE69FD">
      <w:pPr>
        <w:rPr>
          <w:rFonts w:eastAsia="PMingLiU" w:cs="Arial"/>
        </w:rPr>
      </w:pPr>
      <w:r w:rsidRPr="004F1C91">
        <w:rPr>
          <w:rFonts w:eastAsia="PMingLiU" w:cs="Arial"/>
        </w:rPr>
        <w:tab/>
        <w:t>TC-EDC:</w:t>
      </w:r>
      <w:r w:rsidRPr="004F1C91">
        <w:rPr>
          <w:rFonts w:eastAsia="PMingLiU" w:cs="Arial"/>
        </w:rPr>
        <w:tab/>
        <w:t>Enlarged Editorial Committee</w:t>
      </w:r>
    </w:p>
    <w:p w:rsidR="00AE69FD" w:rsidRPr="004F1C91" w:rsidRDefault="00AE69FD" w:rsidP="00AE69FD">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AE69FD" w:rsidRPr="004F1C91" w:rsidRDefault="00AE69FD" w:rsidP="00AE69FD">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AE69FD" w:rsidRPr="004F1C91" w:rsidRDefault="00AE69FD" w:rsidP="00AE69FD">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r>
        <w:rPr>
          <w:rFonts w:eastAsia="PMingLiU" w:cs="Arial"/>
        </w:rPr>
        <w:tab/>
      </w:r>
    </w:p>
    <w:p w:rsidR="00AE69FD" w:rsidRPr="004F1C91" w:rsidRDefault="00AE69FD" w:rsidP="00AE69FD">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AE69FD" w:rsidRPr="004F1C91" w:rsidRDefault="00AE69FD" w:rsidP="00AE69FD">
      <w:pPr>
        <w:rPr>
          <w:rFonts w:eastAsia="PMingLiU" w:cs="Arial"/>
        </w:rPr>
      </w:pPr>
      <w:r w:rsidRPr="004F1C91">
        <w:rPr>
          <w:rFonts w:eastAsia="PMingLiU" w:cs="Arial"/>
        </w:rPr>
        <w:tab/>
        <w:t>TWPs:</w:t>
      </w:r>
      <w:r w:rsidRPr="004F1C91">
        <w:rPr>
          <w:rFonts w:eastAsia="PMingLiU" w:cs="Arial"/>
        </w:rPr>
        <w:tab/>
        <w:t>Technical Working Parties</w:t>
      </w:r>
    </w:p>
    <w:p w:rsidR="00AE69FD" w:rsidRPr="004F1C91" w:rsidRDefault="00AE69FD" w:rsidP="00AE69FD">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AE69FD" w:rsidRDefault="00AE69FD" w:rsidP="00AE69FD">
      <w:pPr>
        <w:rPr>
          <w:snapToGrid w:val="0"/>
        </w:rPr>
      </w:pPr>
    </w:p>
    <w:p w:rsidR="00AE69FD" w:rsidRDefault="00AE69FD" w:rsidP="00AE69FD">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AE69FD" w:rsidRDefault="00AE69FD" w:rsidP="008F0675">
      <w:pPr>
        <w:rPr>
          <w:rFonts w:cs="Arial"/>
        </w:rPr>
      </w:pPr>
    </w:p>
    <w:p w:rsidR="000D5A9E" w:rsidRPr="000D5A9E" w:rsidRDefault="00C40551" w:rsidP="000D5A9E">
      <w:pPr>
        <w:pStyle w:val="TOC1"/>
        <w:spacing w:line="276" w:lineRule="auto"/>
        <w:rPr>
          <w:rFonts w:asciiTheme="minorHAnsi" w:eastAsiaTheme="minorEastAsia" w:hAnsiTheme="minorHAnsi" w:cstheme="minorBidi"/>
          <w:b w:val="0"/>
          <w:bCs w:val="0"/>
          <w:caps w:val="0"/>
          <w:noProof/>
          <w:sz w:val="22"/>
          <w:szCs w:val="22"/>
        </w:rPr>
      </w:pPr>
      <w:r w:rsidRPr="000D5A9E">
        <w:rPr>
          <w:b w:val="0"/>
        </w:rPr>
        <w:fldChar w:fldCharType="begin"/>
      </w:r>
      <w:r w:rsidRPr="000D5A9E">
        <w:rPr>
          <w:b w:val="0"/>
        </w:rPr>
        <w:instrText xml:space="preserve"> TOC \o "1-3" \h \z \u </w:instrText>
      </w:r>
      <w:r w:rsidRPr="000D5A9E">
        <w:rPr>
          <w:b w:val="0"/>
        </w:rPr>
        <w:fldChar w:fldCharType="separate"/>
      </w:r>
      <w:hyperlink w:anchor="_Toc412203165" w:history="1">
        <w:r w:rsidR="000D5A9E" w:rsidRPr="000D5A9E">
          <w:rPr>
            <w:rStyle w:val="Hyperlink"/>
            <w:b w:val="0"/>
            <w:noProof/>
          </w:rPr>
          <w:t>Background</w:t>
        </w:r>
        <w:r w:rsidR="000D5A9E" w:rsidRPr="000D5A9E">
          <w:rPr>
            <w:b w:val="0"/>
            <w:noProof/>
            <w:webHidden/>
          </w:rPr>
          <w:tab/>
        </w:r>
        <w:r w:rsidR="000D5A9E" w:rsidRPr="000D5A9E">
          <w:rPr>
            <w:b w:val="0"/>
            <w:noProof/>
            <w:webHidden/>
          </w:rPr>
          <w:fldChar w:fldCharType="begin"/>
        </w:r>
        <w:r w:rsidR="000D5A9E" w:rsidRPr="000D5A9E">
          <w:rPr>
            <w:b w:val="0"/>
            <w:noProof/>
            <w:webHidden/>
          </w:rPr>
          <w:instrText xml:space="preserve"> PAGEREF _Toc412203165 \h </w:instrText>
        </w:r>
        <w:r w:rsidR="000D5A9E" w:rsidRPr="000D5A9E">
          <w:rPr>
            <w:b w:val="0"/>
            <w:noProof/>
            <w:webHidden/>
          </w:rPr>
        </w:r>
        <w:r w:rsidR="000D5A9E" w:rsidRPr="000D5A9E">
          <w:rPr>
            <w:b w:val="0"/>
            <w:noProof/>
            <w:webHidden/>
          </w:rPr>
          <w:fldChar w:fldCharType="separate"/>
        </w:r>
        <w:r w:rsidR="00F41FD2">
          <w:rPr>
            <w:b w:val="0"/>
            <w:noProof/>
            <w:webHidden/>
          </w:rPr>
          <w:t>1</w:t>
        </w:r>
        <w:r w:rsidR="000D5A9E" w:rsidRPr="000D5A9E">
          <w:rPr>
            <w:b w:val="0"/>
            <w:noProof/>
            <w:webHidden/>
          </w:rPr>
          <w:fldChar w:fldCharType="end"/>
        </w:r>
      </w:hyperlink>
    </w:p>
    <w:p w:rsidR="000D5A9E" w:rsidRPr="000D5A9E" w:rsidRDefault="00F41FD2" w:rsidP="000D5A9E">
      <w:pPr>
        <w:pStyle w:val="TOC1"/>
        <w:spacing w:line="276" w:lineRule="auto"/>
        <w:rPr>
          <w:rFonts w:asciiTheme="minorHAnsi" w:eastAsiaTheme="minorEastAsia" w:hAnsiTheme="minorHAnsi" w:cstheme="minorBidi"/>
          <w:b w:val="0"/>
          <w:bCs w:val="0"/>
          <w:caps w:val="0"/>
          <w:noProof/>
          <w:sz w:val="22"/>
          <w:szCs w:val="22"/>
        </w:rPr>
      </w:pPr>
      <w:hyperlink w:anchor="_Toc412203166" w:history="1">
        <w:r w:rsidR="000D5A9E" w:rsidRPr="000D5A9E">
          <w:rPr>
            <w:rStyle w:val="Hyperlink"/>
            <w:b w:val="0"/>
            <w:noProof/>
            <w:snapToGrid w:val="0"/>
          </w:rPr>
          <w:t>Developments in 2014</w:t>
        </w:r>
        <w:r w:rsidR="000D5A9E" w:rsidRPr="000D5A9E">
          <w:rPr>
            <w:b w:val="0"/>
            <w:noProof/>
            <w:webHidden/>
          </w:rPr>
          <w:tab/>
        </w:r>
        <w:r w:rsidR="000D5A9E" w:rsidRPr="000D5A9E">
          <w:rPr>
            <w:b w:val="0"/>
            <w:noProof/>
            <w:webHidden/>
          </w:rPr>
          <w:fldChar w:fldCharType="begin"/>
        </w:r>
        <w:r w:rsidR="000D5A9E" w:rsidRPr="000D5A9E">
          <w:rPr>
            <w:b w:val="0"/>
            <w:noProof/>
            <w:webHidden/>
          </w:rPr>
          <w:instrText xml:space="preserve"> PAGEREF _Toc412203166 \h </w:instrText>
        </w:r>
        <w:r w:rsidR="000D5A9E" w:rsidRPr="000D5A9E">
          <w:rPr>
            <w:b w:val="0"/>
            <w:noProof/>
            <w:webHidden/>
          </w:rPr>
        </w:r>
        <w:r w:rsidR="000D5A9E" w:rsidRPr="000D5A9E">
          <w:rPr>
            <w:b w:val="0"/>
            <w:noProof/>
            <w:webHidden/>
          </w:rPr>
          <w:fldChar w:fldCharType="separate"/>
        </w:r>
        <w:r>
          <w:rPr>
            <w:b w:val="0"/>
            <w:noProof/>
            <w:webHidden/>
          </w:rPr>
          <w:t>2</w:t>
        </w:r>
        <w:r w:rsidR="000D5A9E" w:rsidRPr="000D5A9E">
          <w:rPr>
            <w:b w:val="0"/>
            <w:noProof/>
            <w:webHidden/>
          </w:rPr>
          <w:fldChar w:fldCharType="end"/>
        </w:r>
      </w:hyperlink>
    </w:p>
    <w:p w:rsidR="000D5A9E" w:rsidRPr="000D5A9E" w:rsidRDefault="00F41FD2" w:rsidP="000D5A9E">
      <w:pPr>
        <w:pStyle w:val="TOC3"/>
        <w:tabs>
          <w:tab w:val="right" w:leader="dot" w:pos="9628"/>
        </w:tabs>
        <w:spacing w:line="276" w:lineRule="auto"/>
        <w:rPr>
          <w:rFonts w:asciiTheme="minorHAnsi" w:eastAsiaTheme="minorEastAsia" w:hAnsiTheme="minorHAnsi" w:cstheme="minorBidi"/>
          <w:i w:val="0"/>
          <w:iCs w:val="0"/>
          <w:noProof/>
          <w:sz w:val="22"/>
          <w:szCs w:val="22"/>
        </w:rPr>
      </w:pPr>
      <w:hyperlink w:anchor="_Toc412203167" w:history="1">
        <w:r w:rsidR="000D5A9E" w:rsidRPr="000D5A9E">
          <w:rPr>
            <w:rStyle w:val="Hyperlink"/>
            <w:noProof/>
          </w:rPr>
          <w:t>Technical Committee</w:t>
        </w:r>
        <w:r w:rsidR="000D5A9E" w:rsidRPr="000D5A9E">
          <w:rPr>
            <w:noProof/>
            <w:webHidden/>
          </w:rPr>
          <w:tab/>
        </w:r>
        <w:r w:rsidR="000D5A9E" w:rsidRPr="000D5A9E">
          <w:rPr>
            <w:noProof/>
            <w:webHidden/>
          </w:rPr>
          <w:fldChar w:fldCharType="begin"/>
        </w:r>
        <w:r w:rsidR="000D5A9E" w:rsidRPr="000D5A9E">
          <w:rPr>
            <w:noProof/>
            <w:webHidden/>
          </w:rPr>
          <w:instrText xml:space="preserve"> PAGEREF _Toc412203167 \h </w:instrText>
        </w:r>
        <w:r w:rsidR="000D5A9E" w:rsidRPr="000D5A9E">
          <w:rPr>
            <w:noProof/>
            <w:webHidden/>
          </w:rPr>
        </w:r>
        <w:r w:rsidR="000D5A9E" w:rsidRPr="000D5A9E">
          <w:rPr>
            <w:noProof/>
            <w:webHidden/>
          </w:rPr>
          <w:fldChar w:fldCharType="separate"/>
        </w:r>
        <w:r>
          <w:rPr>
            <w:noProof/>
            <w:webHidden/>
          </w:rPr>
          <w:t>2</w:t>
        </w:r>
        <w:r w:rsidR="000D5A9E" w:rsidRPr="000D5A9E">
          <w:rPr>
            <w:noProof/>
            <w:webHidden/>
          </w:rPr>
          <w:fldChar w:fldCharType="end"/>
        </w:r>
      </w:hyperlink>
    </w:p>
    <w:p w:rsidR="000D5A9E" w:rsidRPr="000D5A9E" w:rsidRDefault="00F41FD2" w:rsidP="000D5A9E">
      <w:pPr>
        <w:pStyle w:val="TOC3"/>
        <w:tabs>
          <w:tab w:val="right" w:leader="dot" w:pos="9628"/>
        </w:tabs>
        <w:spacing w:line="276" w:lineRule="auto"/>
        <w:rPr>
          <w:rFonts w:asciiTheme="minorHAnsi" w:eastAsiaTheme="minorEastAsia" w:hAnsiTheme="minorHAnsi" w:cstheme="minorBidi"/>
          <w:i w:val="0"/>
          <w:iCs w:val="0"/>
          <w:noProof/>
          <w:sz w:val="22"/>
          <w:szCs w:val="22"/>
        </w:rPr>
      </w:pPr>
      <w:hyperlink w:anchor="_Toc412203168" w:history="1">
        <w:r w:rsidR="000D5A9E" w:rsidRPr="000D5A9E">
          <w:rPr>
            <w:rStyle w:val="Hyperlink"/>
            <w:noProof/>
          </w:rPr>
          <w:t>Matters raised by the International Seed Federation (ISF)</w:t>
        </w:r>
        <w:r w:rsidR="000D5A9E" w:rsidRPr="000D5A9E">
          <w:rPr>
            <w:noProof/>
            <w:webHidden/>
          </w:rPr>
          <w:tab/>
        </w:r>
        <w:r w:rsidR="000D5A9E" w:rsidRPr="000D5A9E">
          <w:rPr>
            <w:noProof/>
            <w:webHidden/>
          </w:rPr>
          <w:fldChar w:fldCharType="begin"/>
        </w:r>
        <w:r w:rsidR="000D5A9E" w:rsidRPr="000D5A9E">
          <w:rPr>
            <w:noProof/>
            <w:webHidden/>
          </w:rPr>
          <w:instrText xml:space="preserve"> PAGEREF _Toc412203168 \h </w:instrText>
        </w:r>
        <w:r w:rsidR="000D5A9E" w:rsidRPr="000D5A9E">
          <w:rPr>
            <w:noProof/>
            <w:webHidden/>
          </w:rPr>
        </w:r>
        <w:r w:rsidR="000D5A9E" w:rsidRPr="000D5A9E">
          <w:rPr>
            <w:noProof/>
            <w:webHidden/>
          </w:rPr>
          <w:fldChar w:fldCharType="separate"/>
        </w:r>
        <w:r>
          <w:rPr>
            <w:noProof/>
            <w:webHidden/>
          </w:rPr>
          <w:t>2</w:t>
        </w:r>
        <w:r w:rsidR="000D5A9E" w:rsidRPr="000D5A9E">
          <w:rPr>
            <w:noProof/>
            <w:webHidden/>
          </w:rPr>
          <w:fldChar w:fldCharType="end"/>
        </w:r>
      </w:hyperlink>
    </w:p>
    <w:p w:rsidR="000D5A9E" w:rsidRPr="000D5A9E" w:rsidRDefault="00F41FD2" w:rsidP="000D5A9E">
      <w:pPr>
        <w:pStyle w:val="TOC3"/>
        <w:tabs>
          <w:tab w:val="right" w:leader="dot" w:pos="9628"/>
        </w:tabs>
        <w:spacing w:line="276" w:lineRule="auto"/>
        <w:rPr>
          <w:rFonts w:asciiTheme="minorHAnsi" w:eastAsiaTheme="minorEastAsia" w:hAnsiTheme="minorHAnsi" w:cstheme="minorBidi"/>
          <w:i w:val="0"/>
          <w:iCs w:val="0"/>
          <w:noProof/>
          <w:sz w:val="22"/>
          <w:szCs w:val="22"/>
        </w:rPr>
      </w:pPr>
      <w:hyperlink w:anchor="_Toc412203169" w:history="1">
        <w:r w:rsidR="000D5A9E" w:rsidRPr="000D5A9E">
          <w:rPr>
            <w:rStyle w:val="Hyperlink"/>
            <w:noProof/>
          </w:rPr>
          <w:t>Administrative and Legal Committee</w:t>
        </w:r>
        <w:r w:rsidR="000D5A9E" w:rsidRPr="000D5A9E">
          <w:rPr>
            <w:noProof/>
            <w:webHidden/>
          </w:rPr>
          <w:tab/>
        </w:r>
        <w:r w:rsidR="000D5A9E" w:rsidRPr="000D5A9E">
          <w:rPr>
            <w:noProof/>
            <w:webHidden/>
          </w:rPr>
          <w:fldChar w:fldCharType="begin"/>
        </w:r>
        <w:r w:rsidR="000D5A9E" w:rsidRPr="000D5A9E">
          <w:rPr>
            <w:noProof/>
            <w:webHidden/>
          </w:rPr>
          <w:instrText xml:space="preserve"> PAGEREF _Toc412203169 \h </w:instrText>
        </w:r>
        <w:r w:rsidR="000D5A9E" w:rsidRPr="000D5A9E">
          <w:rPr>
            <w:noProof/>
            <w:webHidden/>
          </w:rPr>
        </w:r>
        <w:r w:rsidR="000D5A9E" w:rsidRPr="000D5A9E">
          <w:rPr>
            <w:noProof/>
            <w:webHidden/>
          </w:rPr>
          <w:fldChar w:fldCharType="separate"/>
        </w:r>
        <w:r>
          <w:rPr>
            <w:noProof/>
            <w:webHidden/>
          </w:rPr>
          <w:t>3</w:t>
        </w:r>
        <w:r w:rsidR="000D5A9E" w:rsidRPr="000D5A9E">
          <w:rPr>
            <w:noProof/>
            <w:webHidden/>
          </w:rPr>
          <w:fldChar w:fldCharType="end"/>
        </w:r>
      </w:hyperlink>
    </w:p>
    <w:p w:rsidR="000D5A9E" w:rsidRPr="000D5A9E" w:rsidRDefault="00F41FD2" w:rsidP="000D5A9E">
      <w:pPr>
        <w:pStyle w:val="TOC3"/>
        <w:tabs>
          <w:tab w:val="right" w:leader="dot" w:pos="9628"/>
        </w:tabs>
        <w:spacing w:line="276" w:lineRule="auto"/>
        <w:rPr>
          <w:rFonts w:asciiTheme="minorHAnsi" w:eastAsiaTheme="minorEastAsia" w:hAnsiTheme="minorHAnsi" w:cstheme="minorBidi"/>
          <w:i w:val="0"/>
          <w:iCs w:val="0"/>
          <w:noProof/>
          <w:sz w:val="22"/>
          <w:szCs w:val="22"/>
        </w:rPr>
      </w:pPr>
      <w:hyperlink w:anchor="_Toc412203170" w:history="1">
        <w:r w:rsidR="000D5A9E" w:rsidRPr="000D5A9E">
          <w:rPr>
            <w:rStyle w:val="Hyperlink"/>
            <w:noProof/>
          </w:rPr>
          <w:t>Technical Working Parties</w:t>
        </w:r>
        <w:r w:rsidR="000D5A9E" w:rsidRPr="000D5A9E">
          <w:rPr>
            <w:noProof/>
            <w:webHidden/>
          </w:rPr>
          <w:tab/>
        </w:r>
        <w:r w:rsidR="000D5A9E" w:rsidRPr="000D5A9E">
          <w:rPr>
            <w:noProof/>
            <w:webHidden/>
          </w:rPr>
          <w:fldChar w:fldCharType="begin"/>
        </w:r>
        <w:r w:rsidR="000D5A9E" w:rsidRPr="000D5A9E">
          <w:rPr>
            <w:noProof/>
            <w:webHidden/>
          </w:rPr>
          <w:instrText xml:space="preserve"> PAGEREF _Toc412203170 \h </w:instrText>
        </w:r>
        <w:r w:rsidR="000D5A9E" w:rsidRPr="000D5A9E">
          <w:rPr>
            <w:noProof/>
            <w:webHidden/>
          </w:rPr>
        </w:r>
        <w:r w:rsidR="000D5A9E" w:rsidRPr="000D5A9E">
          <w:rPr>
            <w:noProof/>
            <w:webHidden/>
          </w:rPr>
          <w:fldChar w:fldCharType="separate"/>
        </w:r>
        <w:r>
          <w:rPr>
            <w:noProof/>
            <w:webHidden/>
          </w:rPr>
          <w:t>4</w:t>
        </w:r>
        <w:r w:rsidR="000D5A9E" w:rsidRPr="000D5A9E">
          <w:rPr>
            <w:noProof/>
            <w:webHidden/>
          </w:rPr>
          <w:fldChar w:fldCharType="end"/>
        </w:r>
      </w:hyperlink>
    </w:p>
    <w:p w:rsidR="00A13473" w:rsidRPr="00A13473" w:rsidRDefault="00C40551" w:rsidP="000D5A9E">
      <w:pPr>
        <w:spacing w:before="120" w:after="120" w:line="276" w:lineRule="auto"/>
        <w:ind w:left="1418" w:hanging="851"/>
      </w:pPr>
      <w:r w:rsidRPr="000D5A9E">
        <w:rPr>
          <w:rFonts w:cs="Arial"/>
        </w:rPr>
        <w:fldChar w:fldCharType="end"/>
      </w:r>
    </w:p>
    <w:p w:rsidR="008F0675" w:rsidRPr="006D54BA" w:rsidRDefault="008F0675" w:rsidP="00AE69FD">
      <w:pPr>
        <w:pStyle w:val="Heading1"/>
      </w:pPr>
      <w:bookmarkStart w:id="6" w:name="_Toc412203165"/>
      <w:r w:rsidRPr="006D54BA">
        <w:t>Background</w:t>
      </w:r>
      <w:bookmarkEnd w:id="6"/>
    </w:p>
    <w:p w:rsidR="008F0675" w:rsidRPr="006D54BA" w:rsidRDefault="008F0675" w:rsidP="008F0675">
      <w:pPr>
        <w:rPr>
          <w:rFonts w:cs="Arial"/>
        </w:rPr>
      </w:pPr>
    </w:p>
    <w:p w:rsidR="008F0675" w:rsidRPr="006D54BA" w:rsidRDefault="008F0675" w:rsidP="008F0675">
      <w:pPr>
        <w:rPr>
          <w:rFonts w:cs="Arial"/>
        </w:rPr>
      </w:pPr>
      <w:r w:rsidRPr="006D54BA">
        <w:rPr>
          <w:rFonts w:cs="Arial"/>
        </w:rPr>
        <w:fldChar w:fldCharType="begin"/>
      </w:r>
      <w:r w:rsidRPr="006D54BA">
        <w:rPr>
          <w:rFonts w:cs="Arial"/>
        </w:rPr>
        <w:instrText xml:space="preserve"> AUTONUM  </w:instrText>
      </w:r>
      <w:r w:rsidRPr="006D54BA">
        <w:rPr>
          <w:rFonts w:cs="Arial"/>
        </w:rPr>
        <w:fldChar w:fldCharType="end"/>
      </w:r>
      <w:r w:rsidRPr="006D54BA">
        <w:rPr>
          <w:rFonts w:cs="Arial"/>
        </w:rPr>
        <w:tab/>
        <w:t>At its forty-fifth session, held in Geneva from March 30 to April 1, 2009, t</w:t>
      </w:r>
      <w:r w:rsidRPr="006D54BA">
        <w:rPr>
          <w:rFonts w:cs="Arial"/>
          <w:snapToGrid w:val="0"/>
          <w:szCs w:val="24"/>
        </w:rPr>
        <w:t xml:space="preserve">he Technical Committee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w:t>
      </w:r>
      <w:smartTag w:uri="urn:schemas-microsoft-com:office:smarttags" w:element="place">
        <w:r w:rsidRPr="006D54BA">
          <w:rPr>
            <w:rFonts w:cs="Arial"/>
            <w:snapToGrid w:val="0"/>
            <w:szCs w:val="24"/>
          </w:rPr>
          <w:t>Union</w:t>
        </w:r>
      </w:smartTag>
      <w:r w:rsidRPr="006D54BA">
        <w:rPr>
          <w:rFonts w:cs="Arial"/>
          <w:snapToGrid w:val="0"/>
          <w:szCs w:val="24"/>
        </w:rPr>
        <w:t xml:space="preserve"> to report on that work in a coherent way to the TC, the Technical Working Parties (TWPs) and the Working Group on Biochemical and Molecular Techniques and DNA Profiling in Particular (BMT).  On that basis, the TC agreed to replace the agenda item “Publication of variety </w:t>
      </w:r>
      <w:r w:rsidRPr="006D54BA">
        <w:rPr>
          <w:rFonts w:cs="Arial"/>
          <w:snapToGrid w:val="0"/>
          <w:szCs w:val="24"/>
        </w:rPr>
        <w:lastRenderedPageBreak/>
        <w:t xml:space="preserve">descriptions” with an item for “Variety description databases” on the agendas of the forthcoming sessions of the TC, TWPs and the BMT.  In that respect, it recalled the importance of the </w:t>
      </w:r>
      <w:r w:rsidRPr="006D54BA">
        <w:rPr>
          <w:rFonts w:cs="Arial"/>
        </w:rPr>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6D54BA">
        <w:rPr>
          <w:rFonts w:cs="Arial"/>
          <w:color w:val="000000"/>
        </w:rPr>
        <w:t xml:space="preserve">see document </w:t>
      </w:r>
      <w:r w:rsidRPr="006D54BA">
        <w:rPr>
          <w:rFonts w:cs="Arial"/>
          <w:snapToGrid w:val="0"/>
          <w:color w:val="000000"/>
        </w:rPr>
        <w:t>TC/45/16 “Report”, paragraph 173)</w:t>
      </w:r>
      <w:r w:rsidRPr="006D54BA">
        <w:rPr>
          <w:rFonts w:cs="Arial"/>
        </w:rPr>
        <w:t>.</w:t>
      </w:r>
    </w:p>
    <w:p w:rsidR="00C40551" w:rsidRDefault="00C40551" w:rsidP="002E7D89">
      <w:pPr>
        <w:rPr>
          <w:rFonts w:cs="Arial"/>
        </w:rPr>
      </w:pPr>
    </w:p>
    <w:p w:rsidR="00E148A2" w:rsidRDefault="00E148A2" w:rsidP="00E148A2">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Developments prior to 2014 are presented in </w:t>
      </w:r>
      <w:r w:rsidR="003E3E8D">
        <w:t>document TC/50/7 “Variety description databases”</w:t>
      </w:r>
      <w:r w:rsidRPr="004717F7">
        <w:rPr>
          <w:rFonts w:cs="Arial"/>
        </w:rPr>
        <w:t>.</w:t>
      </w:r>
      <w:r>
        <w:rPr>
          <w:rFonts w:cs="Arial"/>
          <w:color w:val="000000"/>
        </w:rPr>
        <w:t xml:space="preserve">   </w:t>
      </w:r>
    </w:p>
    <w:p w:rsidR="00D801EF" w:rsidRDefault="00D801EF" w:rsidP="00D801EF"/>
    <w:p w:rsidR="00C11F61" w:rsidRDefault="00C11F61" w:rsidP="00C11F61">
      <w:pPr>
        <w:pStyle w:val="Heading1"/>
        <w:rPr>
          <w:snapToGrid w:val="0"/>
        </w:rPr>
      </w:pPr>
      <w:bookmarkStart w:id="7" w:name="_Toc412203166"/>
      <w:r>
        <w:rPr>
          <w:snapToGrid w:val="0"/>
        </w:rPr>
        <w:t>Developments in 2014</w:t>
      </w:r>
      <w:bookmarkEnd w:id="7"/>
    </w:p>
    <w:p w:rsidR="00C11F61" w:rsidRDefault="00C11F61" w:rsidP="00C11F61"/>
    <w:p w:rsidR="00C11F61" w:rsidRPr="00F86C49" w:rsidRDefault="00C11F61" w:rsidP="00F86C49">
      <w:pPr>
        <w:pStyle w:val="Heading3"/>
      </w:pPr>
      <w:bookmarkStart w:id="8" w:name="_Toc412203167"/>
      <w:r w:rsidRPr="00F86C49">
        <w:t>Technical Committee</w:t>
      </w:r>
      <w:bookmarkEnd w:id="8"/>
    </w:p>
    <w:p w:rsidR="00C11F61" w:rsidRDefault="00C11F61" w:rsidP="00C11F61"/>
    <w:p w:rsidR="00C11F61" w:rsidRDefault="00C11F61" w:rsidP="00C11F61">
      <w:pPr>
        <w:rPr>
          <w:snapToGrid w:val="0"/>
        </w:rPr>
      </w:pPr>
      <w:r>
        <w:fldChar w:fldCharType="begin"/>
      </w:r>
      <w:r>
        <w:instrText xml:space="preserve"> AUTONUM  </w:instrText>
      </w:r>
      <w:r>
        <w:fldChar w:fldCharType="end"/>
      </w:r>
      <w:r>
        <w:tab/>
      </w:r>
      <w:r w:rsidR="00A9630A">
        <w:t>The TC at its fiftieth session, held in Geneva from April 7 to 9, 2014</w:t>
      </w:r>
      <w:r>
        <w:t xml:space="preserve"> considered document TC/50/7 “Variety description databases” and noted </w:t>
      </w:r>
      <w:r w:rsidRPr="0008344F">
        <w:t xml:space="preserve">the developments on </w:t>
      </w:r>
      <w:r w:rsidRPr="0008344F">
        <w:rPr>
          <w:snapToGrid w:val="0"/>
        </w:rPr>
        <w:t>variety description databases</w:t>
      </w:r>
      <w:r>
        <w:rPr>
          <w:snapToGrid w:val="0"/>
        </w:rPr>
        <w:t xml:space="preserve"> (see document TC/50/36 “</w:t>
      </w:r>
      <w:r w:rsidRPr="00C11F61">
        <w:rPr>
          <w:snapToGrid w:val="0"/>
        </w:rPr>
        <w:t>Report on the conclusions</w:t>
      </w:r>
      <w:r>
        <w:rPr>
          <w:snapToGrid w:val="0"/>
        </w:rPr>
        <w:t>”, paragraphs 102 and 103).</w:t>
      </w:r>
    </w:p>
    <w:p w:rsidR="00C11F61" w:rsidRDefault="00C11F61" w:rsidP="00C11F61">
      <w:pPr>
        <w:rPr>
          <w:snapToGrid w:val="0"/>
        </w:rPr>
      </w:pPr>
    </w:p>
    <w:p w:rsidR="00A9630A" w:rsidRDefault="00C11F61" w:rsidP="00C11F61">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TC noted that</w:t>
      </w:r>
      <w:r w:rsidR="00A9630A">
        <w:rPr>
          <w:snapToGrid w:val="0"/>
        </w:rPr>
        <w:t>:</w:t>
      </w:r>
    </w:p>
    <w:p w:rsidR="00A9630A" w:rsidRDefault="00A9630A" w:rsidP="00C11F61">
      <w:pPr>
        <w:rPr>
          <w:snapToGrid w:val="0"/>
        </w:rPr>
      </w:pPr>
    </w:p>
    <w:p w:rsidR="00C11F61" w:rsidRPr="00A9630A" w:rsidRDefault="00C11F61" w:rsidP="00A9630A">
      <w:pPr>
        <w:pStyle w:val="ListParagraph"/>
        <w:numPr>
          <w:ilvl w:val="0"/>
          <w:numId w:val="7"/>
        </w:numPr>
        <w:spacing w:before="0" w:beforeAutospacing="0" w:after="120" w:afterAutospacing="0"/>
        <w:ind w:left="714" w:hanging="357"/>
        <w:rPr>
          <w:rFonts w:ascii="Arial" w:hAnsi="Arial"/>
          <w:snapToGrid w:val="0"/>
          <w:sz w:val="20"/>
          <w:szCs w:val="20"/>
          <w:lang w:val="en-US" w:eastAsia="en-US"/>
        </w:rPr>
      </w:pPr>
      <w:proofErr w:type="gramStart"/>
      <w:r w:rsidRPr="00A9630A">
        <w:rPr>
          <w:rFonts w:ascii="Arial" w:hAnsi="Arial"/>
          <w:snapToGrid w:val="0"/>
          <w:sz w:val="20"/>
          <w:szCs w:val="20"/>
          <w:lang w:val="en-US" w:eastAsia="en-US"/>
        </w:rPr>
        <w:t>the</w:t>
      </w:r>
      <w:proofErr w:type="gramEnd"/>
      <w:r w:rsidRPr="00A9630A">
        <w:rPr>
          <w:rFonts w:ascii="Arial" w:hAnsi="Arial"/>
          <w:snapToGrid w:val="0"/>
          <w:sz w:val="20"/>
          <w:szCs w:val="20"/>
          <w:lang w:val="en-US" w:eastAsia="en-US"/>
        </w:rPr>
        <w:t xml:space="preserve"> TWV had requested an expert from France to make a presentation, at its </w:t>
      </w:r>
      <w:r w:rsidR="009E3341" w:rsidRPr="00A9630A">
        <w:rPr>
          <w:rFonts w:ascii="Arial" w:hAnsi="Arial"/>
          <w:snapToGrid w:val="0"/>
          <w:sz w:val="20"/>
          <w:szCs w:val="20"/>
          <w:lang w:val="en-US" w:eastAsia="en-US"/>
        </w:rPr>
        <w:t>forty-eighth</w:t>
      </w:r>
      <w:r w:rsidRPr="00A9630A">
        <w:rPr>
          <w:rFonts w:ascii="Arial" w:hAnsi="Arial"/>
          <w:snapToGrid w:val="0"/>
          <w:sz w:val="20"/>
          <w:szCs w:val="20"/>
          <w:lang w:val="en-US" w:eastAsia="en-US"/>
        </w:rPr>
        <w:t xml:space="preserve"> session, on the GEMMA software being used by the Group for Study and Control of Varieties and Seeds (GEVES) in a Community Plant Variety Office of the European Union (CPVO) Research and Development project. In that regard, it noted the report from France that the presentation would not be possible for 2014 (see document TC/50/36 “Report on the conclusions”, paragraphs 104).</w:t>
      </w:r>
    </w:p>
    <w:p w:rsidR="00A9630A" w:rsidRPr="00A9630A" w:rsidRDefault="00C11F61" w:rsidP="00A9630A">
      <w:pPr>
        <w:pStyle w:val="ListParagraph"/>
        <w:numPr>
          <w:ilvl w:val="0"/>
          <w:numId w:val="7"/>
        </w:numPr>
        <w:spacing w:before="0" w:beforeAutospacing="0" w:after="120" w:afterAutospacing="0"/>
        <w:ind w:left="714" w:hanging="357"/>
        <w:rPr>
          <w:rFonts w:ascii="Arial" w:hAnsi="Arial"/>
          <w:snapToGrid w:val="0"/>
          <w:sz w:val="20"/>
          <w:szCs w:val="20"/>
          <w:lang w:val="en-US" w:eastAsia="en-US"/>
        </w:rPr>
      </w:pPr>
      <w:proofErr w:type="gramStart"/>
      <w:r w:rsidRPr="00A9630A">
        <w:rPr>
          <w:rFonts w:ascii="Arial" w:hAnsi="Arial"/>
          <w:snapToGrid w:val="0"/>
          <w:sz w:val="20"/>
          <w:szCs w:val="20"/>
          <w:lang w:val="en-US" w:eastAsia="en-US"/>
        </w:rPr>
        <w:t>the</w:t>
      </w:r>
      <w:proofErr w:type="gramEnd"/>
      <w:r w:rsidRPr="00A9630A">
        <w:rPr>
          <w:rFonts w:ascii="Arial" w:hAnsi="Arial"/>
          <w:snapToGrid w:val="0"/>
          <w:sz w:val="20"/>
          <w:szCs w:val="20"/>
          <w:lang w:val="en-US" w:eastAsia="en-US"/>
        </w:rPr>
        <w:t xml:space="preserve"> TWC had invited an expert from China to make a presentation on variation of variety descriptions over years in different locations, at its thirty-second session. The TC agreed that it would be beneficial to make a presentation to the TWA (see document TC/50/36 “Report on the conclusions”, paragraphs 105).</w:t>
      </w:r>
    </w:p>
    <w:p w:rsidR="00C11F61" w:rsidRPr="00A9630A" w:rsidRDefault="00C11F61" w:rsidP="00A9630A">
      <w:pPr>
        <w:pStyle w:val="ListParagraph"/>
        <w:numPr>
          <w:ilvl w:val="0"/>
          <w:numId w:val="7"/>
        </w:numPr>
        <w:spacing w:before="0" w:beforeAutospacing="0" w:after="120" w:afterAutospacing="0"/>
        <w:ind w:left="714" w:hanging="357"/>
        <w:rPr>
          <w:rFonts w:ascii="Arial" w:hAnsi="Arial"/>
          <w:snapToGrid w:val="0"/>
          <w:sz w:val="20"/>
          <w:szCs w:val="20"/>
          <w:lang w:val="en-US" w:eastAsia="en-US"/>
        </w:rPr>
      </w:pPr>
      <w:r w:rsidRPr="00A9630A">
        <w:rPr>
          <w:rFonts w:ascii="Arial" w:hAnsi="Arial"/>
          <w:snapToGrid w:val="0"/>
          <w:sz w:val="20"/>
          <w:szCs w:val="20"/>
          <w:lang w:val="en-US" w:eastAsia="en-US"/>
        </w:rPr>
        <w:t>the TWC had suggested that the information presented by experts from China, at its thirty-first session, on the research on the construction of DNA fingerprint database in Maize, should be made available to the BMT (see document TC/50/36 “Report on the conclusions”, paragraphs 106).</w:t>
      </w:r>
    </w:p>
    <w:p w:rsidR="00C11F61" w:rsidRPr="00A9630A" w:rsidRDefault="00C11F61" w:rsidP="00A9630A">
      <w:pPr>
        <w:pStyle w:val="ListParagraph"/>
        <w:numPr>
          <w:ilvl w:val="0"/>
          <w:numId w:val="7"/>
        </w:numPr>
        <w:spacing w:before="0" w:beforeAutospacing="0" w:after="120" w:afterAutospacing="0"/>
        <w:ind w:left="714" w:hanging="357"/>
        <w:rPr>
          <w:rFonts w:ascii="Arial" w:hAnsi="Arial"/>
          <w:snapToGrid w:val="0"/>
          <w:sz w:val="20"/>
          <w:szCs w:val="20"/>
          <w:lang w:val="en-US" w:eastAsia="en-US"/>
        </w:rPr>
      </w:pPr>
      <w:proofErr w:type="gramStart"/>
      <w:r w:rsidRPr="00A9630A">
        <w:rPr>
          <w:rFonts w:ascii="Arial" w:hAnsi="Arial"/>
          <w:snapToGrid w:val="0"/>
          <w:sz w:val="20"/>
          <w:szCs w:val="20"/>
          <w:lang w:val="en-US" w:eastAsia="en-US"/>
        </w:rPr>
        <w:t>the</w:t>
      </w:r>
      <w:proofErr w:type="gramEnd"/>
      <w:r w:rsidRPr="00A9630A">
        <w:rPr>
          <w:rFonts w:ascii="Arial" w:hAnsi="Arial"/>
          <w:snapToGrid w:val="0"/>
          <w:sz w:val="20"/>
          <w:szCs w:val="20"/>
          <w:lang w:val="en-US" w:eastAsia="en-US"/>
        </w:rPr>
        <w:t xml:space="preserve"> TWF had invited an expert from the European Union to present the development of a database for Peach and noted the report that this presentation would now be made in 2015 (see document TC/50/36 “Report on the conclusions”, paragraphs 107).</w:t>
      </w:r>
    </w:p>
    <w:p w:rsidR="00C11F61" w:rsidRPr="00A9630A" w:rsidRDefault="00C11F61" w:rsidP="00A9630A">
      <w:pPr>
        <w:pStyle w:val="ListParagraph"/>
        <w:numPr>
          <w:ilvl w:val="0"/>
          <w:numId w:val="7"/>
        </w:numPr>
        <w:spacing w:before="0" w:beforeAutospacing="0" w:after="120" w:afterAutospacing="0"/>
        <w:ind w:left="714" w:hanging="357"/>
        <w:rPr>
          <w:rFonts w:ascii="Arial" w:hAnsi="Arial"/>
          <w:snapToGrid w:val="0"/>
          <w:sz w:val="20"/>
          <w:szCs w:val="20"/>
          <w:lang w:val="en-US" w:eastAsia="en-US"/>
        </w:rPr>
      </w:pPr>
      <w:proofErr w:type="gramStart"/>
      <w:r w:rsidRPr="00A9630A">
        <w:rPr>
          <w:rFonts w:ascii="Arial" w:hAnsi="Arial"/>
          <w:snapToGrid w:val="0"/>
          <w:sz w:val="20"/>
          <w:szCs w:val="20"/>
          <w:lang w:val="en-US" w:eastAsia="en-US"/>
        </w:rPr>
        <w:t>the</w:t>
      </w:r>
      <w:proofErr w:type="gramEnd"/>
      <w:r w:rsidRPr="00A9630A">
        <w:rPr>
          <w:rFonts w:ascii="Arial" w:hAnsi="Arial"/>
          <w:snapToGrid w:val="0"/>
          <w:sz w:val="20"/>
          <w:szCs w:val="20"/>
          <w:lang w:val="en-US" w:eastAsia="en-US"/>
        </w:rPr>
        <w:t xml:space="preserve"> TWO had requested an expert from Australia to lead an initial study on the viability of the development of a database, in a similar way to the database being developed for Pea, at its forty</w:t>
      </w:r>
      <w:r w:rsidRPr="00A9630A">
        <w:rPr>
          <w:rFonts w:ascii="Arial" w:hAnsi="Arial"/>
          <w:snapToGrid w:val="0"/>
          <w:sz w:val="20"/>
          <w:szCs w:val="20"/>
          <w:lang w:val="en-US" w:eastAsia="en-US"/>
        </w:rPr>
        <w:noBreakHyphen/>
        <w:t>seventh session (see document TC/50/36 “Report on the conclusions”, paragraphs 108).</w:t>
      </w:r>
    </w:p>
    <w:p w:rsidR="00C11F61" w:rsidRPr="002070BE" w:rsidRDefault="00C11F61" w:rsidP="00C11F61"/>
    <w:p w:rsidR="00C11F61" w:rsidRDefault="00A9630A" w:rsidP="00C11F61">
      <w:r w:rsidRPr="002070BE">
        <w:rPr>
          <w:snapToGrid w:val="0"/>
        </w:rPr>
        <w:fldChar w:fldCharType="begin"/>
      </w:r>
      <w:r w:rsidRPr="002070BE">
        <w:rPr>
          <w:snapToGrid w:val="0"/>
        </w:rPr>
        <w:instrText xml:space="preserve"> AUTONUM  </w:instrText>
      </w:r>
      <w:r w:rsidRPr="002070BE">
        <w:rPr>
          <w:snapToGrid w:val="0"/>
        </w:rPr>
        <w:fldChar w:fldCharType="end"/>
      </w:r>
      <w:r w:rsidRPr="002070BE">
        <w:rPr>
          <w:snapToGrid w:val="0"/>
        </w:rPr>
        <w:tab/>
      </w:r>
      <w:r>
        <w:t xml:space="preserve">In relation to paragraph </w:t>
      </w:r>
      <w:r w:rsidR="003E3E8D">
        <w:t>7</w:t>
      </w:r>
      <w:r>
        <w:t xml:space="preserve"> (e)</w:t>
      </w:r>
      <w:r w:rsidR="003E3E8D">
        <w:t xml:space="preserve"> of this document</w:t>
      </w:r>
      <w:r>
        <w:t>, the expert from Australia informed the Office that th</w:t>
      </w:r>
      <w:r w:rsidR="003E3E8D">
        <w:t>e development of a database did</w:t>
      </w:r>
      <w:r>
        <w:t xml:space="preserve"> not appear to be relevant for the TWO.</w:t>
      </w:r>
    </w:p>
    <w:p w:rsidR="00A9630A" w:rsidRDefault="00A9630A" w:rsidP="00C11F61"/>
    <w:p w:rsidR="00A9630A" w:rsidRPr="00C25F83" w:rsidRDefault="00A9630A" w:rsidP="00A9630A">
      <w:pPr>
        <w:pStyle w:val="Heading3"/>
      </w:pPr>
      <w:bookmarkStart w:id="9" w:name="_Toc387851758"/>
      <w:bookmarkStart w:id="10" w:name="_Toc412203168"/>
      <w:r w:rsidRPr="00C25F83">
        <w:t>Matters raised by the International Seed Federation (ISF)</w:t>
      </w:r>
      <w:bookmarkEnd w:id="9"/>
      <w:bookmarkEnd w:id="10"/>
    </w:p>
    <w:p w:rsidR="00A9630A" w:rsidRDefault="00A9630A" w:rsidP="00A9630A"/>
    <w:p w:rsidR="00A9630A" w:rsidRPr="00C25F83" w:rsidRDefault="00A9630A" w:rsidP="00A9630A">
      <w:pPr>
        <w:rPr>
          <w:snapToGrid w:val="0"/>
        </w:rPr>
      </w:pPr>
      <w:r>
        <w:fldChar w:fldCharType="begin"/>
      </w:r>
      <w:r>
        <w:instrText xml:space="preserve"> AUTONUM  </w:instrText>
      </w:r>
      <w:r>
        <w:fldChar w:fldCharType="end"/>
      </w:r>
      <w:r>
        <w:tab/>
        <w:t>T</w:t>
      </w:r>
      <w:r w:rsidRPr="00505A73">
        <w:t>he Consultative Committee</w:t>
      </w:r>
      <w:r>
        <w:t>,</w:t>
      </w:r>
      <w:r w:rsidRPr="00505A73">
        <w:t xml:space="preserve"> </w:t>
      </w:r>
      <w:r>
        <w:t>at</w:t>
      </w:r>
      <w:r w:rsidRPr="00505A73">
        <w:t xml:space="preserve"> its eighty-sixth session, held in Geneva on October 23</w:t>
      </w:r>
      <w:r>
        <w:t xml:space="preserve"> and 24</w:t>
      </w:r>
      <w:r w:rsidRPr="00505A73">
        <w:t>, 2013, discuss</w:t>
      </w:r>
      <w:r>
        <w:t>ed</w:t>
      </w:r>
      <w:r w:rsidRPr="00505A73">
        <w:t xml:space="preserve"> the letter of the International Seed Federation (ISF) of January 21, 2013, on the subject “Application, examination and granting aspects of PBR applications” and invite</w:t>
      </w:r>
      <w:r>
        <w:t>d</w:t>
      </w:r>
      <w:r w:rsidRPr="00505A73">
        <w:t xml:space="preserve"> ISF to present its views at the relevant part of that item</w:t>
      </w:r>
      <w:r>
        <w:t xml:space="preserve"> </w:t>
      </w:r>
      <w:r w:rsidRPr="00C25F83">
        <w:rPr>
          <w:snapToGrid w:val="0"/>
        </w:rPr>
        <w:t>(</w:t>
      </w:r>
      <w:r w:rsidRPr="00C25F83">
        <w:t xml:space="preserve">see document C/47/15 Rev. “Report by the President on the work of the eighty-sixth session of the Consultative Committee; adoption of recommendations, if any, prepared by that Committee”, </w:t>
      </w:r>
      <w:r w:rsidRPr="00C25F83">
        <w:rPr>
          <w:snapToGrid w:val="0"/>
        </w:rPr>
        <w:t>paragraphs 62 to 66).</w:t>
      </w:r>
    </w:p>
    <w:p w:rsidR="00A9630A" w:rsidRDefault="00A9630A" w:rsidP="00A9630A">
      <w:pPr>
        <w:rPr>
          <w:i/>
          <w:snapToGrid w:val="0"/>
        </w:rPr>
      </w:pPr>
    </w:p>
    <w:p w:rsidR="00A9630A" w:rsidRDefault="00A9630A" w:rsidP="00A9630A">
      <w:pPr>
        <w:tabs>
          <w:tab w:val="left" w:pos="567"/>
        </w:tabs>
      </w:pPr>
      <w:r>
        <w:fldChar w:fldCharType="begin"/>
      </w:r>
      <w:r>
        <w:instrText xml:space="preserve"> AUTONUM  </w:instrText>
      </w:r>
      <w:r>
        <w:fldChar w:fldCharType="end"/>
      </w:r>
      <w:r>
        <w:tab/>
        <w:t>The TC invited ISF to consider the relevant UPOV materials and to explain where it considered that further guidance might be developed in relation to the following matters, as set out in document TC/50/10, paragraph 46 (</w:t>
      </w:r>
      <w:r w:rsidRPr="008A572D">
        <w:t>see documen</w:t>
      </w:r>
      <w:r>
        <w:t xml:space="preserve">t TC/50/36 “Report </w:t>
      </w:r>
      <w:r w:rsidRPr="006D54BA">
        <w:t xml:space="preserve">on </w:t>
      </w:r>
      <w:r>
        <w:t>the Conclusions”, paragraph 12):</w:t>
      </w:r>
    </w:p>
    <w:p w:rsidR="00A9630A" w:rsidRDefault="00A9630A" w:rsidP="00A9630A">
      <w:pPr>
        <w:tabs>
          <w:tab w:val="left" w:pos="567"/>
        </w:tabs>
      </w:pPr>
    </w:p>
    <w:p w:rsidR="00A9630A" w:rsidRDefault="00A9630A" w:rsidP="00A9630A">
      <w:pPr>
        <w:tabs>
          <w:tab w:val="left" w:pos="993"/>
        </w:tabs>
        <w:ind w:left="709" w:hanging="142"/>
      </w:pPr>
      <w:r>
        <w:t>(a)</w:t>
      </w:r>
      <w:r>
        <w:tab/>
        <w:t>Photographs</w:t>
      </w:r>
    </w:p>
    <w:p w:rsidR="00A9630A" w:rsidRDefault="00A9630A" w:rsidP="00A9630A">
      <w:pPr>
        <w:tabs>
          <w:tab w:val="left" w:pos="993"/>
        </w:tabs>
        <w:ind w:left="709" w:hanging="142"/>
      </w:pPr>
      <w:r>
        <w:t>(b)</w:t>
      </w:r>
      <w:r>
        <w:tab/>
        <w:t>Minimum sample size</w:t>
      </w:r>
    </w:p>
    <w:p w:rsidR="00A9630A" w:rsidRDefault="00A9630A" w:rsidP="00A9630A">
      <w:pPr>
        <w:tabs>
          <w:tab w:val="left" w:pos="993"/>
        </w:tabs>
        <w:ind w:left="709" w:hanging="142"/>
      </w:pPr>
      <w:r>
        <w:t>(c)</w:t>
      </w:r>
      <w:r>
        <w:tab/>
        <w:t>Reference collections</w:t>
      </w:r>
    </w:p>
    <w:p w:rsidR="00A9630A" w:rsidRDefault="00A9630A" w:rsidP="00A9630A">
      <w:pPr>
        <w:tabs>
          <w:tab w:val="left" w:pos="993"/>
        </w:tabs>
        <w:ind w:left="709" w:hanging="142"/>
      </w:pPr>
      <w:r>
        <w:t>(d)</w:t>
      </w:r>
      <w:r>
        <w:tab/>
        <w:t>Length of examination</w:t>
      </w:r>
    </w:p>
    <w:p w:rsidR="00A9630A" w:rsidRDefault="00A9630A" w:rsidP="00A9630A">
      <w:pPr>
        <w:tabs>
          <w:tab w:val="left" w:pos="993"/>
        </w:tabs>
        <w:ind w:left="709" w:hanging="142"/>
      </w:pPr>
      <w:bookmarkStart w:id="11" w:name="_Toc381174890"/>
      <w:r w:rsidRPr="00E33A48">
        <w:t>(e)</w:t>
      </w:r>
      <w:r w:rsidRPr="00E33A48">
        <w:tab/>
        <w:t>Variety description of most similar variety</w:t>
      </w:r>
      <w:bookmarkEnd w:id="11"/>
    </w:p>
    <w:p w:rsidR="00A9630A" w:rsidRDefault="00A9630A" w:rsidP="00A9630A"/>
    <w:p w:rsidR="00DE01E5" w:rsidRDefault="00DE01E5" w:rsidP="00A9630A"/>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A9630A" w:rsidRPr="00D51088" w:rsidTr="00667F80">
        <w:tc>
          <w:tcPr>
            <w:tcW w:w="8646" w:type="dxa"/>
            <w:shd w:val="clear" w:color="auto" w:fill="auto"/>
          </w:tcPr>
          <w:p w:rsidR="00A9630A" w:rsidRPr="008546E4" w:rsidRDefault="00A9630A" w:rsidP="00667F80">
            <w:pPr>
              <w:rPr>
                <w:rFonts w:eastAsia="MS Mincho"/>
                <w:sz w:val="18"/>
                <w:szCs w:val="18"/>
              </w:rPr>
            </w:pPr>
            <w:r w:rsidRPr="008546E4">
              <w:rPr>
                <w:rFonts w:eastAsia="MS Mincho"/>
                <w:sz w:val="18"/>
                <w:szCs w:val="18"/>
              </w:rPr>
              <w:lastRenderedPageBreak/>
              <w:t>[Extract from ISF letter]</w:t>
            </w:r>
          </w:p>
          <w:p w:rsidR="00A9630A" w:rsidRPr="008546E4" w:rsidRDefault="00A9630A" w:rsidP="00667F80">
            <w:pPr>
              <w:rPr>
                <w:rFonts w:eastAsia="MS Mincho"/>
                <w:sz w:val="18"/>
                <w:szCs w:val="18"/>
              </w:rPr>
            </w:pPr>
            <w:r w:rsidRPr="008546E4">
              <w:rPr>
                <w:rFonts w:eastAsia="MS Mincho"/>
                <w:sz w:val="18"/>
                <w:szCs w:val="18"/>
              </w:rPr>
              <w:t>“</w:t>
            </w:r>
            <w:r w:rsidRPr="008546E4">
              <w:rPr>
                <w:rFonts w:eastAsia="MS Mincho"/>
                <w:sz w:val="18"/>
                <w:szCs w:val="18"/>
                <w:u w:val="single"/>
              </w:rPr>
              <w:t>Variety description of most similar variety</w:t>
            </w:r>
            <w:r w:rsidRPr="008546E4">
              <w:rPr>
                <w:rFonts w:eastAsia="MS Mincho"/>
                <w:sz w:val="18"/>
                <w:szCs w:val="18"/>
              </w:rPr>
              <w:t xml:space="preserve">:  In some countries the applicant is requested to provide the full variety description of the most similar </w:t>
            </w:r>
            <w:proofErr w:type="gramStart"/>
            <w:r w:rsidRPr="008546E4">
              <w:rPr>
                <w:rFonts w:eastAsia="MS Mincho"/>
                <w:sz w:val="18"/>
                <w:szCs w:val="18"/>
              </w:rPr>
              <w:t>variety(</w:t>
            </w:r>
            <w:proofErr w:type="spellStart"/>
            <w:proofErr w:type="gramEnd"/>
            <w:r w:rsidRPr="008546E4">
              <w:rPr>
                <w:rFonts w:eastAsia="MS Mincho"/>
                <w:sz w:val="18"/>
                <w:szCs w:val="18"/>
              </w:rPr>
              <w:t>ies</w:t>
            </w:r>
            <w:proofErr w:type="spellEnd"/>
            <w:r w:rsidRPr="008546E4">
              <w:rPr>
                <w:rFonts w:eastAsia="MS Mincho"/>
                <w:sz w:val="18"/>
                <w:szCs w:val="18"/>
              </w:rPr>
              <w:t>), whereas in the spirit of UPOV only the differences between the candidate variety and the most similar variety need to be provided.  ISF members in general feel that providing a full description of the candidate and the comparison varieties is overly burdensome for the applicant.  It is time consuming and causes delays in the application process.  In most cases a special observational trial has to be set up to make such variety descriptions.  In case of a priority claim this can be a big disadvantage for the applicant.  Providing a full variety description of the most similar varieties is an even larger problem if these are competitor varieties.</w:t>
            </w:r>
          </w:p>
          <w:p w:rsidR="00A9630A" w:rsidRPr="008546E4" w:rsidRDefault="00A9630A" w:rsidP="00667F80">
            <w:pPr>
              <w:rPr>
                <w:rFonts w:eastAsia="MS Mincho"/>
                <w:sz w:val="18"/>
                <w:szCs w:val="18"/>
              </w:rPr>
            </w:pPr>
          </w:p>
          <w:p w:rsidR="00A9630A" w:rsidRPr="008546E4" w:rsidRDefault="00A9630A" w:rsidP="00667F80">
            <w:pPr>
              <w:rPr>
                <w:rFonts w:eastAsia="MS Mincho"/>
                <w:sz w:val="18"/>
                <w:szCs w:val="18"/>
              </w:rPr>
            </w:pPr>
            <w:r w:rsidRPr="008546E4">
              <w:rPr>
                <w:rFonts w:eastAsia="MS Mincho"/>
                <w:sz w:val="18"/>
                <w:szCs w:val="18"/>
              </w:rPr>
              <w:t>“The applicant should only be requested to provide the differences between the candidate and the most similar varieties.  In other words only the TQ as set up by UPOV should have to be filled out.</w:t>
            </w:r>
          </w:p>
          <w:p w:rsidR="00A9630A" w:rsidRPr="008546E4" w:rsidRDefault="00A9630A" w:rsidP="00667F80">
            <w:pPr>
              <w:rPr>
                <w:rFonts w:eastAsia="MS Mincho"/>
                <w:sz w:val="18"/>
                <w:szCs w:val="18"/>
              </w:rPr>
            </w:pPr>
          </w:p>
          <w:p w:rsidR="00A9630A" w:rsidRPr="008546E4" w:rsidRDefault="00A9630A" w:rsidP="00667F80">
            <w:pPr>
              <w:rPr>
                <w:rFonts w:eastAsia="MS Mincho"/>
                <w:sz w:val="18"/>
                <w:szCs w:val="18"/>
              </w:rPr>
            </w:pPr>
            <w:r w:rsidRPr="008546E4">
              <w:rPr>
                <w:rFonts w:eastAsia="MS Mincho"/>
                <w:sz w:val="18"/>
                <w:szCs w:val="18"/>
              </w:rPr>
              <w:t>“Breeding techniques change fast and so do varieties.  New characteristics are being added to the current list all the time.  So there is a need for timely introduction of new characteristics into TQ's and variety descriptions, to ensure enough distinguishing power between varieties.”</w:t>
            </w:r>
          </w:p>
          <w:p w:rsidR="00A9630A" w:rsidRPr="008546E4" w:rsidRDefault="00A9630A" w:rsidP="00667F80">
            <w:pPr>
              <w:rPr>
                <w:rFonts w:eastAsia="MS Mincho"/>
                <w:sz w:val="18"/>
                <w:szCs w:val="18"/>
              </w:rPr>
            </w:pPr>
          </w:p>
        </w:tc>
      </w:tr>
      <w:tr w:rsidR="00A9630A" w:rsidRPr="008546E4" w:rsidTr="00667F80">
        <w:tc>
          <w:tcPr>
            <w:tcW w:w="8646" w:type="dxa"/>
            <w:shd w:val="clear" w:color="auto" w:fill="auto"/>
          </w:tcPr>
          <w:p w:rsidR="00A9630A" w:rsidRPr="008546E4" w:rsidRDefault="00A9630A" w:rsidP="00667F80">
            <w:pPr>
              <w:rPr>
                <w:rFonts w:eastAsia="MS Mincho" w:cs="Arial"/>
                <w:i/>
                <w:sz w:val="18"/>
                <w:szCs w:val="18"/>
              </w:rPr>
            </w:pPr>
            <w:r w:rsidRPr="008546E4">
              <w:rPr>
                <w:rFonts w:eastAsia="MS Mincho" w:cs="Arial"/>
                <w:i/>
                <w:sz w:val="18"/>
                <w:szCs w:val="18"/>
              </w:rPr>
              <w:t>Relevant UPOV Materials:</w:t>
            </w:r>
          </w:p>
          <w:p w:rsidR="00A9630A" w:rsidRPr="008546E4" w:rsidRDefault="00A9630A" w:rsidP="00667F80">
            <w:pPr>
              <w:rPr>
                <w:rFonts w:eastAsia="MS Mincho" w:cs="Arial"/>
                <w:i/>
                <w:sz w:val="18"/>
                <w:szCs w:val="18"/>
              </w:rPr>
            </w:pPr>
          </w:p>
          <w:p w:rsidR="00A9630A" w:rsidRPr="008546E4" w:rsidRDefault="00A9630A" w:rsidP="00A9630A">
            <w:pPr>
              <w:pStyle w:val="ListParagraph"/>
              <w:numPr>
                <w:ilvl w:val="0"/>
                <w:numId w:val="8"/>
              </w:numPr>
              <w:tabs>
                <w:tab w:val="left" w:pos="290"/>
                <w:tab w:val="left" w:pos="574"/>
              </w:tabs>
              <w:spacing w:before="0" w:beforeAutospacing="0" w:after="0" w:afterAutospacing="0"/>
              <w:ind w:left="574" w:hanging="284"/>
              <w:contextualSpacing/>
              <w:jc w:val="both"/>
              <w:rPr>
                <w:rFonts w:ascii="Arial" w:eastAsia="MS Mincho" w:hAnsi="Arial" w:cs="Arial"/>
                <w:i/>
                <w:snapToGrid w:val="0"/>
                <w:sz w:val="18"/>
                <w:szCs w:val="18"/>
                <w:lang w:val="en-US"/>
              </w:rPr>
            </w:pPr>
            <w:r w:rsidRPr="008546E4">
              <w:rPr>
                <w:rFonts w:ascii="Arial" w:eastAsia="MS Mincho" w:hAnsi="Arial" w:cs="Arial"/>
                <w:i/>
                <w:snapToGrid w:val="0"/>
                <w:sz w:val="18"/>
                <w:szCs w:val="18"/>
                <w:lang w:val="en-US"/>
              </w:rPr>
              <w:t>TGP/7, Section 4 “Development of Individual Authorities’ Test Guidelines”</w:t>
            </w:r>
          </w:p>
          <w:p w:rsidR="00A9630A" w:rsidRPr="008546E4" w:rsidRDefault="00A9630A" w:rsidP="00A9630A">
            <w:pPr>
              <w:pStyle w:val="ListParagraph"/>
              <w:numPr>
                <w:ilvl w:val="0"/>
                <w:numId w:val="8"/>
              </w:numPr>
              <w:tabs>
                <w:tab w:val="left" w:pos="290"/>
                <w:tab w:val="left" w:pos="574"/>
              </w:tabs>
              <w:spacing w:before="0" w:beforeAutospacing="0" w:after="0" w:afterAutospacing="0"/>
              <w:ind w:left="574" w:hanging="284"/>
              <w:contextualSpacing/>
              <w:jc w:val="both"/>
              <w:rPr>
                <w:rFonts w:ascii="Arial" w:eastAsia="MS Mincho" w:hAnsi="Arial" w:cs="Arial"/>
                <w:i/>
                <w:sz w:val="18"/>
                <w:szCs w:val="18"/>
                <w:lang w:val="en-US"/>
              </w:rPr>
            </w:pPr>
            <w:r w:rsidRPr="008546E4">
              <w:rPr>
                <w:rFonts w:ascii="Arial" w:eastAsia="MS Mincho" w:hAnsi="Arial" w:cs="Arial"/>
                <w:i/>
                <w:snapToGrid w:val="0"/>
                <w:sz w:val="18"/>
                <w:szCs w:val="18"/>
                <w:lang w:val="en-US"/>
              </w:rPr>
              <w:t>TGP/7 “Development of Test Guidelines”, Section 2 “Procedure for the Introduction and Revision of UPOV Test Guidelines”</w:t>
            </w:r>
          </w:p>
        </w:tc>
      </w:tr>
    </w:tbl>
    <w:p w:rsidR="00A9630A" w:rsidRDefault="00A9630A" w:rsidP="00A9630A">
      <w:pPr>
        <w:tabs>
          <w:tab w:val="left" w:pos="993"/>
        </w:tabs>
        <w:spacing w:line="360" w:lineRule="auto"/>
      </w:pPr>
    </w:p>
    <w:p w:rsidR="00A9630A" w:rsidRDefault="00A9630A" w:rsidP="00A9630A">
      <w:pPr>
        <w:tabs>
          <w:tab w:val="left" w:pos="993"/>
        </w:tabs>
        <w:ind w:left="709" w:hanging="142"/>
      </w:pPr>
      <w:bookmarkStart w:id="12" w:name="_Toc381174891"/>
      <w:r w:rsidRPr="00E33A48">
        <w:t>(f)</w:t>
      </w:r>
      <w:r>
        <w:tab/>
      </w:r>
      <w:r w:rsidRPr="005F3D0F">
        <w:t>Variety description by applicant</w:t>
      </w:r>
      <w:bookmarkEnd w:id="12"/>
    </w:p>
    <w:p w:rsidR="00A9630A" w:rsidRDefault="00A9630A" w:rsidP="00A9630A">
      <w:pPr>
        <w:keepNext/>
      </w:pPr>
    </w:p>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A9630A" w:rsidRPr="001362DE" w:rsidTr="00667F80">
        <w:trPr>
          <w:cantSplit/>
        </w:trPr>
        <w:tc>
          <w:tcPr>
            <w:tcW w:w="8646" w:type="dxa"/>
            <w:shd w:val="clear" w:color="auto" w:fill="auto"/>
          </w:tcPr>
          <w:p w:rsidR="00A9630A" w:rsidRPr="008546E4" w:rsidRDefault="00A9630A" w:rsidP="00667F80">
            <w:pPr>
              <w:rPr>
                <w:rFonts w:eastAsia="MS Mincho"/>
                <w:sz w:val="18"/>
                <w:szCs w:val="18"/>
              </w:rPr>
            </w:pPr>
            <w:r w:rsidRPr="008546E4">
              <w:rPr>
                <w:rFonts w:eastAsia="MS Mincho"/>
                <w:sz w:val="18"/>
                <w:szCs w:val="18"/>
              </w:rPr>
              <w:t>[Extract from ISF letter]</w:t>
            </w:r>
          </w:p>
          <w:p w:rsidR="00A9630A" w:rsidRPr="008546E4" w:rsidRDefault="00A9630A" w:rsidP="00667F80">
            <w:pPr>
              <w:rPr>
                <w:rFonts w:eastAsia="MS Mincho"/>
                <w:sz w:val="18"/>
                <w:szCs w:val="18"/>
              </w:rPr>
            </w:pPr>
            <w:r w:rsidRPr="008546E4">
              <w:rPr>
                <w:rFonts w:eastAsia="MS Mincho"/>
                <w:sz w:val="18"/>
                <w:szCs w:val="18"/>
              </w:rPr>
              <w:t>“</w:t>
            </w:r>
            <w:r w:rsidRPr="008546E4">
              <w:rPr>
                <w:rFonts w:eastAsia="MS Mincho"/>
                <w:sz w:val="18"/>
                <w:szCs w:val="18"/>
                <w:u w:val="single"/>
              </w:rPr>
              <w:t>Variety description by applicant</w:t>
            </w:r>
            <w:r w:rsidRPr="008546E4">
              <w:rPr>
                <w:rFonts w:eastAsia="MS Mincho"/>
                <w:sz w:val="18"/>
                <w:szCs w:val="18"/>
              </w:rPr>
              <w:t xml:space="preserve">:  In certain countries varieties are described entirely by the applicant.  This means that the same variety as a result of different influential factors (sowing period, growth environment and applicant-examiner) may be described entirely differently.  In those cases where the applicant makes the variety description there need to be more </w:t>
            </w:r>
            <w:proofErr w:type="gramStart"/>
            <w:r w:rsidRPr="008546E4">
              <w:rPr>
                <w:rFonts w:eastAsia="MS Mincho"/>
                <w:sz w:val="18"/>
                <w:szCs w:val="18"/>
              </w:rPr>
              <w:t>harmonized</w:t>
            </w:r>
            <w:proofErr w:type="gramEnd"/>
            <w:r w:rsidRPr="008546E4">
              <w:rPr>
                <w:rFonts w:eastAsia="MS Mincho"/>
                <w:sz w:val="18"/>
                <w:szCs w:val="18"/>
              </w:rPr>
              <w:t xml:space="preserve"> rules and supervision by the PBR authorities.  Proper calibration according to UPOV standards is a way to overcome the problems.  As a general rule it can be stated that having a central testing office allows for a better and more complete reference collection and provides for a better examination of the candidate varieties.</w:t>
            </w:r>
          </w:p>
          <w:p w:rsidR="00A9630A" w:rsidRPr="008546E4" w:rsidRDefault="00A9630A" w:rsidP="00667F80">
            <w:pPr>
              <w:rPr>
                <w:rFonts w:eastAsia="MS Mincho"/>
                <w:sz w:val="18"/>
                <w:szCs w:val="18"/>
              </w:rPr>
            </w:pPr>
          </w:p>
          <w:p w:rsidR="00A9630A" w:rsidRPr="008546E4" w:rsidRDefault="00A9630A" w:rsidP="00667F80">
            <w:pPr>
              <w:rPr>
                <w:rFonts w:eastAsia="MS Mincho"/>
                <w:sz w:val="18"/>
                <w:szCs w:val="18"/>
              </w:rPr>
            </w:pPr>
            <w:r w:rsidRPr="008546E4">
              <w:rPr>
                <w:rFonts w:eastAsia="MS Mincho"/>
                <w:sz w:val="18"/>
                <w:szCs w:val="18"/>
              </w:rPr>
              <w:t>“Creating a variety description including statistical data is a heavy burden on the applicant which is a reason for seed companies not to apply for PBR in that country.  Example: the same corn varieties have been described in so many different ways that a number of characteristics can no longer be used to distinguish the varieties.”</w:t>
            </w:r>
          </w:p>
          <w:p w:rsidR="00A9630A" w:rsidRPr="008546E4" w:rsidRDefault="00A9630A" w:rsidP="00667F80">
            <w:pPr>
              <w:rPr>
                <w:rFonts w:eastAsia="MS Mincho"/>
                <w:sz w:val="18"/>
                <w:szCs w:val="18"/>
              </w:rPr>
            </w:pPr>
          </w:p>
        </w:tc>
      </w:tr>
      <w:tr w:rsidR="00A9630A" w:rsidRPr="008546E4" w:rsidTr="00667F80">
        <w:tc>
          <w:tcPr>
            <w:tcW w:w="8646" w:type="dxa"/>
            <w:shd w:val="clear" w:color="auto" w:fill="auto"/>
          </w:tcPr>
          <w:p w:rsidR="00A9630A" w:rsidRPr="008546E4" w:rsidRDefault="00A9630A" w:rsidP="00667F80">
            <w:pPr>
              <w:rPr>
                <w:rFonts w:eastAsia="MS Mincho" w:cs="Arial"/>
                <w:i/>
                <w:sz w:val="18"/>
              </w:rPr>
            </w:pPr>
            <w:r w:rsidRPr="008546E4">
              <w:rPr>
                <w:rFonts w:eastAsia="MS Mincho" w:cs="Arial"/>
                <w:i/>
                <w:sz w:val="18"/>
              </w:rPr>
              <w:t>Relevant UPOV Materials:</w:t>
            </w:r>
          </w:p>
          <w:p w:rsidR="00A9630A" w:rsidRPr="008546E4" w:rsidRDefault="00A9630A" w:rsidP="00667F80">
            <w:pPr>
              <w:rPr>
                <w:rFonts w:eastAsia="MS Mincho" w:cs="Arial"/>
                <w:i/>
                <w:sz w:val="18"/>
              </w:rPr>
            </w:pPr>
          </w:p>
          <w:p w:rsidR="00A9630A" w:rsidRPr="008546E4" w:rsidRDefault="00A9630A" w:rsidP="00A9630A">
            <w:pPr>
              <w:pStyle w:val="ListParagraph"/>
              <w:numPr>
                <w:ilvl w:val="0"/>
                <w:numId w:val="8"/>
              </w:numPr>
              <w:tabs>
                <w:tab w:val="left" w:pos="290"/>
                <w:tab w:val="left" w:pos="574"/>
              </w:tabs>
              <w:spacing w:before="0" w:beforeAutospacing="0" w:after="0" w:afterAutospacing="0"/>
              <w:ind w:left="574" w:hanging="284"/>
              <w:contextualSpacing/>
              <w:jc w:val="both"/>
              <w:rPr>
                <w:rFonts w:ascii="Arial" w:eastAsia="MS Mincho" w:hAnsi="Arial" w:cs="Arial"/>
                <w:i/>
                <w:sz w:val="18"/>
                <w:szCs w:val="20"/>
                <w:lang w:val="en-US"/>
              </w:rPr>
            </w:pPr>
            <w:r w:rsidRPr="008546E4">
              <w:rPr>
                <w:rFonts w:ascii="Arial" w:eastAsia="MS Mincho" w:hAnsi="Arial" w:cs="Arial"/>
                <w:i/>
                <w:snapToGrid w:val="0"/>
                <w:color w:val="000000"/>
                <w:sz w:val="18"/>
                <w:szCs w:val="20"/>
                <w:lang w:val="en-US"/>
              </w:rPr>
              <w:t>TGP/6 “Arrangements for DUS Testing”, Section 3 “Declaration on the Conditions for the Examination of a Variety Based Upon Trials Carried out by or on Behalf of the Breeder”</w:t>
            </w:r>
          </w:p>
        </w:tc>
      </w:tr>
    </w:tbl>
    <w:p w:rsidR="00A9630A" w:rsidRDefault="00A9630A" w:rsidP="00A9630A">
      <w:pPr>
        <w:spacing w:line="360" w:lineRule="auto"/>
      </w:pPr>
    </w:p>
    <w:p w:rsidR="00A9630A" w:rsidRDefault="00A9630A" w:rsidP="00A9630A">
      <w:pPr>
        <w:tabs>
          <w:tab w:val="left" w:pos="993"/>
        </w:tabs>
        <w:ind w:left="709" w:hanging="142"/>
      </w:pPr>
      <w:bookmarkStart w:id="13" w:name="_Toc381174892"/>
      <w:r w:rsidRPr="00E33A48">
        <w:t>(g)</w:t>
      </w:r>
      <w:r>
        <w:tab/>
        <w:t>Variety description databases</w:t>
      </w:r>
      <w:bookmarkEnd w:id="13"/>
    </w:p>
    <w:p w:rsidR="00A9630A" w:rsidRDefault="00A9630A" w:rsidP="00A9630A"/>
    <w:tbl>
      <w:tblPr>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A9630A" w:rsidRPr="001362DE" w:rsidTr="00667F80">
        <w:tc>
          <w:tcPr>
            <w:tcW w:w="8646" w:type="dxa"/>
            <w:shd w:val="clear" w:color="auto" w:fill="auto"/>
          </w:tcPr>
          <w:p w:rsidR="00A9630A" w:rsidRPr="008546E4" w:rsidRDefault="00A9630A" w:rsidP="00667F80">
            <w:pPr>
              <w:rPr>
                <w:rFonts w:eastAsia="MS Mincho"/>
                <w:sz w:val="18"/>
                <w:szCs w:val="18"/>
              </w:rPr>
            </w:pPr>
            <w:r w:rsidRPr="008546E4">
              <w:rPr>
                <w:rFonts w:eastAsia="MS Mincho"/>
                <w:sz w:val="18"/>
                <w:szCs w:val="18"/>
              </w:rPr>
              <w:t>[Extract from ISF letter]</w:t>
            </w:r>
          </w:p>
          <w:p w:rsidR="00A9630A" w:rsidRPr="008546E4" w:rsidRDefault="00A9630A" w:rsidP="00667F80">
            <w:pPr>
              <w:rPr>
                <w:rFonts w:eastAsia="MS Mincho"/>
                <w:sz w:val="18"/>
                <w:szCs w:val="18"/>
              </w:rPr>
            </w:pPr>
            <w:r w:rsidRPr="008546E4">
              <w:rPr>
                <w:rFonts w:eastAsia="MS Mincho"/>
                <w:sz w:val="18"/>
                <w:szCs w:val="18"/>
              </w:rPr>
              <w:t>“</w:t>
            </w:r>
            <w:r w:rsidRPr="008546E4">
              <w:rPr>
                <w:rFonts w:eastAsia="MS Mincho"/>
                <w:sz w:val="18"/>
                <w:szCs w:val="18"/>
                <w:u w:val="single"/>
              </w:rPr>
              <w:t>Variety description database</w:t>
            </w:r>
            <w:r w:rsidRPr="008546E4">
              <w:rPr>
                <w:rFonts w:eastAsia="MS Mincho"/>
                <w:sz w:val="18"/>
                <w:szCs w:val="18"/>
              </w:rPr>
              <w:t>:  A variety description database including the TQ information should be available to all interested parties.  This would improve the management of reference collections and would allow for a better basis of selection of the comparison varieties.”</w:t>
            </w:r>
          </w:p>
        </w:tc>
      </w:tr>
    </w:tbl>
    <w:p w:rsidR="00A9630A" w:rsidRDefault="00A9630A" w:rsidP="00A9630A"/>
    <w:p w:rsidR="00A9630A" w:rsidRDefault="00A9630A" w:rsidP="00A9630A">
      <w:pPr>
        <w:tabs>
          <w:tab w:val="left" w:pos="567"/>
        </w:tabs>
      </w:pPr>
      <w:r>
        <w:fldChar w:fldCharType="begin"/>
      </w:r>
      <w:r>
        <w:instrText xml:space="preserve"> AUTONUM  </w:instrText>
      </w:r>
      <w:r>
        <w:fldChar w:fldCharType="end"/>
      </w:r>
      <w:r>
        <w:tab/>
        <w:t>The TC noted that ISF was invited to express its views to the TC with regard to databases of variety descriptions and the criteria identified by the TC for the publication of variety descriptions, as set out in document TC/45/9 “Publication of Variety Descriptions”</w:t>
      </w:r>
      <w:r w:rsidRPr="00096F0E">
        <w:t xml:space="preserve"> </w:t>
      </w:r>
      <w:r>
        <w:t>(</w:t>
      </w:r>
      <w:r w:rsidRPr="008A572D">
        <w:t>see documen</w:t>
      </w:r>
      <w:r>
        <w:t xml:space="preserve">t TC/50/36 “Report </w:t>
      </w:r>
      <w:r w:rsidRPr="006D54BA">
        <w:t xml:space="preserve">on </w:t>
      </w:r>
      <w:r>
        <w:t>the Conclusions”, paragraph 13).</w:t>
      </w:r>
    </w:p>
    <w:p w:rsidR="00A9630A" w:rsidRDefault="00A9630A" w:rsidP="00A9630A"/>
    <w:p w:rsidR="00A9630A" w:rsidRPr="005271E8" w:rsidRDefault="00A9630A" w:rsidP="00A9630A">
      <w:pPr>
        <w:pStyle w:val="Heading3"/>
      </w:pPr>
      <w:bookmarkStart w:id="14" w:name="_Toc387851759"/>
      <w:bookmarkStart w:id="15" w:name="_Toc412203169"/>
      <w:r w:rsidRPr="005271E8">
        <w:t>Administrative and Legal Committee</w:t>
      </w:r>
      <w:bookmarkEnd w:id="14"/>
      <w:bookmarkEnd w:id="15"/>
    </w:p>
    <w:p w:rsidR="00A9630A" w:rsidRDefault="00A9630A" w:rsidP="00A9630A"/>
    <w:p w:rsidR="00A9630A" w:rsidRDefault="00A9630A" w:rsidP="00A9630A">
      <w:r>
        <w:fldChar w:fldCharType="begin"/>
      </w:r>
      <w:r>
        <w:instrText xml:space="preserve"> AUTONUM  </w:instrText>
      </w:r>
      <w:r>
        <w:fldChar w:fldCharType="end"/>
      </w:r>
      <w:r>
        <w:t xml:space="preserve"> </w:t>
      </w:r>
      <w:r>
        <w:tab/>
      </w:r>
      <w:r w:rsidRPr="000A6443">
        <w:t xml:space="preserve">The Administrative and Legal Committee (CAJ) </w:t>
      </w:r>
      <w:r>
        <w:t>at</w:t>
      </w:r>
      <w:r w:rsidRPr="000A6443">
        <w:t xml:space="preserve"> its sixty-ninth session in Geneva on April 10, 2014,</w:t>
      </w:r>
      <w:r>
        <w:t xml:space="preserve"> </w:t>
      </w:r>
      <w:r w:rsidRPr="000A6443">
        <w:t xml:space="preserve">in accordance with the proposal by the CAJ-AG, agreed to invite the TC to </w:t>
      </w:r>
      <w:r>
        <w:t>(see document CAJ/69/12 “Report on the conclusions” paragraphs 17):</w:t>
      </w:r>
    </w:p>
    <w:p w:rsidR="00A9630A" w:rsidRDefault="00A9630A" w:rsidP="00A9630A"/>
    <w:p w:rsidR="00A9630A" w:rsidRDefault="00A9630A" w:rsidP="00A9630A">
      <w:pPr>
        <w:numPr>
          <w:ilvl w:val="0"/>
          <w:numId w:val="5"/>
        </w:numPr>
      </w:pPr>
      <w:r w:rsidRPr="000A6443">
        <w:t xml:space="preserve">consider the development of guidance on certain matters concerning variety descriptions, </w:t>
      </w:r>
      <w:r>
        <w:t>as reproduced below:</w:t>
      </w:r>
    </w:p>
    <w:p w:rsidR="00A9630A" w:rsidRDefault="00A9630A" w:rsidP="00A9630A">
      <w:pPr>
        <w:rPr>
          <w:rFonts w:cs="Arial"/>
        </w:rPr>
      </w:pPr>
      <w:r w:rsidRPr="00482F75">
        <w:rPr>
          <w:rFonts w:cs="Arial"/>
        </w:rPr>
        <w:tab/>
      </w:r>
    </w:p>
    <w:p w:rsidR="00A9630A" w:rsidRPr="00482F75" w:rsidRDefault="00A9630A" w:rsidP="00A9630A">
      <w:pPr>
        <w:numPr>
          <w:ilvl w:val="0"/>
          <w:numId w:val="6"/>
        </w:numPr>
        <w:ind w:left="1418" w:hanging="709"/>
        <w:rPr>
          <w:rFonts w:cs="Arial"/>
        </w:rPr>
      </w:pPr>
      <w:r w:rsidRPr="00482F75">
        <w:rPr>
          <w:rFonts w:cs="Arial"/>
        </w:rPr>
        <w:lastRenderedPageBreak/>
        <w:t>use of information, documents or material provided by the breeder for verifying the maintenance of the variety, as set out in paragraph 15 of document CAJ-AG/13/8/4</w:t>
      </w:r>
      <w:r>
        <w:rPr>
          <w:rFonts w:cs="Arial"/>
        </w:rPr>
        <w:t xml:space="preserve"> “</w:t>
      </w:r>
      <w:r w:rsidRPr="006A4A4E">
        <w:rPr>
          <w:rFonts w:cs="Arial"/>
        </w:rPr>
        <w:t>Matters concerning cancellation of the breeder's right</w:t>
      </w:r>
      <w:r>
        <w:rPr>
          <w:rFonts w:cs="Arial"/>
        </w:rPr>
        <w:t>”</w:t>
      </w:r>
      <w:r w:rsidRPr="00482F75">
        <w:rPr>
          <w:rFonts w:cs="Arial"/>
        </w:rPr>
        <w:t>, with an explanation that the information, documents or material could be maintained in a different country;  and</w:t>
      </w:r>
    </w:p>
    <w:p w:rsidR="00A9630A" w:rsidRPr="00482F75" w:rsidRDefault="00A9630A" w:rsidP="00A9630A">
      <w:pPr>
        <w:tabs>
          <w:tab w:val="left" w:pos="7500"/>
        </w:tabs>
        <w:ind w:left="1418" w:hanging="709"/>
        <w:rPr>
          <w:rFonts w:cs="Arial"/>
        </w:rPr>
      </w:pPr>
    </w:p>
    <w:p w:rsidR="00A9630A" w:rsidRPr="00482F75" w:rsidRDefault="00A9630A" w:rsidP="00A9630A">
      <w:pPr>
        <w:numPr>
          <w:ilvl w:val="0"/>
          <w:numId w:val="6"/>
        </w:numPr>
        <w:ind w:left="1418" w:hanging="709"/>
        <w:rPr>
          <w:rFonts w:cs="Arial"/>
        </w:rPr>
      </w:pPr>
      <w:r w:rsidRPr="00482F75">
        <w:rPr>
          <w:rFonts w:cs="Arial"/>
        </w:rPr>
        <w:t>use of Test Guidelines for verifying the maintenance of the variety that were different from the Test Guidelines used for the examination of Distinctness, Uniformity and Stability (“DUS”).</w:t>
      </w:r>
    </w:p>
    <w:p w:rsidR="00A9630A" w:rsidRDefault="00A9630A" w:rsidP="00A9630A"/>
    <w:p w:rsidR="00A9630A" w:rsidRPr="00EB34D3" w:rsidRDefault="00A9630A" w:rsidP="00A9630A">
      <w:pPr>
        <w:numPr>
          <w:ilvl w:val="0"/>
          <w:numId w:val="5"/>
        </w:numPr>
      </w:pPr>
      <w:r>
        <w:t>Consider the f</w:t>
      </w:r>
      <w:r w:rsidRPr="00482F75">
        <w:rPr>
          <w:rFonts w:cs="Arial"/>
        </w:rPr>
        <w:t>ollowing matters in document CAJ-AG/13/8/7, paragraph 4,</w:t>
      </w:r>
      <w:r>
        <w:rPr>
          <w:rFonts w:cs="Arial"/>
        </w:rPr>
        <w:t xml:space="preserve"> and reproduced below:</w:t>
      </w:r>
    </w:p>
    <w:p w:rsidR="00A9630A" w:rsidRDefault="00A9630A" w:rsidP="00A9630A"/>
    <w:p w:rsidR="00A9630A" w:rsidRDefault="00A9630A" w:rsidP="00A9630A">
      <w:pPr>
        <w:ind w:left="1134" w:hanging="567"/>
      </w:pPr>
      <w:r>
        <w:t>“[…]</w:t>
      </w:r>
    </w:p>
    <w:p w:rsidR="00A9630A" w:rsidRDefault="00A9630A" w:rsidP="00A9630A">
      <w:pPr>
        <w:ind w:left="1134" w:hanging="567"/>
      </w:pPr>
    </w:p>
    <w:p w:rsidR="00A9630A" w:rsidRDefault="00A9630A" w:rsidP="00A9630A">
      <w:pPr>
        <w:ind w:left="1134" w:hanging="567"/>
      </w:pPr>
      <w:r>
        <w:t>“(b)</w:t>
      </w:r>
      <w:r>
        <w:tab/>
      </w:r>
      <w:proofErr w:type="gramStart"/>
      <w:r>
        <w:t>the</w:t>
      </w:r>
      <w:proofErr w:type="gramEnd"/>
      <w:r>
        <w:t xml:space="preserve"> status of the original variety description in relation to the verification of the conformity of plant material to a protected variety for the purposes of:</w:t>
      </w:r>
    </w:p>
    <w:p w:rsidR="00A9630A" w:rsidRDefault="00A9630A" w:rsidP="00A9630A">
      <w:pPr>
        <w:ind w:left="1134" w:hanging="567"/>
      </w:pPr>
    </w:p>
    <w:p w:rsidR="00A9630A" w:rsidRDefault="00A9630A" w:rsidP="00A9630A">
      <w:pPr>
        <w:ind w:left="1134"/>
      </w:pPr>
      <w:r>
        <w:t>“(</w:t>
      </w:r>
      <w:proofErr w:type="spellStart"/>
      <w:proofErr w:type="gramStart"/>
      <w:r>
        <w:t>i</w:t>
      </w:r>
      <w:proofErr w:type="spellEnd"/>
      <w:proofErr w:type="gramEnd"/>
      <w:r>
        <w:t>)</w:t>
      </w:r>
      <w:r>
        <w:tab/>
        <w:t>verifying the maintenance of the variety (Article 22 of the 1991 Act, Article 10 of the 1978 Act);</w:t>
      </w:r>
    </w:p>
    <w:p w:rsidR="00A9630A" w:rsidRDefault="00A9630A" w:rsidP="00A9630A">
      <w:pPr>
        <w:ind w:left="1134"/>
      </w:pPr>
      <w:r>
        <w:t>“(ii)</w:t>
      </w:r>
      <w:r>
        <w:tab/>
      </w:r>
      <w:proofErr w:type="gramStart"/>
      <w:r>
        <w:t>the</w:t>
      </w:r>
      <w:proofErr w:type="gramEnd"/>
      <w:r>
        <w:t xml:space="preserve"> examination of distinctness, uniformity and stability (“DUS”) of candidate varieties;  and</w:t>
      </w:r>
    </w:p>
    <w:p w:rsidR="00A9630A" w:rsidRDefault="00A9630A" w:rsidP="00A9630A">
      <w:pPr>
        <w:ind w:left="1134" w:hanging="567"/>
      </w:pPr>
    </w:p>
    <w:p w:rsidR="00A9630A" w:rsidRDefault="00A9630A" w:rsidP="00A9630A">
      <w:pPr>
        <w:ind w:left="1134" w:hanging="567"/>
      </w:pPr>
      <w:r>
        <w:t>“[…]</w:t>
      </w:r>
    </w:p>
    <w:p w:rsidR="00A9630A" w:rsidRDefault="00A9630A" w:rsidP="00A9630A">
      <w:pPr>
        <w:ind w:left="1134" w:hanging="567"/>
      </w:pPr>
      <w:r>
        <w:t>“(c)</w:t>
      </w:r>
      <w:r>
        <w:tab/>
        <w:t>the status of a modified variety description in relation to (a) and (b) above produced, for example, as a result of:</w:t>
      </w:r>
    </w:p>
    <w:p w:rsidR="00A9630A" w:rsidRDefault="00A9630A" w:rsidP="00A9630A">
      <w:pPr>
        <w:ind w:left="1134" w:hanging="567"/>
      </w:pPr>
    </w:p>
    <w:p w:rsidR="00A9630A" w:rsidRDefault="00A9630A" w:rsidP="00A9630A">
      <w:pPr>
        <w:ind w:left="1134"/>
      </w:pPr>
      <w:r>
        <w:t>“(</w:t>
      </w:r>
      <w:proofErr w:type="spellStart"/>
      <w:r>
        <w:t>i</w:t>
      </w:r>
      <w:proofErr w:type="spellEnd"/>
      <w:r>
        <w:t>)</w:t>
      </w:r>
      <w:r>
        <w:tab/>
        <w:t>a recalibration of the scale in the Test Guidelines (particularly for non asterisked characteristics);</w:t>
      </w:r>
    </w:p>
    <w:p w:rsidR="00A9630A" w:rsidRDefault="00A9630A" w:rsidP="00A9630A">
      <w:pPr>
        <w:ind w:left="1134"/>
      </w:pPr>
      <w:r>
        <w:t>“(ii)</w:t>
      </w:r>
      <w:r>
        <w:tab/>
        <w:t>variation due to the environmental conditions of the years of testing for characteristics that are influenced by the environment;</w:t>
      </w:r>
    </w:p>
    <w:p w:rsidR="00A9630A" w:rsidRDefault="00A9630A" w:rsidP="00A9630A">
      <w:pPr>
        <w:ind w:left="1134"/>
      </w:pPr>
      <w:r>
        <w:t>“(iii)</w:t>
      </w:r>
      <w:r>
        <w:tab/>
      </w:r>
      <w:proofErr w:type="gramStart"/>
      <w:r>
        <w:t>variation</w:t>
      </w:r>
      <w:proofErr w:type="gramEnd"/>
      <w:r>
        <w:t xml:space="preserve"> due to obs</w:t>
      </w:r>
      <w:r w:rsidR="001A5331">
        <w:t xml:space="preserve">ervation by different experts; </w:t>
      </w:r>
      <w:r>
        <w:t>or</w:t>
      </w:r>
    </w:p>
    <w:p w:rsidR="00A9630A" w:rsidRDefault="00A9630A" w:rsidP="00A9630A">
      <w:pPr>
        <w:ind w:left="1134"/>
      </w:pPr>
      <w:r>
        <w:t>“(iv)</w:t>
      </w:r>
      <w:r>
        <w:tab/>
        <w:t>the use of different versions of scales (e.g. different versions of the RHS Colo</w:t>
      </w:r>
      <w:r w:rsidR="001A5331">
        <w:t>u</w:t>
      </w:r>
      <w:r>
        <w:t>r Chart).</w:t>
      </w:r>
    </w:p>
    <w:p w:rsidR="00A9630A" w:rsidRDefault="00A9630A" w:rsidP="00A9630A">
      <w:pPr>
        <w:ind w:left="1134" w:hanging="567"/>
      </w:pPr>
    </w:p>
    <w:p w:rsidR="00A9630A" w:rsidRDefault="00A9630A" w:rsidP="00A9630A">
      <w:pPr>
        <w:ind w:left="1134" w:hanging="567"/>
      </w:pPr>
      <w:r>
        <w:t>“(d)</w:t>
      </w:r>
      <w:r>
        <w:tab/>
        <w:t>situations where an error is subsequently discovered in the initial variety description.”</w:t>
      </w:r>
    </w:p>
    <w:p w:rsidR="00A9630A" w:rsidRDefault="00A9630A" w:rsidP="00A9630A"/>
    <w:p w:rsidR="00A9630A" w:rsidRDefault="003E3E8D" w:rsidP="00C11F61">
      <w:r w:rsidRPr="002070BE">
        <w:rPr>
          <w:snapToGrid w:val="0"/>
        </w:rPr>
        <w:fldChar w:fldCharType="begin"/>
      </w:r>
      <w:r w:rsidRPr="002070BE">
        <w:rPr>
          <w:snapToGrid w:val="0"/>
        </w:rPr>
        <w:instrText xml:space="preserve"> AUTONUM  </w:instrText>
      </w:r>
      <w:r w:rsidRPr="002070BE">
        <w:rPr>
          <w:snapToGrid w:val="0"/>
        </w:rPr>
        <w:fldChar w:fldCharType="end"/>
      </w:r>
      <w:r w:rsidRPr="002070BE">
        <w:rPr>
          <w:snapToGrid w:val="0"/>
        </w:rPr>
        <w:tab/>
      </w:r>
      <w:r w:rsidR="002514A9">
        <w:rPr>
          <w:snapToGrid w:val="0"/>
        </w:rPr>
        <w:t>T</w:t>
      </w:r>
      <w:r>
        <w:rPr>
          <w:snapToGrid w:val="0"/>
        </w:rPr>
        <w:t>he TC will address</w:t>
      </w:r>
      <w:r w:rsidR="002514A9">
        <w:rPr>
          <w:snapToGrid w:val="0"/>
        </w:rPr>
        <w:t xml:space="preserve"> the matter above</w:t>
      </w:r>
      <w:r>
        <w:rPr>
          <w:snapToGrid w:val="0"/>
        </w:rPr>
        <w:t xml:space="preserve"> at its fifty-first session, </w:t>
      </w:r>
      <w:r w:rsidR="002514A9">
        <w:rPr>
          <w:snapToGrid w:val="0"/>
        </w:rPr>
        <w:t xml:space="preserve">under </w:t>
      </w:r>
      <w:r>
        <w:rPr>
          <w:snapToGrid w:val="0"/>
        </w:rPr>
        <w:t>agenda item 12 “</w:t>
      </w:r>
      <w:r>
        <w:t>Matters concerning variety descriptions (document TC/51/38)”.</w:t>
      </w:r>
    </w:p>
    <w:p w:rsidR="003E3E8D" w:rsidRPr="002070BE" w:rsidRDefault="003E3E8D" w:rsidP="00C11F61"/>
    <w:p w:rsidR="00C11F61" w:rsidRPr="00F86C49" w:rsidRDefault="00C11F61" w:rsidP="00F86C49">
      <w:pPr>
        <w:pStyle w:val="Heading3"/>
      </w:pPr>
      <w:bookmarkStart w:id="16" w:name="_Toc412203170"/>
      <w:r w:rsidRPr="00F86C49">
        <w:t>Technical Working Parties</w:t>
      </w:r>
      <w:bookmarkEnd w:id="16"/>
    </w:p>
    <w:p w:rsidR="00C11F61" w:rsidRPr="002070BE" w:rsidRDefault="00C11F61" w:rsidP="00C11F61">
      <w:pPr>
        <w:rPr>
          <w:rFonts w:eastAsia="MS Mincho"/>
          <w:i/>
          <w:color w:val="000000"/>
          <w:lang w:eastAsia="ja-JP"/>
        </w:rPr>
      </w:pPr>
    </w:p>
    <w:p w:rsidR="00C11F61" w:rsidRPr="002070BE" w:rsidRDefault="00C11F61" w:rsidP="004C77FC">
      <w:pPr>
        <w:rPr>
          <w:snapToGrid w:val="0"/>
        </w:rPr>
      </w:pPr>
      <w:r w:rsidRPr="002070BE">
        <w:rPr>
          <w:snapToGrid w:val="0"/>
        </w:rPr>
        <w:fldChar w:fldCharType="begin"/>
      </w:r>
      <w:r w:rsidRPr="002070BE">
        <w:rPr>
          <w:snapToGrid w:val="0"/>
        </w:rPr>
        <w:instrText xml:space="preserve"> AUTONUM  </w:instrText>
      </w:r>
      <w:r w:rsidRPr="002070BE">
        <w:rPr>
          <w:snapToGrid w:val="0"/>
        </w:rPr>
        <w:fldChar w:fldCharType="end"/>
      </w:r>
      <w:r w:rsidRPr="002070BE">
        <w:rPr>
          <w:snapToGrid w:val="0"/>
        </w:rPr>
        <w:tab/>
      </w:r>
      <w:r w:rsidRPr="002070BE">
        <w:t xml:space="preserve">The TWO, TWF, TWC, TWV and </w:t>
      </w:r>
      <w:r w:rsidRPr="007804D5">
        <w:t>TWA</w:t>
      </w:r>
      <w:r w:rsidRPr="002070BE">
        <w:t xml:space="preserve"> considered</w:t>
      </w:r>
      <w:r w:rsidRPr="002070BE">
        <w:rPr>
          <w:snapToGrid w:val="0"/>
        </w:rPr>
        <w:t xml:space="preserve"> documents TWO/47/</w:t>
      </w:r>
      <w:r w:rsidR="00B677E0" w:rsidRPr="002070BE">
        <w:rPr>
          <w:snapToGrid w:val="0"/>
        </w:rPr>
        <w:t>6</w:t>
      </w:r>
      <w:r w:rsidRPr="002070BE">
        <w:rPr>
          <w:snapToGrid w:val="0"/>
        </w:rPr>
        <w:t>,</w:t>
      </w:r>
      <w:r w:rsidRPr="002070BE">
        <w:t xml:space="preserve"> TWF/45/</w:t>
      </w:r>
      <w:r w:rsidR="00B677E0" w:rsidRPr="002070BE">
        <w:t>6</w:t>
      </w:r>
      <w:r w:rsidRPr="002070BE">
        <w:t>,</w:t>
      </w:r>
      <w:r w:rsidRPr="002070BE">
        <w:rPr>
          <w:snapToGrid w:val="0"/>
        </w:rPr>
        <w:t xml:space="preserve"> TWC/32/</w:t>
      </w:r>
      <w:r w:rsidR="00221110" w:rsidRPr="002070BE">
        <w:rPr>
          <w:snapToGrid w:val="0"/>
        </w:rPr>
        <w:t>6</w:t>
      </w:r>
      <w:r w:rsidRPr="002070BE">
        <w:rPr>
          <w:snapToGrid w:val="0"/>
        </w:rPr>
        <w:t>,</w:t>
      </w:r>
      <w:r w:rsidRPr="002070BE">
        <w:rPr>
          <w:snapToGrid w:val="0"/>
          <w:highlight w:val="yellow"/>
        </w:rPr>
        <w:t xml:space="preserve"> </w:t>
      </w:r>
      <w:r w:rsidRPr="002070BE">
        <w:t>TWV/48/</w:t>
      </w:r>
      <w:r w:rsidR="002070BE" w:rsidRPr="002070BE">
        <w:t>6</w:t>
      </w:r>
      <w:r w:rsidRPr="007804D5">
        <w:t xml:space="preserve"> and TWA/43/</w:t>
      </w:r>
      <w:r w:rsidR="007804D5" w:rsidRPr="007804D5">
        <w:t>6</w:t>
      </w:r>
      <w:r w:rsidRPr="007804D5">
        <w:t xml:space="preserve"> “</w:t>
      </w:r>
      <w:r w:rsidR="00B677E0" w:rsidRPr="002070BE">
        <w:rPr>
          <w:rFonts w:cs="Arial"/>
          <w:iCs/>
        </w:rPr>
        <w:t>Variety description databases</w:t>
      </w:r>
      <w:r w:rsidRPr="002070BE">
        <w:t xml:space="preserve">”, respectively </w:t>
      </w:r>
      <w:r w:rsidR="00A72B49" w:rsidRPr="002070BE">
        <w:t xml:space="preserve">and </w:t>
      </w:r>
      <w:r w:rsidR="00A72B49" w:rsidRPr="002070BE">
        <w:rPr>
          <w:rFonts w:cs="Arial"/>
        </w:rPr>
        <w:t>noted the developments on variety description databases</w:t>
      </w:r>
      <w:r w:rsidR="00A72B49" w:rsidRPr="002070BE">
        <w:t xml:space="preserve"> </w:t>
      </w:r>
      <w:r w:rsidRPr="002070BE">
        <w:t xml:space="preserve">(see document TWO/47/28 “Report”, paragraphs </w:t>
      </w:r>
      <w:r w:rsidR="00B677E0" w:rsidRPr="002070BE">
        <w:t>96 and 97</w:t>
      </w:r>
      <w:r w:rsidRPr="002070BE">
        <w:t>, document</w:t>
      </w:r>
      <w:r w:rsidR="001855D0">
        <w:t> </w:t>
      </w:r>
      <w:r w:rsidRPr="002070BE">
        <w:t>TW</w:t>
      </w:r>
      <w:r w:rsidRPr="007804D5">
        <w:t>F/45/32 “Report”, paragraphs </w:t>
      </w:r>
      <w:r w:rsidR="00B677E0" w:rsidRPr="007804D5">
        <w:t>109 to 113</w:t>
      </w:r>
      <w:r w:rsidRPr="007804D5">
        <w:t xml:space="preserve">, document TWC/32/28 “Report”, paragraphs </w:t>
      </w:r>
      <w:r w:rsidR="00221110" w:rsidRPr="007804D5">
        <w:t>75</w:t>
      </w:r>
      <w:r w:rsidRPr="007804D5">
        <w:t xml:space="preserve"> to </w:t>
      </w:r>
      <w:r w:rsidR="00221110" w:rsidRPr="007804D5">
        <w:t>82</w:t>
      </w:r>
      <w:r w:rsidRPr="007804D5">
        <w:t xml:space="preserve">, document TWV/48/43 “Report”, paragraphs </w:t>
      </w:r>
      <w:r w:rsidR="002070BE" w:rsidRPr="007804D5">
        <w:t xml:space="preserve">121 </w:t>
      </w:r>
      <w:r w:rsidRPr="007804D5">
        <w:t xml:space="preserve">to </w:t>
      </w:r>
      <w:r w:rsidR="002070BE" w:rsidRPr="007804D5">
        <w:t xml:space="preserve">126 </w:t>
      </w:r>
      <w:r w:rsidRPr="007804D5">
        <w:t xml:space="preserve">and document TWA/43/27 “Report”, paragraphs </w:t>
      </w:r>
      <w:r w:rsidR="007804D5" w:rsidRPr="007804D5">
        <w:t>94</w:t>
      </w:r>
      <w:r w:rsidRPr="007804D5">
        <w:t xml:space="preserve"> to </w:t>
      </w:r>
      <w:r w:rsidR="007804D5" w:rsidRPr="007804D5">
        <w:t>97</w:t>
      </w:r>
      <w:r w:rsidRPr="007804D5">
        <w:t>)</w:t>
      </w:r>
      <w:r w:rsidRPr="007804D5">
        <w:rPr>
          <w:snapToGrid w:val="0"/>
        </w:rPr>
        <w:t>.</w:t>
      </w:r>
    </w:p>
    <w:p w:rsidR="00C11F61" w:rsidRPr="002070BE" w:rsidRDefault="00C11F61" w:rsidP="00C11F61">
      <w:pPr>
        <w:rPr>
          <w:i/>
        </w:rPr>
      </w:pPr>
    </w:p>
    <w:p w:rsidR="00C11F61" w:rsidRPr="002070BE" w:rsidRDefault="00B677E0" w:rsidP="00B677E0">
      <w:pPr>
        <w:autoSpaceDE w:val="0"/>
        <w:autoSpaceDN w:val="0"/>
        <w:adjustRightInd w:val="0"/>
        <w:rPr>
          <w:rFonts w:cs="Arial"/>
        </w:rPr>
      </w:pPr>
      <w:r w:rsidRPr="002070BE">
        <w:rPr>
          <w:snapToGrid w:val="0"/>
        </w:rPr>
        <w:fldChar w:fldCharType="begin"/>
      </w:r>
      <w:r w:rsidRPr="002070BE">
        <w:rPr>
          <w:snapToGrid w:val="0"/>
        </w:rPr>
        <w:instrText xml:space="preserve"> AUTONUM  </w:instrText>
      </w:r>
      <w:r w:rsidRPr="002070BE">
        <w:rPr>
          <w:snapToGrid w:val="0"/>
        </w:rPr>
        <w:fldChar w:fldCharType="end"/>
      </w:r>
      <w:r w:rsidRPr="002070BE">
        <w:rPr>
          <w:snapToGrid w:val="0"/>
        </w:rPr>
        <w:tab/>
      </w:r>
      <w:r w:rsidRPr="002070BE">
        <w:rPr>
          <w:rFonts w:cs="Arial"/>
        </w:rPr>
        <w:t>The TWO agreed on the relevance of the database for Pea varieties, and agreed that it would not be appropriate to develop a database for an ornamental species at this time (</w:t>
      </w:r>
      <w:r w:rsidRPr="002070BE">
        <w:t>see document TWO/47/28 “Report”, paragraph 97)</w:t>
      </w:r>
      <w:r w:rsidRPr="002070BE">
        <w:rPr>
          <w:rFonts w:cs="Arial"/>
        </w:rPr>
        <w:t>.</w:t>
      </w:r>
    </w:p>
    <w:p w:rsidR="00B677E0" w:rsidRPr="002070BE" w:rsidRDefault="00B677E0" w:rsidP="00B677E0">
      <w:pPr>
        <w:rPr>
          <w:rFonts w:cs="Arial"/>
        </w:rPr>
      </w:pPr>
    </w:p>
    <w:p w:rsidR="00A70006" w:rsidRPr="002070BE" w:rsidRDefault="00A70006" w:rsidP="00A70006">
      <w:pPr>
        <w:autoSpaceDE w:val="0"/>
        <w:autoSpaceDN w:val="0"/>
        <w:adjustRightInd w:val="0"/>
        <w:rPr>
          <w:rFonts w:cs="Arial"/>
        </w:rPr>
      </w:pPr>
      <w:r w:rsidRPr="002070BE">
        <w:rPr>
          <w:snapToGrid w:val="0"/>
        </w:rPr>
        <w:fldChar w:fldCharType="begin"/>
      </w:r>
      <w:r w:rsidRPr="002070BE">
        <w:rPr>
          <w:snapToGrid w:val="0"/>
        </w:rPr>
        <w:instrText xml:space="preserve"> AUTONUM  </w:instrText>
      </w:r>
      <w:r w:rsidRPr="002070BE">
        <w:rPr>
          <w:snapToGrid w:val="0"/>
        </w:rPr>
        <w:fldChar w:fldCharType="end"/>
      </w:r>
      <w:r w:rsidRPr="002070BE">
        <w:rPr>
          <w:snapToGrid w:val="0"/>
        </w:rPr>
        <w:tab/>
        <w:t>T</w:t>
      </w:r>
      <w:r w:rsidRPr="002070BE">
        <w:rPr>
          <w:rFonts w:cs="Arial"/>
        </w:rPr>
        <w:t>he TWF</w:t>
      </w:r>
      <w:r w:rsidR="007804D5">
        <w:rPr>
          <w:rFonts w:cs="Arial"/>
        </w:rPr>
        <w:t xml:space="preserve"> and the TWA</w:t>
      </w:r>
      <w:r w:rsidRPr="002070BE">
        <w:rPr>
          <w:rFonts w:cs="Arial"/>
        </w:rPr>
        <w:t xml:space="preserve"> considered the proposal of the expert from Australia, not to develop a database at the moment (see </w:t>
      </w:r>
      <w:r w:rsidRPr="002070BE">
        <w:t>document</w:t>
      </w:r>
      <w:r w:rsidR="007804D5">
        <w:t>s</w:t>
      </w:r>
      <w:r w:rsidRPr="002070BE">
        <w:t xml:space="preserve"> TWF/45/32 “Report”, paragraph 111</w:t>
      </w:r>
      <w:r w:rsidR="007804D5">
        <w:t xml:space="preserve"> and </w:t>
      </w:r>
      <w:r w:rsidR="007804D5" w:rsidRPr="007804D5">
        <w:t>TWA/43/27</w:t>
      </w:r>
      <w:r w:rsidR="007804D5">
        <w:t xml:space="preserve"> “Report”, paragraph 95</w:t>
      </w:r>
      <w:r w:rsidRPr="002070BE">
        <w:t>)</w:t>
      </w:r>
      <w:r w:rsidRPr="002070BE">
        <w:rPr>
          <w:rFonts w:cs="Arial"/>
        </w:rPr>
        <w:t>.</w:t>
      </w:r>
    </w:p>
    <w:p w:rsidR="00A70006" w:rsidRPr="002070BE" w:rsidRDefault="00A70006" w:rsidP="00A70006">
      <w:pPr>
        <w:autoSpaceDE w:val="0"/>
        <w:autoSpaceDN w:val="0"/>
        <w:adjustRightInd w:val="0"/>
        <w:rPr>
          <w:rFonts w:cs="Arial"/>
        </w:rPr>
      </w:pPr>
    </w:p>
    <w:p w:rsidR="00A70006" w:rsidRPr="002070BE" w:rsidRDefault="00A70006" w:rsidP="00A70006">
      <w:pPr>
        <w:autoSpaceDE w:val="0"/>
        <w:autoSpaceDN w:val="0"/>
        <w:adjustRightInd w:val="0"/>
        <w:rPr>
          <w:rFonts w:cs="Arial"/>
        </w:rPr>
      </w:pPr>
      <w:r w:rsidRPr="002070BE">
        <w:rPr>
          <w:snapToGrid w:val="0"/>
        </w:rPr>
        <w:fldChar w:fldCharType="begin"/>
      </w:r>
      <w:r w:rsidRPr="002070BE">
        <w:rPr>
          <w:snapToGrid w:val="0"/>
        </w:rPr>
        <w:instrText xml:space="preserve"> AUTONUM  </w:instrText>
      </w:r>
      <w:r w:rsidRPr="002070BE">
        <w:rPr>
          <w:snapToGrid w:val="0"/>
        </w:rPr>
        <w:fldChar w:fldCharType="end"/>
      </w:r>
      <w:r w:rsidRPr="002070BE">
        <w:rPr>
          <w:snapToGrid w:val="0"/>
        </w:rPr>
        <w:tab/>
      </w:r>
      <w:r w:rsidRPr="002070BE">
        <w:rPr>
          <w:rFonts w:cs="Arial"/>
        </w:rPr>
        <w:t>The TWF</w:t>
      </w:r>
      <w:r w:rsidR="002070BE" w:rsidRPr="002070BE">
        <w:rPr>
          <w:rFonts w:cs="Arial"/>
        </w:rPr>
        <w:t>,</w:t>
      </w:r>
      <w:r w:rsidR="00A72B49" w:rsidRPr="002070BE">
        <w:rPr>
          <w:rFonts w:cs="Arial"/>
        </w:rPr>
        <w:t xml:space="preserve"> TWC</w:t>
      </w:r>
      <w:r w:rsidR="007804D5">
        <w:rPr>
          <w:rFonts w:cs="Arial"/>
        </w:rPr>
        <w:t>,</w:t>
      </w:r>
      <w:r w:rsidR="002070BE" w:rsidRPr="002070BE">
        <w:rPr>
          <w:rFonts w:cs="Arial"/>
        </w:rPr>
        <w:t xml:space="preserve"> TWV</w:t>
      </w:r>
      <w:r w:rsidRPr="002070BE">
        <w:rPr>
          <w:rFonts w:cs="Arial"/>
        </w:rPr>
        <w:t xml:space="preserve"> </w:t>
      </w:r>
      <w:r w:rsidR="007804D5" w:rsidRPr="002070BE">
        <w:rPr>
          <w:rFonts w:cs="Arial"/>
        </w:rPr>
        <w:t xml:space="preserve">and the </w:t>
      </w:r>
      <w:r w:rsidR="007804D5">
        <w:rPr>
          <w:rFonts w:cs="Arial"/>
        </w:rPr>
        <w:t xml:space="preserve">TWA </w:t>
      </w:r>
      <w:r w:rsidRPr="002070BE">
        <w:rPr>
          <w:rFonts w:cs="Arial"/>
        </w:rPr>
        <w:t xml:space="preserve">noted the matters raised by the ISF in relation to variety descriptions (see </w:t>
      </w:r>
      <w:r w:rsidRPr="002070BE">
        <w:t>document</w:t>
      </w:r>
      <w:r w:rsidR="00A72B49" w:rsidRPr="002070BE">
        <w:t>s</w:t>
      </w:r>
      <w:r w:rsidRPr="002070BE">
        <w:t xml:space="preserve"> TWF/45/32 “Report”, paragraph 112</w:t>
      </w:r>
      <w:r w:rsidR="002070BE" w:rsidRPr="002070BE">
        <w:t>, TWC/32/28 “Report”, paragraph 77</w:t>
      </w:r>
      <w:r w:rsidR="007804D5">
        <w:t xml:space="preserve">, </w:t>
      </w:r>
      <w:r w:rsidR="002070BE" w:rsidRPr="002070BE">
        <w:t>TWV/48/43 “Report”, paragraph 124</w:t>
      </w:r>
      <w:r w:rsidR="007804D5">
        <w:t xml:space="preserve"> and </w:t>
      </w:r>
      <w:r w:rsidR="007804D5" w:rsidRPr="007804D5">
        <w:t>TWA/43/27</w:t>
      </w:r>
      <w:r w:rsidR="007804D5">
        <w:t xml:space="preserve"> “Report”, paragraph 96</w:t>
      </w:r>
      <w:r w:rsidRPr="002070BE">
        <w:t>)</w:t>
      </w:r>
      <w:r w:rsidRPr="002070BE">
        <w:rPr>
          <w:rFonts w:cs="Arial"/>
        </w:rPr>
        <w:t>.</w:t>
      </w:r>
    </w:p>
    <w:p w:rsidR="00A70006" w:rsidRPr="002070BE" w:rsidRDefault="00A70006" w:rsidP="00A70006">
      <w:pPr>
        <w:autoSpaceDE w:val="0"/>
        <w:autoSpaceDN w:val="0"/>
        <w:adjustRightInd w:val="0"/>
        <w:rPr>
          <w:rFonts w:cs="Arial"/>
        </w:rPr>
      </w:pPr>
    </w:p>
    <w:p w:rsidR="00B677E0" w:rsidRPr="002070BE" w:rsidRDefault="00A70006" w:rsidP="00A70006">
      <w:pPr>
        <w:autoSpaceDE w:val="0"/>
        <w:autoSpaceDN w:val="0"/>
        <w:adjustRightInd w:val="0"/>
      </w:pPr>
      <w:r w:rsidRPr="002070BE">
        <w:rPr>
          <w:snapToGrid w:val="0"/>
        </w:rPr>
        <w:fldChar w:fldCharType="begin"/>
      </w:r>
      <w:r w:rsidRPr="002070BE">
        <w:rPr>
          <w:snapToGrid w:val="0"/>
        </w:rPr>
        <w:instrText xml:space="preserve"> AUTONUM  </w:instrText>
      </w:r>
      <w:r w:rsidRPr="002070BE">
        <w:rPr>
          <w:snapToGrid w:val="0"/>
        </w:rPr>
        <w:fldChar w:fldCharType="end"/>
      </w:r>
      <w:r w:rsidRPr="002070BE">
        <w:rPr>
          <w:snapToGrid w:val="0"/>
        </w:rPr>
        <w:tab/>
      </w:r>
      <w:r w:rsidR="007804D5" w:rsidRPr="002070BE">
        <w:rPr>
          <w:rFonts w:cs="Arial"/>
        </w:rPr>
        <w:t>The TWF, TWC</w:t>
      </w:r>
      <w:r w:rsidR="007804D5">
        <w:rPr>
          <w:rFonts w:cs="Arial"/>
        </w:rPr>
        <w:t>,</w:t>
      </w:r>
      <w:r w:rsidR="007804D5" w:rsidRPr="002070BE">
        <w:rPr>
          <w:rFonts w:cs="Arial"/>
        </w:rPr>
        <w:t xml:space="preserve"> TWV and the </w:t>
      </w:r>
      <w:r w:rsidR="007804D5">
        <w:rPr>
          <w:rFonts w:cs="Arial"/>
        </w:rPr>
        <w:t>TWA</w:t>
      </w:r>
      <w:r w:rsidR="002070BE" w:rsidRPr="002070BE">
        <w:rPr>
          <w:rFonts w:cs="Arial"/>
        </w:rPr>
        <w:t xml:space="preserve"> </w:t>
      </w:r>
      <w:r w:rsidRPr="002070BE">
        <w:rPr>
          <w:rFonts w:cs="Arial"/>
        </w:rPr>
        <w:t xml:space="preserve">noted the </w:t>
      </w:r>
      <w:r w:rsidR="003E3E8D">
        <w:rPr>
          <w:rFonts w:cs="Arial"/>
        </w:rPr>
        <w:t>comments</w:t>
      </w:r>
      <w:r w:rsidRPr="002070BE">
        <w:rPr>
          <w:rFonts w:cs="Arial"/>
        </w:rPr>
        <w:t xml:space="preserve"> of the CAJ on matters conc</w:t>
      </w:r>
      <w:r w:rsidR="00A9630A">
        <w:rPr>
          <w:rFonts w:cs="Arial"/>
        </w:rPr>
        <w:t>erning variety descriptions, as</w:t>
      </w:r>
      <w:r w:rsidRPr="002070BE">
        <w:rPr>
          <w:rFonts w:cs="Arial"/>
        </w:rPr>
        <w:t xml:space="preserve"> reproduced </w:t>
      </w:r>
      <w:r w:rsidR="003E3E8D">
        <w:rPr>
          <w:rFonts w:cs="Arial"/>
        </w:rPr>
        <w:t>in paragraph 12</w:t>
      </w:r>
      <w:r w:rsidR="00A9630A">
        <w:rPr>
          <w:rFonts w:cs="Arial"/>
        </w:rPr>
        <w:t xml:space="preserve"> of this document</w:t>
      </w:r>
      <w:r w:rsidRPr="002070BE">
        <w:rPr>
          <w:rFonts w:cs="Arial"/>
        </w:rPr>
        <w:t xml:space="preserve"> (see </w:t>
      </w:r>
      <w:r w:rsidRPr="002070BE">
        <w:t>document</w:t>
      </w:r>
      <w:r w:rsidR="002070BE" w:rsidRPr="002070BE">
        <w:t>s</w:t>
      </w:r>
      <w:r w:rsidRPr="002070BE">
        <w:t xml:space="preserve"> TWF/45/32 “Report”, paragraphs 110</w:t>
      </w:r>
      <w:r w:rsidR="002070BE" w:rsidRPr="002070BE">
        <w:t>, TWC/32/28 “Report”, paragraph 78</w:t>
      </w:r>
      <w:r w:rsidR="003C2607">
        <w:t xml:space="preserve">, </w:t>
      </w:r>
      <w:r w:rsidR="002070BE" w:rsidRPr="002070BE">
        <w:t>TWV/48/43 “Report”, paragraph 125</w:t>
      </w:r>
      <w:r w:rsidR="003C2607">
        <w:t xml:space="preserve"> and </w:t>
      </w:r>
      <w:r w:rsidR="003C2607" w:rsidRPr="007804D5">
        <w:t>TWA/43/27</w:t>
      </w:r>
      <w:r w:rsidR="003C2607">
        <w:t xml:space="preserve"> “Report”, paragraph 97</w:t>
      </w:r>
      <w:r w:rsidRPr="002070BE">
        <w:t>)</w:t>
      </w:r>
      <w:r w:rsidR="00A9630A">
        <w:t>.</w:t>
      </w:r>
    </w:p>
    <w:p w:rsidR="00A72B49" w:rsidRDefault="00A72B49" w:rsidP="00A72B49">
      <w:pPr>
        <w:pStyle w:val="Default"/>
        <w:jc w:val="both"/>
        <w:rPr>
          <w:sz w:val="20"/>
          <w:szCs w:val="20"/>
        </w:rPr>
      </w:pPr>
    </w:p>
    <w:p w:rsidR="00A72B49" w:rsidRPr="002070BE" w:rsidRDefault="00A72B49" w:rsidP="00A72B49">
      <w:pPr>
        <w:pStyle w:val="Default"/>
        <w:jc w:val="both"/>
        <w:rPr>
          <w:sz w:val="20"/>
          <w:szCs w:val="20"/>
        </w:rPr>
      </w:pPr>
      <w:r w:rsidRPr="002070BE">
        <w:rPr>
          <w:snapToGrid w:val="0"/>
          <w:sz w:val="20"/>
          <w:szCs w:val="20"/>
        </w:rPr>
        <w:lastRenderedPageBreak/>
        <w:fldChar w:fldCharType="begin"/>
      </w:r>
      <w:r w:rsidRPr="002070BE">
        <w:rPr>
          <w:snapToGrid w:val="0"/>
          <w:sz w:val="20"/>
          <w:szCs w:val="20"/>
        </w:rPr>
        <w:instrText xml:space="preserve"> AUTONUM  </w:instrText>
      </w:r>
      <w:r w:rsidRPr="002070BE">
        <w:rPr>
          <w:snapToGrid w:val="0"/>
          <w:sz w:val="20"/>
          <w:szCs w:val="20"/>
        </w:rPr>
        <w:fldChar w:fldCharType="end"/>
      </w:r>
      <w:r w:rsidRPr="002070BE">
        <w:rPr>
          <w:snapToGrid w:val="0"/>
          <w:sz w:val="20"/>
          <w:szCs w:val="20"/>
        </w:rPr>
        <w:tab/>
      </w:r>
      <w:r w:rsidRPr="002070BE">
        <w:rPr>
          <w:sz w:val="20"/>
          <w:szCs w:val="20"/>
        </w:rPr>
        <w:t xml:space="preserve">The TWC </w:t>
      </w:r>
      <w:r w:rsidR="002070BE" w:rsidRPr="002070BE">
        <w:rPr>
          <w:sz w:val="20"/>
          <w:szCs w:val="20"/>
        </w:rPr>
        <w:t xml:space="preserve">and the TWV </w:t>
      </w:r>
      <w:r w:rsidRPr="002070BE">
        <w:rPr>
          <w:sz w:val="20"/>
          <w:szCs w:val="20"/>
        </w:rPr>
        <w:t>noted the proposal of the expert from Australia, not to develop a database for the TWO</w:t>
      </w:r>
      <w:r w:rsidR="002070BE" w:rsidRPr="002070BE">
        <w:rPr>
          <w:sz w:val="20"/>
          <w:szCs w:val="20"/>
        </w:rPr>
        <w:t xml:space="preserve"> (see and documents TWC/32/28 “Report”, paragraph 79 and TWV/48/43 “Report”, paragraph 123)</w:t>
      </w:r>
      <w:r w:rsidRPr="002070BE">
        <w:rPr>
          <w:sz w:val="20"/>
          <w:szCs w:val="20"/>
        </w:rPr>
        <w:t xml:space="preserve">. </w:t>
      </w:r>
    </w:p>
    <w:p w:rsidR="00A72B49" w:rsidRPr="002070BE" w:rsidRDefault="00A72B49" w:rsidP="00A72B49">
      <w:pPr>
        <w:pStyle w:val="Default"/>
        <w:jc w:val="both"/>
        <w:rPr>
          <w:sz w:val="20"/>
          <w:szCs w:val="20"/>
        </w:rPr>
      </w:pPr>
    </w:p>
    <w:p w:rsidR="00A72B49" w:rsidRPr="002070BE" w:rsidRDefault="00A72B49" w:rsidP="00A72B49">
      <w:pPr>
        <w:pStyle w:val="Default"/>
        <w:jc w:val="both"/>
        <w:rPr>
          <w:sz w:val="20"/>
          <w:szCs w:val="20"/>
        </w:rPr>
      </w:pPr>
      <w:r w:rsidRPr="002070BE">
        <w:rPr>
          <w:snapToGrid w:val="0"/>
          <w:sz w:val="20"/>
          <w:szCs w:val="20"/>
        </w:rPr>
        <w:fldChar w:fldCharType="begin"/>
      </w:r>
      <w:r w:rsidRPr="002070BE">
        <w:rPr>
          <w:snapToGrid w:val="0"/>
          <w:sz w:val="20"/>
          <w:szCs w:val="20"/>
        </w:rPr>
        <w:instrText xml:space="preserve"> AUTONUM  </w:instrText>
      </w:r>
      <w:r w:rsidRPr="002070BE">
        <w:rPr>
          <w:snapToGrid w:val="0"/>
          <w:sz w:val="20"/>
          <w:szCs w:val="20"/>
        </w:rPr>
        <w:fldChar w:fldCharType="end"/>
      </w:r>
      <w:r w:rsidRPr="002070BE">
        <w:rPr>
          <w:snapToGrid w:val="0"/>
          <w:sz w:val="20"/>
          <w:szCs w:val="20"/>
        </w:rPr>
        <w:tab/>
      </w:r>
      <w:r w:rsidRPr="002070BE">
        <w:rPr>
          <w:sz w:val="20"/>
          <w:szCs w:val="20"/>
        </w:rPr>
        <w:t>The TWC received a presentation from an expert from China on “Variation of variety descriptions over years in different locations”, as presented in Annex I to document TWC/32/6. The TWC agreed that the information provided was useful to demonstrate the robustness of some characteristics and for defining grouping characteristics. The TWC agreed that the presentation should be made available to the TWA</w:t>
      </w:r>
      <w:r w:rsidR="002070BE" w:rsidRPr="002070BE">
        <w:rPr>
          <w:sz w:val="20"/>
          <w:szCs w:val="20"/>
        </w:rPr>
        <w:t xml:space="preserve"> see and document TWC/32/28 “Report”, paragraph 80)</w:t>
      </w:r>
      <w:r w:rsidRPr="002070BE">
        <w:rPr>
          <w:sz w:val="20"/>
          <w:szCs w:val="20"/>
        </w:rPr>
        <w:t xml:space="preserve">. </w:t>
      </w:r>
    </w:p>
    <w:p w:rsidR="00A72B49" w:rsidRPr="002070BE" w:rsidRDefault="00A72B49" w:rsidP="00A72B49">
      <w:pPr>
        <w:pStyle w:val="Default"/>
        <w:jc w:val="both"/>
        <w:rPr>
          <w:sz w:val="20"/>
          <w:szCs w:val="20"/>
        </w:rPr>
      </w:pPr>
    </w:p>
    <w:p w:rsidR="00A72B49" w:rsidRPr="002070BE" w:rsidRDefault="00A72B49" w:rsidP="00A72B49">
      <w:pPr>
        <w:pStyle w:val="Default"/>
        <w:jc w:val="both"/>
        <w:rPr>
          <w:sz w:val="20"/>
          <w:szCs w:val="20"/>
        </w:rPr>
      </w:pPr>
      <w:r w:rsidRPr="002070BE">
        <w:rPr>
          <w:snapToGrid w:val="0"/>
          <w:sz w:val="20"/>
          <w:szCs w:val="20"/>
        </w:rPr>
        <w:fldChar w:fldCharType="begin"/>
      </w:r>
      <w:r w:rsidRPr="002070BE">
        <w:rPr>
          <w:snapToGrid w:val="0"/>
          <w:sz w:val="20"/>
          <w:szCs w:val="20"/>
        </w:rPr>
        <w:instrText xml:space="preserve"> AUTONUM  </w:instrText>
      </w:r>
      <w:r w:rsidRPr="002070BE">
        <w:rPr>
          <w:snapToGrid w:val="0"/>
          <w:sz w:val="20"/>
          <w:szCs w:val="20"/>
        </w:rPr>
        <w:fldChar w:fldCharType="end"/>
      </w:r>
      <w:r w:rsidRPr="002070BE">
        <w:rPr>
          <w:snapToGrid w:val="0"/>
          <w:sz w:val="20"/>
          <w:szCs w:val="20"/>
        </w:rPr>
        <w:tab/>
      </w:r>
      <w:r w:rsidRPr="002070BE">
        <w:rPr>
          <w:sz w:val="20"/>
          <w:szCs w:val="20"/>
        </w:rPr>
        <w:t xml:space="preserve">The TWC agreed to request the experts from China to present the analysis of variance for the interaction “variety x location” (environment) of the QN characteristics considered in the study using the statistical module of the new software “DUSTC” developed by China for presentation </w:t>
      </w:r>
      <w:r w:rsidR="002070BE" w:rsidRPr="002070BE">
        <w:rPr>
          <w:sz w:val="20"/>
          <w:szCs w:val="20"/>
        </w:rPr>
        <w:t>at</w:t>
      </w:r>
      <w:r w:rsidRPr="002070BE">
        <w:rPr>
          <w:sz w:val="20"/>
          <w:szCs w:val="20"/>
        </w:rPr>
        <w:t xml:space="preserve"> the </w:t>
      </w:r>
      <w:r w:rsidR="002070BE" w:rsidRPr="002070BE">
        <w:rPr>
          <w:sz w:val="20"/>
          <w:szCs w:val="20"/>
        </w:rPr>
        <w:t>thirty-third</w:t>
      </w:r>
      <w:r w:rsidRPr="002070BE">
        <w:rPr>
          <w:sz w:val="20"/>
          <w:szCs w:val="20"/>
        </w:rPr>
        <w:t xml:space="preserve"> session of the TWC</w:t>
      </w:r>
      <w:r w:rsidR="002070BE" w:rsidRPr="002070BE">
        <w:rPr>
          <w:sz w:val="20"/>
          <w:szCs w:val="20"/>
        </w:rPr>
        <w:t xml:space="preserve"> (see and document TWC/32/28 “Report”, paragraph 81)</w:t>
      </w:r>
      <w:r w:rsidRPr="002070BE">
        <w:rPr>
          <w:sz w:val="20"/>
          <w:szCs w:val="20"/>
        </w:rPr>
        <w:t xml:space="preserve">. </w:t>
      </w:r>
    </w:p>
    <w:p w:rsidR="00A72B49" w:rsidRPr="002070BE" w:rsidRDefault="00A72B49" w:rsidP="00A72B49">
      <w:pPr>
        <w:pStyle w:val="Default"/>
        <w:jc w:val="both"/>
        <w:rPr>
          <w:sz w:val="20"/>
          <w:szCs w:val="20"/>
        </w:rPr>
      </w:pPr>
    </w:p>
    <w:p w:rsidR="00221110" w:rsidRPr="002070BE" w:rsidRDefault="00A72B49" w:rsidP="00A72B49">
      <w:pPr>
        <w:pStyle w:val="Default"/>
        <w:jc w:val="both"/>
        <w:rPr>
          <w:sz w:val="20"/>
          <w:szCs w:val="20"/>
        </w:rPr>
      </w:pPr>
      <w:r w:rsidRPr="002070BE">
        <w:rPr>
          <w:snapToGrid w:val="0"/>
          <w:sz w:val="20"/>
          <w:szCs w:val="20"/>
        </w:rPr>
        <w:fldChar w:fldCharType="begin"/>
      </w:r>
      <w:r w:rsidRPr="002070BE">
        <w:rPr>
          <w:snapToGrid w:val="0"/>
          <w:sz w:val="20"/>
          <w:szCs w:val="20"/>
        </w:rPr>
        <w:instrText xml:space="preserve"> AUTONUM  </w:instrText>
      </w:r>
      <w:r w:rsidRPr="002070BE">
        <w:rPr>
          <w:snapToGrid w:val="0"/>
          <w:sz w:val="20"/>
          <w:szCs w:val="20"/>
        </w:rPr>
        <w:fldChar w:fldCharType="end"/>
      </w:r>
      <w:r w:rsidRPr="002070BE">
        <w:rPr>
          <w:snapToGrid w:val="0"/>
          <w:sz w:val="20"/>
          <w:szCs w:val="20"/>
        </w:rPr>
        <w:tab/>
      </w:r>
      <w:r w:rsidRPr="002070BE">
        <w:rPr>
          <w:sz w:val="20"/>
          <w:szCs w:val="20"/>
        </w:rPr>
        <w:t xml:space="preserve">The TWC received a presentation from China on “PVP Database in China“, as set out in Annex II to document TWC/32/6. The TWC noted that the new software included modules for the management of applications, variety description database, data analysis and image analysis. The TWC agreed to request that the experts from China to make a presentation on the particular features of the software, including image analysis, </w:t>
      </w:r>
      <w:r w:rsidR="002070BE" w:rsidRPr="002070BE">
        <w:rPr>
          <w:sz w:val="20"/>
          <w:szCs w:val="20"/>
        </w:rPr>
        <w:t>at the thirty-third session of the TWC (see and document TWC/32/28 “Report”, paragraph 82)</w:t>
      </w:r>
      <w:r w:rsidRPr="002070BE">
        <w:rPr>
          <w:sz w:val="20"/>
          <w:szCs w:val="20"/>
        </w:rPr>
        <w:t>.</w:t>
      </w:r>
    </w:p>
    <w:p w:rsidR="00A72B49" w:rsidRPr="002070BE" w:rsidRDefault="00A72B49" w:rsidP="00A72B49">
      <w:pPr>
        <w:pStyle w:val="Default"/>
        <w:jc w:val="both"/>
        <w:rPr>
          <w:sz w:val="20"/>
          <w:szCs w:val="20"/>
        </w:rPr>
      </w:pPr>
    </w:p>
    <w:p w:rsidR="002070BE" w:rsidRPr="002070BE" w:rsidRDefault="002070BE" w:rsidP="004C77FC">
      <w:pPr>
        <w:autoSpaceDE w:val="0"/>
        <w:autoSpaceDN w:val="0"/>
        <w:adjustRightInd w:val="0"/>
      </w:pPr>
      <w:r w:rsidRPr="002070BE">
        <w:rPr>
          <w:snapToGrid w:val="0"/>
        </w:rPr>
        <w:fldChar w:fldCharType="begin"/>
      </w:r>
      <w:r w:rsidRPr="002070BE">
        <w:rPr>
          <w:snapToGrid w:val="0"/>
        </w:rPr>
        <w:instrText xml:space="preserve"> AUTONUM  </w:instrText>
      </w:r>
      <w:r w:rsidRPr="002070BE">
        <w:rPr>
          <w:snapToGrid w:val="0"/>
        </w:rPr>
        <w:fldChar w:fldCharType="end"/>
      </w:r>
      <w:r w:rsidRPr="002070BE">
        <w:rPr>
          <w:snapToGrid w:val="0"/>
        </w:rPr>
        <w:tab/>
      </w:r>
      <w:r w:rsidRPr="002070BE">
        <w:rPr>
          <w:rFonts w:cs="Arial"/>
        </w:rPr>
        <w:t>The TWV noted the comments by the experts of ISF and ESA that variety descriptions should only be</w:t>
      </w:r>
      <w:r w:rsidR="004C77FC">
        <w:rPr>
          <w:rFonts w:cs="Arial"/>
        </w:rPr>
        <w:t xml:space="preserve"> </w:t>
      </w:r>
      <w:r w:rsidRPr="002070BE">
        <w:rPr>
          <w:rFonts w:cs="Arial"/>
        </w:rPr>
        <w:t>made available in cases of protected varieties, and access to information related to inbred or parental lines</w:t>
      </w:r>
      <w:r w:rsidR="004C77FC">
        <w:rPr>
          <w:rFonts w:cs="Arial"/>
        </w:rPr>
        <w:t xml:space="preserve"> </w:t>
      </w:r>
      <w:r w:rsidRPr="002070BE">
        <w:rPr>
          <w:rFonts w:cs="Arial"/>
        </w:rPr>
        <w:t>should not be made available to the general public</w:t>
      </w:r>
      <w:r w:rsidRPr="002070BE">
        <w:t xml:space="preserve"> (see document TWV/48/43 “Report”, paragraph 126)</w:t>
      </w:r>
      <w:r w:rsidRPr="002070BE">
        <w:rPr>
          <w:rFonts w:cs="Arial"/>
        </w:rPr>
        <w:t>.</w:t>
      </w:r>
    </w:p>
    <w:p w:rsidR="002070BE" w:rsidRPr="00143E49" w:rsidRDefault="002070BE" w:rsidP="002070BE">
      <w:pPr>
        <w:pStyle w:val="Default"/>
        <w:jc w:val="both"/>
      </w:pPr>
    </w:p>
    <w:p w:rsidR="0080160A" w:rsidRPr="00C00367" w:rsidRDefault="00463504" w:rsidP="00C00367">
      <w:pPr>
        <w:pStyle w:val="DecisionParagraphs"/>
        <w:rPr>
          <w:rFonts w:cs="Arial"/>
        </w:rPr>
      </w:pPr>
      <w:r w:rsidRPr="0008344F">
        <w:rPr>
          <w:color w:val="000000"/>
        </w:rPr>
        <w:fldChar w:fldCharType="begin"/>
      </w:r>
      <w:r w:rsidRPr="0008344F">
        <w:rPr>
          <w:color w:val="000000"/>
        </w:rPr>
        <w:instrText xml:space="preserve"> AUTONUM  </w:instrText>
      </w:r>
      <w:r w:rsidRPr="0008344F">
        <w:rPr>
          <w:color w:val="000000"/>
        </w:rPr>
        <w:fldChar w:fldCharType="end"/>
      </w:r>
      <w:r w:rsidRPr="0008344F">
        <w:rPr>
          <w:color w:val="000000"/>
        </w:rPr>
        <w:tab/>
      </w:r>
      <w:r w:rsidR="0080160A" w:rsidRPr="0008344F">
        <w:rPr>
          <w:rFonts w:cs="Arial"/>
        </w:rPr>
        <w:t>The TC is invited to</w:t>
      </w:r>
      <w:r w:rsidR="00705103">
        <w:rPr>
          <w:rFonts w:cs="Arial"/>
        </w:rPr>
        <w:t xml:space="preserve"> note</w:t>
      </w:r>
      <w:r w:rsidR="00C00367">
        <w:rPr>
          <w:rFonts w:cs="Arial"/>
        </w:rPr>
        <w:t xml:space="preserve"> </w:t>
      </w:r>
      <w:r w:rsidR="00A93F83" w:rsidRPr="0008344F">
        <w:rPr>
          <w:rFonts w:cs="Arial"/>
        </w:rPr>
        <w:t>the development</w:t>
      </w:r>
      <w:r w:rsidR="00995392" w:rsidRPr="0008344F">
        <w:rPr>
          <w:rFonts w:cs="Arial"/>
        </w:rPr>
        <w:t>s</w:t>
      </w:r>
      <w:r w:rsidR="0080160A" w:rsidRPr="0008344F">
        <w:rPr>
          <w:rFonts w:cs="Arial"/>
        </w:rPr>
        <w:t xml:space="preserve"> on </w:t>
      </w:r>
      <w:r w:rsidR="0080160A" w:rsidRPr="0008344F">
        <w:rPr>
          <w:rFonts w:cs="Arial"/>
          <w:snapToGrid w:val="0"/>
        </w:rPr>
        <w:t>variet</w:t>
      </w:r>
      <w:r w:rsidR="00A93F83" w:rsidRPr="0008344F">
        <w:rPr>
          <w:rFonts w:cs="Arial"/>
          <w:snapToGrid w:val="0"/>
        </w:rPr>
        <w:t xml:space="preserve">y description databases, as set </w:t>
      </w:r>
      <w:r w:rsidR="00CB1E90">
        <w:rPr>
          <w:rFonts w:cs="Arial"/>
          <w:snapToGrid w:val="0"/>
        </w:rPr>
        <w:t>in</w:t>
      </w:r>
      <w:r w:rsidR="00C050A1" w:rsidRPr="0008344F">
        <w:rPr>
          <w:rFonts w:cs="Arial"/>
          <w:snapToGrid w:val="0"/>
        </w:rPr>
        <w:t xml:space="preserve"> this document</w:t>
      </w:r>
      <w:r w:rsidR="00C00367">
        <w:rPr>
          <w:rFonts w:cs="Arial"/>
          <w:snapToGrid w:val="0"/>
        </w:rPr>
        <w:t xml:space="preserve"> and, in particular, that:</w:t>
      </w:r>
    </w:p>
    <w:p w:rsidR="0080160A" w:rsidRPr="0008344F" w:rsidRDefault="0080160A" w:rsidP="00B4225A">
      <w:pPr>
        <w:pStyle w:val="DecisionParagraphs"/>
        <w:tabs>
          <w:tab w:val="left" w:pos="6000"/>
        </w:tabs>
        <w:ind w:firstLine="567"/>
        <w:rPr>
          <w:rFonts w:cs="Arial"/>
          <w:snapToGrid w:val="0"/>
        </w:rPr>
      </w:pPr>
    </w:p>
    <w:p w:rsidR="0080160A" w:rsidRPr="00B4225A" w:rsidRDefault="00297D4D" w:rsidP="00B4225A">
      <w:pPr>
        <w:pStyle w:val="DecisionParagraphs"/>
        <w:numPr>
          <w:ilvl w:val="0"/>
          <w:numId w:val="4"/>
        </w:numPr>
        <w:tabs>
          <w:tab w:val="left" w:pos="6000"/>
        </w:tabs>
        <w:ind w:left="4820" w:firstLine="567"/>
        <w:rPr>
          <w:rFonts w:cs="Arial"/>
        </w:rPr>
      </w:pPr>
      <w:r w:rsidRPr="0008344F">
        <w:rPr>
          <w:rFonts w:cs="Arial"/>
        </w:rPr>
        <w:t xml:space="preserve"> </w:t>
      </w:r>
      <w:r w:rsidR="00A90A95" w:rsidRPr="0008344F">
        <w:rPr>
          <w:rFonts w:cs="Arial"/>
        </w:rPr>
        <w:t xml:space="preserve">the </w:t>
      </w:r>
      <w:r w:rsidR="00CB1E90" w:rsidRPr="002070BE">
        <w:rPr>
          <w:rFonts w:cs="Arial"/>
        </w:rPr>
        <w:t>TWO agreed that it would not be appropriate to develop a database for an ornamental species at this time</w:t>
      </w:r>
      <w:r w:rsidR="00A90A95" w:rsidRPr="0008344F">
        <w:rPr>
          <w:rFonts w:cs="Arial"/>
        </w:rPr>
        <w:t>;</w:t>
      </w:r>
      <w:r w:rsidR="00DE01E5">
        <w:rPr>
          <w:rFonts w:cs="Arial"/>
        </w:rPr>
        <w:t xml:space="preserve"> </w:t>
      </w:r>
      <w:r w:rsidR="003E3E8D">
        <w:rPr>
          <w:rFonts w:cs="Arial"/>
        </w:rPr>
        <w:t>and</w:t>
      </w:r>
    </w:p>
    <w:p w:rsidR="0095428F" w:rsidRPr="0095428F" w:rsidRDefault="0095428F" w:rsidP="0095428F">
      <w:pPr>
        <w:pStyle w:val="DecisionParagraphs"/>
        <w:tabs>
          <w:tab w:val="left" w:pos="6000"/>
        </w:tabs>
        <w:ind w:firstLine="567"/>
      </w:pPr>
    </w:p>
    <w:p w:rsidR="00995392" w:rsidRPr="00297D4D" w:rsidRDefault="00C176C5" w:rsidP="00B4225A">
      <w:pPr>
        <w:pStyle w:val="DecisionParagraphs"/>
        <w:numPr>
          <w:ilvl w:val="0"/>
          <w:numId w:val="4"/>
        </w:numPr>
        <w:tabs>
          <w:tab w:val="left" w:pos="6000"/>
        </w:tabs>
        <w:ind w:left="4820" w:firstLine="567"/>
        <w:rPr>
          <w:rFonts w:cs="Arial"/>
        </w:rPr>
      </w:pPr>
      <w:r>
        <w:t xml:space="preserve">the TWC </w:t>
      </w:r>
      <w:r w:rsidR="0095428F" w:rsidRPr="00297D4D">
        <w:rPr>
          <w:rFonts w:cs="Arial"/>
        </w:rPr>
        <w:t>ha</w:t>
      </w:r>
      <w:r w:rsidR="00D75034" w:rsidRPr="00297D4D">
        <w:rPr>
          <w:rFonts w:cs="Arial"/>
        </w:rPr>
        <w:t>s</w:t>
      </w:r>
      <w:r w:rsidR="0095428F" w:rsidRPr="00297D4D">
        <w:rPr>
          <w:rFonts w:cs="Arial"/>
        </w:rPr>
        <w:t xml:space="preserve"> </w:t>
      </w:r>
      <w:r w:rsidR="0008344F" w:rsidRPr="00297D4D">
        <w:rPr>
          <w:rFonts w:cs="Arial"/>
        </w:rPr>
        <w:t xml:space="preserve">invited </w:t>
      </w:r>
      <w:r w:rsidR="0090418D" w:rsidRPr="00297D4D">
        <w:rPr>
          <w:rFonts w:cs="Arial"/>
        </w:rPr>
        <w:t>an</w:t>
      </w:r>
      <w:r w:rsidR="0008344F" w:rsidRPr="00297D4D">
        <w:rPr>
          <w:rFonts w:cs="Arial"/>
        </w:rPr>
        <w:t xml:space="preserve"> expert from </w:t>
      </w:r>
      <w:r w:rsidR="00297D4D">
        <w:rPr>
          <w:rFonts w:cs="Arial"/>
        </w:rPr>
        <w:t>China</w:t>
      </w:r>
      <w:r w:rsidR="00C40551" w:rsidRPr="00297D4D">
        <w:rPr>
          <w:rFonts w:cs="Arial"/>
        </w:rPr>
        <w:t xml:space="preserve"> to present </w:t>
      </w:r>
      <w:r w:rsidR="00297D4D" w:rsidRPr="002070BE">
        <w:t xml:space="preserve">the analysis of variance for the interaction “variety x location” (environment) of the QN characteristics considered in the study using the statistical module of the new software “DUSTC” developed by China for presentation at </w:t>
      </w:r>
      <w:r w:rsidR="00297D4D">
        <w:t>its</w:t>
      </w:r>
      <w:r w:rsidR="00297D4D" w:rsidRPr="002070BE">
        <w:t xml:space="preserve"> thirty-third</w:t>
      </w:r>
      <w:r w:rsidR="00297D4D">
        <w:t xml:space="preserve"> session</w:t>
      </w:r>
      <w:r w:rsidR="00297D4D">
        <w:rPr>
          <w:rFonts w:cs="Arial"/>
        </w:rPr>
        <w:t>.</w:t>
      </w:r>
    </w:p>
    <w:p w:rsidR="0008344F" w:rsidRPr="00B4225A" w:rsidRDefault="0008344F" w:rsidP="00B4225A">
      <w:pPr>
        <w:pStyle w:val="DecisionParagraphs"/>
        <w:tabs>
          <w:tab w:val="left" w:pos="6000"/>
        </w:tabs>
        <w:ind w:firstLine="567"/>
        <w:rPr>
          <w:rFonts w:cs="Arial"/>
        </w:rPr>
      </w:pPr>
    </w:p>
    <w:p w:rsidR="00BE3B00" w:rsidRPr="00582A0F" w:rsidRDefault="00BE3B00" w:rsidP="00F86C49">
      <w:pPr>
        <w:rPr>
          <w:rFonts w:cs="Arial"/>
          <w:snapToGrid w:val="0"/>
        </w:rPr>
      </w:pPr>
    </w:p>
    <w:p w:rsidR="00BE3B00" w:rsidRPr="00582A0F" w:rsidRDefault="00B869A4" w:rsidP="00BE3B00">
      <w:pPr>
        <w:jc w:val="right"/>
        <w:rPr>
          <w:rFonts w:cs="Arial"/>
          <w:snapToGrid w:val="0"/>
        </w:rPr>
      </w:pPr>
      <w:r>
        <w:rPr>
          <w:rFonts w:cs="Arial"/>
          <w:snapToGrid w:val="0"/>
        </w:rPr>
        <w:t xml:space="preserve">[End </w:t>
      </w:r>
      <w:r w:rsidR="00BE3B00" w:rsidRPr="00582A0F">
        <w:rPr>
          <w:rFonts w:cs="Arial"/>
          <w:snapToGrid w:val="0"/>
        </w:rPr>
        <w:t>of document]</w:t>
      </w:r>
    </w:p>
    <w:sectPr w:rsidR="00BE3B00" w:rsidRPr="00582A0F" w:rsidSect="00F86C49">
      <w:headerReference w:type="default" r:id="rId10"/>
      <w:pgSz w:w="11906" w:h="16838" w:code="9"/>
      <w:pgMar w:top="510" w:right="1134" w:bottom="1134" w:left="1134" w:header="51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F61" w:rsidRDefault="00C11F61" w:rsidP="006655D3">
      <w:r>
        <w:separator/>
      </w:r>
    </w:p>
    <w:p w:rsidR="00C11F61" w:rsidRDefault="00C11F61" w:rsidP="006655D3"/>
    <w:p w:rsidR="00C11F61" w:rsidRDefault="00C11F61" w:rsidP="006655D3"/>
  </w:endnote>
  <w:endnote w:type="continuationSeparator" w:id="0">
    <w:p w:rsidR="00C11F61" w:rsidRDefault="00C11F61" w:rsidP="006655D3">
      <w:r>
        <w:separator/>
      </w:r>
    </w:p>
    <w:p w:rsidR="00C11F61" w:rsidRPr="00C11F61" w:rsidRDefault="00C11F61">
      <w:pPr>
        <w:pStyle w:val="Footer"/>
        <w:spacing w:after="60"/>
        <w:rPr>
          <w:sz w:val="18"/>
          <w:lang w:val="fr-FR"/>
        </w:rPr>
      </w:pPr>
      <w:r w:rsidRPr="00C11F61">
        <w:rPr>
          <w:sz w:val="18"/>
          <w:lang w:val="fr-FR"/>
        </w:rPr>
        <w:t>[Suite de la note de la page précédente]</w:t>
      </w:r>
    </w:p>
    <w:p w:rsidR="00C11F61" w:rsidRPr="00C11F61" w:rsidRDefault="00C11F61" w:rsidP="006655D3">
      <w:pPr>
        <w:rPr>
          <w:lang w:val="fr-FR"/>
        </w:rPr>
      </w:pPr>
    </w:p>
    <w:p w:rsidR="00C11F61" w:rsidRPr="00C11F61" w:rsidRDefault="00C11F61" w:rsidP="006655D3">
      <w:pPr>
        <w:rPr>
          <w:lang w:val="fr-FR"/>
        </w:rPr>
      </w:pPr>
    </w:p>
  </w:endnote>
  <w:endnote w:type="continuationNotice" w:id="1">
    <w:p w:rsidR="00C11F61" w:rsidRPr="00C11F61" w:rsidRDefault="00C11F61" w:rsidP="006655D3">
      <w:pPr>
        <w:rPr>
          <w:lang w:val="fr-FR"/>
        </w:rPr>
      </w:pPr>
      <w:r w:rsidRPr="00C11F61">
        <w:rPr>
          <w:lang w:val="fr-FR"/>
        </w:rPr>
        <w:t>[Suite de la note page suivante]</w:t>
      </w:r>
    </w:p>
    <w:p w:rsidR="00C11F61" w:rsidRPr="00C11F61" w:rsidRDefault="00C11F61" w:rsidP="006655D3">
      <w:pPr>
        <w:rPr>
          <w:lang w:val="fr-FR"/>
        </w:rPr>
      </w:pPr>
    </w:p>
    <w:p w:rsidR="00C11F61" w:rsidRPr="00C11F61" w:rsidRDefault="00C11F6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F61" w:rsidRDefault="00C11F61" w:rsidP="006655D3">
      <w:r>
        <w:separator/>
      </w:r>
    </w:p>
  </w:footnote>
  <w:footnote w:type="continuationSeparator" w:id="0">
    <w:p w:rsidR="00C11F61" w:rsidRDefault="00C11F61" w:rsidP="006655D3">
      <w:r>
        <w:separator/>
      </w:r>
    </w:p>
  </w:footnote>
  <w:footnote w:type="continuationNotice" w:id="1">
    <w:p w:rsidR="00C11F61" w:rsidRPr="00AB530F" w:rsidRDefault="00C11F6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C49" w:rsidRPr="00024627" w:rsidRDefault="00F86C49" w:rsidP="00F86C49">
    <w:pPr>
      <w:pStyle w:val="Header"/>
      <w:rPr>
        <w:rStyle w:val="PageNumber"/>
      </w:rPr>
    </w:pPr>
    <w:r>
      <w:rPr>
        <w:rStyle w:val="PageNumber"/>
      </w:rPr>
      <w:t>TC/51/9</w:t>
    </w:r>
  </w:p>
  <w:p w:rsidR="00F86C49" w:rsidRPr="00024627" w:rsidRDefault="00F86C49" w:rsidP="00F86C49">
    <w:pPr>
      <w:pStyle w:val="Header"/>
    </w:pPr>
    <w:proofErr w:type="gramStart"/>
    <w:r w:rsidRPr="00024627">
      <w:t>page</w:t>
    </w:r>
    <w:proofErr w:type="gramEnd"/>
    <w:r w:rsidRPr="00024627">
      <w:t xml:space="preserve"> </w:t>
    </w:r>
    <w:r w:rsidRPr="00C5280D">
      <w:rPr>
        <w:rStyle w:val="PageNumber"/>
        <w:lang w:val="en-US"/>
      </w:rPr>
      <w:fldChar w:fldCharType="begin"/>
    </w:r>
    <w:r w:rsidRPr="00024627">
      <w:rPr>
        <w:rStyle w:val="PageNumber"/>
      </w:rPr>
      <w:instrText xml:space="preserve"> PAGE </w:instrText>
    </w:r>
    <w:r w:rsidRPr="00C5280D">
      <w:rPr>
        <w:rStyle w:val="PageNumber"/>
        <w:lang w:val="en-US"/>
      </w:rPr>
      <w:fldChar w:fldCharType="separate"/>
    </w:r>
    <w:r w:rsidR="00F41FD2">
      <w:rPr>
        <w:rStyle w:val="PageNumber"/>
        <w:noProof/>
      </w:rPr>
      <w:t>5</w:t>
    </w:r>
    <w:r w:rsidRPr="00C5280D">
      <w:rPr>
        <w:rStyle w:val="PageNumber"/>
        <w:lang w:val="en-US"/>
      </w:rPr>
      <w:fldChar w:fldCharType="end"/>
    </w:r>
  </w:p>
  <w:p w:rsidR="00C11F61" w:rsidRPr="00C5280D" w:rsidRDefault="00C11F61" w:rsidP="00582A0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252E"/>
    <w:multiLevelType w:val="hybridMultilevel"/>
    <w:tmpl w:val="15A0D9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57424"/>
    <w:multiLevelType w:val="hybridMultilevel"/>
    <w:tmpl w:val="67884C4C"/>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4B4723"/>
    <w:multiLevelType w:val="hybridMultilevel"/>
    <w:tmpl w:val="B6B01D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E311773"/>
    <w:multiLevelType w:val="hybridMultilevel"/>
    <w:tmpl w:val="BCD494A4"/>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73E97FF8"/>
    <w:multiLevelType w:val="hybridMultilevel"/>
    <w:tmpl w:val="36467A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1"/>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5B6"/>
    <w:rsid w:val="00010CF3"/>
    <w:rsid w:val="000112BF"/>
    <w:rsid w:val="00011E27"/>
    <w:rsid w:val="000148BC"/>
    <w:rsid w:val="00021DFC"/>
    <w:rsid w:val="000248EC"/>
    <w:rsid w:val="00024AB8"/>
    <w:rsid w:val="0002721C"/>
    <w:rsid w:val="000306DE"/>
    <w:rsid w:val="00030854"/>
    <w:rsid w:val="00033B49"/>
    <w:rsid w:val="00034088"/>
    <w:rsid w:val="00036028"/>
    <w:rsid w:val="000401FA"/>
    <w:rsid w:val="00044642"/>
    <w:rsid w:val="000446B9"/>
    <w:rsid w:val="00047E21"/>
    <w:rsid w:val="000742C7"/>
    <w:rsid w:val="00074801"/>
    <w:rsid w:val="0008344F"/>
    <w:rsid w:val="00085505"/>
    <w:rsid w:val="00086B87"/>
    <w:rsid w:val="00091A2F"/>
    <w:rsid w:val="000951CA"/>
    <w:rsid w:val="000B25B6"/>
    <w:rsid w:val="000C7021"/>
    <w:rsid w:val="000D5A9E"/>
    <w:rsid w:val="000D6BBC"/>
    <w:rsid w:val="000D7780"/>
    <w:rsid w:val="000E18CC"/>
    <w:rsid w:val="000E1B9F"/>
    <w:rsid w:val="00105929"/>
    <w:rsid w:val="001131D5"/>
    <w:rsid w:val="001178AF"/>
    <w:rsid w:val="00120EC9"/>
    <w:rsid w:val="00121794"/>
    <w:rsid w:val="00125B91"/>
    <w:rsid w:val="0012642F"/>
    <w:rsid w:val="0012731F"/>
    <w:rsid w:val="00136ED1"/>
    <w:rsid w:val="00140FA0"/>
    <w:rsid w:val="00141DB8"/>
    <w:rsid w:val="00142A8C"/>
    <w:rsid w:val="0017474A"/>
    <w:rsid w:val="001758C6"/>
    <w:rsid w:val="0018012E"/>
    <w:rsid w:val="001817FF"/>
    <w:rsid w:val="00182B99"/>
    <w:rsid w:val="00183C45"/>
    <w:rsid w:val="001855D0"/>
    <w:rsid w:val="001A5331"/>
    <w:rsid w:val="001A5F9C"/>
    <w:rsid w:val="001C1997"/>
    <w:rsid w:val="001E3ECA"/>
    <w:rsid w:val="001F1526"/>
    <w:rsid w:val="001F1780"/>
    <w:rsid w:val="002070BE"/>
    <w:rsid w:val="0021332C"/>
    <w:rsid w:val="00213982"/>
    <w:rsid w:val="00221110"/>
    <w:rsid w:val="0022184C"/>
    <w:rsid w:val="00231751"/>
    <w:rsid w:val="002322FD"/>
    <w:rsid w:val="0023632D"/>
    <w:rsid w:val="0024416D"/>
    <w:rsid w:val="002514A9"/>
    <w:rsid w:val="00251D75"/>
    <w:rsid w:val="00263C14"/>
    <w:rsid w:val="002800A0"/>
    <w:rsid w:val="002801B3"/>
    <w:rsid w:val="00281060"/>
    <w:rsid w:val="002940E8"/>
    <w:rsid w:val="0029606D"/>
    <w:rsid w:val="00296C8F"/>
    <w:rsid w:val="00297D4D"/>
    <w:rsid w:val="002A6E50"/>
    <w:rsid w:val="002C22D1"/>
    <w:rsid w:val="002C256A"/>
    <w:rsid w:val="002E7D89"/>
    <w:rsid w:val="002E7F26"/>
    <w:rsid w:val="00304A2E"/>
    <w:rsid w:val="00305A7F"/>
    <w:rsid w:val="003121C1"/>
    <w:rsid w:val="00314C69"/>
    <w:rsid w:val="003152FE"/>
    <w:rsid w:val="00327436"/>
    <w:rsid w:val="00331E1A"/>
    <w:rsid w:val="0033402D"/>
    <w:rsid w:val="00335D88"/>
    <w:rsid w:val="003376E2"/>
    <w:rsid w:val="00342E69"/>
    <w:rsid w:val="00344BD6"/>
    <w:rsid w:val="003507AD"/>
    <w:rsid w:val="0035528D"/>
    <w:rsid w:val="00361821"/>
    <w:rsid w:val="003701EC"/>
    <w:rsid w:val="00370957"/>
    <w:rsid w:val="003753C2"/>
    <w:rsid w:val="00382590"/>
    <w:rsid w:val="003960FF"/>
    <w:rsid w:val="003A26E6"/>
    <w:rsid w:val="003C091E"/>
    <w:rsid w:val="003C2607"/>
    <w:rsid w:val="003C5AB1"/>
    <w:rsid w:val="003D227C"/>
    <w:rsid w:val="003D2B4D"/>
    <w:rsid w:val="003E3E8D"/>
    <w:rsid w:val="003E5755"/>
    <w:rsid w:val="003F16C6"/>
    <w:rsid w:val="00412122"/>
    <w:rsid w:val="00421219"/>
    <w:rsid w:val="004411AB"/>
    <w:rsid w:val="004415F8"/>
    <w:rsid w:val="00444A88"/>
    <w:rsid w:val="0045026F"/>
    <w:rsid w:val="004577CD"/>
    <w:rsid w:val="00463504"/>
    <w:rsid w:val="00474DA4"/>
    <w:rsid w:val="00476B4D"/>
    <w:rsid w:val="004805FA"/>
    <w:rsid w:val="004A5264"/>
    <w:rsid w:val="004A6605"/>
    <w:rsid w:val="004A6AB6"/>
    <w:rsid w:val="004B44C9"/>
    <w:rsid w:val="004C2EB5"/>
    <w:rsid w:val="004C77FC"/>
    <w:rsid w:val="004D047D"/>
    <w:rsid w:val="004D7EA4"/>
    <w:rsid w:val="004F305A"/>
    <w:rsid w:val="00507C36"/>
    <w:rsid w:val="00510E3B"/>
    <w:rsid w:val="00512164"/>
    <w:rsid w:val="00520297"/>
    <w:rsid w:val="0052122D"/>
    <w:rsid w:val="005338F9"/>
    <w:rsid w:val="00536BB1"/>
    <w:rsid w:val="0054281C"/>
    <w:rsid w:val="00544BE7"/>
    <w:rsid w:val="0055268D"/>
    <w:rsid w:val="0056029A"/>
    <w:rsid w:val="0056074B"/>
    <w:rsid w:val="00576BE4"/>
    <w:rsid w:val="00576D2E"/>
    <w:rsid w:val="0057728F"/>
    <w:rsid w:val="00582A0F"/>
    <w:rsid w:val="005A400A"/>
    <w:rsid w:val="005A4563"/>
    <w:rsid w:val="005C223C"/>
    <w:rsid w:val="005C5AD1"/>
    <w:rsid w:val="005D4363"/>
    <w:rsid w:val="005D713E"/>
    <w:rsid w:val="005F4828"/>
    <w:rsid w:val="00612379"/>
    <w:rsid w:val="0061555F"/>
    <w:rsid w:val="006354A8"/>
    <w:rsid w:val="00641200"/>
    <w:rsid w:val="006451EB"/>
    <w:rsid w:val="00647439"/>
    <w:rsid w:val="006560E9"/>
    <w:rsid w:val="006655D3"/>
    <w:rsid w:val="00667404"/>
    <w:rsid w:val="006778C2"/>
    <w:rsid w:val="00687EB4"/>
    <w:rsid w:val="00694231"/>
    <w:rsid w:val="006B17D2"/>
    <w:rsid w:val="006B6546"/>
    <w:rsid w:val="006C224E"/>
    <w:rsid w:val="006D1F36"/>
    <w:rsid w:val="006D780A"/>
    <w:rsid w:val="006F6FE8"/>
    <w:rsid w:val="00705103"/>
    <w:rsid w:val="00732DEC"/>
    <w:rsid w:val="00735BD5"/>
    <w:rsid w:val="0074096B"/>
    <w:rsid w:val="007425CE"/>
    <w:rsid w:val="00750A98"/>
    <w:rsid w:val="00751B7E"/>
    <w:rsid w:val="007556F6"/>
    <w:rsid w:val="007561A4"/>
    <w:rsid w:val="00760EEF"/>
    <w:rsid w:val="007642BE"/>
    <w:rsid w:val="00775CBB"/>
    <w:rsid w:val="00777EE5"/>
    <w:rsid w:val="007804D5"/>
    <w:rsid w:val="00784836"/>
    <w:rsid w:val="0079023E"/>
    <w:rsid w:val="00797015"/>
    <w:rsid w:val="00797D46"/>
    <w:rsid w:val="007A2854"/>
    <w:rsid w:val="007A2D78"/>
    <w:rsid w:val="007B4152"/>
    <w:rsid w:val="007C530E"/>
    <w:rsid w:val="007D0B9D"/>
    <w:rsid w:val="007D19B0"/>
    <w:rsid w:val="007E7EA0"/>
    <w:rsid w:val="007F3F35"/>
    <w:rsid w:val="007F443F"/>
    <w:rsid w:val="007F498F"/>
    <w:rsid w:val="008000FF"/>
    <w:rsid w:val="0080160A"/>
    <w:rsid w:val="008049B4"/>
    <w:rsid w:val="0080679D"/>
    <w:rsid w:val="008108B0"/>
    <w:rsid w:val="0081093E"/>
    <w:rsid w:val="00811B20"/>
    <w:rsid w:val="00813956"/>
    <w:rsid w:val="0082296E"/>
    <w:rsid w:val="00824099"/>
    <w:rsid w:val="0082601A"/>
    <w:rsid w:val="0083157A"/>
    <w:rsid w:val="00844833"/>
    <w:rsid w:val="00860CA3"/>
    <w:rsid w:val="00867AC1"/>
    <w:rsid w:val="00874785"/>
    <w:rsid w:val="0088262A"/>
    <w:rsid w:val="008A2E8F"/>
    <w:rsid w:val="008A743F"/>
    <w:rsid w:val="008B36E0"/>
    <w:rsid w:val="008C0970"/>
    <w:rsid w:val="008C3DB2"/>
    <w:rsid w:val="008D159D"/>
    <w:rsid w:val="008D2CF7"/>
    <w:rsid w:val="008D2FC5"/>
    <w:rsid w:val="008E0366"/>
    <w:rsid w:val="008F0675"/>
    <w:rsid w:val="008F32A7"/>
    <w:rsid w:val="00900C26"/>
    <w:rsid w:val="0090113E"/>
    <w:rsid w:val="0090197F"/>
    <w:rsid w:val="0090418D"/>
    <w:rsid w:val="00906DDC"/>
    <w:rsid w:val="00912A17"/>
    <w:rsid w:val="009265D8"/>
    <w:rsid w:val="00934E09"/>
    <w:rsid w:val="00936253"/>
    <w:rsid w:val="00940911"/>
    <w:rsid w:val="00944EB7"/>
    <w:rsid w:val="00950B3F"/>
    <w:rsid w:val="00952BE0"/>
    <w:rsid w:val="00952DD4"/>
    <w:rsid w:val="0095428F"/>
    <w:rsid w:val="00970FED"/>
    <w:rsid w:val="00982FFC"/>
    <w:rsid w:val="00993C2A"/>
    <w:rsid w:val="0099501B"/>
    <w:rsid w:val="00995392"/>
    <w:rsid w:val="00997029"/>
    <w:rsid w:val="009A201F"/>
    <w:rsid w:val="009A4ADB"/>
    <w:rsid w:val="009B0C01"/>
    <w:rsid w:val="009C0BBD"/>
    <w:rsid w:val="009D690D"/>
    <w:rsid w:val="009E3341"/>
    <w:rsid w:val="009E5B2E"/>
    <w:rsid w:val="009E65B6"/>
    <w:rsid w:val="009F6328"/>
    <w:rsid w:val="00A120B8"/>
    <w:rsid w:val="00A12806"/>
    <w:rsid w:val="00A13473"/>
    <w:rsid w:val="00A241BD"/>
    <w:rsid w:val="00A24C10"/>
    <w:rsid w:val="00A24F70"/>
    <w:rsid w:val="00A344A7"/>
    <w:rsid w:val="00A34918"/>
    <w:rsid w:val="00A42AC3"/>
    <w:rsid w:val="00A430CF"/>
    <w:rsid w:val="00A51325"/>
    <w:rsid w:val="00A54309"/>
    <w:rsid w:val="00A6039C"/>
    <w:rsid w:val="00A6374D"/>
    <w:rsid w:val="00A70006"/>
    <w:rsid w:val="00A72B49"/>
    <w:rsid w:val="00A80F7D"/>
    <w:rsid w:val="00A906E5"/>
    <w:rsid w:val="00A90A95"/>
    <w:rsid w:val="00A931CB"/>
    <w:rsid w:val="00A93F83"/>
    <w:rsid w:val="00A9630A"/>
    <w:rsid w:val="00AA0CA4"/>
    <w:rsid w:val="00AA1580"/>
    <w:rsid w:val="00AB2B93"/>
    <w:rsid w:val="00AB530F"/>
    <w:rsid w:val="00AB72A8"/>
    <w:rsid w:val="00AB7E5B"/>
    <w:rsid w:val="00AC655F"/>
    <w:rsid w:val="00AE0EF1"/>
    <w:rsid w:val="00AE0F41"/>
    <w:rsid w:val="00AE2937"/>
    <w:rsid w:val="00AE69FD"/>
    <w:rsid w:val="00AF0F4C"/>
    <w:rsid w:val="00AF7D9C"/>
    <w:rsid w:val="00B07301"/>
    <w:rsid w:val="00B1253C"/>
    <w:rsid w:val="00B13B31"/>
    <w:rsid w:val="00B224DE"/>
    <w:rsid w:val="00B41996"/>
    <w:rsid w:val="00B4225A"/>
    <w:rsid w:val="00B46575"/>
    <w:rsid w:val="00B531F1"/>
    <w:rsid w:val="00B56743"/>
    <w:rsid w:val="00B6608B"/>
    <w:rsid w:val="00B66389"/>
    <w:rsid w:val="00B677E0"/>
    <w:rsid w:val="00B84BBD"/>
    <w:rsid w:val="00B869A4"/>
    <w:rsid w:val="00B86D49"/>
    <w:rsid w:val="00B873C2"/>
    <w:rsid w:val="00BA2B95"/>
    <w:rsid w:val="00BA43FB"/>
    <w:rsid w:val="00BB5492"/>
    <w:rsid w:val="00BC127D"/>
    <w:rsid w:val="00BC1A13"/>
    <w:rsid w:val="00BC1FE6"/>
    <w:rsid w:val="00BD47B5"/>
    <w:rsid w:val="00BD5316"/>
    <w:rsid w:val="00BD5D5B"/>
    <w:rsid w:val="00BE3B00"/>
    <w:rsid w:val="00C00367"/>
    <w:rsid w:val="00C01BD2"/>
    <w:rsid w:val="00C04B01"/>
    <w:rsid w:val="00C050A1"/>
    <w:rsid w:val="00C061B6"/>
    <w:rsid w:val="00C11F61"/>
    <w:rsid w:val="00C176C5"/>
    <w:rsid w:val="00C2161B"/>
    <w:rsid w:val="00C24411"/>
    <w:rsid w:val="00C2446C"/>
    <w:rsid w:val="00C24F44"/>
    <w:rsid w:val="00C36AE5"/>
    <w:rsid w:val="00C3751B"/>
    <w:rsid w:val="00C40551"/>
    <w:rsid w:val="00C41F17"/>
    <w:rsid w:val="00C5280D"/>
    <w:rsid w:val="00C5791C"/>
    <w:rsid w:val="00C6172F"/>
    <w:rsid w:val="00C66290"/>
    <w:rsid w:val="00C72B7A"/>
    <w:rsid w:val="00C73A18"/>
    <w:rsid w:val="00C8222D"/>
    <w:rsid w:val="00C911F7"/>
    <w:rsid w:val="00C9275D"/>
    <w:rsid w:val="00C973F2"/>
    <w:rsid w:val="00C9785A"/>
    <w:rsid w:val="00CA304C"/>
    <w:rsid w:val="00CA774A"/>
    <w:rsid w:val="00CB1E90"/>
    <w:rsid w:val="00CC11B0"/>
    <w:rsid w:val="00CC1436"/>
    <w:rsid w:val="00CC239E"/>
    <w:rsid w:val="00CE45E1"/>
    <w:rsid w:val="00CF76EC"/>
    <w:rsid w:val="00CF7E36"/>
    <w:rsid w:val="00CF7EAD"/>
    <w:rsid w:val="00D14424"/>
    <w:rsid w:val="00D3708D"/>
    <w:rsid w:val="00D40426"/>
    <w:rsid w:val="00D57C96"/>
    <w:rsid w:val="00D73867"/>
    <w:rsid w:val="00D75034"/>
    <w:rsid w:val="00D7697D"/>
    <w:rsid w:val="00D801EF"/>
    <w:rsid w:val="00D91203"/>
    <w:rsid w:val="00D9277B"/>
    <w:rsid w:val="00D95174"/>
    <w:rsid w:val="00DA4F81"/>
    <w:rsid w:val="00DA6F36"/>
    <w:rsid w:val="00DB06AC"/>
    <w:rsid w:val="00DB596E"/>
    <w:rsid w:val="00DB7773"/>
    <w:rsid w:val="00DC00EA"/>
    <w:rsid w:val="00DD67C0"/>
    <w:rsid w:val="00DD75B6"/>
    <w:rsid w:val="00DE01E5"/>
    <w:rsid w:val="00DE6A93"/>
    <w:rsid w:val="00DF726B"/>
    <w:rsid w:val="00E058CB"/>
    <w:rsid w:val="00E06C56"/>
    <w:rsid w:val="00E148A2"/>
    <w:rsid w:val="00E21D4A"/>
    <w:rsid w:val="00E32518"/>
    <w:rsid w:val="00E32F7E"/>
    <w:rsid w:val="00E40026"/>
    <w:rsid w:val="00E5544F"/>
    <w:rsid w:val="00E72D49"/>
    <w:rsid w:val="00E7593C"/>
    <w:rsid w:val="00E7678A"/>
    <w:rsid w:val="00E8284E"/>
    <w:rsid w:val="00E935F1"/>
    <w:rsid w:val="00E94A81"/>
    <w:rsid w:val="00E97BA4"/>
    <w:rsid w:val="00EA1FFB"/>
    <w:rsid w:val="00EB048E"/>
    <w:rsid w:val="00EB61D4"/>
    <w:rsid w:val="00EC1C09"/>
    <w:rsid w:val="00EC34F3"/>
    <w:rsid w:val="00ED1CDC"/>
    <w:rsid w:val="00ED4C12"/>
    <w:rsid w:val="00ED72B8"/>
    <w:rsid w:val="00EE1B6B"/>
    <w:rsid w:val="00EE34DF"/>
    <w:rsid w:val="00EF2F89"/>
    <w:rsid w:val="00EF42BE"/>
    <w:rsid w:val="00F1237A"/>
    <w:rsid w:val="00F201B5"/>
    <w:rsid w:val="00F22CBD"/>
    <w:rsid w:val="00F275C2"/>
    <w:rsid w:val="00F308EF"/>
    <w:rsid w:val="00F3196F"/>
    <w:rsid w:val="00F341DB"/>
    <w:rsid w:val="00F41FD2"/>
    <w:rsid w:val="00F45372"/>
    <w:rsid w:val="00F517C5"/>
    <w:rsid w:val="00F560F7"/>
    <w:rsid w:val="00F601E6"/>
    <w:rsid w:val="00F6334D"/>
    <w:rsid w:val="00F66B92"/>
    <w:rsid w:val="00F83292"/>
    <w:rsid w:val="00F86C49"/>
    <w:rsid w:val="00F876BE"/>
    <w:rsid w:val="00F97EA3"/>
    <w:rsid w:val="00FA49AB"/>
    <w:rsid w:val="00FB19B3"/>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1"/>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900C26"/>
    <w:pPr>
      <w:ind w:left="200"/>
    </w:pPr>
    <w:rPr>
      <w:rFonts w:ascii="Calibri" w:hAnsi="Calibri"/>
      <w:smallCaps/>
    </w:rPr>
  </w:style>
  <w:style w:type="paragraph" w:styleId="TOC3">
    <w:name w:val="toc 3"/>
    <w:next w:val="Normal"/>
    <w:autoRedefine/>
    <w:uiPriority w:val="39"/>
    <w:rsid w:val="00900C26"/>
    <w:pPr>
      <w:ind w:left="400"/>
    </w:pPr>
    <w:rPr>
      <w:rFonts w:ascii="Calibri" w:hAnsi="Calibri"/>
      <w:i/>
      <w:iCs/>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900C26"/>
    <w:pPr>
      <w:ind w:left="600"/>
    </w:pPr>
    <w:rPr>
      <w:rFonts w:ascii="Calibri" w:hAnsi="Calibri"/>
      <w:sz w:val="18"/>
      <w:szCs w:val="18"/>
    </w:rPr>
  </w:style>
  <w:style w:type="paragraph" w:styleId="TOC1">
    <w:name w:val="toc 1"/>
    <w:next w:val="Normal"/>
    <w:autoRedefine/>
    <w:uiPriority w:val="39"/>
    <w:rsid w:val="00382590"/>
    <w:pPr>
      <w:tabs>
        <w:tab w:val="right" w:leader="dot" w:pos="9628"/>
      </w:tabs>
      <w:spacing w:before="120" w:after="120"/>
      <w:ind w:left="567"/>
    </w:pPr>
    <w:rPr>
      <w:rFonts w:ascii="Calibri" w:hAnsi="Calibri"/>
      <w:b/>
      <w:bCs/>
      <w:caps/>
    </w:rPr>
  </w:style>
  <w:style w:type="paragraph" w:styleId="TOC5">
    <w:name w:val="toc 5"/>
    <w:next w:val="Normal"/>
    <w:autoRedefine/>
    <w:semiHidden/>
    <w:rsid w:val="00C72B7A"/>
    <w:pPr>
      <w:ind w:left="800"/>
    </w:pPr>
    <w:rPr>
      <w:rFonts w:ascii="Calibri" w:hAnsi="Calibri"/>
      <w:sz w:val="18"/>
      <w:szCs w:val="18"/>
    </w:rPr>
  </w:style>
  <w:style w:type="paragraph" w:styleId="BodyTextIndent2">
    <w:name w:val="Body Text Indent 2"/>
    <w:basedOn w:val="Normal"/>
    <w:rsid w:val="008F0675"/>
    <w:pPr>
      <w:tabs>
        <w:tab w:val="left" w:pos="1985"/>
      </w:tabs>
      <w:spacing w:before="60" w:after="60"/>
      <w:ind w:left="567"/>
      <w:jc w:val="left"/>
    </w:pPr>
    <w:rPr>
      <w:rFonts w:ascii="Times New Roman" w:hAnsi="Times New Roman"/>
      <w:snapToGrid w:val="0"/>
      <w:color w:val="000000"/>
      <w:sz w:val="24"/>
      <w:szCs w:val="24"/>
    </w:rPr>
  </w:style>
  <w:style w:type="paragraph" w:customStyle="1" w:styleId="Style1">
    <w:name w:val="Style1"/>
    <w:basedOn w:val="Normal"/>
    <w:rsid w:val="008F0675"/>
    <w:pPr>
      <w:tabs>
        <w:tab w:val="decimal" w:pos="907"/>
        <w:tab w:val="left" w:pos="1077"/>
      </w:tabs>
    </w:pPr>
    <w:rPr>
      <w:rFonts w:ascii="Times New Roman" w:eastAsia="MS Mincho" w:hAnsi="Times New Roman"/>
      <w:sz w:val="24"/>
    </w:rPr>
  </w:style>
  <w:style w:type="paragraph" w:customStyle="1" w:styleId="Normaltg">
    <w:name w:val="Normaltg"/>
    <w:basedOn w:val="Normal"/>
    <w:rsid w:val="008F0675"/>
    <w:pPr>
      <w:tabs>
        <w:tab w:val="left" w:pos="709"/>
        <w:tab w:val="left" w:pos="1418"/>
      </w:tabs>
    </w:pPr>
    <w:rPr>
      <w:rFonts w:ascii="Times New Roman" w:eastAsia="MS Mincho" w:hAnsi="Times New Roman"/>
      <w:sz w:val="24"/>
      <w:szCs w:val="24"/>
    </w:rPr>
  </w:style>
  <w:style w:type="paragraph" w:styleId="BodyTextIndent">
    <w:name w:val="Body Text Indent"/>
    <w:basedOn w:val="Normal"/>
    <w:rsid w:val="008F0675"/>
    <w:pPr>
      <w:spacing w:after="120"/>
      <w:ind w:left="283"/>
    </w:pPr>
  </w:style>
  <w:style w:type="paragraph" w:customStyle="1" w:styleId="style10">
    <w:name w:val="style1"/>
    <w:basedOn w:val="Normal"/>
    <w:rsid w:val="007642BE"/>
    <w:pPr>
      <w:jc w:val="left"/>
    </w:pPr>
    <w:rPr>
      <w:rFonts w:ascii="Times New Roman" w:hAnsi="Times New Roman"/>
      <w:sz w:val="24"/>
      <w:szCs w:val="24"/>
    </w:rPr>
  </w:style>
  <w:style w:type="paragraph" w:customStyle="1" w:styleId="normaltg0">
    <w:name w:val="normaltg"/>
    <w:basedOn w:val="Normal"/>
    <w:rsid w:val="00582A0F"/>
    <w:pPr>
      <w:spacing w:before="100" w:beforeAutospacing="1" w:after="100" w:afterAutospacing="1"/>
      <w:jc w:val="left"/>
    </w:pPr>
    <w:rPr>
      <w:rFonts w:ascii="Times New Roman" w:eastAsia="Calibri" w:hAnsi="Times New Roman"/>
      <w:sz w:val="24"/>
      <w:szCs w:val="24"/>
      <w:lang w:val="fr-FR" w:eastAsia="fr-FR"/>
    </w:rPr>
  </w:style>
  <w:style w:type="paragraph" w:customStyle="1" w:styleId="Paragraphedeliste">
    <w:name w:val="Paragraphe de liste"/>
    <w:basedOn w:val="Normal"/>
    <w:qFormat/>
    <w:rsid w:val="00582A0F"/>
    <w:pPr>
      <w:spacing w:before="100" w:beforeAutospacing="1" w:after="100" w:afterAutospacing="1"/>
      <w:jc w:val="left"/>
    </w:pPr>
    <w:rPr>
      <w:rFonts w:ascii="Times New Roman" w:eastAsia="Calibri" w:hAnsi="Times New Roman"/>
      <w:sz w:val="24"/>
      <w:szCs w:val="24"/>
      <w:lang w:val="fr-FR" w:eastAsia="fr-FR"/>
    </w:rPr>
  </w:style>
  <w:style w:type="character" w:customStyle="1" w:styleId="FooterChar1">
    <w:name w:val="Footer Char1"/>
    <w:aliases w:val="doc_path_name Char1"/>
    <w:link w:val="Footer"/>
    <w:rsid w:val="00582A0F"/>
    <w:rPr>
      <w:rFonts w:ascii="Arial" w:hAnsi="Arial"/>
      <w:sz w:val="14"/>
      <w:lang w:val="en-US" w:eastAsia="en-US" w:bidi="ar-SA"/>
    </w:rPr>
  </w:style>
  <w:style w:type="table" w:styleId="TableGrid">
    <w:name w:val="Table Grid"/>
    <w:basedOn w:val="TableNormal"/>
    <w:rsid w:val="00AC655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6C56"/>
    <w:pPr>
      <w:spacing w:before="100" w:beforeAutospacing="1" w:after="100" w:afterAutospacing="1"/>
      <w:jc w:val="left"/>
    </w:pPr>
    <w:rPr>
      <w:rFonts w:ascii="Times New Roman" w:hAnsi="Times New Roman"/>
      <w:sz w:val="24"/>
      <w:szCs w:val="24"/>
      <w:lang w:val="fr-FR" w:eastAsia="fr-FR"/>
    </w:rPr>
  </w:style>
  <w:style w:type="character" w:customStyle="1" w:styleId="FooterChar">
    <w:name w:val="Footer Char"/>
    <w:aliases w:val="doc_path_name Char"/>
    <w:locked/>
    <w:rsid w:val="00E06C56"/>
    <w:rPr>
      <w:rFonts w:ascii="Arial" w:hAnsi="Arial" w:cs="Times New Roman"/>
      <w:sz w:val="14"/>
      <w:lang w:val="en-US" w:eastAsia="en-US" w:bidi="ar-SA"/>
    </w:rPr>
  </w:style>
  <w:style w:type="paragraph" w:styleId="TOC6">
    <w:name w:val="toc 6"/>
    <w:basedOn w:val="Normal"/>
    <w:next w:val="Normal"/>
    <w:autoRedefine/>
    <w:rsid w:val="00AE69FD"/>
    <w:pPr>
      <w:ind w:left="1000"/>
      <w:jc w:val="left"/>
    </w:pPr>
    <w:rPr>
      <w:rFonts w:ascii="Calibri" w:hAnsi="Calibri"/>
      <w:sz w:val="18"/>
      <w:szCs w:val="18"/>
    </w:rPr>
  </w:style>
  <w:style w:type="paragraph" w:styleId="TOC7">
    <w:name w:val="toc 7"/>
    <w:basedOn w:val="Normal"/>
    <w:next w:val="Normal"/>
    <w:autoRedefine/>
    <w:rsid w:val="00AE69FD"/>
    <w:pPr>
      <w:ind w:left="1200"/>
      <w:jc w:val="left"/>
    </w:pPr>
    <w:rPr>
      <w:rFonts w:ascii="Calibri" w:hAnsi="Calibri"/>
      <w:sz w:val="18"/>
      <w:szCs w:val="18"/>
    </w:rPr>
  </w:style>
  <w:style w:type="paragraph" w:styleId="TOC8">
    <w:name w:val="toc 8"/>
    <w:basedOn w:val="Normal"/>
    <w:next w:val="Normal"/>
    <w:autoRedefine/>
    <w:rsid w:val="00AE69FD"/>
    <w:pPr>
      <w:ind w:left="1400"/>
      <w:jc w:val="left"/>
    </w:pPr>
    <w:rPr>
      <w:rFonts w:ascii="Calibri" w:hAnsi="Calibri"/>
      <w:sz w:val="18"/>
      <w:szCs w:val="18"/>
    </w:rPr>
  </w:style>
  <w:style w:type="paragraph" w:styleId="TOC9">
    <w:name w:val="toc 9"/>
    <w:basedOn w:val="Normal"/>
    <w:next w:val="Normal"/>
    <w:autoRedefine/>
    <w:rsid w:val="00AE69FD"/>
    <w:pPr>
      <w:ind w:left="1600"/>
      <w:jc w:val="left"/>
    </w:pPr>
    <w:rPr>
      <w:rFonts w:ascii="Calibri" w:hAnsi="Calibri"/>
      <w:sz w:val="18"/>
      <w:szCs w:val="18"/>
    </w:rPr>
  </w:style>
  <w:style w:type="paragraph" w:styleId="BalloonText">
    <w:name w:val="Balloon Text"/>
    <w:basedOn w:val="Normal"/>
    <w:link w:val="BalloonTextChar"/>
    <w:rsid w:val="00331E1A"/>
    <w:rPr>
      <w:rFonts w:ascii="Tahoma" w:hAnsi="Tahoma" w:cs="Tahoma"/>
      <w:sz w:val="16"/>
      <w:szCs w:val="16"/>
    </w:rPr>
  </w:style>
  <w:style w:type="character" w:customStyle="1" w:styleId="BalloonTextChar">
    <w:name w:val="Balloon Text Char"/>
    <w:link w:val="BalloonText"/>
    <w:rsid w:val="00331E1A"/>
    <w:rPr>
      <w:rFonts w:ascii="Tahoma" w:hAnsi="Tahoma" w:cs="Tahoma"/>
      <w:sz w:val="16"/>
      <w:szCs w:val="16"/>
    </w:rPr>
  </w:style>
  <w:style w:type="paragraph" w:customStyle="1" w:styleId="Default">
    <w:name w:val="Default"/>
    <w:rsid w:val="00A72B49"/>
    <w:pPr>
      <w:autoSpaceDE w:val="0"/>
      <w:autoSpaceDN w:val="0"/>
      <w:adjustRightInd w:val="0"/>
    </w:pPr>
    <w:rPr>
      <w:rFonts w:ascii="Arial" w:hAnsi="Arial" w:cs="Arial"/>
      <w:color w:val="000000"/>
      <w:sz w:val="24"/>
      <w:szCs w:val="24"/>
    </w:rPr>
  </w:style>
  <w:style w:type="character" w:customStyle="1" w:styleId="DecisionParagraphsChar">
    <w:name w:val="DecisionParagraphs Char"/>
    <w:link w:val="DecisionParagraphs"/>
    <w:rsid w:val="00A9630A"/>
    <w:rPr>
      <w:rFonts w:ascii="Arial" w:hAnsi="Arial"/>
      <w:i/>
    </w:rPr>
  </w:style>
  <w:style w:type="character" w:customStyle="1" w:styleId="HeaderChar">
    <w:name w:val="Header Char"/>
    <w:basedOn w:val="DefaultParagraphFont"/>
    <w:link w:val="Header"/>
    <w:uiPriority w:val="99"/>
    <w:rsid w:val="00F86C49"/>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1"/>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semiHidden/>
    <w:rsid w:val="00900C26"/>
    <w:pPr>
      <w:ind w:left="200"/>
    </w:pPr>
    <w:rPr>
      <w:rFonts w:ascii="Calibri" w:hAnsi="Calibri"/>
      <w:smallCaps/>
    </w:rPr>
  </w:style>
  <w:style w:type="paragraph" w:styleId="TOC3">
    <w:name w:val="toc 3"/>
    <w:next w:val="Normal"/>
    <w:autoRedefine/>
    <w:uiPriority w:val="39"/>
    <w:rsid w:val="00900C26"/>
    <w:pPr>
      <w:ind w:left="400"/>
    </w:pPr>
    <w:rPr>
      <w:rFonts w:ascii="Calibri" w:hAnsi="Calibri"/>
      <w:i/>
      <w:iCs/>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900C26"/>
    <w:pPr>
      <w:ind w:left="600"/>
    </w:pPr>
    <w:rPr>
      <w:rFonts w:ascii="Calibri" w:hAnsi="Calibri"/>
      <w:sz w:val="18"/>
      <w:szCs w:val="18"/>
    </w:rPr>
  </w:style>
  <w:style w:type="paragraph" w:styleId="TOC1">
    <w:name w:val="toc 1"/>
    <w:next w:val="Normal"/>
    <w:autoRedefine/>
    <w:uiPriority w:val="39"/>
    <w:rsid w:val="00382590"/>
    <w:pPr>
      <w:tabs>
        <w:tab w:val="right" w:leader="dot" w:pos="9628"/>
      </w:tabs>
      <w:spacing w:before="120" w:after="120"/>
      <w:ind w:left="567"/>
    </w:pPr>
    <w:rPr>
      <w:rFonts w:ascii="Calibri" w:hAnsi="Calibri"/>
      <w:b/>
      <w:bCs/>
      <w:caps/>
    </w:rPr>
  </w:style>
  <w:style w:type="paragraph" w:styleId="TOC5">
    <w:name w:val="toc 5"/>
    <w:next w:val="Normal"/>
    <w:autoRedefine/>
    <w:semiHidden/>
    <w:rsid w:val="00C72B7A"/>
    <w:pPr>
      <w:ind w:left="800"/>
    </w:pPr>
    <w:rPr>
      <w:rFonts w:ascii="Calibri" w:hAnsi="Calibri"/>
      <w:sz w:val="18"/>
      <w:szCs w:val="18"/>
    </w:rPr>
  </w:style>
  <w:style w:type="paragraph" w:styleId="BodyTextIndent2">
    <w:name w:val="Body Text Indent 2"/>
    <w:basedOn w:val="Normal"/>
    <w:rsid w:val="008F0675"/>
    <w:pPr>
      <w:tabs>
        <w:tab w:val="left" w:pos="1985"/>
      </w:tabs>
      <w:spacing w:before="60" w:after="60"/>
      <w:ind w:left="567"/>
      <w:jc w:val="left"/>
    </w:pPr>
    <w:rPr>
      <w:rFonts w:ascii="Times New Roman" w:hAnsi="Times New Roman"/>
      <w:snapToGrid w:val="0"/>
      <w:color w:val="000000"/>
      <w:sz w:val="24"/>
      <w:szCs w:val="24"/>
    </w:rPr>
  </w:style>
  <w:style w:type="paragraph" w:customStyle="1" w:styleId="Style1">
    <w:name w:val="Style1"/>
    <w:basedOn w:val="Normal"/>
    <w:rsid w:val="008F0675"/>
    <w:pPr>
      <w:tabs>
        <w:tab w:val="decimal" w:pos="907"/>
        <w:tab w:val="left" w:pos="1077"/>
      </w:tabs>
    </w:pPr>
    <w:rPr>
      <w:rFonts w:ascii="Times New Roman" w:eastAsia="MS Mincho" w:hAnsi="Times New Roman"/>
      <w:sz w:val="24"/>
    </w:rPr>
  </w:style>
  <w:style w:type="paragraph" w:customStyle="1" w:styleId="Normaltg">
    <w:name w:val="Normaltg"/>
    <w:basedOn w:val="Normal"/>
    <w:rsid w:val="008F0675"/>
    <w:pPr>
      <w:tabs>
        <w:tab w:val="left" w:pos="709"/>
        <w:tab w:val="left" w:pos="1418"/>
      </w:tabs>
    </w:pPr>
    <w:rPr>
      <w:rFonts w:ascii="Times New Roman" w:eastAsia="MS Mincho" w:hAnsi="Times New Roman"/>
      <w:sz w:val="24"/>
      <w:szCs w:val="24"/>
    </w:rPr>
  </w:style>
  <w:style w:type="paragraph" w:styleId="BodyTextIndent">
    <w:name w:val="Body Text Indent"/>
    <w:basedOn w:val="Normal"/>
    <w:rsid w:val="008F0675"/>
    <w:pPr>
      <w:spacing w:after="120"/>
      <w:ind w:left="283"/>
    </w:pPr>
  </w:style>
  <w:style w:type="paragraph" w:customStyle="1" w:styleId="style10">
    <w:name w:val="style1"/>
    <w:basedOn w:val="Normal"/>
    <w:rsid w:val="007642BE"/>
    <w:pPr>
      <w:jc w:val="left"/>
    </w:pPr>
    <w:rPr>
      <w:rFonts w:ascii="Times New Roman" w:hAnsi="Times New Roman"/>
      <w:sz w:val="24"/>
      <w:szCs w:val="24"/>
    </w:rPr>
  </w:style>
  <w:style w:type="paragraph" w:customStyle="1" w:styleId="normaltg0">
    <w:name w:val="normaltg"/>
    <w:basedOn w:val="Normal"/>
    <w:rsid w:val="00582A0F"/>
    <w:pPr>
      <w:spacing w:before="100" w:beforeAutospacing="1" w:after="100" w:afterAutospacing="1"/>
      <w:jc w:val="left"/>
    </w:pPr>
    <w:rPr>
      <w:rFonts w:ascii="Times New Roman" w:eastAsia="Calibri" w:hAnsi="Times New Roman"/>
      <w:sz w:val="24"/>
      <w:szCs w:val="24"/>
      <w:lang w:val="fr-FR" w:eastAsia="fr-FR"/>
    </w:rPr>
  </w:style>
  <w:style w:type="paragraph" w:customStyle="1" w:styleId="Paragraphedeliste">
    <w:name w:val="Paragraphe de liste"/>
    <w:basedOn w:val="Normal"/>
    <w:qFormat/>
    <w:rsid w:val="00582A0F"/>
    <w:pPr>
      <w:spacing w:before="100" w:beforeAutospacing="1" w:after="100" w:afterAutospacing="1"/>
      <w:jc w:val="left"/>
    </w:pPr>
    <w:rPr>
      <w:rFonts w:ascii="Times New Roman" w:eastAsia="Calibri" w:hAnsi="Times New Roman"/>
      <w:sz w:val="24"/>
      <w:szCs w:val="24"/>
      <w:lang w:val="fr-FR" w:eastAsia="fr-FR"/>
    </w:rPr>
  </w:style>
  <w:style w:type="character" w:customStyle="1" w:styleId="FooterChar1">
    <w:name w:val="Footer Char1"/>
    <w:aliases w:val="doc_path_name Char1"/>
    <w:link w:val="Footer"/>
    <w:rsid w:val="00582A0F"/>
    <w:rPr>
      <w:rFonts w:ascii="Arial" w:hAnsi="Arial"/>
      <w:sz w:val="14"/>
      <w:lang w:val="en-US" w:eastAsia="en-US" w:bidi="ar-SA"/>
    </w:rPr>
  </w:style>
  <w:style w:type="table" w:styleId="TableGrid">
    <w:name w:val="Table Grid"/>
    <w:basedOn w:val="TableNormal"/>
    <w:rsid w:val="00AC655F"/>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6C56"/>
    <w:pPr>
      <w:spacing w:before="100" w:beforeAutospacing="1" w:after="100" w:afterAutospacing="1"/>
      <w:jc w:val="left"/>
    </w:pPr>
    <w:rPr>
      <w:rFonts w:ascii="Times New Roman" w:hAnsi="Times New Roman"/>
      <w:sz w:val="24"/>
      <w:szCs w:val="24"/>
      <w:lang w:val="fr-FR" w:eastAsia="fr-FR"/>
    </w:rPr>
  </w:style>
  <w:style w:type="character" w:customStyle="1" w:styleId="FooterChar">
    <w:name w:val="Footer Char"/>
    <w:aliases w:val="doc_path_name Char"/>
    <w:locked/>
    <w:rsid w:val="00E06C56"/>
    <w:rPr>
      <w:rFonts w:ascii="Arial" w:hAnsi="Arial" w:cs="Times New Roman"/>
      <w:sz w:val="14"/>
      <w:lang w:val="en-US" w:eastAsia="en-US" w:bidi="ar-SA"/>
    </w:rPr>
  </w:style>
  <w:style w:type="paragraph" w:styleId="TOC6">
    <w:name w:val="toc 6"/>
    <w:basedOn w:val="Normal"/>
    <w:next w:val="Normal"/>
    <w:autoRedefine/>
    <w:rsid w:val="00AE69FD"/>
    <w:pPr>
      <w:ind w:left="1000"/>
      <w:jc w:val="left"/>
    </w:pPr>
    <w:rPr>
      <w:rFonts w:ascii="Calibri" w:hAnsi="Calibri"/>
      <w:sz w:val="18"/>
      <w:szCs w:val="18"/>
    </w:rPr>
  </w:style>
  <w:style w:type="paragraph" w:styleId="TOC7">
    <w:name w:val="toc 7"/>
    <w:basedOn w:val="Normal"/>
    <w:next w:val="Normal"/>
    <w:autoRedefine/>
    <w:rsid w:val="00AE69FD"/>
    <w:pPr>
      <w:ind w:left="1200"/>
      <w:jc w:val="left"/>
    </w:pPr>
    <w:rPr>
      <w:rFonts w:ascii="Calibri" w:hAnsi="Calibri"/>
      <w:sz w:val="18"/>
      <w:szCs w:val="18"/>
    </w:rPr>
  </w:style>
  <w:style w:type="paragraph" w:styleId="TOC8">
    <w:name w:val="toc 8"/>
    <w:basedOn w:val="Normal"/>
    <w:next w:val="Normal"/>
    <w:autoRedefine/>
    <w:rsid w:val="00AE69FD"/>
    <w:pPr>
      <w:ind w:left="1400"/>
      <w:jc w:val="left"/>
    </w:pPr>
    <w:rPr>
      <w:rFonts w:ascii="Calibri" w:hAnsi="Calibri"/>
      <w:sz w:val="18"/>
      <w:szCs w:val="18"/>
    </w:rPr>
  </w:style>
  <w:style w:type="paragraph" w:styleId="TOC9">
    <w:name w:val="toc 9"/>
    <w:basedOn w:val="Normal"/>
    <w:next w:val="Normal"/>
    <w:autoRedefine/>
    <w:rsid w:val="00AE69FD"/>
    <w:pPr>
      <w:ind w:left="1600"/>
      <w:jc w:val="left"/>
    </w:pPr>
    <w:rPr>
      <w:rFonts w:ascii="Calibri" w:hAnsi="Calibri"/>
      <w:sz w:val="18"/>
      <w:szCs w:val="18"/>
    </w:rPr>
  </w:style>
  <w:style w:type="paragraph" w:styleId="BalloonText">
    <w:name w:val="Balloon Text"/>
    <w:basedOn w:val="Normal"/>
    <w:link w:val="BalloonTextChar"/>
    <w:rsid w:val="00331E1A"/>
    <w:rPr>
      <w:rFonts w:ascii="Tahoma" w:hAnsi="Tahoma" w:cs="Tahoma"/>
      <w:sz w:val="16"/>
      <w:szCs w:val="16"/>
    </w:rPr>
  </w:style>
  <w:style w:type="character" w:customStyle="1" w:styleId="BalloonTextChar">
    <w:name w:val="Balloon Text Char"/>
    <w:link w:val="BalloonText"/>
    <w:rsid w:val="00331E1A"/>
    <w:rPr>
      <w:rFonts w:ascii="Tahoma" w:hAnsi="Tahoma" w:cs="Tahoma"/>
      <w:sz w:val="16"/>
      <w:szCs w:val="16"/>
    </w:rPr>
  </w:style>
  <w:style w:type="paragraph" w:customStyle="1" w:styleId="Default">
    <w:name w:val="Default"/>
    <w:rsid w:val="00A72B49"/>
    <w:pPr>
      <w:autoSpaceDE w:val="0"/>
      <w:autoSpaceDN w:val="0"/>
      <w:adjustRightInd w:val="0"/>
    </w:pPr>
    <w:rPr>
      <w:rFonts w:ascii="Arial" w:hAnsi="Arial" w:cs="Arial"/>
      <w:color w:val="000000"/>
      <w:sz w:val="24"/>
      <w:szCs w:val="24"/>
    </w:rPr>
  </w:style>
  <w:style w:type="character" w:customStyle="1" w:styleId="DecisionParagraphsChar">
    <w:name w:val="DecisionParagraphs Char"/>
    <w:link w:val="DecisionParagraphs"/>
    <w:rsid w:val="00A9630A"/>
    <w:rPr>
      <w:rFonts w:ascii="Arial" w:hAnsi="Arial"/>
      <w:i/>
    </w:rPr>
  </w:style>
  <w:style w:type="character" w:customStyle="1" w:styleId="HeaderChar">
    <w:name w:val="Header Char"/>
    <w:basedOn w:val="DefaultParagraphFont"/>
    <w:link w:val="Header"/>
    <w:uiPriority w:val="99"/>
    <w:rsid w:val="00F86C49"/>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49\templates\TC_49_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071EE-2EC7-4FD8-9FE7-62DA675E4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TC_49_EN</Template>
  <TotalTime>283</TotalTime>
  <Pages>5</Pages>
  <Words>2391</Words>
  <Characters>13710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template TC/49</vt:lpstr>
    </vt:vector>
  </TitlesOfParts>
  <Company>UPOV</Company>
  <LinksUpToDate>false</LinksUpToDate>
  <CharactersWithSpaces>16069</CharactersWithSpaces>
  <SharedDoc>false</SharedDoc>
  <HLinks>
    <vt:vector size="30" baseType="variant">
      <vt:variant>
        <vt:i4>65639</vt:i4>
      </vt:variant>
      <vt:variant>
        <vt:i4>65</vt:i4>
      </vt:variant>
      <vt:variant>
        <vt:i4>0</vt:i4>
      </vt:variant>
      <vt:variant>
        <vt:i4>5</vt:i4>
      </vt:variant>
      <vt:variant>
        <vt:lpwstr>mailto:upov.mail@upov.int</vt:lpwstr>
      </vt:variant>
      <vt:variant>
        <vt:lpwstr/>
      </vt:variant>
      <vt:variant>
        <vt:i4>7733270</vt:i4>
      </vt:variant>
      <vt:variant>
        <vt:i4>62</vt:i4>
      </vt:variant>
      <vt:variant>
        <vt:i4>0</vt:i4>
      </vt:variant>
      <vt:variant>
        <vt:i4>5</vt:i4>
      </vt:variant>
      <vt:variant>
        <vt:lpwstr>mailto:stephanie.christien@geves.fr</vt:lpwstr>
      </vt:variant>
      <vt:variant>
        <vt:lpwstr/>
      </vt:variant>
      <vt:variant>
        <vt:i4>5308448</vt:i4>
      </vt:variant>
      <vt:variant>
        <vt:i4>59</vt:i4>
      </vt:variant>
      <vt:variant>
        <vt:i4>0</vt:i4>
      </vt:variant>
      <vt:variant>
        <vt:i4>5</vt:i4>
      </vt:variant>
      <vt:variant>
        <vt:lpwstr>mailto:francois.boulineau@geves.fr</vt:lpwstr>
      </vt:variant>
      <vt:variant>
        <vt:lpwstr/>
      </vt:variant>
      <vt:variant>
        <vt:i4>1048637</vt:i4>
      </vt:variant>
      <vt:variant>
        <vt:i4>14</vt:i4>
      </vt:variant>
      <vt:variant>
        <vt:i4>0</vt:i4>
      </vt:variant>
      <vt:variant>
        <vt:i4>5</vt:i4>
      </vt:variant>
      <vt:variant>
        <vt:lpwstr/>
      </vt:variant>
      <vt:variant>
        <vt:lpwstr>_Toc378230527</vt:lpwstr>
      </vt:variant>
      <vt:variant>
        <vt:i4>1048637</vt:i4>
      </vt:variant>
      <vt:variant>
        <vt:i4>8</vt:i4>
      </vt:variant>
      <vt:variant>
        <vt:i4>0</vt:i4>
      </vt:variant>
      <vt:variant>
        <vt:i4>5</vt:i4>
      </vt:variant>
      <vt:variant>
        <vt:lpwstr/>
      </vt:variant>
      <vt:variant>
        <vt:lpwstr>_Toc378230526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TC/49</dc:title>
  <dc:creator>FavaA</dc:creator>
  <cp:lastModifiedBy>LONG Victoria</cp:lastModifiedBy>
  <cp:revision>24</cp:revision>
  <cp:lastPrinted>2015-02-25T15:07:00Z</cp:lastPrinted>
  <dcterms:created xsi:type="dcterms:W3CDTF">2015-02-18T12:17:00Z</dcterms:created>
  <dcterms:modified xsi:type="dcterms:W3CDTF">2015-02-25T15:07:00Z</dcterms:modified>
</cp:coreProperties>
</file>