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B324D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</w:t>
            </w:r>
            <w:r w:rsidR="004B1215">
              <w:t>1</w:t>
            </w:r>
            <w:r>
              <w:t>/</w:t>
            </w:r>
            <w:bookmarkStart w:id="0" w:name="Code"/>
            <w:bookmarkEnd w:id="0"/>
            <w:r w:rsidR="00C2491E">
              <w:t>32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846D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75C59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375C59" w:rsidRPr="00375C59">
              <w:rPr>
                <w:b w:val="0"/>
                <w:spacing w:val="0"/>
              </w:rPr>
              <w:t>February</w:t>
            </w:r>
            <w:r w:rsidR="00B23FA2" w:rsidRPr="00375C59">
              <w:rPr>
                <w:b w:val="0"/>
                <w:spacing w:val="0"/>
              </w:rPr>
              <w:t xml:space="preserve"> 6</w:t>
            </w:r>
            <w:r w:rsidR="0024416D" w:rsidRPr="00375C59">
              <w:rPr>
                <w:b w:val="0"/>
                <w:spacing w:val="0"/>
              </w:rPr>
              <w:t xml:space="preserve">, </w:t>
            </w:r>
            <w:r w:rsidR="001131D5" w:rsidRPr="00375C59">
              <w:rPr>
                <w:b w:val="0"/>
                <w:spacing w:val="0"/>
              </w:rPr>
              <w:t>201</w:t>
            </w:r>
            <w:r w:rsidR="004B1215" w:rsidRPr="00375C59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y-First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>March 23 to 25</w:t>
      </w:r>
      <w:r w:rsidRPr="00C5280D">
        <w:t>,</w:t>
      </w:r>
      <w:r w:rsidR="00867AC1" w:rsidRPr="00C5280D">
        <w:t xml:space="preserve"> 201</w:t>
      </w:r>
      <w:r w:rsidR="004B1215">
        <w:t>5</w:t>
      </w:r>
    </w:p>
    <w:p w:rsidR="00C2491E" w:rsidRPr="00C5280D" w:rsidRDefault="00C2491E" w:rsidP="00C2491E">
      <w:pPr>
        <w:pStyle w:val="Titleofdoc0"/>
      </w:pPr>
      <w:bookmarkStart w:id="4" w:name="TitleOfDoc"/>
      <w:bookmarkEnd w:id="4"/>
      <w:r>
        <w:t xml:space="preserve">partial revision of the test guidelines for Gladiolus </w:t>
      </w:r>
      <w:r>
        <w:br/>
        <w:t>(document tg/108/4)</w:t>
      </w:r>
    </w:p>
    <w:p w:rsidR="00C2491E" w:rsidRPr="00C5280D" w:rsidRDefault="00C2491E" w:rsidP="00C2491E">
      <w:pPr>
        <w:pStyle w:val="preparedby1"/>
      </w:pPr>
      <w:r w:rsidRPr="005D2443">
        <w:t>Document prepared</w:t>
      </w:r>
      <w:r w:rsidRPr="00C5280D">
        <w:t xml:space="preserve"> by the Office of the Union</w:t>
      </w:r>
      <w:r>
        <w:br/>
      </w:r>
      <w:r>
        <w:br/>
      </w:r>
      <w:r w:rsidRPr="00C21C04">
        <w:rPr>
          <w:color w:val="A6A6A6"/>
        </w:rPr>
        <w:t>Disclaimer:  this document does not represent UPOV policies or guidance</w:t>
      </w:r>
    </w:p>
    <w:p w:rsidR="00C2491E" w:rsidRDefault="00C2491E" w:rsidP="00C2491E">
      <w:pPr>
        <w:ind w:firstLine="567"/>
        <w:rPr>
          <w:rFonts w:cs="Arial"/>
        </w:rPr>
      </w:pPr>
      <w:r w:rsidRPr="00842A34">
        <w:rPr>
          <w:rFonts w:cs="Arial"/>
        </w:rPr>
        <w:t xml:space="preserve">At its forty-seventh session held in </w:t>
      </w:r>
      <w:proofErr w:type="spellStart"/>
      <w:r w:rsidRPr="00842A34">
        <w:rPr>
          <w:rFonts w:cs="Arial"/>
        </w:rPr>
        <w:t>Naivasha</w:t>
      </w:r>
      <w:proofErr w:type="spellEnd"/>
      <w:r w:rsidRPr="00842A34">
        <w:rPr>
          <w:rFonts w:cs="Arial"/>
        </w:rPr>
        <w:t>, Kenya, from May 19 to 23, 2014, the Technical Working Party for Ornamental Plants and Forest Trees (TWO) considered a partial revision of the Test Guidelines for Gladiolus on the basis of documents TG/108/4 and TWO/47/26 “</w:t>
      </w:r>
      <w:r w:rsidRPr="00842A34">
        <w:t>Partial Revision of the Test Guidelines for Gladiolus (</w:t>
      </w:r>
      <w:r>
        <w:t>D</w:t>
      </w:r>
      <w:r w:rsidRPr="00842A34">
        <w:t>ocument TG/108/4)”</w:t>
      </w:r>
      <w:r w:rsidRPr="00842A34">
        <w:rPr>
          <w:rFonts w:cs="Arial"/>
        </w:rPr>
        <w:t xml:space="preserve"> and proposed to revise the Test Guidelines for Gladiolus as follows (see document TWO/47/28 “Report”, paragraph 69):</w:t>
      </w:r>
    </w:p>
    <w:p w:rsidR="00C2491E" w:rsidRDefault="00C2491E" w:rsidP="00C2491E">
      <w:pPr>
        <w:rPr>
          <w:snapToGrid w:val="0"/>
        </w:rPr>
      </w:pPr>
    </w:p>
    <w:p w:rsidR="00C2491E" w:rsidRPr="00AA6676" w:rsidRDefault="00C2491E" w:rsidP="00C2491E">
      <w:pPr>
        <w:rPr>
          <w:i/>
          <w:snapToGrid w:val="0"/>
        </w:rPr>
      </w:pPr>
      <w:r w:rsidRPr="00AA6676">
        <w:rPr>
          <w:i/>
          <w:snapToGrid w:val="0"/>
        </w:rPr>
        <w:t>Current wording:</w:t>
      </w:r>
    </w:p>
    <w:p w:rsidR="00C2491E" w:rsidRDefault="00C2491E" w:rsidP="00C2491E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C2491E" w:rsidRPr="00375C59" w:rsidTr="007C6044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>Median inner tepal: attitude of apex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C2491E" w:rsidRPr="008C6F1F" w:rsidTr="007C6044">
        <w:trPr>
          <w:jc w:val="center"/>
        </w:trPr>
        <w:tc>
          <w:tcPr>
            <w:tcW w:w="426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7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43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recurved</w:t>
            </w:r>
          </w:p>
        </w:tc>
        <w:tc>
          <w:tcPr>
            <w:tcW w:w="1842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incurvé</w:t>
            </w:r>
          </w:p>
        </w:tc>
        <w:tc>
          <w:tcPr>
            <w:tcW w:w="1844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gebogen</w:t>
            </w:r>
          </w:p>
        </w:tc>
        <w:tc>
          <w:tcPr>
            <w:tcW w:w="1844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recurvado</w:t>
            </w:r>
          </w:p>
        </w:tc>
        <w:tc>
          <w:tcPr>
            <w:tcW w:w="1985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7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C2491E" w:rsidRPr="008C6F1F" w:rsidTr="007C6044">
        <w:trPr>
          <w:jc w:val="center"/>
        </w:trPr>
        <w:tc>
          <w:tcPr>
            <w:tcW w:w="426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42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44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44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85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7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C2491E" w:rsidRPr="008C6F1F" w:rsidTr="007C6044">
        <w:trPr>
          <w:jc w:val="center"/>
        </w:trPr>
        <w:tc>
          <w:tcPr>
            <w:tcW w:w="426" w:type="dxa"/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42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44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44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85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7" w:type="dxa"/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C2491E" w:rsidRPr="008C6F1F" w:rsidTr="007C6044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C2491E" w:rsidRDefault="00C2491E" w:rsidP="00C2491E">
      <w:pPr>
        <w:rPr>
          <w:snapToGrid w:val="0"/>
        </w:rPr>
      </w:pPr>
    </w:p>
    <w:p w:rsidR="00C2491E" w:rsidRPr="00AA6676" w:rsidRDefault="00C2491E" w:rsidP="00C2491E">
      <w:pPr>
        <w:rPr>
          <w:i/>
          <w:snapToGrid w:val="0"/>
        </w:rPr>
      </w:pPr>
      <w:r w:rsidRPr="00AA6676">
        <w:rPr>
          <w:i/>
          <w:snapToGrid w:val="0"/>
        </w:rPr>
        <w:t>Proposed new wording:</w:t>
      </w:r>
    </w:p>
    <w:p w:rsidR="00C2491E" w:rsidRDefault="00C2491E" w:rsidP="00C2491E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C2491E" w:rsidRPr="00375C59" w:rsidTr="007C6044">
        <w:trPr>
          <w:jc w:val="center"/>
        </w:trPr>
        <w:tc>
          <w:tcPr>
            <w:tcW w:w="422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>Median inner tepal: attitude of apex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C2491E" w:rsidRPr="008C6F1F" w:rsidTr="007C6044">
        <w:trPr>
          <w:jc w:val="center"/>
        </w:trPr>
        <w:tc>
          <w:tcPr>
            <w:tcW w:w="422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0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18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AA667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incurved</w:t>
            </w:r>
          </w:p>
        </w:tc>
        <w:tc>
          <w:tcPr>
            <w:tcW w:w="1818" w:type="dxa"/>
          </w:tcPr>
          <w:p w:rsidR="00C2491E" w:rsidRPr="00AA6676" w:rsidRDefault="00C2491E" w:rsidP="007C6044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AA6676">
              <w:rPr>
                <w:rFonts w:ascii="Arial" w:hAnsi="Arial" w:cs="Arial"/>
                <w:sz w:val="16"/>
                <w:lang w:val="fr-FR"/>
              </w:rPr>
              <w:t>légèrement incurvé</w:t>
            </w:r>
          </w:p>
        </w:tc>
        <w:tc>
          <w:tcPr>
            <w:tcW w:w="1819" w:type="dxa"/>
          </w:tcPr>
          <w:p w:rsidR="00C2491E" w:rsidRPr="00AA6676" w:rsidRDefault="00C2491E" w:rsidP="007C6044">
            <w:pPr>
              <w:pStyle w:val="Normalt"/>
              <w:rPr>
                <w:rFonts w:ascii="Arial" w:hAnsi="Arial" w:cs="Arial"/>
                <w:sz w:val="16"/>
              </w:rPr>
            </w:pPr>
            <w:r w:rsidRPr="002D091D">
              <w:rPr>
                <w:rFonts w:ascii="Arial" w:hAnsi="Arial" w:cs="Arial"/>
                <w:sz w:val="16"/>
                <w:lang w:val="fr-FR"/>
              </w:rPr>
              <w:t xml:space="preserve">mäßig </w:t>
            </w:r>
            <w:r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aufgebogen</w:t>
            </w:r>
          </w:p>
        </w:tc>
        <w:tc>
          <w:tcPr>
            <w:tcW w:w="1819" w:type="dxa"/>
          </w:tcPr>
          <w:p w:rsidR="00C2491E" w:rsidRPr="00AA6676" w:rsidRDefault="00C2491E" w:rsidP="00B23FA2">
            <w:pPr>
              <w:pStyle w:val="Normalt"/>
              <w:rPr>
                <w:rFonts w:ascii="Arial" w:hAnsi="Arial" w:cs="Arial"/>
                <w:sz w:val="16"/>
                <w:lang w:val="es-ES_tradnl"/>
              </w:rPr>
            </w:pPr>
            <w:r w:rsidRPr="00AA6676">
              <w:rPr>
                <w:rFonts w:ascii="Arial" w:hAnsi="Arial" w:cs="Arial"/>
                <w:sz w:val="16"/>
                <w:lang w:val="es-ES_tradnl"/>
              </w:rPr>
              <w:t xml:space="preserve">moderadamente </w:t>
            </w:r>
            <w:r w:rsidR="00B23FA2" w:rsidRPr="00B23FA2">
              <w:rPr>
                <w:rFonts w:ascii="Arial" w:hAnsi="Arial" w:cs="Arial"/>
                <w:sz w:val="16"/>
                <w:highlight w:val="lightGray"/>
                <w:u w:val="single"/>
                <w:lang w:val="es-ES_tradnl"/>
              </w:rPr>
              <w:t>incurvado</w:t>
            </w:r>
          </w:p>
        </w:tc>
        <w:tc>
          <w:tcPr>
            <w:tcW w:w="1959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0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C2491E" w:rsidRPr="008C6F1F" w:rsidTr="007C6044">
        <w:trPr>
          <w:jc w:val="center"/>
        </w:trPr>
        <w:tc>
          <w:tcPr>
            <w:tcW w:w="422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18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19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19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59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0" w:type="dxa"/>
          </w:tcPr>
          <w:p w:rsidR="00C2491E" w:rsidRPr="008C6F1F" w:rsidRDefault="00C2491E" w:rsidP="007C6044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C2491E" w:rsidRPr="008C6F1F" w:rsidTr="007C6044">
        <w:trPr>
          <w:jc w:val="center"/>
        </w:trPr>
        <w:tc>
          <w:tcPr>
            <w:tcW w:w="422" w:type="dxa"/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C2491E" w:rsidRPr="008C6F1F" w:rsidRDefault="00C2491E" w:rsidP="00B23FA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="00B23FA2"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recurved</w:t>
            </w:r>
          </w:p>
        </w:tc>
        <w:tc>
          <w:tcPr>
            <w:tcW w:w="1818" w:type="dxa"/>
          </w:tcPr>
          <w:p w:rsidR="00C2491E" w:rsidRPr="008C6F1F" w:rsidRDefault="00C2491E" w:rsidP="00B23FA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 xml:space="preserve">légèrement </w:t>
            </w:r>
            <w:r w:rsidR="00B23FA2"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recourbé</w:t>
            </w:r>
          </w:p>
        </w:tc>
        <w:tc>
          <w:tcPr>
            <w:tcW w:w="1819" w:type="dxa"/>
          </w:tcPr>
          <w:p w:rsidR="00C2491E" w:rsidRPr="008C6F1F" w:rsidRDefault="00C2491E" w:rsidP="00B23FA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mäßig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</w:tcPr>
          <w:p w:rsidR="00C2491E" w:rsidRPr="008C6F1F" w:rsidRDefault="00C2491E" w:rsidP="00B23FA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moderadamente </w:t>
            </w:r>
            <w:r w:rsidR="00B23FA2"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recurvado</w:t>
            </w:r>
          </w:p>
        </w:tc>
        <w:tc>
          <w:tcPr>
            <w:tcW w:w="1959" w:type="dxa"/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0" w:type="dxa"/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C2491E" w:rsidRPr="008C6F1F" w:rsidTr="007C6044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2491E" w:rsidRPr="008C6F1F" w:rsidRDefault="00C2491E" w:rsidP="00B23FA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strongly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</w:t>
            </w:r>
            <w:r w:rsidR="00B23FA2"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curved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C2491E" w:rsidRPr="008C6F1F" w:rsidRDefault="00C2491E" w:rsidP="00B23FA2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 xml:space="preserve">fortement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</w:t>
            </w:r>
            <w:r w:rsidR="00B23FA2"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ecourbé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C2491E" w:rsidRPr="008C6F1F" w:rsidRDefault="00C2491E" w:rsidP="00B23FA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stark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C2491E" w:rsidRPr="008C6F1F" w:rsidRDefault="00C2491E" w:rsidP="00B23FA2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muy re</w:t>
            </w:r>
            <w:r w:rsidR="00B23FA2"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curvado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2491E" w:rsidRPr="008C6F1F" w:rsidRDefault="00C2491E" w:rsidP="007C6044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C2491E" w:rsidRDefault="00C2491E" w:rsidP="00C2491E">
      <w:pPr>
        <w:rPr>
          <w:snapToGrid w:val="0"/>
        </w:rPr>
      </w:pPr>
    </w:p>
    <w:p w:rsidR="00C2491E" w:rsidRDefault="00C2491E" w:rsidP="00C2491E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C2491E" w:rsidRPr="00377815" w:rsidRDefault="00C2491E" w:rsidP="00C2491E">
      <w:pPr>
        <w:rPr>
          <w:u w:val="single"/>
        </w:rPr>
      </w:pPr>
      <w:proofErr w:type="gramStart"/>
      <w:r w:rsidRPr="00377815">
        <w:rPr>
          <w:u w:val="single"/>
        </w:rPr>
        <w:lastRenderedPageBreak/>
        <w:t>Ad.</w:t>
      </w:r>
      <w:proofErr w:type="gramEnd"/>
      <w:r w:rsidRPr="00377815">
        <w:rPr>
          <w:u w:val="single"/>
        </w:rPr>
        <w:t xml:space="preserve"> 42: Median inner tepal: attitude of apex</w:t>
      </w:r>
    </w:p>
    <w:p w:rsidR="00C2491E" w:rsidRPr="00377815" w:rsidRDefault="00C2491E" w:rsidP="00C2491E">
      <w:pPr>
        <w:rPr>
          <w:u w:val="singl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C2491E" w:rsidRPr="00377815" w:rsidTr="007C6044">
        <w:tc>
          <w:tcPr>
            <w:tcW w:w="10031" w:type="dxa"/>
            <w:gridSpan w:val="4"/>
          </w:tcPr>
          <w:p w:rsidR="00C2491E" w:rsidRPr="00377815" w:rsidRDefault="00C2491E" w:rsidP="007C6044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7F6EFD" wp14:editId="53D1A42B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701040</wp:posOffset>
                      </wp:positionV>
                      <wp:extent cx="4801870" cy="30353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303530"/>
                                <a:chOff x="2239" y="2810"/>
                                <a:chExt cx="7562" cy="478"/>
                              </a:xfrm>
                            </wpg:grpSpPr>
                            <wps:wsp>
                              <wps:cNvPr id="34" name="Line 3"/>
                              <wps:cNvCnPr/>
                              <wps:spPr bwMode="auto">
                                <a:xfrm rot="10800000">
                                  <a:off x="2239" y="2810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4"/>
                              <wps:cNvCnPr/>
                              <wps:spPr bwMode="auto">
                                <a:xfrm rot="10800000">
                                  <a:off x="4761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5"/>
                              <wps:cNvCnPr/>
                              <wps:spPr bwMode="auto">
                                <a:xfrm rot="10800000">
                                  <a:off x="7353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6"/>
                              <wps:cNvCnPr/>
                              <wps:spPr bwMode="auto">
                                <a:xfrm flipV="1">
                                  <a:off x="9801" y="290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55.25pt;margin-top:55.2pt;width:378.1pt;height:23.9pt;z-index:251659264" coordorigin="2239,2810" coordsize="75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">
                      <v:line id="Line 3" o:spid="_x0000_s1027" style="position:absolute;rotation:180;visibility:visible;mso-wrap-style:square" from="2239,2810" to="2239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ICcQAAADbAAAADwAAAGRycy9kb3ducmV2LnhtbESPzWrDMBCE74W8g9hAb43UNpTgRDF1&#10;aCGnQPNDrou1sU2klWPJiZunrwqFHoeZ+YZZ5IOz4kpdaDxreJ4oEMSlNw1XGva7z6cZiBCRDVrP&#10;pOGbAuTL0cMCM+Nv/EXXbaxEgnDIUEMdY5tJGcqaHIaJb4mTd/Kdw5hkV0nT4S3BnZUvSr1Jhw2n&#10;hRpbWtVUnre90+ALuz+um0Oheryry2aqett+aP04Ht7nICIN8T/8114bDa9T+P2Sf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sgJxAAAANsAAAAPAAAAAAAAAAAA&#10;AAAAAKECAABkcnMvZG93bnJldi54bWxQSwUGAAAAAAQABAD5AAAAkgMAAAAA&#10;">
                        <v:stroke endarrow="block"/>
                      </v:line>
                      <v:line id="Line 4" o:spid="_x0000_s1028" style="position:absolute;rotation:180;visibility:visible;mso-wrap-style:square" from="4761,2883" to="4761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tksMAAADbAAAADwAAAGRycy9kb3ducmV2LnhtbESPQWsCMRSE70L/Q3iCN03UtshqlFpa&#10;8FTQKl4fm+fuYvKybrK67a9vhILHYWa+YRarzllxpSZUnjWMRwoEce5NxYWG/ffncAYiRGSD1jNp&#10;+KEAq+VTb4GZ8Tfe0nUXC5EgHDLUUMZYZ1KGvCSHYeRr4uSdfOMwJtkU0jR4S3Bn5USpV+mw4rRQ&#10;Yk3vJeXnXes0+LXdHzfVYa1a/FWXr2fV2vpD60G/e5uDiNTFR/i/vTEapi9w/5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6bZLDAAAA2wAAAA8AAAAAAAAAAAAA&#10;AAAAoQIAAGRycy9kb3ducmV2LnhtbFBLBQYAAAAABAAEAPkAAACRAwAAAAA=&#10;">
                        <v:stroke endarrow="block"/>
                      </v:line>
                      <v:line id="Line 5" o:spid="_x0000_s1029" style="position:absolute;rotation:180;visibility:visible;mso-wrap-style:square" from="7353,2883" to="735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jz5cQAAADbAAAADwAAAGRycy9kb3ducmV2LnhtbESPS2vDMBCE74X8B7GB3hqpD0Jwopg6&#10;tJBToHmQ62JtbBNp5Vhy4ubXV4VCj8PMfMMs8sFZcaUuNJ41PE8UCOLSm4YrDfvd59MMRIjIBq1n&#10;0vBNAfLl6GGBmfE3/qLrNlYiQThkqKGOsc2kDGVNDsPEt8TJO/nOYUyyq6Tp8JbgzsoXpabSYcNp&#10;ocaWVjWV523vNPjC7o/r5lCoHu/qsnlTvW0/tH4cD+9zEJGG+B/+a6+Nhtcp/H5JP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PPlxAAAANsAAAAPAAAAAAAAAAAA&#10;AAAAAKECAABkcnMvZG93bnJldi54bWxQSwUGAAAAAAQABAD5AAAAkgMAAAAA&#10;">
                        <v:stroke endarrow="block"/>
                      </v:line>
                      <v:line id="Line 6" o:spid="_x0000_s1030" style="position:absolute;flip:y;visibility:visible;mso-wrap-style:square" from="9801,2901" to="980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C93F1AB" wp14:editId="42AB041D">
                  <wp:extent cx="5924550" cy="895350"/>
                  <wp:effectExtent l="0" t="0" r="0" b="0"/>
                  <wp:docPr id="1" name="Picture 1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91E" w:rsidRPr="00377815" w:rsidTr="007C6044">
        <w:trPr>
          <w:trHeight w:val="588"/>
        </w:trPr>
        <w:tc>
          <w:tcPr>
            <w:tcW w:w="2507" w:type="dxa"/>
            <w:vAlign w:val="center"/>
          </w:tcPr>
          <w:p w:rsidR="00C2491E" w:rsidRPr="00377815" w:rsidRDefault="00C2491E" w:rsidP="007C6044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C2491E" w:rsidRPr="00377815" w:rsidRDefault="00C2491E" w:rsidP="007C6044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C2491E" w:rsidRPr="00377815" w:rsidRDefault="00C2491E" w:rsidP="007C6044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C2491E" w:rsidRPr="00377815" w:rsidRDefault="00C2491E" w:rsidP="007C6044">
            <w:pPr>
              <w:jc w:val="center"/>
            </w:pPr>
            <w:r w:rsidRPr="00377815">
              <w:t>inner side</w:t>
            </w:r>
          </w:p>
        </w:tc>
      </w:tr>
      <w:tr w:rsidR="00C2491E" w:rsidRPr="00377815" w:rsidTr="007C6044">
        <w:tc>
          <w:tcPr>
            <w:tcW w:w="2507" w:type="dxa"/>
          </w:tcPr>
          <w:p w:rsidR="00C2491E" w:rsidRPr="00377815" w:rsidRDefault="00C2491E" w:rsidP="007C6044">
            <w:pPr>
              <w:jc w:val="center"/>
            </w:pPr>
            <w:r w:rsidRPr="00377815">
              <w:t>1</w:t>
            </w:r>
          </w:p>
        </w:tc>
        <w:tc>
          <w:tcPr>
            <w:tcW w:w="2508" w:type="dxa"/>
          </w:tcPr>
          <w:p w:rsidR="00C2491E" w:rsidRPr="00377815" w:rsidRDefault="00C2491E" w:rsidP="007C6044">
            <w:pPr>
              <w:jc w:val="center"/>
            </w:pPr>
            <w:r w:rsidRPr="00377815">
              <w:t>2</w:t>
            </w:r>
          </w:p>
        </w:tc>
        <w:tc>
          <w:tcPr>
            <w:tcW w:w="2508" w:type="dxa"/>
          </w:tcPr>
          <w:p w:rsidR="00C2491E" w:rsidRPr="00377815" w:rsidRDefault="00C2491E" w:rsidP="007C6044">
            <w:pPr>
              <w:jc w:val="center"/>
            </w:pPr>
            <w:r w:rsidRPr="00377815">
              <w:t>3</w:t>
            </w:r>
          </w:p>
        </w:tc>
        <w:tc>
          <w:tcPr>
            <w:tcW w:w="2508" w:type="dxa"/>
          </w:tcPr>
          <w:p w:rsidR="00C2491E" w:rsidRPr="00377815" w:rsidRDefault="00C2491E" w:rsidP="007C6044">
            <w:pPr>
              <w:jc w:val="center"/>
            </w:pPr>
            <w:r w:rsidRPr="00377815">
              <w:t>4</w:t>
            </w:r>
          </w:p>
        </w:tc>
      </w:tr>
      <w:tr w:rsidR="00C2491E" w:rsidRPr="00377815" w:rsidTr="007C6044">
        <w:tc>
          <w:tcPr>
            <w:tcW w:w="2507" w:type="dxa"/>
          </w:tcPr>
          <w:p w:rsidR="00C2491E" w:rsidRPr="00377815" w:rsidRDefault="00C2491E" w:rsidP="007C6044">
            <w:pPr>
              <w:jc w:val="center"/>
            </w:pPr>
            <w:r w:rsidRPr="00377815">
              <w:t xml:space="preserve">moderately </w:t>
            </w:r>
            <w:r w:rsidRPr="00AA6676">
              <w:rPr>
                <w:highlight w:val="lightGray"/>
                <w:u w:val="single"/>
              </w:rPr>
              <w:t>incurved</w:t>
            </w:r>
          </w:p>
        </w:tc>
        <w:tc>
          <w:tcPr>
            <w:tcW w:w="2508" w:type="dxa"/>
          </w:tcPr>
          <w:p w:rsidR="00C2491E" w:rsidRPr="00377815" w:rsidRDefault="00C2491E" w:rsidP="007C6044">
            <w:pPr>
              <w:jc w:val="center"/>
            </w:pPr>
            <w:r w:rsidRPr="00377815">
              <w:t>straight</w:t>
            </w:r>
          </w:p>
        </w:tc>
        <w:tc>
          <w:tcPr>
            <w:tcW w:w="2508" w:type="dxa"/>
          </w:tcPr>
          <w:p w:rsidR="00C2491E" w:rsidRPr="00377815" w:rsidRDefault="00C2491E" w:rsidP="00B23FA2">
            <w:pPr>
              <w:jc w:val="center"/>
            </w:pPr>
            <w:r w:rsidRPr="00377815">
              <w:t xml:space="preserve">moderately </w:t>
            </w:r>
            <w:proofErr w:type="spellStart"/>
            <w:r w:rsidRPr="00B23FA2">
              <w:rPr>
                <w:highlight w:val="lightGray"/>
                <w:u w:val="single"/>
              </w:rPr>
              <w:t>re</w:t>
            </w:r>
            <w:r w:rsidR="00B23FA2" w:rsidRPr="00B23FA2">
              <w:rPr>
                <w:highlight w:val="lightGray"/>
                <w:u w:val="single"/>
              </w:rPr>
              <w:t>curved</w:t>
            </w:r>
            <w:proofErr w:type="spellEnd"/>
          </w:p>
        </w:tc>
        <w:tc>
          <w:tcPr>
            <w:tcW w:w="2508" w:type="dxa"/>
          </w:tcPr>
          <w:p w:rsidR="00C2491E" w:rsidRPr="00377815" w:rsidRDefault="00C2491E" w:rsidP="007C6044">
            <w:pPr>
              <w:jc w:val="center"/>
            </w:pPr>
            <w:r w:rsidRPr="00377815">
              <w:t xml:space="preserve">strongly </w:t>
            </w:r>
            <w:r w:rsidR="00B23FA2" w:rsidRPr="00B23FA2">
              <w:rPr>
                <w:highlight w:val="lightGray"/>
                <w:u w:val="single"/>
              </w:rPr>
              <w:t>recurved</w:t>
            </w:r>
          </w:p>
        </w:tc>
      </w:tr>
    </w:tbl>
    <w:p w:rsidR="00C2491E" w:rsidRPr="00377815" w:rsidRDefault="00C2491E" w:rsidP="00C2491E"/>
    <w:p w:rsidR="00C2491E" w:rsidRDefault="00C2491E" w:rsidP="00C2491E">
      <w:pPr>
        <w:rPr>
          <w:snapToGrid w:val="0"/>
        </w:rPr>
      </w:pPr>
    </w:p>
    <w:p w:rsidR="00C2491E" w:rsidRDefault="00C2491E" w:rsidP="00C2491E">
      <w:pPr>
        <w:rPr>
          <w:snapToGrid w:val="0"/>
        </w:rPr>
      </w:pPr>
    </w:p>
    <w:p w:rsidR="00C2491E" w:rsidRDefault="00C2491E" w:rsidP="00C2491E">
      <w:pPr>
        <w:pStyle w:val="endofdoc"/>
        <w:spacing w:before="0"/>
        <w:rPr>
          <w:snapToGrid w:val="0"/>
        </w:rPr>
      </w:pPr>
      <w:r>
        <w:rPr>
          <w:snapToGrid w:val="0"/>
        </w:rPr>
        <w:t xml:space="preserve"> [End of document]</w:t>
      </w:r>
    </w:p>
    <w:p w:rsidR="00C2491E" w:rsidRPr="00C5280D" w:rsidRDefault="00C2491E" w:rsidP="00C2491E"/>
    <w:p w:rsidR="00050E16" w:rsidRPr="00C5280D" w:rsidRDefault="00050E16" w:rsidP="00C2491E">
      <w:pPr>
        <w:pStyle w:val="Titleofdoc0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1E" w:rsidRDefault="00C2491E" w:rsidP="006655D3">
      <w:r>
        <w:separator/>
      </w:r>
    </w:p>
    <w:p w:rsidR="00C2491E" w:rsidRDefault="00C2491E" w:rsidP="006655D3"/>
    <w:p w:rsidR="00C2491E" w:rsidRDefault="00C2491E" w:rsidP="006655D3"/>
  </w:endnote>
  <w:endnote w:type="continuationSeparator" w:id="0">
    <w:p w:rsidR="00C2491E" w:rsidRDefault="00C2491E" w:rsidP="006655D3">
      <w:r>
        <w:separator/>
      </w:r>
    </w:p>
    <w:p w:rsidR="00C2491E" w:rsidRPr="00C2491E" w:rsidRDefault="00C2491E">
      <w:pPr>
        <w:pStyle w:val="Footer"/>
        <w:spacing w:after="60"/>
        <w:rPr>
          <w:sz w:val="18"/>
          <w:lang w:val="fr-CH"/>
        </w:rPr>
      </w:pPr>
      <w:r w:rsidRPr="00C2491E">
        <w:rPr>
          <w:sz w:val="18"/>
          <w:lang w:val="fr-CH"/>
        </w:rPr>
        <w:t>[Suite de la note de la page précédente]</w:t>
      </w:r>
    </w:p>
    <w:p w:rsidR="00C2491E" w:rsidRPr="00C2491E" w:rsidRDefault="00C2491E" w:rsidP="006655D3">
      <w:pPr>
        <w:rPr>
          <w:lang w:val="fr-CH"/>
        </w:rPr>
      </w:pPr>
    </w:p>
    <w:p w:rsidR="00C2491E" w:rsidRPr="00C2491E" w:rsidRDefault="00C2491E" w:rsidP="006655D3">
      <w:pPr>
        <w:rPr>
          <w:lang w:val="fr-CH"/>
        </w:rPr>
      </w:pPr>
    </w:p>
  </w:endnote>
  <w:endnote w:type="continuationNotice" w:id="1">
    <w:p w:rsidR="00C2491E" w:rsidRPr="00C2491E" w:rsidRDefault="00C2491E" w:rsidP="006655D3">
      <w:pPr>
        <w:rPr>
          <w:lang w:val="fr-CH"/>
        </w:rPr>
      </w:pPr>
      <w:r w:rsidRPr="00C2491E">
        <w:rPr>
          <w:lang w:val="fr-CH"/>
        </w:rPr>
        <w:t>[Suite de la note page suivante]</w:t>
      </w:r>
    </w:p>
    <w:p w:rsidR="00C2491E" w:rsidRPr="00C2491E" w:rsidRDefault="00C2491E" w:rsidP="006655D3">
      <w:pPr>
        <w:rPr>
          <w:lang w:val="fr-CH"/>
        </w:rPr>
      </w:pPr>
    </w:p>
    <w:p w:rsidR="00C2491E" w:rsidRPr="00C2491E" w:rsidRDefault="00C2491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1E" w:rsidRDefault="00C2491E" w:rsidP="006655D3">
      <w:r>
        <w:separator/>
      </w:r>
    </w:p>
  </w:footnote>
  <w:footnote w:type="continuationSeparator" w:id="0">
    <w:p w:rsidR="00C2491E" w:rsidRDefault="00C2491E" w:rsidP="006655D3">
      <w:r>
        <w:separator/>
      </w:r>
    </w:p>
  </w:footnote>
  <w:footnote w:type="continuationNotice" w:id="1">
    <w:p w:rsidR="00C2491E" w:rsidRPr="00AB530F" w:rsidRDefault="00C2491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4B1215">
      <w:rPr>
        <w:rStyle w:val="PageNumber"/>
        <w:lang w:val="en-US"/>
      </w:rPr>
      <w:t>1</w:t>
    </w:r>
    <w:r>
      <w:rPr>
        <w:rStyle w:val="PageNumber"/>
        <w:lang w:val="en-US"/>
      </w:rPr>
      <w:t>/</w:t>
    </w:r>
    <w:r w:rsidR="00C2491E">
      <w:rPr>
        <w:rStyle w:val="PageNumber"/>
        <w:lang w:val="en-US"/>
      </w:rPr>
      <w:t>32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75C5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10C36"/>
    <w:rsid w:val="001131D5"/>
    <w:rsid w:val="00141DB8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C59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23FA2"/>
    <w:rsid w:val="00B324D4"/>
    <w:rsid w:val="00B46575"/>
    <w:rsid w:val="00B84BBD"/>
    <w:rsid w:val="00BA43FB"/>
    <w:rsid w:val="00BC127D"/>
    <w:rsid w:val="00BC1FE6"/>
    <w:rsid w:val="00C061B6"/>
    <w:rsid w:val="00C2446C"/>
    <w:rsid w:val="00C2491E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C2491E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C2491E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C2491E"/>
    <w:rPr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C2491E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C2491E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C2491E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tc_51_EN.dotx</Template>
  <TotalTime>9</TotalTime>
  <Pages>2</Pages>
  <Words>308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3</cp:revision>
  <cp:lastPrinted>2011-12-19T06:47:00Z</cp:lastPrinted>
  <dcterms:created xsi:type="dcterms:W3CDTF">2015-01-12T08:27:00Z</dcterms:created>
  <dcterms:modified xsi:type="dcterms:W3CDTF">2015-02-09T10:35:00Z</dcterms:modified>
</cp:coreProperties>
</file>