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7136B8">
              <w:t>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0E3B16">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4573C5" w:rsidRPr="000E3B16">
              <w:rPr>
                <w:b w:val="0"/>
                <w:spacing w:val="0"/>
              </w:rPr>
              <w:t>February</w:t>
            </w:r>
            <w:r w:rsidR="00EA5E5D" w:rsidRPr="000E3B16">
              <w:rPr>
                <w:b w:val="0"/>
                <w:spacing w:val="0"/>
              </w:rPr>
              <w:t xml:space="preserve"> </w:t>
            </w:r>
            <w:r w:rsidR="000E3B16" w:rsidRPr="000E3B16">
              <w:rPr>
                <w:b w:val="0"/>
                <w:spacing w:val="0"/>
              </w:rPr>
              <w:t>1</w:t>
            </w:r>
            <w:r w:rsidR="0024416D" w:rsidRPr="000E3B16">
              <w:rPr>
                <w:b w:val="0"/>
                <w:spacing w:val="0"/>
              </w:rPr>
              <w:t xml:space="preserve">, </w:t>
            </w:r>
            <w:r w:rsidR="001131D5" w:rsidRPr="000E3B16">
              <w:rPr>
                <w:b w:val="0"/>
                <w:spacing w:val="0"/>
              </w:rPr>
              <w:t>201</w:t>
            </w:r>
            <w:r w:rsidR="00EA5E5D" w:rsidRPr="000E3B16">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0D7780" w:rsidRPr="00C5280D" w:rsidRDefault="007136B8" w:rsidP="006655D3">
      <w:pPr>
        <w:pStyle w:val="Titleofdoc0"/>
      </w:pPr>
      <w:bookmarkStart w:id="3" w:name="TitleOfDoc"/>
      <w:bookmarkEnd w:id="3"/>
      <w:r w:rsidRPr="001A3FA1">
        <w:t>Matters arising from the Technical Working Parties</w:t>
      </w:r>
      <w:r w:rsidRPr="00C5280D">
        <w:rPr>
          <w:highlight w:val="cyan"/>
        </w:rPr>
        <w:t xml:space="preserve"> </w:t>
      </w:r>
    </w:p>
    <w:p w:rsidR="00050E16" w:rsidRPr="00C5280D" w:rsidRDefault="00AE0EF1" w:rsidP="00050E16">
      <w:pPr>
        <w:pStyle w:val="preparedby1"/>
      </w:pPr>
      <w:bookmarkStart w:id="4" w:name="Prepared"/>
      <w:bookmarkEnd w:id="4"/>
      <w:r w:rsidRPr="007136B8">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BF1A76" w:rsidRPr="00FC6CC1" w:rsidRDefault="00BF1A76" w:rsidP="00BF1A76">
      <w:r>
        <w:rPr>
          <w:color w:val="000000"/>
        </w:rPr>
        <w:fldChar w:fldCharType="begin"/>
      </w:r>
      <w:r>
        <w:rPr>
          <w:color w:val="000000"/>
        </w:rPr>
        <w:instrText xml:space="preserve"> AUTONUM  </w:instrText>
      </w:r>
      <w:r>
        <w:rPr>
          <w:color w:val="000000"/>
        </w:rPr>
        <w:fldChar w:fldCharType="end"/>
      </w:r>
      <w:r>
        <w:rPr>
          <w:color w:val="000000"/>
        </w:rPr>
        <w:tab/>
      </w:r>
      <w:r w:rsidRPr="00FC6CC1">
        <w:rPr>
          <w:color w:val="000000"/>
        </w:rPr>
        <w:t xml:space="preserve">This document summarizes </w:t>
      </w:r>
      <w:r>
        <w:rPr>
          <w:color w:val="000000"/>
        </w:rPr>
        <w:t>matters arising from the 201</w:t>
      </w:r>
      <w:r w:rsidR="00E45A06">
        <w:rPr>
          <w:color w:val="000000"/>
        </w:rPr>
        <w:t>4</w:t>
      </w:r>
      <w:r w:rsidRPr="00FC6CC1">
        <w:rPr>
          <w:color w:val="000000"/>
        </w:rPr>
        <w:t xml:space="preserve"> sessions of the Technical Working Parties (TWPs) which are not expressly covered by specific agenda items.  </w:t>
      </w:r>
      <w:r w:rsidRPr="00FC6CC1">
        <w:t>The matters arising are presented in two sections.  The first section, “Matters for information and for a possible decision to be taken by the Technical Committee (TC)</w:t>
      </w:r>
      <w:r w:rsidRPr="00FC6CC1">
        <w:rPr>
          <w:caps/>
        </w:rPr>
        <w:t>”,</w:t>
      </w:r>
      <w:r w:rsidRPr="00FC6CC1">
        <w:t xml:space="preserve"> identifies matters raised by the TWPs, which may require a decision to be taken by the TC.  The Office of the Union (Office) has highlighted aspects where the TC may wish to take a decision by introducing a proposed decision paragraph.  The second section, “Matters for information”, is provided for the information of the </w:t>
      </w:r>
      <w:r w:rsidRPr="00FC6CC1">
        <w:rPr>
          <w:color w:val="000000"/>
        </w:rPr>
        <w:t>TC</w:t>
      </w:r>
      <w:r w:rsidRPr="00FC6CC1">
        <w:t xml:space="preserve"> but does not require decisions at this stage.</w:t>
      </w:r>
    </w:p>
    <w:p w:rsidR="00BF1A76" w:rsidRPr="0094600F" w:rsidRDefault="00BF1A76" w:rsidP="00BF1A76">
      <w:pPr>
        <w:tabs>
          <w:tab w:val="left" w:pos="567"/>
          <w:tab w:val="left" w:pos="1701"/>
        </w:tabs>
        <w:ind w:left="1695" w:hanging="1695"/>
        <w:rPr>
          <w:rFonts w:eastAsia="PMingLiU"/>
          <w:szCs w:val="24"/>
        </w:rPr>
      </w:pPr>
    </w:p>
    <w:p w:rsidR="00BF1A76" w:rsidRDefault="00BF1A76" w:rsidP="00BF1A76">
      <w:r w:rsidRPr="00FC6CC1">
        <w:rPr>
          <w:color w:val="000000"/>
        </w:rPr>
        <w:fldChar w:fldCharType="begin"/>
      </w:r>
      <w:r w:rsidRPr="00FC6CC1">
        <w:rPr>
          <w:color w:val="000000"/>
        </w:rPr>
        <w:instrText xml:space="preserve"> AUTONUM  </w:instrText>
      </w:r>
      <w:r w:rsidRPr="00FC6CC1">
        <w:rPr>
          <w:color w:val="000000"/>
        </w:rPr>
        <w:fldChar w:fldCharType="end"/>
      </w:r>
      <w:r w:rsidRPr="00FC6CC1">
        <w:rPr>
          <w:color w:val="000000"/>
        </w:rPr>
        <w:tab/>
      </w:r>
      <w:r w:rsidRPr="00FC6CC1">
        <w:t>T</w:t>
      </w:r>
      <w:r>
        <w:t>he structure of this document is as follows:</w:t>
      </w:r>
    </w:p>
    <w:p w:rsidR="00BF1A76" w:rsidRDefault="00BF1A76" w:rsidP="00BF1A76"/>
    <w:sdt>
      <w:sdtPr>
        <w:rPr>
          <w:caps w:val="0"/>
          <w:smallCaps/>
        </w:rPr>
        <w:id w:val="1911728516"/>
        <w:docPartObj>
          <w:docPartGallery w:val="Table of Contents"/>
          <w:docPartUnique/>
        </w:docPartObj>
      </w:sdtPr>
      <w:sdtEndPr>
        <w:rPr>
          <w:b/>
          <w:bCs/>
          <w:smallCaps w:val="0"/>
          <w:noProof/>
        </w:rPr>
      </w:sdtEndPr>
      <w:sdtContent>
        <w:p w:rsidR="00B16331" w:rsidRDefault="00BF1A76">
          <w:pPr>
            <w:pStyle w:val="TOC1"/>
            <w:rPr>
              <w:rStyle w:val="Hyperlink"/>
              <w:noProof/>
            </w:rPr>
          </w:pPr>
          <w:r>
            <w:rPr>
              <w:smallCaps/>
            </w:rPr>
            <w:fldChar w:fldCharType="begin"/>
          </w:r>
          <w:r>
            <w:instrText xml:space="preserve"> TOC \o "1-3" \h \z \u </w:instrText>
          </w:r>
          <w:r>
            <w:rPr>
              <w:smallCaps/>
            </w:rPr>
            <w:fldChar w:fldCharType="separate"/>
          </w:r>
          <w:hyperlink w:anchor="_Toc409765445" w:history="1">
            <w:r w:rsidR="00B16331" w:rsidRPr="0086285F">
              <w:rPr>
                <w:rStyle w:val="Hyperlink"/>
                <w:noProof/>
              </w:rPr>
              <w:t>Matters for information and for a possible decision to be taken by the Technical Committee (TC)</w:t>
            </w:r>
            <w:r w:rsidR="00B16331">
              <w:rPr>
                <w:noProof/>
                <w:webHidden/>
              </w:rPr>
              <w:tab/>
            </w:r>
            <w:r w:rsidR="00B16331">
              <w:rPr>
                <w:noProof/>
                <w:webHidden/>
              </w:rPr>
              <w:fldChar w:fldCharType="begin"/>
            </w:r>
            <w:r w:rsidR="00B16331">
              <w:rPr>
                <w:noProof/>
                <w:webHidden/>
              </w:rPr>
              <w:instrText xml:space="preserve"> PAGEREF _Toc409765445 \h </w:instrText>
            </w:r>
            <w:r w:rsidR="00B16331">
              <w:rPr>
                <w:noProof/>
                <w:webHidden/>
              </w:rPr>
            </w:r>
            <w:r w:rsidR="00B16331">
              <w:rPr>
                <w:noProof/>
                <w:webHidden/>
              </w:rPr>
              <w:fldChar w:fldCharType="separate"/>
            </w:r>
            <w:r w:rsidR="001A2ECA">
              <w:rPr>
                <w:noProof/>
                <w:webHidden/>
              </w:rPr>
              <w:t>2</w:t>
            </w:r>
            <w:r w:rsidR="00B16331">
              <w:rPr>
                <w:noProof/>
                <w:webHidden/>
              </w:rPr>
              <w:fldChar w:fldCharType="end"/>
            </w:r>
          </w:hyperlink>
        </w:p>
        <w:p w:rsidR="00B16331" w:rsidRPr="00B16331" w:rsidRDefault="00B16331" w:rsidP="00B16331">
          <w:pPr>
            <w:rPr>
              <w:rFonts w:eastAsiaTheme="minorEastAsia"/>
              <w:noProof/>
            </w:rPr>
          </w:pPr>
        </w:p>
        <w:p w:rsidR="00B16331" w:rsidRDefault="001A2ECA">
          <w:pPr>
            <w:pStyle w:val="TOC1"/>
            <w:rPr>
              <w:rFonts w:asciiTheme="minorHAnsi" w:eastAsiaTheme="minorEastAsia" w:hAnsiTheme="minorHAnsi" w:cstheme="minorBidi"/>
              <w:caps w:val="0"/>
              <w:noProof/>
              <w:sz w:val="22"/>
              <w:szCs w:val="22"/>
            </w:rPr>
          </w:pPr>
          <w:hyperlink w:anchor="_Toc409765446" w:history="1">
            <w:r w:rsidR="00B16331" w:rsidRPr="0086285F">
              <w:rPr>
                <w:rStyle w:val="Hyperlink"/>
                <w:noProof/>
              </w:rPr>
              <w:t>Matters for information</w:t>
            </w:r>
            <w:r w:rsidR="00B16331">
              <w:rPr>
                <w:noProof/>
                <w:webHidden/>
              </w:rPr>
              <w:tab/>
            </w:r>
            <w:r w:rsidR="00B16331">
              <w:rPr>
                <w:noProof/>
                <w:webHidden/>
              </w:rPr>
              <w:fldChar w:fldCharType="begin"/>
            </w:r>
            <w:r w:rsidR="00B16331">
              <w:rPr>
                <w:noProof/>
                <w:webHidden/>
              </w:rPr>
              <w:instrText xml:space="preserve"> PAGEREF _Toc409765446 \h </w:instrText>
            </w:r>
            <w:r w:rsidR="00B16331">
              <w:rPr>
                <w:noProof/>
                <w:webHidden/>
              </w:rPr>
            </w:r>
            <w:r w:rsidR="00B16331">
              <w:rPr>
                <w:noProof/>
                <w:webHidden/>
              </w:rPr>
              <w:fldChar w:fldCharType="separate"/>
            </w:r>
            <w:r>
              <w:rPr>
                <w:noProof/>
                <w:webHidden/>
              </w:rPr>
              <w:t>2</w:t>
            </w:r>
            <w:r w:rsidR="00B16331">
              <w:rPr>
                <w:noProof/>
                <w:webHidden/>
              </w:rPr>
              <w:fldChar w:fldCharType="end"/>
            </w:r>
          </w:hyperlink>
        </w:p>
        <w:p w:rsidR="00B16331" w:rsidRDefault="001A2ECA">
          <w:pPr>
            <w:pStyle w:val="TOC2"/>
            <w:rPr>
              <w:rFonts w:asciiTheme="minorHAnsi" w:eastAsiaTheme="minorEastAsia" w:hAnsiTheme="minorHAnsi" w:cstheme="minorBidi"/>
              <w:smallCaps w:val="0"/>
              <w:noProof/>
              <w:sz w:val="22"/>
              <w:szCs w:val="22"/>
            </w:rPr>
          </w:pPr>
          <w:hyperlink w:anchor="_Toc409765447" w:history="1">
            <w:r w:rsidR="00B16331" w:rsidRPr="0086285F">
              <w:rPr>
                <w:rStyle w:val="Hyperlink"/>
                <w:noProof/>
              </w:rPr>
              <w:t>Duration of DUS tests in the fruit sector</w:t>
            </w:r>
            <w:r w:rsidR="00B16331">
              <w:rPr>
                <w:noProof/>
                <w:webHidden/>
              </w:rPr>
              <w:tab/>
            </w:r>
            <w:r w:rsidR="00B16331">
              <w:rPr>
                <w:noProof/>
                <w:webHidden/>
              </w:rPr>
              <w:fldChar w:fldCharType="begin"/>
            </w:r>
            <w:r w:rsidR="00B16331">
              <w:rPr>
                <w:noProof/>
                <w:webHidden/>
              </w:rPr>
              <w:instrText xml:space="preserve"> PAGEREF _Toc409765447 \h </w:instrText>
            </w:r>
            <w:r w:rsidR="00B16331">
              <w:rPr>
                <w:noProof/>
                <w:webHidden/>
              </w:rPr>
            </w:r>
            <w:r w:rsidR="00B16331">
              <w:rPr>
                <w:noProof/>
                <w:webHidden/>
              </w:rPr>
              <w:fldChar w:fldCharType="separate"/>
            </w:r>
            <w:r>
              <w:rPr>
                <w:noProof/>
                <w:webHidden/>
              </w:rPr>
              <w:t>2</w:t>
            </w:r>
            <w:r w:rsidR="00B16331">
              <w:rPr>
                <w:noProof/>
                <w:webHidden/>
              </w:rPr>
              <w:fldChar w:fldCharType="end"/>
            </w:r>
          </w:hyperlink>
        </w:p>
        <w:p w:rsidR="00B16331" w:rsidRDefault="001A2ECA">
          <w:pPr>
            <w:pStyle w:val="TOC2"/>
            <w:rPr>
              <w:rFonts w:asciiTheme="minorHAnsi" w:eastAsiaTheme="minorEastAsia" w:hAnsiTheme="minorHAnsi" w:cstheme="minorBidi"/>
              <w:smallCaps w:val="0"/>
              <w:noProof/>
              <w:sz w:val="22"/>
              <w:szCs w:val="22"/>
            </w:rPr>
          </w:pPr>
          <w:hyperlink w:anchor="_Toc409765448" w:history="1">
            <w:r w:rsidR="00B16331" w:rsidRPr="0086285F">
              <w:rPr>
                <w:rStyle w:val="Hyperlink"/>
                <w:noProof/>
              </w:rPr>
              <w:t>Use of disease resistance characteristics in DUS examination</w:t>
            </w:r>
            <w:r w:rsidR="00B16331">
              <w:rPr>
                <w:noProof/>
                <w:webHidden/>
              </w:rPr>
              <w:tab/>
            </w:r>
            <w:r w:rsidR="00B16331">
              <w:rPr>
                <w:noProof/>
                <w:webHidden/>
              </w:rPr>
              <w:fldChar w:fldCharType="begin"/>
            </w:r>
            <w:r w:rsidR="00B16331">
              <w:rPr>
                <w:noProof/>
                <w:webHidden/>
              </w:rPr>
              <w:instrText xml:space="preserve"> PAGEREF _Toc409765448 \h </w:instrText>
            </w:r>
            <w:r w:rsidR="00B16331">
              <w:rPr>
                <w:noProof/>
                <w:webHidden/>
              </w:rPr>
            </w:r>
            <w:r w:rsidR="00B16331">
              <w:rPr>
                <w:noProof/>
                <w:webHidden/>
              </w:rPr>
              <w:fldChar w:fldCharType="separate"/>
            </w:r>
            <w:r>
              <w:rPr>
                <w:noProof/>
                <w:webHidden/>
              </w:rPr>
              <w:t>2</w:t>
            </w:r>
            <w:r w:rsidR="00B16331">
              <w:rPr>
                <w:noProof/>
                <w:webHidden/>
              </w:rPr>
              <w:fldChar w:fldCharType="end"/>
            </w:r>
          </w:hyperlink>
        </w:p>
        <w:p w:rsidR="00B16331" w:rsidRDefault="001A2ECA">
          <w:pPr>
            <w:pStyle w:val="TOC2"/>
            <w:rPr>
              <w:rFonts w:asciiTheme="minorHAnsi" w:eastAsiaTheme="minorEastAsia" w:hAnsiTheme="minorHAnsi" w:cstheme="minorBidi"/>
              <w:smallCaps w:val="0"/>
              <w:noProof/>
              <w:sz w:val="22"/>
              <w:szCs w:val="22"/>
            </w:rPr>
          </w:pPr>
          <w:hyperlink w:anchor="_Toc409765449" w:history="1">
            <w:r w:rsidR="00B16331" w:rsidRPr="0086285F">
              <w:rPr>
                <w:rStyle w:val="Hyperlink"/>
                <w:noProof/>
              </w:rPr>
              <w:t>Data loggers</w:t>
            </w:r>
            <w:r w:rsidR="00B16331">
              <w:rPr>
                <w:noProof/>
                <w:webHidden/>
              </w:rPr>
              <w:tab/>
            </w:r>
            <w:r w:rsidR="00B16331">
              <w:rPr>
                <w:noProof/>
                <w:webHidden/>
              </w:rPr>
              <w:fldChar w:fldCharType="begin"/>
            </w:r>
            <w:r w:rsidR="00B16331">
              <w:rPr>
                <w:noProof/>
                <w:webHidden/>
              </w:rPr>
              <w:instrText xml:space="preserve"> PAGEREF _Toc409765449 \h </w:instrText>
            </w:r>
            <w:r w:rsidR="00B16331">
              <w:rPr>
                <w:noProof/>
                <w:webHidden/>
              </w:rPr>
            </w:r>
            <w:r w:rsidR="00B16331">
              <w:rPr>
                <w:noProof/>
                <w:webHidden/>
              </w:rPr>
              <w:fldChar w:fldCharType="separate"/>
            </w:r>
            <w:r>
              <w:rPr>
                <w:noProof/>
                <w:webHidden/>
              </w:rPr>
              <w:t>3</w:t>
            </w:r>
            <w:r w:rsidR="00B16331">
              <w:rPr>
                <w:noProof/>
                <w:webHidden/>
              </w:rPr>
              <w:fldChar w:fldCharType="end"/>
            </w:r>
          </w:hyperlink>
        </w:p>
        <w:p w:rsidR="00B16331" w:rsidRDefault="001A2ECA">
          <w:pPr>
            <w:pStyle w:val="TOC2"/>
            <w:rPr>
              <w:rFonts w:asciiTheme="minorHAnsi" w:eastAsiaTheme="minorEastAsia" w:hAnsiTheme="minorHAnsi" w:cstheme="minorBidi"/>
              <w:smallCaps w:val="0"/>
              <w:noProof/>
              <w:sz w:val="22"/>
              <w:szCs w:val="22"/>
            </w:rPr>
          </w:pPr>
          <w:hyperlink w:anchor="_Toc409765450" w:history="1">
            <w:r w:rsidR="00B16331" w:rsidRPr="0086285F">
              <w:rPr>
                <w:rStyle w:val="Hyperlink"/>
                <w:noProof/>
              </w:rPr>
              <w:t>Experiences with new types and species</w:t>
            </w:r>
            <w:r w:rsidR="00B16331">
              <w:rPr>
                <w:noProof/>
                <w:webHidden/>
              </w:rPr>
              <w:tab/>
            </w:r>
            <w:r w:rsidR="00B16331">
              <w:rPr>
                <w:noProof/>
                <w:webHidden/>
              </w:rPr>
              <w:fldChar w:fldCharType="begin"/>
            </w:r>
            <w:r w:rsidR="00B16331">
              <w:rPr>
                <w:noProof/>
                <w:webHidden/>
              </w:rPr>
              <w:instrText xml:space="preserve"> PAGEREF _Toc409765450 \h </w:instrText>
            </w:r>
            <w:r w:rsidR="00B16331">
              <w:rPr>
                <w:noProof/>
                <w:webHidden/>
              </w:rPr>
            </w:r>
            <w:r w:rsidR="00B16331">
              <w:rPr>
                <w:noProof/>
                <w:webHidden/>
              </w:rPr>
              <w:fldChar w:fldCharType="separate"/>
            </w:r>
            <w:r>
              <w:rPr>
                <w:noProof/>
                <w:webHidden/>
              </w:rPr>
              <w:t>3</w:t>
            </w:r>
            <w:r w:rsidR="00B16331">
              <w:rPr>
                <w:noProof/>
                <w:webHidden/>
              </w:rPr>
              <w:fldChar w:fldCharType="end"/>
            </w:r>
          </w:hyperlink>
        </w:p>
        <w:p w:rsidR="00B16331" w:rsidRDefault="001A2ECA">
          <w:pPr>
            <w:pStyle w:val="TOC3"/>
            <w:rPr>
              <w:rFonts w:asciiTheme="minorHAnsi" w:eastAsiaTheme="minorEastAsia" w:hAnsiTheme="minorHAnsi" w:cstheme="minorBidi"/>
              <w:noProof/>
              <w:sz w:val="22"/>
              <w:szCs w:val="22"/>
              <w:lang w:val="en-US"/>
            </w:rPr>
          </w:pPr>
          <w:hyperlink w:anchor="_Toc409765451" w:history="1">
            <w:r w:rsidR="00B16331" w:rsidRPr="0086285F">
              <w:rPr>
                <w:rStyle w:val="Hyperlink"/>
                <w:noProof/>
              </w:rPr>
              <w:t>Technical Working Party for Ornamental Plants and Forest Trees</w:t>
            </w:r>
            <w:r w:rsidR="00B16331">
              <w:rPr>
                <w:noProof/>
                <w:webHidden/>
              </w:rPr>
              <w:tab/>
            </w:r>
            <w:r w:rsidR="00B16331">
              <w:rPr>
                <w:noProof/>
                <w:webHidden/>
              </w:rPr>
              <w:fldChar w:fldCharType="begin"/>
            </w:r>
            <w:r w:rsidR="00B16331">
              <w:rPr>
                <w:noProof/>
                <w:webHidden/>
              </w:rPr>
              <w:instrText xml:space="preserve"> PAGEREF _Toc409765451 \h </w:instrText>
            </w:r>
            <w:r w:rsidR="00B16331">
              <w:rPr>
                <w:noProof/>
                <w:webHidden/>
              </w:rPr>
            </w:r>
            <w:r w:rsidR="00B16331">
              <w:rPr>
                <w:noProof/>
                <w:webHidden/>
              </w:rPr>
              <w:fldChar w:fldCharType="separate"/>
            </w:r>
            <w:r>
              <w:rPr>
                <w:noProof/>
                <w:webHidden/>
              </w:rPr>
              <w:t>3</w:t>
            </w:r>
            <w:r w:rsidR="00B16331">
              <w:rPr>
                <w:noProof/>
                <w:webHidden/>
              </w:rPr>
              <w:fldChar w:fldCharType="end"/>
            </w:r>
          </w:hyperlink>
        </w:p>
        <w:p w:rsidR="00B16331" w:rsidRDefault="001A2ECA">
          <w:pPr>
            <w:pStyle w:val="TOC3"/>
            <w:rPr>
              <w:rFonts w:asciiTheme="minorHAnsi" w:eastAsiaTheme="minorEastAsia" w:hAnsiTheme="minorHAnsi" w:cstheme="minorBidi"/>
              <w:noProof/>
              <w:sz w:val="22"/>
              <w:szCs w:val="22"/>
              <w:lang w:val="en-US"/>
            </w:rPr>
          </w:pPr>
          <w:hyperlink w:anchor="_Toc409765452" w:history="1">
            <w:r w:rsidR="00B16331" w:rsidRPr="0086285F">
              <w:rPr>
                <w:rStyle w:val="Hyperlink"/>
                <w:noProof/>
              </w:rPr>
              <w:t>Technical Working Party for Fruit Crops</w:t>
            </w:r>
            <w:r w:rsidR="00B16331">
              <w:rPr>
                <w:noProof/>
                <w:webHidden/>
              </w:rPr>
              <w:tab/>
            </w:r>
            <w:r w:rsidR="00B16331">
              <w:rPr>
                <w:noProof/>
                <w:webHidden/>
              </w:rPr>
              <w:fldChar w:fldCharType="begin"/>
            </w:r>
            <w:r w:rsidR="00B16331">
              <w:rPr>
                <w:noProof/>
                <w:webHidden/>
              </w:rPr>
              <w:instrText xml:space="preserve"> PAGEREF _Toc409765452 \h </w:instrText>
            </w:r>
            <w:r w:rsidR="00B16331">
              <w:rPr>
                <w:noProof/>
                <w:webHidden/>
              </w:rPr>
            </w:r>
            <w:r w:rsidR="00B16331">
              <w:rPr>
                <w:noProof/>
                <w:webHidden/>
              </w:rPr>
              <w:fldChar w:fldCharType="separate"/>
            </w:r>
            <w:r>
              <w:rPr>
                <w:noProof/>
                <w:webHidden/>
              </w:rPr>
              <w:t>3</w:t>
            </w:r>
            <w:r w:rsidR="00B16331">
              <w:rPr>
                <w:noProof/>
                <w:webHidden/>
              </w:rPr>
              <w:fldChar w:fldCharType="end"/>
            </w:r>
          </w:hyperlink>
        </w:p>
        <w:p w:rsidR="00B16331" w:rsidRDefault="001A2ECA">
          <w:pPr>
            <w:pStyle w:val="TOC3"/>
            <w:rPr>
              <w:rFonts w:asciiTheme="minorHAnsi" w:eastAsiaTheme="minorEastAsia" w:hAnsiTheme="minorHAnsi" w:cstheme="minorBidi"/>
              <w:noProof/>
              <w:sz w:val="22"/>
              <w:szCs w:val="22"/>
              <w:lang w:val="en-US"/>
            </w:rPr>
          </w:pPr>
          <w:hyperlink w:anchor="_Toc409765453" w:history="1">
            <w:r w:rsidR="00B16331" w:rsidRPr="0086285F">
              <w:rPr>
                <w:rStyle w:val="Hyperlink"/>
                <w:noProof/>
              </w:rPr>
              <w:t>Technical Working Party for Automation and Computer Programs</w:t>
            </w:r>
            <w:r w:rsidR="00B16331">
              <w:rPr>
                <w:noProof/>
                <w:webHidden/>
              </w:rPr>
              <w:tab/>
            </w:r>
            <w:r w:rsidR="00B16331">
              <w:rPr>
                <w:noProof/>
                <w:webHidden/>
              </w:rPr>
              <w:fldChar w:fldCharType="begin"/>
            </w:r>
            <w:r w:rsidR="00B16331">
              <w:rPr>
                <w:noProof/>
                <w:webHidden/>
              </w:rPr>
              <w:instrText xml:space="preserve"> PAGEREF _Toc409765453 \h </w:instrText>
            </w:r>
            <w:r w:rsidR="00B16331">
              <w:rPr>
                <w:noProof/>
                <w:webHidden/>
              </w:rPr>
            </w:r>
            <w:r w:rsidR="00B16331">
              <w:rPr>
                <w:noProof/>
                <w:webHidden/>
              </w:rPr>
              <w:fldChar w:fldCharType="separate"/>
            </w:r>
            <w:r>
              <w:rPr>
                <w:noProof/>
                <w:webHidden/>
              </w:rPr>
              <w:t>4</w:t>
            </w:r>
            <w:r w:rsidR="00B16331">
              <w:rPr>
                <w:noProof/>
                <w:webHidden/>
              </w:rPr>
              <w:fldChar w:fldCharType="end"/>
            </w:r>
          </w:hyperlink>
        </w:p>
        <w:p w:rsidR="00B16331" w:rsidRDefault="001A2ECA">
          <w:pPr>
            <w:pStyle w:val="TOC3"/>
            <w:rPr>
              <w:rFonts w:asciiTheme="minorHAnsi" w:eastAsiaTheme="minorEastAsia" w:hAnsiTheme="minorHAnsi" w:cstheme="minorBidi"/>
              <w:noProof/>
              <w:sz w:val="22"/>
              <w:szCs w:val="22"/>
              <w:lang w:val="en-US"/>
            </w:rPr>
          </w:pPr>
          <w:hyperlink w:anchor="_Toc409765454" w:history="1">
            <w:r w:rsidR="00B16331" w:rsidRPr="0086285F">
              <w:rPr>
                <w:rStyle w:val="Hyperlink"/>
                <w:noProof/>
              </w:rPr>
              <w:t>Technical Working Party for Vegetables</w:t>
            </w:r>
            <w:r w:rsidR="00B16331">
              <w:rPr>
                <w:noProof/>
                <w:webHidden/>
              </w:rPr>
              <w:tab/>
            </w:r>
            <w:r w:rsidR="00B16331">
              <w:rPr>
                <w:noProof/>
                <w:webHidden/>
              </w:rPr>
              <w:fldChar w:fldCharType="begin"/>
            </w:r>
            <w:r w:rsidR="00B16331">
              <w:rPr>
                <w:noProof/>
                <w:webHidden/>
              </w:rPr>
              <w:instrText xml:space="preserve"> PAGEREF _Toc409765454 \h </w:instrText>
            </w:r>
            <w:r w:rsidR="00B16331">
              <w:rPr>
                <w:noProof/>
                <w:webHidden/>
              </w:rPr>
            </w:r>
            <w:r w:rsidR="00B16331">
              <w:rPr>
                <w:noProof/>
                <w:webHidden/>
              </w:rPr>
              <w:fldChar w:fldCharType="separate"/>
            </w:r>
            <w:r>
              <w:rPr>
                <w:noProof/>
                <w:webHidden/>
              </w:rPr>
              <w:t>4</w:t>
            </w:r>
            <w:r w:rsidR="00B16331">
              <w:rPr>
                <w:noProof/>
                <w:webHidden/>
              </w:rPr>
              <w:fldChar w:fldCharType="end"/>
            </w:r>
          </w:hyperlink>
        </w:p>
        <w:p w:rsidR="00B16331" w:rsidRDefault="001A2ECA">
          <w:pPr>
            <w:pStyle w:val="TOC3"/>
            <w:rPr>
              <w:rFonts w:asciiTheme="minorHAnsi" w:eastAsiaTheme="minorEastAsia" w:hAnsiTheme="minorHAnsi" w:cstheme="minorBidi"/>
              <w:noProof/>
              <w:sz w:val="22"/>
              <w:szCs w:val="22"/>
              <w:lang w:val="en-US"/>
            </w:rPr>
          </w:pPr>
          <w:hyperlink w:anchor="_Toc409765455" w:history="1">
            <w:r w:rsidR="00B16331" w:rsidRPr="0086285F">
              <w:rPr>
                <w:rStyle w:val="Hyperlink"/>
                <w:noProof/>
              </w:rPr>
              <w:t>Technical Working Party for Agricultural Crops</w:t>
            </w:r>
            <w:r w:rsidR="00B16331">
              <w:rPr>
                <w:noProof/>
                <w:webHidden/>
              </w:rPr>
              <w:tab/>
            </w:r>
            <w:r w:rsidR="00B16331">
              <w:rPr>
                <w:noProof/>
                <w:webHidden/>
              </w:rPr>
              <w:fldChar w:fldCharType="begin"/>
            </w:r>
            <w:r w:rsidR="00B16331">
              <w:rPr>
                <w:noProof/>
                <w:webHidden/>
              </w:rPr>
              <w:instrText xml:space="preserve"> PAGEREF _Toc409765455 \h </w:instrText>
            </w:r>
            <w:r w:rsidR="00B16331">
              <w:rPr>
                <w:noProof/>
                <w:webHidden/>
              </w:rPr>
            </w:r>
            <w:r w:rsidR="00B16331">
              <w:rPr>
                <w:noProof/>
                <w:webHidden/>
              </w:rPr>
              <w:fldChar w:fldCharType="separate"/>
            </w:r>
            <w:r>
              <w:rPr>
                <w:noProof/>
                <w:webHidden/>
              </w:rPr>
              <w:t>4</w:t>
            </w:r>
            <w:r w:rsidR="00B16331">
              <w:rPr>
                <w:noProof/>
                <w:webHidden/>
              </w:rPr>
              <w:fldChar w:fldCharType="end"/>
            </w:r>
          </w:hyperlink>
        </w:p>
        <w:p w:rsidR="00B16331" w:rsidRDefault="001A2ECA">
          <w:pPr>
            <w:pStyle w:val="TOC2"/>
            <w:rPr>
              <w:rFonts w:asciiTheme="minorHAnsi" w:eastAsiaTheme="minorEastAsia" w:hAnsiTheme="minorHAnsi" w:cstheme="minorBidi"/>
              <w:smallCaps w:val="0"/>
              <w:noProof/>
              <w:sz w:val="22"/>
              <w:szCs w:val="22"/>
            </w:rPr>
          </w:pPr>
          <w:hyperlink w:anchor="_Toc409765456" w:history="1">
            <w:r w:rsidR="00B16331" w:rsidRPr="0086285F">
              <w:rPr>
                <w:rStyle w:val="Hyperlink"/>
                <w:noProof/>
              </w:rPr>
              <w:t>Management of variety collections for DUS examination</w:t>
            </w:r>
            <w:r w:rsidR="00B16331">
              <w:rPr>
                <w:noProof/>
                <w:webHidden/>
              </w:rPr>
              <w:tab/>
            </w:r>
            <w:r w:rsidR="00B16331">
              <w:rPr>
                <w:noProof/>
                <w:webHidden/>
              </w:rPr>
              <w:fldChar w:fldCharType="begin"/>
            </w:r>
            <w:r w:rsidR="00B16331">
              <w:rPr>
                <w:noProof/>
                <w:webHidden/>
              </w:rPr>
              <w:instrText xml:space="preserve"> PAGEREF _Toc409765456 \h </w:instrText>
            </w:r>
            <w:r w:rsidR="00B16331">
              <w:rPr>
                <w:noProof/>
                <w:webHidden/>
              </w:rPr>
            </w:r>
            <w:r w:rsidR="00B16331">
              <w:rPr>
                <w:noProof/>
                <w:webHidden/>
              </w:rPr>
              <w:fldChar w:fldCharType="separate"/>
            </w:r>
            <w:r>
              <w:rPr>
                <w:noProof/>
                <w:webHidden/>
              </w:rPr>
              <w:t>4</w:t>
            </w:r>
            <w:r w:rsidR="00B16331">
              <w:rPr>
                <w:noProof/>
                <w:webHidden/>
              </w:rPr>
              <w:fldChar w:fldCharType="end"/>
            </w:r>
          </w:hyperlink>
        </w:p>
        <w:p w:rsidR="00B16331" w:rsidRDefault="001A2ECA">
          <w:pPr>
            <w:pStyle w:val="TOC2"/>
            <w:rPr>
              <w:rFonts w:asciiTheme="minorHAnsi" w:eastAsiaTheme="minorEastAsia" w:hAnsiTheme="minorHAnsi" w:cstheme="minorBidi"/>
              <w:smallCaps w:val="0"/>
              <w:noProof/>
              <w:sz w:val="22"/>
              <w:szCs w:val="22"/>
            </w:rPr>
          </w:pPr>
          <w:hyperlink w:anchor="_Toc409765457" w:history="1">
            <w:r w:rsidR="00B16331" w:rsidRPr="0086285F">
              <w:rPr>
                <w:rStyle w:val="Hyperlink"/>
                <w:noProof/>
              </w:rPr>
              <w:t>Use of statistical approaches in DUS examination</w:t>
            </w:r>
            <w:r w:rsidR="00B16331">
              <w:rPr>
                <w:noProof/>
                <w:webHidden/>
              </w:rPr>
              <w:tab/>
            </w:r>
            <w:r w:rsidR="00B16331">
              <w:rPr>
                <w:noProof/>
                <w:webHidden/>
              </w:rPr>
              <w:fldChar w:fldCharType="begin"/>
            </w:r>
            <w:r w:rsidR="00B16331">
              <w:rPr>
                <w:noProof/>
                <w:webHidden/>
              </w:rPr>
              <w:instrText xml:space="preserve"> PAGEREF _Toc409765457 \h </w:instrText>
            </w:r>
            <w:r w:rsidR="00B16331">
              <w:rPr>
                <w:noProof/>
                <w:webHidden/>
              </w:rPr>
            </w:r>
            <w:r w:rsidR="00B16331">
              <w:rPr>
                <w:noProof/>
                <w:webHidden/>
              </w:rPr>
              <w:fldChar w:fldCharType="separate"/>
            </w:r>
            <w:r>
              <w:rPr>
                <w:noProof/>
                <w:webHidden/>
              </w:rPr>
              <w:t>5</w:t>
            </w:r>
            <w:r w:rsidR="00B16331">
              <w:rPr>
                <w:noProof/>
                <w:webHidden/>
              </w:rPr>
              <w:fldChar w:fldCharType="end"/>
            </w:r>
          </w:hyperlink>
        </w:p>
        <w:p w:rsidR="00091A4C" w:rsidRDefault="00BF1A76" w:rsidP="00BF1A76">
          <w:r>
            <w:rPr>
              <w:b/>
              <w:bCs/>
              <w:noProof/>
            </w:rPr>
            <w:fldChar w:fldCharType="end"/>
          </w:r>
        </w:p>
      </w:sdtContent>
    </w:sdt>
    <w:p w:rsidR="00BF1A76" w:rsidRDefault="00BF1A76" w:rsidP="00BF1A76">
      <w:pPr>
        <w:keepNext/>
        <w:rPr>
          <w:color w:val="000000"/>
        </w:rPr>
      </w:pPr>
      <w:r w:rsidRPr="00FC6CC1">
        <w:rPr>
          <w:color w:val="000000"/>
        </w:rPr>
        <w:lastRenderedPageBreak/>
        <w:fldChar w:fldCharType="begin"/>
      </w:r>
      <w:r w:rsidRPr="00FC6CC1">
        <w:rPr>
          <w:color w:val="000000"/>
        </w:rPr>
        <w:instrText xml:space="preserve"> AUTONUM  </w:instrText>
      </w:r>
      <w:r w:rsidRPr="00FC6CC1">
        <w:rPr>
          <w:color w:val="000000"/>
        </w:rPr>
        <w:fldChar w:fldCharType="end"/>
      </w:r>
      <w:r w:rsidRPr="00FC6CC1">
        <w:rPr>
          <w:color w:val="000000"/>
        </w:rPr>
        <w:tab/>
        <w:t>The following abbreviations are used in this document:</w:t>
      </w:r>
    </w:p>
    <w:p w:rsidR="00BF1A76" w:rsidRPr="00FC6CC1" w:rsidRDefault="00BF1A76" w:rsidP="00BF1A76">
      <w:pPr>
        <w:keepNext/>
        <w:ind w:left="1692" w:hanging="1125"/>
        <w:jc w:val="left"/>
        <w:rPr>
          <w:color w:val="000000"/>
        </w:rPr>
      </w:pPr>
    </w:p>
    <w:p w:rsidR="00BF1A76" w:rsidRPr="00FC6CC1" w:rsidRDefault="00BF1A76" w:rsidP="00BF1A76">
      <w:pPr>
        <w:keepNext/>
        <w:tabs>
          <w:tab w:val="left" w:pos="567"/>
          <w:tab w:val="left" w:pos="1701"/>
        </w:tabs>
      </w:pPr>
      <w:r w:rsidRPr="00FC6CC1">
        <w:tab/>
        <w:t>CAJ:</w:t>
      </w:r>
      <w:r w:rsidRPr="00FC6CC1">
        <w:tab/>
        <w:t xml:space="preserve">Administrative and Legal Committee </w:t>
      </w:r>
    </w:p>
    <w:p w:rsidR="00BF1A76" w:rsidRPr="00FC6CC1" w:rsidRDefault="00BF1A76" w:rsidP="00BF1A76">
      <w:pPr>
        <w:keepNext/>
        <w:tabs>
          <w:tab w:val="left" w:pos="567"/>
          <w:tab w:val="left" w:pos="1701"/>
        </w:tabs>
      </w:pPr>
      <w:r w:rsidRPr="00FC6CC1">
        <w:tab/>
        <w:t>TC:</w:t>
      </w:r>
      <w:r w:rsidRPr="00FC6CC1">
        <w:tab/>
        <w:t>Technical Committee</w:t>
      </w:r>
    </w:p>
    <w:p w:rsidR="00BF1A76" w:rsidRPr="00FC6CC1" w:rsidRDefault="00BF1A76" w:rsidP="00BF1A76">
      <w:pPr>
        <w:keepNext/>
        <w:tabs>
          <w:tab w:val="left" w:pos="567"/>
          <w:tab w:val="left" w:pos="1701"/>
        </w:tabs>
        <w:rPr>
          <w:rFonts w:eastAsia="PMingLiU"/>
          <w:szCs w:val="24"/>
        </w:rPr>
      </w:pPr>
      <w:r w:rsidRPr="00FC6CC1">
        <w:rPr>
          <w:rFonts w:eastAsia="PMingLiU"/>
          <w:szCs w:val="24"/>
        </w:rPr>
        <w:tab/>
        <w:t>TC-EDC:</w:t>
      </w:r>
      <w:r w:rsidRPr="00FC6CC1">
        <w:rPr>
          <w:rFonts w:eastAsia="PMingLiU"/>
          <w:szCs w:val="24"/>
        </w:rPr>
        <w:tab/>
        <w:t>Enlarged Editorial Committee</w:t>
      </w:r>
    </w:p>
    <w:p w:rsidR="00BF1A76" w:rsidRPr="00FC6CC1" w:rsidRDefault="00BF1A76" w:rsidP="00BF1A76">
      <w:pPr>
        <w:keepNext/>
        <w:tabs>
          <w:tab w:val="left" w:pos="567"/>
          <w:tab w:val="left" w:pos="1701"/>
        </w:tabs>
        <w:rPr>
          <w:rFonts w:eastAsia="PMingLiU"/>
          <w:szCs w:val="24"/>
        </w:rPr>
      </w:pPr>
      <w:r w:rsidRPr="00FC6CC1">
        <w:rPr>
          <w:rFonts w:eastAsia="PMingLiU"/>
          <w:szCs w:val="24"/>
        </w:rPr>
        <w:tab/>
        <w:t>TWA:</w:t>
      </w:r>
      <w:r w:rsidRPr="00FC6CC1">
        <w:rPr>
          <w:rFonts w:eastAsia="PMingLiU"/>
          <w:szCs w:val="24"/>
        </w:rPr>
        <w:tab/>
        <w:t>Technical Working Party for Agricultural Crops</w:t>
      </w:r>
    </w:p>
    <w:p w:rsidR="00BF1A76" w:rsidRPr="00FC6CC1" w:rsidRDefault="00BF1A76" w:rsidP="00BF1A76">
      <w:pPr>
        <w:keepNext/>
        <w:tabs>
          <w:tab w:val="left" w:pos="567"/>
          <w:tab w:val="left" w:pos="1701"/>
        </w:tabs>
        <w:rPr>
          <w:rFonts w:eastAsia="PMingLiU"/>
          <w:szCs w:val="24"/>
        </w:rPr>
      </w:pPr>
      <w:r w:rsidRPr="00FC6CC1">
        <w:rPr>
          <w:rFonts w:eastAsia="PMingLiU"/>
          <w:szCs w:val="24"/>
        </w:rPr>
        <w:tab/>
        <w:t>TWC:</w:t>
      </w:r>
      <w:r w:rsidRPr="00FC6CC1">
        <w:rPr>
          <w:rFonts w:eastAsia="PMingLiU"/>
          <w:szCs w:val="24"/>
        </w:rPr>
        <w:tab/>
        <w:t>Technical Working Party on Automation and Computer Programs</w:t>
      </w:r>
    </w:p>
    <w:p w:rsidR="00BF1A76" w:rsidRPr="00FC6CC1" w:rsidRDefault="00BF1A76" w:rsidP="00BF1A76">
      <w:pPr>
        <w:keepNext/>
        <w:tabs>
          <w:tab w:val="left" w:pos="567"/>
          <w:tab w:val="left" w:pos="1701"/>
        </w:tabs>
        <w:rPr>
          <w:rFonts w:eastAsia="PMingLiU"/>
          <w:szCs w:val="24"/>
        </w:rPr>
      </w:pPr>
      <w:r w:rsidRPr="00FC6CC1">
        <w:rPr>
          <w:rFonts w:eastAsia="PMingLiU"/>
          <w:szCs w:val="24"/>
        </w:rPr>
        <w:tab/>
        <w:t xml:space="preserve">TWF: </w:t>
      </w:r>
      <w:r w:rsidRPr="00FC6CC1">
        <w:rPr>
          <w:rFonts w:eastAsia="PMingLiU"/>
          <w:szCs w:val="24"/>
        </w:rPr>
        <w:tab/>
        <w:t>Technical Working Party for Fruit Crops</w:t>
      </w:r>
    </w:p>
    <w:p w:rsidR="00BF1A76" w:rsidRPr="00FC6CC1" w:rsidRDefault="00BF1A76" w:rsidP="00BF1A76">
      <w:pPr>
        <w:keepNext/>
        <w:tabs>
          <w:tab w:val="left" w:pos="567"/>
          <w:tab w:val="left" w:pos="1701"/>
        </w:tabs>
        <w:rPr>
          <w:rFonts w:eastAsia="PMingLiU"/>
          <w:szCs w:val="24"/>
        </w:rPr>
      </w:pPr>
      <w:r w:rsidRPr="00FC6CC1">
        <w:rPr>
          <w:rFonts w:eastAsia="PMingLiU"/>
          <w:szCs w:val="24"/>
        </w:rPr>
        <w:tab/>
        <w:t>TWO:</w:t>
      </w:r>
      <w:r w:rsidRPr="00FC6CC1">
        <w:rPr>
          <w:rFonts w:eastAsia="PMingLiU"/>
          <w:szCs w:val="24"/>
        </w:rPr>
        <w:tab/>
        <w:t>Technical Working Party for Ornamental Plants and Forest Trees</w:t>
      </w:r>
    </w:p>
    <w:p w:rsidR="00BF1A76" w:rsidRPr="00FC6CC1" w:rsidRDefault="00BF1A76" w:rsidP="00BF1A76">
      <w:pPr>
        <w:keepNext/>
        <w:tabs>
          <w:tab w:val="left" w:pos="567"/>
          <w:tab w:val="left" w:pos="1701"/>
        </w:tabs>
        <w:rPr>
          <w:rFonts w:eastAsia="PMingLiU"/>
          <w:szCs w:val="24"/>
        </w:rPr>
      </w:pPr>
      <w:r w:rsidRPr="00FC6CC1">
        <w:rPr>
          <w:rFonts w:eastAsia="PMingLiU"/>
          <w:szCs w:val="24"/>
        </w:rPr>
        <w:tab/>
        <w:t>TWPs:</w:t>
      </w:r>
      <w:r w:rsidRPr="00FC6CC1">
        <w:rPr>
          <w:rFonts w:eastAsia="PMingLiU"/>
          <w:szCs w:val="24"/>
        </w:rPr>
        <w:tab/>
        <w:t>Technical Working Parties</w:t>
      </w:r>
    </w:p>
    <w:p w:rsidR="00BF1A76" w:rsidRDefault="00BF1A76" w:rsidP="00BF1A76">
      <w:pPr>
        <w:keepNext/>
        <w:tabs>
          <w:tab w:val="left" w:pos="567"/>
          <w:tab w:val="left" w:pos="1701"/>
        </w:tabs>
        <w:rPr>
          <w:rFonts w:eastAsia="PMingLiU"/>
          <w:szCs w:val="24"/>
        </w:rPr>
      </w:pPr>
      <w:r w:rsidRPr="00FC6CC1">
        <w:rPr>
          <w:rFonts w:eastAsia="PMingLiU"/>
          <w:szCs w:val="24"/>
        </w:rPr>
        <w:tab/>
        <w:t>TWV:</w:t>
      </w:r>
      <w:r w:rsidRPr="00FC6CC1">
        <w:rPr>
          <w:rFonts w:eastAsia="PMingLiU"/>
          <w:szCs w:val="24"/>
        </w:rPr>
        <w:tab/>
        <w:t>Technical Working Party for Vegetables</w:t>
      </w:r>
    </w:p>
    <w:p w:rsidR="00BF1A76" w:rsidRDefault="00BF1A76" w:rsidP="00BF1A76">
      <w:pPr>
        <w:tabs>
          <w:tab w:val="left" w:pos="567"/>
          <w:tab w:val="left" w:pos="1701"/>
        </w:tabs>
        <w:rPr>
          <w:rFonts w:eastAsia="PMingLiU"/>
          <w:szCs w:val="24"/>
        </w:rPr>
      </w:pPr>
    </w:p>
    <w:p w:rsidR="00BF1A76" w:rsidRDefault="00BF1A76" w:rsidP="00BF1A76">
      <w:pPr>
        <w:tabs>
          <w:tab w:val="left" w:pos="567"/>
          <w:tab w:val="left" w:pos="1701"/>
        </w:tabs>
        <w:rPr>
          <w:rFonts w:eastAsia="PMingLiU"/>
          <w:szCs w:val="24"/>
        </w:rPr>
      </w:pPr>
    </w:p>
    <w:p w:rsidR="00B16331" w:rsidRDefault="00B16331" w:rsidP="00B16331">
      <w:pPr>
        <w:pStyle w:val="Heading1"/>
        <w:rPr>
          <w:rFonts w:eastAsia="PMingLiU"/>
          <w:szCs w:val="24"/>
        </w:rPr>
      </w:pPr>
      <w:bookmarkStart w:id="5" w:name="_Toc409765445"/>
      <w:r w:rsidRPr="00FC6CC1">
        <w:t>Matters for information and for a possible decision to be taken by the Technical Committee (TC)</w:t>
      </w:r>
      <w:bookmarkEnd w:id="5"/>
    </w:p>
    <w:p w:rsidR="00B16331" w:rsidRDefault="00B16331" w:rsidP="00BF1A76">
      <w:pPr>
        <w:tabs>
          <w:tab w:val="left" w:pos="567"/>
          <w:tab w:val="left" w:pos="1701"/>
        </w:tabs>
        <w:rPr>
          <w:rFonts w:eastAsia="PMingLiU"/>
          <w:szCs w:val="24"/>
        </w:rPr>
      </w:pPr>
    </w:p>
    <w:p w:rsidR="00B16331" w:rsidRDefault="00B16331" w:rsidP="00BF1A76">
      <w:pPr>
        <w:tabs>
          <w:tab w:val="left" w:pos="567"/>
          <w:tab w:val="left" w:pos="1701"/>
        </w:tabs>
        <w:rPr>
          <w:rFonts w:eastAsia="PMingLiU"/>
          <w:szCs w:val="24"/>
        </w:rPr>
      </w:pPr>
      <w:r>
        <w:rPr>
          <w:rFonts w:eastAsia="PMingLiU"/>
          <w:szCs w:val="24"/>
        </w:rPr>
        <w:fldChar w:fldCharType="begin"/>
      </w:r>
      <w:r>
        <w:rPr>
          <w:rFonts w:eastAsia="PMingLiU"/>
          <w:szCs w:val="24"/>
        </w:rPr>
        <w:instrText xml:space="preserve"> AUTONUM  </w:instrText>
      </w:r>
      <w:r>
        <w:rPr>
          <w:rFonts w:eastAsia="PMingLiU"/>
          <w:szCs w:val="24"/>
        </w:rPr>
        <w:fldChar w:fldCharType="end"/>
      </w:r>
      <w:r>
        <w:rPr>
          <w:rFonts w:eastAsia="PMingLiU"/>
          <w:szCs w:val="24"/>
        </w:rPr>
        <w:tab/>
        <w:t>There are no matters for a decision by the Technical Committee at its fifty-first session.</w:t>
      </w:r>
    </w:p>
    <w:p w:rsidR="00B16331" w:rsidRDefault="00B16331" w:rsidP="00BF1A76">
      <w:pPr>
        <w:tabs>
          <w:tab w:val="left" w:pos="567"/>
          <w:tab w:val="left" w:pos="1701"/>
        </w:tabs>
        <w:rPr>
          <w:rFonts w:eastAsia="PMingLiU"/>
          <w:szCs w:val="24"/>
        </w:rPr>
      </w:pPr>
    </w:p>
    <w:p w:rsidR="00B16331" w:rsidRDefault="00B16331" w:rsidP="00BF1A76">
      <w:pPr>
        <w:tabs>
          <w:tab w:val="left" w:pos="567"/>
          <w:tab w:val="left" w:pos="1701"/>
        </w:tabs>
        <w:rPr>
          <w:rFonts w:eastAsia="PMingLiU"/>
          <w:szCs w:val="24"/>
        </w:rPr>
      </w:pPr>
    </w:p>
    <w:p w:rsidR="0071062E" w:rsidRPr="0072379E" w:rsidRDefault="0071062E" w:rsidP="0071062E">
      <w:pPr>
        <w:pStyle w:val="Heading1"/>
      </w:pPr>
      <w:bookmarkStart w:id="6" w:name="_Toc409765446"/>
      <w:r w:rsidRPr="0072379E">
        <w:t>Matters for information</w:t>
      </w:r>
      <w:bookmarkEnd w:id="6"/>
    </w:p>
    <w:p w:rsidR="00BF1A76" w:rsidRDefault="00BF1A76" w:rsidP="00BF1A76">
      <w:pPr>
        <w:ind w:firstLine="567"/>
        <w:rPr>
          <w:i/>
        </w:rPr>
      </w:pPr>
    </w:p>
    <w:p w:rsidR="003E606F" w:rsidRPr="000F039B" w:rsidRDefault="003E606F" w:rsidP="003E606F">
      <w:pPr>
        <w:pStyle w:val="Heading2"/>
      </w:pPr>
      <w:bookmarkStart w:id="7" w:name="_Toc409765447"/>
      <w:r w:rsidRPr="000F039B">
        <w:t>Duration of DUS tests in the fruit sector</w:t>
      </w:r>
      <w:bookmarkEnd w:id="7"/>
    </w:p>
    <w:p w:rsidR="003E606F" w:rsidRPr="00653DEB" w:rsidRDefault="003E606F" w:rsidP="003E606F"/>
    <w:p w:rsidR="003E606F" w:rsidRPr="00653DEB" w:rsidRDefault="003E606F" w:rsidP="003E606F">
      <w:r w:rsidRPr="00653DEB">
        <w:fldChar w:fldCharType="begin"/>
      </w:r>
      <w:r w:rsidRPr="00653DEB">
        <w:instrText xml:space="preserve"> AUTONUM  </w:instrText>
      </w:r>
      <w:r w:rsidRPr="00653DEB">
        <w:fldChar w:fldCharType="end"/>
      </w:r>
      <w:r w:rsidRPr="00653DEB">
        <w:tab/>
        <w:t>The TWF</w:t>
      </w:r>
      <w:r w:rsidR="007A11E3">
        <w:t>, at its forty-fifth session,</w:t>
      </w:r>
      <w:r w:rsidRPr="00653DEB">
        <w:t xml:space="preserve"> considered document TWF/45/27 </w:t>
      </w:r>
      <w:r w:rsidR="007E761F">
        <w:t>“</w:t>
      </w:r>
      <w:r w:rsidR="007E761F" w:rsidRPr="007E761F">
        <w:t>Use of Disease Resistance Characteristics in DUS Examination</w:t>
      </w:r>
      <w:r w:rsidR="007E761F">
        <w:t xml:space="preserve">” </w:t>
      </w:r>
      <w:r w:rsidRPr="00653DEB">
        <w:t>presented by an expert from the European Union</w:t>
      </w:r>
      <w:r>
        <w:t xml:space="preserve"> in </w:t>
      </w:r>
      <w:r w:rsidRPr="00653DEB">
        <w:t>relation to the duration of DUS test in the fruit sector.</w:t>
      </w:r>
    </w:p>
    <w:p w:rsidR="003E606F" w:rsidRPr="00653DEB" w:rsidRDefault="003E606F" w:rsidP="003E606F"/>
    <w:p w:rsidR="003E606F" w:rsidRPr="00653DEB" w:rsidRDefault="003E606F" w:rsidP="003E606F">
      <w:r w:rsidRPr="00653DEB">
        <w:fldChar w:fldCharType="begin"/>
      </w:r>
      <w:r w:rsidRPr="00653DEB">
        <w:instrText xml:space="preserve"> AUTONUM  </w:instrText>
      </w:r>
      <w:r w:rsidRPr="00653DEB">
        <w:fldChar w:fldCharType="end"/>
      </w:r>
      <w:r w:rsidRPr="00653DEB">
        <w:tab/>
        <w:t xml:space="preserve">The TWF received a presentation </w:t>
      </w:r>
      <w:r w:rsidR="007E761F">
        <w:t>by</w:t>
      </w:r>
      <w:r w:rsidRPr="00653DEB">
        <w:t xml:space="preserve"> an expert from the European Union on a </w:t>
      </w:r>
      <w:r>
        <w:t>project</w:t>
      </w:r>
      <w:r w:rsidR="007E761F">
        <w:t xml:space="preserve"> of the </w:t>
      </w:r>
      <w:r w:rsidR="007E761F" w:rsidRPr="001B6393">
        <w:rPr>
          <w:rFonts w:cs="Arial"/>
        </w:rPr>
        <w:t>Community Plant Variety Office</w:t>
      </w:r>
      <w:r w:rsidR="007E761F">
        <w:rPr>
          <w:rFonts w:cs="Arial"/>
        </w:rPr>
        <w:t xml:space="preserve"> (CPVO)</w:t>
      </w:r>
      <w:r w:rsidRPr="00653DEB">
        <w:t xml:space="preserve"> </w:t>
      </w:r>
      <w:r w:rsidR="00091A4C">
        <w:t xml:space="preserve">of the European Union </w:t>
      </w:r>
      <w:r w:rsidRPr="00653DEB">
        <w:t>on “</w:t>
      </w:r>
      <w:r w:rsidRPr="00653DEB">
        <w:rPr>
          <w:lang w:val="en-GB"/>
        </w:rPr>
        <w:t xml:space="preserve">Reducing the number of obligatory observation periods in DUS testing for candidate varieties in the fruit sector”. A copy of the presentation is reproduced in document </w:t>
      </w:r>
      <w:r w:rsidRPr="00653DEB">
        <w:t>TWF/45/27 Ad</w:t>
      </w:r>
      <w:r>
        <w:t>d</w:t>
      </w:r>
      <w:r w:rsidRPr="00653DEB">
        <w:t>.</w:t>
      </w:r>
    </w:p>
    <w:p w:rsidR="003E606F" w:rsidRPr="00653DEB" w:rsidRDefault="003E606F" w:rsidP="003E606F"/>
    <w:p w:rsidR="0071062E" w:rsidRDefault="003E606F" w:rsidP="00B16331">
      <w:r w:rsidRPr="00653DEB">
        <w:fldChar w:fldCharType="begin"/>
      </w:r>
      <w:r w:rsidRPr="00653DEB">
        <w:instrText xml:space="preserve"> AUTONUM  </w:instrText>
      </w:r>
      <w:r w:rsidRPr="00653DEB">
        <w:fldChar w:fldCharType="end"/>
      </w:r>
      <w:r w:rsidRPr="00653DEB">
        <w:tab/>
        <w:t xml:space="preserve">The TWF </w:t>
      </w:r>
      <w:r>
        <w:t>agreed that</w:t>
      </w:r>
      <w:r w:rsidRPr="00653DEB">
        <w:t xml:space="preserve"> the </w:t>
      </w:r>
      <w:r>
        <w:t xml:space="preserve">standard </w:t>
      </w:r>
      <w:r w:rsidRPr="00653DEB">
        <w:t xml:space="preserve">wording currently used in </w:t>
      </w:r>
      <w:r>
        <w:t xml:space="preserve">some fruit </w:t>
      </w:r>
      <w:r w:rsidRPr="00653DEB">
        <w:t>Test Guidelines with regard to minimum duration period and the number of growing cycle</w:t>
      </w:r>
      <w:r>
        <w:t>s,</w:t>
      </w:r>
      <w:r w:rsidRPr="00653DEB">
        <w:t xml:space="preserve"> might be </w:t>
      </w:r>
      <w:r>
        <w:t>improved</w:t>
      </w:r>
      <w:r w:rsidRPr="00653DEB">
        <w:t xml:space="preserve"> in some cases. It therefore requested</w:t>
      </w:r>
      <w:r>
        <w:t xml:space="preserve"> the leading experts to propose suitable wording for their draft Test Guidelines in 2015 and requested</w:t>
      </w:r>
      <w:r w:rsidRPr="00653DEB">
        <w:t xml:space="preserve"> the expert from the European Union to</w:t>
      </w:r>
      <w:r>
        <w:t xml:space="preserve"> collate the options developed by the leading experts and to seek to develop possible new standard wording options </w:t>
      </w:r>
      <w:r>
        <w:rPr>
          <w:rFonts w:cs="Arial"/>
        </w:rPr>
        <w:t xml:space="preserve">(see </w:t>
      </w:r>
      <w:r>
        <w:t>document TWF/45/32 “Report”, paragraphs 74 to 76).</w:t>
      </w:r>
      <w:r w:rsidR="00091A4C">
        <w:t xml:space="preserve"> </w:t>
      </w:r>
    </w:p>
    <w:p w:rsidR="00B16331" w:rsidRDefault="00B16331" w:rsidP="00B16331"/>
    <w:p w:rsidR="00B16331" w:rsidRPr="00897EDD" w:rsidRDefault="00B16331" w:rsidP="00B16331">
      <w:pPr>
        <w:rPr>
          <w:i/>
        </w:rPr>
      </w:pPr>
    </w:p>
    <w:p w:rsidR="00CF4AF9" w:rsidRPr="00142558" w:rsidRDefault="00CF4AF9" w:rsidP="000F039B">
      <w:pPr>
        <w:pStyle w:val="Heading2"/>
      </w:pPr>
      <w:bookmarkStart w:id="8" w:name="_Toc409765448"/>
      <w:r w:rsidRPr="00142558">
        <w:t>Use of disease resistance characteristics in DUS examination</w:t>
      </w:r>
      <w:bookmarkEnd w:id="8"/>
    </w:p>
    <w:p w:rsidR="00CF4AF9" w:rsidRPr="00142558" w:rsidRDefault="00CF4AF9" w:rsidP="00E543E8"/>
    <w:p w:rsidR="00CF4AF9" w:rsidRPr="00142558" w:rsidRDefault="00CF4AF9" w:rsidP="00E543E8">
      <w:pPr>
        <w:autoSpaceDE w:val="0"/>
        <w:autoSpaceDN w:val="0"/>
        <w:adjustRightInd w:val="0"/>
      </w:pPr>
      <w:r w:rsidRPr="00142558">
        <w:fldChar w:fldCharType="begin"/>
      </w:r>
      <w:r w:rsidRPr="00142558">
        <w:instrText xml:space="preserve"> AUTONUM  </w:instrText>
      </w:r>
      <w:r w:rsidRPr="00142558">
        <w:fldChar w:fldCharType="end"/>
      </w:r>
      <w:r w:rsidRPr="00142558">
        <w:tab/>
        <w:t>The TWV</w:t>
      </w:r>
      <w:r w:rsidR="00EA5E5D">
        <w:t xml:space="preserve">, at its forty-eighth session, </w:t>
      </w:r>
      <w:r w:rsidRPr="00142558">
        <w:t xml:space="preserve">received presentations by an expert from the European Union on “the use of disease resistance characteristics in DUS examination”, an expert from </w:t>
      </w:r>
      <w:r w:rsidR="00EA5E5D">
        <w:t>the European Seed Association (</w:t>
      </w:r>
      <w:r w:rsidRPr="00142558">
        <w:t>ESA</w:t>
      </w:r>
      <w:r w:rsidR="00EA5E5D">
        <w:t>)</w:t>
      </w:r>
      <w:r w:rsidRPr="00142558">
        <w:t xml:space="preserve"> on “survey – CPVO vegetable protocols disease resistance” and an expert form Italy on “an overview on resistance tests on vegetable varieties in Italy”, copies of which are reproduced in document TWV/48/27 Add.</w:t>
      </w:r>
    </w:p>
    <w:p w:rsidR="00CF4AF9" w:rsidRPr="00142558" w:rsidRDefault="00CF4AF9" w:rsidP="00E543E8"/>
    <w:p w:rsidR="00CF4AF9" w:rsidRPr="00142558" w:rsidRDefault="00CF4AF9" w:rsidP="00E543E8">
      <w:r w:rsidRPr="00142558">
        <w:fldChar w:fldCharType="begin"/>
      </w:r>
      <w:r w:rsidRPr="00142558">
        <w:instrText xml:space="preserve"> AUTONUM  </w:instrText>
      </w:r>
      <w:r w:rsidRPr="00142558">
        <w:fldChar w:fldCharType="end"/>
      </w:r>
      <w:r w:rsidRPr="00142558">
        <w:tab/>
        <w:t>The TWV agreed on the importance and the value of disease resistance characteristics in UPOV Test</w:t>
      </w:r>
      <w:r>
        <w:t> </w:t>
      </w:r>
      <w:r w:rsidRPr="00142558">
        <w:t>Guidelines. It further agreed that particular care should be taken when revising or drafting Test Guidelines for disease resistance characteristics to ensure that a clear and complete method (e.g. availability of the isolate) is provided.</w:t>
      </w:r>
    </w:p>
    <w:p w:rsidR="00CF4AF9" w:rsidRPr="00142558" w:rsidRDefault="00CF4AF9" w:rsidP="00E543E8"/>
    <w:p w:rsidR="00CF4AF9" w:rsidRPr="00142558" w:rsidRDefault="00CF4AF9" w:rsidP="00E543E8">
      <w:pPr>
        <w:autoSpaceDE w:val="0"/>
        <w:autoSpaceDN w:val="0"/>
        <w:adjustRightInd w:val="0"/>
      </w:pPr>
      <w:r w:rsidRPr="00142558">
        <w:fldChar w:fldCharType="begin"/>
      </w:r>
      <w:r w:rsidRPr="00142558">
        <w:instrText xml:space="preserve"> AUTONUM  </w:instrText>
      </w:r>
      <w:r w:rsidRPr="00142558">
        <w:fldChar w:fldCharType="end"/>
      </w:r>
      <w:r w:rsidRPr="00142558">
        <w:tab/>
        <w:t>The TWV recalled that asterisked characteristics are “characteristics that are important for the international harmonization of variety descriptions” (see document TGP/7, GN 13, as reproduced below), and recalled that the Test Guidelines needed to be agreed by all members of the Union, including the selection of asterisked characteristics.</w:t>
      </w:r>
    </w:p>
    <w:p w:rsidR="0071062E" w:rsidRPr="00142558" w:rsidRDefault="0071062E" w:rsidP="00CF4AF9">
      <w:pPr>
        <w:autoSpaceDE w:val="0"/>
        <w:autoSpaceDN w:val="0"/>
        <w:adjustRightInd w:val="0"/>
        <w:ind w:right="-425"/>
      </w:pPr>
    </w:p>
    <w:p w:rsidR="00CF4AF9" w:rsidRPr="00745649" w:rsidRDefault="00CF4AF9" w:rsidP="001604A0">
      <w:pPr>
        <w:keepNext/>
        <w:ind w:left="567"/>
        <w:rPr>
          <w:i/>
          <w:sz w:val="18"/>
        </w:rPr>
      </w:pPr>
      <w:bookmarkStart w:id="9" w:name="_Toc309114909"/>
      <w:r w:rsidRPr="00745649">
        <w:rPr>
          <w:i/>
          <w:sz w:val="18"/>
        </w:rPr>
        <w:lastRenderedPageBreak/>
        <w:t>“GN 13</w:t>
      </w:r>
      <w:r w:rsidRPr="00745649">
        <w:rPr>
          <w:i/>
          <w:sz w:val="18"/>
        </w:rPr>
        <w:tab/>
        <w:t>Characteristics with specific functions</w:t>
      </w:r>
      <w:bookmarkEnd w:id="9"/>
    </w:p>
    <w:p w:rsidR="00CF4AF9" w:rsidRPr="00745649" w:rsidRDefault="00CF4AF9" w:rsidP="001604A0">
      <w:pPr>
        <w:keepNext/>
        <w:ind w:left="567"/>
        <w:rPr>
          <w:i/>
          <w:sz w:val="18"/>
        </w:rPr>
      </w:pPr>
      <w:bookmarkStart w:id="10" w:name="_Toc226858768"/>
      <w:bookmarkStart w:id="11" w:name="_Toc309114910"/>
    </w:p>
    <w:p w:rsidR="00CF4AF9" w:rsidRPr="00745649" w:rsidRDefault="00CF4AF9" w:rsidP="001604A0">
      <w:pPr>
        <w:keepNext/>
        <w:ind w:left="567"/>
        <w:rPr>
          <w:i/>
          <w:sz w:val="18"/>
          <w:u w:val="single"/>
        </w:rPr>
      </w:pPr>
      <w:r w:rsidRPr="00745649">
        <w:rPr>
          <w:i/>
          <w:sz w:val="18"/>
          <w:u w:val="single"/>
        </w:rPr>
        <w:t>“1.</w:t>
      </w:r>
      <w:r w:rsidRPr="00745649">
        <w:rPr>
          <w:i/>
          <w:sz w:val="18"/>
          <w:u w:val="single"/>
        </w:rPr>
        <w:tab/>
        <w:t>Asterisked characteristics (TG Template:  Chapter 7:  column 1, header row 2)</w:t>
      </w:r>
      <w:bookmarkEnd w:id="10"/>
      <w:bookmarkEnd w:id="11"/>
    </w:p>
    <w:p w:rsidR="00CF4AF9" w:rsidRPr="00745649" w:rsidRDefault="00CF4AF9" w:rsidP="001604A0">
      <w:pPr>
        <w:keepNext/>
        <w:ind w:left="567"/>
        <w:rPr>
          <w:i/>
          <w:sz w:val="18"/>
        </w:rPr>
      </w:pPr>
    </w:p>
    <w:p w:rsidR="00CF4AF9" w:rsidRPr="00142558" w:rsidRDefault="00CF4AF9" w:rsidP="00745649">
      <w:pPr>
        <w:ind w:left="567" w:right="567"/>
        <w:rPr>
          <w:sz w:val="18"/>
          <w:szCs w:val="18"/>
        </w:rPr>
      </w:pPr>
      <w:r w:rsidRPr="00142558">
        <w:rPr>
          <w:sz w:val="18"/>
          <w:szCs w:val="18"/>
        </w:rPr>
        <w:t>“1.1</w:t>
      </w:r>
      <w:r w:rsidRPr="00142558">
        <w:rPr>
          <w:sz w:val="18"/>
          <w:szCs w:val="18"/>
        </w:rPr>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w:t>
      </w:r>
    </w:p>
    <w:p w:rsidR="00CF4AF9" w:rsidRPr="00142558" w:rsidRDefault="00CF4AF9" w:rsidP="00745649">
      <w:pPr>
        <w:ind w:left="567" w:right="567"/>
        <w:rPr>
          <w:sz w:val="18"/>
          <w:szCs w:val="18"/>
        </w:rPr>
      </w:pPr>
    </w:p>
    <w:p w:rsidR="00CF4AF9" w:rsidRPr="00142558" w:rsidRDefault="00CF4AF9" w:rsidP="00745649">
      <w:pPr>
        <w:ind w:left="567" w:right="567"/>
        <w:rPr>
          <w:sz w:val="18"/>
          <w:szCs w:val="18"/>
        </w:rPr>
      </w:pPr>
      <w:r w:rsidRPr="00142558">
        <w:rPr>
          <w:sz w:val="18"/>
          <w:szCs w:val="18"/>
        </w:rPr>
        <w:t>“(</w:t>
      </w:r>
      <w:proofErr w:type="gramStart"/>
      <w:r w:rsidRPr="00142558">
        <w:rPr>
          <w:sz w:val="18"/>
          <w:szCs w:val="18"/>
        </w:rPr>
        <w:t>a</w:t>
      </w:r>
      <w:proofErr w:type="gramEnd"/>
      <w:r w:rsidRPr="00142558">
        <w:rPr>
          <w:sz w:val="18"/>
          <w:szCs w:val="18"/>
        </w:rPr>
        <w:t>)</w:t>
      </w:r>
      <w:r w:rsidRPr="00142558">
        <w:rPr>
          <w:sz w:val="18"/>
          <w:szCs w:val="18"/>
        </w:rPr>
        <w:tab/>
        <w:t>it must be a characteristic included in the Test Guidelines;</w:t>
      </w:r>
    </w:p>
    <w:p w:rsidR="00CF4AF9" w:rsidRPr="00142558" w:rsidRDefault="00CF4AF9" w:rsidP="00745649">
      <w:pPr>
        <w:ind w:left="567" w:right="567" w:hanging="992"/>
        <w:rPr>
          <w:sz w:val="18"/>
          <w:szCs w:val="18"/>
        </w:rPr>
      </w:pPr>
    </w:p>
    <w:p w:rsidR="00CF4AF9" w:rsidRPr="00142558" w:rsidRDefault="00CF4AF9" w:rsidP="00745649">
      <w:pPr>
        <w:ind w:left="567" w:right="567"/>
        <w:rPr>
          <w:sz w:val="18"/>
          <w:szCs w:val="18"/>
        </w:rPr>
      </w:pPr>
      <w:r w:rsidRPr="00142558">
        <w:rPr>
          <w:sz w:val="18"/>
          <w:szCs w:val="18"/>
        </w:rPr>
        <w:t>“(b)</w:t>
      </w:r>
      <w:r w:rsidRPr="00142558">
        <w:rPr>
          <w:sz w:val="18"/>
          <w:szCs w:val="18"/>
        </w:rPr>
        <w:tab/>
        <w:t>it should always be examined for DUS and included in the variety description by all members of the Union except when the state of expression of a preceding characteristic or regional environmental conditions render this inappropriate;</w:t>
      </w:r>
    </w:p>
    <w:p w:rsidR="00CF4AF9" w:rsidRPr="00142558" w:rsidRDefault="00CF4AF9" w:rsidP="00745649">
      <w:pPr>
        <w:ind w:left="567" w:right="567" w:hanging="992"/>
        <w:rPr>
          <w:sz w:val="18"/>
          <w:szCs w:val="18"/>
        </w:rPr>
      </w:pPr>
    </w:p>
    <w:p w:rsidR="00CF4AF9" w:rsidRPr="00142558" w:rsidRDefault="00CF4AF9" w:rsidP="00745649">
      <w:pPr>
        <w:ind w:left="567" w:right="567"/>
        <w:rPr>
          <w:sz w:val="18"/>
          <w:szCs w:val="18"/>
        </w:rPr>
      </w:pPr>
      <w:r w:rsidRPr="00142558">
        <w:rPr>
          <w:sz w:val="18"/>
          <w:szCs w:val="18"/>
        </w:rPr>
        <w:t>“(c)</w:t>
      </w:r>
      <w:r w:rsidRPr="00142558">
        <w:rPr>
          <w:sz w:val="18"/>
          <w:szCs w:val="18"/>
        </w:rPr>
        <w:tab/>
      </w:r>
      <w:proofErr w:type="gramStart"/>
      <w:r w:rsidRPr="00142558">
        <w:rPr>
          <w:sz w:val="18"/>
          <w:szCs w:val="18"/>
        </w:rPr>
        <w:t>it</w:t>
      </w:r>
      <w:proofErr w:type="gramEnd"/>
      <w:r w:rsidRPr="00142558">
        <w:rPr>
          <w:sz w:val="18"/>
          <w:szCs w:val="18"/>
        </w:rPr>
        <w:t xml:space="preserve"> must be useful for the international harmonization of variety descriptions;</w:t>
      </w:r>
    </w:p>
    <w:p w:rsidR="00CF4AF9" w:rsidRPr="00142558" w:rsidRDefault="00CF4AF9" w:rsidP="00745649">
      <w:pPr>
        <w:ind w:left="567" w:right="567"/>
        <w:rPr>
          <w:sz w:val="18"/>
          <w:szCs w:val="18"/>
        </w:rPr>
      </w:pPr>
    </w:p>
    <w:p w:rsidR="00CF4AF9" w:rsidRPr="00142558" w:rsidRDefault="00CF4AF9" w:rsidP="00745649">
      <w:pPr>
        <w:ind w:left="567" w:right="567"/>
        <w:rPr>
          <w:sz w:val="18"/>
          <w:szCs w:val="18"/>
        </w:rPr>
      </w:pPr>
      <w:r w:rsidRPr="00142558">
        <w:rPr>
          <w:sz w:val="18"/>
          <w:szCs w:val="18"/>
        </w:rPr>
        <w:t>“(d)</w:t>
      </w:r>
      <w:r w:rsidRPr="00142558">
        <w:rPr>
          <w:sz w:val="18"/>
          <w:szCs w:val="18"/>
        </w:rPr>
        <w:tab/>
      </w:r>
      <w:proofErr w:type="gramStart"/>
      <w:r w:rsidRPr="00142558">
        <w:rPr>
          <w:sz w:val="18"/>
          <w:szCs w:val="18"/>
        </w:rPr>
        <w:t>particular</w:t>
      </w:r>
      <w:proofErr w:type="gramEnd"/>
      <w:r w:rsidRPr="00142558">
        <w:rPr>
          <w:sz w:val="18"/>
          <w:szCs w:val="18"/>
        </w:rPr>
        <w:t xml:space="preserve"> care should be taken before selection of disease resistance characteristics.</w:t>
      </w:r>
    </w:p>
    <w:p w:rsidR="00CF4AF9" w:rsidRPr="00142558" w:rsidRDefault="00CF4AF9" w:rsidP="00745649">
      <w:pPr>
        <w:ind w:left="567" w:right="567" w:hanging="992"/>
        <w:rPr>
          <w:sz w:val="18"/>
          <w:szCs w:val="18"/>
        </w:rPr>
      </w:pPr>
    </w:p>
    <w:p w:rsidR="00CF4AF9" w:rsidRPr="00142558" w:rsidRDefault="00CF4AF9" w:rsidP="00745649">
      <w:pPr>
        <w:ind w:left="567" w:right="567"/>
        <w:rPr>
          <w:sz w:val="18"/>
          <w:szCs w:val="18"/>
        </w:rPr>
      </w:pPr>
      <w:r w:rsidRPr="00142558">
        <w:rPr>
          <w:sz w:val="18"/>
          <w:szCs w:val="18"/>
        </w:rPr>
        <w:t>“1.2</w:t>
      </w:r>
      <w:r w:rsidRPr="00142558">
        <w:rPr>
          <w:sz w:val="18"/>
          <w:szCs w:val="18"/>
        </w:rPr>
        <w:tab/>
        <w:t>It should be clarified that criterion (b) is worded to ensure that members of the Union which are not able to examine the characteristic do not use this as a reason to object to the characteristic being agreed as an asterisked characteristic.  Thus, any characteristic which satisfies the criteria and, in particular, is useful for the international harmonization of variety descriptions should be selected as an asterisked characteristic, even if it cannot be examined for all varieties or by all members of the Union.  The upper limit on the number of asterisked characteristics should, therefore, be determined by the number which are required to provide useful internationally harmonized variety descriptions.”</w:t>
      </w:r>
    </w:p>
    <w:p w:rsidR="00CF4AF9" w:rsidRPr="00142558" w:rsidRDefault="00CF4AF9" w:rsidP="00CF4AF9">
      <w:pPr>
        <w:autoSpaceDE w:val="0"/>
        <w:autoSpaceDN w:val="0"/>
        <w:adjustRightInd w:val="0"/>
        <w:ind w:right="-425"/>
        <w:rPr>
          <w:sz w:val="18"/>
          <w:szCs w:val="18"/>
        </w:rPr>
      </w:pPr>
      <w:r w:rsidRPr="00142558">
        <w:rPr>
          <w:sz w:val="18"/>
          <w:szCs w:val="18"/>
        </w:rPr>
        <w:t xml:space="preserve"> </w:t>
      </w:r>
    </w:p>
    <w:p w:rsidR="00CF4AF9" w:rsidRPr="00142558" w:rsidRDefault="00CF4AF9" w:rsidP="00E543E8">
      <w:pPr>
        <w:autoSpaceDE w:val="0"/>
        <w:autoSpaceDN w:val="0"/>
        <w:adjustRightInd w:val="0"/>
      </w:pPr>
      <w:r w:rsidRPr="00142558">
        <w:fldChar w:fldCharType="begin"/>
      </w:r>
      <w:r w:rsidRPr="00142558">
        <w:instrText xml:space="preserve"> AUTONUM  </w:instrText>
      </w:r>
      <w:r w:rsidRPr="00142558">
        <w:fldChar w:fldCharType="end"/>
      </w:r>
      <w:r w:rsidRPr="00142558">
        <w:tab/>
        <w:t>The TWV agreed that it might be appropriate to review document TGP/7 to:  (a) introduce a delay before asterisked disease resistance characteristics need to be examined by all members of the Union;  and (b) provide guidance on additional uniformity standard for resistant plants in a susceptible variety</w:t>
      </w:r>
      <w:r w:rsidR="00E543E8">
        <w:t xml:space="preserve"> (see</w:t>
      </w:r>
      <w:r w:rsidR="000E3B16">
        <w:t> </w:t>
      </w:r>
      <w:r w:rsidR="00E543E8">
        <w:rPr>
          <w:color w:val="000000"/>
        </w:rPr>
        <w:t>document TWV/48/43 “Report”, paragraphs 85 to 88)</w:t>
      </w:r>
      <w:r w:rsidRPr="00142558">
        <w:t xml:space="preserve">. </w:t>
      </w:r>
    </w:p>
    <w:p w:rsidR="00CF4AF9" w:rsidRDefault="00CF4AF9" w:rsidP="00CF4AF9">
      <w:pPr>
        <w:ind w:right="-425"/>
      </w:pPr>
    </w:p>
    <w:p w:rsidR="00BF1A76" w:rsidRPr="001C28E8" w:rsidRDefault="00BF1A76" w:rsidP="00BF1A76">
      <w:pPr>
        <w:rPr>
          <w:caps/>
          <w:highlight w:val="yellow"/>
        </w:rPr>
      </w:pPr>
    </w:p>
    <w:p w:rsidR="00E32B2C" w:rsidRPr="00DB2525" w:rsidRDefault="00E32B2C" w:rsidP="00E32B2C">
      <w:pPr>
        <w:pStyle w:val="Heading2"/>
      </w:pPr>
      <w:bookmarkStart w:id="12" w:name="_Toc378176936"/>
      <w:bookmarkStart w:id="13" w:name="_Toc409765449"/>
      <w:r w:rsidRPr="00DB2525">
        <w:t>Data loggers</w:t>
      </w:r>
      <w:bookmarkEnd w:id="12"/>
      <w:bookmarkEnd w:id="13"/>
    </w:p>
    <w:p w:rsidR="00E32B2C" w:rsidRPr="00DB2525" w:rsidRDefault="00E32B2C" w:rsidP="00E32B2C">
      <w:pPr>
        <w:autoSpaceDE w:val="0"/>
        <w:autoSpaceDN w:val="0"/>
        <w:adjustRightInd w:val="0"/>
        <w:jc w:val="left"/>
        <w:rPr>
          <w:szCs w:val="24"/>
        </w:rPr>
      </w:pPr>
    </w:p>
    <w:p w:rsidR="00E32B2C" w:rsidRPr="00DB2525" w:rsidRDefault="00E32B2C" w:rsidP="00E32B2C">
      <w:pPr>
        <w:autoSpaceDE w:val="0"/>
        <w:autoSpaceDN w:val="0"/>
        <w:adjustRightInd w:val="0"/>
      </w:pPr>
      <w:r w:rsidRPr="00DB2525">
        <w:fldChar w:fldCharType="begin"/>
      </w:r>
      <w:r w:rsidRPr="00DB2525">
        <w:instrText xml:space="preserve"> AUTONUM  </w:instrText>
      </w:r>
      <w:r w:rsidRPr="00DB2525">
        <w:fldChar w:fldCharType="end"/>
      </w:r>
      <w:r w:rsidRPr="00DB2525">
        <w:tab/>
        <w:t xml:space="preserve">The TWC, at its thirty-second session, considered document TWC/32/27 </w:t>
      </w:r>
      <w:r w:rsidR="00271872">
        <w:t>“</w:t>
      </w:r>
      <w:r w:rsidR="00271872" w:rsidRPr="00271872">
        <w:t xml:space="preserve">Updated Survey on Hand-Held Capture Devices” </w:t>
      </w:r>
      <w:r w:rsidRPr="00DB2525">
        <w:t>and noted the summary of information provided by TWC participants on the use of data-loggers for data recording in DUS trials provided in Annex I to document TWC/32/27, which would be included in UPOV/INF/22 “Software and equipment used by members of the Union” subject to the adoption by the Council.</w:t>
      </w:r>
    </w:p>
    <w:p w:rsidR="00E32B2C" w:rsidRDefault="00E32B2C" w:rsidP="00E32B2C">
      <w:pPr>
        <w:autoSpaceDE w:val="0"/>
        <w:autoSpaceDN w:val="0"/>
        <w:adjustRightInd w:val="0"/>
      </w:pPr>
    </w:p>
    <w:p w:rsidR="00E32B2C" w:rsidRDefault="00E32B2C" w:rsidP="00E32B2C">
      <w:pPr>
        <w:autoSpaceDE w:val="0"/>
        <w:autoSpaceDN w:val="0"/>
        <w:adjustRightInd w:val="0"/>
      </w:pPr>
      <w:r w:rsidRPr="00DB2525">
        <w:fldChar w:fldCharType="begin"/>
      </w:r>
      <w:r w:rsidRPr="00DB2525">
        <w:instrText xml:space="preserve"> AUTONUM  </w:instrText>
      </w:r>
      <w:r w:rsidRPr="00DB2525">
        <w:fldChar w:fldCharType="end"/>
      </w:r>
      <w:r w:rsidRPr="00DB2525">
        <w:tab/>
        <w:t xml:space="preserve">The TWC received a presentation by an expert from Germany on the use of hand-held data capture devices in DUS tests in Germany, a copy of which is presented in Annex II to document TWC/32/27 </w:t>
      </w:r>
      <w:r w:rsidRPr="00DB2525">
        <w:rPr>
          <w:spacing w:val="-2"/>
        </w:rPr>
        <w:t>(see</w:t>
      </w:r>
      <w:r w:rsidR="00DF5ED0">
        <w:rPr>
          <w:spacing w:val="-2"/>
        </w:rPr>
        <w:t> </w:t>
      </w:r>
      <w:r w:rsidRPr="00DB2525">
        <w:rPr>
          <w:rFonts w:eastAsia="PMingLiU" w:cs="Arial"/>
          <w:szCs w:val="24"/>
        </w:rPr>
        <w:t>document</w:t>
      </w:r>
      <w:r w:rsidRPr="00DB2525">
        <w:t xml:space="preserve"> TWC/32/28 “Report”, paragraphs 99 to 102).</w:t>
      </w:r>
      <w:r>
        <w:t xml:space="preserve"> </w:t>
      </w:r>
    </w:p>
    <w:p w:rsidR="00E32B2C" w:rsidRPr="00BD5B6E" w:rsidRDefault="00E32B2C" w:rsidP="00E32B2C">
      <w:pPr>
        <w:autoSpaceDE w:val="0"/>
        <w:autoSpaceDN w:val="0"/>
        <w:adjustRightInd w:val="0"/>
      </w:pPr>
    </w:p>
    <w:p w:rsidR="00E32B2C" w:rsidRDefault="00E32B2C" w:rsidP="00E32B2C">
      <w:pPr>
        <w:rPr>
          <w:rFonts w:cs="Arial"/>
        </w:rPr>
      </w:pPr>
      <w:r>
        <w:fldChar w:fldCharType="begin"/>
      </w:r>
      <w:r>
        <w:instrText xml:space="preserve"> AUTONUM  </w:instrText>
      </w:r>
      <w:r>
        <w:fldChar w:fldCharType="end"/>
      </w:r>
      <w:r>
        <w:tab/>
      </w:r>
      <w:r>
        <w:rPr>
          <w:rFonts w:cs="Arial"/>
        </w:rPr>
        <w:t>Do</w:t>
      </w:r>
      <w:r w:rsidRPr="00E423D0">
        <w:rPr>
          <w:rFonts w:cs="Arial"/>
        </w:rPr>
        <w:t>cument TC/5</w:t>
      </w:r>
      <w:r>
        <w:rPr>
          <w:rFonts w:cs="Arial"/>
        </w:rPr>
        <w:t>1</w:t>
      </w:r>
      <w:r w:rsidRPr="00E423D0">
        <w:rPr>
          <w:rFonts w:cs="Arial"/>
        </w:rPr>
        <w:t>/</w:t>
      </w:r>
      <w:r>
        <w:rPr>
          <w:rFonts w:cs="Arial"/>
        </w:rPr>
        <w:t>8</w:t>
      </w:r>
      <w:r w:rsidRPr="00E423D0">
        <w:rPr>
          <w:rFonts w:cs="Arial"/>
        </w:rPr>
        <w:t xml:space="preserve"> “</w:t>
      </w:r>
      <w:r>
        <w:rPr>
          <w:rFonts w:cs="Arial"/>
        </w:rPr>
        <w:t>Exchange and use of software and equipment</w:t>
      </w:r>
      <w:r w:rsidRPr="00E423D0">
        <w:rPr>
          <w:rFonts w:cs="Arial"/>
        </w:rPr>
        <w:t>”</w:t>
      </w:r>
      <w:r>
        <w:rPr>
          <w:rFonts w:cs="Arial"/>
        </w:rPr>
        <w:t xml:space="preserve"> present</w:t>
      </w:r>
      <w:r w:rsidR="00B60B59">
        <w:rPr>
          <w:rFonts w:cs="Arial"/>
        </w:rPr>
        <w:t>s</w:t>
      </w:r>
      <w:r>
        <w:rPr>
          <w:rFonts w:cs="Arial"/>
        </w:rPr>
        <w:t xml:space="preserve"> a proposal for inclusion of information on </w:t>
      </w:r>
      <w:r w:rsidRPr="00DB2525">
        <w:t xml:space="preserve">the use of data-loggers for data recording in DUS trials </w:t>
      </w:r>
      <w:r>
        <w:t xml:space="preserve">in document </w:t>
      </w:r>
      <w:r w:rsidRPr="00DB2525">
        <w:t>UPOV/INF/22 “Software and equipment used by members of the Union”</w:t>
      </w:r>
      <w:r>
        <w:rPr>
          <w:rFonts w:cs="Arial"/>
        </w:rPr>
        <w:t>.</w:t>
      </w:r>
    </w:p>
    <w:p w:rsidR="000F039B" w:rsidRPr="001C28E8" w:rsidRDefault="000F039B" w:rsidP="00BF1A76">
      <w:pPr>
        <w:rPr>
          <w:caps/>
          <w:highlight w:val="yellow"/>
        </w:rPr>
      </w:pPr>
    </w:p>
    <w:p w:rsidR="00BF1A76" w:rsidRPr="00936DDD" w:rsidRDefault="00BF1A76" w:rsidP="00BF1A76">
      <w:pPr>
        <w:pStyle w:val="Heading2"/>
      </w:pPr>
      <w:bookmarkStart w:id="14" w:name="_Toc348535868"/>
      <w:bookmarkStart w:id="15" w:name="_Toc378176937"/>
      <w:bookmarkStart w:id="16" w:name="_Toc409765450"/>
      <w:r w:rsidRPr="00936DDD">
        <w:t>Experiences with new types and species</w:t>
      </w:r>
      <w:bookmarkEnd w:id="14"/>
      <w:bookmarkEnd w:id="15"/>
      <w:bookmarkEnd w:id="16"/>
    </w:p>
    <w:p w:rsidR="00BF1A76" w:rsidRDefault="00BF1A76" w:rsidP="00BF1A76"/>
    <w:p w:rsidR="00CF4AF9" w:rsidRDefault="00CF4AF9" w:rsidP="00CF4AF9">
      <w:pPr>
        <w:pStyle w:val="Heading3"/>
      </w:pPr>
      <w:bookmarkStart w:id="17" w:name="_Toc409765451"/>
      <w:r>
        <w:t>Technical Working Party for Ornamental Plants and Forest Trees</w:t>
      </w:r>
      <w:bookmarkEnd w:id="17"/>
    </w:p>
    <w:p w:rsidR="00CF4AF9" w:rsidRDefault="00CF4AF9" w:rsidP="00BF1A76"/>
    <w:p w:rsidR="00BF1A76" w:rsidRPr="00143E49" w:rsidRDefault="00BF1A76" w:rsidP="0072379E">
      <w:pPr>
        <w:rPr>
          <w:snapToGrid w:val="0"/>
        </w:rPr>
      </w:pPr>
      <w:r w:rsidRPr="0072379E">
        <w:rPr>
          <w:snapToGrid w:val="0"/>
        </w:rPr>
        <w:fldChar w:fldCharType="begin"/>
      </w:r>
      <w:r w:rsidRPr="0072379E">
        <w:rPr>
          <w:snapToGrid w:val="0"/>
        </w:rPr>
        <w:instrText xml:space="preserve"> AUTONUM  </w:instrText>
      </w:r>
      <w:r w:rsidRPr="0072379E">
        <w:rPr>
          <w:snapToGrid w:val="0"/>
        </w:rPr>
        <w:fldChar w:fldCharType="end"/>
      </w:r>
      <w:r w:rsidRPr="0072379E">
        <w:rPr>
          <w:snapToGrid w:val="0"/>
        </w:rPr>
        <w:tab/>
      </w:r>
      <w:r w:rsidR="00B16331">
        <w:rPr>
          <w:snapToGrid w:val="0"/>
        </w:rPr>
        <w:t>The</w:t>
      </w:r>
      <w:r w:rsidR="00271872">
        <w:rPr>
          <w:snapToGrid w:val="0"/>
        </w:rPr>
        <w:t xml:space="preserve"> TWO</w:t>
      </w:r>
      <w:r w:rsidR="00993700">
        <w:rPr>
          <w:snapToGrid w:val="0"/>
        </w:rPr>
        <w:t>,</w:t>
      </w:r>
      <w:r w:rsidR="00271872">
        <w:rPr>
          <w:snapToGrid w:val="0"/>
        </w:rPr>
        <w:t xml:space="preserve"> </w:t>
      </w:r>
      <w:r w:rsidR="00B16331">
        <w:rPr>
          <w:snapToGrid w:val="0"/>
        </w:rPr>
        <w:t>at its forty-seventh session, was informed by a</w:t>
      </w:r>
      <w:r w:rsidR="0072379E" w:rsidRPr="0072379E">
        <w:rPr>
          <w:snapToGrid w:val="0"/>
        </w:rPr>
        <w:t>n</w:t>
      </w:r>
      <w:r w:rsidR="00ED0F23" w:rsidRPr="0072379E">
        <w:t xml:space="preserve"> expert from New Zealand </w:t>
      </w:r>
      <w:r w:rsidR="00B16331">
        <w:t>that applications had been filed</w:t>
      </w:r>
      <w:r w:rsidR="00ED0F23" w:rsidRPr="0072379E">
        <w:t xml:space="preserve"> for the protection of new varieties of </w:t>
      </w:r>
      <w:proofErr w:type="spellStart"/>
      <w:r w:rsidR="00ED0F23" w:rsidRPr="0072379E">
        <w:rPr>
          <w:i/>
        </w:rPr>
        <w:t>Loropetalum</w:t>
      </w:r>
      <w:proofErr w:type="spellEnd"/>
      <w:r w:rsidR="00ED0F23" w:rsidRPr="0072379E">
        <w:t xml:space="preserve"> </w:t>
      </w:r>
      <w:r w:rsidRPr="0072379E">
        <w:rPr>
          <w:rFonts w:cs="Arial"/>
          <w:szCs w:val="24"/>
        </w:rPr>
        <w:t>(see</w:t>
      </w:r>
      <w:r w:rsidRPr="0072379E">
        <w:rPr>
          <w:rFonts w:eastAsia="PMingLiU" w:cs="Arial"/>
          <w:szCs w:val="24"/>
        </w:rPr>
        <w:t xml:space="preserve"> </w:t>
      </w:r>
      <w:r w:rsidRPr="0072379E">
        <w:t>document</w:t>
      </w:r>
      <w:r w:rsidRPr="0072379E">
        <w:rPr>
          <w:rFonts w:eastAsia="PMingLiU" w:cs="Arial"/>
          <w:szCs w:val="24"/>
        </w:rPr>
        <w:t> TWO/4</w:t>
      </w:r>
      <w:r w:rsidR="0072379E" w:rsidRPr="0072379E">
        <w:rPr>
          <w:rFonts w:eastAsia="PMingLiU" w:cs="Arial"/>
          <w:szCs w:val="24"/>
        </w:rPr>
        <w:t>7</w:t>
      </w:r>
      <w:r w:rsidRPr="0072379E">
        <w:rPr>
          <w:rFonts w:eastAsia="PMingLiU" w:cs="Arial"/>
          <w:szCs w:val="24"/>
        </w:rPr>
        <w:t>/2</w:t>
      </w:r>
      <w:r w:rsidR="0072379E" w:rsidRPr="0072379E">
        <w:rPr>
          <w:rFonts w:eastAsia="PMingLiU" w:cs="Arial"/>
          <w:szCs w:val="24"/>
        </w:rPr>
        <w:t>8</w:t>
      </w:r>
      <w:r w:rsidRPr="0072379E">
        <w:rPr>
          <w:rFonts w:eastAsia="PMingLiU" w:cs="Arial"/>
          <w:szCs w:val="24"/>
        </w:rPr>
        <w:t xml:space="preserve"> “Report”, paragraph </w:t>
      </w:r>
      <w:r w:rsidR="0072379E" w:rsidRPr="0072379E">
        <w:rPr>
          <w:rFonts w:eastAsia="PMingLiU" w:cs="Arial"/>
          <w:szCs w:val="24"/>
        </w:rPr>
        <w:t>70</w:t>
      </w:r>
      <w:r w:rsidRPr="0072379E">
        <w:rPr>
          <w:rFonts w:eastAsia="PMingLiU" w:cs="Arial"/>
          <w:szCs w:val="24"/>
        </w:rPr>
        <w:t>)</w:t>
      </w:r>
      <w:r w:rsidRPr="0072379E">
        <w:rPr>
          <w:rFonts w:cs="Arial"/>
        </w:rPr>
        <w:t>.</w:t>
      </w:r>
    </w:p>
    <w:p w:rsidR="00BF1A76" w:rsidRDefault="00BF1A76" w:rsidP="00BF1A76"/>
    <w:p w:rsidR="00CF4AF9" w:rsidRDefault="00CF4AF9" w:rsidP="00CF4AF9">
      <w:pPr>
        <w:pStyle w:val="Heading3"/>
      </w:pPr>
      <w:bookmarkStart w:id="18" w:name="_Toc409765452"/>
      <w:r>
        <w:t>Technical Working Party for Fruit Crops</w:t>
      </w:r>
      <w:bookmarkEnd w:id="18"/>
    </w:p>
    <w:p w:rsidR="00CF4AF9" w:rsidRDefault="00CF4AF9" w:rsidP="00BF1A76"/>
    <w:p w:rsidR="00256DED" w:rsidRPr="001D33DD" w:rsidRDefault="00256DED" w:rsidP="00CF4AF9">
      <w:r w:rsidRPr="001D33DD">
        <w:fldChar w:fldCharType="begin"/>
      </w:r>
      <w:r w:rsidRPr="001D33DD">
        <w:instrText xml:space="preserve"> AUTONUM  </w:instrText>
      </w:r>
      <w:r w:rsidRPr="001D33DD">
        <w:fldChar w:fldCharType="end"/>
      </w:r>
      <w:r w:rsidRPr="001D33DD">
        <w:tab/>
        <w:t xml:space="preserve">The TWF was informed by the expert from Spain about testing of </w:t>
      </w:r>
      <w:proofErr w:type="spellStart"/>
      <w:r w:rsidRPr="001D33DD">
        <w:rPr>
          <w:i/>
        </w:rPr>
        <w:t>Diosp</w:t>
      </w:r>
      <w:r>
        <w:rPr>
          <w:i/>
        </w:rPr>
        <w:t>y</w:t>
      </w:r>
      <w:r w:rsidRPr="001D33DD">
        <w:rPr>
          <w:i/>
        </w:rPr>
        <w:t>r</w:t>
      </w:r>
      <w:r>
        <w:rPr>
          <w:i/>
        </w:rPr>
        <w:t>o</w:t>
      </w:r>
      <w:r w:rsidRPr="001D33DD">
        <w:rPr>
          <w:i/>
        </w:rPr>
        <w:t>s</w:t>
      </w:r>
      <w:proofErr w:type="spellEnd"/>
      <w:r w:rsidRPr="001D33DD">
        <w:rPr>
          <w:i/>
        </w:rPr>
        <w:t> </w:t>
      </w:r>
      <w:r>
        <w:rPr>
          <w:i/>
        </w:rPr>
        <w:t xml:space="preserve">kaki </w:t>
      </w:r>
      <w:r>
        <w:t>(common name: </w:t>
      </w:r>
      <w:r w:rsidRPr="00C76632">
        <w:t>Persimmon)</w:t>
      </w:r>
      <w:r w:rsidRPr="001D33DD">
        <w:t xml:space="preserve">, </w:t>
      </w:r>
      <w:proofErr w:type="spellStart"/>
      <w:r w:rsidRPr="001D33DD">
        <w:rPr>
          <w:i/>
        </w:rPr>
        <w:t>Punica</w:t>
      </w:r>
      <w:proofErr w:type="spellEnd"/>
      <w:r w:rsidRPr="001D33DD">
        <w:rPr>
          <w:i/>
        </w:rPr>
        <w:t xml:space="preserve"> </w:t>
      </w:r>
      <w:proofErr w:type="spellStart"/>
      <w:r w:rsidRPr="001D33DD">
        <w:rPr>
          <w:i/>
        </w:rPr>
        <w:t>granatum</w:t>
      </w:r>
      <w:proofErr w:type="spellEnd"/>
      <w:r>
        <w:rPr>
          <w:i/>
        </w:rPr>
        <w:t xml:space="preserve"> </w:t>
      </w:r>
      <w:r>
        <w:t xml:space="preserve">(common name: </w:t>
      </w:r>
      <w:r w:rsidRPr="00C76632">
        <w:t>Pomegranate)</w:t>
      </w:r>
      <w:r w:rsidRPr="001D33DD">
        <w:t xml:space="preserve"> and </w:t>
      </w:r>
      <w:proofErr w:type="spellStart"/>
      <w:r w:rsidRPr="001D33DD">
        <w:rPr>
          <w:i/>
        </w:rPr>
        <w:t>Eriobotrya</w:t>
      </w:r>
      <w:proofErr w:type="spellEnd"/>
      <w:r w:rsidRPr="001D33DD">
        <w:rPr>
          <w:i/>
        </w:rPr>
        <w:t xml:space="preserve"> japonica</w:t>
      </w:r>
      <w:r>
        <w:rPr>
          <w:i/>
        </w:rPr>
        <w:t xml:space="preserve"> </w:t>
      </w:r>
      <w:r>
        <w:t>(common name: Loquat</w:t>
      </w:r>
      <w:r w:rsidRPr="00C76632">
        <w:t>)</w:t>
      </w:r>
      <w:r w:rsidRPr="001D33DD">
        <w:t>.  The expert from Spain agreed to make a presentation about those species at the TWF session in 2015.</w:t>
      </w:r>
    </w:p>
    <w:p w:rsidR="00256DED" w:rsidRPr="001D33DD" w:rsidRDefault="00256DED" w:rsidP="00CF4AF9"/>
    <w:p w:rsidR="00256DED" w:rsidRPr="001D33DD" w:rsidRDefault="00256DED" w:rsidP="00CF4AF9">
      <w:r w:rsidRPr="001D33DD">
        <w:lastRenderedPageBreak/>
        <w:fldChar w:fldCharType="begin"/>
      </w:r>
      <w:r w:rsidRPr="001D33DD">
        <w:instrText xml:space="preserve"> AUTONUM  </w:instrText>
      </w:r>
      <w:r w:rsidRPr="001D33DD">
        <w:fldChar w:fldCharType="end"/>
      </w:r>
      <w:r w:rsidRPr="001D33DD">
        <w:tab/>
        <w:t xml:space="preserve">The TWF was informed by the expert from Germany about testing of </w:t>
      </w:r>
      <w:proofErr w:type="spellStart"/>
      <w:r w:rsidRPr="001D33DD">
        <w:rPr>
          <w:i/>
        </w:rPr>
        <w:t>Lycium</w:t>
      </w:r>
      <w:proofErr w:type="spellEnd"/>
      <w:r w:rsidRPr="001D33DD">
        <w:rPr>
          <w:i/>
        </w:rPr>
        <w:t> </w:t>
      </w:r>
      <w:proofErr w:type="spellStart"/>
      <w:r w:rsidRPr="001D33DD">
        <w:rPr>
          <w:i/>
        </w:rPr>
        <w:t>barbarum</w:t>
      </w:r>
      <w:proofErr w:type="spellEnd"/>
      <w:r>
        <w:rPr>
          <w:i/>
        </w:rPr>
        <w:t xml:space="preserve"> </w:t>
      </w:r>
      <w:r w:rsidRPr="003D55D8">
        <w:t>(</w:t>
      </w:r>
      <w:r>
        <w:t xml:space="preserve">common name: Chinese Wolfberry, </w:t>
      </w:r>
      <w:proofErr w:type="spellStart"/>
      <w:r w:rsidRPr="00C76632">
        <w:t>Goji</w:t>
      </w:r>
      <w:proofErr w:type="spellEnd"/>
      <w:r w:rsidRPr="00C76632">
        <w:t xml:space="preserve"> berry</w:t>
      </w:r>
      <w:r>
        <w:t>)</w:t>
      </w:r>
      <w:r w:rsidRPr="001D33DD">
        <w:t>.  The expert from Germany agreed to make a presentation about that species at the TWF session in 2015.</w:t>
      </w:r>
    </w:p>
    <w:p w:rsidR="00256DED" w:rsidRPr="001D33DD" w:rsidRDefault="00256DED" w:rsidP="00CF4AF9"/>
    <w:p w:rsidR="00256DED" w:rsidRPr="001D33DD" w:rsidRDefault="00256DED" w:rsidP="00CF4AF9">
      <w:r w:rsidRPr="001D33DD">
        <w:fldChar w:fldCharType="begin"/>
      </w:r>
      <w:r w:rsidRPr="001D33DD">
        <w:instrText xml:space="preserve"> AUTONUM  </w:instrText>
      </w:r>
      <w:r w:rsidRPr="001D33DD">
        <w:fldChar w:fldCharType="end"/>
      </w:r>
      <w:r w:rsidRPr="001D33DD">
        <w:tab/>
        <w:t xml:space="preserve">The TWF was informed by the expert from the European Union about testing of blueberry medium chilling type.  The expert from the European Union agreed to make a presentation about that </w:t>
      </w:r>
      <w:r>
        <w:t xml:space="preserve">type </w:t>
      </w:r>
      <w:r w:rsidRPr="001D33DD">
        <w:t>at the TWF session in 2015.</w:t>
      </w:r>
    </w:p>
    <w:p w:rsidR="00256DED" w:rsidRPr="001D33DD" w:rsidRDefault="00256DED" w:rsidP="00256DED"/>
    <w:p w:rsidR="00256DED" w:rsidRPr="001D33DD" w:rsidRDefault="00256DED" w:rsidP="00256DED">
      <w:pPr>
        <w:pStyle w:val="Style1"/>
        <w:tabs>
          <w:tab w:val="clear" w:pos="907"/>
          <w:tab w:val="clear" w:pos="1077"/>
        </w:tabs>
        <w:rPr>
          <w:rFonts w:ascii="Arial" w:hAnsi="Arial" w:cs="Arial"/>
          <w:sz w:val="20"/>
          <w:szCs w:val="20"/>
        </w:rPr>
      </w:pPr>
      <w:r w:rsidRPr="001D33DD">
        <w:rPr>
          <w:rFonts w:ascii="Arial" w:hAnsi="Arial" w:cs="Arial"/>
          <w:sz w:val="20"/>
          <w:szCs w:val="20"/>
        </w:rPr>
        <w:fldChar w:fldCharType="begin"/>
      </w:r>
      <w:r w:rsidRPr="001D33DD">
        <w:rPr>
          <w:rFonts w:ascii="Arial" w:hAnsi="Arial" w:cs="Arial"/>
          <w:sz w:val="20"/>
          <w:szCs w:val="20"/>
        </w:rPr>
        <w:instrText xml:space="preserve"> AUTONUM  </w:instrText>
      </w:r>
      <w:r w:rsidRPr="001D33DD">
        <w:rPr>
          <w:rFonts w:ascii="Arial" w:hAnsi="Arial" w:cs="Arial"/>
          <w:sz w:val="20"/>
          <w:szCs w:val="20"/>
        </w:rPr>
        <w:fldChar w:fldCharType="end"/>
      </w:r>
      <w:r w:rsidRPr="001D33DD">
        <w:rPr>
          <w:rFonts w:ascii="Arial" w:hAnsi="Arial" w:cs="Arial"/>
          <w:sz w:val="20"/>
          <w:szCs w:val="20"/>
        </w:rPr>
        <w:tab/>
        <w:t xml:space="preserve">The TWF was informed by the expert from Mexico about testing of </w:t>
      </w:r>
      <w:proofErr w:type="spellStart"/>
      <w:r w:rsidRPr="001D33DD">
        <w:rPr>
          <w:rFonts w:ascii="Arial" w:hAnsi="Arial" w:cs="Arial"/>
          <w:i/>
          <w:sz w:val="20"/>
          <w:szCs w:val="20"/>
        </w:rPr>
        <w:t>Jatropha</w:t>
      </w:r>
      <w:proofErr w:type="spellEnd"/>
      <w:r w:rsidRPr="001D33DD">
        <w:rPr>
          <w:rFonts w:ascii="Arial" w:hAnsi="Arial" w:cs="Arial"/>
          <w:i/>
          <w:sz w:val="20"/>
          <w:szCs w:val="20"/>
        </w:rPr>
        <w:t> </w:t>
      </w:r>
      <w:proofErr w:type="spellStart"/>
      <w:r w:rsidRPr="001D33DD">
        <w:rPr>
          <w:rFonts w:ascii="Arial" w:hAnsi="Arial" w:cs="Arial"/>
          <w:i/>
          <w:sz w:val="20"/>
          <w:szCs w:val="20"/>
        </w:rPr>
        <w:t>curcas</w:t>
      </w:r>
      <w:proofErr w:type="spellEnd"/>
      <w:r w:rsidRPr="001D33DD">
        <w:rPr>
          <w:rFonts w:ascii="Arial" w:hAnsi="Arial" w:cs="Arial"/>
          <w:sz w:val="20"/>
          <w:szCs w:val="20"/>
        </w:rPr>
        <w:t xml:space="preserve"> L.  The expert from Mexico agreed to make a presentation about that species at the TWF session in 2015.</w:t>
      </w:r>
    </w:p>
    <w:p w:rsidR="00256DED" w:rsidRPr="001D33DD" w:rsidRDefault="00256DED" w:rsidP="00256DED">
      <w:pPr>
        <w:jc w:val="left"/>
      </w:pPr>
    </w:p>
    <w:p w:rsidR="00256DED" w:rsidRPr="00653DEB" w:rsidRDefault="00256DED" w:rsidP="00256DED">
      <w:r w:rsidRPr="001D33DD">
        <w:fldChar w:fldCharType="begin"/>
      </w:r>
      <w:r w:rsidRPr="001D33DD">
        <w:instrText xml:space="preserve"> AUTONUM  </w:instrText>
      </w:r>
      <w:r w:rsidRPr="001D33DD">
        <w:fldChar w:fldCharType="end"/>
      </w:r>
      <w:r w:rsidRPr="001D33DD">
        <w:tab/>
        <w:t xml:space="preserve">The TWF received a presentation on date palm </w:t>
      </w:r>
      <w:r>
        <w:t>(</w:t>
      </w:r>
      <w:r w:rsidRPr="00482DBB">
        <w:rPr>
          <w:i/>
        </w:rPr>
        <w:t xml:space="preserve">Phoenix </w:t>
      </w:r>
      <w:proofErr w:type="spellStart"/>
      <w:r>
        <w:rPr>
          <w:i/>
        </w:rPr>
        <w:t>d</w:t>
      </w:r>
      <w:r w:rsidRPr="00A14212">
        <w:rPr>
          <w:i/>
        </w:rPr>
        <w:t>actylifera</w:t>
      </w:r>
      <w:proofErr w:type="spellEnd"/>
      <w:r>
        <w:t xml:space="preserve">) </w:t>
      </w:r>
      <w:r w:rsidRPr="001D33DD">
        <w:t xml:space="preserve">from an expert from Oman, </w:t>
      </w:r>
      <w:r w:rsidRPr="001D33DD">
        <w:rPr>
          <w:rFonts w:cs="Arial"/>
          <w:color w:val="000000"/>
        </w:rPr>
        <w:t xml:space="preserve">as reproduced in Annex IV </w:t>
      </w:r>
      <w:r w:rsidR="008918AE">
        <w:rPr>
          <w:rFonts w:cs="Arial"/>
          <w:color w:val="000000"/>
        </w:rPr>
        <w:t>to</w:t>
      </w:r>
      <w:r w:rsidRPr="001D33DD">
        <w:rPr>
          <w:rFonts w:cs="Arial"/>
          <w:color w:val="000000"/>
        </w:rPr>
        <w:t xml:space="preserve"> </w:t>
      </w:r>
      <w:r w:rsidR="008918AE">
        <w:t xml:space="preserve">document TWF/45/32 “Report” (see </w:t>
      </w:r>
      <w:r>
        <w:t>document TWF/45/32 “Report”, paragraphs 69 to 73</w:t>
      </w:r>
      <w:r w:rsidR="008918AE">
        <w:t>)</w:t>
      </w:r>
      <w:r w:rsidRPr="001D33DD">
        <w:rPr>
          <w:rFonts w:cs="Arial"/>
          <w:color w:val="000000"/>
        </w:rPr>
        <w:t>.</w:t>
      </w:r>
    </w:p>
    <w:p w:rsidR="00256DED" w:rsidRDefault="00256DED" w:rsidP="00BF1A76"/>
    <w:p w:rsidR="00CF4AF9" w:rsidRDefault="00CF4AF9" w:rsidP="00CF4AF9">
      <w:pPr>
        <w:pStyle w:val="Heading3"/>
      </w:pPr>
      <w:bookmarkStart w:id="19" w:name="_Toc409765453"/>
      <w:r>
        <w:t>Technical Working Party for Automation and Computer Programs</w:t>
      </w:r>
      <w:bookmarkEnd w:id="19"/>
    </w:p>
    <w:p w:rsidR="00CF4AF9" w:rsidRDefault="00CF4AF9" w:rsidP="00BF1A76"/>
    <w:p w:rsidR="001D57FF" w:rsidRPr="00BD5B6E" w:rsidRDefault="001D57FF" w:rsidP="001D57FF">
      <w:r w:rsidRPr="00BD5B6E">
        <w:fldChar w:fldCharType="begin"/>
      </w:r>
      <w:r w:rsidRPr="00BD5B6E">
        <w:instrText xml:space="preserve"> AUTONUM  </w:instrText>
      </w:r>
      <w:r w:rsidRPr="00BD5B6E">
        <w:fldChar w:fldCharType="end"/>
      </w:r>
      <w:r w:rsidRPr="00BD5B6E">
        <w:tab/>
        <w:t>The TWC</w:t>
      </w:r>
      <w:r>
        <w:t xml:space="preserve">, at its thirty-third session, </w:t>
      </w:r>
      <w:r w:rsidRPr="00BD5B6E">
        <w:t xml:space="preserve">received </w:t>
      </w:r>
      <w:r>
        <w:t>an oral report</w:t>
      </w:r>
      <w:r w:rsidRPr="00BD5B6E">
        <w:t xml:space="preserve"> </w:t>
      </w:r>
      <w:r>
        <w:t xml:space="preserve">by an expert </w:t>
      </w:r>
      <w:r w:rsidRPr="00BD5B6E">
        <w:t>from Brazil on experiences with new types and species in the country on</w:t>
      </w:r>
      <w:r>
        <w:t xml:space="preserve"> the development of national Test Guidelines for</w:t>
      </w:r>
      <w:r w:rsidRPr="00BD5B6E">
        <w:t xml:space="preserve"> </w:t>
      </w:r>
      <w:proofErr w:type="spellStart"/>
      <w:r w:rsidRPr="00AB0FAB">
        <w:rPr>
          <w:rFonts w:cs="Arial"/>
          <w:i/>
          <w:iCs/>
        </w:rPr>
        <w:t>Centrosema</w:t>
      </w:r>
      <w:proofErr w:type="spellEnd"/>
      <w:r w:rsidRPr="00AB0FAB">
        <w:rPr>
          <w:rFonts w:cs="Arial"/>
          <w:i/>
          <w:iCs/>
        </w:rPr>
        <w:t xml:space="preserve"> </w:t>
      </w:r>
      <w:proofErr w:type="spellStart"/>
      <w:r w:rsidRPr="00AB0FAB">
        <w:rPr>
          <w:rFonts w:cs="Arial"/>
          <w:i/>
          <w:iCs/>
        </w:rPr>
        <w:t>pubescens</w:t>
      </w:r>
      <w:proofErr w:type="spellEnd"/>
      <w:r w:rsidRPr="00AB0FAB">
        <w:rPr>
          <w:rFonts w:cs="Arial"/>
          <w:i/>
          <w:iCs/>
        </w:rPr>
        <w:t xml:space="preserve">, </w:t>
      </w:r>
      <w:proofErr w:type="spellStart"/>
      <w:r w:rsidRPr="00AB0FAB">
        <w:rPr>
          <w:rFonts w:cs="Arial"/>
          <w:i/>
          <w:iCs/>
        </w:rPr>
        <w:t>Galactia</w:t>
      </w:r>
      <w:proofErr w:type="spellEnd"/>
      <w:r w:rsidRPr="00AB0FAB">
        <w:rPr>
          <w:rFonts w:cs="Arial"/>
          <w:i/>
          <w:iCs/>
        </w:rPr>
        <w:t xml:space="preserve"> </w:t>
      </w:r>
      <w:proofErr w:type="spellStart"/>
      <w:r w:rsidRPr="00AB0FAB">
        <w:rPr>
          <w:rFonts w:cs="Arial"/>
          <w:i/>
          <w:iCs/>
        </w:rPr>
        <w:t>striata</w:t>
      </w:r>
      <w:proofErr w:type="spellEnd"/>
      <w:r w:rsidRPr="00AB0FAB">
        <w:rPr>
          <w:rFonts w:cs="Arial"/>
          <w:i/>
          <w:iCs/>
        </w:rPr>
        <w:t xml:space="preserve">, </w:t>
      </w:r>
      <w:proofErr w:type="spellStart"/>
      <w:r w:rsidRPr="00AB0FAB">
        <w:rPr>
          <w:rFonts w:cs="Arial"/>
          <w:i/>
          <w:iCs/>
        </w:rPr>
        <w:t>Calopogonium</w:t>
      </w:r>
      <w:proofErr w:type="spellEnd"/>
      <w:r w:rsidRPr="00AB0FAB">
        <w:rPr>
          <w:rFonts w:cs="Arial"/>
          <w:i/>
          <w:iCs/>
        </w:rPr>
        <w:t xml:space="preserve"> </w:t>
      </w:r>
      <w:proofErr w:type="spellStart"/>
      <w:r w:rsidRPr="00AB0FAB">
        <w:rPr>
          <w:rFonts w:cs="Arial"/>
          <w:i/>
          <w:iCs/>
        </w:rPr>
        <w:t>mucunoides</w:t>
      </w:r>
      <w:proofErr w:type="spellEnd"/>
      <w:r w:rsidRPr="00BD5B6E">
        <w:rPr>
          <w:rFonts w:cs="Arial"/>
          <w:iCs/>
        </w:rPr>
        <w:t xml:space="preserve"> and </w:t>
      </w:r>
      <w:proofErr w:type="spellStart"/>
      <w:r w:rsidRPr="00AB0FAB">
        <w:rPr>
          <w:rFonts w:cs="Arial"/>
          <w:i/>
          <w:iCs/>
        </w:rPr>
        <w:t>Neonotonia</w:t>
      </w:r>
      <w:proofErr w:type="spellEnd"/>
      <w:r w:rsidRPr="00AB0FAB">
        <w:rPr>
          <w:rFonts w:cs="Arial"/>
          <w:i/>
          <w:iCs/>
        </w:rPr>
        <w:t xml:space="preserve"> </w:t>
      </w:r>
      <w:proofErr w:type="spellStart"/>
      <w:r w:rsidRPr="00AB0FAB">
        <w:rPr>
          <w:rFonts w:cs="Arial"/>
          <w:i/>
          <w:iCs/>
        </w:rPr>
        <w:t>wightii</w:t>
      </w:r>
      <w:proofErr w:type="spellEnd"/>
      <w:r>
        <w:rPr>
          <w:rFonts w:cs="Arial"/>
          <w:i/>
          <w:iCs/>
        </w:rPr>
        <w:t xml:space="preserve"> </w:t>
      </w:r>
      <w:r>
        <w:rPr>
          <w:rFonts w:cs="Arial"/>
          <w:iCs/>
        </w:rPr>
        <w:t>for which applications for plant variety protection had been filed (see document TWC/32/28 “Report”, paragraph 103)</w:t>
      </w:r>
      <w:r w:rsidRPr="00BD5B6E">
        <w:rPr>
          <w:rFonts w:cs="Arial"/>
        </w:rPr>
        <w:t>.</w:t>
      </w:r>
    </w:p>
    <w:p w:rsidR="001D57FF" w:rsidRDefault="001D57FF" w:rsidP="00BF1A76"/>
    <w:p w:rsidR="00CF4AF9" w:rsidRDefault="00CF4AF9" w:rsidP="00CF4AF9">
      <w:pPr>
        <w:pStyle w:val="Heading3"/>
      </w:pPr>
      <w:bookmarkStart w:id="20" w:name="_Toc409765454"/>
      <w:r>
        <w:t>Technical Working Party for Vegetables</w:t>
      </w:r>
      <w:bookmarkEnd w:id="20"/>
    </w:p>
    <w:p w:rsidR="00CF4AF9" w:rsidRDefault="00CF4AF9" w:rsidP="00BF1A76"/>
    <w:p w:rsidR="00CF4AF9" w:rsidRPr="00142558" w:rsidRDefault="00CF4AF9" w:rsidP="00CF4AF9">
      <w:r w:rsidRPr="00142558">
        <w:fldChar w:fldCharType="begin"/>
      </w:r>
      <w:r w:rsidRPr="00142558">
        <w:instrText xml:space="preserve"> AUTONUM  </w:instrText>
      </w:r>
      <w:r w:rsidRPr="00142558">
        <w:fldChar w:fldCharType="end"/>
      </w:r>
      <w:r w:rsidRPr="00142558">
        <w:tab/>
        <w:t>The TWV was informed by the expert from Spain about the testing of a new cross of Tomato Rootstock (</w:t>
      </w:r>
      <w:proofErr w:type="spellStart"/>
      <w:r w:rsidRPr="00142558">
        <w:rPr>
          <w:i/>
        </w:rPr>
        <w:t>Solanum</w:t>
      </w:r>
      <w:proofErr w:type="spellEnd"/>
      <w:r w:rsidRPr="00142558">
        <w:rPr>
          <w:i/>
        </w:rPr>
        <w:t xml:space="preserve"> </w:t>
      </w:r>
      <w:proofErr w:type="spellStart"/>
      <w:r w:rsidRPr="00142558">
        <w:rPr>
          <w:i/>
        </w:rPr>
        <w:t>pimpinellifolium</w:t>
      </w:r>
      <w:proofErr w:type="spellEnd"/>
      <w:r w:rsidRPr="00142558">
        <w:t xml:space="preserve"> x </w:t>
      </w:r>
      <w:proofErr w:type="spellStart"/>
      <w:r w:rsidRPr="00142558">
        <w:rPr>
          <w:i/>
        </w:rPr>
        <w:t>Solanum</w:t>
      </w:r>
      <w:proofErr w:type="spellEnd"/>
      <w:r w:rsidRPr="00142558">
        <w:rPr>
          <w:i/>
        </w:rPr>
        <w:t xml:space="preserve"> </w:t>
      </w:r>
      <w:proofErr w:type="spellStart"/>
      <w:r w:rsidRPr="00142558">
        <w:rPr>
          <w:i/>
        </w:rPr>
        <w:t>habrochaites</w:t>
      </w:r>
      <w:proofErr w:type="spellEnd"/>
      <w:r w:rsidRPr="00142558">
        <w:t>).  The expert from Spain agreed to make a presentation on that cross at the TWV session in 2015.</w:t>
      </w:r>
    </w:p>
    <w:p w:rsidR="00CF4AF9" w:rsidRPr="00142558" w:rsidRDefault="00CF4AF9" w:rsidP="00CF4AF9"/>
    <w:p w:rsidR="00CF4AF9" w:rsidRPr="00142558" w:rsidRDefault="00CF4AF9" w:rsidP="00CF4AF9">
      <w:r w:rsidRPr="00142558">
        <w:fldChar w:fldCharType="begin"/>
      </w:r>
      <w:r w:rsidRPr="00142558">
        <w:instrText xml:space="preserve"> AUTONUM  </w:instrText>
      </w:r>
      <w:r w:rsidRPr="00142558">
        <w:fldChar w:fldCharType="end"/>
      </w:r>
      <w:r w:rsidRPr="00142558">
        <w:tab/>
        <w:t xml:space="preserve">The TWV was informed by the expert from France about testing of </w:t>
      </w:r>
      <w:r w:rsidRPr="00142558">
        <w:rPr>
          <w:i/>
        </w:rPr>
        <w:t xml:space="preserve">Stevia </w:t>
      </w:r>
      <w:proofErr w:type="spellStart"/>
      <w:r w:rsidRPr="00142558">
        <w:rPr>
          <w:i/>
        </w:rPr>
        <w:t>rebaudiana</w:t>
      </w:r>
      <w:proofErr w:type="spellEnd"/>
      <w:r w:rsidRPr="00142558">
        <w:t>.  The expert from France agreed to make a presentation about that species at the TWV session in 2015.</w:t>
      </w:r>
    </w:p>
    <w:p w:rsidR="00CF4AF9" w:rsidRPr="00142558" w:rsidRDefault="00CF4AF9" w:rsidP="00CF4AF9"/>
    <w:p w:rsidR="00CF4AF9" w:rsidRPr="00142558" w:rsidRDefault="00CF4AF9" w:rsidP="00CF4AF9">
      <w:r w:rsidRPr="00142558">
        <w:fldChar w:fldCharType="begin"/>
      </w:r>
      <w:r w:rsidRPr="00142558">
        <w:instrText xml:space="preserve"> AUTONUM  </w:instrText>
      </w:r>
      <w:r w:rsidRPr="00142558">
        <w:fldChar w:fldCharType="end"/>
      </w:r>
      <w:r w:rsidRPr="00142558">
        <w:tab/>
        <w:t>The TWV was informed by the expert from the Netherlands about testing of seaweed</w:t>
      </w:r>
      <w:r w:rsidRPr="00142558">
        <w:rPr>
          <w:i/>
        </w:rPr>
        <w:t xml:space="preserve"> </w:t>
      </w:r>
      <w:r w:rsidRPr="00142558">
        <w:t>and true seed potato.  The expert from the Netherlands agreed to make a presentation about those at the TWV session in 2015.</w:t>
      </w:r>
    </w:p>
    <w:p w:rsidR="00CF4AF9" w:rsidRPr="00142558" w:rsidRDefault="00CF4AF9" w:rsidP="00CF4AF9"/>
    <w:p w:rsidR="00CF4AF9" w:rsidRPr="00142558" w:rsidRDefault="00CF4AF9" w:rsidP="00CF4AF9">
      <w:r w:rsidRPr="00142558">
        <w:fldChar w:fldCharType="begin"/>
      </w:r>
      <w:r w:rsidRPr="00142558">
        <w:instrText xml:space="preserve"> AUTONUM  </w:instrText>
      </w:r>
      <w:r w:rsidRPr="00142558">
        <w:fldChar w:fldCharType="end"/>
      </w:r>
      <w:r w:rsidRPr="00142558">
        <w:tab/>
        <w:t xml:space="preserve">The TWV was informed by the expert from Japan about testing of </w:t>
      </w:r>
      <w:proofErr w:type="spellStart"/>
      <w:r w:rsidRPr="00142558">
        <w:t>Pepino</w:t>
      </w:r>
      <w:proofErr w:type="spellEnd"/>
      <w:r w:rsidRPr="00142558">
        <w:rPr>
          <w:i/>
        </w:rPr>
        <w:t xml:space="preserve"> </w:t>
      </w:r>
      <w:r w:rsidRPr="00142558">
        <w:t>(</w:t>
      </w:r>
      <w:proofErr w:type="spellStart"/>
      <w:r w:rsidRPr="00142558">
        <w:rPr>
          <w:i/>
        </w:rPr>
        <w:t>Solanum</w:t>
      </w:r>
      <w:proofErr w:type="spellEnd"/>
      <w:r w:rsidRPr="00142558">
        <w:rPr>
          <w:i/>
        </w:rPr>
        <w:t> </w:t>
      </w:r>
      <w:proofErr w:type="spellStart"/>
      <w:r w:rsidRPr="00142558">
        <w:rPr>
          <w:i/>
        </w:rPr>
        <w:t>muricatum</w:t>
      </w:r>
      <w:proofErr w:type="spellEnd"/>
      <w:r w:rsidRPr="00142558">
        <w:t>)</w:t>
      </w:r>
      <w:r>
        <w:t xml:space="preserve"> (see document TWV/48/43 “Report”, paragraphs 81 to 84)</w:t>
      </w:r>
      <w:r w:rsidRPr="00142558">
        <w:t xml:space="preserve">.  </w:t>
      </w:r>
    </w:p>
    <w:p w:rsidR="00CF4AF9" w:rsidRDefault="00CF4AF9" w:rsidP="00BF1A76"/>
    <w:p w:rsidR="00CF4AF9" w:rsidRDefault="00CF4AF9" w:rsidP="00CF4AF9">
      <w:pPr>
        <w:pStyle w:val="Heading3"/>
      </w:pPr>
      <w:bookmarkStart w:id="21" w:name="_Toc409765455"/>
      <w:r>
        <w:t>Technical Working Party for Agricultural Crops</w:t>
      </w:r>
      <w:bookmarkEnd w:id="21"/>
    </w:p>
    <w:p w:rsidR="00CF4AF9" w:rsidRPr="004B761D" w:rsidRDefault="00CF4AF9" w:rsidP="00BF1A76"/>
    <w:p w:rsidR="001C28E8" w:rsidRPr="007E041C" w:rsidRDefault="00BF1A76" w:rsidP="001C28E8">
      <w:r w:rsidRPr="00D25E50">
        <w:fldChar w:fldCharType="begin"/>
      </w:r>
      <w:r w:rsidRPr="00D25E50">
        <w:instrText xml:space="preserve"> AUTONUM  </w:instrText>
      </w:r>
      <w:r w:rsidRPr="00D25E50">
        <w:fldChar w:fldCharType="end"/>
      </w:r>
      <w:r w:rsidRPr="00D25E50">
        <w:tab/>
        <w:t>The TWA</w:t>
      </w:r>
      <w:r>
        <w:t>, at its forty-</w:t>
      </w:r>
      <w:r w:rsidR="001C28E8">
        <w:t>third</w:t>
      </w:r>
      <w:r>
        <w:t xml:space="preserve"> session,</w:t>
      </w:r>
      <w:r w:rsidR="001C28E8">
        <w:t xml:space="preserve"> received a presentation by electronic means by an expert from New Zealand on experiences with fungal </w:t>
      </w:r>
      <w:proofErr w:type="spellStart"/>
      <w:r w:rsidR="001C28E8">
        <w:t>endophytes</w:t>
      </w:r>
      <w:proofErr w:type="spellEnd"/>
      <w:r w:rsidR="001C28E8">
        <w:t xml:space="preserve"> from the genus </w:t>
      </w:r>
      <w:proofErr w:type="spellStart"/>
      <w:r w:rsidR="001C28E8" w:rsidRPr="00B92E3B">
        <w:rPr>
          <w:i/>
        </w:rPr>
        <w:t>Neotyphodium</w:t>
      </w:r>
      <w:proofErr w:type="spellEnd"/>
      <w:r w:rsidR="001C28E8">
        <w:t>. The presentation is included as an annex to document TWA/43/25 “Reports on Developments in Plant Variety Protection from Members and Observers”.</w:t>
      </w:r>
    </w:p>
    <w:p w:rsidR="001C28E8" w:rsidRPr="007E041C" w:rsidRDefault="001C28E8" w:rsidP="001C28E8"/>
    <w:p w:rsidR="001C28E8" w:rsidRDefault="001C28E8" w:rsidP="001C28E8">
      <w:r w:rsidRPr="00B92E3B">
        <w:fldChar w:fldCharType="begin"/>
      </w:r>
      <w:r w:rsidRPr="00B92E3B">
        <w:instrText xml:space="preserve"> AUTONUM  </w:instrText>
      </w:r>
      <w:r w:rsidRPr="00B92E3B">
        <w:fldChar w:fldCharType="end"/>
      </w:r>
      <w:r w:rsidRPr="00B92E3B">
        <w:tab/>
        <w:t xml:space="preserve">The TWA noted the </w:t>
      </w:r>
      <w:r>
        <w:t>different situations with regard to the possibility</w:t>
      </w:r>
      <w:r w:rsidRPr="00B92E3B">
        <w:t xml:space="preserve"> </w:t>
      </w:r>
      <w:r>
        <w:t>to protect varieties</w:t>
      </w:r>
      <w:r w:rsidRPr="00B92E3B">
        <w:t xml:space="preserve"> of fungal </w:t>
      </w:r>
      <w:proofErr w:type="spellStart"/>
      <w:r w:rsidRPr="00B92E3B">
        <w:t>endophytes</w:t>
      </w:r>
      <w:proofErr w:type="spellEnd"/>
      <w:r w:rsidRPr="00B92E3B">
        <w:t xml:space="preserve"> among UPOV members</w:t>
      </w:r>
      <w:r>
        <w:t xml:space="preserve">.  </w:t>
      </w:r>
    </w:p>
    <w:p w:rsidR="001C28E8" w:rsidRDefault="001C28E8" w:rsidP="001C28E8"/>
    <w:p w:rsidR="001C28E8" w:rsidRPr="00B92E3B" w:rsidRDefault="001C28E8" w:rsidP="001C28E8">
      <w:r w:rsidRPr="00B92E3B">
        <w:fldChar w:fldCharType="begin"/>
      </w:r>
      <w:r w:rsidRPr="00B92E3B">
        <w:instrText xml:space="preserve"> AUTONUM  </w:instrText>
      </w:r>
      <w:r w:rsidRPr="00B92E3B">
        <w:fldChar w:fldCharType="end"/>
      </w:r>
      <w:r w:rsidRPr="00B92E3B">
        <w:tab/>
      </w:r>
      <w:r>
        <w:t>The TWA</w:t>
      </w:r>
      <w:r w:rsidRPr="00B92E3B">
        <w:t xml:space="preserve"> agreed to request an expert from the </w:t>
      </w:r>
      <w:r w:rsidR="00B60B59" w:rsidRPr="00B60B59">
        <w:t>Community Plant Variety Office (</w:t>
      </w:r>
      <w:r w:rsidR="00B60B59">
        <w:t>CPVO) of the European Union</w:t>
      </w:r>
      <w:r w:rsidRPr="00B92E3B">
        <w:t xml:space="preserve"> to make a presentation on the results of a study to assess the possible effects of </w:t>
      </w:r>
      <w:proofErr w:type="spellStart"/>
      <w:r w:rsidRPr="00B92E3B">
        <w:t>endophyte</w:t>
      </w:r>
      <w:proofErr w:type="spellEnd"/>
      <w:r w:rsidRPr="00B92E3B">
        <w:t xml:space="preserve"> infection in ryegrass </w:t>
      </w:r>
      <w:r>
        <w:t xml:space="preserve">and tall fescue </w:t>
      </w:r>
      <w:r w:rsidRPr="00B92E3B">
        <w:t>on the expression of DUS characteristics</w:t>
      </w:r>
      <w:r>
        <w:t xml:space="preserve"> in </w:t>
      </w:r>
      <w:r w:rsidRPr="00B92E3B">
        <w:t>2016.</w:t>
      </w:r>
    </w:p>
    <w:p w:rsidR="001C28E8" w:rsidRPr="007E041C" w:rsidRDefault="001C28E8" w:rsidP="001C28E8"/>
    <w:p w:rsidR="00BF1A76" w:rsidRDefault="001C28E8" w:rsidP="00BF1A76">
      <w:pPr>
        <w:rPr>
          <w:rFonts w:eastAsia="PMingLiU" w:cs="Arial"/>
          <w:szCs w:val="24"/>
        </w:rPr>
      </w:pPr>
      <w:r w:rsidRPr="007E041C">
        <w:fldChar w:fldCharType="begin"/>
      </w:r>
      <w:r w:rsidRPr="007E041C">
        <w:instrText xml:space="preserve"> AUTONUM  </w:instrText>
      </w:r>
      <w:r w:rsidRPr="007E041C">
        <w:fldChar w:fldCharType="end"/>
      </w:r>
      <w:r w:rsidRPr="007E041C">
        <w:tab/>
      </w:r>
      <w:r>
        <w:t xml:space="preserve">The TWA received a presentation by an expert from Argentina on experiences with </w:t>
      </w:r>
      <w:proofErr w:type="spellStart"/>
      <w:r w:rsidRPr="00B92E3B">
        <w:rPr>
          <w:i/>
        </w:rPr>
        <w:t>Cyamopsis</w:t>
      </w:r>
      <w:proofErr w:type="spellEnd"/>
      <w:r w:rsidRPr="00B92E3B">
        <w:rPr>
          <w:i/>
        </w:rPr>
        <w:t xml:space="preserve"> </w:t>
      </w:r>
      <w:proofErr w:type="spellStart"/>
      <w:r w:rsidRPr="00B92E3B">
        <w:rPr>
          <w:i/>
        </w:rPr>
        <w:t>tetragonoloba</w:t>
      </w:r>
      <w:proofErr w:type="spellEnd"/>
      <w:r>
        <w:t>. The presentation is included as an annex to document TWA/43/25 “Reports on Developments in Plant Variety Protection from Members and Observers”</w:t>
      </w:r>
      <w:r w:rsidR="00405890">
        <w:t xml:space="preserve"> </w:t>
      </w:r>
      <w:r w:rsidR="00BF1A76">
        <w:t xml:space="preserve">(see </w:t>
      </w:r>
      <w:r w:rsidR="00BF1A76" w:rsidRPr="000D2BFB">
        <w:rPr>
          <w:rFonts w:eastAsia="PMingLiU" w:cs="Arial"/>
          <w:szCs w:val="24"/>
        </w:rPr>
        <w:t>document</w:t>
      </w:r>
      <w:r w:rsidR="00BF1A76">
        <w:rPr>
          <w:rFonts w:eastAsia="PMingLiU" w:cs="Arial"/>
          <w:szCs w:val="24"/>
        </w:rPr>
        <w:t> TWA/4</w:t>
      </w:r>
      <w:r>
        <w:rPr>
          <w:rFonts w:eastAsia="PMingLiU" w:cs="Arial"/>
          <w:szCs w:val="24"/>
        </w:rPr>
        <w:t>3</w:t>
      </w:r>
      <w:r w:rsidR="00BF1A76">
        <w:rPr>
          <w:rFonts w:eastAsia="PMingLiU" w:cs="Arial"/>
          <w:szCs w:val="24"/>
        </w:rPr>
        <w:t>/</w:t>
      </w:r>
      <w:r>
        <w:rPr>
          <w:rFonts w:eastAsia="PMingLiU" w:cs="Arial"/>
          <w:szCs w:val="24"/>
        </w:rPr>
        <w:t>27</w:t>
      </w:r>
      <w:r w:rsidR="00BF1A76">
        <w:rPr>
          <w:rFonts w:eastAsia="PMingLiU" w:cs="Arial"/>
          <w:szCs w:val="24"/>
        </w:rPr>
        <w:t xml:space="preserve"> “Report”, paragraph</w:t>
      </w:r>
      <w:r w:rsidR="00405890">
        <w:rPr>
          <w:rFonts w:eastAsia="PMingLiU" w:cs="Arial"/>
          <w:szCs w:val="24"/>
        </w:rPr>
        <w:t>s </w:t>
      </w:r>
      <w:r w:rsidR="00BF1A76">
        <w:rPr>
          <w:rFonts w:eastAsia="PMingLiU" w:cs="Arial"/>
          <w:szCs w:val="24"/>
        </w:rPr>
        <w:t>73</w:t>
      </w:r>
      <w:r w:rsidR="00405890">
        <w:rPr>
          <w:rFonts w:eastAsia="PMingLiU" w:cs="Arial"/>
          <w:szCs w:val="24"/>
        </w:rPr>
        <w:t xml:space="preserve"> to 76</w:t>
      </w:r>
      <w:r w:rsidR="00BF1A76">
        <w:rPr>
          <w:rFonts w:eastAsia="PMingLiU" w:cs="Arial"/>
          <w:szCs w:val="24"/>
        </w:rPr>
        <w:t>).</w:t>
      </w:r>
    </w:p>
    <w:p w:rsidR="00256DED" w:rsidRPr="00700478" w:rsidRDefault="00256DED" w:rsidP="00BF1A76">
      <w:pPr>
        <w:rPr>
          <w:color w:val="000000"/>
        </w:rPr>
      </w:pPr>
    </w:p>
    <w:p w:rsidR="00BB0C3B" w:rsidRPr="00653DEB" w:rsidRDefault="00BB0C3B" w:rsidP="006430A7">
      <w:pPr>
        <w:pStyle w:val="Heading2"/>
      </w:pPr>
      <w:bookmarkStart w:id="22" w:name="_Toc409765456"/>
      <w:r w:rsidRPr="00653DEB">
        <w:t>Management of variety collections for DUS examination</w:t>
      </w:r>
      <w:bookmarkEnd w:id="22"/>
      <w:r w:rsidRPr="00653DEB">
        <w:t xml:space="preserve"> </w:t>
      </w:r>
    </w:p>
    <w:p w:rsidR="00BB0C3B" w:rsidRPr="00653DEB" w:rsidRDefault="00BB0C3B" w:rsidP="006430A7">
      <w:pPr>
        <w:keepNext/>
      </w:pPr>
    </w:p>
    <w:p w:rsidR="00BB0C3B" w:rsidRDefault="00BB0C3B" w:rsidP="00D107D9">
      <w:pPr>
        <w:jc w:val="left"/>
        <w:rPr>
          <w:rFonts w:cs="Arial"/>
        </w:rPr>
      </w:pPr>
      <w:r w:rsidRPr="00653DEB">
        <w:rPr>
          <w:iCs/>
          <w:snapToGrid w:val="0"/>
        </w:rPr>
        <w:fldChar w:fldCharType="begin"/>
      </w:r>
      <w:r w:rsidRPr="00653DEB">
        <w:rPr>
          <w:iCs/>
          <w:snapToGrid w:val="0"/>
        </w:rPr>
        <w:instrText xml:space="preserve"> AUTONUM  </w:instrText>
      </w:r>
      <w:r w:rsidRPr="00653DEB">
        <w:rPr>
          <w:snapToGrid w:val="0"/>
        </w:rPr>
        <w:fldChar w:fldCharType="end"/>
      </w:r>
      <w:r w:rsidRPr="00653DEB">
        <w:rPr>
          <w:snapToGrid w:val="0"/>
        </w:rPr>
        <w:tab/>
        <w:t xml:space="preserve">The TWF received a presentation by </w:t>
      </w:r>
      <w:r w:rsidRPr="00653DEB">
        <w:rPr>
          <w:rFonts w:cs="Arial"/>
        </w:rPr>
        <w:t>the expert from the European Union on “Management of variety collection for DUS examination” as reproduced in document TWF/45/26</w:t>
      </w:r>
      <w:r>
        <w:rPr>
          <w:rFonts w:cs="Arial"/>
        </w:rPr>
        <w:t xml:space="preserve"> (see </w:t>
      </w:r>
      <w:r>
        <w:t>document TWF/45/32 “Report”, paragraph 65)</w:t>
      </w:r>
      <w:r w:rsidRPr="00653DEB">
        <w:rPr>
          <w:rFonts w:cs="Arial"/>
        </w:rPr>
        <w:t>.</w:t>
      </w:r>
    </w:p>
    <w:p w:rsidR="00D107D9" w:rsidRDefault="00D107D9" w:rsidP="00D107D9">
      <w:pPr>
        <w:jc w:val="left"/>
        <w:rPr>
          <w:rFonts w:cs="Arial"/>
        </w:rPr>
      </w:pPr>
    </w:p>
    <w:p w:rsidR="0013225E" w:rsidRPr="00142558" w:rsidRDefault="0013225E" w:rsidP="0013225E">
      <w:r w:rsidRPr="00142558">
        <w:lastRenderedPageBreak/>
        <w:fldChar w:fldCharType="begin"/>
      </w:r>
      <w:r w:rsidRPr="00142558">
        <w:instrText xml:space="preserve"> AUTONUM  </w:instrText>
      </w:r>
      <w:r w:rsidRPr="00142558">
        <w:fldChar w:fldCharType="end"/>
      </w:r>
      <w:r w:rsidRPr="00142558">
        <w:tab/>
        <w:t xml:space="preserve">The TWV noted that </w:t>
      </w:r>
      <w:r>
        <w:t xml:space="preserve">an </w:t>
      </w:r>
      <w:r w:rsidRPr="00142558">
        <w:t>expert from France would give a presentation at its forty-ninth session on “Management of reference collections”</w:t>
      </w:r>
      <w:r>
        <w:t xml:space="preserve"> (see </w:t>
      </w:r>
      <w:r>
        <w:rPr>
          <w:color w:val="000000"/>
        </w:rPr>
        <w:t>document TWV/48/43 “Report”, paragraph 113)</w:t>
      </w:r>
      <w:r w:rsidRPr="00142558">
        <w:t>.</w:t>
      </w:r>
    </w:p>
    <w:p w:rsidR="00553D37" w:rsidRPr="00653DEB" w:rsidRDefault="00553D37" w:rsidP="00553D37"/>
    <w:p w:rsidR="00553D37" w:rsidRPr="00142558" w:rsidRDefault="00553D37" w:rsidP="000F039B">
      <w:pPr>
        <w:pStyle w:val="Heading2"/>
      </w:pPr>
      <w:bookmarkStart w:id="23" w:name="_Toc409765457"/>
      <w:r w:rsidRPr="00142558">
        <w:t>Use of statistical approaches in DUS examination</w:t>
      </w:r>
      <w:bookmarkEnd w:id="23"/>
    </w:p>
    <w:p w:rsidR="00553D37" w:rsidRPr="00142558" w:rsidRDefault="00553D37" w:rsidP="00553D37"/>
    <w:p w:rsidR="00553D37" w:rsidRPr="00142558" w:rsidRDefault="00553D37" w:rsidP="00553D37">
      <w:r w:rsidRPr="00142558">
        <w:fldChar w:fldCharType="begin"/>
      </w:r>
      <w:r w:rsidRPr="00142558">
        <w:instrText xml:space="preserve"> AUTONUM  </w:instrText>
      </w:r>
      <w:r w:rsidRPr="00142558">
        <w:fldChar w:fldCharType="end"/>
      </w:r>
      <w:r w:rsidRPr="00142558">
        <w:tab/>
        <w:t xml:space="preserve">The TWV received a presentation </w:t>
      </w:r>
      <w:r w:rsidR="00271872">
        <w:t>by</w:t>
      </w:r>
      <w:r w:rsidRPr="00142558">
        <w:t xml:space="preserve"> an expert from the Netherlands on “the use of statistical approaches in DUS examination” as reproduced in addendum of document TWV/48/26</w:t>
      </w:r>
      <w:r w:rsidR="000E3B16">
        <w:t xml:space="preserve"> (see </w:t>
      </w:r>
      <w:r>
        <w:rPr>
          <w:color w:val="000000"/>
        </w:rPr>
        <w:t>document TWV/48/43 “Report”, paragraph 112)</w:t>
      </w:r>
      <w:r w:rsidRPr="00142558">
        <w:t>.</w:t>
      </w:r>
    </w:p>
    <w:p w:rsidR="00BF1A76" w:rsidRDefault="00BF1A76" w:rsidP="00BF1A76">
      <w:pPr>
        <w:rPr>
          <w:caps/>
        </w:rPr>
      </w:pPr>
    </w:p>
    <w:p w:rsidR="00B60B59" w:rsidRDefault="00B60B59" w:rsidP="00B60B59">
      <w:pPr>
        <w:pStyle w:val="DecisionParagraphs"/>
      </w:pPr>
      <w:r w:rsidRPr="001D57FF">
        <w:fldChar w:fldCharType="begin"/>
      </w:r>
      <w:r w:rsidRPr="001D57FF">
        <w:instrText xml:space="preserve"> AUTONUM  </w:instrText>
      </w:r>
      <w:r w:rsidRPr="001D57FF">
        <w:fldChar w:fldCharType="end"/>
      </w:r>
      <w:r w:rsidRPr="001D57FF">
        <w:tab/>
        <w:t xml:space="preserve">The TC is invited to note </w:t>
      </w:r>
      <w:r w:rsidR="004327A8">
        <w:t>developments</w:t>
      </w:r>
      <w:r w:rsidR="0028693C">
        <w:t xml:space="preserve"> in the </w:t>
      </w:r>
      <w:r w:rsidR="007A11E3">
        <w:t>TWPs concerning</w:t>
      </w:r>
      <w:r w:rsidR="004327A8">
        <w:t>:</w:t>
      </w:r>
    </w:p>
    <w:p w:rsidR="004327A8" w:rsidRDefault="004327A8" w:rsidP="0028693C">
      <w:pPr>
        <w:pStyle w:val="DecisionParagraphs"/>
        <w:ind w:left="5387" w:hanging="567"/>
      </w:pPr>
    </w:p>
    <w:p w:rsidR="0028693C" w:rsidRDefault="0028693C" w:rsidP="0028693C">
      <w:pPr>
        <w:pStyle w:val="DecisionParagraphs"/>
        <w:numPr>
          <w:ilvl w:val="0"/>
          <w:numId w:val="5"/>
        </w:numPr>
        <w:tabs>
          <w:tab w:val="left" w:pos="5954"/>
        </w:tabs>
        <w:ind w:left="5387" w:hanging="567"/>
      </w:pPr>
      <w:r>
        <w:t>Duration of DUS tests in the fruit sector;</w:t>
      </w:r>
    </w:p>
    <w:p w:rsidR="0028693C" w:rsidRDefault="0028693C" w:rsidP="0028693C">
      <w:pPr>
        <w:pStyle w:val="DecisionParagraphs"/>
        <w:tabs>
          <w:tab w:val="left" w:pos="5954"/>
        </w:tabs>
        <w:ind w:left="5387" w:hanging="567"/>
      </w:pPr>
    </w:p>
    <w:p w:rsidR="0028693C" w:rsidRDefault="0028693C" w:rsidP="0028693C">
      <w:pPr>
        <w:pStyle w:val="DecisionParagraphs"/>
        <w:numPr>
          <w:ilvl w:val="0"/>
          <w:numId w:val="5"/>
        </w:numPr>
        <w:tabs>
          <w:tab w:val="left" w:pos="5954"/>
        </w:tabs>
        <w:ind w:left="5387" w:hanging="567"/>
      </w:pPr>
      <w:r>
        <w:t>Use of disease resistance characteristics in DUS examination;</w:t>
      </w:r>
    </w:p>
    <w:p w:rsidR="0028693C" w:rsidRDefault="0028693C" w:rsidP="0028693C">
      <w:pPr>
        <w:pStyle w:val="DecisionParagraphs"/>
        <w:tabs>
          <w:tab w:val="left" w:pos="5954"/>
        </w:tabs>
        <w:ind w:left="5387" w:hanging="567"/>
      </w:pPr>
    </w:p>
    <w:p w:rsidR="004327A8" w:rsidRPr="00897EDD" w:rsidRDefault="004327A8" w:rsidP="0028693C">
      <w:pPr>
        <w:pStyle w:val="DecisionParagraphs"/>
        <w:numPr>
          <w:ilvl w:val="0"/>
          <w:numId w:val="5"/>
        </w:numPr>
        <w:tabs>
          <w:tab w:val="left" w:pos="5954"/>
        </w:tabs>
        <w:ind w:left="5387" w:hanging="567"/>
      </w:pPr>
      <w:r>
        <w:t>Data loggers;</w:t>
      </w:r>
    </w:p>
    <w:p w:rsidR="004327A8" w:rsidRPr="00897EDD" w:rsidRDefault="004327A8" w:rsidP="0028693C">
      <w:pPr>
        <w:pStyle w:val="DecisionParagraphs"/>
        <w:tabs>
          <w:tab w:val="left" w:pos="5954"/>
        </w:tabs>
        <w:ind w:left="5387" w:hanging="567"/>
      </w:pPr>
    </w:p>
    <w:p w:rsidR="004327A8" w:rsidRDefault="004327A8" w:rsidP="0028693C">
      <w:pPr>
        <w:pStyle w:val="DecisionParagraphs"/>
        <w:numPr>
          <w:ilvl w:val="0"/>
          <w:numId w:val="5"/>
        </w:numPr>
        <w:tabs>
          <w:tab w:val="left" w:pos="5954"/>
        </w:tabs>
        <w:ind w:left="5387" w:hanging="567"/>
      </w:pPr>
      <w:r>
        <w:t>Experiences with new types and species;</w:t>
      </w:r>
    </w:p>
    <w:p w:rsidR="004327A8" w:rsidRDefault="004327A8" w:rsidP="0028693C">
      <w:pPr>
        <w:pStyle w:val="ListParagraph"/>
        <w:tabs>
          <w:tab w:val="left" w:pos="5387"/>
        </w:tabs>
        <w:ind w:left="5387" w:hanging="567"/>
      </w:pPr>
    </w:p>
    <w:p w:rsidR="004327A8" w:rsidRDefault="004327A8" w:rsidP="0028693C">
      <w:pPr>
        <w:pStyle w:val="DecisionParagraphs"/>
        <w:numPr>
          <w:ilvl w:val="0"/>
          <w:numId w:val="5"/>
        </w:numPr>
        <w:tabs>
          <w:tab w:val="left" w:pos="5954"/>
        </w:tabs>
        <w:ind w:left="5387" w:hanging="567"/>
      </w:pPr>
      <w:r>
        <w:t>Management of variety collections for DUS examination; and</w:t>
      </w:r>
    </w:p>
    <w:p w:rsidR="004327A8" w:rsidRDefault="004327A8" w:rsidP="0028693C">
      <w:pPr>
        <w:pStyle w:val="ListParagraph"/>
        <w:tabs>
          <w:tab w:val="left" w:pos="5387"/>
        </w:tabs>
        <w:ind w:left="5387" w:hanging="567"/>
      </w:pPr>
    </w:p>
    <w:p w:rsidR="004327A8" w:rsidRDefault="004327A8" w:rsidP="0028693C">
      <w:pPr>
        <w:pStyle w:val="DecisionParagraphs"/>
        <w:numPr>
          <w:ilvl w:val="0"/>
          <w:numId w:val="5"/>
        </w:numPr>
        <w:tabs>
          <w:tab w:val="left" w:pos="5954"/>
        </w:tabs>
        <w:ind w:left="5387" w:hanging="567"/>
      </w:pPr>
      <w:r>
        <w:t xml:space="preserve">Use of statistical </w:t>
      </w:r>
      <w:r w:rsidR="00822236">
        <w:t>approaches in DUS examination;</w:t>
      </w:r>
    </w:p>
    <w:p w:rsidR="00822236" w:rsidRDefault="00822236" w:rsidP="00822236">
      <w:pPr>
        <w:pStyle w:val="ListParagraph"/>
      </w:pPr>
    </w:p>
    <w:p w:rsidR="00822236" w:rsidRDefault="00822236" w:rsidP="00822236">
      <w:pPr>
        <w:pStyle w:val="DecisionParagraphs"/>
        <w:tabs>
          <w:tab w:val="left" w:pos="5954"/>
        </w:tabs>
      </w:pPr>
      <w:r>
        <w:t>a</w:t>
      </w:r>
      <w:bookmarkStart w:id="24" w:name="_GoBack"/>
      <w:bookmarkEnd w:id="24"/>
      <w:r>
        <w:t>s reported in this document.</w:t>
      </w:r>
    </w:p>
    <w:p w:rsidR="00B60B59" w:rsidRDefault="00B60B59" w:rsidP="00BF1A76"/>
    <w:p w:rsidR="00B60B59" w:rsidRDefault="00B60B59" w:rsidP="00BF1A76"/>
    <w:p w:rsidR="00B60B59" w:rsidRPr="00C651CE" w:rsidRDefault="00B60B59" w:rsidP="00BF1A76"/>
    <w:p w:rsidR="00BE4987" w:rsidRPr="00C5280D" w:rsidRDefault="00BF1A76" w:rsidP="00993700">
      <w:pPr>
        <w:jc w:val="right"/>
      </w:pPr>
      <w:r w:rsidRPr="00C5280D">
        <w:t xml:space="preserve"> [</w:t>
      </w:r>
      <w:r w:rsidR="00993700">
        <w:t>End of document</w:t>
      </w:r>
      <w:r w:rsidRPr="00C5280D">
        <w:t>]</w:t>
      </w:r>
    </w:p>
    <w:sectPr w:rsidR="00BE4987" w:rsidRPr="00C5280D" w:rsidSect="00993700">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649" w:rsidRDefault="00745649" w:rsidP="006655D3">
      <w:r>
        <w:separator/>
      </w:r>
    </w:p>
    <w:p w:rsidR="00745649" w:rsidRDefault="00745649" w:rsidP="006655D3"/>
    <w:p w:rsidR="00745649" w:rsidRDefault="00745649" w:rsidP="006655D3"/>
  </w:endnote>
  <w:endnote w:type="continuationSeparator" w:id="0">
    <w:p w:rsidR="00745649" w:rsidRDefault="00745649" w:rsidP="006655D3">
      <w:r>
        <w:separator/>
      </w:r>
    </w:p>
    <w:p w:rsidR="00745649" w:rsidRPr="007136B8" w:rsidRDefault="00745649" w:rsidP="0028091E">
      <w:pPr>
        <w:pStyle w:val="Footer"/>
        <w:rPr>
          <w:lang w:val="fr-CH"/>
        </w:rPr>
      </w:pPr>
      <w:r w:rsidRPr="007136B8">
        <w:rPr>
          <w:lang w:val="fr-CH"/>
        </w:rPr>
        <w:t>[Suite de la note de la page précédente]</w:t>
      </w:r>
    </w:p>
    <w:p w:rsidR="00745649" w:rsidRPr="007136B8" w:rsidRDefault="00745649" w:rsidP="006655D3">
      <w:pPr>
        <w:rPr>
          <w:lang w:val="fr-CH"/>
        </w:rPr>
      </w:pPr>
    </w:p>
    <w:p w:rsidR="00745649" w:rsidRPr="007136B8" w:rsidRDefault="00745649" w:rsidP="006655D3">
      <w:pPr>
        <w:rPr>
          <w:lang w:val="fr-CH"/>
        </w:rPr>
      </w:pPr>
    </w:p>
  </w:endnote>
  <w:endnote w:type="continuationNotice" w:id="1">
    <w:p w:rsidR="00745649" w:rsidRPr="007136B8" w:rsidRDefault="00745649" w:rsidP="006655D3">
      <w:pPr>
        <w:rPr>
          <w:lang w:val="fr-CH"/>
        </w:rPr>
      </w:pPr>
      <w:r w:rsidRPr="007136B8">
        <w:rPr>
          <w:lang w:val="fr-CH"/>
        </w:rPr>
        <w:t>[Suite de la note page suivante]</w:t>
      </w:r>
    </w:p>
    <w:p w:rsidR="00745649" w:rsidRPr="007136B8" w:rsidRDefault="00745649" w:rsidP="006655D3">
      <w:pPr>
        <w:rPr>
          <w:lang w:val="fr-CH"/>
        </w:rPr>
      </w:pPr>
    </w:p>
    <w:p w:rsidR="00745649" w:rsidRPr="007136B8" w:rsidRDefault="0074564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649" w:rsidRDefault="00745649" w:rsidP="006655D3">
      <w:r>
        <w:separator/>
      </w:r>
    </w:p>
  </w:footnote>
  <w:footnote w:type="continuationSeparator" w:id="0">
    <w:p w:rsidR="00745649" w:rsidRDefault="00745649" w:rsidP="006655D3">
      <w:r>
        <w:separator/>
      </w:r>
    </w:p>
  </w:footnote>
  <w:footnote w:type="continuationNotice" w:id="1">
    <w:p w:rsidR="00745649" w:rsidRPr="00AB530F" w:rsidRDefault="00745649" w:rsidP="0028091E">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331" w:rsidRDefault="00B16331" w:rsidP="00B16331">
    <w:pPr>
      <w:pStyle w:val="Header"/>
      <w:rPr>
        <w:lang w:val="en-US"/>
      </w:rPr>
    </w:pPr>
    <w:r>
      <w:rPr>
        <w:lang w:val="en-US"/>
      </w:rPr>
      <w:t>TC/51/3</w:t>
    </w:r>
  </w:p>
  <w:p w:rsidR="00B16331" w:rsidRDefault="00B16331" w:rsidP="00B16331">
    <w:pPr>
      <w:pStyle w:val="Header"/>
      <w:rPr>
        <w:lang w:val="en-US"/>
      </w:rPr>
    </w:pPr>
    <w:proofErr w:type="gramStart"/>
    <w:r>
      <w:rPr>
        <w:lang w:val="en-US"/>
      </w:rPr>
      <w:t>page</w:t>
    </w:r>
    <w:proofErr w:type="gramEnd"/>
    <w:r>
      <w:rPr>
        <w:lang w:val="en-US"/>
      </w:rPr>
      <w:t xml:space="preserve"> </w:t>
    </w:r>
    <w:r w:rsidRPr="00832298">
      <w:fldChar w:fldCharType="begin"/>
    </w:r>
    <w:r w:rsidRPr="00832298">
      <w:instrText xml:space="preserve"> PAGE </w:instrText>
    </w:r>
    <w:r w:rsidRPr="00832298">
      <w:fldChar w:fldCharType="separate"/>
    </w:r>
    <w:r w:rsidR="001A2ECA">
      <w:rPr>
        <w:noProof/>
      </w:rPr>
      <w:t>5</w:t>
    </w:r>
    <w:r w:rsidRPr="00832298">
      <w:fldChar w:fldCharType="end"/>
    </w:r>
  </w:p>
  <w:p w:rsidR="00B16331" w:rsidRDefault="00B16331" w:rsidP="00B1633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5D44"/>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03104F1"/>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4B23B3A"/>
    <w:multiLevelType w:val="hybridMultilevel"/>
    <w:tmpl w:val="EB18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D7227D"/>
    <w:multiLevelType w:val="hybridMultilevel"/>
    <w:tmpl w:val="83D2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653705"/>
    <w:multiLevelType w:val="hybridMultilevel"/>
    <w:tmpl w:val="F9BC4AAA"/>
    <w:lvl w:ilvl="0" w:tplc="8826A950">
      <w:start w:val="1"/>
      <w:numFmt w:val="lowerLetter"/>
      <w:lvlText w:val="(%1)"/>
      <w:lvlJc w:val="left"/>
      <w:pPr>
        <w:ind w:left="5322" w:hanging="360"/>
      </w:pPr>
      <w:rPr>
        <w:rFonts w:hint="default"/>
      </w:rPr>
    </w:lvl>
    <w:lvl w:ilvl="1" w:tplc="04090019" w:tentative="1">
      <w:start w:val="1"/>
      <w:numFmt w:val="lowerLetter"/>
      <w:lvlText w:val="%2."/>
      <w:lvlJc w:val="left"/>
      <w:pPr>
        <w:ind w:left="6042" w:hanging="360"/>
      </w:p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5">
    <w:nsid w:val="7F595D9F"/>
    <w:multiLevelType w:val="hybridMultilevel"/>
    <w:tmpl w:val="F9BC4AAA"/>
    <w:lvl w:ilvl="0" w:tplc="8826A95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B8"/>
    <w:rsid w:val="00010CF3"/>
    <w:rsid w:val="00011E27"/>
    <w:rsid w:val="000148BC"/>
    <w:rsid w:val="0001533C"/>
    <w:rsid w:val="00024AB8"/>
    <w:rsid w:val="00030854"/>
    <w:rsid w:val="00036028"/>
    <w:rsid w:val="00044642"/>
    <w:rsid w:val="000446B9"/>
    <w:rsid w:val="00047E21"/>
    <w:rsid w:val="00050E16"/>
    <w:rsid w:val="00085505"/>
    <w:rsid w:val="00091A4C"/>
    <w:rsid w:val="000C50BD"/>
    <w:rsid w:val="000C7021"/>
    <w:rsid w:val="000D6BBC"/>
    <w:rsid w:val="000D7780"/>
    <w:rsid w:val="000E3B16"/>
    <w:rsid w:val="000F039B"/>
    <w:rsid w:val="000F2F11"/>
    <w:rsid w:val="00105929"/>
    <w:rsid w:val="001131D5"/>
    <w:rsid w:val="00120C14"/>
    <w:rsid w:val="0013225E"/>
    <w:rsid w:val="00141DB8"/>
    <w:rsid w:val="001604A0"/>
    <w:rsid w:val="0017474A"/>
    <w:rsid w:val="001758C6"/>
    <w:rsid w:val="00182B99"/>
    <w:rsid w:val="001A2ECA"/>
    <w:rsid w:val="001B6A72"/>
    <w:rsid w:val="001C28E8"/>
    <w:rsid w:val="001D57FF"/>
    <w:rsid w:val="0021332C"/>
    <w:rsid w:val="00213982"/>
    <w:rsid w:val="00225950"/>
    <w:rsid w:val="0024416D"/>
    <w:rsid w:val="00256DED"/>
    <w:rsid w:val="00271872"/>
    <w:rsid w:val="00271911"/>
    <w:rsid w:val="002800A0"/>
    <w:rsid w:val="002801B3"/>
    <w:rsid w:val="0028091E"/>
    <w:rsid w:val="00281060"/>
    <w:rsid w:val="00284A12"/>
    <w:rsid w:val="0028693C"/>
    <w:rsid w:val="002940E8"/>
    <w:rsid w:val="00295ACF"/>
    <w:rsid w:val="002A6E50"/>
    <w:rsid w:val="002C256A"/>
    <w:rsid w:val="002D7111"/>
    <w:rsid w:val="00305A7F"/>
    <w:rsid w:val="003152FE"/>
    <w:rsid w:val="00327436"/>
    <w:rsid w:val="00333671"/>
    <w:rsid w:val="00341245"/>
    <w:rsid w:val="00344BD6"/>
    <w:rsid w:val="0035528D"/>
    <w:rsid w:val="00361821"/>
    <w:rsid w:val="003D227C"/>
    <w:rsid w:val="003D2B4D"/>
    <w:rsid w:val="003D59DE"/>
    <w:rsid w:val="003E606F"/>
    <w:rsid w:val="003F2D31"/>
    <w:rsid w:val="00405890"/>
    <w:rsid w:val="004327A8"/>
    <w:rsid w:val="00444A88"/>
    <w:rsid w:val="00454700"/>
    <w:rsid w:val="004573C5"/>
    <w:rsid w:val="00474DA4"/>
    <w:rsid w:val="00476B4D"/>
    <w:rsid w:val="004805FA"/>
    <w:rsid w:val="004935D2"/>
    <w:rsid w:val="004A4499"/>
    <w:rsid w:val="004B1215"/>
    <w:rsid w:val="004D047D"/>
    <w:rsid w:val="004D3623"/>
    <w:rsid w:val="004D678E"/>
    <w:rsid w:val="004F305A"/>
    <w:rsid w:val="00512164"/>
    <w:rsid w:val="00512964"/>
    <w:rsid w:val="00520297"/>
    <w:rsid w:val="005338F9"/>
    <w:rsid w:val="0054281C"/>
    <w:rsid w:val="0055268D"/>
    <w:rsid w:val="00553D37"/>
    <w:rsid w:val="00576BE4"/>
    <w:rsid w:val="0058674B"/>
    <w:rsid w:val="005A400A"/>
    <w:rsid w:val="00612379"/>
    <w:rsid w:val="0061555F"/>
    <w:rsid w:val="00641200"/>
    <w:rsid w:val="00641CCF"/>
    <w:rsid w:val="006430A7"/>
    <w:rsid w:val="00651ADF"/>
    <w:rsid w:val="006655D3"/>
    <w:rsid w:val="00667404"/>
    <w:rsid w:val="00680459"/>
    <w:rsid w:val="00687EB4"/>
    <w:rsid w:val="006B17D2"/>
    <w:rsid w:val="006C224E"/>
    <w:rsid w:val="006D10DC"/>
    <w:rsid w:val="006D6C36"/>
    <w:rsid w:val="006D780A"/>
    <w:rsid w:val="0071062E"/>
    <w:rsid w:val="007136B8"/>
    <w:rsid w:val="007165A7"/>
    <w:rsid w:val="0071667D"/>
    <w:rsid w:val="0072379E"/>
    <w:rsid w:val="00725910"/>
    <w:rsid w:val="00732DEC"/>
    <w:rsid w:val="00735BD5"/>
    <w:rsid w:val="00745649"/>
    <w:rsid w:val="007556F6"/>
    <w:rsid w:val="0075596B"/>
    <w:rsid w:val="00760EEF"/>
    <w:rsid w:val="00777EE5"/>
    <w:rsid w:val="00784836"/>
    <w:rsid w:val="0079023E"/>
    <w:rsid w:val="007A11E3"/>
    <w:rsid w:val="007A2854"/>
    <w:rsid w:val="007A611A"/>
    <w:rsid w:val="007D0B9D"/>
    <w:rsid w:val="007D19B0"/>
    <w:rsid w:val="007E761F"/>
    <w:rsid w:val="007F498F"/>
    <w:rsid w:val="007F74D2"/>
    <w:rsid w:val="0080679D"/>
    <w:rsid w:val="008108B0"/>
    <w:rsid w:val="00811B20"/>
    <w:rsid w:val="00811C6F"/>
    <w:rsid w:val="00822236"/>
    <w:rsid w:val="0082296E"/>
    <w:rsid w:val="00824099"/>
    <w:rsid w:val="00824B6E"/>
    <w:rsid w:val="00846D7C"/>
    <w:rsid w:val="00856477"/>
    <w:rsid w:val="00867AC1"/>
    <w:rsid w:val="008918AE"/>
    <w:rsid w:val="008A1B91"/>
    <w:rsid w:val="008A743F"/>
    <w:rsid w:val="008C0970"/>
    <w:rsid w:val="008D0BC5"/>
    <w:rsid w:val="008D2CF7"/>
    <w:rsid w:val="00900827"/>
    <w:rsid w:val="00900C26"/>
    <w:rsid w:val="0090197F"/>
    <w:rsid w:val="00906DDC"/>
    <w:rsid w:val="00934E09"/>
    <w:rsid w:val="00936253"/>
    <w:rsid w:val="00952DD4"/>
    <w:rsid w:val="00970FED"/>
    <w:rsid w:val="0098004A"/>
    <w:rsid w:val="00992D82"/>
    <w:rsid w:val="00993700"/>
    <w:rsid w:val="00997029"/>
    <w:rsid w:val="009B3398"/>
    <w:rsid w:val="009B440E"/>
    <w:rsid w:val="009D1A89"/>
    <w:rsid w:val="009D690D"/>
    <w:rsid w:val="009E56FD"/>
    <w:rsid w:val="009E65B6"/>
    <w:rsid w:val="00A003F0"/>
    <w:rsid w:val="00A10122"/>
    <w:rsid w:val="00A24C10"/>
    <w:rsid w:val="00A42AC3"/>
    <w:rsid w:val="00A430CF"/>
    <w:rsid w:val="00A54309"/>
    <w:rsid w:val="00AB2B93"/>
    <w:rsid w:val="00AB530F"/>
    <w:rsid w:val="00AB5CAC"/>
    <w:rsid w:val="00AB7E5B"/>
    <w:rsid w:val="00AE0EF1"/>
    <w:rsid w:val="00AE2937"/>
    <w:rsid w:val="00B07301"/>
    <w:rsid w:val="00B16331"/>
    <w:rsid w:val="00B224DE"/>
    <w:rsid w:val="00B324D4"/>
    <w:rsid w:val="00B46575"/>
    <w:rsid w:val="00B60B59"/>
    <w:rsid w:val="00B84BBD"/>
    <w:rsid w:val="00BA43FB"/>
    <w:rsid w:val="00BB0C3B"/>
    <w:rsid w:val="00BC127D"/>
    <w:rsid w:val="00BC1FE6"/>
    <w:rsid w:val="00BE17BD"/>
    <w:rsid w:val="00BE4987"/>
    <w:rsid w:val="00BF1A76"/>
    <w:rsid w:val="00C061B6"/>
    <w:rsid w:val="00C2446C"/>
    <w:rsid w:val="00C36AE5"/>
    <w:rsid w:val="00C41F17"/>
    <w:rsid w:val="00C5280D"/>
    <w:rsid w:val="00C5791C"/>
    <w:rsid w:val="00C66290"/>
    <w:rsid w:val="00C72B7A"/>
    <w:rsid w:val="00C973F2"/>
    <w:rsid w:val="00CA2D6E"/>
    <w:rsid w:val="00CA304C"/>
    <w:rsid w:val="00CA774A"/>
    <w:rsid w:val="00CC11B0"/>
    <w:rsid w:val="00CC3E5A"/>
    <w:rsid w:val="00CF4AF9"/>
    <w:rsid w:val="00CF7E36"/>
    <w:rsid w:val="00D107D9"/>
    <w:rsid w:val="00D362D4"/>
    <w:rsid w:val="00D3708D"/>
    <w:rsid w:val="00D40426"/>
    <w:rsid w:val="00D45EBA"/>
    <w:rsid w:val="00D57C96"/>
    <w:rsid w:val="00D91203"/>
    <w:rsid w:val="00D95174"/>
    <w:rsid w:val="00DA6F36"/>
    <w:rsid w:val="00DB2525"/>
    <w:rsid w:val="00DB596E"/>
    <w:rsid w:val="00DB7773"/>
    <w:rsid w:val="00DC00EA"/>
    <w:rsid w:val="00DF5ED0"/>
    <w:rsid w:val="00E1651D"/>
    <w:rsid w:val="00E32B2C"/>
    <w:rsid w:val="00E32F7E"/>
    <w:rsid w:val="00E45A06"/>
    <w:rsid w:val="00E543E8"/>
    <w:rsid w:val="00E62F80"/>
    <w:rsid w:val="00E72D49"/>
    <w:rsid w:val="00E7593C"/>
    <w:rsid w:val="00E7678A"/>
    <w:rsid w:val="00E935F1"/>
    <w:rsid w:val="00E94A81"/>
    <w:rsid w:val="00EA1FFB"/>
    <w:rsid w:val="00EA5E5D"/>
    <w:rsid w:val="00EB048E"/>
    <w:rsid w:val="00ED0F23"/>
    <w:rsid w:val="00EE34DF"/>
    <w:rsid w:val="00EF2F89"/>
    <w:rsid w:val="00F1237A"/>
    <w:rsid w:val="00F22CBD"/>
    <w:rsid w:val="00F27769"/>
    <w:rsid w:val="00F45372"/>
    <w:rsid w:val="00F560F7"/>
    <w:rsid w:val="00F6334D"/>
    <w:rsid w:val="00FA49AB"/>
    <w:rsid w:val="00FB1A86"/>
    <w:rsid w:val="00FD5047"/>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0F039B"/>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28091E"/>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41CCF"/>
    <w:pPr>
      <w:tabs>
        <w:tab w:val="right" w:leader="dot" w:pos="9639"/>
      </w:tabs>
      <w:ind w:right="851"/>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aliases w:val="VARIETY Char,variety Char"/>
    <w:basedOn w:val="DefaultParagraphFont"/>
    <w:link w:val="Heading2"/>
    <w:rsid w:val="000F039B"/>
    <w:rPr>
      <w:rFonts w:ascii="Arial" w:hAnsi="Arial"/>
      <w:u w:val="single"/>
    </w:rPr>
  </w:style>
  <w:style w:type="character" w:customStyle="1" w:styleId="DecisionParagraphsChar">
    <w:name w:val="DecisionParagraphs Char"/>
    <w:basedOn w:val="DefaultParagraphFont"/>
    <w:link w:val="DecisionParagraphs"/>
    <w:rsid w:val="00BF1A76"/>
    <w:rPr>
      <w:rFonts w:ascii="Arial" w:hAnsi="Arial"/>
      <w:i/>
    </w:rPr>
  </w:style>
  <w:style w:type="paragraph" w:styleId="ListParagraph">
    <w:name w:val="List Paragraph"/>
    <w:basedOn w:val="Normal"/>
    <w:uiPriority w:val="34"/>
    <w:qFormat/>
    <w:rsid w:val="00BF1A76"/>
    <w:pPr>
      <w:ind w:left="720"/>
      <w:contextualSpacing/>
    </w:pPr>
  </w:style>
  <w:style w:type="paragraph" w:customStyle="1" w:styleId="Style1">
    <w:name w:val="Style1"/>
    <w:basedOn w:val="Normal"/>
    <w:rsid w:val="00BF1A76"/>
    <w:pPr>
      <w:tabs>
        <w:tab w:val="decimal" w:pos="907"/>
        <w:tab w:val="left" w:pos="1077"/>
      </w:tabs>
    </w:pPr>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0F039B"/>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28091E"/>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41CCF"/>
    <w:pPr>
      <w:tabs>
        <w:tab w:val="right" w:leader="dot" w:pos="9639"/>
      </w:tabs>
      <w:ind w:right="851"/>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aliases w:val="VARIETY Char,variety Char"/>
    <w:basedOn w:val="DefaultParagraphFont"/>
    <w:link w:val="Heading2"/>
    <w:rsid w:val="000F039B"/>
    <w:rPr>
      <w:rFonts w:ascii="Arial" w:hAnsi="Arial"/>
      <w:u w:val="single"/>
    </w:rPr>
  </w:style>
  <w:style w:type="character" w:customStyle="1" w:styleId="DecisionParagraphsChar">
    <w:name w:val="DecisionParagraphs Char"/>
    <w:basedOn w:val="DefaultParagraphFont"/>
    <w:link w:val="DecisionParagraphs"/>
    <w:rsid w:val="00BF1A76"/>
    <w:rPr>
      <w:rFonts w:ascii="Arial" w:hAnsi="Arial"/>
      <w:i/>
    </w:rPr>
  </w:style>
  <w:style w:type="paragraph" w:styleId="ListParagraph">
    <w:name w:val="List Paragraph"/>
    <w:basedOn w:val="Normal"/>
    <w:uiPriority w:val="34"/>
    <w:qFormat/>
    <w:rsid w:val="00BF1A76"/>
    <w:pPr>
      <w:ind w:left="720"/>
      <w:contextualSpacing/>
    </w:pPr>
  </w:style>
  <w:style w:type="paragraph" w:customStyle="1" w:styleId="Style1">
    <w:name w:val="Style1"/>
    <w:basedOn w:val="Normal"/>
    <w:rsid w:val="00BF1A76"/>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2551</TotalTime>
  <Pages>5</Pages>
  <Words>1991</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61</cp:revision>
  <cp:lastPrinted>2015-02-09T08:45:00Z</cp:lastPrinted>
  <dcterms:created xsi:type="dcterms:W3CDTF">2014-11-06T13:13:00Z</dcterms:created>
  <dcterms:modified xsi:type="dcterms:W3CDTF">2015-02-09T08:46:00Z</dcterms:modified>
</cp:coreProperties>
</file>