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601FFD">
              <w:t>20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22146F">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4B4303" w:rsidRPr="00856C00">
              <w:rPr>
                <w:b w:val="0"/>
                <w:spacing w:val="0"/>
              </w:rPr>
              <w:t>January 2</w:t>
            </w:r>
            <w:r w:rsidR="0022146F" w:rsidRPr="00856C00">
              <w:rPr>
                <w:b w:val="0"/>
                <w:spacing w:val="0"/>
              </w:rPr>
              <w:t>5</w:t>
            </w:r>
            <w:r w:rsidR="0024416D" w:rsidRPr="00856C00">
              <w:rPr>
                <w:b w:val="0"/>
                <w:spacing w:val="0"/>
              </w:rPr>
              <w:t xml:space="preserve">, </w:t>
            </w:r>
            <w:r w:rsidR="001131D5" w:rsidRPr="00856C00">
              <w:rPr>
                <w:b w:val="0"/>
                <w:spacing w:val="0"/>
              </w:rPr>
              <w:t>201</w:t>
            </w:r>
            <w:r w:rsidR="004B1215" w:rsidRPr="00856C00">
              <w:rPr>
                <w:b w:val="0"/>
                <w:spacing w:val="0"/>
              </w:rPr>
              <w:t>5</w:t>
            </w:r>
            <w:bookmarkStart w:id="3" w:name="_GoBack"/>
            <w:bookmarkEnd w:id="3"/>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0D7780" w:rsidRPr="00D51394" w:rsidRDefault="00E93231" w:rsidP="006655D3">
      <w:pPr>
        <w:pStyle w:val="Titleofdoc0"/>
      </w:pPr>
      <w:bookmarkStart w:id="4" w:name="TitleOfDoc"/>
      <w:bookmarkEnd w:id="4"/>
      <w:r w:rsidRPr="00D51394">
        <w:rPr>
          <w:rFonts w:cs="Arial"/>
        </w:rPr>
        <w:t>Revision of document TGP/8:</w:t>
      </w:r>
      <w:r w:rsidR="00D51394">
        <w:rPr>
          <w:rFonts w:cs="Arial"/>
        </w:rPr>
        <w:t xml:space="preserve"> </w:t>
      </w:r>
      <w:r w:rsidRPr="00D51394">
        <w:rPr>
          <w:rFonts w:cs="Arial"/>
        </w:rPr>
        <w:t xml:space="preserve"> Part II:</w:t>
      </w:r>
      <w:r w:rsidR="00D51394">
        <w:rPr>
          <w:rFonts w:cs="Arial"/>
        </w:rPr>
        <w:t xml:space="preserve"> </w:t>
      </w:r>
      <w:r w:rsidRPr="00D51394">
        <w:rPr>
          <w:rFonts w:cs="Arial"/>
        </w:rPr>
        <w:t xml:space="preserve"> Selected Techniques Used in DUS</w:t>
      </w:r>
      <w:r w:rsidR="00D51394">
        <w:rPr>
          <w:rFonts w:cs="Arial"/>
        </w:rPr>
        <w:t xml:space="preserve"> Examination,</w:t>
      </w:r>
      <w:r w:rsidR="00D51394">
        <w:rPr>
          <w:rFonts w:cs="Arial"/>
        </w:rPr>
        <w:br/>
      </w:r>
      <w:r w:rsidRPr="00D51394">
        <w:rPr>
          <w:rFonts w:cs="Arial"/>
        </w:rPr>
        <w:t xml:space="preserve">New Section: </w:t>
      </w:r>
      <w:r w:rsidR="00D51394">
        <w:rPr>
          <w:rFonts w:cs="Arial"/>
        </w:rPr>
        <w:t xml:space="preserve"> </w:t>
      </w:r>
      <w:r w:rsidRPr="00D51394">
        <w:rPr>
          <w:rFonts w:cs="Arial"/>
        </w:rPr>
        <w:t xml:space="preserve">Guidance </w:t>
      </w:r>
      <w:r w:rsidR="00D51394">
        <w:rPr>
          <w:rFonts w:cs="Arial"/>
        </w:rPr>
        <w:t>for Blind Randomized Trials</w:t>
      </w:r>
    </w:p>
    <w:p w:rsidR="00050E16" w:rsidRPr="00C5280D" w:rsidRDefault="00AE0EF1" w:rsidP="00050E16">
      <w:pPr>
        <w:pStyle w:val="preparedby1"/>
      </w:pPr>
      <w:bookmarkStart w:id="5" w:name="Prepared"/>
      <w:bookmarkEnd w:id="5"/>
      <w:r w:rsidRPr="00E93231">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4B4303" w:rsidRDefault="004B4303" w:rsidP="004B4303">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a proposal for the development of guidance on blind randomized trials for inclusion in a future revision of document TGP/8</w:t>
      </w:r>
      <w:r>
        <w:t>.</w:t>
      </w:r>
    </w:p>
    <w:p w:rsidR="004B4303" w:rsidRDefault="004B4303" w:rsidP="004B4303">
      <w:pPr>
        <w:rPr>
          <w:rFonts w:cs="Arial"/>
          <w:lang w:eastAsia="ja-JP"/>
        </w:rPr>
      </w:pPr>
    </w:p>
    <w:p w:rsidR="004B4303" w:rsidRDefault="004B4303" w:rsidP="004B4303">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4B4303" w:rsidRDefault="004B4303" w:rsidP="004B4303">
      <w:pPr>
        <w:rPr>
          <w:rFonts w:cs="Arial"/>
          <w:color w:val="000000"/>
        </w:rPr>
      </w:pPr>
    </w:p>
    <w:p w:rsidR="004B4303" w:rsidRPr="00322838" w:rsidRDefault="004B4303" w:rsidP="004B4303">
      <w:pPr>
        <w:rPr>
          <w:rFonts w:cs="Arial"/>
        </w:rPr>
      </w:pPr>
      <w:r w:rsidRPr="00322838">
        <w:rPr>
          <w:rFonts w:cs="Arial"/>
        </w:rPr>
        <w:tab/>
        <w:t>TC:</w:t>
      </w:r>
      <w:r w:rsidRPr="00322838">
        <w:rPr>
          <w:rFonts w:cs="Arial"/>
        </w:rPr>
        <w:tab/>
      </w:r>
      <w:r w:rsidRPr="00322838">
        <w:rPr>
          <w:rFonts w:cs="Arial"/>
        </w:rPr>
        <w:tab/>
        <w:t>Technical Committee</w:t>
      </w:r>
    </w:p>
    <w:p w:rsidR="004B4303" w:rsidRPr="00322838" w:rsidRDefault="004B4303" w:rsidP="004B4303">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B4303" w:rsidRPr="00322838" w:rsidRDefault="004B4303" w:rsidP="004B4303">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B4303" w:rsidRPr="00322838" w:rsidRDefault="004B4303" w:rsidP="004B4303">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B4303" w:rsidRPr="00322838" w:rsidRDefault="004B4303" w:rsidP="004B4303">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B4303" w:rsidRPr="00322838" w:rsidRDefault="004B4303" w:rsidP="004B4303">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B4303" w:rsidRPr="00322838" w:rsidRDefault="004B4303" w:rsidP="004B4303">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B4303" w:rsidRPr="00322838" w:rsidRDefault="004B4303" w:rsidP="004B4303">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B4303" w:rsidRDefault="004B4303" w:rsidP="004B4303"/>
    <w:p w:rsidR="004B4303" w:rsidRDefault="004B4303" w:rsidP="004B4303">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B4303" w:rsidRPr="00A70561" w:rsidRDefault="004B4303" w:rsidP="004B4303">
      <w:pPr>
        <w:autoSpaceDE w:val="0"/>
        <w:autoSpaceDN w:val="0"/>
        <w:adjustRightInd w:val="0"/>
        <w:rPr>
          <w:rFonts w:eastAsia="MS Mincho"/>
          <w:color w:val="000000"/>
          <w:szCs w:val="16"/>
          <w:lang w:eastAsia="ja-JP"/>
        </w:rPr>
      </w:pPr>
    </w:p>
    <w:p w:rsidR="004B4303" w:rsidRDefault="004B4303" w:rsidP="004B4303">
      <w:pPr>
        <w:pStyle w:val="TOC1"/>
        <w:rPr>
          <w:rFonts w:asciiTheme="minorHAnsi" w:eastAsiaTheme="minorEastAsia" w:hAnsiTheme="minorHAnsi" w:cstheme="minorBidi"/>
          <w:caps w:val="0"/>
          <w:noProof/>
          <w:sz w:val="22"/>
          <w:szCs w:val="22"/>
        </w:rPr>
      </w:pPr>
      <w:r>
        <w:rPr>
          <w:caps w:val="0"/>
          <w:noProof/>
        </w:rPr>
        <w:fldChar w:fldCharType="begin"/>
      </w:r>
      <w:r>
        <w:rPr>
          <w:caps w:val="0"/>
        </w:rPr>
        <w:instrText xml:space="preserve"> TOC \o "1-3" \h \z \u </w:instrText>
      </w:r>
      <w:r>
        <w:rPr>
          <w:caps w:val="0"/>
          <w:noProof/>
        </w:rPr>
        <w:fldChar w:fldCharType="separate"/>
      </w:r>
      <w:hyperlink w:anchor="_Toc406149589" w:history="1">
        <w:r w:rsidRPr="00A6681E">
          <w:rPr>
            <w:rStyle w:val="Hyperlink"/>
            <w:noProof/>
          </w:rPr>
          <w:t>background</w:t>
        </w:r>
        <w:r>
          <w:rPr>
            <w:noProof/>
            <w:webHidden/>
          </w:rPr>
          <w:tab/>
        </w:r>
        <w:r>
          <w:rPr>
            <w:noProof/>
            <w:webHidden/>
          </w:rPr>
          <w:fldChar w:fldCharType="begin"/>
        </w:r>
        <w:r>
          <w:rPr>
            <w:noProof/>
            <w:webHidden/>
          </w:rPr>
          <w:instrText xml:space="preserve"> PAGEREF _Toc406149589 \h </w:instrText>
        </w:r>
        <w:r>
          <w:rPr>
            <w:noProof/>
            <w:webHidden/>
          </w:rPr>
        </w:r>
        <w:r>
          <w:rPr>
            <w:noProof/>
            <w:webHidden/>
          </w:rPr>
          <w:fldChar w:fldCharType="separate"/>
        </w:r>
        <w:r w:rsidR="00856C00">
          <w:rPr>
            <w:noProof/>
            <w:webHidden/>
          </w:rPr>
          <w:t>1</w:t>
        </w:r>
        <w:r>
          <w:rPr>
            <w:noProof/>
            <w:webHidden/>
          </w:rPr>
          <w:fldChar w:fldCharType="end"/>
        </w:r>
      </w:hyperlink>
    </w:p>
    <w:p w:rsidR="004B4303" w:rsidRDefault="00856C00" w:rsidP="004B4303">
      <w:pPr>
        <w:pStyle w:val="TOC1"/>
        <w:rPr>
          <w:rFonts w:asciiTheme="minorHAnsi" w:eastAsiaTheme="minorEastAsia" w:hAnsiTheme="minorHAnsi" w:cstheme="minorBidi"/>
          <w:caps w:val="0"/>
          <w:noProof/>
          <w:sz w:val="22"/>
          <w:szCs w:val="22"/>
        </w:rPr>
      </w:pPr>
      <w:hyperlink w:anchor="_Toc406149590" w:history="1">
        <w:r w:rsidR="004B4303" w:rsidRPr="00A6681E">
          <w:rPr>
            <w:rStyle w:val="Hyperlink"/>
            <w:noProof/>
          </w:rPr>
          <w:t>Comments by the technical committee in 2013</w:t>
        </w:r>
        <w:r w:rsidR="004B4303">
          <w:rPr>
            <w:noProof/>
            <w:webHidden/>
          </w:rPr>
          <w:tab/>
        </w:r>
        <w:r w:rsidR="004B4303">
          <w:rPr>
            <w:noProof/>
            <w:webHidden/>
          </w:rPr>
          <w:fldChar w:fldCharType="begin"/>
        </w:r>
        <w:r w:rsidR="004B4303">
          <w:rPr>
            <w:noProof/>
            <w:webHidden/>
          </w:rPr>
          <w:instrText xml:space="preserve"> PAGEREF _Toc406149590 \h </w:instrText>
        </w:r>
        <w:r w:rsidR="004B4303">
          <w:rPr>
            <w:noProof/>
            <w:webHidden/>
          </w:rPr>
        </w:r>
        <w:r w:rsidR="004B4303">
          <w:rPr>
            <w:noProof/>
            <w:webHidden/>
          </w:rPr>
          <w:fldChar w:fldCharType="separate"/>
        </w:r>
        <w:r>
          <w:rPr>
            <w:noProof/>
            <w:webHidden/>
          </w:rPr>
          <w:t>2</w:t>
        </w:r>
        <w:r w:rsidR="004B4303">
          <w:rPr>
            <w:noProof/>
            <w:webHidden/>
          </w:rPr>
          <w:fldChar w:fldCharType="end"/>
        </w:r>
      </w:hyperlink>
    </w:p>
    <w:p w:rsidR="004B4303" w:rsidRDefault="00856C00" w:rsidP="004B4303">
      <w:pPr>
        <w:pStyle w:val="TOC1"/>
        <w:rPr>
          <w:rFonts w:asciiTheme="minorHAnsi" w:eastAsiaTheme="minorEastAsia" w:hAnsiTheme="minorHAnsi" w:cstheme="minorBidi"/>
          <w:caps w:val="0"/>
          <w:noProof/>
          <w:sz w:val="22"/>
          <w:szCs w:val="22"/>
        </w:rPr>
      </w:pPr>
      <w:hyperlink w:anchor="_Toc406149591" w:history="1">
        <w:r w:rsidR="004B4303" w:rsidRPr="00A6681E">
          <w:rPr>
            <w:rStyle w:val="Hyperlink"/>
            <w:noProof/>
          </w:rPr>
          <w:t>Comments by the technical WORKING PARTIES in 2013</w:t>
        </w:r>
        <w:r w:rsidR="004B4303">
          <w:rPr>
            <w:noProof/>
            <w:webHidden/>
          </w:rPr>
          <w:tab/>
        </w:r>
        <w:r w:rsidR="004B4303">
          <w:rPr>
            <w:noProof/>
            <w:webHidden/>
          </w:rPr>
          <w:fldChar w:fldCharType="begin"/>
        </w:r>
        <w:r w:rsidR="004B4303">
          <w:rPr>
            <w:noProof/>
            <w:webHidden/>
          </w:rPr>
          <w:instrText xml:space="preserve"> PAGEREF _Toc406149591 \h </w:instrText>
        </w:r>
        <w:r w:rsidR="004B4303">
          <w:rPr>
            <w:noProof/>
            <w:webHidden/>
          </w:rPr>
        </w:r>
        <w:r w:rsidR="004B4303">
          <w:rPr>
            <w:noProof/>
            <w:webHidden/>
          </w:rPr>
          <w:fldChar w:fldCharType="separate"/>
        </w:r>
        <w:r>
          <w:rPr>
            <w:noProof/>
            <w:webHidden/>
          </w:rPr>
          <w:t>2</w:t>
        </w:r>
        <w:r w:rsidR="004B4303">
          <w:rPr>
            <w:noProof/>
            <w:webHidden/>
          </w:rPr>
          <w:fldChar w:fldCharType="end"/>
        </w:r>
      </w:hyperlink>
    </w:p>
    <w:p w:rsidR="004B4303" w:rsidRDefault="00856C00" w:rsidP="004B4303">
      <w:pPr>
        <w:pStyle w:val="TOC1"/>
        <w:rPr>
          <w:rFonts w:asciiTheme="minorHAnsi" w:eastAsiaTheme="minorEastAsia" w:hAnsiTheme="minorHAnsi" w:cstheme="minorBidi"/>
          <w:caps w:val="0"/>
          <w:noProof/>
          <w:sz w:val="22"/>
          <w:szCs w:val="22"/>
        </w:rPr>
      </w:pPr>
      <w:hyperlink w:anchor="_Toc406149592" w:history="1">
        <w:r w:rsidR="004B4303" w:rsidRPr="00A6681E">
          <w:rPr>
            <w:rStyle w:val="Hyperlink"/>
            <w:noProof/>
          </w:rPr>
          <w:t>Comments by the technical committee in 2014</w:t>
        </w:r>
        <w:r w:rsidR="004B4303">
          <w:rPr>
            <w:noProof/>
            <w:webHidden/>
          </w:rPr>
          <w:tab/>
        </w:r>
        <w:r w:rsidR="004B4303">
          <w:rPr>
            <w:noProof/>
            <w:webHidden/>
          </w:rPr>
          <w:fldChar w:fldCharType="begin"/>
        </w:r>
        <w:r w:rsidR="004B4303">
          <w:rPr>
            <w:noProof/>
            <w:webHidden/>
          </w:rPr>
          <w:instrText xml:space="preserve"> PAGEREF _Toc406149592 \h </w:instrText>
        </w:r>
        <w:r w:rsidR="004B4303">
          <w:rPr>
            <w:noProof/>
            <w:webHidden/>
          </w:rPr>
        </w:r>
        <w:r w:rsidR="004B4303">
          <w:rPr>
            <w:noProof/>
            <w:webHidden/>
          </w:rPr>
          <w:fldChar w:fldCharType="separate"/>
        </w:r>
        <w:r>
          <w:rPr>
            <w:noProof/>
            <w:webHidden/>
          </w:rPr>
          <w:t>3</w:t>
        </w:r>
        <w:r w:rsidR="004B4303">
          <w:rPr>
            <w:noProof/>
            <w:webHidden/>
          </w:rPr>
          <w:fldChar w:fldCharType="end"/>
        </w:r>
      </w:hyperlink>
    </w:p>
    <w:p w:rsidR="004B4303" w:rsidRDefault="00856C00" w:rsidP="004B4303">
      <w:pPr>
        <w:pStyle w:val="TOC1"/>
        <w:rPr>
          <w:rFonts w:asciiTheme="minorHAnsi" w:eastAsiaTheme="minorEastAsia" w:hAnsiTheme="minorHAnsi" w:cstheme="minorBidi"/>
          <w:caps w:val="0"/>
          <w:noProof/>
          <w:sz w:val="22"/>
          <w:szCs w:val="22"/>
        </w:rPr>
      </w:pPr>
      <w:hyperlink w:anchor="_Toc406149593" w:history="1">
        <w:r w:rsidR="004B4303" w:rsidRPr="00A6681E">
          <w:rPr>
            <w:rStyle w:val="Hyperlink"/>
            <w:noProof/>
          </w:rPr>
          <w:t>Comments by the technical WORKING PARTIES in 2014</w:t>
        </w:r>
        <w:r w:rsidR="004B4303">
          <w:rPr>
            <w:noProof/>
            <w:webHidden/>
          </w:rPr>
          <w:tab/>
        </w:r>
        <w:r w:rsidR="004B4303">
          <w:rPr>
            <w:noProof/>
            <w:webHidden/>
          </w:rPr>
          <w:fldChar w:fldCharType="begin"/>
        </w:r>
        <w:r w:rsidR="004B4303">
          <w:rPr>
            <w:noProof/>
            <w:webHidden/>
          </w:rPr>
          <w:instrText xml:space="preserve"> PAGEREF _Toc406149593 \h </w:instrText>
        </w:r>
        <w:r w:rsidR="004B4303">
          <w:rPr>
            <w:noProof/>
            <w:webHidden/>
          </w:rPr>
        </w:r>
        <w:r w:rsidR="004B4303">
          <w:rPr>
            <w:noProof/>
            <w:webHidden/>
          </w:rPr>
          <w:fldChar w:fldCharType="separate"/>
        </w:r>
        <w:r>
          <w:rPr>
            <w:noProof/>
            <w:webHidden/>
          </w:rPr>
          <w:t>4</w:t>
        </w:r>
        <w:r w:rsidR="004B4303">
          <w:rPr>
            <w:noProof/>
            <w:webHidden/>
          </w:rPr>
          <w:fldChar w:fldCharType="end"/>
        </w:r>
      </w:hyperlink>
    </w:p>
    <w:p w:rsidR="004B4303" w:rsidRDefault="00856C00" w:rsidP="004B4303">
      <w:pPr>
        <w:pStyle w:val="TOC1"/>
        <w:rPr>
          <w:rFonts w:asciiTheme="minorHAnsi" w:eastAsiaTheme="minorEastAsia" w:hAnsiTheme="minorHAnsi" w:cstheme="minorBidi"/>
          <w:caps w:val="0"/>
          <w:noProof/>
          <w:sz w:val="22"/>
          <w:szCs w:val="22"/>
        </w:rPr>
      </w:pPr>
      <w:hyperlink w:anchor="_Toc406149594" w:history="1">
        <w:r w:rsidR="004B4303" w:rsidRPr="00A6681E">
          <w:rPr>
            <w:rStyle w:val="Hyperlink"/>
            <w:noProof/>
          </w:rPr>
          <w:t>next steps</w:t>
        </w:r>
        <w:r w:rsidR="004B4303">
          <w:rPr>
            <w:noProof/>
            <w:webHidden/>
          </w:rPr>
          <w:tab/>
        </w:r>
        <w:r w:rsidR="004B4303">
          <w:rPr>
            <w:noProof/>
            <w:webHidden/>
          </w:rPr>
          <w:fldChar w:fldCharType="begin"/>
        </w:r>
        <w:r w:rsidR="004B4303">
          <w:rPr>
            <w:noProof/>
            <w:webHidden/>
          </w:rPr>
          <w:instrText xml:space="preserve"> PAGEREF _Toc406149594 \h </w:instrText>
        </w:r>
        <w:r w:rsidR="004B4303">
          <w:rPr>
            <w:noProof/>
            <w:webHidden/>
          </w:rPr>
        </w:r>
        <w:r w:rsidR="004B4303">
          <w:rPr>
            <w:noProof/>
            <w:webHidden/>
          </w:rPr>
          <w:fldChar w:fldCharType="separate"/>
        </w:r>
        <w:r>
          <w:rPr>
            <w:noProof/>
            <w:webHidden/>
          </w:rPr>
          <w:t>5</w:t>
        </w:r>
        <w:r w:rsidR="004B4303">
          <w:rPr>
            <w:noProof/>
            <w:webHidden/>
          </w:rPr>
          <w:fldChar w:fldCharType="end"/>
        </w:r>
      </w:hyperlink>
    </w:p>
    <w:p w:rsidR="004B4303" w:rsidRDefault="004B4303" w:rsidP="004B4303">
      <w:pPr>
        <w:rPr>
          <w:rFonts w:eastAsia="MS Mincho"/>
          <w:color w:val="000000"/>
          <w:szCs w:val="24"/>
          <w:lang w:eastAsia="ja-JP"/>
        </w:rPr>
      </w:pPr>
      <w:r>
        <w:rPr>
          <w:caps/>
        </w:rPr>
        <w:fldChar w:fldCharType="end"/>
      </w:r>
    </w:p>
    <w:p w:rsidR="004B4303" w:rsidRPr="002B2C0C" w:rsidRDefault="004B4303" w:rsidP="004B4303">
      <w:pPr>
        <w:spacing w:after="60"/>
        <w:rPr>
          <w:caps/>
        </w:rPr>
      </w:pPr>
      <w:r w:rsidRPr="002B2C0C">
        <w:rPr>
          <w:rFonts w:eastAsia="MS Mincho"/>
          <w:color w:val="000000"/>
          <w:szCs w:val="24"/>
          <w:lang w:eastAsia="ja-JP"/>
        </w:rPr>
        <w:t>ANNEX I:</w:t>
      </w:r>
      <w:r w:rsidRPr="002B2C0C">
        <w:rPr>
          <w:rFonts w:eastAsia="MS Mincho"/>
          <w:color w:val="000000"/>
          <w:szCs w:val="24"/>
          <w:lang w:eastAsia="ja-JP"/>
        </w:rPr>
        <w:tab/>
      </w:r>
      <w:r w:rsidRPr="002B2C0C">
        <w:rPr>
          <w:rFonts w:eastAsia="MS Mincho"/>
          <w:color w:val="000000"/>
          <w:szCs w:val="24"/>
          <w:lang w:eastAsia="ja-JP"/>
        </w:rPr>
        <w:tab/>
        <w:t>Draft guidance considered by the TWPs</w:t>
      </w:r>
      <w:r w:rsidRPr="002B2C0C">
        <w:t xml:space="preserve"> at their sessions in 2013 and 2014</w:t>
      </w:r>
    </w:p>
    <w:p w:rsidR="004B4303" w:rsidRPr="00AF56B5" w:rsidRDefault="004B4303" w:rsidP="004B4303">
      <w:pPr>
        <w:spacing w:after="60"/>
        <w:ind w:left="1701" w:hanging="1701"/>
      </w:pPr>
      <w:r w:rsidRPr="002B2C0C">
        <w:rPr>
          <w:rFonts w:eastAsia="MS Mincho"/>
          <w:color w:val="000000"/>
          <w:szCs w:val="24"/>
          <w:lang w:eastAsia="ja-JP"/>
        </w:rPr>
        <w:t>ANNEX II:</w:t>
      </w:r>
      <w:r w:rsidRPr="002B2C0C">
        <w:rPr>
          <w:rFonts w:eastAsia="MS Mincho"/>
          <w:color w:val="000000"/>
          <w:szCs w:val="24"/>
          <w:lang w:eastAsia="ja-JP"/>
        </w:rPr>
        <w:tab/>
        <w:t>Extract from documents TGP/9/1: Examining distinctness: Section 6 “Supplementary procedures”: Subsection 6.4: “Use of randomized ‘blind’ testing” and TGP/8/1: Part I: DUS trial design and data analysis: Section 1.5.3.4 “Blind Randomized Trials”</w:t>
      </w:r>
    </w:p>
    <w:p w:rsidR="004B4303" w:rsidRPr="0083609F" w:rsidRDefault="004B4303" w:rsidP="004B4303">
      <w:pPr>
        <w:tabs>
          <w:tab w:val="left" w:pos="1710"/>
        </w:tabs>
        <w:ind w:left="1710" w:hanging="1710"/>
        <w:rPr>
          <w:caps/>
          <w:u w:val="single"/>
        </w:rPr>
      </w:pPr>
    </w:p>
    <w:p w:rsidR="004B4303" w:rsidRDefault="004B4303" w:rsidP="004B4303"/>
    <w:p w:rsidR="004B4303" w:rsidRPr="00EA7F8D" w:rsidRDefault="004B4303" w:rsidP="004B4303"/>
    <w:p w:rsidR="004B4303" w:rsidRDefault="004B4303" w:rsidP="004B4303">
      <w:pPr>
        <w:pStyle w:val="Heading1"/>
      </w:pPr>
      <w:bookmarkStart w:id="6" w:name="_Toc406149589"/>
      <w:r>
        <w:t>background</w:t>
      </w:r>
      <w:bookmarkEnd w:id="6"/>
    </w:p>
    <w:p w:rsidR="004B4303" w:rsidRDefault="004B4303" w:rsidP="004B4303"/>
    <w:p w:rsidR="004B4303" w:rsidRDefault="004B4303" w:rsidP="004B4303">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4B4303" w:rsidRDefault="004B4303" w:rsidP="004B4303">
      <w:pPr>
        <w:pStyle w:val="Heading1"/>
      </w:pPr>
      <w:bookmarkStart w:id="7" w:name="_Toc406149590"/>
      <w:r w:rsidRPr="00FA7008">
        <w:lastRenderedPageBreak/>
        <w:t xml:space="preserve">Comments by the </w:t>
      </w:r>
      <w:r>
        <w:t xml:space="preserve">technical committee </w:t>
      </w:r>
      <w:r w:rsidRPr="00FA7008">
        <w:t>in 201</w:t>
      </w:r>
      <w:r>
        <w:t>3</w:t>
      </w:r>
      <w:bookmarkEnd w:id="7"/>
      <w:r w:rsidRPr="00FA7008">
        <w:t xml:space="preserve"> </w:t>
      </w:r>
    </w:p>
    <w:p w:rsidR="004B4303" w:rsidRDefault="004B4303" w:rsidP="004B4303"/>
    <w:p w:rsidR="004B4303" w:rsidRPr="00AF342C" w:rsidRDefault="004B4303" w:rsidP="004B4303">
      <w:pPr>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4B4303" w:rsidRDefault="004B4303" w:rsidP="004B4303"/>
    <w:p w:rsidR="004B4303" w:rsidRDefault="004B4303" w:rsidP="004B4303">
      <w:pPr>
        <w:pStyle w:val="Heading1"/>
      </w:pPr>
      <w:bookmarkStart w:id="8" w:name="_Toc406149591"/>
      <w:r w:rsidRPr="00FA7008">
        <w:t xml:space="preserve">Comments by the </w:t>
      </w:r>
      <w:r>
        <w:t xml:space="preserve">technical WORKING PARTIES </w:t>
      </w:r>
      <w:r w:rsidRPr="00FA7008">
        <w:t>in 201</w:t>
      </w:r>
      <w:r>
        <w:t>3</w:t>
      </w:r>
      <w:bookmarkEnd w:id="8"/>
      <w:r w:rsidRPr="00FA7008">
        <w:t xml:space="preserve"> </w:t>
      </w:r>
    </w:p>
    <w:p w:rsidR="004B4303" w:rsidRPr="00046F70" w:rsidRDefault="004B4303" w:rsidP="004B4303"/>
    <w:p w:rsidR="004B4303" w:rsidRPr="00100526" w:rsidRDefault="004B4303" w:rsidP="004B4303">
      <w:r w:rsidRPr="00181D15">
        <w:fldChar w:fldCharType="begin"/>
      </w:r>
      <w:r w:rsidRPr="00181D15">
        <w:instrText xml:space="preserve"> AUTONUM  </w:instrText>
      </w:r>
      <w:r w:rsidRPr="00181D15">
        <w:fldChar w:fldCharType="end"/>
      </w:r>
      <w:r w:rsidRPr="00181D15">
        <w:tab/>
        <w:t>At their sessions in 2013, the TWO, TWF, TWV, TWC and TWA considered documents TWO/46/19,</w:t>
      </w:r>
      <w:r w:rsidRPr="00100526">
        <w:rPr>
          <w:rFonts w:cs="Arial"/>
        </w:rPr>
        <w:t xml:space="preserve">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which contained the draft guidance reproduced in Annex I to this document.</w:t>
      </w:r>
    </w:p>
    <w:p w:rsidR="004B4303" w:rsidRDefault="004B4303" w:rsidP="004B4303"/>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4B4303" w:rsidRPr="00FE540A" w:rsidTr="0079452C">
        <w:trPr>
          <w:cantSplit/>
        </w:trPr>
        <w:tc>
          <w:tcPr>
            <w:tcW w:w="1418" w:type="dxa"/>
            <w:shd w:val="clear" w:color="auto" w:fill="auto"/>
          </w:tcPr>
          <w:p w:rsidR="004B4303" w:rsidRPr="005163AC" w:rsidRDefault="004B4303" w:rsidP="0079452C">
            <w:pPr>
              <w:jc w:val="left"/>
              <w:rPr>
                <w:rFonts w:cs="Arial"/>
              </w:rPr>
            </w:pPr>
            <w:r w:rsidRPr="005163AC">
              <w:rPr>
                <w:rFonts w:cs="Arial"/>
              </w:rPr>
              <w:t>General</w:t>
            </w:r>
          </w:p>
        </w:tc>
        <w:tc>
          <w:tcPr>
            <w:tcW w:w="7348" w:type="dxa"/>
            <w:shd w:val="clear" w:color="auto" w:fill="auto"/>
          </w:tcPr>
          <w:p w:rsidR="004B4303" w:rsidRPr="00143E49" w:rsidRDefault="004B4303" w:rsidP="0079452C">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4B4303" w:rsidRPr="005163AC" w:rsidRDefault="004B4303" w:rsidP="0079452C">
            <w:pPr>
              <w:pStyle w:val="Titleofdoc0"/>
              <w:spacing w:before="0"/>
              <w:jc w:val="both"/>
              <w:rPr>
                <w:rFonts w:cs="Arial"/>
              </w:rPr>
            </w:pPr>
          </w:p>
        </w:tc>
        <w:tc>
          <w:tcPr>
            <w:tcW w:w="839" w:type="dxa"/>
            <w:shd w:val="clear" w:color="auto" w:fill="auto"/>
          </w:tcPr>
          <w:p w:rsidR="004B4303" w:rsidRDefault="004B4303" w:rsidP="0079452C">
            <w:r>
              <w:t xml:space="preserve">TWO </w:t>
            </w:r>
          </w:p>
        </w:tc>
      </w:tr>
      <w:tr w:rsidR="004B4303" w:rsidRPr="00FE540A" w:rsidTr="0079452C">
        <w:trPr>
          <w:cantSplit/>
        </w:trPr>
        <w:tc>
          <w:tcPr>
            <w:tcW w:w="1418" w:type="dxa"/>
            <w:shd w:val="clear" w:color="auto" w:fill="auto"/>
          </w:tcPr>
          <w:p w:rsidR="004B4303" w:rsidRPr="005163AC" w:rsidRDefault="004B4303" w:rsidP="0079452C"/>
        </w:tc>
        <w:tc>
          <w:tcPr>
            <w:tcW w:w="7348" w:type="dxa"/>
            <w:shd w:val="clear" w:color="auto" w:fill="auto"/>
          </w:tcPr>
          <w:p w:rsidR="004B4303" w:rsidRPr="00462D28" w:rsidRDefault="004B4303" w:rsidP="0079452C">
            <w:r w:rsidRPr="00462D28">
              <w:t>The TWF noted the comments made by the TWPs at their sessions in 2012 and the TC-EDC in 2013, and considered the draft new Section on “Guidance for Data Analysis for Blind Randomized Trials”</w:t>
            </w:r>
            <w:r>
              <w:t xml:space="preserve"> </w:t>
            </w:r>
            <w:r w:rsidRPr="00100526">
              <w:t>(see document TW</w:t>
            </w:r>
            <w:r>
              <w:t>F</w:t>
            </w:r>
            <w:r w:rsidRPr="00100526">
              <w:t>/</w:t>
            </w:r>
            <w:r>
              <w:t>44</w:t>
            </w:r>
            <w:r w:rsidRPr="00100526">
              <w:t>/</w:t>
            </w:r>
            <w:r>
              <w:t>31</w:t>
            </w:r>
            <w:r w:rsidRPr="00100526">
              <w:t xml:space="preserve"> “Report”, paragraph</w:t>
            </w:r>
            <w:r>
              <w:t> 48</w:t>
            </w:r>
            <w:r w:rsidRPr="00100526">
              <w:t>)</w:t>
            </w:r>
            <w:r>
              <w:t>.</w:t>
            </w:r>
          </w:p>
          <w:p w:rsidR="004B4303" w:rsidRPr="00462D28" w:rsidRDefault="004B4303" w:rsidP="0079452C"/>
          <w:p w:rsidR="004B4303" w:rsidRPr="00462D28" w:rsidRDefault="004B4303" w:rsidP="0079452C">
            <w:r w:rsidRPr="00462D28">
              <w:t xml:space="preserve">The TWF agreed that the drafter should further develop the guidance as set out in </w:t>
            </w:r>
            <w:r w:rsidRPr="00462D28">
              <w:rPr>
                <w:bCs/>
              </w:rPr>
              <w:t xml:space="preserve">Annex II to document TWF/44/19 on </w:t>
            </w:r>
            <w:r w:rsidRPr="00462D28">
              <w:rPr>
                <w:lang w:eastAsia="ja-JP"/>
              </w:rPr>
              <w:t>draft guidance on data analysis for blind randomized trials for inclusion in a future revision of document TGP/8</w:t>
            </w:r>
            <w:r>
              <w:rPr>
                <w:lang w:eastAsia="ja-JP"/>
              </w:rPr>
              <w:t xml:space="preserve"> </w:t>
            </w:r>
            <w:r w:rsidRPr="00100526">
              <w:t>(see document</w:t>
            </w:r>
            <w:r>
              <w:t> </w:t>
            </w:r>
            <w:r w:rsidRPr="00100526">
              <w:t>TW</w:t>
            </w:r>
            <w:r>
              <w:t>F</w:t>
            </w:r>
            <w:r w:rsidRPr="00100526">
              <w:t>/</w:t>
            </w:r>
            <w:r>
              <w:t>44</w:t>
            </w:r>
            <w:r w:rsidRPr="00100526">
              <w:t>/</w:t>
            </w:r>
            <w:r>
              <w:t>31</w:t>
            </w:r>
            <w:r w:rsidRPr="00100526">
              <w:t xml:space="preserve"> “Report”, paragraph</w:t>
            </w:r>
            <w:r>
              <w:t> 49</w:t>
            </w:r>
            <w:r w:rsidRPr="00100526">
              <w:t>)</w:t>
            </w:r>
            <w:r w:rsidRPr="00462D28">
              <w:rPr>
                <w:lang w:eastAsia="ja-JP"/>
              </w:rPr>
              <w:t>.</w:t>
            </w:r>
          </w:p>
          <w:p w:rsidR="004B4303" w:rsidRPr="00CC4F79" w:rsidRDefault="004B4303" w:rsidP="0079452C"/>
        </w:tc>
        <w:tc>
          <w:tcPr>
            <w:tcW w:w="839" w:type="dxa"/>
            <w:shd w:val="clear" w:color="auto" w:fill="auto"/>
          </w:tcPr>
          <w:p w:rsidR="004B4303" w:rsidRDefault="004B4303" w:rsidP="0079452C">
            <w:r>
              <w:t xml:space="preserve">TWF </w:t>
            </w:r>
          </w:p>
        </w:tc>
      </w:tr>
      <w:tr w:rsidR="004B4303" w:rsidRPr="00FE540A" w:rsidTr="0079452C">
        <w:trPr>
          <w:cantSplit/>
        </w:trPr>
        <w:tc>
          <w:tcPr>
            <w:tcW w:w="1418" w:type="dxa"/>
            <w:shd w:val="clear" w:color="auto" w:fill="auto"/>
          </w:tcPr>
          <w:p w:rsidR="004B4303" w:rsidRPr="005163AC" w:rsidRDefault="004B4303" w:rsidP="0079452C">
            <w:pPr>
              <w:jc w:val="left"/>
              <w:rPr>
                <w:rFonts w:cs="Arial"/>
              </w:rPr>
            </w:pPr>
          </w:p>
        </w:tc>
        <w:tc>
          <w:tcPr>
            <w:tcW w:w="7348" w:type="dxa"/>
            <w:shd w:val="clear" w:color="auto" w:fill="auto"/>
          </w:tcPr>
          <w:p w:rsidR="004B4303" w:rsidRPr="00BD6040" w:rsidRDefault="004B4303" w:rsidP="0079452C">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4B4303" w:rsidRPr="00CC4F79" w:rsidRDefault="004B4303" w:rsidP="0079452C"/>
        </w:tc>
        <w:tc>
          <w:tcPr>
            <w:tcW w:w="839" w:type="dxa"/>
            <w:shd w:val="clear" w:color="auto" w:fill="auto"/>
          </w:tcPr>
          <w:p w:rsidR="004B4303" w:rsidRDefault="004B4303" w:rsidP="0079452C">
            <w:r>
              <w:t>TWV</w:t>
            </w:r>
          </w:p>
        </w:tc>
      </w:tr>
      <w:tr w:rsidR="004B4303" w:rsidRPr="00FE540A" w:rsidTr="0079452C">
        <w:trPr>
          <w:cantSplit/>
        </w:trPr>
        <w:tc>
          <w:tcPr>
            <w:tcW w:w="1418" w:type="dxa"/>
            <w:shd w:val="clear" w:color="auto" w:fill="auto"/>
          </w:tcPr>
          <w:p w:rsidR="004B4303" w:rsidRPr="005163AC" w:rsidRDefault="004B4303" w:rsidP="0079452C">
            <w:pPr>
              <w:jc w:val="left"/>
              <w:rPr>
                <w:rFonts w:cs="Arial"/>
              </w:rPr>
            </w:pPr>
          </w:p>
        </w:tc>
        <w:tc>
          <w:tcPr>
            <w:tcW w:w="7348" w:type="dxa"/>
            <w:shd w:val="clear" w:color="auto" w:fill="auto"/>
          </w:tcPr>
          <w:p w:rsidR="004B4303" w:rsidRPr="008232BD" w:rsidRDefault="004B4303" w:rsidP="0079452C">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4B4303" w:rsidRDefault="004B4303" w:rsidP="0079452C"/>
        </w:tc>
        <w:tc>
          <w:tcPr>
            <w:tcW w:w="839" w:type="dxa"/>
            <w:shd w:val="clear" w:color="auto" w:fill="auto"/>
          </w:tcPr>
          <w:p w:rsidR="004B4303" w:rsidRDefault="004B4303" w:rsidP="0079452C">
            <w:r>
              <w:t>TWC</w:t>
            </w:r>
          </w:p>
        </w:tc>
      </w:tr>
      <w:tr w:rsidR="004B4303" w:rsidRPr="00FE540A" w:rsidTr="0079452C">
        <w:trPr>
          <w:cantSplit/>
        </w:trPr>
        <w:tc>
          <w:tcPr>
            <w:tcW w:w="1418" w:type="dxa"/>
            <w:shd w:val="clear" w:color="auto" w:fill="auto"/>
          </w:tcPr>
          <w:p w:rsidR="004B4303" w:rsidRPr="005163AC" w:rsidRDefault="004B4303" w:rsidP="0079452C">
            <w:pPr>
              <w:jc w:val="left"/>
              <w:rPr>
                <w:rFonts w:cs="Arial"/>
              </w:rPr>
            </w:pPr>
          </w:p>
        </w:tc>
        <w:tc>
          <w:tcPr>
            <w:tcW w:w="7348" w:type="dxa"/>
            <w:shd w:val="clear" w:color="auto" w:fill="auto"/>
          </w:tcPr>
          <w:p w:rsidR="004B4303" w:rsidRPr="00BD6040" w:rsidRDefault="004B4303" w:rsidP="0079452C">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4B4303" w:rsidRPr="00BD6040" w:rsidRDefault="004B4303" w:rsidP="0079452C"/>
          <w:p w:rsidR="004B4303" w:rsidRDefault="004B4303" w:rsidP="0079452C">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4B4303" w:rsidRDefault="004B4303" w:rsidP="0079452C"/>
          <w:p w:rsidR="004B4303" w:rsidRDefault="004B4303" w:rsidP="0079452C">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4B4303" w:rsidRPr="005163AC" w:rsidRDefault="004B4303" w:rsidP="0079452C">
            <w:pPr>
              <w:keepNext/>
              <w:rPr>
                <w:rFonts w:cs="Arial"/>
              </w:rPr>
            </w:pPr>
          </w:p>
        </w:tc>
        <w:tc>
          <w:tcPr>
            <w:tcW w:w="839" w:type="dxa"/>
            <w:shd w:val="clear" w:color="auto" w:fill="auto"/>
          </w:tcPr>
          <w:p w:rsidR="004B4303" w:rsidRDefault="004B4303" w:rsidP="0079452C">
            <w:r>
              <w:t>TWA</w:t>
            </w:r>
          </w:p>
        </w:tc>
      </w:tr>
      <w:tr w:rsidR="004B4303" w:rsidRPr="00FE540A" w:rsidTr="0079452C">
        <w:trPr>
          <w:cantSplit/>
        </w:trPr>
        <w:tc>
          <w:tcPr>
            <w:tcW w:w="1418" w:type="dxa"/>
            <w:shd w:val="clear" w:color="auto" w:fill="auto"/>
          </w:tcPr>
          <w:p w:rsidR="004B4303" w:rsidRPr="005163AC" w:rsidRDefault="004B4303" w:rsidP="0079452C">
            <w:pPr>
              <w:jc w:val="left"/>
              <w:rPr>
                <w:rFonts w:cs="Arial"/>
              </w:rPr>
            </w:pPr>
            <w:r>
              <w:rPr>
                <w:rFonts w:cs="Arial"/>
              </w:rPr>
              <w:t xml:space="preserve">Title </w:t>
            </w:r>
          </w:p>
        </w:tc>
        <w:tc>
          <w:tcPr>
            <w:tcW w:w="7348" w:type="dxa"/>
            <w:shd w:val="clear" w:color="auto" w:fill="auto"/>
          </w:tcPr>
          <w:p w:rsidR="004B4303" w:rsidRPr="00143E49" w:rsidRDefault="004B4303" w:rsidP="0079452C">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4B4303" w:rsidRPr="00BD6040" w:rsidRDefault="004B4303" w:rsidP="0079452C"/>
        </w:tc>
        <w:tc>
          <w:tcPr>
            <w:tcW w:w="839" w:type="dxa"/>
            <w:shd w:val="clear" w:color="auto" w:fill="auto"/>
          </w:tcPr>
          <w:p w:rsidR="004B4303" w:rsidRDefault="004B4303" w:rsidP="0079452C">
            <w:r>
              <w:t>TWO</w:t>
            </w:r>
          </w:p>
        </w:tc>
      </w:tr>
      <w:tr w:rsidR="004B4303" w:rsidRPr="00FE540A" w:rsidTr="0079452C">
        <w:trPr>
          <w:cantSplit/>
        </w:trPr>
        <w:tc>
          <w:tcPr>
            <w:tcW w:w="1418" w:type="dxa"/>
            <w:shd w:val="clear" w:color="auto" w:fill="auto"/>
          </w:tcPr>
          <w:p w:rsidR="004B4303" w:rsidRDefault="004B4303" w:rsidP="0079452C">
            <w:pPr>
              <w:jc w:val="left"/>
              <w:rPr>
                <w:rFonts w:cs="Arial"/>
              </w:rPr>
            </w:pPr>
            <w:r>
              <w:rPr>
                <w:rFonts w:cs="Arial"/>
              </w:rPr>
              <w:t>Introduction</w:t>
            </w:r>
          </w:p>
        </w:tc>
        <w:tc>
          <w:tcPr>
            <w:tcW w:w="7348" w:type="dxa"/>
            <w:shd w:val="clear" w:color="auto" w:fill="auto"/>
          </w:tcPr>
          <w:p w:rsidR="004B4303" w:rsidRPr="00143E49" w:rsidRDefault="004B4303" w:rsidP="0079452C">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4B4303" w:rsidRPr="00143E49" w:rsidRDefault="004B4303" w:rsidP="0079452C">
            <w:pPr>
              <w:pStyle w:val="Titleofdoc0"/>
              <w:spacing w:before="0"/>
              <w:jc w:val="both"/>
              <w:rPr>
                <w:rFonts w:cs="Arial"/>
                <w:caps w:val="0"/>
              </w:rPr>
            </w:pPr>
          </w:p>
        </w:tc>
        <w:tc>
          <w:tcPr>
            <w:tcW w:w="839" w:type="dxa"/>
            <w:shd w:val="clear" w:color="auto" w:fill="auto"/>
          </w:tcPr>
          <w:p w:rsidR="004B4303" w:rsidRDefault="004B4303" w:rsidP="0079452C">
            <w:r>
              <w:t>TWO</w:t>
            </w:r>
          </w:p>
        </w:tc>
      </w:tr>
      <w:tr w:rsidR="004B4303" w:rsidRPr="00FE540A" w:rsidTr="0079452C">
        <w:trPr>
          <w:cantSplit/>
        </w:trPr>
        <w:tc>
          <w:tcPr>
            <w:tcW w:w="1418" w:type="dxa"/>
            <w:shd w:val="clear" w:color="auto" w:fill="auto"/>
          </w:tcPr>
          <w:p w:rsidR="004B4303" w:rsidRDefault="004B4303" w:rsidP="0079452C">
            <w:pPr>
              <w:jc w:val="left"/>
              <w:rPr>
                <w:rFonts w:cs="Arial"/>
              </w:rPr>
            </w:pPr>
            <w:r>
              <w:rPr>
                <w:rFonts w:cs="Arial"/>
              </w:rPr>
              <w:lastRenderedPageBreak/>
              <w:t xml:space="preserve">Origin of the material / Authorization for use of certain reference varieties </w:t>
            </w:r>
          </w:p>
          <w:p w:rsidR="004B4303" w:rsidRDefault="004B4303" w:rsidP="0079452C">
            <w:pPr>
              <w:jc w:val="left"/>
              <w:rPr>
                <w:rFonts w:cs="Arial"/>
              </w:rPr>
            </w:pPr>
          </w:p>
        </w:tc>
        <w:tc>
          <w:tcPr>
            <w:tcW w:w="7348" w:type="dxa"/>
            <w:shd w:val="clear" w:color="auto" w:fill="auto"/>
          </w:tcPr>
          <w:p w:rsidR="004B4303" w:rsidRPr="00700478" w:rsidRDefault="004B4303" w:rsidP="0079452C">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4B4303" w:rsidRPr="00143E49" w:rsidRDefault="004B4303" w:rsidP="0079452C">
            <w:pPr>
              <w:pStyle w:val="Titleofdoc0"/>
              <w:spacing w:before="0"/>
              <w:jc w:val="both"/>
              <w:rPr>
                <w:rFonts w:cs="Arial"/>
                <w:caps w:val="0"/>
              </w:rPr>
            </w:pPr>
          </w:p>
        </w:tc>
        <w:tc>
          <w:tcPr>
            <w:tcW w:w="839" w:type="dxa"/>
            <w:shd w:val="clear" w:color="auto" w:fill="auto"/>
          </w:tcPr>
          <w:p w:rsidR="004B4303" w:rsidRDefault="004B4303" w:rsidP="0079452C">
            <w:r>
              <w:t>TWV</w:t>
            </w:r>
          </w:p>
        </w:tc>
      </w:tr>
      <w:tr w:rsidR="004B4303" w:rsidRPr="00FE540A" w:rsidTr="0079452C">
        <w:trPr>
          <w:cantSplit/>
        </w:trPr>
        <w:tc>
          <w:tcPr>
            <w:tcW w:w="1418" w:type="dxa"/>
            <w:shd w:val="clear" w:color="auto" w:fill="auto"/>
          </w:tcPr>
          <w:p w:rsidR="004B4303" w:rsidRDefault="004B4303" w:rsidP="0079452C">
            <w:pPr>
              <w:jc w:val="left"/>
              <w:rPr>
                <w:rFonts w:cs="Arial"/>
              </w:rPr>
            </w:pPr>
            <w:r>
              <w:rPr>
                <w:rFonts w:cs="Arial"/>
              </w:rPr>
              <w:t>Preparation of the trial</w:t>
            </w:r>
          </w:p>
        </w:tc>
        <w:tc>
          <w:tcPr>
            <w:tcW w:w="7348" w:type="dxa"/>
            <w:shd w:val="clear" w:color="auto" w:fill="auto"/>
          </w:tcPr>
          <w:p w:rsidR="004B4303" w:rsidRDefault="004B4303" w:rsidP="0079452C">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4B4303" w:rsidRDefault="004B4303" w:rsidP="0079452C">
            <w:pPr>
              <w:rPr>
                <w:rFonts w:cs="Arial"/>
                <w:color w:val="000000"/>
              </w:rPr>
            </w:pPr>
          </w:p>
          <w:p w:rsidR="004B4303" w:rsidRDefault="004B4303" w:rsidP="0079452C">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4B4303" w:rsidRPr="00700478" w:rsidRDefault="004B4303" w:rsidP="0079452C"/>
        </w:tc>
        <w:tc>
          <w:tcPr>
            <w:tcW w:w="839" w:type="dxa"/>
            <w:shd w:val="clear" w:color="auto" w:fill="auto"/>
          </w:tcPr>
          <w:p w:rsidR="004B4303" w:rsidRDefault="004B4303" w:rsidP="0079452C">
            <w:r>
              <w:t>TWC</w:t>
            </w:r>
          </w:p>
        </w:tc>
      </w:tr>
      <w:tr w:rsidR="004B4303" w:rsidRPr="00FE540A" w:rsidTr="0079452C">
        <w:trPr>
          <w:cantSplit/>
        </w:trPr>
        <w:tc>
          <w:tcPr>
            <w:tcW w:w="1418" w:type="dxa"/>
            <w:shd w:val="clear" w:color="auto" w:fill="auto"/>
          </w:tcPr>
          <w:p w:rsidR="004B4303" w:rsidRDefault="004B4303" w:rsidP="0079452C">
            <w:pPr>
              <w:jc w:val="left"/>
              <w:rPr>
                <w:rFonts w:cs="Arial"/>
              </w:rPr>
            </w:pPr>
            <w:r>
              <w:rPr>
                <w:rFonts w:cs="Arial"/>
              </w:rPr>
              <w:t>Analysis of results</w:t>
            </w:r>
          </w:p>
        </w:tc>
        <w:tc>
          <w:tcPr>
            <w:tcW w:w="7348" w:type="dxa"/>
            <w:shd w:val="clear" w:color="auto" w:fill="auto"/>
          </w:tcPr>
          <w:p w:rsidR="004B4303" w:rsidRPr="008232BD" w:rsidRDefault="004B4303" w:rsidP="0079452C">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4B4303" w:rsidRPr="008232BD" w:rsidRDefault="004B4303" w:rsidP="0079452C">
            <w:pPr>
              <w:rPr>
                <w:rFonts w:cs="Arial"/>
                <w:color w:val="000000"/>
              </w:rPr>
            </w:pPr>
          </w:p>
        </w:tc>
        <w:tc>
          <w:tcPr>
            <w:tcW w:w="839" w:type="dxa"/>
            <w:shd w:val="clear" w:color="auto" w:fill="auto"/>
          </w:tcPr>
          <w:p w:rsidR="004B4303" w:rsidRDefault="004B4303" w:rsidP="0079452C">
            <w:r>
              <w:t>TWC</w:t>
            </w:r>
          </w:p>
        </w:tc>
      </w:tr>
    </w:tbl>
    <w:p w:rsidR="004B4303" w:rsidRDefault="004B4303" w:rsidP="004B4303"/>
    <w:p w:rsidR="004B4303" w:rsidRDefault="004B4303" w:rsidP="004B4303">
      <w:pPr>
        <w:pStyle w:val="Heading1"/>
      </w:pPr>
      <w:bookmarkStart w:id="9" w:name="_Toc406149592"/>
      <w:r w:rsidRPr="00FA7008">
        <w:t xml:space="preserve">Comments by the </w:t>
      </w:r>
      <w:r>
        <w:t xml:space="preserve">technical committee </w:t>
      </w:r>
      <w:r w:rsidRPr="00FA7008">
        <w:t>in 201</w:t>
      </w:r>
      <w:r>
        <w:t>4</w:t>
      </w:r>
      <w:bookmarkEnd w:id="9"/>
      <w:r w:rsidRPr="00FA7008">
        <w:t xml:space="preserve"> </w:t>
      </w:r>
    </w:p>
    <w:p w:rsidR="004B4303" w:rsidRDefault="004B4303" w:rsidP="004B4303"/>
    <w:p w:rsidR="004B4303" w:rsidRDefault="004B4303" w:rsidP="004B4303">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Pr="002F6EFE">
        <w:rPr>
          <w:color w:val="000000"/>
        </w:rPr>
        <w:t>The TC</w:t>
      </w:r>
      <w:r>
        <w:rPr>
          <w:rFonts w:cs="Arial"/>
          <w:lang w:eastAsia="ja-JP"/>
        </w:rPr>
        <w:t>,</w:t>
      </w:r>
      <w:r w:rsidRPr="00FF2AF5">
        <w:rPr>
          <w:rFonts w:cs="Arial"/>
          <w:lang w:eastAsia="ja-JP"/>
        </w:rPr>
        <w:t xml:space="preserve"> at its </w:t>
      </w:r>
      <w:r>
        <w:rPr>
          <w:rFonts w:cs="Arial"/>
          <w:lang w:eastAsia="ja-JP"/>
        </w:rPr>
        <w:t xml:space="preserve">fiftieth </w:t>
      </w:r>
      <w:r w:rsidRPr="00FF2AF5">
        <w:rPr>
          <w:rFonts w:cs="Arial"/>
          <w:lang w:eastAsia="ja-JP"/>
        </w:rPr>
        <w:t>session</w:t>
      </w:r>
      <w:r>
        <w:rPr>
          <w:rFonts w:cs="Arial"/>
          <w:lang w:eastAsia="ja-JP"/>
        </w:rPr>
        <w:t>,</w:t>
      </w:r>
      <w:r w:rsidRPr="00FF2AF5">
        <w:rPr>
          <w:rFonts w:cs="Arial"/>
          <w:lang w:eastAsia="ja-JP"/>
        </w:rPr>
        <w:t xml:space="preserve"> held in Geneva</w:t>
      </w:r>
      <w:r>
        <w:rPr>
          <w:rFonts w:cs="Arial"/>
          <w:lang w:eastAsia="ja-JP"/>
        </w:rPr>
        <w:t>,</w:t>
      </w:r>
      <w:r w:rsidRPr="00FF2AF5">
        <w:rPr>
          <w:rFonts w:cs="Arial"/>
          <w:lang w:eastAsia="ja-JP"/>
        </w:rPr>
        <w:t xml:space="preserve"> from </w:t>
      </w:r>
      <w:r>
        <w:rPr>
          <w:rFonts w:cs="Arial"/>
          <w:lang w:eastAsia="ja-JP"/>
        </w:rPr>
        <w:t>April 7 to 9</w:t>
      </w:r>
      <w:r w:rsidRPr="00FF2AF5">
        <w:rPr>
          <w:rFonts w:cs="Arial"/>
          <w:lang w:eastAsia="ja-JP"/>
        </w:rPr>
        <w:t>, 201</w:t>
      </w:r>
      <w:r>
        <w:rPr>
          <w:rFonts w:cs="Arial"/>
          <w:lang w:eastAsia="ja-JP"/>
        </w:rPr>
        <w:t>4</w:t>
      </w:r>
      <w:r w:rsidRPr="00FF2AF5">
        <w:rPr>
          <w:rFonts w:cs="Arial"/>
          <w:lang w:eastAsia="ja-JP"/>
        </w:rPr>
        <w:t>,</w:t>
      </w:r>
      <w:r w:rsidRPr="002F6EFE">
        <w:rPr>
          <w:color w:val="000000"/>
        </w:rPr>
        <w:t xml:space="preserve"> </w:t>
      </w:r>
      <w:r>
        <w:rPr>
          <w:rFonts w:cs="Arial"/>
        </w:rPr>
        <w:t xml:space="preserve">considered document TC/50/26 which contained the draft guidance reproduced in Annex I to this document. The TC agreed to request that experts from France continue the development of the proposed guidance on the basis of the comments by the TWPs, as set out in paragraph 7 of this document, and the following comments by the </w:t>
      </w:r>
      <w:r>
        <w:t>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8 and 9</w:t>
      </w:r>
      <w:r w:rsidRPr="00FF2AF5">
        <w:rPr>
          <w:rFonts w:cs="Arial"/>
          <w:lang w:eastAsia="ja-JP"/>
        </w:rPr>
        <w:t>, 201</w:t>
      </w:r>
      <w:r>
        <w:rPr>
          <w:rFonts w:cs="Arial"/>
          <w:lang w:eastAsia="ja-JP"/>
        </w:rPr>
        <w:t>4:</w:t>
      </w:r>
    </w:p>
    <w:p w:rsidR="004B4303" w:rsidRDefault="004B4303" w:rsidP="004B4303">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4B4303" w:rsidRPr="002302DC" w:rsidTr="0079452C">
        <w:trPr>
          <w:cantSplit/>
        </w:trPr>
        <w:tc>
          <w:tcPr>
            <w:tcW w:w="1701" w:type="dxa"/>
          </w:tcPr>
          <w:p w:rsidR="004B4303" w:rsidRPr="002302DC" w:rsidRDefault="004B4303" w:rsidP="0079452C">
            <w:pPr>
              <w:jc w:val="left"/>
            </w:pPr>
            <w:r w:rsidRPr="002302DC">
              <w:t>General remark</w:t>
            </w:r>
            <w:r>
              <w:t>s</w:t>
            </w:r>
          </w:p>
        </w:tc>
        <w:tc>
          <w:tcPr>
            <w:tcW w:w="7938" w:type="dxa"/>
          </w:tcPr>
          <w:p w:rsidR="004B4303" w:rsidRDefault="004B4303" w:rsidP="0079452C">
            <w:r>
              <w:t>-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4B4303" w:rsidRPr="002302DC" w:rsidRDefault="004B4303" w:rsidP="0079452C">
            <w:r w:rsidRPr="002302DC">
              <w:t xml:space="preserve"> </w:t>
            </w:r>
          </w:p>
        </w:tc>
      </w:tr>
      <w:tr w:rsidR="004B4303" w:rsidRPr="002302DC" w:rsidTr="0079452C">
        <w:trPr>
          <w:cantSplit/>
        </w:trPr>
        <w:tc>
          <w:tcPr>
            <w:tcW w:w="1701" w:type="dxa"/>
          </w:tcPr>
          <w:p w:rsidR="004B4303" w:rsidRPr="002302DC" w:rsidRDefault="004B4303" w:rsidP="0079452C">
            <w:pPr>
              <w:jc w:val="left"/>
            </w:pPr>
            <w:r w:rsidRPr="002302DC">
              <w:t>Cover page</w:t>
            </w:r>
          </w:p>
        </w:tc>
        <w:tc>
          <w:tcPr>
            <w:tcW w:w="7938" w:type="dxa"/>
          </w:tcPr>
          <w:p w:rsidR="004B4303" w:rsidRDefault="00006F58" w:rsidP="0079452C">
            <w:r>
              <w:t>T</w:t>
            </w:r>
            <w:r w:rsidR="004B4303" w:rsidRPr="002302DC">
              <w:t>o check whether to delete “Data analysis”</w:t>
            </w:r>
            <w:r w:rsidR="004B4303">
              <w:t xml:space="preserve"> from the title of the document.</w:t>
            </w:r>
          </w:p>
          <w:p w:rsidR="004B4303" w:rsidRPr="002302DC" w:rsidRDefault="004B4303" w:rsidP="0079452C"/>
        </w:tc>
      </w:tr>
    </w:tbl>
    <w:p w:rsidR="004B4303" w:rsidRDefault="004B4303" w:rsidP="004B4303"/>
    <w:p w:rsidR="004B4303" w:rsidRDefault="004B4303" w:rsidP="004B4303">
      <w:r>
        <w:fldChar w:fldCharType="begin"/>
      </w:r>
      <w:r>
        <w:instrText xml:space="preserve"> AUTONUM  </w:instrText>
      </w:r>
      <w:r>
        <w:fldChar w:fldCharType="end"/>
      </w:r>
      <w:r>
        <w:tab/>
        <w:t xml:space="preserve">The TC agreed that the circumstances under which blind randomized trials would be appropriate should be clarified. </w:t>
      </w:r>
    </w:p>
    <w:p w:rsidR="004B4303" w:rsidRDefault="004B4303" w:rsidP="004B4303"/>
    <w:p w:rsidR="004B4303" w:rsidRDefault="004B4303" w:rsidP="004B4303">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4B4303" w:rsidRDefault="004B4303" w:rsidP="004B4303"/>
    <w:p w:rsidR="004B4303" w:rsidRPr="00E233DF" w:rsidRDefault="004B4303" w:rsidP="004B4303">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w:t>
      </w:r>
      <w:r>
        <w:rPr>
          <w:rFonts w:cs="Arial"/>
        </w:rPr>
        <w:t>France</w:t>
      </w:r>
      <w:r w:rsidRPr="00E233DF">
        <w:rPr>
          <w:rFonts w:cs="Arial"/>
        </w:rPr>
        <w:t xml:space="preserve"> informed the Office of the Union that, given the need for extensive redrafting of the text, it </w:t>
      </w:r>
      <w:r>
        <w:rPr>
          <w:rFonts w:cs="Arial"/>
        </w:rPr>
        <w:t>would</w:t>
      </w:r>
      <w:r w:rsidRPr="00E233DF">
        <w:rPr>
          <w:rFonts w:cs="Arial"/>
        </w:rPr>
        <w:t xml:space="preserve"> not be possible to produce a text for consideration by the TWPs in 2014</w:t>
      </w:r>
      <w:r>
        <w:rPr>
          <w:rFonts w:cs="Arial"/>
        </w:rPr>
        <w:t xml:space="preserve"> and</w:t>
      </w:r>
      <w:r w:rsidRPr="00E233DF">
        <w:rPr>
          <w:rFonts w:cs="Arial"/>
        </w:rPr>
        <w:t xml:space="preserve">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w:t>
      </w:r>
      <w:r>
        <w:rPr>
          <w:rFonts w:cs="Arial"/>
        </w:rPr>
        <w:t>was</w:t>
      </w:r>
      <w:r w:rsidRPr="00E233DF">
        <w:rPr>
          <w:rFonts w:cs="Arial"/>
        </w:rPr>
        <w:t xml:space="preserve"> further proposed that an initial draft be prepared for consideration by the TC-EDC at its meeting in January</w:t>
      </w:r>
      <w:r>
        <w:rPr>
          <w:rFonts w:cs="Arial"/>
        </w:rPr>
        <w:t xml:space="preserve"> 7 and 8,</w:t>
      </w:r>
      <w:r w:rsidRPr="00E233DF">
        <w:rPr>
          <w:rFonts w:cs="Arial"/>
        </w:rPr>
        <w:t xml:space="preserve"> 2015</w:t>
      </w:r>
      <w:r w:rsidR="00E14FD7">
        <w:rPr>
          <w:rFonts w:cs="Arial"/>
        </w:rPr>
        <w:t>.</w:t>
      </w:r>
    </w:p>
    <w:p w:rsidR="004B4303" w:rsidRDefault="004B4303" w:rsidP="004B4303"/>
    <w:p w:rsidR="004B4303" w:rsidRDefault="004B4303" w:rsidP="004B4303">
      <w:pPr>
        <w:pStyle w:val="Heading1"/>
      </w:pPr>
      <w:bookmarkStart w:id="10" w:name="_Toc406149593"/>
      <w:r w:rsidRPr="00FA7008">
        <w:lastRenderedPageBreak/>
        <w:t xml:space="preserve">Comments by the </w:t>
      </w:r>
      <w:r>
        <w:t xml:space="preserve">technical WORKING PARTIES </w:t>
      </w:r>
      <w:r w:rsidRPr="00FA7008">
        <w:t>in 201</w:t>
      </w:r>
      <w:r>
        <w:t>4</w:t>
      </w:r>
      <w:bookmarkEnd w:id="10"/>
      <w:r w:rsidRPr="00FA7008">
        <w:t xml:space="preserve"> </w:t>
      </w:r>
    </w:p>
    <w:p w:rsidR="004B4303" w:rsidRPr="00046F70" w:rsidRDefault="004B4303" w:rsidP="004B4303"/>
    <w:p w:rsidR="004B4303" w:rsidRPr="00100526" w:rsidRDefault="004B4303" w:rsidP="004B4303">
      <w:r w:rsidRPr="00181D15">
        <w:fldChar w:fldCharType="begin"/>
      </w:r>
      <w:r w:rsidRPr="00181D15">
        <w:instrText xml:space="preserve"> AUTONUM  </w:instrText>
      </w:r>
      <w:r w:rsidRPr="00181D15">
        <w:fldChar w:fldCharType="end"/>
      </w:r>
      <w:r w:rsidRPr="00181D15">
        <w:tab/>
        <w:t>At their sessions in 2014, the TWO, TWF, TWC, TWV and TWA considered documents TWO/47/19,</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19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19</w:t>
      </w:r>
      <w:r w:rsidRPr="00100526">
        <w:rPr>
          <w:rFonts w:cs="Arial"/>
        </w:rPr>
        <w:t xml:space="preserve">, respectively, </w:t>
      </w:r>
      <w:r>
        <w:rPr>
          <w:rFonts w:cs="Arial"/>
        </w:rPr>
        <w:t>which contained the draft guidance reproduced in Annex I to this document.</w:t>
      </w:r>
    </w:p>
    <w:p w:rsidR="004B4303" w:rsidRDefault="004B4303" w:rsidP="004B4303"/>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24"/>
        <w:gridCol w:w="1014"/>
      </w:tblGrid>
      <w:tr w:rsidR="004B4303" w:rsidRPr="002302DC" w:rsidTr="0079452C">
        <w:trPr>
          <w:cantSplit/>
        </w:trPr>
        <w:tc>
          <w:tcPr>
            <w:tcW w:w="1701" w:type="dxa"/>
          </w:tcPr>
          <w:p w:rsidR="004B4303" w:rsidRPr="002302DC" w:rsidRDefault="004B4303" w:rsidP="0079452C">
            <w:pPr>
              <w:jc w:val="left"/>
            </w:pPr>
            <w:r w:rsidRPr="002302DC">
              <w:t>General remark</w:t>
            </w:r>
            <w:r>
              <w:t>s</w:t>
            </w:r>
          </w:p>
        </w:tc>
        <w:tc>
          <w:tcPr>
            <w:tcW w:w="6924" w:type="dxa"/>
          </w:tcPr>
          <w:p w:rsidR="004B4303" w:rsidRDefault="004B4303" w:rsidP="0079452C">
            <w:r>
              <w:t xml:space="preserve">The TWO noted that the example </w:t>
            </w:r>
            <w:r w:rsidRPr="00AF2207">
              <w:rPr>
                <w:snapToGrid w:val="0"/>
              </w:rPr>
              <w:t>in document TWO/47/</w:t>
            </w:r>
            <w:r>
              <w:rPr>
                <w:snapToGrid w:val="0"/>
              </w:rPr>
              <w:t xml:space="preserve">19 </w:t>
            </w:r>
            <w:r>
              <w:t>referred to seed-propagated varieties and agreed that other aspects of the trial set up should be considered for vegetatively propagated plants, such as the type and source of plant material used, as considered under the item “</w:t>
            </w:r>
            <w:r w:rsidRPr="00CA1F0B">
              <w:t>Plant Material Submitted for Examination</w:t>
            </w:r>
            <w:r>
              <w:t>”</w:t>
            </w:r>
            <w:r w:rsidRPr="00100526">
              <w:rPr>
                <w:rFonts w:cs="Arial"/>
              </w:rPr>
              <w:t xml:space="preserve"> (see document TW</w:t>
            </w:r>
            <w:r>
              <w:rPr>
                <w:rFonts w:cs="Arial"/>
              </w:rPr>
              <w:t>O</w:t>
            </w:r>
            <w:r w:rsidRPr="00100526">
              <w:rPr>
                <w:rFonts w:cs="Arial"/>
              </w:rPr>
              <w:t>/</w:t>
            </w:r>
            <w:r>
              <w:rPr>
                <w:rFonts w:cs="Arial"/>
              </w:rPr>
              <w:t>47</w:t>
            </w:r>
            <w:r w:rsidRPr="00100526">
              <w:rPr>
                <w:rFonts w:cs="Arial"/>
              </w:rPr>
              <w:t>/</w:t>
            </w:r>
            <w:r>
              <w:rPr>
                <w:rFonts w:cs="Arial"/>
              </w:rPr>
              <w:t>28</w:t>
            </w:r>
            <w:r w:rsidRPr="00100526">
              <w:rPr>
                <w:rFonts w:cs="Arial"/>
              </w:rPr>
              <w:t xml:space="preserve"> “Report”, paragraph</w:t>
            </w:r>
            <w:r>
              <w:rPr>
                <w:rFonts w:cs="Arial"/>
              </w:rPr>
              <w:t xml:space="preserve"> 53</w:t>
            </w:r>
            <w:r w:rsidRPr="00100526">
              <w:rPr>
                <w:rFonts w:cs="Arial"/>
              </w:rPr>
              <w:t>)</w:t>
            </w:r>
            <w:r>
              <w:t>.</w:t>
            </w:r>
          </w:p>
          <w:p w:rsidR="004B4303" w:rsidRPr="002302DC" w:rsidRDefault="004B4303" w:rsidP="0079452C"/>
        </w:tc>
        <w:tc>
          <w:tcPr>
            <w:tcW w:w="1014" w:type="dxa"/>
          </w:tcPr>
          <w:p w:rsidR="004B4303" w:rsidRPr="002302DC" w:rsidRDefault="004B4303" w:rsidP="0079452C">
            <w:pPr>
              <w:jc w:val="center"/>
            </w:pPr>
            <w:r>
              <w:t>TWO</w:t>
            </w:r>
          </w:p>
        </w:tc>
      </w:tr>
      <w:tr w:rsidR="004B4303" w:rsidRPr="002302DC" w:rsidTr="0079452C">
        <w:trPr>
          <w:cantSplit/>
        </w:trPr>
        <w:tc>
          <w:tcPr>
            <w:tcW w:w="1701" w:type="dxa"/>
          </w:tcPr>
          <w:p w:rsidR="004B4303" w:rsidRPr="002302DC" w:rsidRDefault="004B4303" w:rsidP="0079452C">
            <w:pPr>
              <w:jc w:val="left"/>
            </w:pPr>
          </w:p>
        </w:tc>
        <w:tc>
          <w:tcPr>
            <w:tcW w:w="6924" w:type="dxa"/>
          </w:tcPr>
          <w:p w:rsidR="004B4303" w:rsidRDefault="004B4303" w:rsidP="0079452C">
            <w:pPr>
              <w:ind w:right="12"/>
              <w:rPr>
                <w:rFonts w:cs="Arial"/>
              </w:rPr>
            </w:pPr>
            <w:r w:rsidRPr="00142558">
              <w:t>The TWV agreed on the need to clarify the distinction to be made between trials at breeders’ premises, blind trials and blind randomized trials in the guidance</w:t>
            </w:r>
            <w:r>
              <w:t xml:space="preserve"> </w:t>
            </w:r>
            <w:r w:rsidRPr="00100526">
              <w:rPr>
                <w:rFonts w:cs="Arial"/>
              </w:rPr>
              <w:t>(see 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52</w:t>
            </w:r>
            <w:r w:rsidRPr="00100526">
              <w:rPr>
                <w:rFonts w:cs="Arial"/>
              </w:rPr>
              <w:t>)</w:t>
            </w:r>
            <w:r>
              <w:rPr>
                <w:rFonts w:cs="Arial"/>
              </w:rPr>
              <w:t>.</w:t>
            </w:r>
          </w:p>
          <w:p w:rsidR="004B4303" w:rsidRDefault="004B4303" w:rsidP="0079452C">
            <w:pPr>
              <w:ind w:right="12"/>
            </w:pPr>
          </w:p>
        </w:tc>
        <w:tc>
          <w:tcPr>
            <w:tcW w:w="1014" w:type="dxa"/>
          </w:tcPr>
          <w:p w:rsidR="004B4303" w:rsidRDefault="004B4303" w:rsidP="0079452C">
            <w:pPr>
              <w:jc w:val="center"/>
            </w:pPr>
            <w:r>
              <w:t>TWV</w:t>
            </w:r>
          </w:p>
        </w:tc>
      </w:tr>
      <w:tr w:rsidR="004B4303" w:rsidRPr="002302DC" w:rsidTr="0079452C">
        <w:trPr>
          <w:cantSplit/>
        </w:trPr>
        <w:tc>
          <w:tcPr>
            <w:tcW w:w="1701" w:type="dxa"/>
          </w:tcPr>
          <w:p w:rsidR="004B4303" w:rsidRPr="002302DC" w:rsidRDefault="004B4303" w:rsidP="0079452C">
            <w:pPr>
              <w:jc w:val="left"/>
            </w:pPr>
          </w:p>
        </w:tc>
        <w:tc>
          <w:tcPr>
            <w:tcW w:w="6924" w:type="dxa"/>
          </w:tcPr>
          <w:p w:rsidR="004B4303" w:rsidRDefault="004B4303" w:rsidP="0079452C">
            <w:pPr>
              <w:rPr>
                <w:rFonts w:cs="Arial"/>
              </w:rPr>
            </w:pPr>
            <w:r w:rsidRPr="007D0BAC">
              <w:t>The TWA agreed that the guidance to be developed should explain the importance of sample size and how to minimize biases in the methodology</w:t>
            </w:r>
            <w:r w:rsidRPr="00100526">
              <w:rPr>
                <w:rFonts w:cs="Arial"/>
              </w:rPr>
              <w:t xml:space="preserve"> (see 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xml:space="preserve"> 46</w:t>
            </w:r>
            <w:r w:rsidRPr="00100526">
              <w:rPr>
                <w:rFonts w:cs="Arial"/>
              </w:rPr>
              <w:t>)</w:t>
            </w:r>
            <w:r>
              <w:rPr>
                <w:rFonts w:cs="Arial"/>
              </w:rPr>
              <w:t>.</w:t>
            </w:r>
          </w:p>
          <w:p w:rsidR="004B4303" w:rsidRDefault="004B4303" w:rsidP="0079452C"/>
        </w:tc>
        <w:tc>
          <w:tcPr>
            <w:tcW w:w="1014" w:type="dxa"/>
          </w:tcPr>
          <w:p w:rsidR="004B4303" w:rsidRDefault="004B4303" w:rsidP="0079452C">
            <w:pPr>
              <w:jc w:val="center"/>
            </w:pPr>
            <w:r>
              <w:t>TWA</w:t>
            </w:r>
          </w:p>
        </w:tc>
      </w:tr>
      <w:tr w:rsidR="004B4303" w:rsidRPr="002302DC" w:rsidTr="0079452C">
        <w:trPr>
          <w:cantSplit/>
        </w:trPr>
        <w:tc>
          <w:tcPr>
            <w:tcW w:w="1701" w:type="dxa"/>
          </w:tcPr>
          <w:p w:rsidR="004B4303" w:rsidRPr="002302DC" w:rsidRDefault="004B4303" w:rsidP="0079452C">
            <w:pPr>
              <w:jc w:val="left"/>
            </w:pPr>
          </w:p>
        </w:tc>
        <w:tc>
          <w:tcPr>
            <w:tcW w:w="6924" w:type="dxa"/>
          </w:tcPr>
          <w:p w:rsidR="004B4303" w:rsidRDefault="004B4303" w:rsidP="0079452C">
            <w:pPr>
              <w:rPr>
                <w:snapToGrid w:val="0"/>
              </w:rPr>
            </w:pPr>
            <w:r w:rsidRPr="00AF2207">
              <w:rPr>
                <w:snapToGrid w:val="0"/>
              </w:rPr>
              <w:t>The TWO considered document TWO/47/</w:t>
            </w:r>
            <w:r>
              <w:rPr>
                <w:snapToGrid w:val="0"/>
              </w:rPr>
              <w:t>19 and agreed that blind randomized trials were rarely used</w:t>
            </w:r>
            <w:r w:rsidRPr="00AF2207">
              <w:rPr>
                <w:snapToGrid w:val="0"/>
              </w:rPr>
              <w:t>.</w:t>
            </w:r>
            <w:r>
              <w:rPr>
                <w:snapToGrid w:val="0"/>
              </w:rPr>
              <w:t xml:space="preserve"> The TWO noted that blind randomized trials were used: in Brazil to confirm, in some cases, the </w:t>
            </w:r>
            <w:r w:rsidRPr="006F0B6F">
              <w:rPr>
                <w:snapToGrid w:val="0"/>
              </w:rPr>
              <w:t>assessment of distinctness under a breeder-based testing system</w:t>
            </w:r>
            <w:r>
              <w:rPr>
                <w:snapToGrid w:val="0"/>
              </w:rPr>
              <w:t xml:space="preserve"> for agricultural crops and vegetables</w:t>
            </w:r>
            <w:r w:rsidRPr="006F0B6F">
              <w:rPr>
                <w:snapToGrid w:val="0"/>
              </w:rPr>
              <w:t xml:space="preserve">; in New Zealand, </w:t>
            </w:r>
            <w:r>
              <w:rPr>
                <w:snapToGrid w:val="0"/>
              </w:rPr>
              <w:t xml:space="preserve">for some fruit crops and </w:t>
            </w:r>
            <w:r w:rsidRPr="006F0B6F">
              <w:rPr>
                <w:snapToGrid w:val="0"/>
              </w:rPr>
              <w:t>in cases of dispute</w:t>
            </w:r>
            <w:r>
              <w:rPr>
                <w:snapToGrid w:val="0"/>
              </w:rPr>
              <w:t xml:space="preserve"> regarding distinctness</w:t>
            </w:r>
            <w:r w:rsidRPr="006F0B6F">
              <w:rPr>
                <w:snapToGrid w:val="0"/>
              </w:rPr>
              <w:t>; and</w:t>
            </w:r>
            <w:r>
              <w:rPr>
                <w:snapToGrid w:val="0"/>
              </w:rPr>
              <w:t xml:space="preserve"> in the United Kingdom and the Netherlands to confirm lack of distinctness between varieties </w:t>
            </w:r>
            <w:r w:rsidRPr="00100526">
              <w:rPr>
                <w:rFonts w:cs="Arial"/>
              </w:rPr>
              <w:t>(see document TW</w:t>
            </w:r>
            <w:r>
              <w:rPr>
                <w:rFonts w:cs="Arial"/>
              </w:rPr>
              <w:t>O</w:t>
            </w:r>
            <w:r w:rsidRPr="00100526">
              <w:rPr>
                <w:rFonts w:cs="Arial"/>
              </w:rPr>
              <w:t>/</w:t>
            </w:r>
            <w:r>
              <w:rPr>
                <w:rFonts w:cs="Arial"/>
              </w:rPr>
              <w:t>47</w:t>
            </w:r>
            <w:r w:rsidRPr="00100526">
              <w:rPr>
                <w:rFonts w:cs="Arial"/>
              </w:rPr>
              <w:t>/</w:t>
            </w:r>
            <w:r>
              <w:rPr>
                <w:rFonts w:cs="Arial"/>
              </w:rPr>
              <w:t>28</w:t>
            </w:r>
            <w:r w:rsidRPr="00100526">
              <w:rPr>
                <w:rFonts w:cs="Arial"/>
              </w:rPr>
              <w:t xml:space="preserve"> “Report”, paragraph</w:t>
            </w:r>
            <w:r>
              <w:rPr>
                <w:rFonts w:cs="Arial"/>
              </w:rPr>
              <w:t xml:space="preserve"> 52</w:t>
            </w:r>
            <w:r w:rsidRPr="00100526">
              <w:rPr>
                <w:rFonts w:cs="Arial"/>
              </w:rPr>
              <w:t>).</w:t>
            </w:r>
          </w:p>
          <w:p w:rsidR="004B4303" w:rsidRPr="002302DC" w:rsidRDefault="004B4303" w:rsidP="0079452C"/>
        </w:tc>
        <w:tc>
          <w:tcPr>
            <w:tcW w:w="1014" w:type="dxa"/>
          </w:tcPr>
          <w:p w:rsidR="004B4303" w:rsidRPr="002302DC" w:rsidRDefault="004B4303" w:rsidP="0079452C">
            <w:pPr>
              <w:jc w:val="center"/>
            </w:pPr>
            <w:r>
              <w:t>TWO</w:t>
            </w:r>
          </w:p>
        </w:tc>
      </w:tr>
      <w:tr w:rsidR="004B4303" w:rsidRPr="002302DC" w:rsidTr="0079452C">
        <w:trPr>
          <w:cantSplit/>
        </w:trPr>
        <w:tc>
          <w:tcPr>
            <w:tcW w:w="1701" w:type="dxa"/>
          </w:tcPr>
          <w:p w:rsidR="004B4303" w:rsidRDefault="004B4303" w:rsidP="0079452C">
            <w:pPr>
              <w:jc w:val="left"/>
            </w:pPr>
          </w:p>
        </w:tc>
        <w:tc>
          <w:tcPr>
            <w:tcW w:w="6924" w:type="dxa"/>
          </w:tcPr>
          <w:p w:rsidR="004B4303" w:rsidRPr="00653DEB" w:rsidRDefault="004B4303" w:rsidP="0079452C">
            <w:r w:rsidRPr="00653DEB">
              <w:t>The TWF noted the information provided by the TWO at its forty-seventh session on the use of blind randomized trials in Brazil, New Zealand and in the United Kingdom, including the circumstances under which blind randomized trials are used</w:t>
            </w:r>
            <w:r>
              <w:t xml:space="preserve"> </w:t>
            </w:r>
            <w:r w:rsidRPr="00100526">
              <w:rPr>
                <w:rFonts w:cs="Arial"/>
              </w:rPr>
              <w:t>(see document TW</w:t>
            </w:r>
            <w:r>
              <w:rPr>
                <w:rFonts w:cs="Arial"/>
              </w:rPr>
              <w:t>F</w:t>
            </w:r>
            <w:r w:rsidRPr="00100526">
              <w:rPr>
                <w:rFonts w:cs="Arial"/>
              </w:rPr>
              <w:t>/</w:t>
            </w:r>
            <w:r>
              <w:rPr>
                <w:rFonts w:cs="Arial"/>
              </w:rPr>
              <w:t>45</w:t>
            </w:r>
            <w:r w:rsidRPr="00100526">
              <w:rPr>
                <w:rFonts w:cs="Arial"/>
              </w:rPr>
              <w:t>/</w:t>
            </w:r>
            <w:r>
              <w:rPr>
                <w:rFonts w:cs="Arial"/>
              </w:rPr>
              <w:t>32</w:t>
            </w:r>
            <w:r w:rsidRPr="00100526">
              <w:rPr>
                <w:rFonts w:cs="Arial"/>
              </w:rPr>
              <w:t xml:space="preserve"> “Report”, paragraph</w:t>
            </w:r>
            <w:r w:rsidR="000856E2">
              <w:rPr>
                <w:rFonts w:cs="Arial"/>
              </w:rPr>
              <w:t> </w:t>
            </w:r>
            <w:r>
              <w:rPr>
                <w:rFonts w:cs="Arial"/>
              </w:rPr>
              <w:t>43</w:t>
            </w:r>
            <w:r w:rsidRPr="00100526">
              <w:rPr>
                <w:rFonts w:cs="Arial"/>
              </w:rPr>
              <w:t>)</w:t>
            </w:r>
            <w:r w:rsidRPr="00653DEB">
              <w:t>.</w:t>
            </w:r>
          </w:p>
          <w:p w:rsidR="004B4303" w:rsidRDefault="004B4303" w:rsidP="0079452C">
            <w:pPr>
              <w:tabs>
                <w:tab w:val="left" w:pos="1486"/>
              </w:tabs>
              <w:rPr>
                <w:snapToGrid w:val="0"/>
              </w:rPr>
            </w:pPr>
          </w:p>
          <w:p w:rsidR="004B4303" w:rsidRDefault="004B4303" w:rsidP="0079452C">
            <w:pPr>
              <w:tabs>
                <w:tab w:val="left" w:pos="1486"/>
              </w:tabs>
            </w:pPr>
            <w:r w:rsidRPr="00653DEB">
              <w:t xml:space="preserve">The TWF noted </w:t>
            </w:r>
            <w:r>
              <w:t>that</w:t>
            </w:r>
            <w:r w:rsidRPr="00653DEB">
              <w:t xml:space="preserve"> the expert of the International Community of Breeders of Asexually Reproduced Ornamental and Fruit Varieties (CIOPORA) </w:t>
            </w:r>
            <w:r>
              <w:t xml:space="preserve">was not in favor of the use of Blind Randomized Trials </w:t>
            </w:r>
            <w:r w:rsidRPr="00100526">
              <w:rPr>
                <w:rFonts w:cs="Arial"/>
              </w:rPr>
              <w:t>(see document TW</w:t>
            </w:r>
            <w:r>
              <w:rPr>
                <w:rFonts w:cs="Arial"/>
              </w:rPr>
              <w:t>F</w:t>
            </w:r>
            <w:r w:rsidRPr="00100526">
              <w:rPr>
                <w:rFonts w:cs="Arial"/>
              </w:rPr>
              <w:t>/</w:t>
            </w:r>
            <w:r>
              <w:rPr>
                <w:rFonts w:cs="Arial"/>
              </w:rPr>
              <w:t>45</w:t>
            </w:r>
            <w:r w:rsidRPr="00100526">
              <w:rPr>
                <w:rFonts w:cs="Arial"/>
              </w:rPr>
              <w:t>/</w:t>
            </w:r>
            <w:r>
              <w:rPr>
                <w:rFonts w:cs="Arial"/>
              </w:rPr>
              <w:t>32</w:t>
            </w:r>
            <w:r w:rsidRPr="00100526">
              <w:rPr>
                <w:rFonts w:cs="Arial"/>
              </w:rPr>
              <w:t xml:space="preserve"> “Report”, paragraph</w:t>
            </w:r>
            <w:r>
              <w:rPr>
                <w:rFonts w:cs="Arial"/>
              </w:rPr>
              <w:t xml:space="preserve"> 44</w:t>
            </w:r>
            <w:r w:rsidRPr="00100526">
              <w:rPr>
                <w:rFonts w:cs="Arial"/>
              </w:rPr>
              <w:t>)</w:t>
            </w:r>
            <w:r>
              <w:t>.</w:t>
            </w:r>
          </w:p>
          <w:p w:rsidR="004B4303" w:rsidRPr="00AF2207" w:rsidRDefault="004B4303" w:rsidP="0079452C">
            <w:pPr>
              <w:tabs>
                <w:tab w:val="left" w:pos="1486"/>
              </w:tabs>
              <w:rPr>
                <w:snapToGrid w:val="0"/>
              </w:rPr>
            </w:pPr>
          </w:p>
        </w:tc>
        <w:tc>
          <w:tcPr>
            <w:tcW w:w="1014" w:type="dxa"/>
          </w:tcPr>
          <w:p w:rsidR="004B4303" w:rsidRDefault="004B4303" w:rsidP="0079452C">
            <w:pPr>
              <w:jc w:val="center"/>
            </w:pPr>
            <w:r>
              <w:t>TWF</w:t>
            </w:r>
          </w:p>
        </w:tc>
      </w:tr>
      <w:tr w:rsidR="004B4303" w:rsidRPr="002302DC" w:rsidTr="0079452C">
        <w:trPr>
          <w:cantSplit/>
        </w:trPr>
        <w:tc>
          <w:tcPr>
            <w:tcW w:w="1701" w:type="dxa"/>
          </w:tcPr>
          <w:p w:rsidR="004B4303" w:rsidRDefault="004B4303" w:rsidP="0079452C">
            <w:pPr>
              <w:jc w:val="left"/>
            </w:pPr>
          </w:p>
        </w:tc>
        <w:tc>
          <w:tcPr>
            <w:tcW w:w="6924" w:type="dxa"/>
          </w:tcPr>
          <w:p w:rsidR="004B4303" w:rsidRDefault="004B4303" w:rsidP="0079452C">
            <w:r w:rsidRPr="00BD5B6E">
              <w:rPr>
                <w:snapToGrid w:val="0"/>
              </w:rPr>
              <w:t>The TWC considered document TWC/32/19 and agreed that blind randomized trials were rarely used. The TWC noted that blind randomized trials have been used in</w:t>
            </w:r>
            <w:r w:rsidRPr="00BD5B6E">
              <w:t xml:space="preserve"> the Netherlands to confirm lack of distinctness between varieties.  The TWC noted that some tests for disease resistance were organized by the Netherlands at the breeders’ premises but the varieties were not coded. The TWC noted the suggestion by the expert from the Netherlands that guidance for such trials organized at the breeders’ premises could be developed for inclusion in document TGP/6 “Arrangements for DUS testing”</w:t>
            </w:r>
            <w:r w:rsidRPr="00100526">
              <w:rPr>
                <w:rFonts w:cs="Arial"/>
              </w:rPr>
              <w:t xml:space="preserve"> (see document TW</w:t>
            </w:r>
            <w:r>
              <w:rPr>
                <w:rFonts w:cs="Arial"/>
              </w:rPr>
              <w:t>C</w:t>
            </w:r>
            <w:r w:rsidRPr="00100526">
              <w:rPr>
                <w:rFonts w:cs="Arial"/>
              </w:rPr>
              <w:t>/</w:t>
            </w:r>
            <w:r>
              <w:rPr>
                <w:rFonts w:cs="Arial"/>
              </w:rPr>
              <w:t>32</w:t>
            </w:r>
            <w:r w:rsidRPr="00100526">
              <w:rPr>
                <w:rFonts w:cs="Arial"/>
              </w:rPr>
              <w:t>/</w:t>
            </w:r>
            <w:r>
              <w:rPr>
                <w:rFonts w:cs="Arial"/>
              </w:rPr>
              <w:t>28</w:t>
            </w:r>
            <w:r w:rsidRPr="00100526">
              <w:rPr>
                <w:rFonts w:cs="Arial"/>
              </w:rPr>
              <w:t xml:space="preserve"> “Report”, paragraph</w:t>
            </w:r>
            <w:r>
              <w:rPr>
                <w:rFonts w:cs="Arial"/>
              </w:rPr>
              <w:t xml:space="preserve"> 38</w:t>
            </w:r>
            <w:r w:rsidRPr="00100526">
              <w:rPr>
                <w:rFonts w:cs="Arial"/>
              </w:rPr>
              <w:t>)</w:t>
            </w:r>
            <w:r w:rsidRPr="00BD5B6E">
              <w:t>.</w:t>
            </w:r>
          </w:p>
          <w:p w:rsidR="004B4303" w:rsidRPr="00AF2207" w:rsidRDefault="004B4303" w:rsidP="0079452C">
            <w:pPr>
              <w:rPr>
                <w:snapToGrid w:val="0"/>
              </w:rPr>
            </w:pPr>
          </w:p>
        </w:tc>
        <w:tc>
          <w:tcPr>
            <w:tcW w:w="1014" w:type="dxa"/>
          </w:tcPr>
          <w:p w:rsidR="004B4303" w:rsidRDefault="004B4303" w:rsidP="0079452C">
            <w:pPr>
              <w:jc w:val="center"/>
            </w:pPr>
            <w:r>
              <w:t>TWC</w:t>
            </w:r>
          </w:p>
        </w:tc>
      </w:tr>
      <w:tr w:rsidR="004B4303" w:rsidRPr="002302DC" w:rsidTr="0079452C">
        <w:trPr>
          <w:cantSplit/>
        </w:trPr>
        <w:tc>
          <w:tcPr>
            <w:tcW w:w="1701" w:type="dxa"/>
          </w:tcPr>
          <w:p w:rsidR="004B4303" w:rsidRDefault="004B4303" w:rsidP="0079452C">
            <w:pPr>
              <w:jc w:val="left"/>
            </w:pPr>
          </w:p>
        </w:tc>
        <w:tc>
          <w:tcPr>
            <w:tcW w:w="6924" w:type="dxa"/>
          </w:tcPr>
          <w:p w:rsidR="004B4303" w:rsidRPr="00142558" w:rsidRDefault="004B4303" w:rsidP="0079452C">
            <w:r w:rsidRPr="00142558">
              <w:t>The TWV noted the information provided by the experts from France and the Netherlands on their use of blind randomized trials, including the circumstances under which blind randomized trials are used</w:t>
            </w:r>
            <w:r>
              <w:t xml:space="preserve"> </w:t>
            </w:r>
            <w:r w:rsidRPr="00100526">
              <w:rPr>
                <w:rFonts w:cs="Arial"/>
              </w:rPr>
              <w:t>(see 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50</w:t>
            </w:r>
            <w:r w:rsidRPr="00100526">
              <w:rPr>
                <w:rFonts w:cs="Arial"/>
              </w:rPr>
              <w:t>)</w:t>
            </w:r>
            <w:r w:rsidRPr="00142558">
              <w:t>.</w:t>
            </w:r>
          </w:p>
          <w:p w:rsidR="004B4303" w:rsidRDefault="004B4303" w:rsidP="0079452C"/>
          <w:p w:rsidR="004B4303" w:rsidRPr="00142558" w:rsidRDefault="004B4303" w:rsidP="0079452C">
            <w:r w:rsidRPr="00142558">
              <w:t>The TWV agreed that in the case of the use of blind randomized trials, the authorities take the final decision according to the rules and criteria to fulfill a DUS examination, and that a blind randomized trial would only be carried out in exceptional cases.</w:t>
            </w:r>
          </w:p>
          <w:p w:rsidR="004B4303" w:rsidRPr="00142558" w:rsidRDefault="004B4303" w:rsidP="0079452C"/>
          <w:p w:rsidR="004B4303" w:rsidRDefault="004B4303" w:rsidP="0079452C">
            <w:pPr>
              <w:rPr>
                <w:rFonts w:cs="Arial"/>
              </w:rPr>
            </w:pPr>
            <w:r w:rsidRPr="00142558">
              <w:t>The TWV noted that the experts from Crop</w:t>
            </w:r>
            <w:r>
              <w:t xml:space="preserve"> L</w:t>
            </w:r>
            <w:r w:rsidRPr="00142558">
              <w:t>ife</w:t>
            </w:r>
            <w:r>
              <w:t xml:space="preserve"> International</w:t>
            </w:r>
            <w:r w:rsidRPr="00142558">
              <w:t xml:space="preserve"> and </w:t>
            </w:r>
            <w:r>
              <w:t>European Seed Association</w:t>
            </w:r>
            <w:r w:rsidRPr="00142558">
              <w:t xml:space="preserve"> were in favor of the use of blind tests and of blind randomized trials </w:t>
            </w:r>
            <w:r>
              <w:t xml:space="preserve">in some cases </w:t>
            </w:r>
            <w:r w:rsidRPr="00100526">
              <w:rPr>
                <w:rFonts w:cs="Arial"/>
              </w:rPr>
              <w:t>(see 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s 53 and 54</w:t>
            </w:r>
            <w:r w:rsidRPr="00100526">
              <w:rPr>
                <w:rFonts w:cs="Arial"/>
              </w:rPr>
              <w:t>)</w:t>
            </w:r>
            <w:r>
              <w:rPr>
                <w:rFonts w:cs="Arial"/>
              </w:rPr>
              <w:t>.</w:t>
            </w:r>
          </w:p>
          <w:p w:rsidR="004B4303" w:rsidRPr="00AF2207" w:rsidRDefault="004B4303" w:rsidP="0079452C">
            <w:pPr>
              <w:rPr>
                <w:snapToGrid w:val="0"/>
              </w:rPr>
            </w:pPr>
          </w:p>
        </w:tc>
        <w:tc>
          <w:tcPr>
            <w:tcW w:w="1014" w:type="dxa"/>
          </w:tcPr>
          <w:p w:rsidR="004B4303" w:rsidRDefault="004B4303" w:rsidP="0079452C">
            <w:pPr>
              <w:jc w:val="center"/>
            </w:pPr>
            <w:r>
              <w:t>TWV</w:t>
            </w:r>
          </w:p>
        </w:tc>
      </w:tr>
      <w:tr w:rsidR="004B4303" w:rsidRPr="002302DC" w:rsidTr="0079452C">
        <w:trPr>
          <w:cantSplit/>
        </w:trPr>
        <w:tc>
          <w:tcPr>
            <w:tcW w:w="1701" w:type="dxa"/>
          </w:tcPr>
          <w:p w:rsidR="004B4303" w:rsidRDefault="004B4303" w:rsidP="0079452C">
            <w:pPr>
              <w:jc w:val="left"/>
            </w:pPr>
          </w:p>
        </w:tc>
        <w:tc>
          <w:tcPr>
            <w:tcW w:w="6924" w:type="dxa"/>
          </w:tcPr>
          <w:p w:rsidR="004B4303" w:rsidRDefault="004B4303" w:rsidP="0079452C">
            <w:pPr>
              <w:rPr>
                <w:rFonts w:cs="Arial"/>
              </w:rPr>
            </w:pPr>
            <w:r w:rsidRPr="007D0BAC">
              <w:rPr>
                <w:snapToGrid w:val="0"/>
              </w:rPr>
              <w:t>The TWA noted that blind randomized trials were used: in Brazil to confirm, in some cases, the assessment of distinctness under a breeder-based testing system for agricultural crops and vegetables; in the United Kingdom, for assessment of distinctness; and in France, for the assessment of disease resistance characteristics that are not tested by the authority</w:t>
            </w:r>
            <w:r w:rsidRPr="00100526">
              <w:rPr>
                <w:rFonts w:cs="Arial"/>
              </w:rPr>
              <w:t xml:space="preserve"> (see 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xml:space="preserve"> 46</w:t>
            </w:r>
            <w:r w:rsidRPr="00100526">
              <w:rPr>
                <w:rFonts w:cs="Arial"/>
              </w:rPr>
              <w:t>)</w:t>
            </w:r>
            <w:r>
              <w:rPr>
                <w:rFonts w:cs="Arial"/>
              </w:rPr>
              <w:t>.</w:t>
            </w:r>
          </w:p>
          <w:p w:rsidR="004B4303" w:rsidRPr="00AF2207" w:rsidRDefault="004B4303" w:rsidP="0079452C">
            <w:pPr>
              <w:rPr>
                <w:snapToGrid w:val="0"/>
              </w:rPr>
            </w:pPr>
          </w:p>
        </w:tc>
        <w:tc>
          <w:tcPr>
            <w:tcW w:w="1014" w:type="dxa"/>
          </w:tcPr>
          <w:p w:rsidR="004B4303" w:rsidRDefault="004B4303" w:rsidP="0079452C">
            <w:pPr>
              <w:jc w:val="center"/>
            </w:pPr>
            <w:r>
              <w:t>TWA</w:t>
            </w:r>
          </w:p>
        </w:tc>
      </w:tr>
    </w:tbl>
    <w:p w:rsidR="004B4303" w:rsidRDefault="004B4303" w:rsidP="004B4303"/>
    <w:p w:rsidR="004B4303" w:rsidRDefault="004B4303" w:rsidP="004B4303">
      <w:pPr>
        <w:pStyle w:val="Heading1"/>
      </w:pPr>
      <w:bookmarkStart w:id="11" w:name="_Toc406149594"/>
      <w:r>
        <w:t>next steps</w:t>
      </w:r>
      <w:bookmarkEnd w:id="11"/>
    </w:p>
    <w:p w:rsidR="004B4303" w:rsidRDefault="004B4303" w:rsidP="004B4303"/>
    <w:p w:rsidR="004B4303" w:rsidRDefault="004B4303" w:rsidP="004B4303">
      <w:r>
        <w:fldChar w:fldCharType="begin"/>
      </w:r>
      <w:r>
        <w:instrText xml:space="preserve"> AUTONUM  </w:instrText>
      </w:r>
      <w:r>
        <w:fldChar w:fldCharType="end"/>
      </w:r>
      <w:r>
        <w:tab/>
        <w:t xml:space="preserve">On the basis of the experience in the Netherlands, reported at the TWPs at their sessions in 2014, the expert from France approached an expert from the Netherlands to discuss the development of the guidelines on blind randomized trials. As a result of their discussions it was proposed that further consideration be given to whether the existing guidance in document TGP/9 “Examining distinctness” and </w:t>
      </w:r>
      <w:r w:rsidRPr="00A77250">
        <w:t xml:space="preserve">document </w:t>
      </w:r>
      <w:r>
        <w:rPr>
          <w:rFonts w:eastAsia="MS Mincho"/>
          <w:color w:val="000000"/>
          <w:szCs w:val="24"/>
          <w:lang w:eastAsia="ja-JP"/>
        </w:rPr>
        <w:t>TGP/8</w:t>
      </w:r>
      <w:r w:rsidRPr="00A77250">
        <w:rPr>
          <w:rFonts w:eastAsia="MS Mincho"/>
          <w:color w:val="000000"/>
          <w:szCs w:val="24"/>
          <w:lang w:eastAsia="ja-JP"/>
        </w:rPr>
        <w:t xml:space="preserve">: Part I: </w:t>
      </w:r>
      <w:r>
        <w:rPr>
          <w:rFonts w:eastAsia="MS Mincho"/>
          <w:color w:val="000000"/>
          <w:szCs w:val="24"/>
          <w:lang w:eastAsia="ja-JP"/>
        </w:rPr>
        <w:t>“</w:t>
      </w:r>
      <w:r w:rsidRPr="00A77250">
        <w:rPr>
          <w:rFonts w:eastAsia="MS Mincho"/>
          <w:color w:val="000000"/>
          <w:szCs w:val="24"/>
          <w:lang w:eastAsia="ja-JP"/>
        </w:rPr>
        <w:t>DUS trial design and data analysis</w:t>
      </w:r>
      <w:r>
        <w:rPr>
          <w:rFonts w:eastAsia="MS Mincho"/>
          <w:color w:val="000000"/>
          <w:szCs w:val="24"/>
          <w:lang w:eastAsia="ja-JP"/>
        </w:rPr>
        <w:t>”</w:t>
      </w:r>
      <w:r>
        <w:t xml:space="preserve"> was sufficient to address the matter.  </w:t>
      </w:r>
      <w:r>
        <w:rPr>
          <w:bCs/>
        </w:rPr>
        <w:t xml:space="preserve">Annex II to this document contains extracts from documents TGP/9 and TGP/8 concerning guidance on </w:t>
      </w:r>
      <w:r>
        <w:rPr>
          <w:rFonts w:cs="Arial"/>
          <w:lang w:eastAsia="ja-JP"/>
        </w:rPr>
        <w:t>use of randomized blind testing</w:t>
      </w:r>
      <w:r>
        <w:t>.</w:t>
      </w:r>
    </w:p>
    <w:p w:rsidR="004B4303" w:rsidRDefault="004B4303" w:rsidP="004B4303">
      <w:pPr>
        <w:jc w:val="left"/>
        <w:rPr>
          <w:szCs w:val="24"/>
        </w:rPr>
      </w:pPr>
    </w:p>
    <w:p w:rsidR="004B4303" w:rsidRDefault="004B4303" w:rsidP="004B4303">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r>
      <w:r w:rsidRPr="00B439F8">
        <w:rPr>
          <w:i/>
        </w:rPr>
        <w:t xml:space="preserve">The TC-EDC is invited to </w:t>
      </w:r>
      <w:r w:rsidR="00B439F8" w:rsidRPr="00B439F8">
        <w:rPr>
          <w:i/>
        </w:rPr>
        <w:t xml:space="preserve">consider whether further guidance should be developed and, if so, </w:t>
      </w:r>
      <w:r w:rsidR="00B439F8" w:rsidRPr="00B439F8">
        <w:rPr>
          <w:rFonts w:cs="Arial"/>
          <w:i/>
        </w:rPr>
        <w:t>to specify which sections of existing guidance in documents TGP/8 and TGP/9 should be amended</w:t>
      </w:r>
      <w:r w:rsidRPr="004D79D9">
        <w:rPr>
          <w:i/>
        </w:rPr>
        <w:t>.</w:t>
      </w:r>
    </w:p>
    <w:p w:rsidR="004B4303" w:rsidRDefault="00B439F8" w:rsidP="00B439F8">
      <w:pPr>
        <w:pStyle w:val="DecisionParagraphs"/>
        <w:tabs>
          <w:tab w:val="clear" w:pos="5387"/>
          <w:tab w:val="left" w:pos="4536"/>
          <w:tab w:val="left" w:pos="8799"/>
        </w:tabs>
      </w:pPr>
      <w:r>
        <w:tab/>
      </w:r>
    </w:p>
    <w:p w:rsidR="004B4303" w:rsidRDefault="004B4303" w:rsidP="004B4303">
      <w:pPr>
        <w:pStyle w:val="DecisionParagraphs"/>
        <w:tabs>
          <w:tab w:val="left" w:pos="4536"/>
          <w:tab w:val="left" w:pos="5670"/>
        </w:tabs>
      </w:pPr>
    </w:p>
    <w:p w:rsidR="004B4303" w:rsidRPr="004C3C59" w:rsidRDefault="004B4303" w:rsidP="004B4303">
      <w:pPr>
        <w:pStyle w:val="DecisionParagraphs"/>
        <w:tabs>
          <w:tab w:val="left" w:pos="4536"/>
          <w:tab w:val="left" w:pos="5670"/>
        </w:tabs>
      </w:pPr>
    </w:p>
    <w:p w:rsidR="004B4303" w:rsidRDefault="004B4303" w:rsidP="004B4303">
      <w:pPr>
        <w:jc w:val="right"/>
      </w:pPr>
      <w:r>
        <w:t>[Annexes follow]</w:t>
      </w:r>
    </w:p>
    <w:p w:rsidR="004B4303" w:rsidRDefault="004B4303" w:rsidP="004B4303">
      <w:pPr>
        <w:sectPr w:rsidR="004B4303" w:rsidSect="004C3C59">
          <w:headerReference w:type="default" r:id="rId9"/>
          <w:pgSz w:w="11907" w:h="16840" w:code="9"/>
          <w:pgMar w:top="510" w:right="1134" w:bottom="993" w:left="1134" w:header="510" w:footer="680" w:gutter="0"/>
          <w:cols w:space="720"/>
          <w:titlePg/>
        </w:sectPr>
      </w:pPr>
    </w:p>
    <w:p w:rsidR="004B4303" w:rsidRPr="00D52743" w:rsidRDefault="004B4303" w:rsidP="004B4303">
      <w:pPr>
        <w:jc w:val="left"/>
        <w:rPr>
          <w:caps/>
        </w:rPr>
      </w:pPr>
      <w:r w:rsidRPr="00D52743">
        <w:rPr>
          <w:caps/>
        </w:rPr>
        <w:lastRenderedPageBreak/>
        <w:t>DRAFT GUIDANCE CONSIDERED BY THE twps at their sessions in 2013</w:t>
      </w:r>
      <w:r>
        <w:rPr>
          <w:caps/>
        </w:rPr>
        <w:t xml:space="preserve"> and 2014</w:t>
      </w:r>
    </w:p>
    <w:p w:rsidR="004B4303" w:rsidRDefault="004B4303" w:rsidP="004B4303">
      <w:pPr>
        <w:jc w:val="center"/>
        <w:rPr>
          <w:rFonts w:cs="Arial"/>
          <w:caps/>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4B4303" w:rsidRPr="004229F4" w:rsidTr="0079452C">
        <w:trPr>
          <w:cantSplit/>
          <w:jc w:val="center"/>
        </w:trPr>
        <w:tc>
          <w:tcPr>
            <w:tcW w:w="6664" w:type="dxa"/>
            <w:shd w:val="clear" w:color="auto" w:fill="E6E6E6"/>
          </w:tcPr>
          <w:p w:rsidR="004B4303" w:rsidRPr="008365E7" w:rsidRDefault="004B4303" w:rsidP="0079452C">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revisions on Annex I in 2014</w:t>
            </w:r>
          </w:p>
          <w:p w:rsidR="004B4303" w:rsidRPr="008365E7" w:rsidRDefault="004B4303" w:rsidP="0079452C">
            <w:pPr>
              <w:rPr>
                <w:rFonts w:cs="Arial"/>
                <w:sz w:val="18"/>
                <w:szCs w:val="22"/>
                <w:u w:val="single"/>
              </w:rPr>
            </w:pPr>
          </w:p>
          <w:p w:rsidR="004B4303" w:rsidRPr="008365E7" w:rsidRDefault="004B4303" w:rsidP="0079452C">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w:t>
            </w:r>
          </w:p>
          <w:p w:rsidR="004B4303" w:rsidRPr="008365E7" w:rsidRDefault="004B4303" w:rsidP="0079452C">
            <w:pPr>
              <w:rPr>
                <w:rFonts w:cs="Arial"/>
                <w:sz w:val="18"/>
                <w:szCs w:val="22"/>
              </w:rPr>
            </w:pPr>
          </w:p>
          <w:p w:rsidR="004B4303" w:rsidRPr="002B1964" w:rsidRDefault="004B4303" w:rsidP="0079452C">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w:t>
            </w:r>
          </w:p>
        </w:tc>
      </w:tr>
    </w:tbl>
    <w:p w:rsidR="004B4303" w:rsidRDefault="004B4303" w:rsidP="004B4303">
      <w:pPr>
        <w:jc w:val="center"/>
        <w:rPr>
          <w:rFonts w:cs="Arial"/>
          <w:caps/>
        </w:rPr>
      </w:pPr>
    </w:p>
    <w:p w:rsidR="004B4303" w:rsidRDefault="004B4303" w:rsidP="004B4303">
      <w:pPr>
        <w:jc w:val="left"/>
        <w:rPr>
          <w:rFonts w:cs="Arial"/>
          <w:caps/>
        </w:rPr>
      </w:pPr>
      <w:r>
        <w:rPr>
          <w:rFonts w:cs="Arial"/>
          <w:caps/>
        </w:rPr>
        <w:t xml:space="preserve">draft </w:t>
      </w:r>
      <w:r w:rsidRPr="00AA533F">
        <w:rPr>
          <w:rFonts w:cs="Arial"/>
          <w:caps/>
        </w:rPr>
        <w:t>Guidance of Data Analysis for Blind Randomized Trials</w:t>
      </w:r>
    </w:p>
    <w:p w:rsidR="004B4303" w:rsidRPr="0083609F" w:rsidRDefault="004B4303" w:rsidP="004B4303">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4B4303" w:rsidRDefault="004B4303" w:rsidP="004B4303"/>
    <w:p w:rsidR="004B4303" w:rsidRDefault="004B4303" w:rsidP="004B4303">
      <w:pPr>
        <w:rPr>
          <w:u w:val="single"/>
          <w:shd w:val="clear" w:color="auto" w:fill="BFBFBF"/>
        </w:rPr>
      </w:pPr>
      <w:r w:rsidRPr="008B3EB2">
        <w:rPr>
          <w:u w:val="single"/>
          <w:shd w:val="clear" w:color="auto" w:fill="BFBFBF"/>
        </w:rPr>
        <w:t>Introduction:</w:t>
      </w:r>
    </w:p>
    <w:p w:rsidR="004B4303" w:rsidRDefault="004B4303" w:rsidP="004B4303">
      <w:pPr>
        <w:rPr>
          <w:u w:val="single"/>
        </w:rPr>
      </w:pPr>
    </w:p>
    <w:p w:rsidR="004B4303" w:rsidRPr="0083609F" w:rsidRDefault="004B4303" w:rsidP="004B4303">
      <w:r>
        <w:rPr>
          <w:shd w:val="clear" w:color="auto" w:fill="BFBFBF"/>
        </w:rPr>
        <w:t>[To be provided]</w:t>
      </w:r>
    </w:p>
    <w:p w:rsidR="004B4303" w:rsidRDefault="004B4303" w:rsidP="004B4303"/>
    <w:p w:rsidR="004B4303" w:rsidRDefault="004B4303" w:rsidP="004B4303">
      <w:pPr>
        <w:rPr>
          <w:u w:val="single"/>
        </w:rPr>
      </w:pPr>
      <w:r w:rsidRPr="00AA533F">
        <w:rPr>
          <w:u w:val="single"/>
        </w:rPr>
        <w:t>Background:</w:t>
      </w:r>
    </w:p>
    <w:p w:rsidR="004B4303" w:rsidRPr="00AA533F" w:rsidRDefault="004B4303" w:rsidP="004B4303">
      <w:pPr>
        <w:rPr>
          <w:u w:val="single"/>
        </w:rPr>
      </w:pPr>
    </w:p>
    <w:p w:rsidR="004B4303" w:rsidRDefault="004B4303" w:rsidP="004B4303">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4B4303" w:rsidRDefault="004B4303" w:rsidP="004B4303"/>
    <w:p w:rsidR="004B4303" w:rsidRPr="00C12C6C" w:rsidRDefault="004B4303" w:rsidP="004B4303">
      <w:pPr>
        <w:ind w:left="567"/>
      </w:pPr>
      <w:r w:rsidRPr="00C12C6C">
        <w:t>-</w:t>
      </w:r>
      <w:r>
        <w:t xml:space="preserve"> </w:t>
      </w:r>
      <w:r>
        <w:tab/>
      </w:r>
      <w:r w:rsidRPr="00C12C6C">
        <w:t>confirm some characteristics announced by the applicant;</w:t>
      </w:r>
    </w:p>
    <w:p w:rsidR="004B4303" w:rsidRPr="005E587B" w:rsidRDefault="004B4303" w:rsidP="004B4303">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r w:rsidRPr="00576C15">
        <w:rPr>
          <w:strike/>
          <w:highlight w:val="lightGray"/>
        </w:rPr>
        <w:t xml:space="preserve">Groupe d'étude et de </w:t>
      </w:r>
      <w:r w:rsidRPr="00576C15">
        <w:rPr>
          <w:strike/>
          <w:highlight w:val="lightGray"/>
        </w:rPr>
        <w:tab/>
        <w:t>contrôle des variétés et des semences (GEVES)</w:t>
      </w:r>
      <w:r w:rsidRPr="00576C15">
        <w:rPr>
          <w:highlight w:val="lightGray"/>
        </w:rPr>
        <w:t xml:space="preserve"> </w:t>
      </w:r>
      <w:r w:rsidRPr="00A62722">
        <w:rPr>
          <w:strike/>
          <w:highlight w:val="lightGray"/>
          <w:u w:val="single"/>
        </w:rPr>
        <w:t>the authority in charge of DUS examination</w:t>
      </w:r>
      <w:r w:rsidRPr="005E587B">
        <w:t>.</w:t>
      </w:r>
    </w:p>
    <w:p w:rsidR="004B4303" w:rsidRPr="005E587B" w:rsidRDefault="004B4303" w:rsidP="004B4303">
      <w:pPr>
        <w:ind w:left="567"/>
      </w:pPr>
    </w:p>
    <w:p w:rsidR="004B4303" w:rsidRPr="00C12C6C" w:rsidRDefault="004B4303" w:rsidP="004B4303">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4B4303" w:rsidRDefault="004B4303" w:rsidP="004B4303"/>
    <w:p w:rsidR="004B4303" w:rsidRPr="0025055A" w:rsidRDefault="004B4303" w:rsidP="004B4303">
      <w:pPr>
        <w:rPr>
          <w:u w:val="single"/>
        </w:rPr>
      </w:pPr>
      <w:r>
        <w:rPr>
          <w:u w:val="single"/>
        </w:rPr>
        <w:t>Preparation of the trial:</w:t>
      </w:r>
    </w:p>
    <w:p w:rsidR="004B4303" w:rsidRDefault="004B4303" w:rsidP="004B4303"/>
    <w:p w:rsidR="004B4303" w:rsidRPr="00C12C6C" w:rsidRDefault="004B4303" w:rsidP="004B4303">
      <w:pPr>
        <w:numPr>
          <w:ilvl w:val="0"/>
          <w:numId w:val="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4B4303" w:rsidRPr="00C12C6C" w:rsidRDefault="004B4303" w:rsidP="004B4303">
      <w:pPr>
        <w:numPr>
          <w:ilvl w:val="0"/>
          <w:numId w:val="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4B4303" w:rsidRDefault="004B4303" w:rsidP="004B4303">
      <w:pPr>
        <w:numPr>
          <w:ilvl w:val="0"/>
          <w:numId w:val="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4B4303" w:rsidRPr="0083609F" w:rsidRDefault="004B4303" w:rsidP="004B4303">
      <w:pPr>
        <w:numPr>
          <w:ilvl w:val="0"/>
          <w:numId w:val="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4B4303" w:rsidRPr="00C12C6C" w:rsidRDefault="004B4303" w:rsidP="004B4303">
      <w:pPr>
        <w:numPr>
          <w:ilvl w:val="0"/>
          <w:numId w:val="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4B4303" w:rsidRDefault="004B4303" w:rsidP="004B4303"/>
    <w:p w:rsidR="004B4303" w:rsidRPr="00C12C6C" w:rsidRDefault="004B4303" w:rsidP="004B4303">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4B4303" w:rsidRDefault="004B4303" w:rsidP="004B4303"/>
    <w:p w:rsidR="004B4303" w:rsidRDefault="004B4303" w:rsidP="004B4303">
      <w:pPr>
        <w:rPr>
          <w:u w:val="single"/>
        </w:rPr>
      </w:pPr>
      <w:r>
        <w:rPr>
          <w:u w:val="single"/>
        </w:rPr>
        <w:t>Transmission of results:</w:t>
      </w:r>
    </w:p>
    <w:p w:rsidR="004B4303" w:rsidRPr="0025055A" w:rsidRDefault="004B4303" w:rsidP="004B4303">
      <w:pPr>
        <w:rPr>
          <w:u w:val="single"/>
        </w:rPr>
      </w:pPr>
    </w:p>
    <w:p w:rsidR="004B4303" w:rsidRDefault="004B4303" w:rsidP="004B4303">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4B4303" w:rsidRPr="00C12C6C" w:rsidRDefault="004B4303" w:rsidP="004B4303"/>
    <w:p w:rsidR="004B4303" w:rsidRPr="00C12C6C" w:rsidRDefault="004B4303" w:rsidP="004B4303">
      <w:r>
        <w:tab/>
        <w:t>A = Candidate variety</w:t>
      </w:r>
    </w:p>
    <w:p w:rsidR="004B4303" w:rsidRPr="00C12C6C" w:rsidRDefault="004B4303" w:rsidP="004B4303">
      <w:r>
        <w:tab/>
        <w:t>B = Reference variety</w:t>
      </w:r>
    </w:p>
    <w:p w:rsidR="004B4303" w:rsidRPr="00C12C6C" w:rsidRDefault="004B4303" w:rsidP="004B4303">
      <w:r>
        <w:tab/>
        <w:t>C = Mixture</w:t>
      </w:r>
    </w:p>
    <w:p w:rsidR="004B4303" w:rsidRPr="00C12C6C" w:rsidRDefault="004B4303" w:rsidP="004B4303">
      <w:r>
        <w:tab/>
        <w:t>D = Candidate variety</w:t>
      </w:r>
    </w:p>
    <w:p w:rsidR="004B4303" w:rsidRPr="00E567A4" w:rsidRDefault="004B4303" w:rsidP="004B4303">
      <w:r>
        <w:tab/>
        <w:t>E = Reference variety</w:t>
      </w:r>
    </w:p>
    <w:p w:rsidR="004B4303" w:rsidRDefault="004B4303" w:rsidP="004B4303"/>
    <w:p w:rsidR="004B4303" w:rsidRPr="00C12C6C" w:rsidRDefault="004B4303" w:rsidP="004B4303">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4B4303" w:rsidRDefault="004B4303" w:rsidP="004B4303"/>
    <w:p w:rsidR="004B4303" w:rsidRPr="004B5667" w:rsidRDefault="004B4303" w:rsidP="004B4303">
      <w:r>
        <w:t>6.</w:t>
      </w:r>
      <w:r>
        <w:tab/>
      </w:r>
      <w:r w:rsidRPr="004B5667">
        <w:t>This approach amounts to formalize the results obtained through a non-official test.</w:t>
      </w:r>
    </w:p>
    <w:p w:rsidR="004B4303" w:rsidRDefault="004B4303" w:rsidP="004B4303">
      <w:pPr>
        <w:jc w:val="right"/>
      </w:pPr>
    </w:p>
    <w:p w:rsidR="004B4303" w:rsidRDefault="004B4303" w:rsidP="004B4303">
      <w:pPr>
        <w:jc w:val="right"/>
      </w:pPr>
      <w:r>
        <w:t>[Annex II follows]</w:t>
      </w:r>
    </w:p>
    <w:p w:rsidR="004B4303" w:rsidRDefault="004B4303" w:rsidP="004B4303">
      <w:pPr>
        <w:jc w:val="right"/>
        <w:sectPr w:rsidR="004B4303"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4B4303" w:rsidRDefault="004B4303" w:rsidP="004B4303">
      <w:pPr>
        <w:jc w:val="center"/>
        <w:rPr>
          <w:caps/>
          <w:sz w:val="18"/>
          <w:szCs w:val="18"/>
        </w:rPr>
      </w:pPr>
    </w:p>
    <w:p w:rsidR="004B4303" w:rsidRDefault="004B4303" w:rsidP="004B4303">
      <w:pPr>
        <w:autoSpaceDE w:val="0"/>
        <w:autoSpaceDN w:val="0"/>
        <w:adjustRightInd w:val="0"/>
        <w:rPr>
          <w:rFonts w:eastAsia="MS Mincho"/>
          <w:color w:val="000000"/>
          <w:szCs w:val="24"/>
          <w:lang w:eastAsia="ja-JP"/>
        </w:rPr>
      </w:pPr>
      <w:r>
        <w:rPr>
          <w:rFonts w:eastAsia="MS Mincho"/>
          <w:color w:val="000000"/>
          <w:szCs w:val="24"/>
          <w:lang w:eastAsia="ja-JP"/>
        </w:rPr>
        <w:t>EXTRACT FROM DOCUMENT TGP/9/1: EXAMINING DISTINCTNESS; SECTION 6: SUPPLEMENTARY PROCEDURES</w:t>
      </w:r>
    </w:p>
    <w:p w:rsidR="004B4303" w:rsidRDefault="004B4303" w:rsidP="004B4303">
      <w:pPr>
        <w:jc w:val="center"/>
        <w:rPr>
          <w:caps/>
          <w:sz w:val="18"/>
          <w:szCs w:val="18"/>
        </w:rPr>
      </w:pPr>
    </w:p>
    <w:p w:rsidR="004B4303" w:rsidRDefault="004B4303" w:rsidP="004B4303">
      <w:pPr>
        <w:jc w:val="center"/>
        <w:rPr>
          <w:caps/>
          <w:sz w:val="18"/>
          <w:szCs w:val="18"/>
        </w:rPr>
      </w:pPr>
    </w:p>
    <w:p w:rsidR="004B4303" w:rsidRPr="00FE4A9C" w:rsidRDefault="004B4303" w:rsidP="004B4303">
      <w:pPr>
        <w:rPr>
          <w:u w:val="single"/>
        </w:rPr>
      </w:pPr>
      <w:bookmarkStart w:id="12" w:name="_Toc156741096"/>
      <w:bookmarkStart w:id="13" w:name="_Toc196280389"/>
      <w:r>
        <w:rPr>
          <w:u w:val="single"/>
        </w:rPr>
        <w:t>“</w:t>
      </w:r>
      <w:r w:rsidRPr="00FE4A9C">
        <w:rPr>
          <w:u w:val="single"/>
        </w:rPr>
        <w:t>6.4</w:t>
      </w:r>
      <w:r w:rsidRPr="00FE4A9C">
        <w:rPr>
          <w:u w:val="single"/>
        </w:rPr>
        <w:tab/>
        <w:t>Use of randomized “blind” testing</w:t>
      </w:r>
      <w:bookmarkEnd w:id="12"/>
      <w:bookmarkEnd w:id="13"/>
      <w:r w:rsidRPr="00FE4A9C">
        <w:rPr>
          <w:rStyle w:val="EndnoteReference"/>
          <w:u w:val="single"/>
        </w:rPr>
        <w:t xml:space="preserve"> </w:t>
      </w:r>
    </w:p>
    <w:p w:rsidR="004B4303" w:rsidRPr="00FE4A9C" w:rsidRDefault="004B4303" w:rsidP="004B4303"/>
    <w:p w:rsidR="004B4303" w:rsidRPr="00FE4A9C" w:rsidRDefault="004B4303" w:rsidP="004B4303">
      <w:pPr>
        <w:tabs>
          <w:tab w:val="left" w:pos="992"/>
        </w:tabs>
      </w:pPr>
      <w:r>
        <w:t>“</w:t>
      </w:r>
      <w:r w:rsidRPr="00FE4A9C">
        <w:t>6.4.1</w:t>
      </w:r>
      <w:r w:rsidRPr="00FE4A9C">
        <w:tab/>
        <w:t>After, or during, the examination, some doubts may exist over the distinctness of a variety on the basis of the growing trial.  In such cases, the following situations are possible:</w:t>
      </w:r>
    </w:p>
    <w:p w:rsidR="004B4303" w:rsidRPr="00FE4A9C" w:rsidRDefault="004B4303" w:rsidP="004B4303">
      <w:pPr>
        <w:tabs>
          <w:tab w:val="left" w:pos="992"/>
        </w:tabs>
      </w:pPr>
    </w:p>
    <w:p w:rsidR="004B4303" w:rsidRPr="00FE4A9C" w:rsidRDefault="004B4303" w:rsidP="004B4303">
      <w:pPr>
        <w:tabs>
          <w:tab w:val="left" w:pos="992"/>
        </w:tabs>
        <w:ind w:left="993"/>
      </w:pPr>
      <w:r w:rsidRPr="00FE4A9C">
        <w:t>(a)</w:t>
      </w:r>
      <w:r w:rsidRPr="00FE4A9C">
        <w:tab/>
        <w:t>with no differences observed, the application is rejected;</w:t>
      </w:r>
    </w:p>
    <w:p w:rsidR="004B4303" w:rsidRPr="00FE4A9C" w:rsidRDefault="004B4303" w:rsidP="004B4303">
      <w:pPr>
        <w:tabs>
          <w:tab w:val="num" w:pos="-2127"/>
          <w:tab w:val="left" w:pos="992"/>
        </w:tabs>
        <w:ind w:left="993"/>
      </w:pPr>
    </w:p>
    <w:p w:rsidR="004B4303" w:rsidRPr="00FE4A9C" w:rsidRDefault="004B4303" w:rsidP="004B4303">
      <w:pPr>
        <w:tabs>
          <w:tab w:val="left" w:pos="992"/>
        </w:tabs>
        <w:ind w:left="993"/>
      </w:pPr>
      <w:r w:rsidRPr="00FE4A9C">
        <w:t>(b)</w:t>
      </w:r>
      <w:r w:rsidRPr="00FE4A9C">
        <w:tab/>
        <w:t>with no clear difference observed and a claim of distinctness from the breeder/applicant, the examining authority may decide to arrange additional tests.</w:t>
      </w:r>
    </w:p>
    <w:p w:rsidR="004B4303" w:rsidRPr="00FE4A9C" w:rsidRDefault="004B4303" w:rsidP="004B4303">
      <w:pPr>
        <w:tabs>
          <w:tab w:val="left" w:pos="992"/>
        </w:tabs>
      </w:pPr>
    </w:p>
    <w:p w:rsidR="004B4303" w:rsidRPr="00FE4A9C" w:rsidRDefault="004B4303" w:rsidP="004B4303">
      <w:pPr>
        <w:pStyle w:val="Header"/>
        <w:tabs>
          <w:tab w:val="left" w:pos="992"/>
        </w:tabs>
        <w:jc w:val="both"/>
        <w:rPr>
          <w:lang w:val="en-US"/>
        </w:rPr>
      </w:pPr>
      <w:r>
        <w:rPr>
          <w:lang w:val="en-US"/>
        </w:rPr>
        <w:t>“</w:t>
      </w:r>
      <w:r w:rsidRPr="00FE4A9C">
        <w:rPr>
          <w:lang w:val="en-US"/>
        </w:rPr>
        <w:t>6.4.2</w:t>
      </w:r>
      <w:r w:rsidRPr="00FE4A9C">
        <w:rPr>
          <w:lang w:val="en-US"/>
        </w:rPr>
        <w:tab/>
        <w:t>In the case of visually observed characteristics, one possible arrangement for an additional test is “blind” testing.</w:t>
      </w:r>
    </w:p>
    <w:p w:rsidR="004B4303" w:rsidRPr="00FE4A9C" w:rsidRDefault="004B4303" w:rsidP="004B4303"/>
    <w:p w:rsidR="004B4303" w:rsidRDefault="004B4303" w:rsidP="004B4303">
      <w:pPr>
        <w:pStyle w:val="Header"/>
        <w:tabs>
          <w:tab w:val="left" w:pos="992"/>
        </w:tabs>
        <w:jc w:val="both"/>
        <w:rPr>
          <w:lang w:val="en-US"/>
        </w:rPr>
      </w:pPr>
      <w:r>
        <w:rPr>
          <w:lang w:val="en-US"/>
        </w:rPr>
        <w:t>“</w:t>
      </w:r>
      <w:r w:rsidRPr="00FE4A9C">
        <w:rPr>
          <w:lang w:val="en-US"/>
        </w:rPr>
        <w:t>6.4.3</w:t>
      </w:r>
      <w:r w:rsidRPr="00FE4A9C">
        <w:rPr>
          <w:lang w:val="en-US"/>
        </w:rPr>
        <w:tab/>
        <w:t>The aim of “blind” testing is to assess distinctness between a pair of varieties avoiding any pre-judgement in the observation by making the samples in the trial anonymous (the expert is “blind” in respect to the identity of the variety in each plot).  This kind of test plays a clarifying role when the differences between the candidate and (a) similar variety(ies) are not clearly definable.  In such a case, another test during or after the examination of distinctness may provide evidence for a definitive decision by the authority.</w:t>
      </w:r>
    </w:p>
    <w:p w:rsidR="004B4303" w:rsidRPr="00FE4A9C" w:rsidRDefault="004B4303" w:rsidP="004B4303">
      <w:pPr>
        <w:pStyle w:val="Header"/>
        <w:tabs>
          <w:tab w:val="left" w:pos="992"/>
        </w:tabs>
        <w:jc w:val="both"/>
        <w:rPr>
          <w:lang w:val="en-US"/>
        </w:rPr>
      </w:pPr>
    </w:p>
    <w:p w:rsidR="004B4303" w:rsidRPr="00FE4A9C" w:rsidRDefault="004B4303" w:rsidP="004B4303">
      <w:r>
        <w:t>“</w:t>
      </w:r>
      <w:r w:rsidRPr="00FE4A9C">
        <w:t>6.4.4</w:t>
      </w:r>
      <w:r w:rsidRPr="00FE4A9C">
        <w:tab/>
        <w:t>The following are some examples of “blind” testing:</w:t>
      </w:r>
    </w:p>
    <w:p w:rsidR="004B4303" w:rsidRPr="00FE4A9C" w:rsidRDefault="004B4303" w:rsidP="004B4303"/>
    <w:p w:rsidR="004B4303" w:rsidRPr="00FE4A9C" w:rsidRDefault="004B4303" w:rsidP="004B4303">
      <w:pPr>
        <w:pStyle w:val="Header"/>
        <w:tabs>
          <w:tab w:val="left" w:pos="992"/>
        </w:tabs>
        <w:ind w:left="567"/>
        <w:jc w:val="both"/>
        <w:rPr>
          <w:lang w:val="en-US"/>
        </w:rPr>
      </w:pPr>
      <w:r w:rsidRPr="00FE4A9C">
        <w:rPr>
          <w:i/>
          <w:lang w:val="en-US"/>
        </w:rPr>
        <w:t>Randomized variety plots:</w:t>
      </w:r>
      <w:r w:rsidRPr="00FE4A9C">
        <w:rPr>
          <w:lang w:val="en-US"/>
        </w:rPr>
        <w:t xml:space="preserve">  duplicates samples of the same variety receive individual codes and are randomly distributed in the trial.</w:t>
      </w:r>
    </w:p>
    <w:p w:rsidR="004B4303" w:rsidRPr="00FE4A9C" w:rsidRDefault="004B4303" w:rsidP="004B4303">
      <w:pPr>
        <w:pStyle w:val="Header"/>
        <w:tabs>
          <w:tab w:val="left" w:pos="992"/>
        </w:tabs>
        <w:ind w:left="567"/>
        <w:jc w:val="both"/>
        <w:rPr>
          <w:lang w:val="en-US"/>
        </w:rPr>
      </w:pPr>
    </w:p>
    <w:p w:rsidR="004B4303" w:rsidRPr="00FE4A9C" w:rsidRDefault="004B4303" w:rsidP="004B4303">
      <w:pPr>
        <w:pStyle w:val="Header"/>
        <w:tabs>
          <w:tab w:val="left" w:pos="992"/>
        </w:tabs>
        <w:ind w:left="567"/>
        <w:jc w:val="both"/>
        <w:rPr>
          <w:lang w:val="en-US"/>
        </w:rPr>
      </w:pPr>
      <w:r w:rsidRPr="00FE4A9C">
        <w:rPr>
          <w:i/>
          <w:lang w:val="en-US"/>
        </w:rPr>
        <w:t>Plots containing a mixture of varieties</w:t>
      </w:r>
      <w:r w:rsidRPr="00FE4A9C">
        <w:rPr>
          <w:lang w:val="en-US"/>
        </w:rPr>
        <w:t>: plots with a mixture of material from the varieties under examination are included in the trial.  This can be useful for seed-propagated varieties.</w:t>
      </w:r>
    </w:p>
    <w:p w:rsidR="004B4303" w:rsidRPr="00FE4A9C" w:rsidRDefault="004B4303" w:rsidP="004B4303">
      <w:pPr>
        <w:pStyle w:val="Header"/>
        <w:tabs>
          <w:tab w:val="left" w:pos="992"/>
        </w:tabs>
        <w:ind w:left="567"/>
        <w:jc w:val="both"/>
        <w:rPr>
          <w:lang w:val="en-US"/>
        </w:rPr>
      </w:pPr>
    </w:p>
    <w:p w:rsidR="004B4303" w:rsidRPr="00FE4A9C" w:rsidRDefault="004B4303" w:rsidP="004B4303">
      <w:pPr>
        <w:pStyle w:val="Header"/>
        <w:tabs>
          <w:tab w:val="left" w:pos="992"/>
        </w:tabs>
        <w:ind w:left="567"/>
        <w:jc w:val="both"/>
        <w:rPr>
          <w:lang w:val="en-US"/>
        </w:rPr>
      </w:pPr>
      <w:r w:rsidRPr="00FE4A9C">
        <w:rPr>
          <w:i/>
          <w:lang w:val="en-US"/>
        </w:rPr>
        <w:t>Parts of plants of varieties</w:t>
      </w:r>
      <w:r w:rsidRPr="00FE4A9C">
        <w:rPr>
          <w:lang w:val="en-US"/>
        </w:rPr>
        <w:t>:  randomized parts of plants from the varieties under examination (e.g. leaves or fruit).</w:t>
      </w:r>
    </w:p>
    <w:p w:rsidR="004B4303" w:rsidRPr="00FE4A9C" w:rsidRDefault="004B4303" w:rsidP="004B4303">
      <w:pPr>
        <w:pStyle w:val="Header"/>
        <w:tabs>
          <w:tab w:val="left" w:pos="992"/>
        </w:tabs>
        <w:jc w:val="both"/>
        <w:rPr>
          <w:lang w:val="en-US"/>
        </w:rPr>
      </w:pPr>
    </w:p>
    <w:p w:rsidR="004B4303" w:rsidRPr="00FE4A9C" w:rsidRDefault="004B4303" w:rsidP="004B4303">
      <w:pPr>
        <w:pStyle w:val="Header"/>
        <w:tabs>
          <w:tab w:val="left" w:pos="992"/>
        </w:tabs>
        <w:jc w:val="both"/>
        <w:rPr>
          <w:lang w:val="en-US"/>
        </w:rPr>
      </w:pPr>
      <w:r>
        <w:rPr>
          <w:lang w:val="en-US"/>
        </w:rPr>
        <w:t>“</w:t>
      </w:r>
      <w:r w:rsidRPr="00FE4A9C">
        <w:rPr>
          <w:lang w:val="en-US"/>
        </w:rPr>
        <w:t>6.4.5</w:t>
      </w:r>
      <w:r w:rsidRPr="00FE4A9C">
        <w:rPr>
          <w:lang w:val="en-US"/>
        </w:rPr>
        <w:tab/>
        <w:t>Breeders/applicants may be part of the “blind” testing process.  They may also be invited to visit the “blind” test and be requested to try to identify the plots of their variety.</w:t>
      </w:r>
    </w:p>
    <w:p w:rsidR="004B4303" w:rsidRPr="00FE4A9C" w:rsidRDefault="004B4303" w:rsidP="004B4303">
      <w:pPr>
        <w:pStyle w:val="Header"/>
        <w:tabs>
          <w:tab w:val="left" w:pos="992"/>
        </w:tabs>
        <w:jc w:val="both"/>
        <w:rPr>
          <w:lang w:val="en-US"/>
        </w:rPr>
      </w:pPr>
    </w:p>
    <w:p w:rsidR="004B4303" w:rsidRPr="00FE4A9C" w:rsidRDefault="004B4303" w:rsidP="004B4303">
      <w:r>
        <w:t>“</w:t>
      </w:r>
      <w:r w:rsidRPr="00FE4A9C">
        <w:t>6.4.6</w:t>
      </w:r>
      <w:r w:rsidRPr="00FE4A9C">
        <w:tab/>
        <w:t>At the end of the “blind” testing a variety may be declared as distinct:</w:t>
      </w:r>
    </w:p>
    <w:p w:rsidR="004B4303" w:rsidRPr="00FE4A9C" w:rsidRDefault="004B4303" w:rsidP="004B4303"/>
    <w:p w:rsidR="004B4303" w:rsidRPr="00FE4A9C" w:rsidRDefault="004B4303" w:rsidP="004B4303">
      <w:pPr>
        <w:ind w:left="1134" w:hanging="567"/>
      </w:pPr>
      <w:r w:rsidRPr="00FE4A9C">
        <w:t>(a)</w:t>
      </w:r>
      <w:r w:rsidRPr="00FE4A9C">
        <w:tab/>
        <w:t>if the expert and, where appropriate, the breeder/applicant always identify the variety;  and</w:t>
      </w:r>
    </w:p>
    <w:p w:rsidR="004B4303" w:rsidRPr="00FE4A9C" w:rsidRDefault="004B4303" w:rsidP="004B4303"/>
    <w:p w:rsidR="004B4303" w:rsidRPr="00FE4A9C" w:rsidRDefault="004B4303" w:rsidP="004B4303">
      <w:pPr>
        <w:ind w:firstLine="567"/>
      </w:pPr>
      <w:r w:rsidRPr="00FE4A9C">
        <w:t>(b)</w:t>
      </w:r>
      <w:r w:rsidRPr="00FE4A9C">
        <w:tab/>
        <w:t>the difference can be considered as a clear difference for that characteristic.</w:t>
      </w:r>
    </w:p>
    <w:p w:rsidR="004B4303" w:rsidRPr="00FE4A9C" w:rsidRDefault="004B4303" w:rsidP="004B4303"/>
    <w:p w:rsidR="004B4303" w:rsidRDefault="004B4303" w:rsidP="004B4303">
      <w:r>
        <w:t>“</w:t>
      </w:r>
      <w:r w:rsidRPr="00FE4A9C">
        <w:t>6.4.7</w:t>
      </w:r>
      <w:r w:rsidRPr="00FE4A9C">
        <w:tab/>
        <w:t>In all cases, it is the authority which decides on distinctness.</w:t>
      </w:r>
      <w:r>
        <w:t>”</w:t>
      </w:r>
    </w:p>
    <w:p w:rsidR="004B4303" w:rsidRDefault="004B4303" w:rsidP="004B4303"/>
    <w:p w:rsidR="004B4303" w:rsidRDefault="004B4303" w:rsidP="004B4303"/>
    <w:p w:rsidR="004B4303" w:rsidRDefault="004B4303" w:rsidP="004B4303">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4B4303" w:rsidRDefault="004B4303" w:rsidP="004B4303"/>
    <w:p w:rsidR="004B4303" w:rsidRPr="00FF5ED2" w:rsidRDefault="004B4303" w:rsidP="004B4303">
      <w:pPr>
        <w:rPr>
          <w:u w:val="single"/>
        </w:rPr>
      </w:pPr>
      <w:r w:rsidRPr="00FF5ED2">
        <w:rPr>
          <w:u w:val="single"/>
        </w:rPr>
        <w:t>“1.5.3</w:t>
      </w:r>
      <w:r w:rsidRPr="00FF5ED2">
        <w:rPr>
          <w:color w:val="000000"/>
          <w:u w:val="single"/>
        </w:rPr>
        <w:t>.4</w:t>
      </w:r>
      <w:r w:rsidRPr="00FF5ED2">
        <w:rPr>
          <w:color w:val="000000"/>
          <w:u w:val="single"/>
        </w:rPr>
        <w:tab/>
      </w:r>
      <w:r w:rsidRPr="00FF5ED2">
        <w:rPr>
          <w:u w:val="single"/>
        </w:rPr>
        <w:t>Blind Randomized Trials</w:t>
      </w:r>
    </w:p>
    <w:p w:rsidR="004B4303" w:rsidRPr="007A334E" w:rsidRDefault="004B4303" w:rsidP="004B4303">
      <w:pPr>
        <w:ind w:right="9"/>
      </w:pPr>
    </w:p>
    <w:p w:rsidR="004B4303" w:rsidRPr="00AC78F4" w:rsidRDefault="004B4303" w:rsidP="004B4303">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is the candidate, and which is the other variety.  </w:t>
      </w:r>
    </w:p>
    <w:p w:rsidR="004B4303" w:rsidRPr="00AC78F4" w:rsidRDefault="004B4303" w:rsidP="004B4303">
      <w:pPr>
        <w:pStyle w:val="BodyTextIndent"/>
        <w:ind w:left="0" w:right="9"/>
        <w:rPr>
          <w:rFonts w:ascii="Arial" w:hAnsi="Arial" w:cs="Arial"/>
          <w:sz w:val="20"/>
        </w:rPr>
      </w:pPr>
    </w:p>
    <w:p w:rsidR="004B4303" w:rsidRDefault="004B4303" w:rsidP="004B4303">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 xml:space="preserve">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w:t>
      </w:r>
      <w:r w:rsidRPr="00AC78F4">
        <w:rPr>
          <w:rFonts w:ascii="Arial" w:hAnsi="Arial" w:cs="Arial"/>
          <w:sz w:val="20"/>
        </w:rPr>
        <w:lastRenderedPageBreak/>
        <w:t>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4B4303" w:rsidRDefault="004B4303" w:rsidP="004B4303"/>
    <w:p w:rsidR="004B4303" w:rsidRDefault="004B4303" w:rsidP="004B4303">
      <w:pPr>
        <w:jc w:val="right"/>
      </w:pPr>
    </w:p>
    <w:p w:rsidR="00E14FD7" w:rsidRDefault="00E14FD7" w:rsidP="004B4303">
      <w:pPr>
        <w:jc w:val="right"/>
      </w:pPr>
    </w:p>
    <w:p w:rsidR="004B4303" w:rsidRPr="00FE4A9C" w:rsidRDefault="004B4303" w:rsidP="004B4303">
      <w:pPr>
        <w:jc w:val="right"/>
      </w:pPr>
      <w:r>
        <w:t>[End of Annex II and of document]</w:t>
      </w:r>
    </w:p>
    <w:sectPr w:rsidR="004B4303" w:rsidRPr="00FE4A9C" w:rsidSect="004B4303">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31" w:rsidRDefault="00E93231" w:rsidP="006655D3">
      <w:r>
        <w:separator/>
      </w:r>
    </w:p>
    <w:p w:rsidR="00E93231" w:rsidRDefault="00E93231" w:rsidP="006655D3"/>
    <w:p w:rsidR="00E93231" w:rsidRDefault="00E93231" w:rsidP="006655D3"/>
  </w:endnote>
  <w:endnote w:type="continuationSeparator" w:id="0">
    <w:p w:rsidR="00E93231" w:rsidRDefault="00E93231" w:rsidP="006655D3">
      <w:r>
        <w:separator/>
      </w:r>
    </w:p>
    <w:p w:rsidR="00E93231" w:rsidRPr="00E93231" w:rsidRDefault="00E93231">
      <w:pPr>
        <w:pStyle w:val="Footer"/>
        <w:spacing w:after="60"/>
        <w:rPr>
          <w:sz w:val="18"/>
          <w:lang w:val="fr-CH"/>
        </w:rPr>
      </w:pPr>
      <w:r w:rsidRPr="00E93231">
        <w:rPr>
          <w:sz w:val="18"/>
          <w:lang w:val="fr-CH"/>
        </w:rPr>
        <w:t>[Suite de la note de la page précédente]</w:t>
      </w:r>
    </w:p>
    <w:p w:rsidR="00E93231" w:rsidRPr="00E93231" w:rsidRDefault="00E93231" w:rsidP="006655D3">
      <w:pPr>
        <w:rPr>
          <w:lang w:val="fr-CH"/>
        </w:rPr>
      </w:pPr>
    </w:p>
    <w:p w:rsidR="00E93231" w:rsidRPr="00E93231" w:rsidRDefault="00E93231" w:rsidP="006655D3">
      <w:pPr>
        <w:rPr>
          <w:lang w:val="fr-CH"/>
        </w:rPr>
      </w:pPr>
    </w:p>
  </w:endnote>
  <w:endnote w:type="continuationNotice" w:id="1">
    <w:p w:rsidR="00E93231" w:rsidRPr="00E93231" w:rsidRDefault="00E93231" w:rsidP="006655D3">
      <w:pPr>
        <w:rPr>
          <w:lang w:val="fr-CH"/>
        </w:rPr>
      </w:pPr>
      <w:r w:rsidRPr="00E93231">
        <w:rPr>
          <w:lang w:val="fr-CH"/>
        </w:rPr>
        <w:t>[Suite de la note page suivante]</w:t>
      </w:r>
    </w:p>
    <w:p w:rsidR="00E93231" w:rsidRPr="00E93231" w:rsidRDefault="00E93231" w:rsidP="006655D3">
      <w:pPr>
        <w:rPr>
          <w:lang w:val="fr-CH"/>
        </w:rPr>
      </w:pPr>
    </w:p>
    <w:p w:rsidR="00E93231" w:rsidRPr="00E93231" w:rsidRDefault="00E932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AE0EF1" w:rsidRDefault="004B4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AE0EF1" w:rsidRDefault="0018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31" w:rsidRDefault="00E93231" w:rsidP="006655D3">
      <w:r>
        <w:separator/>
      </w:r>
    </w:p>
  </w:footnote>
  <w:footnote w:type="continuationSeparator" w:id="0">
    <w:p w:rsidR="00E93231" w:rsidRDefault="00E93231" w:rsidP="006655D3">
      <w:r>
        <w:separator/>
      </w:r>
    </w:p>
  </w:footnote>
  <w:footnote w:type="continuationNotice" w:id="1">
    <w:p w:rsidR="00E93231" w:rsidRPr="00AB530F" w:rsidRDefault="00E9323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Default="004B4303" w:rsidP="00EB048E">
    <w:pPr>
      <w:pStyle w:val="Header"/>
    </w:pPr>
    <w:r w:rsidRPr="00CC5554">
      <w:t>TC</w:t>
    </w:r>
    <w:r>
      <w:t>/51/20</w:t>
    </w:r>
  </w:p>
  <w:p w:rsidR="004B4303" w:rsidRPr="00C5280D" w:rsidRDefault="004B4303" w:rsidP="00EB048E">
    <w:pPr>
      <w:pStyle w:val="Header"/>
    </w:pP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56C00">
      <w:rPr>
        <w:rStyle w:val="PageNumber"/>
        <w:noProof/>
      </w:rPr>
      <w:t>5</w:t>
    </w:r>
    <w:r w:rsidRPr="00C5280D">
      <w:rPr>
        <w:rStyle w:val="PageNumber"/>
      </w:rPr>
      <w:fldChar w:fldCharType="end"/>
    </w:r>
  </w:p>
  <w:p w:rsidR="004B4303" w:rsidRPr="00C5280D" w:rsidRDefault="004B4303"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Pr="00C5280D" w:rsidRDefault="004B4303" w:rsidP="00EB048E">
    <w:pPr>
      <w:pStyle w:val="Header"/>
      <w:rPr>
        <w:rStyle w:val="PageNumber"/>
      </w:rPr>
    </w:pPr>
    <w:r w:rsidRPr="00C5280D">
      <w:rPr>
        <w:rStyle w:val="PageNumber"/>
      </w:rPr>
      <w:t>TC/</w:t>
    </w:r>
    <w:r>
      <w:rPr>
        <w:rStyle w:val="PageNumber"/>
      </w:rPr>
      <w:t>51</w:t>
    </w:r>
    <w:r w:rsidRPr="00C5280D">
      <w:rPr>
        <w:rStyle w:val="PageNumber"/>
      </w:rPr>
      <w:t>/</w:t>
    </w:r>
    <w:r>
      <w:rPr>
        <w:rStyle w:val="PageNumber"/>
      </w:rPr>
      <w:t>20</w:t>
    </w:r>
  </w:p>
  <w:p w:rsidR="004B4303" w:rsidRPr="00C5280D" w:rsidRDefault="004B4303"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56C00">
      <w:rPr>
        <w:rStyle w:val="PageNumber"/>
        <w:noProof/>
      </w:rPr>
      <w:t>2</w:t>
    </w:r>
    <w:r w:rsidRPr="00C5280D">
      <w:rPr>
        <w:rStyle w:val="PageNumber"/>
      </w:rPr>
      <w:fldChar w:fldCharType="end"/>
    </w:r>
  </w:p>
  <w:p w:rsidR="004B4303" w:rsidRPr="00C5280D" w:rsidRDefault="004B4303"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Default="004B4303">
    <w:pPr>
      <w:pStyle w:val="Header"/>
      <w:rPr>
        <w:lang w:val="en-US"/>
      </w:rPr>
    </w:pPr>
    <w:r w:rsidRPr="00CC5554">
      <w:rPr>
        <w:lang w:val="en-US"/>
      </w:rPr>
      <w:t>TC/</w:t>
    </w:r>
    <w:r>
      <w:rPr>
        <w:lang w:val="en-US"/>
      </w:rPr>
      <w:t>51</w:t>
    </w:r>
    <w:r w:rsidRPr="00CC5554">
      <w:rPr>
        <w:lang w:val="en-US"/>
      </w:rPr>
      <w:t>/</w:t>
    </w:r>
    <w:r>
      <w:rPr>
        <w:lang w:val="en-US"/>
      </w:rPr>
      <w:t>20</w:t>
    </w:r>
  </w:p>
  <w:p w:rsidR="004B4303" w:rsidRPr="00CC5554" w:rsidRDefault="004B4303">
    <w:pPr>
      <w:pStyle w:val="Header"/>
      <w:rPr>
        <w:lang w:val="en-US"/>
      </w:rPr>
    </w:pPr>
  </w:p>
  <w:p w:rsidR="004B4303" w:rsidRPr="00CC5554" w:rsidRDefault="004B4303">
    <w:pPr>
      <w:pStyle w:val="Header"/>
      <w:rPr>
        <w:lang w:val="en-US"/>
      </w:rPr>
    </w:pPr>
    <w:r w:rsidRPr="00CC5554">
      <w:rPr>
        <w:lang w:val="en-US"/>
      </w:rPr>
      <w:t>ANNEX I</w:t>
    </w:r>
  </w:p>
  <w:p w:rsidR="004B4303" w:rsidRPr="00CC5554" w:rsidRDefault="004B4303">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303" w:rsidRDefault="004B4303">
    <w:pPr>
      <w:pStyle w:val="Header"/>
      <w:rPr>
        <w:lang w:val="en-US"/>
      </w:rPr>
    </w:pPr>
    <w:r w:rsidRPr="00CC5554">
      <w:rPr>
        <w:lang w:val="en-US"/>
      </w:rPr>
      <w:t>TC/</w:t>
    </w:r>
    <w:r>
      <w:rPr>
        <w:lang w:val="en-US"/>
      </w:rPr>
      <w:t>51</w:t>
    </w:r>
    <w:r w:rsidRPr="00CC5554">
      <w:rPr>
        <w:lang w:val="en-US"/>
      </w:rPr>
      <w:t>/</w:t>
    </w:r>
    <w:r>
      <w:rPr>
        <w:lang w:val="en-US"/>
      </w:rPr>
      <w:t>20</w:t>
    </w:r>
  </w:p>
  <w:p w:rsidR="004B4303" w:rsidRPr="00CC5554" w:rsidRDefault="004B4303">
    <w:pPr>
      <w:pStyle w:val="Header"/>
      <w:rPr>
        <w:lang w:val="en-US"/>
      </w:rPr>
    </w:pPr>
  </w:p>
  <w:p w:rsidR="004B4303" w:rsidRPr="00CC5554" w:rsidRDefault="004B4303">
    <w:pPr>
      <w:pStyle w:val="Header"/>
      <w:rPr>
        <w:lang w:val="en-US"/>
      </w:rPr>
    </w:pPr>
    <w:r w:rsidRPr="00CC5554">
      <w:rPr>
        <w:lang w:val="en-US"/>
      </w:rPr>
      <w:t>ANNEX I</w:t>
    </w:r>
    <w:r>
      <w:rPr>
        <w:lang w:val="en-US"/>
      </w:rPr>
      <w:t>I</w:t>
    </w:r>
  </w:p>
  <w:p w:rsidR="004B4303" w:rsidRPr="00CC5554" w:rsidRDefault="004B430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231"/>
    <w:rsid w:val="00006F58"/>
    <w:rsid w:val="00010CF3"/>
    <w:rsid w:val="00011E27"/>
    <w:rsid w:val="000148BC"/>
    <w:rsid w:val="00024AB8"/>
    <w:rsid w:val="00030854"/>
    <w:rsid w:val="00036028"/>
    <w:rsid w:val="00044642"/>
    <w:rsid w:val="000446B9"/>
    <w:rsid w:val="00047E21"/>
    <w:rsid w:val="00050E16"/>
    <w:rsid w:val="0005450C"/>
    <w:rsid w:val="00085505"/>
    <w:rsid w:val="000856E2"/>
    <w:rsid w:val="000C7021"/>
    <w:rsid w:val="000D6BBC"/>
    <w:rsid w:val="000D7780"/>
    <w:rsid w:val="000F2F11"/>
    <w:rsid w:val="00105929"/>
    <w:rsid w:val="001131D5"/>
    <w:rsid w:val="00141DB8"/>
    <w:rsid w:val="0017474A"/>
    <w:rsid w:val="001758C6"/>
    <w:rsid w:val="00182B99"/>
    <w:rsid w:val="0021332C"/>
    <w:rsid w:val="00213982"/>
    <w:rsid w:val="0022146F"/>
    <w:rsid w:val="002233F1"/>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44A88"/>
    <w:rsid w:val="00474DA4"/>
    <w:rsid w:val="00476B4D"/>
    <w:rsid w:val="004805FA"/>
    <w:rsid w:val="004935D2"/>
    <w:rsid w:val="004B1215"/>
    <w:rsid w:val="004B4303"/>
    <w:rsid w:val="004D047D"/>
    <w:rsid w:val="004F305A"/>
    <w:rsid w:val="00512164"/>
    <w:rsid w:val="00520297"/>
    <w:rsid w:val="005338F9"/>
    <w:rsid w:val="0054281C"/>
    <w:rsid w:val="0055268D"/>
    <w:rsid w:val="00576BE4"/>
    <w:rsid w:val="005A400A"/>
    <w:rsid w:val="00601FFD"/>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07592"/>
    <w:rsid w:val="008108B0"/>
    <w:rsid w:val="00811B20"/>
    <w:rsid w:val="0082296E"/>
    <w:rsid w:val="00824099"/>
    <w:rsid w:val="00846D7C"/>
    <w:rsid w:val="00856C00"/>
    <w:rsid w:val="00867AC1"/>
    <w:rsid w:val="008A743F"/>
    <w:rsid w:val="008C0970"/>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4C10"/>
    <w:rsid w:val="00A42AC3"/>
    <w:rsid w:val="00A430CF"/>
    <w:rsid w:val="00A54309"/>
    <w:rsid w:val="00AB2B93"/>
    <w:rsid w:val="00AB530F"/>
    <w:rsid w:val="00AB7E5B"/>
    <w:rsid w:val="00AE0EF1"/>
    <w:rsid w:val="00AE2937"/>
    <w:rsid w:val="00B07301"/>
    <w:rsid w:val="00B224DE"/>
    <w:rsid w:val="00B324D4"/>
    <w:rsid w:val="00B439F8"/>
    <w:rsid w:val="00B46575"/>
    <w:rsid w:val="00B84BBD"/>
    <w:rsid w:val="00BA43FB"/>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1394"/>
    <w:rsid w:val="00D57C96"/>
    <w:rsid w:val="00D91203"/>
    <w:rsid w:val="00D95174"/>
    <w:rsid w:val="00DA6F36"/>
    <w:rsid w:val="00DB596E"/>
    <w:rsid w:val="00DB7773"/>
    <w:rsid w:val="00DC00EA"/>
    <w:rsid w:val="00E14FD7"/>
    <w:rsid w:val="00E32F7E"/>
    <w:rsid w:val="00E72D49"/>
    <w:rsid w:val="00E7593C"/>
    <w:rsid w:val="00E7678A"/>
    <w:rsid w:val="00E93231"/>
    <w:rsid w:val="00E935F1"/>
    <w:rsid w:val="00E94A81"/>
    <w:rsid w:val="00EA1FFB"/>
    <w:rsid w:val="00EB048E"/>
    <w:rsid w:val="00EE34DF"/>
    <w:rsid w:val="00EF2F89"/>
    <w:rsid w:val="00F1237A"/>
    <w:rsid w:val="00F22CBD"/>
    <w:rsid w:val="00F45372"/>
    <w:rsid w:val="00F560F7"/>
    <w:rsid w:val="00F6334D"/>
    <w:rsid w:val="00FA41A1"/>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4B4303"/>
    <w:rPr>
      <w:rFonts w:ascii="Arial" w:hAnsi="Arial"/>
      <w:caps/>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link w:val="Heading1"/>
    <w:rsid w:val="004B4303"/>
    <w:rPr>
      <w:rFonts w:ascii="Arial" w:hAnsi="Arial"/>
      <w:caps/>
    </w:rPr>
  </w:style>
  <w:style w:type="paragraph" w:styleId="BodyTextIndent">
    <w:name w:val="Body Text Indent"/>
    <w:basedOn w:val="Normal"/>
    <w:link w:val="BodyTextIndentChar"/>
    <w:rsid w:val="004B4303"/>
    <w:pPr>
      <w:ind w:left="1134"/>
    </w:pPr>
    <w:rPr>
      <w:rFonts w:ascii="Times New Roman" w:hAnsi="Times New Roman"/>
      <w:sz w:val="24"/>
    </w:rPr>
  </w:style>
  <w:style w:type="character" w:customStyle="1" w:styleId="BodyTextIndentChar">
    <w:name w:val="Body Text Indent Char"/>
    <w:basedOn w:val="DefaultParagraphFont"/>
    <w:link w:val="BodyTextIndent"/>
    <w:rsid w:val="004B4303"/>
    <w:rPr>
      <w:sz w:val="24"/>
    </w:rPr>
  </w:style>
  <w:style w:type="table" w:styleId="TableGrid">
    <w:name w:val="Table Grid"/>
    <w:basedOn w:val="TableNormal"/>
    <w:rsid w:val="004B430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43</TotalTime>
  <Pages>8</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11</cp:revision>
  <cp:lastPrinted>2015-02-09T09:00:00Z</cp:lastPrinted>
  <dcterms:created xsi:type="dcterms:W3CDTF">2014-12-04T12:49:00Z</dcterms:created>
  <dcterms:modified xsi:type="dcterms:W3CDTF">2015-02-09T09:01:00Z</dcterms:modified>
</cp:coreProperties>
</file>