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6D179E" w:rsidP="006655D3">
            <w:pPr>
              <w:pStyle w:val="LogoUPOV"/>
            </w:pPr>
            <w:r w:rsidRPr="00807CB6">
              <w:rPr>
                <w:noProof/>
              </w:rPr>
              <w:drawing>
                <wp:inline distT="0" distB="0" distL="0" distR="0" wp14:anchorId="396BBD34" wp14:editId="754658BE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50</w:t>
            </w:r>
            <w:r>
              <w:t>/</w:t>
            </w:r>
            <w:bookmarkStart w:id="0" w:name="Code"/>
            <w:bookmarkEnd w:id="0"/>
            <w:r w:rsidR="00746A32">
              <w:t>3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8B15CF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BE2B76" w:rsidRPr="00BE2B76">
              <w:rPr>
                <w:b w:val="0"/>
                <w:spacing w:val="0"/>
              </w:rPr>
              <w:t xml:space="preserve">January </w:t>
            </w:r>
            <w:r w:rsidR="008B15CF">
              <w:rPr>
                <w:b w:val="0"/>
                <w:spacing w:val="0"/>
              </w:rPr>
              <w:t>30</w:t>
            </w:r>
            <w:r w:rsidR="0024416D" w:rsidRPr="00BE2B76">
              <w:rPr>
                <w:b w:val="0"/>
                <w:spacing w:val="0"/>
              </w:rPr>
              <w:t xml:space="preserve">, </w:t>
            </w:r>
            <w:r w:rsidR="001131D5" w:rsidRPr="00BE2B76">
              <w:rPr>
                <w:b w:val="0"/>
                <w:spacing w:val="0"/>
              </w:rPr>
              <w:t>201</w:t>
            </w:r>
            <w:r w:rsidR="00050E16" w:rsidRPr="00BE2B76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iftieth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050E16">
        <w:t>April 7</w:t>
      </w:r>
      <w:r w:rsidRPr="00C5280D">
        <w:t xml:space="preserve"> to </w:t>
      </w:r>
      <w:r w:rsidR="00050E16">
        <w:t>9</w:t>
      </w:r>
      <w:r w:rsidRPr="00C5280D">
        <w:t>,</w:t>
      </w:r>
      <w:r w:rsidR="00867AC1" w:rsidRPr="00C5280D">
        <w:t xml:space="preserve"> 201</w:t>
      </w:r>
      <w:r w:rsidR="00050E16">
        <w:t>4</w:t>
      </w:r>
    </w:p>
    <w:p w:rsidR="000D7780" w:rsidRPr="00C5280D" w:rsidRDefault="00746A32" w:rsidP="006655D3">
      <w:pPr>
        <w:pStyle w:val="Titleofdoc0"/>
      </w:pPr>
      <w:bookmarkStart w:id="3" w:name="TitleOfDoc"/>
      <w:bookmarkEnd w:id="3"/>
      <w:r w:rsidRPr="00192206">
        <w:t>Matters arising from the Technical Working Parties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6361CD">
        <w:t xml:space="preserve">Document </w:t>
      </w:r>
      <w:r w:rsidR="0061555F" w:rsidRPr="006361CD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C05293" w:rsidRPr="00FC6CC1" w:rsidRDefault="00BE066A" w:rsidP="00C05293">
      <w:r>
        <w:rPr>
          <w:color w:val="000000"/>
        </w:rPr>
        <w:fldChar w:fldCharType="begin"/>
      </w:r>
      <w:r>
        <w:rPr>
          <w:color w:val="000000"/>
        </w:rPr>
        <w:instrText xml:space="preserve"> AUTONUM  </w:instrText>
      </w:r>
      <w:r>
        <w:rPr>
          <w:color w:val="000000"/>
        </w:rPr>
        <w:fldChar w:fldCharType="end"/>
      </w:r>
      <w:r>
        <w:rPr>
          <w:color w:val="000000"/>
        </w:rPr>
        <w:tab/>
      </w:r>
      <w:r w:rsidR="00C05293" w:rsidRPr="00FC6CC1">
        <w:rPr>
          <w:color w:val="000000"/>
        </w:rPr>
        <w:t xml:space="preserve">This document summarizes </w:t>
      </w:r>
      <w:r w:rsidR="00C05293">
        <w:rPr>
          <w:color w:val="000000"/>
        </w:rPr>
        <w:t>matters arising from the 2013</w:t>
      </w:r>
      <w:r w:rsidR="00C05293" w:rsidRPr="00FC6CC1">
        <w:rPr>
          <w:color w:val="000000"/>
        </w:rPr>
        <w:t xml:space="preserve"> sessions of the Technical Working Parties (TWPs) which are not expressly covered by specific agenda items.  </w:t>
      </w:r>
      <w:r w:rsidR="00C05293" w:rsidRPr="00FC6CC1">
        <w:t>The matters arising are presented in two sections.  The first section, “Matters for information and for a possible decision to be taken by the Technical Committee (TC)</w:t>
      </w:r>
      <w:r w:rsidR="00C05293" w:rsidRPr="00FC6CC1">
        <w:rPr>
          <w:caps/>
        </w:rPr>
        <w:t>”,</w:t>
      </w:r>
      <w:r w:rsidR="00C05293" w:rsidRPr="00FC6CC1">
        <w:t xml:space="preserve"> identifies matters raised by the TWPs, which may require a decision to be taken by the TC.  The Office of the </w:t>
      </w:r>
      <w:smartTag w:uri="urn:schemas-microsoft-com:office:smarttags" w:element="place">
        <w:r w:rsidR="00C05293" w:rsidRPr="00FC6CC1">
          <w:t>Union</w:t>
        </w:r>
      </w:smartTag>
      <w:r w:rsidR="00C05293" w:rsidRPr="00FC6CC1">
        <w:t xml:space="preserve"> (Office) has highlighted aspects where the TC may wish to take a decision by introducing a proposed decision paragraph.  The second section, “Matters for information”, is provided for the information of the </w:t>
      </w:r>
      <w:r w:rsidR="00C05293" w:rsidRPr="00FC6CC1">
        <w:rPr>
          <w:color w:val="000000"/>
        </w:rPr>
        <w:t>TC</w:t>
      </w:r>
      <w:r w:rsidR="00C05293" w:rsidRPr="00FC6CC1">
        <w:t xml:space="preserve"> but does not require decisions at this stage.</w:t>
      </w:r>
    </w:p>
    <w:p w:rsidR="00BE066A" w:rsidRPr="0094600F" w:rsidRDefault="00BE066A" w:rsidP="00BE066A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</w:rPr>
      </w:pPr>
    </w:p>
    <w:p w:rsidR="00BE066A" w:rsidRDefault="00BE066A" w:rsidP="00BE066A">
      <w:r w:rsidRPr="00FC6CC1">
        <w:rPr>
          <w:color w:val="000000"/>
        </w:rPr>
        <w:fldChar w:fldCharType="begin"/>
      </w:r>
      <w:r w:rsidRPr="00FC6CC1">
        <w:rPr>
          <w:color w:val="000000"/>
        </w:rPr>
        <w:instrText xml:space="preserve"> AUTONUM  </w:instrText>
      </w:r>
      <w:r w:rsidRPr="00FC6CC1">
        <w:rPr>
          <w:color w:val="000000"/>
        </w:rPr>
        <w:fldChar w:fldCharType="end"/>
      </w:r>
      <w:r w:rsidRPr="00FC6CC1">
        <w:rPr>
          <w:color w:val="000000"/>
        </w:rPr>
        <w:tab/>
      </w:r>
      <w:r w:rsidRPr="00FC6CC1">
        <w:t>T</w:t>
      </w:r>
      <w:r>
        <w:t>he structure of this document is as follows:</w:t>
      </w:r>
    </w:p>
    <w:p w:rsidR="00027EA1" w:rsidRDefault="00027EA1" w:rsidP="00BE066A"/>
    <w:sdt>
      <w:sdtPr>
        <w:rPr>
          <w:caps w:val="0"/>
          <w:smallCaps/>
        </w:rPr>
        <w:id w:val="1911728516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:rsidR="0008357D" w:rsidRDefault="00936DDD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rPr>
              <w:smallCaps/>
            </w:rPr>
            <w:fldChar w:fldCharType="begin"/>
          </w:r>
          <w:r>
            <w:instrText xml:space="preserve"> TOC \o "1-3" \h \z \u </w:instrText>
          </w:r>
          <w:r>
            <w:rPr>
              <w:smallCaps/>
            </w:rPr>
            <w:fldChar w:fldCharType="separate"/>
          </w:r>
          <w:hyperlink w:anchor="_Toc379381033" w:history="1">
            <w:r w:rsidR="0008357D" w:rsidRPr="00A8215B">
              <w:rPr>
                <w:rStyle w:val="Hyperlink"/>
                <w:noProof/>
              </w:rPr>
              <w:t>Matters for information and for a possible decision to be taken by the Technical Committee (TC)</w:t>
            </w:r>
            <w:r w:rsidR="0008357D">
              <w:rPr>
                <w:noProof/>
                <w:webHidden/>
              </w:rPr>
              <w:tab/>
            </w:r>
            <w:r w:rsidR="0008357D">
              <w:rPr>
                <w:noProof/>
                <w:webHidden/>
              </w:rPr>
              <w:fldChar w:fldCharType="begin"/>
            </w:r>
            <w:r w:rsidR="0008357D">
              <w:rPr>
                <w:noProof/>
                <w:webHidden/>
              </w:rPr>
              <w:instrText xml:space="preserve"> PAGEREF _Toc379381033 \h </w:instrText>
            </w:r>
            <w:r w:rsidR="0008357D">
              <w:rPr>
                <w:noProof/>
                <w:webHidden/>
              </w:rPr>
            </w:r>
            <w:r w:rsidR="0008357D">
              <w:rPr>
                <w:noProof/>
                <w:webHidden/>
              </w:rPr>
              <w:fldChar w:fldCharType="separate"/>
            </w:r>
            <w:r w:rsidR="00B204E3">
              <w:rPr>
                <w:noProof/>
                <w:webHidden/>
              </w:rPr>
              <w:t>2</w:t>
            </w:r>
            <w:r w:rsidR="0008357D">
              <w:rPr>
                <w:noProof/>
                <w:webHidden/>
              </w:rPr>
              <w:fldChar w:fldCharType="end"/>
            </w:r>
          </w:hyperlink>
        </w:p>
        <w:p w:rsidR="0008357D" w:rsidRDefault="00B204E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81034" w:history="1">
            <w:r w:rsidR="0008357D" w:rsidRPr="00A8215B">
              <w:rPr>
                <w:rStyle w:val="Hyperlink"/>
                <w:noProof/>
              </w:rPr>
              <w:t>Guidance for drafters of Test Guidelines</w:t>
            </w:r>
            <w:r w:rsidR="0008357D">
              <w:rPr>
                <w:noProof/>
                <w:webHidden/>
              </w:rPr>
              <w:tab/>
            </w:r>
            <w:r w:rsidR="0008357D">
              <w:rPr>
                <w:noProof/>
                <w:webHidden/>
              </w:rPr>
              <w:fldChar w:fldCharType="begin"/>
            </w:r>
            <w:r w:rsidR="0008357D">
              <w:rPr>
                <w:noProof/>
                <w:webHidden/>
              </w:rPr>
              <w:instrText xml:space="preserve"> PAGEREF _Toc379381034 \h </w:instrText>
            </w:r>
            <w:r w:rsidR="0008357D">
              <w:rPr>
                <w:noProof/>
                <w:webHidden/>
              </w:rPr>
            </w:r>
            <w:r w:rsidR="00083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08357D">
              <w:rPr>
                <w:noProof/>
                <w:webHidden/>
              </w:rPr>
              <w:fldChar w:fldCharType="end"/>
            </w:r>
          </w:hyperlink>
        </w:p>
        <w:p w:rsidR="0008357D" w:rsidRDefault="00B204E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81035" w:history="1">
            <w:r w:rsidR="0008357D" w:rsidRPr="00A8215B">
              <w:rPr>
                <w:rStyle w:val="Hyperlink"/>
                <w:noProof/>
              </w:rPr>
              <w:t>Data loggers</w:t>
            </w:r>
            <w:r w:rsidR="0008357D">
              <w:rPr>
                <w:noProof/>
                <w:webHidden/>
              </w:rPr>
              <w:tab/>
            </w:r>
            <w:r w:rsidR="0008357D">
              <w:rPr>
                <w:noProof/>
                <w:webHidden/>
              </w:rPr>
              <w:fldChar w:fldCharType="begin"/>
            </w:r>
            <w:r w:rsidR="0008357D">
              <w:rPr>
                <w:noProof/>
                <w:webHidden/>
              </w:rPr>
              <w:instrText xml:space="preserve"> PAGEREF _Toc379381035 \h </w:instrText>
            </w:r>
            <w:r w:rsidR="0008357D">
              <w:rPr>
                <w:noProof/>
                <w:webHidden/>
              </w:rPr>
            </w:r>
            <w:r w:rsidR="00083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8357D">
              <w:rPr>
                <w:noProof/>
                <w:webHidden/>
              </w:rPr>
              <w:fldChar w:fldCharType="end"/>
            </w:r>
          </w:hyperlink>
        </w:p>
        <w:p w:rsidR="0008357D" w:rsidRDefault="00B204E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9381036" w:history="1">
            <w:r w:rsidR="0008357D" w:rsidRPr="00A8215B">
              <w:rPr>
                <w:rStyle w:val="Hyperlink"/>
                <w:noProof/>
              </w:rPr>
              <w:t>Matters for information</w:t>
            </w:r>
            <w:r w:rsidR="0008357D">
              <w:rPr>
                <w:noProof/>
                <w:webHidden/>
              </w:rPr>
              <w:tab/>
            </w:r>
            <w:r w:rsidR="0008357D">
              <w:rPr>
                <w:noProof/>
                <w:webHidden/>
              </w:rPr>
              <w:fldChar w:fldCharType="begin"/>
            </w:r>
            <w:r w:rsidR="0008357D">
              <w:rPr>
                <w:noProof/>
                <w:webHidden/>
              </w:rPr>
              <w:instrText xml:space="preserve"> PAGEREF _Toc379381036 \h </w:instrText>
            </w:r>
            <w:r w:rsidR="0008357D">
              <w:rPr>
                <w:noProof/>
                <w:webHidden/>
              </w:rPr>
            </w:r>
            <w:r w:rsidR="00083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8357D">
              <w:rPr>
                <w:noProof/>
                <w:webHidden/>
              </w:rPr>
              <w:fldChar w:fldCharType="end"/>
            </w:r>
          </w:hyperlink>
        </w:p>
        <w:p w:rsidR="0008357D" w:rsidRDefault="00B204E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81037" w:history="1">
            <w:r w:rsidR="0008357D" w:rsidRPr="00A8215B">
              <w:rPr>
                <w:rStyle w:val="Hyperlink"/>
                <w:noProof/>
              </w:rPr>
              <w:t>Subject for discussion</w:t>
            </w:r>
            <w:r w:rsidR="0008357D">
              <w:rPr>
                <w:noProof/>
                <w:webHidden/>
              </w:rPr>
              <w:tab/>
            </w:r>
            <w:r w:rsidR="0008357D">
              <w:rPr>
                <w:noProof/>
                <w:webHidden/>
              </w:rPr>
              <w:fldChar w:fldCharType="begin"/>
            </w:r>
            <w:r w:rsidR="0008357D">
              <w:rPr>
                <w:noProof/>
                <w:webHidden/>
              </w:rPr>
              <w:instrText xml:space="preserve"> PAGEREF _Toc379381037 \h </w:instrText>
            </w:r>
            <w:r w:rsidR="0008357D">
              <w:rPr>
                <w:noProof/>
                <w:webHidden/>
              </w:rPr>
            </w:r>
            <w:r w:rsidR="00083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8357D">
              <w:rPr>
                <w:noProof/>
                <w:webHidden/>
              </w:rPr>
              <w:fldChar w:fldCharType="end"/>
            </w:r>
          </w:hyperlink>
        </w:p>
        <w:p w:rsidR="0008357D" w:rsidRDefault="00B204E3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9381038" w:history="1">
            <w:r w:rsidR="0008357D" w:rsidRPr="00A8215B">
              <w:rPr>
                <w:rStyle w:val="Hyperlink"/>
                <w:noProof/>
              </w:rPr>
              <w:t>Experiences with new types and species</w:t>
            </w:r>
            <w:r w:rsidR="0008357D">
              <w:rPr>
                <w:noProof/>
                <w:webHidden/>
              </w:rPr>
              <w:tab/>
            </w:r>
            <w:r w:rsidR="0008357D">
              <w:rPr>
                <w:noProof/>
                <w:webHidden/>
              </w:rPr>
              <w:fldChar w:fldCharType="begin"/>
            </w:r>
            <w:r w:rsidR="0008357D">
              <w:rPr>
                <w:noProof/>
                <w:webHidden/>
              </w:rPr>
              <w:instrText xml:space="preserve"> PAGEREF _Toc379381038 \h </w:instrText>
            </w:r>
            <w:r w:rsidR="0008357D">
              <w:rPr>
                <w:noProof/>
                <w:webHidden/>
              </w:rPr>
            </w:r>
            <w:r w:rsidR="0008357D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08357D">
              <w:rPr>
                <w:noProof/>
                <w:webHidden/>
              </w:rPr>
              <w:fldChar w:fldCharType="end"/>
            </w:r>
          </w:hyperlink>
        </w:p>
        <w:p w:rsidR="00936DDD" w:rsidRDefault="00936DDD">
          <w:r>
            <w:rPr>
              <w:b/>
              <w:bCs/>
              <w:noProof/>
            </w:rPr>
            <w:fldChar w:fldCharType="end"/>
          </w:r>
        </w:p>
      </w:sdtContent>
    </w:sdt>
    <w:p w:rsidR="0008357D" w:rsidRDefault="0008357D" w:rsidP="00BE066A">
      <w:pPr>
        <w:keepNext/>
        <w:rPr>
          <w:color w:val="000000"/>
        </w:rPr>
      </w:pPr>
    </w:p>
    <w:p w:rsidR="00BE066A" w:rsidRDefault="00BE066A" w:rsidP="00BE066A">
      <w:pPr>
        <w:keepNext/>
        <w:rPr>
          <w:color w:val="000000"/>
        </w:rPr>
      </w:pPr>
      <w:r w:rsidRPr="00FC6CC1">
        <w:rPr>
          <w:color w:val="000000"/>
        </w:rPr>
        <w:fldChar w:fldCharType="begin"/>
      </w:r>
      <w:r w:rsidRPr="00FC6CC1">
        <w:rPr>
          <w:color w:val="000000"/>
        </w:rPr>
        <w:instrText xml:space="preserve"> AUTONUM  </w:instrText>
      </w:r>
      <w:r w:rsidRPr="00FC6CC1">
        <w:rPr>
          <w:color w:val="000000"/>
        </w:rPr>
        <w:fldChar w:fldCharType="end"/>
      </w:r>
      <w:r w:rsidRPr="00FC6CC1">
        <w:rPr>
          <w:color w:val="000000"/>
        </w:rPr>
        <w:tab/>
        <w:t>The following abbreviations are used in this document:</w:t>
      </w:r>
    </w:p>
    <w:p w:rsidR="00BE066A" w:rsidRPr="00FC6CC1" w:rsidRDefault="00BE066A" w:rsidP="00BE066A">
      <w:pPr>
        <w:keepNext/>
        <w:ind w:left="1692" w:hanging="1125"/>
        <w:jc w:val="left"/>
        <w:rPr>
          <w:color w:val="000000"/>
        </w:rPr>
      </w:pPr>
    </w:p>
    <w:p w:rsidR="00BE066A" w:rsidRPr="00FC6CC1" w:rsidRDefault="00BE066A" w:rsidP="00BE066A">
      <w:pPr>
        <w:keepNext/>
        <w:tabs>
          <w:tab w:val="left" w:pos="567"/>
          <w:tab w:val="left" w:pos="1701"/>
        </w:tabs>
      </w:pPr>
      <w:r w:rsidRPr="00FC6CC1">
        <w:tab/>
        <w:t>CAJ:</w:t>
      </w:r>
      <w:r w:rsidRPr="00FC6CC1">
        <w:tab/>
        <w:t xml:space="preserve">Administrative and Legal Committee </w:t>
      </w:r>
    </w:p>
    <w:p w:rsidR="00BE066A" w:rsidRPr="00FC6CC1" w:rsidRDefault="00BE066A" w:rsidP="00BE066A">
      <w:pPr>
        <w:keepNext/>
        <w:tabs>
          <w:tab w:val="left" w:pos="567"/>
          <w:tab w:val="left" w:pos="1701"/>
        </w:tabs>
      </w:pPr>
      <w:r w:rsidRPr="00FC6CC1">
        <w:tab/>
        <w:t>TC:</w:t>
      </w:r>
      <w:r w:rsidRPr="00FC6CC1">
        <w:tab/>
        <w:t>Technical Committee</w:t>
      </w:r>
    </w:p>
    <w:p w:rsidR="00BE066A" w:rsidRPr="00FC6CC1" w:rsidRDefault="00BE066A" w:rsidP="00BE066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FC6CC1">
        <w:rPr>
          <w:rFonts w:eastAsia="PMingLiU"/>
          <w:szCs w:val="24"/>
        </w:rPr>
        <w:tab/>
        <w:t>TC-EDC:</w:t>
      </w:r>
      <w:r w:rsidRPr="00FC6CC1">
        <w:rPr>
          <w:rFonts w:eastAsia="PMingLiU"/>
          <w:szCs w:val="24"/>
        </w:rPr>
        <w:tab/>
        <w:t>Enlarged Editorial Committee</w:t>
      </w:r>
    </w:p>
    <w:p w:rsidR="00BE066A" w:rsidRPr="00FC6CC1" w:rsidRDefault="00BE066A" w:rsidP="00BE066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FC6CC1">
        <w:rPr>
          <w:rFonts w:eastAsia="PMingLiU"/>
          <w:szCs w:val="24"/>
        </w:rPr>
        <w:tab/>
        <w:t>TWA:</w:t>
      </w:r>
      <w:r w:rsidRPr="00FC6CC1">
        <w:rPr>
          <w:rFonts w:eastAsia="PMingLiU"/>
          <w:szCs w:val="24"/>
        </w:rPr>
        <w:tab/>
        <w:t>Technical Working Party for Agricultural Crops</w:t>
      </w:r>
    </w:p>
    <w:p w:rsidR="00BE066A" w:rsidRPr="00FC6CC1" w:rsidRDefault="00BE066A" w:rsidP="00BE066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FC6CC1">
        <w:rPr>
          <w:rFonts w:eastAsia="PMingLiU"/>
          <w:szCs w:val="24"/>
        </w:rPr>
        <w:tab/>
        <w:t>TWC:</w:t>
      </w:r>
      <w:r w:rsidRPr="00FC6CC1">
        <w:rPr>
          <w:rFonts w:eastAsia="PMingLiU"/>
          <w:szCs w:val="24"/>
        </w:rPr>
        <w:tab/>
        <w:t>Technical Working Party on Automation and Computer Programs</w:t>
      </w:r>
    </w:p>
    <w:p w:rsidR="00BE066A" w:rsidRPr="00FC6CC1" w:rsidRDefault="00BE066A" w:rsidP="00BE066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FC6CC1">
        <w:rPr>
          <w:rFonts w:eastAsia="PMingLiU"/>
          <w:szCs w:val="24"/>
        </w:rPr>
        <w:tab/>
        <w:t xml:space="preserve">TWF: </w:t>
      </w:r>
      <w:r w:rsidRPr="00FC6CC1">
        <w:rPr>
          <w:rFonts w:eastAsia="PMingLiU"/>
          <w:szCs w:val="24"/>
        </w:rPr>
        <w:tab/>
        <w:t>Technical Working Party for Fruit Crops</w:t>
      </w:r>
    </w:p>
    <w:p w:rsidR="00BE066A" w:rsidRPr="00FC6CC1" w:rsidRDefault="00BE066A" w:rsidP="00BE066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FC6CC1">
        <w:rPr>
          <w:rFonts w:eastAsia="PMingLiU"/>
          <w:szCs w:val="24"/>
        </w:rPr>
        <w:tab/>
        <w:t>TWO:</w:t>
      </w:r>
      <w:r w:rsidRPr="00FC6CC1">
        <w:rPr>
          <w:rFonts w:eastAsia="PMingLiU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FC6CC1">
          <w:rPr>
            <w:rFonts w:eastAsia="PMingLiU"/>
            <w:szCs w:val="24"/>
          </w:rPr>
          <w:t>Forest</w:t>
        </w:r>
      </w:smartTag>
      <w:r w:rsidRPr="00FC6CC1">
        <w:rPr>
          <w:rFonts w:eastAsia="PMingLiU"/>
          <w:szCs w:val="24"/>
        </w:rPr>
        <w:t xml:space="preserve"> Trees</w:t>
      </w:r>
    </w:p>
    <w:p w:rsidR="00BE066A" w:rsidRPr="00FC6CC1" w:rsidRDefault="00BE066A" w:rsidP="00BE066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FC6CC1">
        <w:rPr>
          <w:rFonts w:eastAsia="PMingLiU"/>
          <w:szCs w:val="24"/>
        </w:rPr>
        <w:tab/>
        <w:t>TWPs:</w:t>
      </w:r>
      <w:r w:rsidRPr="00FC6CC1">
        <w:rPr>
          <w:rFonts w:eastAsia="PMingLiU"/>
          <w:szCs w:val="24"/>
        </w:rPr>
        <w:tab/>
        <w:t>Technical Working Parties</w:t>
      </w:r>
    </w:p>
    <w:p w:rsidR="00BE066A" w:rsidRDefault="00BE066A" w:rsidP="00BE066A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FC6CC1">
        <w:rPr>
          <w:rFonts w:eastAsia="PMingLiU"/>
          <w:szCs w:val="24"/>
        </w:rPr>
        <w:tab/>
        <w:t>TWV:</w:t>
      </w:r>
      <w:r w:rsidRPr="00FC6CC1">
        <w:rPr>
          <w:rFonts w:eastAsia="PMingLiU"/>
          <w:szCs w:val="24"/>
        </w:rPr>
        <w:tab/>
        <w:t>Technical Working Party for Vegetables</w:t>
      </w:r>
    </w:p>
    <w:p w:rsidR="00BE066A" w:rsidRDefault="00BE066A" w:rsidP="00BE066A">
      <w:pPr>
        <w:tabs>
          <w:tab w:val="left" w:pos="567"/>
          <w:tab w:val="left" w:pos="1701"/>
        </w:tabs>
        <w:rPr>
          <w:rFonts w:eastAsia="PMingLiU"/>
          <w:szCs w:val="24"/>
        </w:rPr>
      </w:pPr>
    </w:p>
    <w:p w:rsidR="00541CA2" w:rsidRDefault="00541CA2" w:rsidP="00BE066A">
      <w:pPr>
        <w:tabs>
          <w:tab w:val="left" w:pos="567"/>
          <w:tab w:val="left" w:pos="1701"/>
        </w:tabs>
        <w:rPr>
          <w:rFonts w:eastAsia="PMingLiU"/>
          <w:szCs w:val="24"/>
        </w:rPr>
      </w:pPr>
    </w:p>
    <w:p w:rsidR="00C05293" w:rsidRDefault="00C05293" w:rsidP="00BE066A">
      <w:pPr>
        <w:tabs>
          <w:tab w:val="left" w:pos="567"/>
          <w:tab w:val="left" w:pos="1701"/>
        </w:tabs>
        <w:rPr>
          <w:rFonts w:eastAsia="PMingLiU"/>
          <w:szCs w:val="24"/>
        </w:rPr>
      </w:pPr>
    </w:p>
    <w:p w:rsidR="003224CD" w:rsidRDefault="003224CD" w:rsidP="00BE066A">
      <w:pPr>
        <w:tabs>
          <w:tab w:val="left" w:pos="567"/>
          <w:tab w:val="left" w:pos="1701"/>
        </w:tabs>
        <w:rPr>
          <w:rFonts w:eastAsia="PMingLiU"/>
          <w:szCs w:val="24"/>
        </w:rPr>
      </w:pPr>
    </w:p>
    <w:p w:rsidR="003224CD" w:rsidRDefault="003224CD" w:rsidP="00BE066A">
      <w:pPr>
        <w:tabs>
          <w:tab w:val="left" w:pos="567"/>
          <w:tab w:val="left" w:pos="1701"/>
        </w:tabs>
        <w:rPr>
          <w:rFonts w:eastAsia="PMingLiU"/>
          <w:szCs w:val="24"/>
        </w:rPr>
      </w:pPr>
    </w:p>
    <w:p w:rsidR="00C05293" w:rsidRDefault="00C05293" w:rsidP="00C05293">
      <w:pPr>
        <w:pStyle w:val="Heading1"/>
        <w:rPr>
          <w:rFonts w:eastAsia="PMingLiU"/>
          <w:szCs w:val="24"/>
        </w:rPr>
      </w:pPr>
      <w:bookmarkStart w:id="5" w:name="_Toc379381033"/>
      <w:r w:rsidRPr="00FC6CC1">
        <w:lastRenderedPageBreak/>
        <w:t>Matters for information and for a possible decision to be taken by the Technical Committee (TC)</w:t>
      </w:r>
      <w:bookmarkEnd w:id="5"/>
    </w:p>
    <w:p w:rsidR="00C05293" w:rsidRDefault="00C05293" w:rsidP="00BE066A">
      <w:pPr>
        <w:tabs>
          <w:tab w:val="left" w:pos="567"/>
          <w:tab w:val="left" w:pos="1701"/>
        </w:tabs>
        <w:rPr>
          <w:rFonts w:eastAsia="PMingLiU"/>
          <w:szCs w:val="24"/>
        </w:rPr>
      </w:pPr>
    </w:p>
    <w:p w:rsidR="00541CA2" w:rsidRPr="000D2BFB" w:rsidRDefault="00541CA2" w:rsidP="00936DDD">
      <w:pPr>
        <w:pStyle w:val="Heading2"/>
      </w:pPr>
      <w:bookmarkStart w:id="6" w:name="_Toc348535866"/>
      <w:bookmarkStart w:id="7" w:name="_Toc378176935"/>
      <w:bookmarkStart w:id="8" w:name="_Toc379381034"/>
      <w:r w:rsidRPr="000D2BFB">
        <w:t>Guidance for drafters of Test Guidelines</w:t>
      </w:r>
      <w:bookmarkEnd w:id="6"/>
      <w:bookmarkEnd w:id="7"/>
      <w:bookmarkEnd w:id="8"/>
    </w:p>
    <w:p w:rsidR="00BE066A" w:rsidRDefault="00BE066A" w:rsidP="003C38D5"/>
    <w:p w:rsidR="00541CA2" w:rsidRDefault="00541CA2" w:rsidP="003C38D5">
      <w:r w:rsidRPr="003C38D5">
        <w:fldChar w:fldCharType="begin"/>
      </w:r>
      <w:r w:rsidRPr="003C38D5">
        <w:instrText xml:space="preserve"> AUTONUM  </w:instrText>
      </w:r>
      <w:r w:rsidRPr="003C38D5">
        <w:fldChar w:fldCharType="end"/>
      </w:r>
      <w:r w:rsidRPr="003C38D5">
        <w:tab/>
        <w:t xml:space="preserve">At their sessions in 2013, the </w:t>
      </w:r>
      <w:r w:rsidR="003C38D5">
        <w:t>TWPs</w:t>
      </w:r>
      <w:r w:rsidRPr="003C38D5">
        <w:t xml:space="preserve"> noted the </w:t>
      </w:r>
      <w:r w:rsidR="00BB61B0" w:rsidRPr="003C38D5">
        <w:t>information provided in the</w:t>
      </w:r>
      <w:r w:rsidR="00BB61B0" w:rsidRPr="00143E49">
        <w:rPr>
          <w:rFonts w:cs="Arial"/>
        </w:rPr>
        <w:t xml:space="preserve"> TG</w:t>
      </w:r>
      <w:r w:rsidR="00BB61B0">
        <w:rPr>
          <w:rFonts w:cs="Arial"/>
        </w:rPr>
        <w:t> </w:t>
      </w:r>
      <w:r w:rsidR="00BB61B0" w:rsidRPr="00143E49">
        <w:rPr>
          <w:rFonts w:cs="Arial"/>
        </w:rPr>
        <w:t>Drafters’ webpage of the UPOV website, including the Revised Practical Guide for Drafters (Leading Experts) of UPOV Test Guidelines</w:t>
      </w:r>
      <w:r w:rsidR="00BB61B0">
        <w:rPr>
          <w:rFonts w:cs="Arial"/>
        </w:rPr>
        <w:t xml:space="preserve">, and </w:t>
      </w:r>
      <w:r w:rsidR="00BB61B0" w:rsidRPr="00462D28">
        <w:rPr>
          <w:snapToGrid w:val="0"/>
        </w:rPr>
        <w:t>the file “Summary information on quantity of plant material required on adopted Test Guidelines” available on the TG Drafters’ webpage of the UPOV website</w:t>
      </w:r>
      <w:r w:rsidR="00BB61B0" w:rsidRPr="000D2BFB">
        <w:rPr>
          <w:rFonts w:cs="Arial"/>
          <w:szCs w:val="24"/>
        </w:rPr>
        <w:t xml:space="preserve"> </w:t>
      </w:r>
      <w:r w:rsidRPr="000D2BFB">
        <w:rPr>
          <w:rFonts w:cs="Arial"/>
          <w:szCs w:val="24"/>
        </w:rPr>
        <w:t>(see</w:t>
      </w:r>
      <w:r w:rsidRPr="000D2BFB">
        <w:rPr>
          <w:rFonts w:eastAsia="PMingLiU" w:cs="Arial"/>
          <w:szCs w:val="24"/>
        </w:rPr>
        <w:t xml:space="preserve"> </w:t>
      </w:r>
      <w:r w:rsidR="00BB61B0">
        <w:t>document</w:t>
      </w:r>
      <w:r w:rsidR="00BB61B0">
        <w:rPr>
          <w:rFonts w:eastAsia="PMingLiU" w:cs="Arial"/>
          <w:szCs w:val="24"/>
        </w:rPr>
        <w:t> TWO/46/29</w:t>
      </w:r>
      <w:r w:rsidR="00BB61B0" w:rsidRPr="000D2BFB">
        <w:rPr>
          <w:rFonts w:eastAsia="PMingLiU" w:cs="Arial"/>
          <w:szCs w:val="24"/>
        </w:rPr>
        <w:t xml:space="preserve"> “Report”, p</w:t>
      </w:r>
      <w:r w:rsidR="00BB61B0">
        <w:rPr>
          <w:rFonts w:eastAsia="PMingLiU" w:cs="Arial"/>
          <w:szCs w:val="24"/>
        </w:rPr>
        <w:t xml:space="preserve">aragraphs 86 and 89, </w:t>
      </w:r>
      <w:r>
        <w:rPr>
          <w:rFonts w:eastAsia="PMingLiU" w:cs="Arial"/>
          <w:szCs w:val="24"/>
        </w:rPr>
        <w:t>document TW</w:t>
      </w:r>
      <w:r w:rsidR="00BB61B0">
        <w:rPr>
          <w:rFonts w:eastAsia="PMingLiU" w:cs="Arial"/>
          <w:szCs w:val="24"/>
        </w:rPr>
        <w:t>F</w:t>
      </w:r>
      <w:r>
        <w:rPr>
          <w:rFonts w:eastAsia="PMingLiU" w:cs="Arial"/>
          <w:szCs w:val="24"/>
        </w:rPr>
        <w:t>/</w:t>
      </w:r>
      <w:r w:rsidR="00BB61B0">
        <w:rPr>
          <w:rFonts w:eastAsia="PMingLiU" w:cs="Arial"/>
          <w:szCs w:val="24"/>
        </w:rPr>
        <w:t>44</w:t>
      </w:r>
      <w:r>
        <w:rPr>
          <w:rFonts w:eastAsia="PMingLiU" w:cs="Arial"/>
          <w:szCs w:val="24"/>
        </w:rPr>
        <w:t>/</w:t>
      </w:r>
      <w:r w:rsidR="00BB61B0">
        <w:rPr>
          <w:rFonts w:eastAsia="PMingLiU" w:cs="Arial"/>
          <w:szCs w:val="24"/>
        </w:rPr>
        <w:t>31</w:t>
      </w:r>
      <w:r>
        <w:rPr>
          <w:rFonts w:eastAsia="PMingLiU" w:cs="Arial"/>
          <w:szCs w:val="24"/>
        </w:rPr>
        <w:t xml:space="preserve"> ”Report”, paragraph</w:t>
      </w:r>
      <w:r w:rsidR="00BB61B0">
        <w:rPr>
          <w:rFonts w:eastAsia="PMingLiU" w:cs="Arial"/>
          <w:szCs w:val="24"/>
        </w:rPr>
        <w:t>s</w:t>
      </w:r>
      <w:r>
        <w:rPr>
          <w:rFonts w:eastAsia="PMingLiU" w:cs="Arial"/>
          <w:szCs w:val="24"/>
        </w:rPr>
        <w:t xml:space="preserve"> </w:t>
      </w:r>
      <w:r w:rsidR="00BB61B0">
        <w:rPr>
          <w:rFonts w:eastAsia="PMingLiU" w:cs="Arial"/>
          <w:szCs w:val="24"/>
        </w:rPr>
        <w:t>84 and 87</w:t>
      </w:r>
      <w:r>
        <w:rPr>
          <w:rFonts w:eastAsia="PMingLiU" w:cs="Arial"/>
          <w:szCs w:val="24"/>
        </w:rPr>
        <w:t xml:space="preserve">, </w:t>
      </w:r>
      <w:r w:rsidR="00715991" w:rsidRPr="000D2BFB">
        <w:rPr>
          <w:rFonts w:eastAsia="PMingLiU" w:cs="Arial"/>
          <w:szCs w:val="24"/>
        </w:rPr>
        <w:t>document</w:t>
      </w:r>
      <w:r w:rsidR="00A47B14">
        <w:t> </w:t>
      </w:r>
      <w:r w:rsidR="00715991">
        <w:t>TWV/47/34 “Report”, paragraphs 98 and</w:t>
      </w:r>
      <w:r w:rsidR="00715991" w:rsidRPr="00BB61B0">
        <w:rPr>
          <w:rFonts w:eastAsia="PMingLiU" w:cs="Arial"/>
          <w:szCs w:val="24"/>
        </w:rPr>
        <w:t xml:space="preserve"> </w:t>
      </w:r>
      <w:r w:rsidR="00715991">
        <w:rPr>
          <w:rFonts w:eastAsia="PMingLiU" w:cs="Arial"/>
          <w:szCs w:val="24"/>
        </w:rPr>
        <w:t xml:space="preserve">102, </w:t>
      </w:r>
      <w:r w:rsidRPr="000D2BFB">
        <w:rPr>
          <w:rFonts w:eastAsia="PMingLiU" w:cs="Arial"/>
          <w:szCs w:val="24"/>
        </w:rPr>
        <w:t>document</w:t>
      </w:r>
      <w:r>
        <w:t xml:space="preserve"> TW</w:t>
      </w:r>
      <w:r w:rsidR="00715991">
        <w:t>C</w:t>
      </w:r>
      <w:r>
        <w:t>/</w:t>
      </w:r>
      <w:r w:rsidR="00715991">
        <w:t>31</w:t>
      </w:r>
      <w:r>
        <w:t>/</w:t>
      </w:r>
      <w:r w:rsidR="00715991">
        <w:t>32</w:t>
      </w:r>
      <w:r>
        <w:t xml:space="preserve"> “Report”, paragraph</w:t>
      </w:r>
      <w:r w:rsidR="009234AE">
        <w:t>s</w:t>
      </w:r>
      <w:r>
        <w:t xml:space="preserve"> </w:t>
      </w:r>
      <w:r w:rsidR="00715991">
        <w:t>98</w:t>
      </w:r>
      <w:r>
        <w:t xml:space="preserve"> and</w:t>
      </w:r>
      <w:r w:rsidR="00BB61B0" w:rsidRPr="00BB61B0">
        <w:rPr>
          <w:rFonts w:eastAsia="PMingLiU" w:cs="Arial"/>
          <w:szCs w:val="24"/>
        </w:rPr>
        <w:t xml:space="preserve"> </w:t>
      </w:r>
      <w:r w:rsidR="00715991">
        <w:rPr>
          <w:rFonts w:eastAsia="PMingLiU" w:cs="Arial"/>
          <w:szCs w:val="24"/>
        </w:rPr>
        <w:t xml:space="preserve">100 and </w:t>
      </w:r>
      <w:r w:rsidR="00BB61B0" w:rsidRPr="000D2BFB">
        <w:rPr>
          <w:rFonts w:eastAsia="PMingLiU" w:cs="Arial"/>
          <w:szCs w:val="24"/>
        </w:rPr>
        <w:t>document</w:t>
      </w:r>
      <w:r w:rsidR="00BB61B0">
        <w:rPr>
          <w:rFonts w:eastAsia="PMingLiU" w:cs="Arial"/>
          <w:szCs w:val="24"/>
        </w:rPr>
        <w:t> TWA/</w:t>
      </w:r>
      <w:r w:rsidR="00715991">
        <w:rPr>
          <w:rFonts w:eastAsia="PMingLiU" w:cs="Arial"/>
          <w:szCs w:val="24"/>
        </w:rPr>
        <w:t>42</w:t>
      </w:r>
      <w:r w:rsidR="00BB61B0">
        <w:rPr>
          <w:rFonts w:eastAsia="PMingLiU" w:cs="Arial"/>
          <w:szCs w:val="24"/>
        </w:rPr>
        <w:t>/</w:t>
      </w:r>
      <w:r w:rsidR="00715991">
        <w:rPr>
          <w:rFonts w:eastAsia="PMingLiU" w:cs="Arial"/>
          <w:szCs w:val="24"/>
        </w:rPr>
        <w:t>31</w:t>
      </w:r>
      <w:r w:rsidR="00BB61B0">
        <w:rPr>
          <w:rFonts w:eastAsia="PMingLiU" w:cs="Arial"/>
          <w:szCs w:val="24"/>
        </w:rPr>
        <w:t xml:space="preserve"> “Report”, paragraph</w:t>
      </w:r>
      <w:r w:rsidR="00715991">
        <w:rPr>
          <w:rFonts w:eastAsia="PMingLiU" w:cs="Arial"/>
          <w:szCs w:val="24"/>
        </w:rPr>
        <w:t>s</w:t>
      </w:r>
      <w:r w:rsidR="00BB61B0">
        <w:rPr>
          <w:rFonts w:eastAsia="PMingLiU" w:cs="Arial"/>
          <w:szCs w:val="24"/>
        </w:rPr>
        <w:t xml:space="preserve"> </w:t>
      </w:r>
      <w:r w:rsidR="00715991">
        <w:rPr>
          <w:rFonts w:eastAsia="PMingLiU" w:cs="Arial"/>
          <w:szCs w:val="24"/>
        </w:rPr>
        <w:t>94 and 98</w:t>
      </w:r>
      <w:r w:rsidRPr="000D2BFB">
        <w:t>).</w:t>
      </w:r>
      <w:r w:rsidR="00715991">
        <w:t xml:space="preserve"> </w:t>
      </w:r>
    </w:p>
    <w:p w:rsidR="00541CA2" w:rsidRDefault="00541CA2" w:rsidP="00BE066A"/>
    <w:p w:rsidR="00BB61B0" w:rsidRDefault="00BB61B0" w:rsidP="00BB61B0">
      <w:pPr>
        <w:rPr>
          <w:rFonts w:cs="Arial"/>
        </w:rPr>
      </w:pPr>
      <w:r w:rsidRPr="00143E49">
        <w:rPr>
          <w:rFonts w:cs="Arial"/>
        </w:rPr>
        <w:fldChar w:fldCharType="begin"/>
      </w:r>
      <w:r w:rsidRPr="00143E49">
        <w:rPr>
          <w:rFonts w:cs="Arial"/>
        </w:rPr>
        <w:instrText xml:space="preserve"> AUTONUM  </w:instrText>
      </w:r>
      <w:r w:rsidRPr="00143E49">
        <w:rPr>
          <w:rFonts w:cs="Arial"/>
        </w:rPr>
        <w:fldChar w:fldCharType="end"/>
      </w:r>
      <w:r w:rsidRPr="00143E49">
        <w:rPr>
          <w:rFonts w:cs="Arial"/>
        </w:rPr>
        <w:tab/>
        <w:t>The TWO noted the difficulties experienced in using the TG Template available on UPOV website and proposed to include a demonstration of its use during the Preparatory Workshop.  The TWO requested to have a short document with the standard wording applicable for the types of Test Guidelines discussed in each TWP</w:t>
      </w:r>
      <w:r w:rsidR="00110E10">
        <w:rPr>
          <w:rFonts w:cs="Arial"/>
        </w:rPr>
        <w:t xml:space="preserve"> </w:t>
      </w:r>
      <w:r w:rsidR="00110E10" w:rsidRPr="000D2BFB">
        <w:rPr>
          <w:rFonts w:cs="Arial"/>
          <w:szCs w:val="24"/>
        </w:rPr>
        <w:t>(see</w:t>
      </w:r>
      <w:r w:rsidR="00110E10" w:rsidRPr="000D2BFB">
        <w:rPr>
          <w:rFonts w:eastAsia="PMingLiU" w:cs="Arial"/>
          <w:szCs w:val="24"/>
        </w:rPr>
        <w:t xml:space="preserve"> </w:t>
      </w:r>
      <w:r w:rsidR="00110E10">
        <w:t>document</w:t>
      </w:r>
      <w:r w:rsidR="00110E10">
        <w:rPr>
          <w:rFonts w:eastAsia="PMingLiU" w:cs="Arial"/>
          <w:szCs w:val="24"/>
        </w:rPr>
        <w:t> TWO/46/29</w:t>
      </w:r>
      <w:r w:rsidR="00110E10" w:rsidRPr="000D2BFB">
        <w:rPr>
          <w:rFonts w:eastAsia="PMingLiU" w:cs="Arial"/>
          <w:szCs w:val="24"/>
        </w:rPr>
        <w:t xml:space="preserve"> “Report”, p</w:t>
      </w:r>
      <w:r w:rsidR="00110E10">
        <w:rPr>
          <w:rFonts w:eastAsia="PMingLiU" w:cs="Arial"/>
          <w:szCs w:val="24"/>
        </w:rPr>
        <w:t>aragraph 87)</w:t>
      </w:r>
      <w:r w:rsidRPr="00143E49">
        <w:rPr>
          <w:rFonts w:cs="Arial"/>
        </w:rPr>
        <w:t>.</w:t>
      </w:r>
    </w:p>
    <w:p w:rsidR="00110E10" w:rsidRDefault="00110E10" w:rsidP="00BB61B0">
      <w:pPr>
        <w:rPr>
          <w:rFonts w:cs="Arial"/>
        </w:rPr>
      </w:pPr>
    </w:p>
    <w:p w:rsidR="00893CA3" w:rsidRPr="00462D28" w:rsidRDefault="00893CA3" w:rsidP="00893CA3">
      <w:pPr>
        <w:rPr>
          <w:rFonts w:cs="Arial"/>
        </w:rPr>
      </w:pPr>
      <w:r w:rsidRPr="00462D28">
        <w:rPr>
          <w:rFonts w:cs="Arial"/>
        </w:rPr>
        <w:fldChar w:fldCharType="begin"/>
      </w:r>
      <w:r w:rsidRPr="00462D28">
        <w:rPr>
          <w:rFonts w:cs="Arial"/>
        </w:rPr>
        <w:instrText xml:space="preserve"> AUTONUM  </w:instrText>
      </w:r>
      <w:r w:rsidRPr="00462D28">
        <w:rPr>
          <w:rFonts w:cs="Arial"/>
        </w:rPr>
        <w:fldChar w:fldCharType="end"/>
      </w:r>
      <w:r w:rsidRPr="00462D28">
        <w:rPr>
          <w:rFonts w:cs="Arial"/>
        </w:rPr>
        <w:tab/>
        <w:t>The TWF proposed to include a template for a grid for shape and ratio in the future web-based TG</w:t>
      </w:r>
      <w:r w:rsidR="005205D4">
        <w:rPr>
          <w:rFonts w:cs="Arial"/>
        </w:rPr>
        <w:t> </w:t>
      </w:r>
      <w:r w:rsidRPr="00462D28">
        <w:rPr>
          <w:rFonts w:cs="Arial"/>
        </w:rPr>
        <w:t>Template that leading experts might use when drafting Test Guidelines</w:t>
      </w:r>
      <w:r>
        <w:rPr>
          <w:rFonts w:cs="Arial"/>
        </w:rPr>
        <w:t xml:space="preserve"> </w:t>
      </w:r>
      <w:r w:rsidRPr="000D2BFB">
        <w:rPr>
          <w:rFonts w:cs="Arial"/>
          <w:szCs w:val="24"/>
        </w:rPr>
        <w:t>(see</w:t>
      </w:r>
      <w:r w:rsidRPr="000D2BFB">
        <w:rPr>
          <w:rFonts w:eastAsia="PMingLiU" w:cs="Arial"/>
          <w:szCs w:val="24"/>
        </w:rPr>
        <w:t xml:space="preserve"> </w:t>
      </w:r>
      <w:r>
        <w:t>document</w:t>
      </w:r>
      <w:r>
        <w:rPr>
          <w:rFonts w:eastAsia="PMingLiU" w:cs="Arial"/>
          <w:szCs w:val="24"/>
        </w:rPr>
        <w:t> TWF/44/31</w:t>
      </w:r>
      <w:r w:rsidRPr="000D2BFB">
        <w:rPr>
          <w:rFonts w:eastAsia="PMingLiU" w:cs="Arial"/>
          <w:szCs w:val="24"/>
        </w:rPr>
        <w:t xml:space="preserve"> “Report”, p</w:t>
      </w:r>
      <w:r>
        <w:rPr>
          <w:rFonts w:eastAsia="PMingLiU" w:cs="Arial"/>
          <w:szCs w:val="24"/>
        </w:rPr>
        <w:t>aragraph 86)</w:t>
      </w:r>
      <w:r w:rsidRPr="00462D28">
        <w:rPr>
          <w:rFonts w:cs="Arial"/>
        </w:rPr>
        <w:t>.</w:t>
      </w:r>
    </w:p>
    <w:p w:rsidR="00893CA3" w:rsidRPr="00143E49" w:rsidRDefault="00893CA3" w:rsidP="00BB61B0">
      <w:pPr>
        <w:rPr>
          <w:rFonts w:cs="Arial"/>
        </w:rPr>
      </w:pPr>
    </w:p>
    <w:p w:rsidR="00110E10" w:rsidRPr="00700478" w:rsidRDefault="00110E10" w:rsidP="00620C39">
      <w:pPr>
        <w:rPr>
          <w:rFonts w:cs="Arial"/>
        </w:rPr>
      </w:pPr>
      <w:r w:rsidRPr="00700478">
        <w:rPr>
          <w:rFonts w:cs="Arial"/>
        </w:rPr>
        <w:fldChar w:fldCharType="begin"/>
      </w:r>
      <w:r w:rsidRPr="00700478">
        <w:rPr>
          <w:rFonts w:cs="Arial"/>
        </w:rPr>
        <w:instrText xml:space="preserve"> AUTONUM  </w:instrText>
      </w:r>
      <w:r w:rsidRPr="00700478">
        <w:rPr>
          <w:rFonts w:cs="Arial"/>
        </w:rPr>
        <w:fldChar w:fldCharType="end"/>
      </w:r>
      <w:r w:rsidRPr="00700478">
        <w:rPr>
          <w:rFonts w:cs="Arial"/>
        </w:rPr>
        <w:tab/>
        <w:t xml:space="preserve">The TWV </w:t>
      </w:r>
      <w:r w:rsidR="00620C39">
        <w:rPr>
          <w:rFonts w:cs="Arial"/>
        </w:rPr>
        <w:t xml:space="preserve">and the TWA </w:t>
      </w:r>
      <w:r w:rsidRPr="00700478">
        <w:rPr>
          <w:rFonts w:cs="Arial"/>
        </w:rPr>
        <w:t xml:space="preserve">agreed with the </w:t>
      </w:r>
      <w:r w:rsidRPr="00700478">
        <w:t>proposal of the TWO at its forty-sixth session and the TWF at its forty</w:t>
      </w:r>
      <w:r w:rsidRPr="00700478">
        <w:noBreakHyphen/>
        <w:t xml:space="preserve">fourth session, to receive </w:t>
      </w:r>
      <w:r w:rsidRPr="00700478">
        <w:rPr>
          <w:snapToGrid w:val="0"/>
        </w:rPr>
        <w:t>a demonstration during the Preparatory Workshop on how to use the TG</w:t>
      </w:r>
      <w:r w:rsidR="007A4CE3">
        <w:rPr>
          <w:snapToGrid w:val="0"/>
        </w:rPr>
        <w:t> </w:t>
      </w:r>
      <w:r w:rsidRPr="00700478">
        <w:rPr>
          <w:snapToGrid w:val="0"/>
        </w:rPr>
        <w:t xml:space="preserve">Template available on UPOV website, and </w:t>
      </w:r>
      <w:r w:rsidRPr="00700478">
        <w:rPr>
          <w:rFonts w:cs="Arial"/>
        </w:rPr>
        <w:t>to include a template for a grid for shape and ratio in the future web-based TG Template that leading experts might use when drafting Test Guidelines</w:t>
      </w:r>
      <w:r w:rsidR="00620C39">
        <w:rPr>
          <w:rFonts w:cs="Arial"/>
        </w:rPr>
        <w:t xml:space="preserve"> (</w:t>
      </w:r>
      <w:r w:rsidR="006A2FEB">
        <w:rPr>
          <w:rFonts w:cs="Arial"/>
        </w:rPr>
        <w:t xml:space="preserve">see </w:t>
      </w:r>
      <w:r w:rsidR="00620C39" w:rsidRPr="000D2BFB">
        <w:rPr>
          <w:rFonts w:eastAsia="PMingLiU" w:cs="Arial"/>
          <w:szCs w:val="24"/>
        </w:rPr>
        <w:t>document</w:t>
      </w:r>
      <w:r w:rsidR="007A4CE3">
        <w:rPr>
          <w:rFonts w:eastAsia="PMingLiU" w:cs="Arial"/>
          <w:szCs w:val="24"/>
        </w:rPr>
        <w:t> </w:t>
      </w:r>
      <w:r w:rsidR="00620C39">
        <w:t xml:space="preserve">TWV/47/34 “Report”, paragraph 101 and </w:t>
      </w:r>
      <w:r w:rsidR="00620C39" w:rsidRPr="000D2BFB">
        <w:rPr>
          <w:rFonts w:eastAsia="PMingLiU" w:cs="Arial"/>
          <w:szCs w:val="24"/>
        </w:rPr>
        <w:t>document</w:t>
      </w:r>
      <w:r w:rsidR="00620C39">
        <w:rPr>
          <w:rFonts w:eastAsia="PMingLiU" w:cs="Arial"/>
          <w:szCs w:val="24"/>
        </w:rPr>
        <w:t> TWA/42/31 “Report”, paragraph 97</w:t>
      </w:r>
      <w:r w:rsidR="00620C39" w:rsidRPr="000D2BFB">
        <w:t>).</w:t>
      </w:r>
    </w:p>
    <w:p w:rsidR="00BB61B0" w:rsidRPr="00BD6040" w:rsidRDefault="00BB61B0" w:rsidP="00BB61B0">
      <w:pPr>
        <w:ind w:left="567"/>
        <w:rPr>
          <w:rFonts w:cs="Arial"/>
        </w:rPr>
      </w:pPr>
    </w:p>
    <w:p w:rsidR="00BB61B0" w:rsidRPr="00700478" w:rsidRDefault="00BB61B0" w:rsidP="00BB61B0">
      <w:pPr>
        <w:rPr>
          <w:rFonts w:cs="Arial"/>
        </w:rPr>
      </w:pPr>
      <w:r w:rsidRPr="00700478">
        <w:rPr>
          <w:rFonts w:cs="Arial"/>
        </w:rPr>
        <w:fldChar w:fldCharType="begin"/>
      </w:r>
      <w:r w:rsidRPr="00700478">
        <w:rPr>
          <w:rFonts w:cs="Arial"/>
        </w:rPr>
        <w:instrText xml:space="preserve"> AUTONUM  </w:instrText>
      </w:r>
      <w:r w:rsidRPr="00700478">
        <w:rPr>
          <w:rFonts w:cs="Arial"/>
        </w:rPr>
        <w:fldChar w:fldCharType="end"/>
      </w:r>
      <w:r w:rsidRPr="00700478">
        <w:rPr>
          <w:rFonts w:cs="Arial"/>
        </w:rPr>
        <w:tab/>
        <w:t xml:space="preserve">The TWV </w:t>
      </w:r>
      <w:r w:rsidR="00110E10">
        <w:rPr>
          <w:rFonts w:cs="Arial"/>
        </w:rPr>
        <w:t xml:space="preserve">and the TWA </w:t>
      </w:r>
      <w:r w:rsidRPr="00700478">
        <w:rPr>
          <w:rFonts w:cs="Arial"/>
        </w:rPr>
        <w:t>requested the Office of the Union to investigate the possibility of using a different way of sharing draft Test Guidelines between interested experts (e.g. SharePoint or restricted area on the TG</w:t>
      </w:r>
      <w:r w:rsidR="00715991">
        <w:rPr>
          <w:rFonts w:cs="Arial"/>
        </w:rPr>
        <w:t> </w:t>
      </w:r>
      <w:r w:rsidRPr="00700478">
        <w:rPr>
          <w:rFonts w:cs="Arial"/>
        </w:rPr>
        <w:t>Drafters’ webpage of the UPOV website), as the size of the documents could be an issue when using regular email addresses</w:t>
      </w:r>
      <w:r w:rsidR="00110E10">
        <w:rPr>
          <w:rFonts w:cs="Arial"/>
        </w:rPr>
        <w:t xml:space="preserve"> (</w:t>
      </w:r>
      <w:r w:rsidR="006A2FEB">
        <w:rPr>
          <w:rFonts w:cs="Arial"/>
        </w:rPr>
        <w:t xml:space="preserve">see </w:t>
      </w:r>
      <w:r w:rsidR="00110E10" w:rsidRPr="000D2BFB">
        <w:rPr>
          <w:rFonts w:eastAsia="PMingLiU" w:cs="Arial"/>
          <w:szCs w:val="24"/>
        </w:rPr>
        <w:t>document</w:t>
      </w:r>
      <w:r w:rsidR="00110E10">
        <w:t xml:space="preserve"> TWV/47/34 “Report”, paragraph 100 and </w:t>
      </w:r>
      <w:r w:rsidR="00110E10" w:rsidRPr="000D2BFB">
        <w:rPr>
          <w:rFonts w:eastAsia="PMingLiU" w:cs="Arial"/>
          <w:szCs w:val="24"/>
        </w:rPr>
        <w:t>document</w:t>
      </w:r>
      <w:r w:rsidR="00110E10">
        <w:rPr>
          <w:rFonts w:eastAsia="PMingLiU" w:cs="Arial"/>
          <w:szCs w:val="24"/>
        </w:rPr>
        <w:t> TWA/42/31 “Report”, paragraph 96</w:t>
      </w:r>
      <w:r w:rsidR="00110E10" w:rsidRPr="000D2BFB">
        <w:t>).</w:t>
      </w:r>
      <w:r w:rsidR="00110E10">
        <w:t xml:space="preserve"> </w:t>
      </w:r>
      <w:r w:rsidRPr="00700478">
        <w:rPr>
          <w:rFonts w:cs="Arial"/>
        </w:rPr>
        <w:t xml:space="preserve"> </w:t>
      </w:r>
    </w:p>
    <w:p w:rsidR="00BB61B0" w:rsidRDefault="00BB61B0" w:rsidP="00BB61B0">
      <w:pPr>
        <w:rPr>
          <w:rFonts w:cs="Arial"/>
        </w:rPr>
      </w:pPr>
    </w:p>
    <w:p w:rsidR="006361CD" w:rsidRDefault="006361CD" w:rsidP="006361CD">
      <w:pPr>
        <w:rPr>
          <w:rFonts w:cs="Arial"/>
        </w:rPr>
      </w:pPr>
      <w:r w:rsidRPr="00E423D0">
        <w:rPr>
          <w:rFonts w:cs="Arial"/>
        </w:rPr>
        <w:fldChar w:fldCharType="begin"/>
      </w:r>
      <w:r w:rsidRPr="00E423D0">
        <w:rPr>
          <w:rFonts w:cs="Arial"/>
        </w:rPr>
        <w:instrText xml:space="preserve"> AUTONUM  </w:instrText>
      </w:r>
      <w:r w:rsidRPr="00E423D0">
        <w:rPr>
          <w:rFonts w:cs="Arial"/>
        </w:rPr>
        <w:fldChar w:fldCharType="end"/>
      </w:r>
      <w:r w:rsidRPr="00E423D0">
        <w:rPr>
          <w:rFonts w:cs="Arial"/>
        </w:rPr>
        <w:tab/>
      </w:r>
      <w:r w:rsidR="00A27005">
        <w:rPr>
          <w:rFonts w:cs="Arial"/>
        </w:rPr>
        <w:t>Do</w:t>
      </w:r>
      <w:r w:rsidRPr="00E423D0">
        <w:rPr>
          <w:rFonts w:cs="Arial"/>
        </w:rPr>
        <w:t>cument TC/50/10 “Report on developments in UPOV including relevant matters discussed in the last sessions of the Administrative and Legal Committee, the</w:t>
      </w:r>
      <w:r>
        <w:rPr>
          <w:rFonts w:cs="Arial"/>
        </w:rPr>
        <w:t xml:space="preserve"> Consultative Committee</w:t>
      </w:r>
      <w:r w:rsidRPr="00E423D0">
        <w:rPr>
          <w:rFonts w:cs="Arial"/>
        </w:rPr>
        <w:t xml:space="preserve"> and the Council”</w:t>
      </w:r>
      <w:r w:rsidR="00A27005">
        <w:rPr>
          <w:rFonts w:cs="Arial"/>
        </w:rPr>
        <w:t xml:space="preserve"> will present developments on the new web</w:t>
      </w:r>
      <w:r w:rsidR="00C05293">
        <w:rPr>
          <w:rFonts w:cs="Arial"/>
        </w:rPr>
        <w:t>-</w:t>
      </w:r>
      <w:r w:rsidR="00A27005">
        <w:rPr>
          <w:rFonts w:cs="Arial"/>
        </w:rPr>
        <w:t>based</w:t>
      </w:r>
      <w:r w:rsidR="00C05293">
        <w:rPr>
          <w:rFonts w:cs="Arial"/>
        </w:rPr>
        <w:t xml:space="preserve"> </w:t>
      </w:r>
      <w:r w:rsidR="00A27005">
        <w:rPr>
          <w:rFonts w:cs="Arial"/>
        </w:rPr>
        <w:t>TG Template</w:t>
      </w:r>
      <w:r w:rsidR="003224CD">
        <w:rPr>
          <w:rFonts w:cs="Arial"/>
        </w:rPr>
        <w:t>.</w:t>
      </w:r>
    </w:p>
    <w:p w:rsidR="004C598D" w:rsidRDefault="004C598D" w:rsidP="006361CD">
      <w:pPr>
        <w:rPr>
          <w:rFonts w:cs="Arial"/>
        </w:rPr>
      </w:pPr>
    </w:p>
    <w:p w:rsidR="004C598D" w:rsidRDefault="004C598D" w:rsidP="006361CD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5205D4">
        <w:rPr>
          <w:rFonts w:cs="Arial"/>
        </w:rPr>
        <w:t>With regard to the proposal to organize training in the use of the new web</w:t>
      </w:r>
      <w:r w:rsidR="005205D4">
        <w:rPr>
          <w:rFonts w:cs="Arial"/>
        </w:rPr>
        <w:noBreakHyphen/>
        <w:t>based TG Template during the Preparatory Workshops, it is recalled that the purpose of the Preparatory</w:t>
      </w:r>
      <w:r w:rsidR="00C11CF0">
        <w:rPr>
          <w:rFonts w:cs="Arial"/>
        </w:rPr>
        <w:t> </w:t>
      </w:r>
      <w:r w:rsidR="005205D4">
        <w:rPr>
          <w:rFonts w:cs="Arial"/>
        </w:rPr>
        <w:t xml:space="preserve">Workshops is </w:t>
      </w:r>
      <w:r w:rsidR="003A1E0F">
        <w:rPr>
          <w:rFonts w:cs="Arial"/>
        </w:rPr>
        <w:t>to help</w:t>
      </w:r>
      <w:r w:rsidR="003A1E0F" w:rsidRPr="004A69D5">
        <w:rPr>
          <w:rFonts w:cs="Arial"/>
        </w:rPr>
        <w:t xml:space="preserve"> some of the delegates to participate more actively at the meeting</w:t>
      </w:r>
      <w:r w:rsidR="003A1E0F">
        <w:rPr>
          <w:rFonts w:cs="Arial"/>
        </w:rPr>
        <w:t xml:space="preserve"> and</w:t>
      </w:r>
      <w:r w:rsidR="005205D4">
        <w:rPr>
          <w:rFonts w:cs="Arial"/>
        </w:rPr>
        <w:t xml:space="preserve">, furthermore, it is </w:t>
      </w:r>
      <w:r w:rsidR="003A1E0F" w:rsidRPr="00CF3842">
        <w:rPr>
          <w:rFonts w:cs="Arial"/>
        </w:rPr>
        <w:t xml:space="preserve">anticipated </w:t>
      </w:r>
      <w:r w:rsidR="002B777C" w:rsidRPr="00CF3842">
        <w:rPr>
          <w:rFonts w:cs="Arial"/>
        </w:rPr>
        <w:t>that training on the drafting</w:t>
      </w:r>
      <w:r w:rsidR="003A1E0F" w:rsidRPr="00CF3842">
        <w:rPr>
          <w:rFonts w:cs="Arial"/>
        </w:rPr>
        <w:t xml:space="preserve"> of Test</w:t>
      </w:r>
      <w:r w:rsidR="003A1E0F">
        <w:rPr>
          <w:rFonts w:cs="Arial"/>
        </w:rPr>
        <w:t xml:space="preserve"> Guidelines would be most effective if it took place shortly before Leading Experts would start works on drafting Test Guidelines. Therefore, it is </w:t>
      </w:r>
      <w:r>
        <w:rPr>
          <w:rFonts w:cs="Arial"/>
        </w:rPr>
        <w:t xml:space="preserve">proposed </w:t>
      </w:r>
      <w:r w:rsidR="00CF3842">
        <w:rPr>
          <w:rFonts w:cs="Arial"/>
        </w:rPr>
        <w:t>to organize a series of</w:t>
      </w:r>
      <w:r>
        <w:rPr>
          <w:rFonts w:cs="Arial"/>
        </w:rPr>
        <w:t xml:space="preserve"> electronic workshops (e</w:t>
      </w:r>
      <w:r w:rsidR="0057139C">
        <w:rPr>
          <w:rFonts w:cs="Arial"/>
        </w:rPr>
        <w:noBreakHyphen/>
      </w:r>
      <w:r>
        <w:rPr>
          <w:rFonts w:cs="Arial"/>
        </w:rPr>
        <w:t>workshops) to demonstrate the use of the</w:t>
      </w:r>
      <w:r w:rsidR="00CF3842">
        <w:rPr>
          <w:rFonts w:cs="Arial"/>
        </w:rPr>
        <w:t xml:space="preserve"> new web</w:t>
      </w:r>
      <w:r w:rsidR="00CF3842">
        <w:rPr>
          <w:rFonts w:cs="Arial"/>
        </w:rPr>
        <w:noBreakHyphen/>
        <w:t>based</w:t>
      </w:r>
      <w:r>
        <w:rPr>
          <w:rFonts w:cs="Arial"/>
        </w:rPr>
        <w:t xml:space="preserve"> TG template. The e</w:t>
      </w:r>
      <w:r w:rsidR="00C11CF0">
        <w:rPr>
          <w:rFonts w:cs="Arial"/>
        </w:rPr>
        <w:noBreakHyphen/>
      </w:r>
      <w:r>
        <w:rPr>
          <w:rFonts w:cs="Arial"/>
        </w:rPr>
        <w:t xml:space="preserve">workshops would be organized </w:t>
      </w:r>
      <w:r w:rsidR="00CF3842">
        <w:rPr>
          <w:rFonts w:cs="Arial"/>
        </w:rPr>
        <w:t>to coincide with the start of drafting work by Leading Experts</w:t>
      </w:r>
      <w:r w:rsidR="00897EDD">
        <w:rPr>
          <w:rFonts w:cs="Arial"/>
        </w:rPr>
        <w:t>.</w:t>
      </w:r>
    </w:p>
    <w:p w:rsidR="00897EDD" w:rsidRDefault="00897EDD" w:rsidP="006361CD">
      <w:pPr>
        <w:rPr>
          <w:rFonts w:cs="Arial"/>
        </w:rPr>
      </w:pPr>
    </w:p>
    <w:p w:rsidR="00897EDD" w:rsidRDefault="00897EDD" w:rsidP="006361CD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C11CF0">
        <w:rPr>
          <w:rFonts w:cs="Arial"/>
        </w:rPr>
        <w:t xml:space="preserve">The </w:t>
      </w:r>
      <w:r>
        <w:rPr>
          <w:rFonts w:cs="Arial"/>
        </w:rPr>
        <w:t xml:space="preserve">Office of the Union </w:t>
      </w:r>
      <w:r w:rsidR="00C11CF0">
        <w:rPr>
          <w:rFonts w:cs="Arial"/>
        </w:rPr>
        <w:t xml:space="preserve">will </w:t>
      </w:r>
      <w:r>
        <w:rPr>
          <w:rFonts w:cs="Arial"/>
        </w:rPr>
        <w:t>prepare a template for a grid for shape and ratio characteristics to be used by drafters of Test Guidelines.</w:t>
      </w:r>
    </w:p>
    <w:p w:rsidR="00046773" w:rsidRPr="00E423D0" w:rsidRDefault="00046773" w:rsidP="006361CD">
      <w:pPr>
        <w:rPr>
          <w:rFonts w:cs="Arial"/>
        </w:rPr>
      </w:pPr>
    </w:p>
    <w:p w:rsidR="00897EDD" w:rsidRPr="00897EDD" w:rsidRDefault="007A4CE3" w:rsidP="007A4CE3">
      <w:pPr>
        <w:pStyle w:val="DecisionParagraphs"/>
      </w:pPr>
      <w:r w:rsidRPr="00897EDD">
        <w:fldChar w:fldCharType="begin"/>
      </w:r>
      <w:r w:rsidRPr="00897EDD">
        <w:instrText xml:space="preserve"> AUTONUM  </w:instrText>
      </w:r>
      <w:r w:rsidRPr="00897EDD">
        <w:fldChar w:fldCharType="end"/>
      </w:r>
      <w:r w:rsidRPr="00897EDD">
        <w:tab/>
        <w:t>The TC is invited to</w:t>
      </w:r>
      <w:r w:rsidR="00897EDD" w:rsidRPr="00897EDD">
        <w:t>:</w:t>
      </w:r>
    </w:p>
    <w:p w:rsidR="00897EDD" w:rsidRPr="00897EDD" w:rsidRDefault="00897EDD" w:rsidP="007A4CE3">
      <w:pPr>
        <w:pStyle w:val="DecisionParagraphs"/>
      </w:pPr>
    </w:p>
    <w:p w:rsidR="007A4CE3" w:rsidRPr="00897EDD" w:rsidRDefault="001437AA" w:rsidP="00897EDD">
      <w:pPr>
        <w:pStyle w:val="DecisionParagraphs"/>
        <w:numPr>
          <w:ilvl w:val="0"/>
          <w:numId w:val="3"/>
        </w:numPr>
        <w:tabs>
          <w:tab w:val="clear" w:pos="5387"/>
          <w:tab w:val="left" w:pos="5954"/>
        </w:tabs>
        <w:ind w:left="4820" w:firstLine="567"/>
      </w:pPr>
      <w:r w:rsidRPr="00897EDD">
        <w:t xml:space="preserve"> note that </w:t>
      </w:r>
      <w:r w:rsidR="00C11CF0">
        <w:t xml:space="preserve">developments concerning the </w:t>
      </w:r>
      <w:r w:rsidR="00046773" w:rsidRPr="00897EDD">
        <w:t>new</w:t>
      </w:r>
      <w:r w:rsidRPr="00897EDD">
        <w:rPr>
          <w:snapToGrid w:val="0"/>
        </w:rPr>
        <w:t xml:space="preserve"> web</w:t>
      </w:r>
      <w:r w:rsidR="00046773" w:rsidRPr="00897EDD">
        <w:rPr>
          <w:snapToGrid w:val="0"/>
        </w:rPr>
        <w:t> </w:t>
      </w:r>
      <w:r w:rsidRPr="00897EDD">
        <w:rPr>
          <w:snapToGrid w:val="0"/>
        </w:rPr>
        <w:t xml:space="preserve">based TG Template will be </w:t>
      </w:r>
      <w:r w:rsidR="00C11CF0">
        <w:rPr>
          <w:snapToGrid w:val="0"/>
        </w:rPr>
        <w:t xml:space="preserve">reported in </w:t>
      </w:r>
      <w:r w:rsidRPr="00897EDD">
        <w:rPr>
          <w:snapToGrid w:val="0"/>
        </w:rPr>
        <w:t xml:space="preserve">document TC/50/10 </w:t>
      </w:r>
      <w:r w:rsidRPr="00897EDD">
        <w:rPr>
          <w:rFonts w:cs="Arial"/>
        </w:rPr>
        <w:t>“Report on developments in UPOV including relevant matters discussed in the last sessions of the Administrative and Legal Committee, the Consultative Committee and the Council”</w:t>
      </w:r>
      <w:r w:rsidR="00897EDD">
        <w:rPr>
          <w:rFonts w:cs="Arial"/>
        </w:rPr>
        <w:t>;</w:t>
      </w:r>
    </w:p>
    <w:p w:rsidR="00897EDD" w:rsidRPr="00897EDD" w:rsidRDefault="00897EDD" w:rsidP="00897EDD">
      <w:pPr>
        <w:pStyle w:val="DecisionParagraphs"/>
        <w:tabs>
          <w:tab w:val="clear" w:pos="5387"/>
          <w:tab w:val="left" w:pos="5954"/>
        </w:tabs>
        <w:ind w:left="5387"/>
      </w:pPr>
    </w:p>
    <w:p w:rsidR="00897EDD" w:rsidRDefault="00C11CF0" w:rsidP="00897EDD">
      <w:pPr>
        <w:pStyle w:val="DecisionParagraphs"/>
        <w:numPr>
          <w:ilvl w:val="0"/>
          <w:numId w:val="3"/>
        </w:numPr>
        <w:tabs>
          <w:tab w:val="clear" w:pos="5387"/>
          <w:tab w:val="left" w:pos="5954"/>
        </w:tabs>
        <w:ind w:left="4820" w:firstLine="567"/>
      </w:pPr>
      <w:r>
        <w:t xml:space="preserve">agree to the organization of </w:t>
      </w:r>
      <w:r w:rsidR="00897EDD">
        <w:t>e</w:t>
      </w:r>
      <w:r w:rsidR="00897EDD">
        <w:noBreakHyphen/>
        <w:t xml:space="preserve">workshops to demonstrate the use of the </w:t>
      </w:r>
      <w:r>
        <w:t xml:space="preserve">new web-based </w:t>
      </w:r>
      <w:r w:rsidR="00897EDD">
        <w:t>TG template; and</w:t>
      </w:r>
    </w:p>
    <w:p w:rsidR="00897EDD" w:rsidRDefault="00897EDD" w:rsidP="00897EDD">
      <w:pPr>
        <w:pStyle w:val="ListParagraph"/>
      </w:pPr>
    </w:p>
    <w:p w:rsidR="00897EDD" w:rsidRPr="00897EDD" w:rsidRDefault="00C11CF0" w:rsidP="00897EDD">
      <w:pPr>
        <w:pStyle w:val="DecisionParagraphs"/>
        <w:numPr>
          <w:ilvl w:val="0"/>
          <w:numId w:val="3"/>
        </w:numPr>
        <w:tabs>
          <w:tab w:val="clear" w:pos="5387"/>
          <w:tab w:val="left" w:pos="5954"/>
        </w:tabs>
        <w:ind w:left="4820" w:firstLine="567"/>
      </w:pPr>
      <w:proofErr w:type="gramStart"/>
      <w:r>
        <w:lastRenderedPageBreak/>
        <w:t>note</w:t>
      </w:r>
      <w:proofErr w:type="gramEnd"/>
      <w:r>
        <w:t xml:space="preserve"> that</w:t>
      </w:r>
      <w:r w:rsidR="00897EDD">
        <w:t xml:space="preserve"> the Office of the Union </w:t>
      </w:r>
      <w:r>
        <w:t>will</w:t>
      </w:r>
      <w:r w:rsidR="00897EDD">
        <w:t xml:space="preserve"> prepare a template for a grid for shape and ratio characteristics to be used by drafters of Test Guidelines.</w:t>
      </w:r>
    </w:p>
    <w:p w:rsidR="007A4CE3" w:rsidRDefault="007A4CE3" w:rsidP="007A4CE3">
      <w:pPr>
        <w:ind w:firstLine="567"/>
        <w:rPr>
          <w:i/>
        </w:rPr>
      </w:pPr>
    </w:p>
    <w:p w:rsidR="00A756A7" w:rsidRPr="00897EDD" w:rsidRDefault="00A756A7" w:rsidP="007A4CE3">
      <w:pPr>
        <w:ind w:firstLine="567"/>
        <w:rPr>
          <w:i/>
        </w:rPr>
      </w:pPr>
    </w:p>
    <w:p w:rsidR="00BB61B0" w:rsidRPr="00A65FD9" w:rsidRDefault="00BB61B0" w:rsidP="00936DDD">
      <w:pPr>
        <w:pStyle w:val="Heading2"/>
      </w:pPr>
      <w:bookmarkStart w:id="9" w:name="_Toc378176936"/>
      <w:bookmarkStart w:id="10" w:name="_Toc379381035"/>
      <w:r w:rsidRPr="00A65FD9">
        <w:t>Data loggers</w:t>
      </w:r>
      <w:bookmarkEnd w:id="9"/>
      <w:bookmarkEnd w:id="10"/>
    </w:p>
    <w:p w:rsidR="00BB61B0" w:rsidRPr="00A65FD9" w:rsidRDefault="00BB61B0" w:rsidP="00BB61B0">
      <w:pPr>
        <w:autoSpaceDE w:val="0"/>
        <w:autoSpaceDN w:val="0"/>
        <w:adjustRightInd w:val="0"/>
        <w:jc w:val="left"/>
        <w:rPr>
          <w:szCs w:val="24"/>
        </w:rPr>
      </w:pPr>
    </w:p>
    <w:p w:rsidR="00BB61B0" w:rsidRPr="00112B8B" w:rsidRDefault="00BB61B0" w:rsidP="00BB61B0">
      <w:pPr>
        <w:autoSpaceDE w:val="0"/>
        <w:autoSpaceDN w:val="0"/>
        <w:adjustRightInd w:val="0"/>
        <w:rPr>
          <w:spacing w:val="-2"/>
        </w:rPr>
      </w:pPr>
      <w:r w:rsidRPr="00A65FD9">
        <w:fldChar w:fldCharType="begin"/>
      </w:r>
      <w:r w:rsidRPr="00A65FD9">
        <w:instrText xml:space="preserve"> AUTONUM  </w:instrText>
      </w:r>
      <w:r w:rsidRPr="00A65FD9">
        <w:fldChar w:fldCharType="end"/>
      </w:r>
      <w:r>
        <w:tab/>
      </w:r>
      <w:r w:rsidR="00165C5B">
        <w:t xml:space="preserve">The TWC, at its thirty-first session, </w:t>
      </w:r>
      <w:r w:rsidRPr="00A65FD9">
        <w:t xml:space="preserve">noted the information provided on the updated survey on hand-held data capture devices in the Annex to document TWC/31/28 Rev. and agreed that </w:t>
      </w:r>
      <w:r w:rsidRPr="00A65FD9">
        <w:rPr>
          <w:spacing w:val="-2"/>
        </w:rPr>
        <w:t>a new circular should be issued by the Office of the Union inviting further entries in advance of the thirty-second session of the TWC</w:t>
      </w:r>
      <w:r w:rsidR="00EF6164">
        <w:rPr>
          <w:spacing w:val="-2"/>
        </w:rPr>
        <w:t xml:space="preserve"> (</w:t>
      </w:r>
      <w:r w:rsidR="00165C5B">
        <w:rPr>
          <w:spacing w:val="-2"/>
        </w:rPr>
        <w:t xml:space="preserve">see </w:t>
      </w:r>
      <w:r w:rsidR="00165C5B" w:rsidRPr="000D2BFB">
        <w:rPr>
          <w:rFonts w:eastAsia="PMingLiU" w:cs="Arial"/>
          <w:szCs w:val="24"/>
        </w:rPr>
        <w:t>document</w:t>
      </w:r>
      <w:r w:rsidR="00165C5B">
        <w:t xml:space="preserve"> TWC/31/32 “Report”, paragraphs 76 and 77)</w:t>
      </w:r>
      <w:r w:rsidRPr="00A65FD9">
        <w:rPr>
          <w:spacing w:val="-2"/>
        </w:rPr>
        <w:t>.</w:t>
      </w:r>
    </w:p>
    <w:p w:rsidR="00BB61B0" w:rsidRPr="00E52BE8" w:rsidRDefault="00BB61B0" w:rsidP="00BB61B0">
      <w:pPr>
        <w:autoSpaceDE w:val="0"/>
        <w:autoSpaceDN w:val="0"/>
        <w:adjustRightInd w:val="0"/>
        <w:jc w:val="left"/>
        <w:rPr>
          <w:szCs w:val="24"/>
        </w:rPr>
      </w:pPr>
    </w:p>
    <w:p w:rsidR="00165C5B" w:rsidRDefault="00165C5B" w:rsidP="00165C5B">
      <w:pPr>
        <w:pStyle w:val="DecisionParagraphs"/>
      </w:pPr>
      <w:r w:rsidRPr="00CC587F">
        <w:fldChar w:fldCharType="begin"/>
      </w:r>
      <w:r w:rsidRPr="00CC587F">
        <w:instrText xml:space="preserve"> AUTONUM  </w:instrText>
      </w:r>
      <w:r w:rsidRPr="00CC587F">
        <w:fldChar w:fldCharType="end"/>
      </w:r>
      <w:r w:rsidRPr="00CC587F">
        <w:tab/>
      </w:r>
      <w:r>
        <w:t>The TC is invited to</w:t>
      </w:r>
      <w:r w:rsidRPr="001437AA">
        <w:t xml:space="preserve"> </w:t>
      </w:r>
      <w:r>
        <w:t>request the Office of the Union to issue a new circular concerning hand held data capture devices, inviting further entries in advance of the thirty-second session of the TWC</w:t>
      </w:r>
      <w:r w:rsidRPr="00E423D0">
        <w:t>.</w:t>
      </w:r>
    </w:p>
    <w:p w:rsidR="00BB61B0" w:rsidRPr="00E52BE8" w:rsidRDefault="00BB61B0" w:rsidP="00BB61B0">
      <w:pPr>
        <w:autoSpaceDE w:val="0"/>
        <w:autoSpaceDN w:val="0"/>
        <w:adjustRightInd w:val="0"/>
        <w:ind w:left="426" w:hanging="426"/>
        <w:jc w:val="left"/>
      </w:pPr>
    </w:p>
    <w:p w:rsidR="007A221A" w:rsidRDefault="007A221A" w:rsidP="007A221A">
      <w:pPr>
        <w:rPr>
          <w:caps/>
        </w:rPr>
      </w:pPr>
    </w:p>
    <w:p w:rsidR="00C05293" w:rsidRDefault="00C05293" w:rsidP="007A221A">
      <w:pPr>
        <w:rPr>
          <w:caps/>
        </w:rPr>
      </w:pPr>
    </w:p>
    <w:p w:rsidR="00C05293" w:rsidRDefault="00C05293" w:rsidP="00C05293">
      <w:pPr>
        <w:pStyle w:val="Heading1"/>
      </w:pPr>
      <w:bookmarkStart w:id="11" w:name="_Toc379381036"/>
      <w:r w:rsidRPr="00FC6CC1">
        <w:t>Matters for information</w:t>
      </w:r>
      <w:bookmarkEnd w:id="11"/>
    </w:p>
    <w:p w:rsidR="00C05293" w:rsidRDefault="00C05293" w:rsidP="007A221A">
      <w:pPr>
        <w:rPr>
          <w:caps/>
        </w:rPr>
      </w:pPr>
    </w:p>
    <w:p w:rsidR="00BD4B39" w:rsidRPr="00462D28" w:rsidRDefault="00C05293" w:rsidP="00936DDD">
      <w:pPr>
        <w:pStyle w:val="Heading2"/>
      </w:pPr>
      <w:bookmarkStart w:id="12" w:name="_Toc379381037"/>
      <w:r>
        <w:t>Subject for discussion</w:t>
      </w:r>
      <w:bookmarkEnd w:id="12"/>
    </w:p>
    <w:p w:rsidR="00BD4B39" w:rsidRPr="00462D28" w:rsidRDefault="00BD4B39" w:rsidP="00BD4B39">
      <w:pPr>
        <w:pStyle w:val="Style1"/>
        <w:tabs>
          <w:tab w:val="left" w:pos="720"/>
        </w:tabs>
        <w:rPr>
          <w:color w:val="000000"/>
        </w:rPr>
      </w:pPr>
    </w:p>
    <w:p w:rsidR="00BD4B39" w:rsidRPr="00462D28" w:rsidRDefault="00BD4B39" w:rsidP="00BD4B39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462D28">
        <w:rPr>
          <w:rFonts w:ascii="Arial" w:hAnsi="Arial" w:cs="Arial"/>
          <w:color w:val="000000"/>
          <w:sz w:val="20"/>
          <w:szCs w:val="20"/>
        </w:rPr>
        <w:fldChar w:fldCharType="begin"/>
      </w:r>
      <w:r w:rsidRPr="00462D28">
        <w:rPr>
          <w:rFonts w:ascii="Arial" w:hAnsi="Arial" w:cs="Arial"/>
          <w:color w:val="000000"/>
          <w:sz w:val="20"/>
          <w:szCs w:val="20"/>
        </w:rPr>
        <w:instrText xml:space="preserve"> AUTONUM  </w:instrText>
      </w:r>
      <w:r w:rsidRPr="00462D28">
        <w:rPr>
          <w:rFonts w:ascii="Arial" w:hAnsi="Arial" w:cs="Arial"/>
          <w:color w:val="000000"/>
          <w:sz w:val="20"/>
          <w:szCs w:val="20"/>
        </w:rPr>
        <w:fldChar w:fldCharType="end"/>
      </w:r>
      <w:r w:rsidRPr="00462D28">
        <w:rPr>
          <w:rFonts w:ascii="Arial" w:hAnsi="Arial" w:cs="Arial"/>
          <w:color w:val="000000"/>
          <w:sz w:val="20"/>
          <w:szCs w:val="20"/>
        </w:rPr>
        <w:tab/>
        <w:t>The TWF</w:t>
      </w:r>
      <w:r w:rsidR="007A221A">
        <w:rPr>
          <w:rFonts w:ascii="Arial" w:hAnsi="Arial" w:cs="Arial"/>
          <w:color w:val="000000"/>
          <w:sz w:val="20"/>
          <w:szCs w:val="20"/>
        </w:rPr>
        <w:t xml:space="preserve">, at its forty-fourth session, </w:t>
      </w:r>
      <w:r w:rsidRPr="00462D28">
        <w:rPr>
          <w:rFonts w:ascii="Arial" w:hAnsi="Arial" w:cs="Arial"/>
          <w:color w:val="000000"/>
          <w:sz w:val="20"/>
          <w:szCs w:val="20"/>
        </w:rPr>
        <w:t>proposed that a suitable agenda item be added to the program of its forty-fifth session, under which the following items would be discussed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A221A">
        <w:rPr>
          <w:rFonts w:ascii="Arial" w:hAnsi="Arial" w:cs="Arial"/>
          <w:color w:val="000000"/>
          <w:sz w:val="20"/>
          <w:szCs w:val="20"/>
        </w:rPr>
        <w:t xml:space="preserve">(see </w:t>
      </w:r>
      <w:r w:rsidR="007A221A" w:rsidRPr="007A221A">
        <w:rPr>
          <w:rFonts w:ascii="Arial" w:hAnsi="Arial" w:cs="Arial"/>
          <w:color w:val="000000"/>
          <w:sz w:val="20"/>
          <w:szCs w:val="20"/>
        </w:rPr>
        <w:t>document TWF/44/31</w:t>
      </w:r>
      <w:r w:rsidR="007A221A">
        <w:rPr>
          <w:rFonts w:ascii="Arial" w:hAnsi="Arial" w:cs="Arial"/>
          <w:color w:val="000000"/>
          <w:sz w:val="20"/>
          <w:szCs w:val="20"/>
        </w:rPr>
        <w:t xml:space="preserve"> “</w:t>
      </w:r>
      <w:r w:rsidR="007A221A" w:rsidRPr="007A221A">
        <w:rPr>
          <w:rFonts w:ascii="Arial" w:hAnsi="Arial" w:cs="Arial"/>
          <w:color w:val="000000"/>
          <w:sz w:val="20"/>
          <w:szCs w:val="20"/>
        </w:rPr>
        <w:t>Report”, paragraph</w:t>
      </w:r>
      <w:r w:rsidR="007A221A">
        <w:rPr>
          <w:rFonts w:ascii="Arial" w:hAnsi="Arial" w:cs="Arial"/>
          <w:color w:val="000000"/>
          <w:sz w:val="20"/>
          <w:szCs w:val="20"/>
        </w:rPr>
        <w:t xml:space="preserve"> 107):</w:t>
      </w:r>
    </w:p>
    <w:p w:rsidR="00BD4B39" w:rsidRPr="00462D28" w:rsidRDefault="00BD4B39" w:rsidP="00BD4B39">
      <w:pPr>
        <w:pStyle w:val="Style1"/>
        <w:tabs>
          <w:tab w:val="left" w:pos="720"/>
        </w:tabs>
        <w:rPr>
          <w:rFonts w:ascii="Arial" w:hAnsi="Arial" w:cs="Arial"/>
          <w:color w:val="000000"/>
          <w:sz w:val="20"/>
          <w:szCs w:val="20"/>
        </w:rPr>
      </w:pPr>
    </w:p>
    <w:p w:rsidR="00BD4B39" w:rsidRPr="00462D28" w:rsidRDefault="00BD4B39" w:rsidP="003A1E0F">
      <w:pPr>
        <w:pStyle w:val="Style1"/>
        <w:numPr>
          <w:ilvl w:val="0"/>
          <w:numId w:val="2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462D28">
        <w:rPr>
          <w:rFonts w:ascii="Arial" w:hAnsi="Arial" w:cs="Arial"/>
          <w:color w:val="000000"/>
          <w:sz w:val="20"/>
          <w:szCs w:val="20"/>
        </w:rPr>
        <w:t>Management of reference collections for DUS examination (do</w:t>
      </w:r>
      <w:r w:rsidR="003A1E0F">
        <w:rPr>
          <w:rFonts w:ascii="Arial" w:hAnsi="Arial" w:cs="Arial"/>
          <w:color w:val="000000"/>
          <w:sz w:val="20"/>
          <w:szCs w:val="20"/>
        </w:rPr>
        <w:t>cument to be prepared by France and the European Union)</w:t>
      </w:r>
    </w:p>
    <w:p w:rsidR="00BD4B39" w:rsidRPr="00462D28" w:rsidRDefault="00BD4B39" w:rsidP="003A1E0F">
      <w:pPr>
        <w:pStyle w:val="Style1"/>
        <w:numPr>
          <w:ilvl w:val="0"/>
          <w:numId w:val="2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462D28">
        <w:rPr>
          <w:rFonts w:ascii="Arial" w:hAnsi="Arial" w:cs="Arial"/>
          <w:color w:val="000000"/>
          <w:sz w:val="20"/>
          <w:szCs w:val="20"/>
        </w:rPr>
        <w:t xml:space="preserve">Duration of DUS tests in the fruit sector (document to be </w:t>
      </w:r>
      <w:r w:rsidR="003A1E0F">
        <w:rPr>
          <w:rFonts w:ascii="Arial" w:hAnsi="Arial" w:cs="Arial"/>
          <w:color w:val="000000"/>
          <w:sz w:val="20"/>
          <w:szCs w:val="20"/>
        </w:rPr>
        <w:t>prepared by the European Union)</w:t>
      </w:r>
    </w:p>
    <w:p w:rsidR="00BD4B39" w:rsidRPr="003A1E0F" w:rsidRDefault="00BD4B39" w:rsidP="003A1E0F">
      <w:pPr>
        <w:pStyle w:val="Style1"/>
        <w:numPr>
          <w:ilvl w:val="0"/>
          <w:numId w:val="2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3A1E0F">
        <w:rPr>
          <w:rFonts w:ascii="Arial" w:hAnsi="Arial" w:cs="Arial"/>
          <w:color w:val="000000"/>
          <w:sz w:val="20"/>
          <w:szCs w:val="20"/>
        </w:rPr>
        <w:t>Harmonized example varieties for Apple: historical dat</w:t>
      </w:r>
      <w:r w:rsidR="003A1E0F" w:rsidRPr="003A1E0F">
        <w:rPr>
          <w:rFonts w:ascii="Arial" w:hAnsi="Arial" w:cs="Arial"/>
          <w:color w:val="000000"/>
          <w:sz w:val="20"/>
          <w:szCs w:val="20"/>
        </w:rPr>
        <w:t xml:space="preserve">a and possible new developments </w:t>
      </w:r>
      <w:r w:rsidRPr="003A1E0F">
        <w:rPr>
          <w:rFonts w:ascii="Arial" w:hAnsi="Arial" w:cs="Arial"/>
          <w:color w:val="000000"/>
          <w:sz w:val="20"/>
          <w:szCs w:val="20"/>
        </w:rPr>
        <w:t>(document to be prepared by Germany, New Zeala</w:t>
      </w:r>
      <w:r w:rsidR="003A1E0F">
        <w:rPr>
          <w:rFonts w:ascii="Arial" w:hAnsi="Arial" w:cs="Arial"/>
          <w:color w:val="000000"/>
          <w:sz w:val="20"/>
          <w:szCs w:val="20"/>
        </w:rPr>
        <w:t>nd and the Office of the Union)</w:t>
      </w:r>
    </w:p>
    <w:p w:rsidR="008D6020" w:rsidRDefault="008D6020" w:rsidP="008D6020">
      <w:pPr>
        <w:rPr>
          <w:color w:val="000000"/>
        </w:rPr>
      </w:pPr>
    </w:p>
    <w:p w:rsidR="00AF448F" w:rsidRPr="00700478" w:rsidRDefault="00AF448F" w:rsidP="00AF448F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/>
          <w:sz w:val="20"/>
          <w:szCs w:val="20"/>
          <w:lang w:eastAsia="en-US"/>
        </w:rPr>
        <w:fldChar w:fldCharType="begin"/>
      </w:r>
      <w:r w:rsidRPr="00700478">
        <w:rPr>
          <w:rFonts w:ascii="Arial" w:hAnsi="Arial"/>
          <w:sz w:val="20"/>
          <w:szCs w:val="20"/>
          <w:lang w:eastAsia="en-US"/>
        </w:rPr>
        <w:instrText xml:space="preserve"> AUTONUM  </w:instrText>
      </w:r>
      <w:r w:rsidRPr="00700478">
        <w:rPr>
          <w:rFonts w:ascii="Arial" w:hAnsi="Arial"/>
          <w:sz w:val="20"/>
          <w:szCs w:val="20"/>
          <w:lang w:eastAsia="en-US"/>
        </w:rPr>
        <w:fldChar w:fldCharType="end"/>
      </w:r>
      <w:r w:rsidRPr="00700478">
        <w:rPr>
          <w:rFonts w:ascii="Arial" w:hAnsi="Arial" w:cs="Arial"/>
          <w:color w:val="000000"/>
          <w:sz w:val="20"/>
          <w:szCs w:val="20"/>
        </w:rPr>
        <w:tab/>
        <w:t>The TWV</w:t>
      </w:r>
      <w:r w:rsidR="007A221A">
        <w:rPr>
          <w:rFonts w:ascii="Arial" w:hAnsi="Arial" w:cs="Arial"/>
          <w:color w:val="000000"/>
          <w:sz w:val="20"/>
          <w:szCs w:val="20"/>
        </w:rPr>
        <w:t>, at its forty-seventh session,</w:t>
      </w:r>
      <w:r w:rsidRPr="00700478">
        <w:rPr>
          <w:rFonts w:ascii="Arial" w:hAnsi="Arial" w:cs="Arial"/>
          <w:color w:val="000000"/>
          <w:sz w:val="20"/>
          <w:szCs w:val="20"/>
        </w:rPr>
        <w:t xml:space="preserve"> proposed that suitable agenda items be added to the program at its forty-eighth session, under which the following items would be presented and discussed</w:t>
      </w:r>
      <w:r w:rsidR="007A221A">
        <w:rPr>
          <w:rFonts w:ascii="Arial" w:hAnsi="Arial" w:cs="Arial"/>
          <w:color w:val="000000"/>
          <w:sz w:val="20"/>
          <w:szCs w:val="20"/>
        </w:rPr>
        <w:t xml:space="preserve"> (see </w:t>
      </w:r>
      <w:r w:rsidR="007A221A" w:rsidRPr="007A221A">
        <w:rPr>
          <w:rFonts w:ascii="Arial" w:hAnsi="Arial" w:cs="Arial"/>
          <w:color w:val="000000"/>
          <w:sz w:val="20"/>
          <w:szCs w:val="20"/>
        </w:rPr>
        <w:t>document TWV/47/34 “Report”, paragraph</w:t>
      </w:r>
      <w:r w:rsidR="007A221A">
        <w:rPr>
          <w:rFonts w:ascii="Arial" w:hAnsi="Arial" w:cs="Arial"/>
          <w:color w:val="000000"/>
          <w:sz w:val="20"/>
          <w:szCs w:val="20"/>
        </w:rPr>
        <w:t xml:space="preserve"> 122):</w:t>
      </w:r>
    </w:p>
    <w:p w:rsidR="00AF448F" w:rsidRPr="00700478" w:rsidRDefault="00AF448F" w:rsidP="00AF448F">
      <w:pPr>
        <w:pStyle w:val="Style1"/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</w:p>
    <w:p w:rsidR="00AF448F" w:rsidRPr="00700478" w:rsidRDefault="00AF448F" w:rsidP="007C4FE5">
      <w:pPr>
        <w:pStyle w:val="Style1"/>
        <w:numPr>
          <w:ilvl w:val="0"/>
          <w:numId w:val="4"/>
        </w:numPr>
        <w:tabs>
          <w:tab w:val="clear" w:pos="907"/>
          <w:tab w:val="clear" w:pos="1077"/>
          <w:tab w:val="left" w:pos="630"/>
        </w:tabs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molecular techniques in DUS examination (document to be prepared by the Netherlands and presentations invited from members of the Union)</w:t>
      </w:r>
    </w:p>
    <w:p w:rsidR="00AF448F" w:rsidRPr="00700478" w:rsidRDefault="00C05293" w:rsidP="007C4FE5">
      <w:pPr>
        <w:pStyle w:val="Style1"/>
        <w:numPr>
          <w:ilvl w:val="0"/>
          <w:numId w:val="4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use of </w:t>
      </w:r>
      <w:r w:rsidR="00AF448F" w:rsidRPr="00700478">
        <w:rPr>
          <w:rFonts w:ascii="Arial" w:hAnsi="Arial" w:cs="Arial"/>
          <w:color w:val="000000"/>
          <w:sz w:val="20"/>
          <w:szCs w:val="20"/>
        </w:rPr>
        <w:t>statistical approaches in DUS examination (document to be prepared by the Netherlands and presentations invited from members of the Union)</w:t>
      </w:r>
    </w:p>
    <w:p w:rsidR="00AF448F" w:rsidRPr="00700478" w:rsidRDefault="00AF448F" w:rsidP="007C4FE5">
      <w:pPr>
        <w:pStyle w:val="Style1"/>
        <w:numPr>
          <w:ilvl w:val="0"/>
          <w:numId w:val="4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use of disease resistance characteristics in DUS examination (document to be prepared by the European Union and presentations invited from members of the Union)</w:t>
      </w:r>
    </w:p>
    <w:p w:rsidR="00AF448F" w:rsidRPr="00700478" w:rsidRDefault="00AF448F" w:rsidP="007C4FE5">
      <w:pPr>
        <w:pStyle w:val="Style1"/>
        <w:numPr>
          <w:ilvl w:val="0"/>
          <w:numId w:val="4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Management of reference collections (document to be prepared by France and presentations invited from members of the Union)</w:t>
      </w:r>
    </w:p>
    <w:p w:rsidR="00AF448F" w:rsidRPr="00700478" w:rsidRDefault="00AF448F" w:rsidP="007C4FE5">
      <w:pPr>
        <w:pStyle w:val="Style1"/>
        <w:numPr>
          <w:ilvl w:val="0"/>
          <w:numId w:val="4"/>
        </w:numPr>
        <w:tabs>
          <w:tab w:val="clear" w:pos="907"/>
          <w:tab w:val="clear" w:pos="1077"/>
          <w:tab w:val="left" w:pos="630"/>
        </w:tabs>
        <w:ind w:left="1134" w:hanging="566"/>
        <w:rPr>
          <w:rFonts w:ascii="Arial" w:hAnsi="Arial" w:cs="Arial"/>
          <w:color w:val="000000"/>
          <w:sz w:val="20"/>
          <w:szCs w:val="20"/>
        </w:rPr>
      </w:pPr>
      <w:r w:rsidRPr="00700478">
        <w:rPr>
          <w:rFonts w:ascii="Arial" w:hAnsi="Arial" w:cs="Arial"/>
          <w:color w:val="000000"/>
          <w:sz w:val="20"/>
          <w:szCs w:val="20"/>
        </w:rPr>
        <w:t>New issues arising for DUS examination (presentations invited from members of the Union)</w:t>
      </w:r>
    </w:p>
    <w:p w:rsidR="00AF448F" w:rsidRDefault="00AF448F" w:rsidP="00AF448F">
      <w:pPr>
        <w:rPr>
          <w:color w:val="000000"/>
        </w:rPr>
      </w:pPr>
    </w:p>
    <w:p w:rsidR="008D6020" w:rsidRDefault="008D6020" w:rsidP="008D6020">
      <w:pPr>
        <w:pStyle w:val="DecisionParagraphs"/>
      </w:pPr>
      <w:r w:rsidRPr="00CC587F">
        <w:fldChar w:fldCharType="begin"/>
      </w:r>
      <w:r w:rsidRPr="00CC587F">
        <w:instrText xml:space="preserve"> AUTONUM  </w:instrText>
      </w:r>
      <w:r w:rsidRPr="00CC587F">
        <w:fldChar w:fldCharType="end"/>
      </w:r>
      <w:r w:rsidRPr="00CC587F">
        <w:tab/>
      </w:r>
      <w:r>
        <w:t>The TC is invited to</w:t>
      </w:r>
      <w:r w:rsidRPr="001437AA">
        <w:t xml:space="preserve"> </w:t>
      </w:r>
      <w:r>
        <w:t>note</w:t>
      </w:r>
      <w:r w:rsidR="0057139C">
        <w:t xml:space="preserve"> the addition of subjects for discussion</w:t>
      </w:r>
      <w:r>
        <w:t xml:space="preserve"> during the </w:t>
      </w:r>
      <w:r w:rsidR="005D1338">
        <w:t xml:space="preserve">TWF and the </w:t>
      </w:r>
      <w:r>
        <w:t xml:space="preserve">TWV at </w:t>
      </w:r>
      <w:r w:rsidR="005D1338">
        <w:t xml:space="preserve">their </w:t>
      </w:r>
      <w:r>
        <w:t xml:space="preserve">session in 2014, as set out in </w:t>
      </w:r>
      <w:r w:rsidRPr="00A47B14">
        <w:t>paragraph</w:t>
      </w:r>
      <w:r w:rsidR="005D1338" w:rsidRPr="00A47B14">
        <w:t>s</w:t>
      </w:r>
      <w:r w:rsidRPr="00A47B14">
        <w:t xml:space="preserve"> </w:t>
      </w:r>
      <w:r w:rsidR="005D1338" w:rsidRPr="00A47B14">
        <w:t>15 and 16</w:t>
      </w:r>
      <w:r w:rsidRPr="00A47B14">
        <w:t>.</w:t>
      </w:r>
    </w:p>
    <w:p w:rsidR="008D6020" w:rsidRPr="00700478" w:rsidRDefault="008D6020" w:rsidP="00AF448F">
      <w:pPr>
        <w:rPr>
          <w:color w:val="000000"/>
        </w:rPr>
      </w:pPr>
    </w:p>
    <w:p w:rsidR="00C05293" w:rsidRDefault="00C05293" w:rsidP="00BE066A"/>
    <w:p w:rsidR="00C05293" w:rsidRPr="00936DDD" w:rsidRDefault="00C05293" w:rsidP="00C05293">
      <w:pPr>
        <w:pStyle w:val="Heading2"/>
      </w:pPr>
      <w:bookmarkStart w:id="13" w:name="_Toc348535868"/>
      <w:bookmarkStart w:id="14" w:name="_Toc378176937"/>
      <w:bookmarkStart w:id="15" w:name="_Toc379381038"/>
      <w:r w:rsidRPr="00936DDD">
        <w:t>Experiences with new types and species</w:t>
      </w:r>
      <w:bookmarkEnd w:id="13"/>
      <w:bookmarkEnd w:id="14"/>
      <w:bookmarkEnd w:id="15"/>
    </w:p>
    <w:p w:rsidR="00C05293" w:rsidRDefault="00C05293" w:rsidP="00C05293"/>
    <w:p w:rsidR="00C05293" w:rsidRPr="00143E49" w:rsidRDefault="00C05293" w:rsidP="00C05293">
      <w:pPr>
        <w:rPr>
          <w:snapToGrid w:val="0"/>
        </w:rPr>
      </w:pPr>
      <w:r w:rsidRPr="00143E49">
        <w:rPr>
          <w:snapToGrid w:val="0"/>
        </w:rPr>
        <w:fldChar w:fldCharType="begin"/>
      </w:r>
      <w:r w:rsidRPr="00143E49">
        <w:rPr>
          <w:snapToGrid w:val="0"/>
        </w:rPr>
        <w:instrText xml:space="preserve"> AUTONUM  </w:instrText>
      </w:r>
      <w:r w:rsidRPr="00143E49">
        <w:rPr>
          <w:snapToGrid w:val="0"/>
        </w:rPr>
        <w:fldChar w:fldCharType="end"/>
      </w:r>
      <w:r w:rsidRPr="00143E49">
        <w:rPr>
          <w:snapToGrid w:val="0"/>
        </w:rPr>
        <w:tab/>
      </w:r>
      <w:r>
        <w:rPr>
          <w:snapToGrid w:val="0"/>
        </w:rPr>
        <w:t xml:space="preserve">The TWO, at its forty-sixth session received a presentation by an expert from </w:t>
      </w:r>
      <w:r w:rsidRPr="00143E49">
        <w:rPr>
          <w:snapToGrid w:val="0"/>
        </w:rPr>
        <w:t xml:space="preserve">Australia on a new inter-generic hybrid variety between </w:t>
      </w:r>
      <w:proofErr w:type="spellStart"/>
      <w:r w:rsidRPr="00143E49">
        <w:rPr>
          <w:i/>
        </w:rPr>
        <w:t>Disphyma</w:t>
      </w:r>
      <w:proofErr w:type="spellEnd"/>
      <w:r w:rsidRPr="00143E49">
        <w:rPr>
          <w:i/>
        </w:rPr>
        <w:t xml:space="preserve"> </w:t>
      </w:r>
      <w:proofErr w:type="spellStart"/>
      <w:r w:rsidRPr="00143E49">
        <w:rPr>
          <w:i/>
        </w:rPr>
        <w:t>crassifolium</w:t>
      </w:r>
      <w:proofErr w:type="spellEnd"/>
      <w:r w:rsidRPr="00143E49">
        <w:t xml:space="preserve"> ssp. </w:t>
      </w:r>
      <w:proofErr w:type="spellStart"/>
      <w:r w:rsidRPr="00143E49">
        <w:rPr>
          <w:i/>
        </w:rPr>
        <w:t>clavellatum</w:t>
      </w:r>
      <w:proofErr w:type="spellEnd"/>
      <w:r w:rsidRPr="00143E49">
        <w:t xml:space="preserve"> a</w:t>
      </w:r>
      <w:r w:rsidRPr="00143E49">
        <w:rPr>
          <w:snapToGrid w:val="0"/>
        </w:rPr>
        <w:t xml:space="preserve">nd </w:t>
      </w:r>
      <w:proofErr w:type="spellStart"/>
      <w:r w:rsidRPr="00143E49">
        <w:rPr>
          <w:i/>
        </w:rPr>
        <w:t>Glottiphyllum</w:t>
      </w:r>
      <w:proofErr w:type="spellEnd"/>
      <w:r w:rsidRPr="00143E49">
        <w:rPr>
          <w:i/>
        </w:rPr>
        <w:t xml:space="preserve"> </w:t>
      </w:r>
      <w:proofErr w:type="spellStart"/>
      <w:r w:rsidRPr="00143E49">
        <w:rPr>
          <w:i/>
        </w:rPr>
        <w:t>longum</w:t>
      </w:r>
      <w:proofErr w:type="spellEnd"/>
      <w:r w:rsidRPr="00143E49">
        <w:rPr>
          <w:snapToGrid w:val="0"/>
        </w:rPr>
        <w:t xml:space="preserve">.  A copy of the presentation </w:t>
      </w:r>
      <w:r>
        <w:rPr>
          <w:snapToGrid w:val="0"/>
        </w:rPr>
        <w:t>was</w:t>
      </w:r>
      <w:r w:rsidRPr="00143E49">
        <w:rPr>
          <w:snapToGrid w:val="0"/>
        </w:rPr>
        <w:t xml:space="preserve"> included in document TWO/46/28</w:t>
      </w:r>
      <w:r>
        <w:rPr>
          <w:snapToGrid w:val="0"/>
        </w:rPr>
        <w:t xml:space="preserve"> </w:t>
      </w:r>
      <w:r w:rsidRPr="00D25E50">
        <w:t>“Reports on Developments in Plant Variety Protection from Members and Observers”</w:t>
      </w:r>
      <w:r>
        <w:t xml:space="preserve"> </w:t>
      </w:r>
      <w:r w:rsidRPr="000D2BFB">
        <w:rPr>
          <w:rFonts w:cs="Arial"/>
          <w:szCs w:val="24"/>
        </w:rPr>
        <w:t>(see</w:t>
      </w:r>
      <w:r w:rsidRPr="000D2BFB">
        <w:rPr>
          <w:rFonts w:eastAsia="PMingLiU" w:cs="Arial"/>
          <w:szCs w:val="24"/>
        </w:rPr>
        <w:t xml:space="preserve"> </w:t>
      </w:r>
      <w:r>
        <w:t>document</w:t>
      </w:r>
      <w:r>
        <w:rPr>
          <w:rFonts w:eastAsia="PMingLiU" w:cs="Arial"/>
          <w:szCs w:val="24"/>
        </w:rPr>
        <w:t> TWO/46/29</w:t>
      </w:r>
      <w:r w:rsidRPr="000D2BFB">
        <w:rPr>
          <w:rFonts w:eastAsia="PMingLiU" w:cs="Arial"/>
          <w:szCs w:val="24"/>
        </w:rPr>
        <w:t xml:space="preserve"> “Report”, p</w:t>
      </w:r>
      <w:r>
        <w:rPr>
          <w:rFonts w:eastAsia="PMingLiU" w:cs="Arial"/>
          <w:szCs w:val="24"/>
        </w:rPr>
        <w:t>aragraph 103)</w:t>
      </w:r>
      <w:r w:rsidRPr="00143E49">
        <w:rPr>
          <w:rFonts w:cs="Arial"/>
        </w:rPr>
        <w:t>.</w:t>
      </w:r>
    </w:p>
    <w:p w:rsidR="00C05293" w:rsidRPr="004B761D" w:rsidRDefault="00C05293" w:rsidP="00C05293"/>
    <w:p w:rsidR="00C05293" w:rsidRDefault="00C05293" w:rsidP="00C05293">
      <w:pPr>
        <w:rPr>
          <w:rFonts w:eastAsia="PMingLiU" w:cs="Arial"/>
          <w:szCs w:val="24"/>
        </w:rPr>
      </w:pPr>
      <w:r w:rsidRPr="00D25E50">
        <w:fldChar w:fldCharType="begin"/>
      </w:r>
      <w:r w:rsidRPr="00D25E50">
        <w:instrText xml:space="preserve"> AUTONUM  </w:instrText>
      </w:r>
      <w:r w:rsidRPr="00D25E50">
        <w:fldChar w:fldCharType="end"/>
      </w:r>
      <w:r w:rsidRPr="00D25E50">
        <w:tab/>
        <w:t>The TWA</w:t>
      </w:r>
      <w:r>
        <w:t>, at its forty-second session,</w:t>
      </w:r>
      <w:r w:rsidRPr="00D25E50">
        <w:t xml:space="preserve"> received a presentation by an expert from Ukraine on experiences with new types and species, including </w:t>
      </w:r>
      <w:r w:rsidRPr="00D25E50">
        <w:rPr>
          <w:i/>
        </w:rPr>
        <w:t xml:space="preserve">Sorghum </w:t>
      </w:r>
      <w:proofErr w:type="spellStart"/>
      <w:r w:rsidRPr="00D25E50">
        <w:rPr>
          <w:i/>
        </w:rPr>
        <w:t>oryzoidum</w:t>
      </w:r>
      <w:proofErr w:type="spellEnd"/>
      <w:r w:rsidRPr="00D25E50">
        <w:t xml:space="preserve">, which is an </w:t>
      </w:r>
      <w:proofErr w:type="spellStart"/>
      <w:r w:rsidRPr="00D25E50">
        <w:t>intergeneric</w:t>
      </w:r>
      <w:proofErr w:type="spellEnd"/>
      <w:r w:rsidRPr="00D25E50">
        <w:t xml:space="preserve"> hybrid between </w:t>
      </w:r>
      <w:r w:rsidRPr="00D25E50">
        <w:rPr>
          <w:i/>
        </w:rPr>
        <w:t>Sorghum bicolor</w:t>
      </w:r>
      <w:r w:rsidRPr="00D25E50">
        <w:t xml:space="preserve"> and </w:t>
      </w:r>
      <w:proofErr w:type="spellStart"/>
      <w:r w:rsidRPr="00D25E50">
        <w:rPr>
          <w:i/>
        </w:rPr>
        <w:t>Oryza</w:t>
      </w:r>
      <w:proofErr w:type="spellEnd"/>
      <w:r w:rsidRPr="00D25E50">
        <w:rPr>
          <w:i/>
        </w:rPr>
        <w:t xml:space="preserve"> sativa</w:t>
      </w:r>
      <w:r w:rsidRPr="00D25E50">
        <w:t xml:space="preserve">. The presentation </w:t>
      </w:r>
      <w:r>
        <w:t>was</w:t>
      </w:r>
      <w:r w:rsidRPr="00D25E50">
        <w:t xml:space="preserve"> included as an annex to document TWA/42/28 “Reports on Developments in Plant Variety Protection from Members and Observers”</w:t>
      </w:r>
      <w:r>
        <w:t xml:space="preserve"> (see </w:t>
      </w:r>
      <w:r w:rsidRPr="000D2BFB">
        <w:rPr>
          <w:rFonts w:eastAsia="PMingLiU" w:cs="Arial"/>
          <w:szCs w:val="24"/>
        </w:rPr>
        <w:t>document</w:t>
      </w:r>
      <w:r>
        <w:rPr>
          <w:rFonts w:eastAsia="PMingLiU" w:cs="Arial"/>
          <w:szCs w:val="24"/>
        </w:rPr>
        <w:t> TWA/42/31 “Report”, paragraph 73).</w:t>
      </w:r>
    </w:p>
    <w:p w:rsidR="005D1338" w:rsidRDefault="005D1338" w:rsidP="005D1338">
      <w:pPr>
        <w:rPr>
          <w:color w:val="000000"/>
        </w:rPr>
      </w:pPr>
    </w:p>
    <w:p w:rsidR="005D1338" w:rsidRDefault="005D1338" w:rsidP="005D1338">
      <w:pPr>
        <w:pStyle w:val="DecisionParagraphs"/>
      </w:pPr>
      <w:r w:rsidRPr="00CC587F">
        <w:fldChar w:fldCharType="begin"/>
      </w:r>
      <w:r w:rsidRPr="00CC587F">
        <w:instrText xml:space="preserve"> AUTONUM  </w:instrText>
      </w:r>
      <w:r w:rsidRPr="00CC587F">
        <w:fldChar w:fldCharType="end"/>
      </w:r>
      <w:r w:rsidRPr="00CC587F">
        <w:tab/>
      </w:r>
      <w:r>
        <w:t>The TC is invited to</w:t>
      </w:r>
      <w:r w:rsidRPr="001437AA">
        <w:t xml:space="preserve"> </w:t>
      </w:r>
      <w:r>
        <w:t xml:space="preserve">note the </w:t>
      </w:r>
      <w:r w:rsidR="002B777C">
        <w:t xml:space="preserve">information on </w:t>
      </w:r>
      <w:r>
        <w:t>experiences with new types and species presented to the TWO and the TWA at their sessions in 2013, as set out i</w:t>
      </w:r>
      <w:r w:rsidRPr="00A47B14">
        <w:t>n paragraphs 18 and 1</w:t>
      </w:r>
      <w:r w:rsidR="00A47B14" w:rsidRPr="00A47B14">
        <w:t>9</w:t>
      </w:r>
      <w:r w:rsidRPr="00A47B14">
        <w:t>.</w:t>
      </w:r>
    </w:p>
    <w:p w:rsidR="005D1338" w:rsidRPr="00700478" w:rsidRDefault="005D1338" w:rsidP="005D1338">
      <w:pPr>
        <w:rPr>
          <w:color w:val="000000"/>
        </w:rPr>
      </w:pPr>
    </w:p>
    <w:p w:rsidR="00C05293" w:rsidRDefault="00C05293" w:rsidP="00050E16">
      <w:pPr>
        <w:rPr>
          <w:caps/>
        </w:rPr>
      </w:pPr>
    </w:p>
    <w:p w:rsidR="00050E16" w:rsidRPr="00C651CE" w:rsidRDefault="00050E16" w:rsidP="00050E16"/>
    <w:p w:rsidR="00050E16" w:rsidRPr="00C5280D" w:rsidRDefault="00050E16" w:rsidP="00050E16">
      <w:pPr>
        <w:jc w:val="right"/>
      </w:pPr>
      <w:bookmarkStart w:id="16" w:name="_GoBack"/>
      <w:bookmarkEnd w:id="16"/>
      <w:r w:rsidRPr="00C5280D">
        <w:t xml:space="preserve"> [End of document]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BB4" w:rsidRDefault="005C4BB4" w:rsidP="006655D3">
      <w:r>
        <w:separator/>
      </w:r>
    </w:p>
    <w:p w:rsidR="005C4BB4" w:rsidRDefault="005C4BB4" w:rsidP="006655D3"/>
    <w:p w:rsidR="005C4BB4" w:rsidRDefault="005C4BB4" w:rsidP="006655D3"/>
  </w:endnote>
  <w:endnote w:type="continuationSeparator" w:id="0">
    <w:p w:rsidR="005C4BB4" w:rsidRDefault="005C4BB4" w:rsidP="006655D3">
      <w:r>
        <w:separator/>
      </w:r>
    </w:p>
    <w:p w:rsidR="005C4BB4" w:rsidRPr="00BE066A" w:rsidRDefault="005C4BB4">
      <w:pPr>
        <w:pStyle w:val="Footer"/>
        <w:spacing w:after="60"/>
        <w:rPr>
          <w:sz w:val="18"/>
          <w:lang w:val="fr-FR"/>
        </w:rPr>
      </w:pPr>
      <w:r w:rsidRPr="00BE066A">
        <w:rPr>
          <w:sz w:val="18"/>
          <w:lang w:val="fr-FR"/>
        </w:rPr>
        <w:t>[Suite de la note de la page précédente]</w:t>
      </w:r>
    </w:p>
    <w:p w:rsidR="005C4BB4" w:rsidRPr="00BE066A" w:rsidRDefault="005C4BB4" w:rsidP="006655D3">
      <w:pPr>
        <w:rPr>
          <w:lang w:val="fr-FR"/>
        </w:rPr>
      </w:pPr>
    </w:p>
    <w:p w:rsidR="005C4BB4" w:rsidRPr="00BE066A" w:rsidRDefault="005C4BB4" w:rsidP="006655D3">
      <w:pPr>
        <w:rPr>
          <w:lang w:val="fr-FR"/>
        </w:rPr>
      </w:pPr>
    </w:p>
  </w:endnote>
  <w:endnote w:type="continuationNotice" w:id="1">
    <w:p w:rsidR="005C4BB4" w:rsidRPr="00BE066A" w:rsidRDefault="005C4BB4" w:rsidP="006655D3">
      <w:pPr>
        <w:rPr>
          <w:lang w:val="fr-FR"/>
        </w:rPr>
      </w:pPr>
      <w:r w:rsidRPr="00BE066A">
        <w:rPr>
          <w:lang w:val="fr-FR"/>
        </w:rPr>
        <w:t>[Suite de la note page suivante]</w:t>
      </w:r>
    </w:p>
    <w:p w:rsidR="005C4BB4" w:rsidRPr="00BE066A" w:rsidRDefault="005C4BB4" w:rsidP="006655D3">
      <w:pPr>
        <w:rPr>
          <w:lang w:val="fr-FR"/>
        </w:rPr>
      </w:pPr>
    </w:p>
    <w:p w:rsidR="005C4BB4" w:rsidRPr="00BE066A" w:rsidRDefault="005C4BB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BB4" w:rsidRDefault="005C4BB4" w:rsidP="006655D3">
      <w:r>
        <w:separator/>
      </w:r>
    </w:p>
  </w:footnote>
  <w:footnote w:type="continuationSeparator" w:id="0">
    <w:p w:rsidR="005C4BB4" w:rsidRDefault="005C4BB4" w:rsidP="006655D3">
      <w:r>
        <w:separator/>
      </w:r>
    </w:p>
  </w:footnote>
  <w:footnote w:type="continuationNotice" w:id="1">
    <w:p w:rsidR="005C4BB4" w:rsidRPr="00AB530F" w:rsidRDefault="005C4BB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50</w:t>
    </w:r>
    <w:r>
      <w:rPr>
        <w:rStyle w:val="PageNumber"/>
        <w:lang w:val="en-US"/>
      </w:rPr>
      <w:t>/</w:t>
    </w:r>
    <w:r w:rsidR="007A5308">
      <w:rPr>
        <w:rStyle w:val="PageNumber"/>
        <w:lang w:val="en-US"/>
      </w:rPr>
      <w:t>3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204E3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75D44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4E6588"/>
    <w:multiLevelType w:val="hybridMultilevel"/>
    <w:tmpl w:val="200610E2"/>
    <w:lvl w:ilvl="0" w:tplc="0F4AC6FA">
      <w:start w:val="1"/>
      <w:numFmt w:val="lowerLetter"/>
      <w:lvlText w:val="(%1)"/>
      <w:lvlJc w:val="left"/>
      <w:pPr>
        <w:ind w:left="6711" w:hanging="61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176" w:hanging="360"/>
      </w:pPr>
    </w:lvl>
    <w:lvl w:ilvl="2" w:tplc="0409001B" w:tentative="1">
      <w:start w:val="1"/>
      <w:numFmt w:val="lowerRoman"/>
      <w:lvlText w:val="%3."/>
      <w:lvlJc w:val="right"/>
      <w:pPr>
        <w:ind w:left="7896" w:hanging="180"/>
      </w:pPr>
    </w:lvl>
    <w:lvl w:ilvl="3" w:tplc="0409000F" w:tentative="1">
      <w:start w:val="1"/>
      <w:numFmt w:val="decimal"/>
      <w:lvlText w:val="%4."/>
      <w:lvlJc w:val="left"/>
      <w:pPr>
        <w:ind w:left="8616" w:hanging="360"/>
      </w:pPr>
    </w:lvl>
    <w:lvl w:ilvl="4" w:tplc="04090019" w:tentative="1">
      <w:start w:val="1"/>
      <w:numFmt w:val="lowerLetter"/>
      <w:lvlText w:val="%5."/>
      <w:lvlJc w:val="left"/>
      <w:pPr>
        <w:ind w:left="9336" w:hanging="360"/>
      </w:pPr>
    </w:lvl>
    <w:lvl w:ilvl="5" w:tplc="0409001B" w:tentative="1">
      <w:start w:val="1"/>
      <w:numFmt w:val="lowerRoman"/>
      <w:lvlText w:val="%6."/>
      <w:lvlJc w:val="right"/>
      <w:pPr>
        <w:ind w:left="10056" w:hanging="180"/>
      </w:pPr>
    </w:lvl>
    <w:lvl w:ilvl="6" w:tplc="0409000F" w:tentative="1">
      <w:start w:val="1"/>
      <w:numFmt w:val="decimal"/>
      <w:lvlText w:val="%7."/>
      <w:lvlJc w:val="left"/>
      <w:pPr>
        <w:ind w:left="10776" w:hanging="360"/>
      </w:pPr>
    </w:lvl>
    <w:lvl w:ilvl="7" w:tplc="04090019" w:tentative="1">
      <w:start w:val="1"/>
      <w:numFmt w:val="lowerLetter"/>
      <w:lvlText w:val="%8."/>
      <w:lvlJc w:val="left"/>
      <w:pPr>
        <w:ind w:left="11496" w:hanging="360"/>
      </w:pPr>
    </w:lvl>
    <w:lvl w:ilvl="8" w:tplc="04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7F595D9F"/>
    <w:multiLevelType w:val="hybridMultilevel"/>
    <w:tmpl w:val="F9BC4AAA"/>
    <w:lvl w:ilvl="0" w:tplc="8826A950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B4"/>
    <w:rsid w:val="000100D8"/>
    <w:rsid w:val="00010CF3"/>
    <w:rsid w:val="00011E27"/>
    <w:rsid w:val="000148BC"/>
    <w:rsid w:val="00024AB8"/>
    <w:rsid w:val="00027EA1"/>
    <w:rsid w:val="00030854"/>
    <w:rsid w:val="00036028"/>
    <w:rsid w:val="00044642"/>
    <w:rsid w:val="000446B9"/>
    <w:rsid w:val="00046773"/>
    <w:rsid w:val="00047E21"/>
    <w:rsid w:val="00050E16"/>
    <w:rsid w:val="0008357D"/>
    <w:rsid w:val="00085505"/>
    <w:rsid w:val="000C7021"/>
    <w:rsid w:val="000D6BBC"/>
    <w:rsid w:val="000D7780"/>
    <w:rsid w:val="000F2F11"/>
    <w:rsid w:val="00105929"/>
    <w:rsid w:val="00110E10"/>
    <w:rsid w:val="001131D5"/>
    <w:rsid w:val="00122FA5"/>
    <w:rsid w:val="00141DB8"/>
    <w:rsid w:val="001437AA"/>
    <w:rsid w:val="00165C5B"/>
    <w:rsid w:val="0017474A"/>
    <w:rsid w:val="001758C6"/>
    <w:rsid w:val="00182B99"/>
    <w:rsid w:val="001F3725"/>
    <w:rsid w:val="0021332C"/>
    <w:rsid w:val="00213982"/>
    <w:rsid w:val="0024416D"/>
    <w:rsid w:val="00253574"/>
    <w:rsid w:val="00271911"/>
    <w:rsid w:val="002800A0"/>
    <w:rsid w:val="002801B3"/>
    <w:rsid w:val="00281060"/>
    <w:rsid w:val="002940E8"/>
    <w:rsid w:val="002A6E50"/>
    <w:rsid w:val="002B777C"/>
    <w:rsid w:val="002C256A"/>
    <w:rsid w:val="002E1469"/>
    <w:rsid w:val="00305A7F"/>
    <w:rsid w:val="003152FE"/>
    <w:rsid w:val="003224CD"/>
    <w:rsid w:val="00327436"/>
    <w:rsid w:val="00344BD6"/>
    <w:rsid w:val="0035528D"/>
    <w:rsid w:val="00361821"/>
    <w:rsid w:val="003A1E0F"/>
    <w:rsid w:val="003B5E7A"/>
    <w:rsid w:val="003C38D5"/>
    <w:rsid w:val="003D227C"/>
    <w:rsid w:val="003D2B4D"/>
    <w:rsid w:val="00407963"/>
    <w:rsid w:val="00444A88"/>
    <w:rsid w:val="00474DA4"/>
    <w:rsid w:val="00476B4D"/>
    <w:rsid w:val="004805FA"/>
    <w:rsid w:val="004C598D"/>
    <w:rsid w:val="004D047D"/>
    <w:rsid w:val="004F305A"/>
    <w:rsid w:val="00512164"/>
    <w:rsid w:val="00520297"/>
    <w:rsid w:val="005205D4"/>
    <w:rsid w:val="005338F9"/>
    <w:rsid w:val="00541CA2"/>
    <w:rsid w:val="0054281C"/>
    <w:rsid w:val="0055268D"/>
    <w:rsid w:val="0057139C"/>
    <w:rsid w:val="00576BE4"/>
    <w:rsid w:val="005A400A"/>
    <w:rsid w:val="005A4E4E"/>
    <w:rsid w:val="005C4BB4"/>
    <w:rsid w:val="005D1338"/>
    <w:rsid w:val="00612379"/>
    <w:rsid w:val="0061555F"/>
    <w:rsid w:val="00620C39"/>
    <w:rsid w:val="00623211"/>
    <w:rsid w:val="006361CD"/>
    <w:rsid w:val="00641200"/>
    <w:rsid w:val="00656F7A"/>
    <w:rsid w:val="006655D3"/>
    <w:rsid w:val="00667404"/>
    <w:rsid w:val="00687EB4"/>
    <w:rsid w:val="006A2FEB"/>
    <w:rsid w:val="006B17D2"/>
    <w:rsid w:val="006C224E"/>
    <w:rsid w:val="006D179E"/>
    <w:rsid w:val="006D780A"/>
    <w:rsid w:val="00715991"/>
    <w:rsid w:val="00732DEC"/>
    <w:rsid w:val="00735BD5"/>
    <w:rsid w:val="00740906"/>
    <w:rsid w:val="00746A32"/>
    <w:rsid w:val="007556F6"/>
    <w:rsid w:val="00760EEF"/>
    <w:rsid w:val="00777EE5"/>
    <w:rsid w:val="00784836"/>
    <w:rsid w:val="0079023E"/>
    <w:rsid w:val="007A221A"/>
    <w:rsid w:val="007A2854"/>
    <w:rsid w:val="007A4CE3"/>
    <w:rsid w:val="007A5308"/>
    <w:rsid w:val="007C4FE5"/>
    <w:rsid w:val="007D0B9D"/>
    <w:rsid w:val="007D19B0"/>
    <w:rsid w:val="007F498F"/>
    <w:rsid w:val="007F4BE5"/>
    <w:rsid w:val="00803F05"/>
    <w:rsid w:val="0080679D"/>
    <w:rsid w:val="008108B0"/>
    <w:rsid w:val="00811B20"/>
    <w:rsid w:val="0082296E"/>
    <w:rsid w:val="00824099"/>
    <w:rsid w:val="00837E2A"/>
    <w:rsid w:val="00867AC1"/>
    <w:rsid w:val="00893CA3"/>
    <w:rsid w:val="00897EDD"/>
    <w:rsid w:val="008A743F"/>
    <w:rsid w:val="008B15CF"/>
    <w:rsid w:val="008C0970"/>
    <w:rsid w:val="008D2CF7"/>
    <w:rsid w:val="008D6020"/>
    <w:rsid w:val="00900C26"/>
    <w:rsid w:val="0090197F"/>
    <w:rsid w:val="00906DDC"/>
    <w:rsid w:val="009234AE"/>
    <w:rsid w:val="00934E09"/>
    <w:rsid w:val="00936253"/>
    <w:rsid w:val="00936DDD"/>
    <w:rsid w:val="00952DD4"/>
    <w:rsid w:val="00970FED"/>
    <w:rsid w:val="00992D82"/>
    <w:rsid w:val="00997029"/>
    <w:rsid w:val="009D690D"/>
    <w:rsid w:val="009E65B6"/>
    <w:rsid w:val="00A24C10"/>
    <w:rsid w:val="00A27005"/>
    <w:rsid w:val="00A42AC3"/>
    <w:rsid w:val="00A42C03"/>
    <w:rsid w:val="00A430CF"/>
    <w:rsid w:val="00A47B14"/>
    <w:rsid w:val="00A54309"/>
    <w:rsid w:val="00A756A7"/>
    <w:rsid w:val="00A87A3D"/>
    <w:rsid w:val="00AB2B93"/>
    <w:rsid w:val="00AB530F"/>
    <w:rsid w:val="00AB7E5B"/>
    <w:rsid w:val="00AE0EF1"/>
    <w:rsid w:val="00AE2937"/>
    <w:rsid w:val="00AF448F"/>
    <w:rsid w:val="00B03254"/>
    <w:rsid w:val="00B07301"/>
    <w:rsid w:val="00B204E3"/>
    <w:rsid w:val="00B224DE"/>
    <w:rsid w:val="00B46575"/>
    <w:rsid w:val="00B84BBD"/>
    <w:rsid w:val="00BA43FB"/>
    <w:rsid w:val="00BB61B0"/>
    <w:rsid w:val="00BC127D"/>
    <w:rsid w:val="00BC1FE6"/>
    <w:rsid w:val="00BD4B39"/>
    <w:rsid w:val="00BE066A"/>
    <w:rsid w:val="00BE2B76"/>
    <w:rsid w:val="00C05293"/>
    <w:rsid w:val="00C061B6"/>
    <w:rsid w:val="00C077ED"/>
    <w:rsid w:val="00C11CF0"/>
    <w:rsid w:val="00C14281"/>
    <w:rsid w:val="00C2446C"/>
    <w:rsid w:val="00C36AE5"/>
    <w:rsid w:val="00C41F17"/>
    <w:rsid w:val="00C5280D"/>
    <w:rsid w:val="00C5791C"/>
    <w:rsid w:val="00C643A6"/>
    <w:rsid w:val="00C66290"/>
    <w:rsid w:val="00C72B7A"/>
    <w:rsid w:val="00C973F2"/>
    <w:rsid w:val="00CA304C"/>
    <w:rsid w:val="00CA774A"/>
    <w:rsid w:val="00CC11B0"/>
    <w:rsid w:val="00CF0EF4"/>
    <w:rsid w:val="00CF3842"/>
    <w:rsid w:val="00CF7187"/>
    <w:rsid w:val="00CF7E36"/>
    <w:rsid w:val="00D3708D"/>
    <w:rsid w:val="00D40426"/>
    <w:rsid w:val="00D57C96"/>
    <w:rsid w:val="00D60F2F"/>
    <w:rsid w:val="00D91203"/>
    <w:rsid w:val="00D95174"/>
    <w:rsid w:val="00DA6F36"/>
    <w:rsid w:val="00DB596E"/>
    <w:rsid w:val="00DB7773"/>
    <w:rsid w:val="00DC00EA"/>
    <w:rsid w:val="00E31916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EF6164"/>
    <w:rsid w:val="00F1237A"/>
    <w:rsid w:val="00F22CBD"/>
    <w:rsid w:val="00F45372"/>
    <w:rsid w:val="00F560F7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36DD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08357D"/>
    <w:pPr>
      <w:tabs>
        <w:tab w:val="right" w:leader="dot" w:pos="9639"/>
      </w:tabs>
      <w:spacing w:before="120" w:after="120"/>
      <w:ind w:left="142" w:hanging="142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36DDD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7A4CE3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837E2A"/>
    <w:pPr>
      <w:ind w:left="720"/>
      <w:contextualSpacing/>
    </w:pPr>
  </w:style>
  <w:style w:type="paragraph" w:customStyle="1" w:styleId="Style1">
    <w:name w:val="Style1"/>
    <w:basedOn w:val="Normal"/>
    <w:rsid w:val="00BD4B39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936D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36DD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08357D"/>
    <w:pPr>
      <w:tabs>
        <w:tab w:val="right" w:leader="dot" w:pos="9639"/>
      </w:tabs>
      <w:spacing w:before="120" w:after="120"/>
      <w:ind w:left="142" w:hanging="142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36DDD"/>
    <w:rPr>
      <w:rFonts w:ascii="Arial" w:hAnsi="Arial"/>
      <w:u w:val="single"/>
    </w:rPr>
  </w:style>
  <w:style w:type="character" w:customStyle="1" w:styleId="DecisionParagraphsChar">
    <w:name w:val="DecisionParagraphs Char"/>
    <w:basedOn w:val="DefaultParagraphFont"/>
    <w:link w:val="DecisionParagraphs"/>
    <w:rsid w:val="007A4CE3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837E2A"/>
    <w:pPr>
      <w:ind w:left="720"/>
      <w:contextualSpacing/>
    </w:pPr>
  </w:style>
  <w:style w:type="paragraph" w:customStyle="1" w:styleId="Style1">
    <w:name w:val="Style1"/>
    <w:basedOn w:val="Normal"/>
    <w:rsid w:val="00BD4B39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936D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60B0-3AE4-4A19-9BDF-74C871DC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tc_50_EN.dotx</Template>
  <TotalTime>639</TotalTime>
  <Pages>4</Pages>
  <Words>1458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9810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FAVA Alexandra</cp:lastModifiedBy>
  <cp:revision>37</cp:revision>
  <cp:lastPrinted>2014-02-14T12:40:00Z</cp:lastPrinted>
  <dcterms:created xsi:type="dcterms:W3CDTF">2013-11-18T14:49:00Z</dcterms:created>
  <dcterms:modified xsi:type="dcterms:W3CDTF">2014-02-14T12:42:00Z</dcterms:modified>
</cp:coreProperties>
</file>