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974"/>
        <w:gridCol w:w="1541"/>
        <w:gridCol w:w="3972"/>
      </w:tblGrid>
      <w:tr w:rsidR="000D7780" w:rsidRPr="00C5280D" w:rsidTr="0080679D">
        <w:trPr>
          <w:trHeight w:val="1760"/>
        </w:trPr>
        <w:tc>
          <w:tcPr>
            <w:tcW w:w="3993" w:type="dxa"/>
          </w:tcPr>
          <w:p w:rsidR="000D7780" w:rsidRPr="00C5280D" w:rsidRDefault="000D7780" w:rsidP="006655D3">
            <w:bookmarkStart w:id="0" w:name="_GoBack"/>
            <w:bookmarkEnd w:id="0"/>
          </w:p>
        </w:tc>
        <w:tc>
          <w:tcPr>
            <w:tcW w:w="1549" w:type="dxa"/>
            <w:vAlign w:val="center"/>
          </w:tcPr>
          <w:p w:rsidR="000D7780" w:rsidRPr="00C5280D" w:rsidRDefault="00271911"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50</w:t>
            </w:r>
            <w:r>
              <w:t>/</w:t>
            </w:r>
            <w:bookmarkStart w:id="1" w:name="Code"/>
            <w:bookmarkEnd w:id="1"/>
            <w:r w:rsidR="00B22AFC">
              <w:t>23</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2" w:name="Original"/>
            <w:bookmarkEnd w:id="2"/>
            <w:r w:rsidR="0024416D" w:rsidRPr="00B46575">
              <w:rPr>
                <w:b w:val="0"/>
                <w:spacing w:val="0"/>
              </w:rPr>
              <w:t>English</w:t>
            </w:r>
          </w:p>
          <w:p w:rsidR="000D7780" w:rsidRPr="00C5280D" w:rsidRDefault="000D7780" w:rsidP="009979BA">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3" w:name="Date"/>
            <w:bookmarkEnd w:id="3"/>
            <w:r w:rsidR="002F7BD7" w:rsidRPr="002F7BD7">
              <w:rPr>
                <w:b w:val="0"/>
                <w:spacing w:val="0"/>
              </w:rPr>
              <w:t xml:space="preserve">January </w:t>
            </w:r>
            <w:r w:rsidR="009979BA">
              <w:rPr>
                <w:b w:val="0"/>
                <w:spacing w:val="0"/>
              </w:rPr>
              <w:t>20</w:t>
            </w:r>
            <w:r w:rsidR="002F7BD7" w:rsidRPr="002F7BD7">
              <w:rPr>
                <w:b w:val="0"/>
                <w:spacing w:val="0"/>
              </w:rPr>
              <w:t>,</w:t>
            </w:r>
            <w:r w:rsidR="0024416D" w:rsidRPr="002F7BD7">
              <w:rPr>
                <w:b w:val="0"/>
                <w:spacing w:val="0"/>
              </w:rPr>
              <w:t xml:space="preserve"> </w:t>
            </w:r>
            <w:r w:rsidR="001131D5" w:rsidRPr="002F7BD7">
              <w:rPr>
                <w:b w:val="0"/>
                <w:spacing w:val="0"/>
              </w:rPr>
              <w:t>201</w:t>
            </w:r>
            <w:r w:rsidR="00050E16" w:rsidRPr="002F7BD7">
              <w:rPr>
                <w:b w:val="0"/>
                <w:spacing w:val="0"/>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iftieth</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050E16">
        <w:t>April 7</w:t>
      </w:r>
      <w:r w:rsidRPr="00C5280D">
        <w:t xml:space="preserve"> to </w:t>
      </w:r>
      <w:r w:rsidR="00050E16">
        <w:t>9</w:t>
      </w:r>
      <w:r w:rsidRPr="00C5280D">
        <w:t>,</w:t>
      </w:r>
      <w:r w:rsidR="00867AC1" w:rsidRPr="00C5280D">
        <w:t xml:space="preserve"> 201</w:t>
      </w:r>
      <w:r w:rsidR="00050E16">
        <w:t>4</w:t>
      </w:r>
    </w:p>
    <w:p w:rsidR="000D7780" w:rsidRPr="00C5280D" w:rsidRDefault="00B22AFC" w:rsidP="006655D3">
      <w:pPr>
        <w:pStyle w:val="Titleofdoc0"/>
      </w:pPr>
      <w:bookmarkStart w:id="4" w:name="TitleOfDoc"/>
      <w:bookmarkEnd w:id="4"/>
      <w:r w:rsidRPr="004E76B9">
        <w:rPr>
          <w:rFonts w:cs="Arial"/>
        </w:rPr>
        <w:t>Revision of document TGP/8: Part</w:t>
      </w:r>
      <w:r w:rsidRPr="00192206">
        <w:rPr>
          <w:rFonts w:cs="Arial"/>
        </w:rPr>
        <w:t xml:space="preserve"> II: Selected Techniqu</w:t>
      </w:r>
      <w:r>
        <w:rPr>
          <w:rFonts w:cs="Arial"/>
        </w:rPr>
        <w:t>es Used in DUS</w:t>
      </w:r>
      <w:r w:rsidR="00D335A4">
        <w:rPr>
          <w:rFonts w:cs="Arial"/>
        </w:rPr>
        <w:t> </w:t>
      </w:r>
      <w:r>
        <w:rPr>
          <w:rFonts w:cs="Arial"/>
        </w:rPr>
        <w:t xml:space="preserve">Examination, </w:t>
      </w:r>
      <w:r w:rsidRPr="00192206">
        <w:rPr>
          <w:rFonts w:cs="Arial"/>
        </w:rPr>
        <w:t xml:space="preserve">Section 10: </w:t>
      </w:r>
      <w:r w:rsidR="00D335A4">
        <w:rPr>
          <w:rFonts w:cs="Arial"/>
        </w:rPr>
        <w:t xml:space="preserve">UNIFORMITY ASSESSMENT ON THE BASIS OF THE </w:t>
      </w:r>
      <w:r w:rsidRPr="00192206">
        <w:rPr>
          <w:rFonts w:cs="Arial"/>
        </w:rPr>
        <w:t>Relative Variance Method</w:t>
      </w:r>
    </w:p>
    <w:p w:rsidR="00050E16" w:rsidRPr="00C5280D" w:rsidRDefault="00AE0EF1" w:rsidP="00050E16">
      <w:pPr>
        <w:pStyle w:val="preparedby1"/>
      </w:pPr>
      <w:bookmarkStart w:id="5" w:name="Prepared"/>
      <w:bookmarkEnd w:id="5"/>
      <w:r w:rsidRPr="00D335A4">
        <w:t xml:space="preserve">Document </w:t>
      </w:r>
      <w:r w:rsidR="0061555F" w:rsidRPr="00D335A4">
        <w:t>prepared by the Office of the Union</w:t>
      </w:r>
      <w:r w:rsidR="00050E16">
        <w:br/>
      </w:r>
      <w:r w:rsidR="00050E16">
        <w:br/>
      </w:r>
      <w:r w:rsidR="00050E16">
        <w:rPr>
          <w:color w:val="A6A6A6" w:themeColor="background1" w:themeShade="A6"/>
        </w:rPr>
        <w:t>Disclaimer:  this document does not represent UPOV policies or guidance</w:t>
      </w:r>
    </w:p>
    <w:p w:rsidR="00D335A4" w:rsidRPr="00100526" w:rsidRDefault="00D335A4" w:rsidP="00D335A4">
      <w:pPr>
        <w:rPr>
          <w:rFonts w:cs="Arial"/>
          <w:lang w:eastAsia="ja-JP"/>
        </w:rPr>
      </w:pPr>
      <w:r w:rsidRPr="00100526">
        <w:fldChar w:fldCharType="begin"/>
      </w:r>
      <w:r w:rsidRPr="00100526">
        <w:instrText xml:space="preserve"> AUTONUM  </w:instrText>
      </w:r>
      <w:r w:rsidRPr="00100526">
        <w:fldChar w:fldCharType="end"/>
      </w:r>
      <w:r w:rsidRPr="00100526">
        <w:tab/>
      </w:r>
      <w:r w:rsidRPr="00100526">
        <w:rPr>
          <w:lang w:eastAsia="ja-JP"/>
        </w:rPr>
        <w:t xml:space="preserve">The purpose of this document is to present a proposal </w:t>
      </w:r>
      <w:r w:rsidRPr="00100526">
        <w:rPr>
          <w:rFonts w:cs="Arial"/>
          <w:lang w:eastAsia="ja-JP"/>
        </w:rPr>
        <w:t>for</w:t>
      </w:r>
      <w:r w:rsidRPr="00100526">
        <w:t xml:space="preserve"> revision of document TGP/8</w:t>
      </w:r>
      <w:r>
        <w:t>/1</w:t>
      </w:r>
      <w:r w:rsidRPr="00100526">
        <w:t>, Section</w:t>
      </w:r>
      <w:r>
        <w:t> </w:t>
      </w:r>
      <w:r w:rsidRPr="00100526">
        <w:t>10: “</w:t>
      </w:r>
      <w:r>
        <w:t>Uniformity Assessment on the Basis of the</w:t>
      </w:r>
      <w:r w:rsidRPr="00100526">
        <w:t xml:space="preserve"> Relative Variance Method”. </w:t>
      </w:r>
    </w:p>
    <w:p w:rsidR="00D335A4" w:rsidRPr="00100526" w:rsidRDefault="00D335A4" w:rsidP="00D335A4"/>
    <w:p w:rsidR="00D335A4" w:rsidRPr="00100526" w:rsidRDefault="00D335A4" w:rsidP="00D335A4">
      <w:pPr>
        <w:rPr>
          <w:rFonts w:cs="Arial"/>
          <w:color w:val="000000"/>
        </w:rPr>
      </w:pPr>
      <w:r w:rsidRPr="00100526">
        <w:fldChar w:fldCharType="begin"/>
      </w:r>
      <w:r w:rsidRPr="00100526">
        <w:instrText xml:space="preserve"> AUTONUM  </w:instrText>
      </w:r>
      <w:r w:rsidRPr="00100526">
        <w:fldChar w:fldCharType="end"/>
      </w:r>
      <w:r w:rsidRPr="00100526">
        <w:tab/>
      </w:r>
      <w:r w:rsidRPr="00100526">
        <w:rPr>
          <w:rFonts w:cs="Arial"/>
          <w:color w:val="000000"/>
        </w:rPr>
        <w:t>The following abbreviations are used in this document:</w:t>
      </w:r>
    </w:p>
    <w:p w:rsidR="00D335A4" w:rsidRPr="00100526" w:rsidRDefault="00D335A4" w:rsidP="00D335A4">
      <w:pPr>
        <w:rPr>
          <w:rFonts w:cs="Arial"/>
          <w:color w:val="000000"/>
        </w:rPr>
      </w:pPr>
    </w:p>
    <w:p w:rsidR="00D335A4" w:rsidRPr="00100526" w:rsidRDefault="00D335A4" w:rsidP="00D335A4">
      <w:pPr>
        <w:rPr>
          <w:rFonts w:cs="Arial"/>
        </w:rPr>
      </w:pPr>
      <w:r w:rsidRPr="00100526">
        <w:rPr>
          <w:rFonts w:cs="Arial"/>
        </w:rPr>
        <w:tab/>
        <w:t>TC:</w:t>
      </w:r>
      <w:r w:rsidRPr="00100526">
        <w:rPr>
          <w:rFonts w:cs="Arial"/>
        </w:rPr>
        <w:tab/>
      </w:r>
      <w:r w:rsidRPr="00100526">
        <w:rPr>
          <w:rFonts w:cs="Arial"/>
        </w:rPr>
        <w:tab/>
        <w:t>Technical Committee</w:t>
      </w:r>
    </w:p>
    <w:p w:rsidR="00D335A4" w:rsidRPr="00100526" w:rsidRDefault="00D335A4" w:rsidP="00D335A4">
      <w:pPr>
        <w:rPr>
          <w:rFonts w:eastAsia="PMingLiU" w:cs="Arial"/>
          <w:szCs w:val="24"/>
        </w:rPr>
      </w:pPr>
      <w:r w:rsidRPr="00100526">
        <w:rPr>
          <w:rFonts w:eastAsia="PMingLiU" w:cs="Arial"/>
          <w:szCs w:val="24"/>
        </w:rPr>
        <w:tab/>
        <w:t>TC-EDC:</w:t>
      </w:r>
      <w:r w:rsidRPr="00100526">
        <w:rPr>
          <w:rFonts w:eastAsia="PMingLiU" w:cs="Arial"/>
          <w:szCs w:val="24"/>
        </w:rPr>
        <w:tab/>
        <w:t>Enlarged Editorial Committee</w:t>
      </w:r>
    </w:p>
    <w:p w:rsidR="00D335A4" w:rsidRPr="00100526" w:rsidRDefault="00D335A4" w:rsidP="00D335A4">
      <w:pPr>
        <w:rPr>
          <w:rFonts w:eastAsia="PMingLiU" w:cs="Arial"/>
          <w:szCs w:val="24"/>
        </w:rPr>
      </w:pPr>
      <w:r w:rsidRPr="00100526">
        <w:rPr>
          <w:rFonts w:eastAsia="PMingLiU" w:cs="Arial"/>
          <w:szCs w:val="24"/>
        </w:rPr>
        <w:tab/>
        <w:t>TWA:</w:t>
      </w:r>
      <w:r w:rsidRPr="00100526">
        <w:rPr>
          <w:rFonts w:eastAsia="PMingLiU" w:cs="Arial"/>
          <w:szCs w:val="24"/>
        </w:rPr>
        <w:tab/>
      </w:r>
      <w:r w:rsidRPr="00100526">
        <w:rPr>
          <w:rFonts w:eastAsia="PMingLiU" w:cs="Arial"/>
          <w:szCs w:val="24"/>
        </w:rPr>
        <w:tab/>
        <w:t>Technical Working Party for Agricultural Crops</w:t>
      </w:r>
    </w:p>
    <w:p w:rsidR="00D335A4" w:rsidRPr="00100526" w:rsidRDefault="00D335A4" w:rsidP="00D335A4">
      <w:pPr>
        <w:rPr>
          <w:rFonts w:eastAsia="PMingLiU" w:cs="Arial"/>
          <w:szCs w:val="24"/>
        </w:rPr>
      </w:pPr>
      <w:r w:rsidRPr="00100526">
        <w:rPr>
          <w:rFonts w:eastAsia="PMingLiU" w:cs="Arial"/>
          <w:szCs w:val="24"/>
        </w:rPr>
        <w:tab/>
        <w:t>TWC:</w:t>
      </w:r>
      <w:r w:rsidRPr="00100526">
        <w:rPr>
          <w:rFonts w:eastAsia="PMingLiU" w:cs="Arial"/>
          <w:szCs w:val="24"/>
        </w:rPr>
        <w:tab/>
      </w:r>
      <w:r w:rsidRPr="00100526">
        <w:rPr>
          <w:rFonts w:eastAsia="PMingLiU" w:cs="Arial"/>
          <w:szCs w:val="24"/>
        </w:rPr>
        <w:tab/>
        <w:t>Technical Working Party on Automation and Computer Programs</w:t>
      </w:r>
    </w:p>
    <w:p w:rsidR="00D335A4" w:rsidRPr="00100526" w:rsidRDefault="00D335A4" w:rsidP="00D335A4">
      <w:pPr>
        <w:rPr>
          <w:rFonts w:eastAsia="PMingLiU" w:cs="Arial"/>
          <w:szCs w:val="24"/>
        </w:rPr>
      </w:pPr>
      <w:r w:rsidRPr="00100526">
        <w:rPr>
          <w:rFonts w:eastAsia="PMingLiU" w:cs="Arial"/>
          <w:szCs w:val="24"/>
        </w:rPr>
        <w:tab/>
        <w:t xml:space="preserve">TWF: </w:t>
      </w:r>
      <w:r w:rsidRPr="00100526">
        <w:rPr>
          <w:rFonts w:eastAsia="PMingLiU" w:cs="Arial"/>
          <w:szCs w:val="24"/>
        </w:rPr>
        <w:tab/>
      </w:r>
      <w:r w:rsidRPr="00100526">
        <w:rPr>
          <w:rFonts w:eastAsia="PMingLiU" w:cs="Arial"/>
          <w:szCs w:val="24"/>
        </w:rPr>
        <w:tab/>
        <w:t>Technical Working Party for Fruit Crops</w:t>
      </w:r>
    </w:p>
    <w:p w:rsidR="00D335A4" w:rsidRPr="00100526" w:rsidRDefault="00D335A4" w:rsidP="00D335A4">
      <w:pPr>
        <w:rPr>
          <w:rFonts w:eastAsia="PMingLiU" w:cs="Arial"/>
          <w:szCs w:val="24"/>
        </w:rPr>
      </w:pPr>
      <w:r w:rsidRPr="00100526">
        <w:rPr>
          <w:rFonts w:eastAsia="PMingLiU" w:cs="Arial"/>
          <w:szCs w:val="24"/>
        </w:rPr>
        <w:tab/>
        <w:t>TWO:</w:t>
      </w:r>
      <w:r w:rsidRPr="00100526">
        <w:rPr>
          <w:rFonts w:eastAsia="PMingLiU" w:cs="Arial"/>
          <w:szCs w:val="24"/>
        </w:rPr>
        <w:tab/>
      </w:r>
      <w:r w:rsidRPr="00100526">
        <w:rPr>
          <w:rFonts w:eastAsia="PMingLiU" w:cs="Arial"/>
          <w:szCs w:val="24"/>
        </w:rPr>
        <w:tab/>
        <w:t>Technical Working Party for Ornamental Plants and Forest Trees</w:t>
      </w:r>
    </w:p>
    <w:p w:rsidR="00D335A4" w:rsidRPr="00100526" w:rsidRDefault="00D335A4" w:rsidP="00D335A4">
      <w:pPr>
        <w:rPr>
          <w:rFonts w:eastAsia="PMingLiU" w:cs="Arial"/>
          <w:szCs w:val="24"/>
        </w:rPr>
      </w:pPr>
      <w:r w:rsidRPr="00100526">
        <w:rPr>
          <w:rFonts w:eastAsia="PMingLiU" w:cs="Arial"/>
          <w:szCs w:val="24"/>
        </w:rPr>
        <w:tab/>
        <w:t>TWPs:</w:t>
      </w:r>
      <w:r w:rsidRPr="00100526">
        <w:rPr>
          <w:rFonts w:eastAsia="PMingLiU" w:cs="Arial"/>
          <w:szCs w:val="24"/>
        </w:rPr>
        <w:tab/>
        <w:t>Technical Working Parties</w:t>
      </w:r>
    </w:p>
    <w:p w:rsidR="00D335A4" w:rsidRPr="00100526" w:rsidRDefault="00D335A4" w:rsidP="00D335A4">
      <w:pPr>
        <w:rPr>
          <w:rFonts w:eastAsia="PMingLiU" w:cs="Arial"/>
          <w:szCs w:val="24"/>
        </w:rPr>
      </w:pPr>
      <w:r w:rsidRPr="00100526">
        <w:rPr>
          <w:rFonts w:eastAsia="PMingLiU" w:cs="Arial"/>
          <w:szCs w:val="24"/>
        </w:rPr>
        <w:tab/>
        <w:t>TWV:</w:t>
      </w:r>
      <w:r w:rsidRPr="00100526">
        <w:rPr>
          <w:rFonts w:eastAsia="PMingLiU" w:cs="Arial"/>
          <w:szCs w:val="24"/>
        </w:rPr>
        <w:tab/>
      </w:r>
      <w:r w:rsidRPr="00100526">
        <w:rPr>
          <w:rFonts w:eastAsia="PMingLiU" w:cs="Arial"/>
          <w:szCs w:val="24"/>
        </w:rPr>
        <w:tab/>
        <w:t>Technical Working Party for Vegetables</w:t>
      </w:r>
    </w:p>
    <w:p w:rsidR="00D335A4" w:rsidRPr="00100526" w:rsidRDefault="00D335A4" w:rsidP="00D335A4">
      <w:pPr>
        <w:keepNext/>
        <w:outlineLvl w:val="0"/>
        <w:rPr>
          <w:b/>
          <w:caps/>
        </w:rPr>
      </w:pPr>
    </w:p>
    <w:p w:rsidR="00D335A4" w:rsidRDefault="00D335A4" w:rsidP="00D335A4">
      <w:pPr>
        <w:jc w:val="left"/>
        <w:rPr>
          <w:rFonts w:cs="Arial"/>
          <w:color w:val="000000"/>
        </w:rPr>
      </w:pPr>
      <w:r>
        <w:rPr>
          <w:rFonts w:cs="Arial"/>
        </w:rPr>
        <w:fldChar w:fldCharType="begin"/>
      </w:r>
      <w:r>
        <w:rPr>
          <w:rFonts w:cs="Arial"/>
        </w:rPr>
        <w:instrText xml:space="preserve"> AUTONUM  </w:instrText>
      </w:r>
      <w:r>
        <w:rPr>
          <w:rFonts w:cs="Arial"/>
        </w:rPr>
        <w:fldChar w:fldCharType="end"/>
      </w:r>
      <w:r>
        <w:rPr>
          <w:rFonts w:cs="Arial"/>
        </w:rPr>
        <w:tab/>
      </w:r>
      <w:r>
        <w:rPr>
          <w:rFonts w:cs="Arial"/>
          <w:lang w:eastAsia="ja-JP"/>
        </w:rPr>
        <w:t>The structure of this document is as follows:</w:t>
      </w:r>
    </w:p>
    <w:sdt>
      <w:sdtPr>
        <w:rPr>
          <w:caps w:val="0"/>
        </w:rPr>
        <w:id w:val="-368843002"/>
        <w:docPartObj>
          <w:docPartGallery w:val="Table of Contents"/>
          <w:docPartUnique/>
        </w:docPartObj>
      </w:sdtPr>
      <w:sdtEndPr>
        <w:rPr>
          <w:b/>
          <w:bCs/>
          <w:noProof/>
        </w:rPr>
      </w:sdtEndPr>
      <w:sdtContent>
        <w:p w:rsidR="00D335A4" w:rsidRDefault="00D335A4" w:rsidP="00D335A4">
          <w:pPr>
            <w:pStyle w:val="Heading1"/>
          </w:pPr>
        </w:p>
        <w:p w:rsidR="002F7BD7" w:rsidRDefault="002F7BD7" w:rsidP="00DC4CFC">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377653909" w:history="1">
            <w:r w:rsidRPr="00C92BE9">
              <w:rPr>
                <w:rStyle w:val="Hyperlink"/>
                <w:noProof/>
              </w:rPr>
              <w:t>background</w:t>
            </w:r>
            <w:r>
              <w:rPr>
                <w:noProof/>
                <w:webHidden/>
              </w:rPr>
              <w:tab/>
            </w:r>
            <w:r>
              <w:rPr>
                <w:noProof/>
                <w:webHidden/>
              </w:rPr>
              <w:fldChar w:fldCharType="begin"/>
            </w:r>
            <w:r>
              <w:rPr>
                <w:noProof/>
                <w:webHidden/>
              </w:rPr>
              <w:instrText xml:space="preserve"> PAGEREF _Toc377653909 \h </w:instrText>
            </w:r>
            <w:r>
              <w:rPr>
                <w:noProof/>
                <w:webHidden/>
              </w:rPr>
            </w:r>
            <w:r>
              <w:rPr>
                <w:noProof/>
                <w:webHidden/>
              </w:rPr>
              <w:fldChar w:fldCharType="separate"/>
            </w:r>
            <w:r w:rsidR="006531D9">
              <w:rPr>
                <w:noProof/>
                <w:webHidden/>
              </w:rPr>
              <w:t>2</w:t>
            </w:r>
            <w:r>
              <w:rPr>
                <w:noProof/>
                <w:webHidden/>
              </w:rPr>
              <w:fldChar w:fldCharType="end"/>
            </w:r>
          </w:hyperlink>
        </w:p>
        <w:p w:rsidR="002F7BD7" w:rsidRDefault="006531D9" w:rsidP="00DC4CFC">
          <w:pPr>
            <w:pStyle w:val="TOC1"/>
            <w:rPr>
              <w:rFonts w:asciiTheme="minorHAnsi" w:eastAsiaTheme="minorEastAsia" w:hAnsiTheme="minorHAnsi" w:cstheme="minorBidi"/>
              <w:noProof/>
              <w:sz w:val="22"/>
              <w:szCs w:val="22"/>
            </w:rPr>
          </w:pPr>
          <w:hyperlink w:anchor="_Toc377653910" w:history="1">
            <w:r w:rsidR="002F7BD7" w:rsidRPr="00C92BE9">
              <w:rPr>
                <w:rStyle w:val="Hyperlink"/>
                <w:noProof/>
              </w:rPr>
              <w:t>COMMENTS BY THE technical COMMITTEE IN 2013</w:t>
            </w:r>
            <w:r w:rsidR="002F7BD7">
              <w:rPr>
                <w:noProof/>
                <w:webHidden/>
              </w:rPr>
              <w:tab/>
            </w:r>
            <w:r w:rsidR="002F7BD7">
              <w:rPr>
                <w:noProof/>
                <w:webHidden/>
              </w:rPr>
              <w:fldChar w:fldCharType="begin"/>
            </w:r>
            <w:r w:rsidR="002F7BD7">
              <w:rPr>
                <w:noProof/>
                <w:webHidden/>
              </w:rPr>
              <w:instrText xml:space="preserve"> PAGEREF _Toc377653910 \h </w:instrText>
            </w:r>
            <w:r w:rsidR="002F7BD7">
              <w:rPr>
                <w:noProof/>
                <w:webHidden/>
              </w:rPr>
            </w:r>
            <w:r w:rsidR="002F7BD7">
              <w:rPr>
                <w:noProof/>
                <w:webHidden/>
              </w:rPr>
              <w:fldChar w:fldCharType="separate"/>
            </w:r>
            <w:r>
              <w:rPr>
                <w:noProof/>
                <w:webHidden/>
              </w:rPr>
              <w:t>2</w:t>
            </w:r>
            <w:r w:rsidR="002F7BD7">
              <w:rPr>
                <w:noProof/>
                <w:webHidden/>
              </w:rPr>
              <w:fldChar w:fldCharType="end"/>
            </w:r>
          </w:hyperlink>
        </w:p>
        <w:p w:rsidR="002F7BD7" w:rsidRDefault="006531D9" w:rsidP="00DC4CFC">
          <w:pPr>
            <w:pStyle w:val="TOC1"/>
            <w:rPr>
              <w:rFonts w:asciiTheme="minorHAnsi" w:eastAsiaTheme="minorEastAsia" w:hAnsiTheme="minorHAnsi" w:cstheme="minorBidi"/>
              <w:noProof/>
              <w:sz w:val="22"/>
              <w:szCs w:val="22"/>
            </w:rPr>
          </w:pPr>
          <w:hyperlink w:anchor="_Toc377653911" w:history="1">
            <w:r w:rsidR="002F7BD7" w:rsidRPr="00C92BE9">
              <w:rPr>
                <w:rStyle w:val="Hyperlink"/>
                <w:noProof/>
              </w:rPr>
              <w:t>COMMENTS BY THE TECHNICAL working PARTIES IN 2013</w:t>
            </w:r>
            <w:r w:rsidR="002F7BD7">
              <w:rPr>
                <w:noProof/>
                <w:webHidden/>
              </w:rPr>
              <w:tab/>
            </w:r>
            <w:r w:rsidR="002F7BD7">
              <w:rPr>
                <w:noProof/>
                <w:webHidden/>
              </w:rPr>
              <w:fldChar w:fldCharType="begin"/>
            </w:r>
            <w:r w:rsidR="002F7BD7">
              <w:rPr>
                <w:noProof/>
                <w:webHidden/>
              </w:rPr>
              <w:instrText xml:space="preserve"> PAGEREF _Toc377653911 \h </w:instrText>
            </w:r>
            <w:r w:rsidR="002F7BD7">
              <w:rPr>
                <w:noProof/>
                <w:webHidden/>
              </w:rPr>
            </w:r>
            <w:r w:rsidR="002F7BD7">
              <w:rPr>
                <w:noProof/>
                <w:webHidden/>
              </w:rPr>
              <w:fldChar w:fldCharType="separate"/>
            </w:r>
            <w:r>
              <w:rPr>
                <w:noProof/>
                <w:webHidden/>
              </w:rPr>
              <w:t>2</w:t>
            </w:r>
            <w:r w:rsidR="002F7BD7">
              <w:rPr>
                <w:noProof/>
                <w:webHidden/>
              </w:rPr>
              <w:fldChar w:fldCharType="end"/>
            </w:r>
          </w:hyperlink>
        </w:p>
        <w:p w:rsidR="002F7BD7" w:rsidRDefault="006531D9" w:rsidP="00DC4CFC">
          <w:pPr>
            <w:pStyle w:val="TOC1"/>
            <w:rPr>
              <w:rFonts w:asciiTheme="minorHAnsi" w:eastAsiaTheme="minorEastAsia" w:hAnsiTheme="minorHAnsi" w:cstheme="minorBidi"/>
              <w:noProof/>
              <w:sz w:val="22"/>
              <w:szCs w:val="22"/>
            </w:rPr>
          </w:pPr>
          <w:hyperlink w:anchor="_Toc377653912" w:history="1">
            <w:r w:rsidR="002F7BD7" w:rsidRPr="00C92BE9">
              <w:rPr>
                <w:rStyle w:val="Hyperlink"/>
                <w:noProof/>
              </w:rPr>
              <w:t>proposal</w:t>
            </w:r>
            <w:r w:rsidR="002F7BD7">
              <w:rPr>
                <w:noProof/>
                <w:webHidden/>
              </w:rPr>
              <w:tab/>
            </w:r>
            <w:r w:rsidR="002F7BD7">
              <w:rPr>
                <w:noProof/>
                <w:webHidden/>
              </w:rPr>
              <w:fldChar w:fldCharType="begin"/>
            </w:r>
            <w:r w:rsidR="002F7BD7">
              <w:rPr>
                <w:noProof/>
                <w:webHidden/>
              </w:rPr>
              <w:instrText xml:space="preserve"> PAGEREF _Toc377653912 \h </w:instrText>
            </w:r>
            <w:r w:rsidR="002F7BD7">
              <w:rPr>
                <w:noProof/>
                <w:webHidden/>
              </w:rPr>
            </w:r>
            <w:r w:rsidR="002F7BD7">
              <w:rPr>
                <w:noProof/>
                <w:webHidden/>
              </w:rPr>
              <w:fldChar w:fldCharType="separate"/>
            </w:r>
            <w:r>
              <w:rPr>
                <w:noProof/>
                <w:webHidden/>
              </w:rPr>
              <w:t>3</w:t>
            </w:r>
            <w:r w:rsidR="002F7BD7">
              <w:rPr>
                <w:noProof/>
                <w:webHidden/>
              </w:rPr>
              <w:fldChar w:fldCharType="end"/>
            </w:r>
          </w:hyperlink>
        </w:p>
        <w:p w:rsidR="00D335A4" w:rsidRDefault="002F7BD7" w:rsidP="00D335A4">
          <w:pPr>
            <w:tabs>
              <w:tab w:val="left" w:pos="1701"/>
            </w:tabs>
            <w:autoSpaceDE w:val="0"/>
            <w:autoSpaceDN w:val="0"/>
            <w:adjustRightInd w:val="0"/>
            <w:ind w:left="1710" w:hanging="1710"/>
            <w:rPr>
              <w:b/>
              <w:bCs/>
              <w:noProof/>
            </w:rPr>
          </w:pPr>
          <w:r>
            <w:rPr>
              <w:caps/>
            </w:rPr>
            <w:fldChar w:fldCharType="end"/>
          </w:r>
        </w:p>
        <w:p w:rsidR="00D335A4" w:rsidRDefault="00D335A4" w:rsidP="00DC4CFC">
          <w:pPr>
            <w:tabs>
              <w:tab w:val="left" w:pos="1701"/>
            </w:tabs>
            <w:autoSpaceDE w:val="0"/>
            <w:autoSpaceDN w:val="0"/>
            <w:adjustRightInd w:val="0"/>
            <w:ind w:left="1701" w:hanging="1701"/>
          </w:pPr>
          <w:r>
            <w:rPr>
              <w:bCs/>
              <w:noProof/>
            </w:rPr>
            <w:t>ANNEX I</w:t>
          </w:r>
          <w:r>
            <w:rPr>
              <w:bCs/>
              <w:noProof/>
            </w:rPr>
            <w:tab/>
          </w:r>
          <w:r>
            <w:rPr>
              <w:rFonts w:eastAsia="MS Mincho"/>
              <w:color w:val="000000"/>
              <w:szCs w:val="24"/>
              <w:lang w:eastAsia="ja-JP"/>
            </w:rPr>
            <w:t xml:space="preserve">Draft </w:t>
          </w:r>
          <w:r w:rsidRPr="0068223C">
            <w:rPr>
              <w:bCs/>
              <w:noProof/>
            </w:rPr>
            <w:t xml:space="preserve">proposal for revision of </w:t>
          </w:r>
          <w:r>
            <w:t xml:space="preserve">document TGP/8 </w:t>
          </w:r>
          <w:r w:rsidRPr="00100526">
            <w:t>Section 10: “</w:t>
          </w:r>
          <w:r w:rsidR="00A312B3">
            <w:t>Minimum Number of Comparable Varieties for the</w:t>
          </w:r>
          <w:r w:rsidRPr="00100526">
            <w:t xml:space="preserve"> Relative Variance Method”</w:t>
          </w:r>
          <w:r>
            <w:t xml:space="preserve"> considered by the TC and TWPs at their sessions in 2013</w:t>
          </w:r>
        </w:p>
        <w:p w:rsidR="00D335A4" w:rsidRPr="004E2D56" w:rsidRDefault="00D335A4" w:rsidP="00DC4CFC">
          <w:pPr>
            <w:ind w:left="1701" w:hanging="1701"/>
            <w:rPr>
              <w:caps/>
            </w:rPr>
          </w:pPr>
          <w:r>
            <w:rPr>
              <w:bCs/>
              <w:noProof/>
            </w:rPr>
            <w:t>ANNEX II</w:t>
          </w:r>
          <w:r>
            <w:rPr>
              <w:bCs/>
              <w:noProof/>
            </w:rPr>
            <w:tab/>
            <w:t>R</w:t>
          </w:r>
          <w:r w:rsidRPr="0068223C">
            <w:rPr>
              <w:bCs/>
              <w:noProof/>
            </w:rPr>
            <w:t>evised draft proposal for revision of document TGP/8 Section 10: “Uniformity Assessment on the Basis of the Relative Variance Method</w:t>
          </w:r>
          <w:r w:rsidRPr="00100526">
            <w:t>”</w:t>
          </w:r>
        </w:p>
        <w:p w:rsidR="00D335A4" w:rsidRPr="00BE0660" w:rsidRDefault="006531D9" w:rsidP="00DC4CFC">
          <w:pPr>
            <w:tabs>
              <w:tab w:val="left" w:pos="1701"/>
            </w:tabs>
            <w:autoSpaceDE w:val="0"/>
            <w:autoSpaceDN w:val="0"/>
            <w:adjustRightInd w:val="0"/>
            <w:ind w:left="1710" w:hanging="1701"/>
            <w:rPr>
              <w:rFonts w:eastAsia="MS Mincho"/>
              <w:color w:val="000000"/>
              <w:szCs w:val="24"/>
              <w:lang w:eastAsia="ja-JP"/>
            </w:rPr>
          </w:pPr>
        </w:p>
      </w:sdtContent>
    </w:sdt>
    <w:p w:rsidR="00D335A4" w:rsidRDefault="00D335A4" w:rsidP="00D335A4"/>
    <w:p w:rsidR="00D335A4" w:rsidRDefault="00D335A4" w:rsidP="00D335A4"/>
    <w:p w:rsidR="00D335A4" w:rsidRDefault="00D335A4" w:rsidP="00D335A4"/>
    <w:p w:rsidR="00AF4E17" w:rsidRDefault="00AF4E17" w:rsidP="00D335A4"/>
    <w:p w:rsidR="00AF4E17" w:rsidRDefault="00AF4E17" w:rsidP="00D335A4"/>
    <w:p w:rsidR="00AF4E17" w:rsidRDefault="00AF4E17" w:rsidP="00D335A4"/>
    <w:p w:rsidR="00D335A4" w:rsidRPr="00100526" w:rsidRDefault="00D335A4" w:rsidP="00D335A4">
      <w:pPr>
        <w:keepNext/>
        <w:outlineLvl w:val="0"/>
        <w:rPr>
          <w:caps/>
        </w:rPr>
      </w:pPr>
      <w:bookmarkStart w:id="6" w:name="_Toc377653909"/>
      <w:r w:rsidRPr="00100526">
        <w:rPr>
          <w:caps/>
        </w:rPr>
        <w:t>background</w:t>
      </w:r>
      <w:bookmarkEnd w:id="6"/>
    </w:p>
    <w:p w:rsidR="00D335A4" w:rsidRPr="00100526" w:rsidRDefault="00D335A4" w:rsidP="00D335A4"/>
    <w:p w:rsidR="00D335A4" w:rsidRPr="00100526" w:rsidRDefault="00D335A4" w:rsidP="00D335A4">
      <w:r w:rsidRPr="00100526">
        <w:fldChar w:fldCharType="begin"/>
      </w:r>
      <w:r w:rsidRPr="00100526">
        <w:instrText xml:space="preserve"> AUTONUM  </w:instrText>
      </w:r>
      <w:r w:rsidRPr="00100526">
        <w:fldChar w:fldCharType="end"/>
      </w:r>
      <w:r w:rsidRPr="00100526">
        <w:tab/>
        <w:t xml:space="preserve">The Technical Committee (TC), at its forty-eighth session, held in Geneva from March 26 to 28, 2012, considered </w:t>
      </w:r>
      <w:r>
        <w:t>a</w:t>
      </w:r>
      <w:r w:rsidRPr="00100526">
        <w:t xml:space="preserve"> proposal for a revision of Section 10: Uniformity Assessment on the Basis of the Relative Variance Method on the basis of document TC/48/19 Rev. “Revision of document TGP/8: Trial Design and Techniques Used in the Examination of Distinctness, Uniformity and Stability”, Annex</w:t>
      </w:r>
      <w:r>
        <w:t> </w:t>
      </w:r>
      <w:r w:rsidRPr="00100526">
        <w:t>XIV. The TC noted the comments of the Technical Working Party on Automation and Computer Programs (TWC) with regard to some of the assumptions of the method and noted that further investigations would be done by Australia with respect to those assumptions and the F value used in the calculations (see document TC/48/22 “Report on Conclusions” paragraph 65).</w:t>
      </w:r>
    </w:p>
    <w:p w:rsidR="00D335A4" w:rsidRPr="00100526" w:rsidRDefault="00D335A4" w:rsidP="00D335A4"/>
    <w:p w:rsidR="00D335A4" w:rsidRPr="00100526" w:rsidRDefault="00D335A4" w:rsidP="00D335A4">
      <w:r w:rsidRPr="00100526">
        <w:fldChar w:fldCharType="begin"/>
      </w:r>
      <w:r w:rsidRPr="00100526">
        <w:instrText xml:space="preserve"> AUTONUM  </w:instrText>
      </w:r>
      <w:r w:rsidRPr="00100526">
        <w:fldChar w:fldCharType="end"/>
      </w:r>
      <w:r w:rsidRPr="00100526">
        <w:tab/>
        <w:t xml:space="preserve">The TC agreed with the </w:t>
      </w:r>
      <w:proofErr w:type="spellStart"/>
      <w:r w:rsidRPr="00100526">
        <w:t>workplan</w:t>
      </w:r>
      <w:proofErr w:type="spellEnd"/>
      <w:r w:rsidRPr="00100526">
        <w:t xml:space="preserve"> for the development of TGP/8 presented in Annex XV to document TC/48/19 Rev.</w:t>
      </w:r>
      <w:r>
        <w:t>,</w:t>
      </w:r>
      <w:r w:rsidRPr="00100526">
        <w:t xml:space="preserve"> which indicated that Section 10: Uniformity Assessment on the Basis of the Relative Variance Method would be considered by the TWP</w:t>
      </w:r>
      <w:r>
        <w:t>s</w:t>
      </w:r>
      <w:r w:rsidRPr="00100526">
        <w:t xml:space="preserve"> in 2012. The TC noted that new drafts of relevant sections would need to be prepared by April 26, </w:t>
      </w:r>
      <w:proofErr w:type="gramStart"/>
      <w:r w:rsidRPr="00100526">
        <w:t>2012,</w:t>
      </w:r>
      <w:proofErr w:type="gramEnd"/>
      <w:r w:rsidRPr="00100526">
        <w:t xml:space="preserve"> in order that the sections could be included in the draft to be considered by the Technical Working Parties (TWPs) at their sessions in 2012 (see document TC/48/22 “Report on Conclusions” paragraphs 49 and 78).</w:t>
      </w:r>
    </w:p>
    <w:p w:rsidR="00D335A4" w:rsidRDefault="00D335A4" w:rsidP="00D335A4"/>
    <w:p w:rsidR="00D335A4" w:rsidRPr="00394C32" w:rsidRDefault="00D335A4" w:rsidP="00D335A4"/>
    <w:p w:rsidR="00D335A4" w:rsidRPr="00394C32" w:rsidRDefault="00D335A4" w:rsidP="00D335A4">
      <w:pPr>
        <w:keepNext/>
        <w:outlineLvl w:val="0"/>
        <w:rPr>
          <w:caps/>
        </w:rPr>
      </w:pPr>
      <w:bookmarkStart w:id="7" w:name="_Toc377653910"/>
      <w:r w:rsidRPr="00394C32">
        <w:rPr>
          <w:caps/>
        </w:rPr>
        <w:t>COMMENTS BY THE technical COMMITTEE IN 2013</w:t>
      </w:r>
      <w:bookmarkEnd w:id="7"/>
    </w:p>
    <w:p w:rsidR="00D335A4" w:rsidRPr="00394C32" w:rsidRDefault="00D335A4" w:rsidP="00D335A4"/>
    <w:p w:rsidR="00D335A4" w:rsidRPr="00394C32" w:rsidRDefault="00D335A4" w:rsidP="00D335A4">
      <w:pPr>
        <w:rPr>
          <w:iCs/>
          <w:spacing w:val="-4"/>
        </w:rPr>
      </w:pPr>
      <w:r w:rsidRPr="00394C32">
        <w:rPr>
          <w:rFonts w:cs="Arial"/>
        </w:rPr>
        <w:fldChar w:fldCharType="begin"/>
      </w:r>
      <w:r w:rsidRPr="00394C32">
        <w:rPr>
          <w:rFonts w:cs="Arial"/>
        </w:rPr>
        <w:instrText xml:space="preserve"> AUTONUM  </w:instrText>
      </w:r>
      <w:r w:rsidRPr="00394C32">
        <w:rPr>
          <w:rFonts w:cs="Arial"/>
        </w:rPr>
        <w:fldChar w:fldCharType="end"/>
      </w:r>
      <w:r w:rsidRPr="00394C32">
        <w:rPr>
          <w:rFonts w:cs="Arial"/>
        </w:rPr>
        <w:tab/>
      </w:r>
      <w:r w:rsidRPr="00394C32">
        <w:rPr>
          <w:rFonts w:cs="Arial"/>
          <w:color w:val="000000"/>
        </w:rPr>
        <w:t xml:space="preserve">The </w:t>
      </w:r>
      <w:r w:rsidRPr="00394C32">
        <w:rPr>
          <w:rFonts w:cs="Arial"/>
        </w:rPr>
        <w:t xml:space="preserve">TC, </w:t>
      </w:r>
      <w:r w:rsidRPr="00394C32">
        <w:rPr>
          <w:rFonts w:cs="Arial"/>
          <w:lang w:eastAsia="ja-JP"/>
        </w:rPr>
        <w:t xml:space="preserve">at its forty-ninth session held in Geneva from March 18 to 20, 2013, </w:t>
      </w:r>
      <w:r w:rsidRPr="00394C32">
        <w:rPr>
          <w:rFonts w:cs="Arial"/>
        </w:rPr>
        <w:t>considered document </w:t>
      </w:r>
      <w:r w:rsidRPr="00394C32">
        <w:rPr>
          <w:rFonts w:cs="Arial"/>
          <w:snapToGrid w:val="0"/>
        </w:rPr>
        <w:t>TC/49/27 “</w:t>
      </w:r>
      <w:r w:rsidRPr="00394C32">
        <w:t>Revision of document TGP/8: Part II: Techniques Used in DUS Examination, Section 10: Minimum Number of Comparable Varieties for the Relative Variance Method</w:t>
      </w:r>
      <w:r w:rsidRPr="00394C32">
        <w:rPr>
          <w:rFonts w:cs="Arial"/>
          <w:snapToGrid w:val="0"/>
        </w:rPr>
        <w:t>”</w:t>
      </w:r>
      <w:r w:rsidRPr="00394C32">
        <w:rPr>
          <w:rFonts w:cs="Arial"/>
        </w:rPr>
        <w:t xml:space="preserve">. </w:t>
      </w:r>
      <w:r w:rsidRPr="00394C32">
        <w:rPr>
          <w:iCs/>
          <w:spacing w:val="-4"/>
        </w:rPr>
        <w:t>The TC noted the proposed amendments of revision of Section: 10 of document TGP/8, as set out in Annex II of document TC/49/27 (see document TC/49/41 “Report on the Conclusions” paragraphs 60 and 61).</w:t>
      </w:r>
    </w:p>
    <w:p w:rsidR="00D335A4" w:rsidRPr="00394C32" w:rsidRDefault="00D335A4" w:rsidP="00D335A4">
      <w:pPr>
        <w:rPr>
          <w:iCs/>
          <w:spacing w:val="-4"/>
        </w:rPr>
      </w:pPr>
    </w:p>
    <w:p w:rsidR="00D335A4" w:rsidRPr="00394C32" w:rsidRDefault="00D335A4" w:rsidP="00D335A4">
      <w:pPr>
        <w:rPr>
          <w:rFonts w:cs="Arial"/>
        </w:rPr>
      </w:pPr>
      <w:r w:rsidRPr="00394C32">
        <w:rPr>
          <w:rFonts w:cs="Arial"/>
        </w:rPr>
        <w:fldChar w:fldCharType="begin"/>
      </w:r>
      <w:r w:rsidRPr="00394C32">
        <w:rPr>
          <w:rFonts w:cs="Arial"/>
        </w:rPr>
        <w:instrText xml:space="preserve"> AUTONUM  </w:instrText>
      </w:r>
      <w:r w:rsidRPr="00394C32">
        <w:rPr>
          <w:rFonts w:cs="Arial"/>
        </w:rPr>
        <w:fldChar w:fldCharType="end"/>
      </w:r>
      <w:r w:rsidRPr="00394C32">
        <w:rPr>
          <w:rFonts w:cs="Arial"/>
        </w:rPr>
        <w:tab/>
        <w:t xml:space="preserve">The TC agreed to invite the expert from Australia to prepare a new draft of </w:t>
      </w:r>
      <w:r w:rsidRPr="00394C32">
        <w:rPr>
          <w:iCs/>
          <w:spacing w:val="-4"/>
        </w:rPr>
        <w:t xml:space="preserve">Section: 10 of document TGP/8 </w:t>
      </w:r>
      <w:r w:rsidRPr="00394C32">
        <w:rPr>
          <w:rFonts w:cs="Arial"/>
        </w:rPr>
        <w:t>with a recommendation on the minimum number of comparable varieties, for consideration by the TWPs</w:t>
      </w:r>
      <w:r w:rsidRPr="00394C32">
        <w:rPr>
          <w:iCs/>
          <w:spacing w:val="-4"/>
        </w:rPr>
        <w:t xml:space="preserve"> at their sessions in 2013.  The Delegation of </w:t>
      </w:r>
      <w:r w:rsidRPr="00394C32">
        <w:rPr>
          <w:rFonts w:cs="Arial"/>
          <w:iCs/>
          <w:spacing w:val="-4"/>
        </w:rPr>
        <w:t xml:space="preserve">Australia explained that the minimum number was one </w:t>
      </w:r>
      <w:r w:rsidRPr="00394C32">
        <w:rPr>
          <w:iCs/>
          <w:spacing w:val="-4"/>
        </w:rPr>
        <w:t>(see document TC/49/41 “Report on the Conclusions” paragraph 62)</w:t>
      </w:r>
      <w:r w:rsidRPr="00394C32">
        <w:rPr>
          <w:rFonts w:cs="Arial"/>
          <w:iCs/>
          <w:spacing w:val="-4"/>
        </w:rPr>
        <w:t>.</w:t>
      </w:r>
    </w:p>
    <w:p w:rsidR="00D335A4" w:rsidRPr="00394C32" w:rsidRDefault="00D335A4" w:rsidP="00D335A4"/>
    <w:p w:rsidR="00D335A4" w:rsidRPr="00394C32" w:rsidRDefault="00D335A4" w:rsidP="00D335A4">
      <w:pPr>
        <w:rPr>
          <w:rFonts w:cs="Arial"/>
        </w:rPr>
      </w:pPr>
    </w:p>
    <w:p w:rsidR="00D335A4" w:rsidRDefault="00D335A4" w:rsidP="00D335A4">
      <w:pPr>
        <w:pStyle w:val="Heading1"/>
      </w:pPr>
      <w:bookmarkStart w:id="8" w:name="_Toc377653911"/>
      <w:r w:rsidRPr="00394C32">
        <w:t xml:space="preserve">COMMENTS BY THE TECHNICAL </w:t>
      </w:r>
      <w:r w:rsidR="00AF4E17">
        <w:t xml:space="preserve">working </w:t>
      </w:r>
      <w:r w:rsidRPr="00394C32">
        <w:t>PARTIES IN 2013</w:t>
      </w:r>
      <w:bookmarkEnd w:id="8"/>
      <w:r w:rsidRPr="00394C32">
        <w:t xml:space="preserve"> </w:t>
      </w:r>
    </w:p>
    <w:p w:rsidR="00D335A4" w:rsidRPr="008338A2" w:rsidRDefault="00D335A4" w:rsidP="00D335A4"/>
    <w:p w:rsidR="00D335A4" w:rsidRPr="00394C32" w:rsidRDefault="00D335A4" w:rsidP="00D335A4">
      <w:pPr>
        <w:keepNext/>
        <w:rPr>
          <w:rFonts w:cs="Arial"/>
        </w:rPr>
      </w:pPr>
      <w:r w:rsidRPr="00394C32">
        <w:fldChar w:fldCharType="begin"/>
      </w:r>
      <w:r w:rsidRPr="00394C32">
        <w:instrText xml:space="preserve"> AUTONUM  </w:instrText>
      </w:r>
      <w:r w:rsidRPr="00394C32">
        <w:fldChar w:fldCharType="end"/>
      </w:r>
      <w:r w:rsidRPr="00394C32">
        <w:tab/>
      </w:r>
      <w:r w:rsidRPr="00394C32">
        <w:rPr>
          <w:rFonts w:cs="Arial"/>
        </w:rPr>
        <w:t>At their sessions in 2013, the TWO, TWF, TWV, TWC and TWA considered documents TWO/46/16, TWF/44/16, TWV/47/16, TWC/31/16 and TWA/42/16, respectively.  The draft proposed revision of document TGP/8, section 10: “</w:t>
      </w:r>
      <w:r w:rsidRPr="00394C32">
        <w:t>Minimum Number of Comparable Varieties for the Relative Variance Method”</w:t>
      </w:r>
      <w:r w:rsidRPr="00394C32">
        <w:rPr>
          <w:rFonts w:cs="Arial"/>
        </w:rPr>
        <w:t xml:space="preserve"> considered by the TWPs is reproduced in Annex I of this document. The following comments were made by the TWPs:</w:t>
      </w:r>
    </w:p>
    <w:p w:rsidR="00D335A4" w:rsidRDefault="00D335A4" w:rsidP="00D335A4">
      <w:pPr>
        <w:rPr>
          <w:rFonts w:cs="Arial"/>
        </w:rPr>
      </w:pP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66"/>
        <w:gridCol w:w="6804"/>
        <w:gridCol w:w="823"/>
      </w:tblGrid>
      <w:tr w:rsidR="00D335A4" w:rsidRPr="00100526" w:rsidTr="00C622EB">
        <w:trPr>
          <w:cantSplit/>
        </w:trPr>
        <w:tc>
          <w:tcPr>
            <w:tcW w:w="1366" w:type="dxa"/>
            <w:shd w:val="clear" w:color="auto" w:fill="auto"/>
          </w:tcPr>
          <w:p w:rsidR="00D335A4" w:rsidRPr="00100526" w:rsidRDefault="00D335A4" w:rsidP="00C622EB">
            <w:pPr>
              <w:spacing w:before="120" w:after="120"/>
              <w:jc w:val="left"/>
              <w:rPr>
                <w:rFonts w:cs="Arial"/>
              </w:rPr>
            </w:pPr>
            <w:r w:rsidRPr="00100526">
              <w:rPr>
                <w:rFonts w:cs="Arial"/>
              </w:rPr>
              <w:t>General</w:t>
            </w:r>
          </w:p>
        </w:tc>
        <w:tc>
          <w:tcPr>
            <w:tcW w:w="6804" w:type="dxa"/>
            <w:shd w:val="clear" w:color="auto" w:fill="auto"/>
          </w:tcPr>
          <w:p w:rsidR="00D335A4" w:rsidRDefault="00D335A4" w:rsidP="00C622EB">
            <w:pPr>
              <w:rPr>
                <w:rFonts w:cs="Arial"/>
              </w:rPr>
            </w:pPr>
            <w:r w:rsidRPr="00143E49">
              <w:t>The TWO noted the comments made by the TWPs at their sessions in 2012 and the TC, at its forty</w:t>
            </w:r>
            <w:r w:rsidRPr="00143E49">
              <w:noBreakHyphen/>
              <w:t xml:space="preserve">ninth session in 2013.  The TWO agreed with the </w:t>
            </w:r>
            <w:r w:rsidRPr="00BE0660">
              <w:t>proposed amendments</w:t>
            </w:r>
            <w:r w:rsidRPr="00143E49">
              <w:t xml:space="preserve"> for revision of Section 10 of document TGP/8 and the new proposed guidance in paragraphs 10.2.2 and 10.6 to specify the minimum number of comparable varieties in the relative variance method</w:t>
            </w:r>
            <w:r>
              <w:t xml:space="preserve"> </w:t>
            </w:r>
            <w:r w:rsidRPr="00100526">
              <w:rPr>
                <w:rFonts w:cs="Arial"/>
              </w:rPr>
              <w:t>(see document TW</w:t>
            </w:r>
            <w:r>
              <w:rPr>
                <w:rFonts w:cs="Arial"/>
              </w:rPr>
              <w:t>O</w:t>
            </w:r>
            <w:r w:rsidRPr="00100526">
              <w:rPr>
                <w:rFonts w:cs="Arial"/>
              </w:rPr>
              <w:t>/</w:t>
            </w:r>
            <w:r>
              <w:rPr>
                <w:rFonts w:cs="Arial"/>
              </w:rPr>
              <w:t>46</w:t>
            </w:r>
            <w:r w:rsidRPr="00100526">
              <w:rPr>
                <w:rFonts w:cs="Arial"/>
              </w:rPr>
              <w:t>/</w:t>
            </w:r>
            <w:r>
              <w:rPr>
                <w:rFonts w:cs="Arial"/>
              </w:rPr>
              <w:t>29</w:t>
            </w:r>
            <w:r w:rsidRPr="00100526">
              <w:rPr>
                <w:rFonts w:cs="Arial"/>
              </w:rPr>
              <w:t xml:space="preserve"> “Report”, paragraph</w:t>
            </w:r>
            <w:r>
              <w:rPr>
                <w:rFonts w:cs="Arial"/>
              </w:rPr>
              <w:t xml:space="preserve"> 36</w:t>
            </w:r>
            <w:r w:rsidRPr="00100526">
              <w:rPr>
                <w:rFonts w:cs="Arial"/>
              </w:rPr>
              <w:t>).</w:t>
            </w:r>
          </w:p>
          <w:p w:rsidR="00D335A4" w:rsidRPr="00100526" w:rsidRDefault="00D335A4" w:rsidP="00C622EB">
            <w:pPr>
              <w:rPr>
                <w:rFonts w:cs="Arial"/>
              </w:rPr>
            </w:pPr>
          </w:p>
        </w:tc>
        <w:tc>
          <w:tcPr>
            <w:tcW w:w="823" w:type="dxa"/>
            <w:shd w:val="clear" w:color="auto" w:fill="auto"/>
          </w:tcPr>
          <w:p w:rsidR="00D335A4" w:rsidRPr="00100526" w:rsidRDefault="00D335A4" w:rsidP="00C622EB">
            <w:pPr>
              <w:spacing w:before="120"/>
            </w:pPr>
            <w:r w:rsidRPr="00100526">
              <w:t>TW</w:t>
            </w:r>
            <w:r>
              <w:t>O</w:t>
            </w:r>
          </w:p>
        </w:tc>
      </w:tr>
      <w:tr w:rsidR="00D335A4" w:rsidRPr="00100526" w:rsidTr="00C622EB">
        <w:trPr>
          <w:cantSplit/>
        </w:trPr>
        <w:tc>
          <w:tcPr>
            <w:tcW w:w="1366" w:type="dxa"/>
            <w:shd w:val="clear" w:color="auto" w:fill="auto"/>
          </w:tcPr>
          <w:p w:rsidR="00D335A4" w:rsidRPr="00100526" w:rsidRDefault="00D335A4" w:rsidP="00C622EB">
            <w:pPr>
              <w:spacing w:before="120" w:after="120"/>
              <w:jc w:val="left"/>
              <w:rPr>
                <w:rFonts w:cs="Arial"/>
              </w:rPr>
            </w:pPr>
          </w:p>
        </w:tc>
        <w:tc>
          <w:tcPr>
            <w:tcW w:w="6804" w:type="dxa"/>
            <w:shd w:val="clear" w:color="auto" w:fill="auto"/>
          </w:tcPr>
          <w:p w:rsidR="00D335A4" w:rsidRPr="00B03F42" w:rsidRDefault="00D335A4" w:rsidP="00C622EB">
            <w:pPr>
              <w:spacing w:before="120" w:after="120"/>
              <w:rPr>
                <w:rFonts w:cs="Arial"/>
              </w:rPr>
            </w:pPr>
            <w:r w:rsidRPr="00F30279">
              <w:t>The TWF noted the comments made by the TWPs at their sessions i</w:t>
            </w:r>
            <w:r>
              <w:t>n 2012 and the TC, at its forty</w:t>
            </w:r>
            <w:r>
              <w:noBreakHyphen/>
            </w:r>
            <w:r w:rsidRPr="00F30279">
              <w:t>ninth session in 2013.  The TWF agreed with the proposed amendments for revision of Section 10 of</w:t>
            </w:r>
            <w:r w:rsidRPr="003042E3">
              <w:t xml:space="preserve"> document TGP/8 and the new proposed guidance in paragraphs 10.2.2 and 10.6 to specify the minimum number of comparable varieties in the relative variance method</w:t>
            </w:r>
            <w:r>
              <w:t xml:space="preserve"> as set out in the Annex to document TWF/44/16 </w:t>
            </w:r>
            <w:r w:rsidRPr="00100526">
              <w:rPr>
                <w:rFonts w:cs="Arial"/>
              </w:rPr>
              <w:t>(see document TW</w:t>
            </w:r>
            <w:r>
              <w:rPr>
                <w:rFonts w:cs="Arial"/>
              </w:rPr>
              <w:t>F</w:t>
            </w:r>
            <w:r w:rsidRPr="00100526">
              <w:rPr>
                <w:rFonts w:cs="Arial"/>
              </w:rPr>
              <w:t>/</w:t>
            </w:r>
            <w:r>
              <w:rPr>
                <w:rFonts w:cs="Arial"/>
              </w:rPr>
              <w:t>44</w:t>
            </w:r>
            <w:r w:rsidRPr="00100526">
              <w:rPr>
                <w:rFonts w:cs="Arial"/>
              </w:rPr>
              <w:t>/</w:t>
            </w:r>
            <w:r>
              <w:rPr>
                <w:rFonts w:cs="Arial"/>
              </w:rPr>
              <w:t>31</w:t>
            </w:r>
            <w:r w:rsidRPr="00100526">
              <w:rPr>
                <w:rFonts w:cs="Arial"/>
              </w:rPr>
              <w:t xml:space="preserve"> “Report”, paragraph</w:t>
            </w:r>
            <w:r>
              <w:rPr>
                <w:rFonts w:cs="Arial"/>
              </w:rPr>
              <w:t> 39</w:t>
            </w:r>
            <w:r w:rsidRPr="00100526">
              <w:rPr>
                <w:rFonts w:cs="Arial"/>
              </w:rPr>
              <w:t>).</w:t>
            </w:r>
          </w:p>
        </w:tc>
        <w:tc>
          <w:tcPr>
            <w:tcW w:w="823" w:type="dxa"/>
            <w:shd w:val="clear" w:color="auto" w:fill="auto"/>
          </w:tcPr>
          <w:p w:rsidR="00D335A4" w:rsidRPr="00100526" w:rsidRDefault="00D335A4" w:rsidP="00C622EB">
            <w:pPr>
              <w:spacing w:before="120"/>
            </w:pPr>
            <w:r w:rsidRPr="00100526">
              <w:t>TW</w:t>
            </w:r>
            <w:r>
              <w:t>F</w:t>
            </w:r>
          </w:p>
        </w:tc>
      </w:tr>
      <w:tr w:rsidR="00D335A4" w:rsidRPr="00100526" w:rsidTr="00C622EB">
        <w:trPr>
          <w:cantSplit/>
        </w:trPr>
        <w:tc>
          <w:tcPr>
            <w:tcW w:w="1366" w:type="dxa"/>
            <w:shd w:val="clear" w:color="auto" w:fill="auto"/>
          </w:tcPr>
          <w:p w:rsidR="00D335A4" w:rsidRPr="00100526" w:rsidRDefault="00D335A4" w:rsidP="00C622EB">
            <w:pPr>
              <w:spacing w:before="120" w:after="120"/>
              <w:jc w:val="left"/>
              <w:rPr>
                <w:rFonts w:cs="Arial"/>
              </w:rPr>
            </w:pPr>
          </w:p>
        </w:tc>
        <w:tc>
          <w:tcPr>
            <w:tcW w:w="6804" w:type="dxa"/>
            <w:shd w:val="clear" w:color="auto" w:fill="auto"/>
          </w:tcPr>
          <w:p w:rsidR="00D335A4" w:rsidRDefault="00D335A4" w:rsidP="00C622EB">
            <w:r w:rsidRPr="00700478">
              <w:t>The TWV noted the comments made by the TWPs at their sessions in 2012 and the TC, at its forty</w:t>
            </w:r>
            <w:r w:rsidRPr="00700478">
              <w:noBreakHyphen/>
              <w:t>ninth session, held in 2013.  The TWV agreed with the proposed amendments for revision of Section 10 of document TGP/8 and the new proposed guidance to specify the minimum number of comparable varieties in the relative variance method as set</w:t>
            </w:r>
            <w:r w:rsidRPr="004B761D">
              <w:t xml:space="preserve"> out in the Annex to document TWV/47/16</w:t>
            </w:r>
            <w:r>
              <w:t xml:space="preserve"> </w:t>
            </w:r>
            <w:r w:rsidRPr="00100526">
              <w:rPr>
                <w:rFonts w:cs="Arial"/>
              </w:rPr>
              <w:t>(see 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 xml:space="preserve"> 39)</w:t>
            </w:r>
            <w:r>
              <w:t>.</w:t>
            </w:r>
          </w:p>
          <w:p w:rsidR="00D335A4" w:rsidRPr="00100526" w:rsidRDefault="00D335A4" w:rsidP="00C622EB"/>
        </w:tc>
        <w:tc>
          <w:tcPr>
            <w:tcW w:w="823" w:type="dxa"/>
            <w:shd w:val="clear" w:color="auto" w:fill="auto"/>
          </w:tcPr>
          <w:p w:rsidR="00D335A4" w:rsidRPr="00100526" w:rsidRDefault="00D335A4" w:rsidP="00C622EB">
            <w:pPr>
              <w:spacing w:before="120"/>
            </w:pPr>
            <w:r w:rsidRPr="00100526">
              <w:t>TW</w:t>
            </w:r>
            <w:r>
              <w:t>V</w:t>
            </w:r>
          </w:p>
        </w:tc>
      </w:tr>
      <w:tr w:rsidR="00D335A4" w:rsidRPr="00100526" w:rsidTr="00C622EB">
        <w:trPr>
          <w:cantSplit/>
        </w:trPr>
        <w:tc>
          <w:tcPr>
            <w:tcW w:w="1366" w:type="dxa"/>
            <w:shd w:val="clear" w:color="auto" w:fill="auto"/>
          </w:tcPr>
          <w:p w:rsidR="00D335A4" w:rsidRPr="00100526" w:rsidRDefault="00D335A4" w:rsidP="00C622EB">
            <w:pPr>
              <w:spacing w:before="120" w:after="120"/>
              <w:jc w:val="left"/>
              <w:rPr>
                <w:rFonts w:cs="Arial"/>
              </w:rPr>
            </w:pPr>
          </w:p>
        </w:tc>
        <w:tc>
          <w:tcPr>
            <w:tcW w:w="6804" w:type="dxa"/>
            <w:shd w:val="clear" w:color="auto" w:fill="auto"/>
          </w:tcPr>
          <w:p w:rsidR="00D335A4" w:rsidRDefault="00D335A4" w:rsidP="00C622EB">
            <w:r w:rsidRPr="00D25E50">
              <w:t>The TWA noted that the current thresholds in document TGP/8, Section</w:t>
            </w:r>
            <w:r>
              <w:t> </w:t>
            </w:r>
            <w:r w:rsidRPr="00D25E50">
              <w:t>10 should be corrected, but agreed that the proposed text should not replace current paragraph 10.2.1. The TWA agreed that it would not be necessary to develop further guidance on the minimum number of comparable varieties in particular because it could cause confusion with the guidance provided in TGP/10, with regard to new types and species</w:t>
            </w:r>
            <w:r>
              <w:t xml:space="preserve"> </w:t>
            </w:r>
            <w:r w:rsidRPr="00100526">
              <w:rPr>
                <w:rFonts w:cs="Arial"/>
              </w:rPr>
              <w:t>(see document TW</w:t>
            </w:r>
            <w:r>
              <w:rPr>
                <w:rFonts w:cs="Arial"/>
              </w:rPr>
              <w:t>A</w:t>
            </w:r>
            <w:r w:rsidRPr="00100526">
              <w:rPr>
                <w:rFonts w:cs="Arial"/>
              </w:rPr>
              <w:t>/</w:t>
            </w:r>
            <w:r>
              <w:rPr>
                <w:rFonts w:cs="Arial"/>
              </w:rPr>
              <w:t>42</w:t>
            </w:r>
            <w:r w:rsidRPr="00100526">
              <w:rPr>
                <w:rFonts w:cs="Arial"/>
              </w:rPr>
              <w:t>/</w:t>
            </w:r>
            <w:r>
              <w:rPr>
                <w:rFonts w:cs="Arial"/>
              </w:rPr>
              <w:t>31</w:t>
            </w:r>
            <w:r w:rsidRPr="00100526">
              <w:rPr>
                <w:rFonts w:cs="Arial"/>
              </w:rPr>
              <w:t xml:space="preserve"> “Report”, paragraph</w:t>
            </w:r>
            <w:r>
              <w:rPr>
                <w:rFonts w:cs="Arial"/>
              </w:rPr>
              <w:t xml:space="preserve"> 40)</w:t>
            </w:r>
            <w:r w:rsidRPr="00D25E50">
              <w:t>.</w:t>
            </w:r>
            <w:r>
              <w:t xml:space="preserve"> </w:t>
            </w:r>
          </w:p>
          <w:p w:rsidR="00D335A4" w:rsidRPr="00700478" w:rsidRDefault="00D335A4" w:rsidP="00C622EB"/>
        </w:tc>
        <w:tc>
          <w:tcPr>
            <w:tcW w:w="823" w:type="dxa"/>
            <w:shd w:val="clear" w:color="auto" w:fill="auto"/>
          </w:tcPr>
          <w:p w:rsidR="00D335A4" w:rsidRPr="00100526" w:rsidRDefault="00D335A4" w:rsidP="00C622EB">
            <w:pPr>
              <w:spacing w:before="120"/>
            </w:pPr>
            <w:r>
              <w:t>TWA</w:t>
            </w:r>
          </w:p>
        </w:tc>
      </w:tr>
      <w:tr w:rsidR="00D335A4" w:rsidRPr="00100526" w:rsidTr="00C622EB">
        <w:trPr>
          <w:cantSplit/>
        </w:trPr>
        <w:tc>
          <w:tcPr>
            <w:tcW w:w="1366" w:type="dxa"/>
            <w:shd w:val="clear" w:color="auto" w:fill="auto"/>
          </w:tcPr>
          <w:p w:rsidR="00D335A4" w:rsidRPr="00100526" w:rsidRDefault="00D335A4" w:rsidP="00C622EB">
            <w:pPr>
              <w:spacing w:before="120" w:after="120"/>
              <w:jc w:val="left"/>
              <w:rPr>
                <w:rFonts w:cs="Arial"/>
              </w:rPr>
            </w:pPr>
            <w:r>
              <w:rPr>
                <w:rFonts w:cs="Arial"/>
              </w:rPr>
              <w:t>Title of section 10.2 and other mentions to “threshold limit”</w:t>
            </w:r>
          </w:p>
        </w:tc>
        <w:tc>
          <w:tcPr>
            <w:tcW w:w="6804" w:type="dxa"/>
            <w:shd w:val="clear" w:color="auto" w:fill="auto"/>
          </w:tcPr>
          <w:p w:rsidR="00D335A4" w:rsidRDefault="00D335A4" w:rsidP="00C622EB">
            <w:pPr>
              <w:rPr>
                <w:rFonts w:eastAsia="MS Mincho" w:cs="Arial"/>
                <w:color w:val="000000"/>
                <w:lang w:eastAsia="ja-JP"/>
              </w:rPr>
            </w:pPr>
            <w:r w:rsidRPr="00966A08">
              <w:rPr>
                <w:rFonts w:eastAsia="MS Mincho" w:cs="Arial"/>
                <w:color w:val="000000"/>
                <w:lang w:eastAsia="ja-JP"/>
              </w:rPr>
              <w:t>The TWC agreed that all mentions to “threshold limit” should be r</w:t>
            </w:r>
            <w:r>
              <w:rPr>
                <w:rFonts w:eastAsia="MS Mincho" w:cs="Arial"/>
                <w:color w:val="000000"/>
                <w:lang w:eastAsia="ja-JP"/>
              </w:rPr>
              <w:t xml:space="preserve">eplaced by “threshold” including </w:t>
            </w:r>
            <w:r w:rsidRPr="00966A08">
              <w:rPr>
                <w:rFonts w:eastAsia="MS Mincho" w:cs="Arial"/>
                <w:color w:val="000000"/>
                <w:lang w:eastAsia="ja-JP"/>
              </w:rPr>
              <w:t>the title of section 10.2</w:t>
            </w:r>
            <w:r>
              <w:rPr>
                <w:rFonts w:eastAsia="MS Mincho" w:cs="Arial"/>
                <w:color w:val="000000"/>
                <w:lang w:eastAsia="ja-JP"/>
              </w:rPr>
              <w:t>,</w:t>
            </w:r>
            <w:r w:rsidRPr="00966A08">
              <w:rPr>
                <w:rFonts w:eastAsia="MS Mincho" w:cs="Arial"/>
                <w:color w:val="000000"/>
                <w:lang w:eastAsia="ja-JP"/>
              </w:rPr>
              <w:t xml:space="preserve"> </w:t>
            </w:r>
            <w:r>
              <w:rPr>
                <w:rFonts w:eastAsia="MS Mincho" w:cs="Arial"/>
                <w:color w:val="000000"/>
                <w:lang w:eastAsia="ja-JP"/>
              </w:rPr>
              <w:t xml:space="preserve">which </w:t>
            </w:r>
            <w:r w:rsidRPr="00966A08">
              <w:rPr>
                <w:rFonts w:eastAsia="MS Mincho" w:cs="Arial"/>
                <w:color w:val="000000"/>
                <w:lang w:eastAsia="ja-JP"/>
              </w:rPr>
              <w:t>should r</w:t>
            </w:r>
            <w:r>
              <w:rPr>
                <w:rFonts w:eastAsia="MS Mincho" w:cs="Arial"/>
                <w:color w:val="000000"/>
                <w:lang w:eastAsia="ja-JP"/>
              </w:rPr>
              <w:t xml:space="preserve">ead “10.2 Threshold </w:t>
            </w:r>
            <w:r w:rsidRPr="00966A08">
              <w:rPr>
                <w:rFonts w:eastAsia="MS Mincho" w:cs="Arial"/>
                <w:color w:val="000000"/>
                <w:lang w:eastAsia="ja-JP"/>
              </w:rPr>
              <w:t>for different sample sizes”. The TWC proposed that the second sentence of paragraph 10.2.1 should read</w:t>
            </w:r>
            <w:r>
              <w:rPr>
                <w:rFonts w:eastAsia="MS Mincho" w:cs="Arial"/>
                <w:color w:val="000000"/>
                <w:lang w:eastAsia="ja-JP"/>
              </w:rP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36)</w:t>
            </w:r>
            <w:r w:rsidRPr="00966A08">
              <w:rPr>
                <w:rFonts w:eastAsia="MS Mincho" w:cs="Arial"/>
                <w:color w:val="000000"/>
                <w:lang w:eastAsia="ja-JP"/>
              </w:rPr>
              <w:t xml:space="preserve">: </w:t>
            </w:r>
          </w:p>
          <w:p w:rsidR="00D335A4" w:rsidRPr="00966A08" w:rsidRDefault="00D335A4" w:rsidP="00C622EB">
            <w:pPr>
              <w:rPr>
                <w:rFonts w:ascii="Times New Roman" w:eastAsia="MS Mincho" w:hAnsi="Times New Roman" w:cs="Arial"/>
                <w:color w:val="000000"/>
                <w:sz w:val="24"/>
                <w:szCs w:val="24"/>
                <w:lang w:eastAsia="ja-JP"/>
              </w:rPr>
            </w:pPr>
          </w:p>
          <w:p w:rsidR="00D335A4" w:rsidRDefault="00D335A4" w:rsidP="00C622EB">
            <w:pPr>
              <w:ind w:left="630"/>
              <w:jc w:val="left"/>
              <w:rPr>
                <w:rFonts w:eastAsia="MS Mincho" w:cs="Arial"/>
                <w:color w:val="000000"/>
                <w:sz w:val="18"/>
                <w:szCs w:val="18"/>
                <w:lang w:eastAsia="ja-JP"/>
              </w:rPr>
            </w:pPr>
            <w:r w:rsidRPr="00966A08">
              <w:rPr>
                <w:rFonts w:eastAsia="MS Mincho" w:cs="Arial"/>
                <w:color w:val="000000"/>
                <w:sz w:val="18"/>
                <w:szCs w:val="18"/>
                <w:lang w:eastAsia="ja-JP"/>
              </w:rPr>
              <w:t xml:space="preserve">“For example, if the </w:t>
            </w:r>
            <w:r w:rsidRPr="00966A08">
              <w:rPr>
                <w:rFonts w:eastAsia="MS Mincho" w:cs="Arial"/>
                <w:strike/>
                <w:color w:val="000000"/>
                <w:sz w:val="18"/>
                <w:szCs w:val="18"/>
                <w:highlight w:val="lightGray"/>
                <w:lang w:eastAsia="ja-JP"/>
              </w:rPr>
              <w:t>actual sample size of the</w:t>
            </w:r>
            <w:r w:rsidRPr="00966A08">
              <w:rPr>
                <w:rFonts w:eastAsia="MS Mincho" w:cs="Arial"/>
                <w:color w:val="000000"/>
                <w:sz w:val="18"/>
                <w:szCs w:val="18"/>
                <w:highlight w:val="lightGray"/>
                <w:lang w:eastAsia="ja-JP"/>
              </w:rPr>
              <w:t xml:space="preserve"> </w:t>
            </w:r>
            <w:r w:rsidRPr="00966A08">
              <w:rPr>
                <w:rFonts w:eastAsia="MS Mincho" w:cs="Arial"/>
                <w:color w:val="000000"/>
                <w:sz w:val="18"/>
                <w:szCs w:val="18"/>
                <w:highlight w:val="lightGray"/>
                <w:u w:val="single"/>
                <w:lang w:eastAsia="ja-JP"/>
              </w:rPr>
              <w:t>number of</w:t>
            </w:r>
            <w:r w:rsidRPr="00966A08">
              <w:rPr>
                <w:rFonts w:eastAsia="MS Mincho" w:cs="Arial"/>
                <w:color w:val="000000"/>
                <w:sz w:val="18"/>
                <w:szCs w:val="18"/>
                <w:lang w:eastAsia="ja-JP"/>
              </w:rPr>
              <w:t xml:space="preserve"> comparable varieties is </w:t>
            </w:r>
            <w:r w:rsidRPr="00966A08">
              <w:rPr>
                <w:rFonts w:eastAsia="MS Mincho" w:cs="Arial"/>
                <w:strike/>
                <w:color w:val="000000"/>
                <w:sz w:val="18"/>
                <w:szCs w:val="18"/>
                <w:highlight w:val="lightGray"/>
                <w:lang w:eastAsia="ja-JP"/>
              </w:rPr>
              <w:t>60</w:t>
            </w:r>
            <w:r w:rsidRPr="00966A08">
              <w:rPr>
                <w:rFonts w:eastAsia="MS Mincho" w:cs="Arial"/>
                <w:color w:val="000000"/>
                <w:sz w:val="18"/>
                <w:szCs w:val="18"/>
                <w:highlight w:val="lightGray"/>
                <w:lang w:eastAsia="ja-JP"/>
              </w:rPr>
              <w:t xml:space="preserve"> </w:t>
            </w:r>
            <w:r w:rsidRPr="00966A08">
              <w:rPr>
                <w:rFonts w:eastAsia="MS Mincho" w:cs="Arial"/>
                <w:color w:val="000000"/>
                <w:sz w:val="18"/>
                <w:szCs w:val="18"/>
                <w:highlight w:val="lightGray"/>
                <w:u w:val="single"/>
                <w:lang w:eastAsia="ja-JP"/>
              </w:rPr>
              <w:t>1</w:t>
            </w:r>
            <w:r w:rsidRPr="00966A08">
              <w:rPr>
                <w:rFonts w:eastAsia="MS Mincho" w:cs="Arial"/>
                <w:color w:val="000000"/>
                <w:sz w:val="18"/>
                <w:szCs w:val="18"/>
                <w:lang w:eastAsia="ja-JP"/>
              </w:rPr>
              <w:t xml:space="preserve">, and the </w:t>
            </w:r>
            <w:r w:rsidRPr="00966A08">
              <w:rPr>
                <w:rFonts w:eastAsia="MS Mincho" w:cs="Arial"/>
                <w:strike/>
                <w:color w:val="000000"/>
                <w:sz w:val="18"/>
                <w:szCs w:val="18"/>
                <w:highlight w:val="lightGray"/>
                <w:lang w:eastAsia="ja-JP"/>
              </w:rPr>
              <w:t>number of comparable varieties is limited for that species</w:t>
            </w:r>
            <w:r w:rsidRPr="00966A08">
              <w:rPr>
                <w:rFonts w:eastAsia="MS Mincho" w:cs="Arial"/>
                <w:color w:val="000000"/>
                <w:sz w:val="18"/>
                <w:szCs w:val="18"/>
                <w:highlight w:val="lightGray"/>
                <w:lang w:eastAsia="ja-JP"/>
              </w:rPr>
              <w:t xml:space="preserve"> </w:t>
            </w:r>
            <w:r w:rsidRPr="00966A08">
              <w:rPr>
                <w:rFonts w:eastAsia="MS Mincho" w:cs="Arial"/>
                <w:color w:val="000000"/>
                <w:sz w:val="18"/>
                <w:szCs w:val="18"/>
                <w:highlight w:val="lightGray"/>
                <w:u w:val="single"/>
                <w:lang w:eastAsia="ja-JP"/>
              </w:rPr>
              <w:t>sample size is 60 for that variety</w:t>
            </w:r>
            <w:r w:rsidRPr="00966A08">
              <w:rPr>
                <w:rFonts w:eastAsia="MS Mincho" w:cs="Arial"/>
                <w:color w:val="000000"/>
                <w:sz w:val="18"/>
                <w:szCs w:val="18"/>
                <w:lang w:eastAsia="ja-JP"/>
              </w:rPr>
              <w:t xml:space="preserve">, </w:t>
            </w:r>
            <w:r>
              <w:rPr>
                <w:rFonts w:eastAsia="MS Mincho" w:cs="Arial"/>
                <w:color w:val="000000"/>
                <w:sz w:val="18"/>
                <w:szCs w:val="18"/>
                <w:lang w:eastAsia="ja-JP"/>
              </w:rPr>
              <w:t xml:space="preserve">then the threshold </w:t>
            </w:r>
            <w:r w:rsidRPr="007C0D91">
              <w:rPr>
                <w:rFonts w:eastAsia="MS Mincho" w:cs="Arial"/>
                <w:strike/>
                <w:color w:val="000000"/>
                <w:sz w:val="18"/>
                <w:szCs w:val="18"/>
                <w:highlight w:val="lightGray"/>
                <w:lang w:eastAsia="ja-JP"/>
              </w:rPr>
              <w:t>limit</w:t>
            </w:r>
            <w:r>
              <w:rPr>
                <w:rFonts w:eastAsia="MS Mincho" w:cs="Arial"/>
                <w:color w:val="000000"/>
                <w:sz w:val="18"/>
                <w:szCs w:val="18"/>
                <w:lang w:eastAsia="ja-JP"/>
              </w:rPr>
              <w:t xml:space="preserve"> is 1.84 </w:t>
            </w:r>
            <w:r w:rsidRPr="00966A08">
              <w:rPr>
                <w:rFonts w:eastAsia="MS Mincho" w:cs="Arial"/>
                <w:color w:val="000000"/>
                <w:sz w:val="18"/>
                <w:szCs w:val="18"/>
                <w:lang w:eastAsia="ja-JP"/>
              </w:rPr>
              <w:t>(df1 =60, df2 =60)”.</w:t>
            </w:r>
          </w:p>
          <w:p w:rsidR="00D335A4" w:rsidRPr="00700478" w:rsidRDefault="00D335A4" w:rsidP="00C622EB"/>
        </w:tc>
        <w:tc>
          <w:tcPr>
            <w:tcW w:w="823" w:type="dxa"/>
            <w:shd w:val="clear" w:color="auto" w:fill="auto"/>
          </w:tcPr>
          <w:p w:rsidR="00D335A4" w:rsidRPr="00100526" w:rsidRDefault="00D335A4" w:rsidP="00C622EB">
            <w:pPr>
              <w:spacing w:before="120"/>
            </w:pPr>
            <w:r>
              <w:t>TWC</w:t>
            </w:r>
          </w:p>
        </w:tc>
      </w:tr>
    </w:tbl>
    <w:p w:rsidR="00D335A4" w:rsidRDefault="00D335A4" w:rsidP="00D335A4">
      <w:pPr>
        <w:rPr>
          <w:rFonts w:cs="Arial"/>
        </w:rPr>
      </w:pPr>
    </w:p>
    <w:p w:rsidR="00D335A4" w:rsidRDefault="00D335A4" w:rsidP="00D335A4">
      <w:pPr>
        <w:rPr>
          <w:rFonts w:cs="Arial"/>
        </w:rPr>
      </w:pPr>
    </w:p>
    <w:p w:rsidR="00D335A4" w:rsidRPr="00100526" w:rsidRDefault="00D335A4" w:rsidP="00D335A4">
      <w:pPr>
        <w:pStyle w:val="Heading1"/>
      </w:pPr>
      <w:bookmarkStart w:id="9" w:name="_Toc377653912"/>
      <w:r>
        <w:t>proposal</w:t>
      </w:r>
      <w:bookmarkEnd w:id="9"/>
      <w:r>
        <w:t xml:space="preserve"> </w:t>
      </w:r>
    </w:p>
    <w:p w:rsidR="00D335A4" w:rsidRDefault="00D335A4" w:rsidP="00D335A4">
      <w:pPr>
        <w:rPr>
          <w:rFonts w:cs="Arial"/>
        </w:rPr>
      </w:pPr>
    </w:p>
    <w:p w:rsidR="00D335A4" w:rsidRDefault="00D335A4" w:rsidP="00D335A4">
      <w:pPr>
        <w:rPr>
          <w:rFonts w:cs="Arial"/>
        </w:rPr>
      </w:pPr>
      <w:r w:rsidRPr="00100526">
        <w:fldChar w:fldCharType="begin"/>
      </w:r>
      <w:r w:rsidRPr="00100526">
        <w:instrText xml:space="preserve"> AUTONUM  </w:instrText>
      </w:r>
      <w:r w:rsidRPr="00100526">
        <w:fldChar w:fldCharType="end"/>
      </w:r>
      <w:r w:rsidRPr="00100526">
        <w:tab/>
      </w:r>
      <w:r>
        <w:t xml:space="preserve">On the basis of the comments of the TWPs at their sessions in 2013, </w:t>
      </w:r>
      <w:r w:rsidRPr="00100526">
        <w:t xml:space="preserve">Annex </w:t>
      </w:r>
      <w:r>
        <w:t xml:space="preserve">II </w:t>
      </w:r>
      <w:r w:rsidR="003C4B34">
        <w:t>to</w:t>
      </w:r>
      <w:r>
        <w:t xml:space="preserve"> </w:t>
      </w:r>
      <w:r w:rsidRPr="00100526">
        <w:t xml:space="preserve">this document contains </w:t>
      </w:r>
      <w:r>
        <w:t xml:space="preserve">the proposed revision of </w:t>
      </w:r>
      <w:r w:rsidRPr="00100526">
        <w:t>Section</w:t>
      </w:r>
      <w:r w:rsidR="007824C2">
        <w:t> </w:t>
      </w:r>
      <w:r w:rsidRPr="00100526">
        <w:t>10: “Uniformity Assessment on the Basis of the Relative Variance Method”,</w:t>
      </w:r>
      <w:r>
        <w:t xml:space="preserve"> </w:t>
      </w:r>
      <w:r w:rsidR="00F7556C">
        <w:t>prepared</w:t>
      </w:r>
      <w:r w:rsidRPr="00100526">
        <w:t xml:space="preserve"> by the dra</w:t>
      </w:r>
      <w:r>
        <w:t>fter (Mr. </w:t>
      </w:r>
      <w:proofErr w:type="spellStart"/>
      <w:r>
        <w:t>Nik</w:t>
      </w:r>
      <w:proofErr w:type="spellEnd"/>
      <w:r>
        <w:t> </w:t>
      </w:r>
      <w:proofErr w:type="spellStart"/>
      <w:r>
        <w:t>Hulse</w:t>
      </w:r>
      <w:proofErr w:type="spellEnd"/>
      <w:r>
        <w:t>, Australia).</w:t>
      </w:r>
    </w:p>
    <w:p w:rsidR="00D335A4" w:rsidRPr="00100526" w:rsidRDefault="00D335A4" w:rsidP="00D335A4">
      <w:pPr>
        <w:rPr>
          <w:rFonts w:cs="Arial"/>
        </w:rPr>
      </w:pPr>
    </w:p>
    <w:p w:rsidR="00D335A4" w:rsidRPr="00100526" w:rsidRDefault="00D335A4" w:rsidP="008F34D0">
      <w:pPr>
        <w:tabs>
          <w:tab w:val="left" w:pos="5670"/>
        </w:tabs>
        <w:ind w:left="4820"/>
        <w:rPr>
          <w:rFonts w:cs="Arial"/>
        </w:rPr>
      </w:pPr>
      <w:r w:rsidRPr="00920628">
        <w:rPr>
          <w:i/>
        </w:rPr>
        <w:fldChar w:fldCharType="begin"/>
      </w:r>
      <w:r w:rsidRPr="00920628">
        <w:rPr>
          <w:i/>
        </w:rPr>
        <w:instrText xml:space="preserve"> AUTONUM  </w:instrText>
      </w:r>
      <w:r w:rsidRPr="00920628">
        <w:rPr>
          <w:i/>
        </w:rPr>
        <w:fldChar w:fldCharType="end"/>
      </w:r>
      <w:r w:rsidRPr="00920628">
        <w:rPr>
          <w:i/>
        </w:rPr>
        <w:tab/>
      </w:r>
      <w:r w:rsidRPr="00920628">
        <w:rPr>
          <w:i/>
        </w:rPr>
        <w:tab/>
        <w:t xml:space="preserve">The TC is invited to </w:t>
      </w:r>
      <w:r w:rsidR="007824C2" w:rsidRPr="00920628">
        <w:rPr>
          <w:i/>
        </w:rPr>
        <w:t xml:space="preserve">consider the proposed revision of </w:t>
      </w:r>
      <w:r w:rsidR="00920628" w:rsidRPr="00920628">
        <w:rPr>
          <w:i/>
        </w:rPr>
        <w:t>document TGP/8, Section 10: “Uniformity Assessment on the Basis of the Relative Variance Method”, as set out in Annex II to this document</w:t>
      </w:r>
      <w:r w:rsidRPr="004D79D9">
        <w:rPr>
          <w:i/>
        </w:rPr>
        <w:t>.</w:t>
      </w:r>
    </w:p>
    <w:p w:rsidR="00D335A4" w:rsidRDefault="00D335A4" w:rsidP="00D335A4">
      <w:pPr>
        <w:rPr>
          <w:rFonts w:cs="Arial"/>
        </w:rPr>
      </w:pPr>
    </w:p>
    <w:p w:rsidR="00DD0E7F" w:rsidRDefault="00DD0E7F" w:rsidP="00D335A4">
      <w:pPr>
        <w:rPr>
          <w:rFonts w:cs="Arial"/>
        </w:rPr>
      </w:pPr>
    </w:p>
    <w:p w:rsidR="00D335A4" w:rsidRPr="00100526" w:rsidRDefault="00D335A4" w:rsidP="00D335A4">
      <w:pPr>
        <w:rPr>
          <w:rFonts w:cs="Arial"/>
        </w:rPr>
      </w:pPr>
    </w:p>
    <w:p w:rsidR="00D335A4" w:rsidRPr="00100526" w:rsidRDefault="00D335A4" w:rsidP="00D335A4">
      <w:pPr>
        <w:jc w:val="right"/>
        <w:rPr>
          <w:rFonts w:cs="Arial"/>
          <w:lang w:val="en-GB"/>
        </w:rPr>
      </w:pPr>
      <w:r w:rsidRPr="00100526">
        <w:rPr>
          <w:rFonts w:cs="Arial"/>
          <w:lang w:val="en-GB"/>
        </w:rPr>
        <w:t>[Annex</w:t>
      </w:r>
      <w:r>
        <w:rPr>
          <w:rFonts w:cs="Arial"/>
          <w:lang w:val="en-GB"/>
        </w:rPr>
        <w:t>es</w:t>
      </w:r>
      <w:r w:rsidRPr="00100526">
        <w:rPr>
          <w:rFonts w:cs="Arial"/>
          <w:lang w:val="en-GB"/>
        </w:rPr>
        <w:t xml:space="preserve"> follow]</w:t>
      </w:r>
    </w:p>
    <w:p w:rsidR="00D335A4" w:rsidRDefault="00D335A4" w:rsidP="00D335A4">
      <w:pPr>
        <w:sectPr w:rsidR="00D335A4" w:rsidSect="009041DE">
          <w:headerReference w:type="default" r:id="rId8"/>
          <w:pgSz w:w="11907" w:h="16840" w:code="9"/>
          <w:pgMar w:top="284" w:right="1440" w:bottom="1276" w:left="1440" w:header="510" w:footer="680" w:gutter="0"/>
          <w:cols w:space="720"/>
          <w:titlePg/>
          <w:docGrid w:linePitch="272"/>
        </w:sectPr>
      </w:pPr>
    </w:p>
    <w:p w:rsidR="00D335A4" w:rsidRPr="002C4DF7" w:rsidRDefault="00D335A4" w:rsidP="00D335A4">
      <w:pPr>
        <w:widowControl w:val="0"/>
        <w:autoSpaceDE w:val="0"/>
        <w:autoSpaceDN w:val="0"/>
        <w:adjustRightInd w:val="0"/>
        <w:rPr>
          <w:caps/>
        </w:rPr>
      </w:pPr>
      <w:r w:rsidRPr="002C4DF7">
        <w:rPr>
          <w:rFonts w:eastAsia="MS Mincho"/>
          <w:caps/>
          <w:color w:val="000000"/>
          <w:szCs w:val="24"/>
          <w:lang w:eastAsia="ja-JP"/>
        </w:rPr>
        <w:lastRenderedPageBreak/>
        <w:t xml:space="preserve">Draft </w:t>
      </w:r>
      <w:r w:rsidRPr="002C4DF7">
        <w:rPr>
          <w:bCs/>
          <w:caps/>
          <w:noProof/>
        </w:rPr>
        <w:t xml:space="preserve">proposal for revision of </w:t>
      </w:r>
      <w:r w:rsidRPr="002C4DF7">
        <w:rPr>
          <w:caps/>
        </w:rPr>
        <w:t>document TGP/8 Section 10: “</w:t>
      </w:r>
      <w:r w:rsidR="00D53B3B">
        <w:rPr>
          <w:caps/>
        </w:rPr>
        <w:t xml:space="preserve">minimum number of comparable varieties for the </w:t>
      </w:r>
      <w:r w:rsidRPr="002C4DF7">
        <w:rPr>
          <w:caps/>
        </w:rPr>
        <w:t>Relative Variance Method” considered by the TC and TWPs at their sessions in 2013</w:t>
      </w:r>
    </w:p>
    <w:p w:rsidR="00D335A4" w:rsidRDefault="00D335A4" w:rsidP="00D335A4">
      <w:pPr>
        <w:widowControl w:val="0"/>
        <w:autoSpaceDE w:val="0"/>
        <w:autoSpaceDN w:val="0"/>
        <w:adjustRightInd w:val="0"/>
        <w:jc w:val="center"/>
      </w:pPr>
    </w:p>
    <w:p w:rsidR="00D335A4" w:rsidRPr="00BE0660" w:rsidRDefault="00D335A4" w:rsidP="00D335A4">
      <w:pPr>
        <w:widowControl w:val="0"/>
        <w:autoSpaceDE w:val="0"/>
        <w:autoSpaceDN w:val="0"/>
        <w:adjustRightInd w:val="0"/>
        <w:jc w:val="center"/>
        <w:rPr>
          <w:rFonts w:eastAsia="Batang" w:cs="Arial"/>
          <w:caps/>
          <w:color w:val="000000"/>
          <w:lang w:val="en-AU"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D335A4" w:rsidRPr="00100526" w:rsidTr="00C622EB">
        <w:trPr>
          <w:cantSplit/>
          <w:jc w:val="center"/>
        </w:trPr>
        <w:tc>
          <w:tcPr>
            <w:tcW w:w="6664" w:type="dxa"/>
            <w:shd w:val="clear" w:color="auto" w:fill="E6E6E6"/>
          </w:tcPr>
          <w:p w:rsidR="00D335A4" w:rsidRPr="00100526" w:rsidRDefault="00D335A4" w:rsidP="00C622EB">
            <w:pPr>
              <w:jc w:val="center"/>
              <w:rPr>
                <w:rFonts w:cs="Arial"/>
                <w:sz w:val="18"/>
                <w:szCs w:val="22"/>
                <w:u w:val="single"/>
              </w:rPr>
            </w:pPr>
            <w:r w:rsidRPr="00100526">
              <w:rPr>
                <w:rFonts w:cs="Arial"/>
                <w:sz w:val="18"/>
                <w:szCs w:val="22"/>
                <w:u w:val="single"/>
              </w:rPr>
              <w:t>Note for Draft version</w:t>
            </w:r>
          </w:p>
          <w:p w:rsidR="00D335A4" w:rsidRPr="00100526" w:rsidRDefault="00D335A4" w:rsidP="00C622EB">
            <w:pPr>
              <w:rPr>
                <w:rFonts w:cs="Arial"/>
                <w:sz w:val="18"/>
                <w:szCs w:val="22"/>
                <w:u w:val="single"/>
              </w:rPr>
            </w:pPr>
          </w:p>
          <w:p w:rsidR="00D335A4" w:rsidRPr="00100526" w:rsidRDefault="00D335A4" w:rsidP="00C622EB">
            <w:pPr>
              <w:rPr>
                <w:rFonts w:cs="Arial"/>
                <w:bCs/>
                <w:sz w:val="18"/>
                <w:szCs w:val="22"/>
              </w:rPr>
            </w:pPr>
            <w:r w:rsidRPr="00100526">
              <w:rPr>
                <w:rFonts w:cs="Arial"/>
                <w:b/>
                <w:bCs/>
                <w:sz w:val="18"/>
                <w:szCs w:val="22"/>
                <w:u w:val="single"/>
              </w:rPr>
              <w:t>Underlining</w:t>
            </w:r>
            <w:r w:rsidRPr="00100526">
              <w:rPr>
                <w:rFonts w:cs="Arial"/>
                <w:b/>
                <w:bCs/>
                <w:sz w:val="18"/>
                <w:szCs w:val="22"/>
              </w:rPr>
              <w:t xml:space="preserve"> </w:t>
            </w:r>
            <w:r w:rsidRPr="00100526">
              <w:rPr>
                <w:rFonts w:cs="Arial"/>
                <w:b/>
                <w:sz w:val="18"/>
                <w:szCs w:val="22"/>
              </w:rPr>
              <w:t>(highlighted)</w:t>
            </w:r>
            <w:r w:rsidRPr="00100526">
              <w:rPr>
                <w:rFonts w:cs="Arial"/>
                <w:sz w:val="18"/>
                <w:szCs w:val="22"/>
              </w:rPr>
              <w:t xml:space="preserve"> </w:t>
            </w:r>
            <w:r w:rsidRPr="00100526">
              <w:rPr>
                <w:rFonts w:cs="Arial"/>
                <w:bCs/>
                <w:sz w:val="18"/>
                <w:szCs w:val="22"/>
              </w:rPr>
              <w:t>indicates proposed changes to document TGP/8/1</w:t>
            </w:r>
          </w:p>
          <w:p w:rsidR="00D335A4" w:rsidRPr="00100526" w:rsidRDefault="00D335A4" w:rsidP="00C622EB">
            <w:pPr>
              <w:rPr>
                <w:rFonts w:cs="Arial"/>
                <w:szCs w:val="22"/>
              </w:rPr>
            </w:pPr>
          </w:p>
        </w:tc>
      </w:tr>
    </w:tbl>
    <w:p w:rsidR="00D335A4" w:rsidRPr="00100526" w:rsidRDefault="00D335A4" w:rsidP="00D335A4">
      <w:pPr>
        <w:widowControl w:val="0"/>
        <w:autoSpaceDE w:val="0"/>
        <w:autoSpaceDN w:val="0"/>
        <w:adjustRightInd w:val="0"/>
        <w:rPr>
          <w:rFonts w:eastAsia="Batang" w:cs="Arial"/>
          <w:color w:val="000000"/>
          <w:lang w:eastAsia="ko-KR"/>
        </w:rPr>
      </w:pPr>
    </w:p>
    <w:p w:rsidR="00D335A4" w:rsidRPr="00100526" w:rsidRDefault="00D335A4" w:rsidP="00D335A4">
      <w:pPr>
        <w:widowControl w:val="0"/>
        <w:autoSpaceDE w:val="0"/>
        <w:autoSpaceDN w:val="0"/>
        <w:adjustRightInd w:val="0"/>
        <w:rPr>
          <w:rFonts w:eastAsia="Batang" w:cs="Arial"/>
          <w:color w:val="000000"/>
          <w:lang w:val="en-AU" w:eastAsia="ko-KR"/>
        </w:rPr>
      </w:pPr>
      <w:r w:rsidRPr="00100526">
        <w:rPr>
          <w:rFonts w:eastAsia="Batang" w:cs="Arial"/>
          <w:bCs/>
          <w:color w:val="000000"/>
          <w:lang w:val="en-AU" w:eastAsia="ko-KR"/>
        </w:rPr>
        <w:t xml:space="preserve">10. </w:t>
      </w:r>
      <w:r w:rsidRPr="00100526">
        <w:rPr>
          <w:rFonts w:eastAsia="Batang" w:cs="Arial"/>
          <w:bCs/>
          <w:color w:val="000000"/>
          <w:lang w:val="en-AU" w:eastAsia="ko-KR"/>
        </w:rPr>
        <w:tab/>
        <w:t xml:space="preserve">UNIFORMITY ASSESSMENT ON THE BASIS OF THE RELATIVE VARIANCE METHOD </w:t>
      </w:r>
    </w:p>
    <w:p w:rsidR="00D335A4" w:rsidRPr="00100526" w:rsidRDefault="00D335A4" w:rsidP="00D335A4">
      <w:pPr>
        <w:widowControl w:val="0"/>
        <w:autoSpaceDE w:val="0"/>
        <w:autoSpaceDN w:val="0"/>
        <w:adjustRightInd w:val="0"/>
        <w:rPr>
          <w:rFonts w:eastAsia="Batang" w:cs="Arial"/>
          <w:bCs/>
          <w:color w:val="000000"/>
          <w:u w:val="single"/>
          <w:lang w:val="en-AU" w:eastAsia="ko-KR"/>
        </w:rPr>
      </w:pPr>
    </w:p>
    <w:p w:rsidR="00D335A4" w:rsidRPr="00100526" w:rsidRDefault="00D335A4" w:rsidP="00D335A4">
      <w:pPr>
        <w:widowControl w:val="0"/>
        <w:autoSpaceDE w:val="0"/>
        <w:autoSpaceDN w:val="0"/>
        <w:adjustRightInd w:val="0"/>
        <w:rPr>
          <w:rFonts w:eastAsia="Batang" w:cs="Arial"/>
          <w:color w:val="000000"/>
          <w:lang w:val="en-AU" w:eastAsia="ko-KR"/>
        </w:rPr>
      </w:pPr>
      <w:r w:rsidRPr="00100526">
        <w:rPr>
          <w:rFonts w:eastAsia="Batang" w:cs="Arial"/>
          <w:bCs/>
          <w:color w:val="000000"/>
          <w:lang w:val="en-AU" w:eastAsia="ko-KR"/>
        </w:rPr>
        <w:t>10.1</w:t>
      </w:r>
      <w:r w:rsidRPr="00100526">
        <w:rPr>
          <w:rFonts w:eastAsia="Batang" w:cs="Arial"/>
          <w:bCs/>
          <w:color w:val="000000"/>
          <w:lang w:val="en-AU" w:eastAsia="ko-KR"/>
        </w:rPr>
        <w:tab/>
      </w:r>
      <w:r w:rsidRPr="00100526">
        <w:rPr>
          <w:rFonts w:eastAsia="Batang" w:cs="Arial"/>
          <w:bCs/>
          <w:color w:val="000000"/>
          <w:u w:val="single"/>
          <w:lang w:val="en-AU" w:eastAsia="ko-KR"/>
        </w:rPr>
        <w:t xml:space="preserve">Use of the relative variance method </w:t>
      </w:r>
    </w:p>
    <w:p w:rsidR="00D335A4" w:rsidRPr="00100526" w:rsidRDefault="00D335A4" w:rsidP="00D335A4">
      <w:pPr>
        <w:keepNext/>
        <w:keepLines/>
        <w:rPr>
          <w:rFonts w:cs="Arial"/>
          <w:b/>
          <w:u w:val="single"/>
          <w:lang w:val="en-AU"/>
        </w:rPr>
      </w:pPr>
    </w:p>
    <w:p w:rsidR="00D335A4" w:rsidRPr="00100526" w:rsidRDefault="00D335A4" w:rsidP="00D335A4">
      <w:pPr>
        <w:tabs>
          <w:tab w:val="left" w:pos="840"/>
        </w:tabs>
        <w:rPr>
          <w:rFonts w:ascii="TimesNewRomanPSMT" w:eastAsia="SimSun" w:hAnsi="TimesNewRomanPSMT" w:cs="TimesNewRomanPSMT"/>
          <w:szCs w:val="24"/>
          <w:lang w:eastAsia="zh-CN"/>
        </w:rPr>
      </w:pPr>
      <w:r w:rsidRPr="00100526">
        <w:rPr>
          <w:rFonts w:cs="Arial"/>
          <w:color w:val="000000"/>
          <w:highlight w:val="lightGray"/>
          <w:u w:val="single"/>
        </w:rPr>
        <w:t>10.1.1</w:t>
      </w:r>
      <w:r w:rsidRPr="00100526">
        <w:rPr>
          <w:rFonts w:cs="Arial"/>
          <w:color w:val="000000"/>
        </w:rPr>
        <w:tab/>
      </w:r>
      <w:r w:rsidRPr="00100526">
        <w:t>The relative variance for a particular characteristic refers to the variance of the candidate divided by the average of the variance of the comparable varieties (i.e. Relative variance = variance of the candidate/average variance of the comparable varieties).  The data should be normally distributed.  The relative variance method may be applied to any measured characteristic that is a continuous variable irrespective of the method of propagation of the variety.  Comparable varieties are varieties of the same type within the same or a closely related species that have been previously examined and considered to be sufficiently uniform (see document TGP/10, Section 5.2 “Determining acceptable level of variation”).</w:t>
      </w:r>
    </w:p>
    <w:p w:rsidR="00D335A4" w:rsidRPr="00100526" w:rsidRDefault="00D335A4" w:rsidP="00D335A4">
      <w:pPr>
        <w:autoSpaceDE w:val="0"/>
        <w:autoSpaceDN w:val="0"/>
        <w:adjustRightInd w:val="0"/>
        <w:rPr>
          <w:rFonts w:ascii="TimesNewRomanPSMT" w:eastAsia="SimSun" w:hAnsi="TimesNewRomanPSMT" w:cs="TimesNewRomanPSMT"/>
          <w:szCs w:val="24"/>
          <w:lang w:eastAsia="zh-CN"/>
        </w:rPr>
      </w:pPr>
    </w:p>
    <w:p w:rsidR="00D335A4" w:rsidRPr="00100526" w:rsidRDefault="00D335A4" w:rsidP="00D335A4">
      <w:pPr>
        <w:keepNext/>
        <w:keepLines/>
        <w:tabs>
          <w:tab w:val="left" w:pos="840"/>
        </w:tabs>
        <w:rPr>
          <w:u w:val="single"/>
        </w:rPr>
      </w:pPr>
      <w:r w:rsidRPr="00100526">
        <w:rPr>
          <w:rFonts w:cs="Arial"/>
          <w:color w:val="000000"/>
          <w:highlight w:val="lightGray"/>
          <w:u w:val="single"/>
        </w:rPr>
        <w:t>10.1.2</w:t>
      </w:r>
      <w:r w:rsidRPr="00100526">
        <w:rPr>
          <w:rFonts w:cs="Arial"/>
          <w:color w:val="000000"/>
        </w:rPr>
        <w:tab/>
      </w:r>
      <w:r w:rsidRPr="00100526">
        <w:t>In cross-pollinated varieties, a common recommendation in the UPOV Test Guidelines is to take 60 measurements per characteristic per variety.  In essence, the variance ratio equates to the F statistic, and the tabulated value of F at P = 0.01 under df</w:t>
      </w:r>
      <w:r w:rsidRPr="00100526">
        <w:rPr>
          <w:vertAlign w:val="subscript"/>
        </w:rPr>
        <w:t>1</w:t>
      </w:r>
      <w:r w:rsidRPr="00100526">
        <w:t xml:space="preserve"> =60 (degrees of freedom of candidate) and df</w:t>
      </w:r>
      <w:r w:rsidRPr="00100526">
        <w:rPr>
          <w:vertAlign w:val="subscript"/>
        </w:rPr>
        <w:t>2</w:t>
      </w:r>
      <w:r w:rsidRPr="00100526">
        <w:t xml:space="preserve"> = </w:t>
      </w:r>
      <w:r w:rsidRPr="00100526">
        <w:sym w:font="Symbol" w:char="F0A5"/>
      </w:r>
      <w:r w:rsidRPr="00100526">
        <w:t xml:space="preserve"> (degrees of freedom of comparable </w:t>
      </w:r>
      <w:proofErr w:type="gramStart"/>
      <w:r w:rsidRPr="00100526">
        <w:t>variety(</w:t>
      </w:r>
      <w:proofErr w:type="spellStart"/>
      <w:proofErr w:type="gramEnd"/>
      <w:r w:rsidRPr="00100526">
        <w:t>ies</w:t>
      </w:r>
      <w:proofErr w:type="spellEnd"/>
      <w:r w:rsidRPr="00100526">
        <w:t xml:space="preserve">)) is </w:t>
      </w:r>
      <w:r w:rsidRPr="00100526">
        <w:rPr>
          <w:bCs/>
          <w:highlight w:val="lightGray"/>
          <w:u w:val="single"/>
        </w:rPr>
        <w:t>1.47</w:t>
      </w:r>
      <w:r w:rsidRPr="00100526">
        <w:rPr>
          <w:bCs/>
        </w:rPr>
        <w:t xml:space="preserve">,  </w:t>
      </w:r>
      <w:r w:rsidRPr="00100526">
        <w:rPr>
          <w:b/>
        </w:rPr>
        <w:t xml:space="preserve">  </w:t>
      </w:r>
      <w:r w:rsidRPr="00100526">
        <w:t>df</w:t>
      </w:r>
      <w:r w:rsidRPr="00100526">
        <w:rPr>
          <w:vertAlign w:val="subscript"/>
        </w:rPr>
        <w:t>2</w:t>
      </w:r>
      <w:r w:rsidRPr="00100526">
        <w:t xml:space="preserve"> = </w:t>
      </w:r>
      <w:r w:rsidRPr="00100526">
        <w:sym w:font="Symbol" w:char="F0A5"/>
      </w:r>
      <w:r w:rsidRPr="00100526">
        <w:t xml:space="preserve"> is chosen as a conservative estimate, as it is assumed that comparable varieties accurately represent the infinite number of possible comparable varieties for the species as a whole.  Therefore, </w:t>
      </w:r>
      <w:r w:rsidRPr="00100526">
        <w:rPr>
          <w:bCs/>
          <w:highlight w:val="lightGray"/>
          <w:u w:val="single"/>
        </w:rPr>
        <w:t>1.47</w:t>
      </w:r>
      <w:r w:rsidRPr="00100526">
        <w:t xml:space="preserve"> is the threshold limit for cross-pollinated species with 60 measurements per characteristic per variety.  For different sample sizes, a different F statistic should be used for the df</w:t>
      </w:r>
      <w:r w:rsidRPr="00100526">
        <w:rPr>
          <w:vertAlign w:val="subscript"/>
        </w:rPr>
        <w:t>1,</w:t>
      </w:r>
      <w:r w:rsidRPr="00100526">
        <w:t xml:space="preserve"> although the df</w:t>
      </w:r>
      <w:r w:rsidRPr="00100526">
        <w:rPr>
          <w:vertAlign w:val="subscript"/>
        </w:rPr>
        <w:t>2</w:t>
      </w:r>
      <w:r w:rsidRPr="00100526">
        <w:t xml:space="preserve"> should remain </w:t>
      </w:r>
      <w:proofErr w:type="gramStart"/>
      <w:r w:rsidRPr="00100526">
        <w:t xml:space="preserve">at </w:t>
      </w:r>
      <w:proofErr w:type="gramEnd"/>
      <w:r w:rsidRPr="00100526">
        <w:sym w:font="Symbol" w:char="F0A5"/>
      </w:r>
      <w:r w:rsidRPr="00100526">
        <w:t xml:space="preserve">.  </w:t>
      </w:r>
    </w:p>
    <w:p w:rsidR="00D335A4" w:rsidRDefault="00D335A4" w:rsidP="00D335A4"/>
    <w:p w:rsidR="00D335A4" w:rsidRPr="00100526" w:rsidRDefault="00D335A4" w:rsidP="00D335A4"/>
    <w:p w:rsidR="00D335A4" w:rsidRPr="00100526" w:rsidRDefault="00D335A4" w:rsidP="00D335A4">
      <w:pPr>
        <w:keepNext/>
        <w:rPr>
          <w:u w:val="single"/>
        </w:rPr>
      </w:pPr>
      <w:r w:rsidRPr="00100526">
        <w:t>10.2</w:t>
      </w:r>
      <w:r w:rsidRPr="00100526">
        <w:tab/>
      </w:r>
      <w:r w:rsidRPr="00100526">
        <w:rPr>
          <w:u w:val="single"/>
        </w:rPr>
        <w:t>Threshold limit for different sample sizes</w:t>
      </w:r>
    </w:p>
    <w:p w:rsidR="00D335A4" w:rsidRPr="00100526" w:rsidRDefault="00D335A4" w:rsidP="00D335A4">
      <w:pPr>
        <w:keepNext/>
        <w:rPr>
          <w:b/>
          <w:u w:val="single"/>
        </w:rPr>
      </w:pPr>
    </w:p>
    <w:p w:rsidR="00D335A4" w:rsidRPr="00100526" w:rsidRDefault="00D335A4" w:rsidP="00D335A4">
      <w:pPr>
        <w:keepNext/>
        <w:rPr>
          <w:u w:val="single"/>
        </w:rPr>
      </w:pPr>
      <w:r w:rsidRPr="00100526">
        <w:t>10</w:t>
      </w:r>
      <w:r w:rsidRPr="00100526">
        <w:rPr>
          <w:bCs/>
        </w:rPr>
        <w:t>.2.1</w:t>
      </w:r>
      <w:r w:rsidRPr="00100526">
        <w:t xml:space="preserve"> However, </w:t>
      </w:r>
      <w:r w:rsidRPr="00100526">
        <w:rPr>
          <w:highlight w:val="lightGray"/>
          <w:u w:val="single"/>
        </w:rPr>
        <w:t xml:space="preserve">when there is a limited number of </w:t>
      </w:r>
      <w:r w:rsidRPr="00100526">
        <w:t xml:space="preserve">comparable varieties </w:t>
      </w:r>
      <w:r w:rsidRPr="00100526">
        <w:rPr>
          <w:highlight w:val="lightGray"/>
          <w:u w:val="single"/>
        </w:rPr>
        <w:t>available for</w:t>
      </w:r>
      <w:r w:rsidRPr="00100526">
        <w:rPr>
          <w:u w:val="single"/>
        </w:rPr>
        <w:t xml:space="preserve"> </w:t>
      </w:r>
      <w:r w:rsidRPr="00100526">
        <w:t xml:space="preserve">a </w:t>
      </w:r>
      <w:proofErr w:type="gramStart"/>
      <w:r w:rsidRPr="00100526">
        <w:t xml:space="preserve">species </w:t>
      </w:r>
      <w:r w:rsidRPr="00100526">
        <w:rPr>
          <w:highlight w:val="lightGray"/>
          <w:u w:val="single"/>
        </w:rPr>
        <w:t>,</w:t>
      </w:r>
      <w:proofErr w:type="gramEnd"/>
      <w:r w:rsidRPr="00100526">
        <w:rPr>
          <w:highlight w:val="lightGray"/>
          <w:u w:val="single"/>
        </w:rPr>
        <w:t xml:space="preserve"> it is not practical to use</w:t>
      </w:r>
      <w:r w:rsidRPr="00100526">
        <w:t xml:space="preserve"> a conservative estimate of </w:t>
      </w:r>
      <w:r w:rsidRPr="00100526">
        <w:rPr>
          <w:rFonts w:cs="Arial"/>
          <w:highlight w:val="lightGray"/>
          <w:u w:val="single"/>
        </w:rPr>
        <w:t>df2 = ∞.  In those cases, it is recommended to use the actual</w:t>
      </w:r>
      <w:r w:rsidRPr="00100526">
        <w:t xml:space="preserve"> sample size</w:t>
      </w:r>
      <w:r w:rsidRPr="00100526">
        <w:rPr>
          <w:rFonts w:cs="Arial"/>
          <w:highlight w:val="lightGray"/>
          <w:u w:val="single"/>
        </w:rPr>
        <w:t xml:space="preserve"> of the comparable varieties to estimate the value of df2.  For example, if the actual sample size of the comparable varieties is 60, and the number of comparable varieties is limited for that species, then the threshold limit is 1.84.  (df1 =60, df2 =60).</w:t>
      </w:r>
    </w:p>
    <w:p w:rsidR="00D335A4" w:rsidRPr="00100526" w:rsidRDefault="00D335A4" w:rsidP="00D335A4">
      <w:pPr>
        <w:autoSpaceDE w:val="0"/>
        <w:autoSpaceDN w:val="0"/>
        <w:adjustRightInd w:val="0"/>
        <w:rPr>
          <w:rFonts w:eastAsia="Batang" w:cs="Arial"/>
          <w:color w:val="000000"/>
          <w:highlight w:val="lightGray"/>
          <w:u w:val="single"/>
          <w:lang w:val="en-AU" w:eastAsia="ko-KR"/>
        </w:rPr>
      </w:pPr>
      <w:r w:rsidRPr="00100526">
        <w:br/>
      </w:r>
      <w:r w:rsidRPr="00100526">
        <w:rPr>
          <w:rFonts w:cs="Arial"/>
          <w:highlight w:val="lightGray"/>
          <w:u w:val="single"/>
        </w:rPr>
        <w:t xml:space="preserve">10.2.2 </w:t>
      </w:r>
      <w:r w:rsidRPr="00100526">
        <w:rPr>
          <w:rFonts w:eastAsia="Batang" w:cs="Arial"/>
          <w:color w:val="000000"/>
          <w:highlight w:val="lightGray"/>
          <w:u w:val="single"/>
          <w:lang w:val="en-AU" w:eastAsia="ko-KR"/>
        </w:rPr>
        <w:t>The minimum number of comparable varieties is in part determined by the total number of comparable varieties available within the relevant taxon. Where the available number of comparable varieties is very low, it is recommended that all are included. In cases where the number of comparable varieties is large, then the number includes those in the trial but may also take into consideration data from previous trials where the authority determines that the comparable varieties in the trial may not provide a representative estimate of the population variance for all comparable varieties</w:t>
      </w:r>
      <w:proofErr w:type="gramStart"/>
      <w:r w:rsidRPr="00100526">
        <w:rPr>
          <w:rFonts w:eastAsia="Batang" w:cs="Arial"/>
          <w:color w:val="000000"/>
          <w:highlight w:val="lightGray"/>
          <w:u w:val="single"/>
          <w:lang w:val="en-AU" w:eastAsia="ko-KR"/>
        </w:rPr>
        <w:t>.(</w:t>
      </w:r>
      <w:proofErr w:type="gramEnd"/>
      <w:r w:rsidRPr="00100526">
        <w:rPr>
          <w:rFonts w:eastAsia="Batang" w:cs="Arial"/>
          <w:color w:val="000000"/>
          <w:highlight w:val="lightGray"/>
          <w:u w:val="single"/>
          <w:lang w:val="en-AU" w:eastAsia="ko-KR"/>
        </w:rPr>
        <w:t xml:space="preserve">see TGP/8.1 section 3.6.2.2 for guidance on expansion of variety by year tables). Further information on the use of previous empirical data to estimate variance is included in ASTM E122-09e1 “Standard Practice for Calculating Sample Size to Estimate, With Specified Precision, </w:t>
      </w:r>
      <w:proofErr w:type="gramStart"/>
      <w:r w:rsidRPr="00100526">
        <w:rPr>
          <w:rFonts w:eastAsia="Batang" w:cs="Arial"/>
          <w:color w:val="000000"/>
          <w:highlight w:val="lightGray"/>
          <w:u w:val="single"/>
          <w:lang w:val="en-AU" w:eastAsia="ko-KR"/>
        </w:rPr>
        <w:t>the</w:t>
      </w:r>
      <w:proofErr w:type="gramEnd"/>
      <w:r w:rsidRPr="00100526">
        <w:rPr>
          <w:rFonts w:eastAsia="Batang" w:cs="Arial"/>
          <w:color w:val="000000"/>
          <w:highlight w:val="lightGray"/>
          <w:u w:val="single"/>
          <w:lang w:val="en-AU" w:eastAsia="ko-KR"/>
        </w:rPr>
        <w:t xml:space="preserve"> Average Characteristic of a Lot or Process”. </w:t>
      </w:r>
    </w:p>
    <w:p w:rsidR="00D335A4" w:rsidRDefault="00D335A4" w:rsidP="00D335A4">
      <w:pPr>
        <w:autoSpaceDE w:val="0"/>
        <w:autoSpaceDN w:val="0"/>
        <w:adjustRightInd w:val="0"/>
        <w:jc w:val="left"/>
        <w:rPr>
          <w:rFonts w:ascii="Helv" w:eastAsia="Batang" w:hAnsi="Helv" w:cs="Helv"/>
          <w:color w:val="000000"/>
          <w:highlight w:val="yellow"/>
          <w:lang w:val="en-AU" w:eastAsia="ko-KR"/>
        </w:rPr>
      </w:pPr>
    </w:p>
    <w:p w:rsidR="00D335A4" w:rsidRPr="00100526" w:rsidRDefault="00D335A4" w:rsidP="00D335A4">
      <w:pPr>
        <w:autoSpaceDE w:val="0"/>
        <w:autoSpaceDN w:val="0"/>
        <w:adjustRightInd w:val="0"/>
        <w:jc w:val="left"/>
        <w:rPr>
          <w:rFonts w:ascii="Helv" w:eastAsia="Batang" w:hAnsi="Helv" w:cs="Helv"/>
          <w:color w:val="000000"/>
          <w:highlight w:val="yellow"/>
          <w:lang w:val="en-AU" w:eastAsia="ko-KR"/>
        </w:rPr>
      </w:pPr>
    </w:p>
    <w:p w:rsidR="00D335A4" w:rsidRPr="00100526" w:rsidRDefault="00D335A4" w:rsidP="00D335A4">
      <w:pPr>
        <w:rPr>
          <w:u w:val="single"/>
        </w:rPr>
      </w:pPr>
      <w:r w:rsidRPr="00100526">
        <w:t>10.3</w:t>
      </w:r>
      <w:r w:rsidRPr="00100526">
        <w:tab/>
      </w:r>
      <w:r w:rsidRPr="00100526">
        <w:rPr>
          <w:u w:val="single"/>
        </w:rPr>
        <w:t xml:space="preserve">The relative variance test in practice </w:t>
      </w:r>
    </w:p>
    <w:p w:rsidR="00D335A4" w:rsidRPr="00100526" w:rsidRDefault="00D335A4" w:rsidP="00D335A4">
      <w:pPr>
        <w:rPr>
          <w:b/>
          <w:u w:val="single"/>
        </w:rPr>
      </w:pPr>
    </w:p>
    <w:p w:rsidR="00D335A4" w:rsidRDefault="00D335A4" w:rsidP="00D335A4">
      <w:pPr>
        <w:tabs>
          <w:tab w:val="left" w:pos="810"/>
        </w:tabs>
      </w:pPr>
      <w:r w:rsidRPr="00100526">
        <w:t>10.3.1</w:t>
      </w:r>
      <w:r w:rsidRPr="00100526">
        <w:tab/>
        <w:t xml:space="preserve">When the calculated relative variance is lower than the tabulated value of F then it is reasonable to assume that the variances are equal and the candidate variety is uniform in that particular characteristic.  If the calculated relative variance is higher than the tabulated value of F, then the null hypothesis, that the varieties have equal variances, is rejected.  The candidate variety would then be deemed to have a higher variance than the comparable varieties for that particular characteristic and, therefore, would not meet the uniformity criteria. </w:t>
      </w:r>
    </w:p>
    <w:p w:rsidR="00D335A4" w:rsidRDefault="00D335A4" w:rsidP="00D335A4">
      <w:pPr>
        <w:tabs>
          <w:tab w:val="left" w:pos="810"/>
        </w:tabs>
      </w:pPr>
    </w:p>
    <w:p w:rsidR="00D335A4" w:rsidRPr="00E5513D" w:rsidRDefault="00D335A4" w:rsidP="00D335A4">
      <w:pPr>
        <w:rPr>
          <w:u w:val="single"/>
        </w:rPr>
      </w:pPr>
      <w:r w:rsidRPr="00E5513D">
        <w:rPr>
          <w:u w:val="single"/>
        </w:rPr>
        <w:lastRenderedPageBreak/>
        <w:t>10.4</w:t>
      </w:r>
      <w:r w:rsidRPr="00E5513D">
        <w:rPr>
          <w:u w:val="single"/>
        </w:rPr>
        <w:tab/>
        <w:t>Example of relative variance method</w:t>
      </w:r>
    </w:p>
    <w:p w:rsidR="00D335A4" w:rsidRPr="00100526" w:rsidRDefault="00D335A4" w:rsidP="00D335A4">
      <w:pPr>
        <w:keepNext/>
        <w:keepLines/>
        <w:rPr>
          <w:b/>
          <w:bCs/>
          <w:u w:val="single"/>
          <w:lang w:val="en-GB"/>
        </w:rPr>
      </w:pPr>
    </w:p>
    <w:p w:rsidR="00D335A4" w:rsidRPr="00100526" w:rsidRDefault="00D335A4" w:rsidP="00D335A4">
      <w:pPr>
        <w:keepNext/>
        <w:keepLines/>
        <w:rPr>
          <w:i/>
        </w:rPr>
      </w:pPr>
      <w:r w:rsidRPr="00100526">
        <w:rPr>
          <w:i/>
        </w:rPr>
        <w:t xml:space="preserve">Example </w:t>
      </w:r>
    </w:p>
    <w:p w:rsidR="00D335A4" w:rsidRPr="00100526" w:rsidRDefault="00D335A4" w:rsidP="00D335A4">
      <w:pPr>
        <w:keepNext/>
        <w:keepLines/>
      </w:pPr>
    </w:p>
    <w:p w:rsidR="00D335A4" w:rsidRPr="00100526" w:rsidRDefault="00D335A4" w:rsidP="00D335A4">
      <w:pPr>
        <w:keepNext/>
        <w:keepLines/>
        <w:tabs>
          <w:tab w:val="left" w:pos="840"/>
        </w:tabs>
      </w:pPr>
      <w:r w:rsidRPr="00100526">
        <w:t>10.4.1</w:t>
      </w:r>
      <w:r w:rsidRPr="00100526">
        <w:tab/>
        <w:t xml:space="preserve">In a DUS trial, a cross-pollinated candidate variety is grown together with a number of varieties representing the required level of uniformity for all relevant characteristics.  In order to illustrate the calculation of the relative variance, an example with 4 comparable varieties is given.  The variance data on plant height measurements for the five varieties are presented in Table </w:t>
      </w:r>
      <w:r w:rsidRPr="00100526">
        <w:rPr>
          <w:highlight w:val="lightGray"/>
          <w:u w:val="single"/>
        </w:rPr>
        <w:t>1</w:t>
      </w:r>
      <w:r w:rsidRPr="00100526">
        <w:t>. For each variety, 60 plants were measured for plant height:</w:t>
      </w:r>
    </w:p>
    <w:p w:rsidR="00D335A4" w:rsidRPr="00100526" w:rsidRDefault="00D335A4" w:rsidP="00D335A4"/>
    <w:p w:rsidR="00D335A4" w:rsidRPr="00100526" w:rsidRDefault="00D335A4" w:rsidP="00D335A4">
      <w:pPr>
        <w:tabs>
          <w:tab w:val="left" w:pos="840"/>
        </w:tabs>
      </w:pPr>
      <w:r w:rsidRPr="00100526">
        <w:t>10.4.2</w:t>
      </w:r>
      <w:r w:rsidRPr="00100526">
        <w:tab/>
        <w:t xml:space="preserve">The number of observations per variety is the same (n=60); therefore, we can take the average variance of the comparable varieties as their pooled variance. </w:t>
      </w:r>
    </w:p>
    <w:p w:rsidR="00D335A4" w:rsidRPr="00100526" w:rsidRDefault="00D335A4" w:rsidP="00D335A4"/>
    <w:p w:rsidR="00D335A4" w:rsidRPr="00100526" w:rsidRDefault="00D335A4" w:rsidP="00D335A4">
      <w:pPr>
        <w:tabs>
          <w:tab w:val="left" w:pos="840"/>
        </w:tabs>
      </w:pPr>
      <w:r w:rsidRPr="00100526">
        <w:t>10.4.3</w:t>
      </w:r>
      <w:r w:rsidRPr="00100526">
        <w:tab/>
        <w:t>The average variance for comparable varieties is   (7.8 + 4.5 + 3.2 + 5.8)/4 = 5.32</w:t>
      </w:r>
    </w:p>
    <w:p w:rsidR="00D335A4" w:rsidRPr="00100526" w:rsidRDefault="00D335A4" w:rsidP="00D335A4">
      <w:pPr>
        <w:rPr>
          <w:rFonts w:cs="Arial"/>
        </w:rPr>
      </w:pPr>
    </w:p>
    <w:p w:rsidR="00D335A4" w:rsidRPr="00100526" w:rsidRDefault="00D335A4" w:rsidP="00D335A4">
      <w:pPr>
        <w:rPr>
          <w:u w:val="single"/>
        </w:rPr>
      </w:pPr>
      <w:r w:rsidRPr="00100526">
        <w:rPr>
          <w:rFonts w:cs="Arial"/>
          <w:highlight w:val="lightGray"/>
          <w:u w:val="single"/>
        </w:rPr>
        <w:t>If the variance of the candidate variety is lower than the average variance of the comparable varieties then no further test is required.  It can be deemed that the candidate variety is sufficiently uniform in the relevant characteristic.  However, if the variance of the candidate variety is higher than the average variance of the comparable varieties then the variances need to be compared using the relative variance method.</w:t>
      </w:r>
      <w:r w:rsidRPr="00100526">
        <w:rPr>
          <w:rFonts w:cs="Arial"/>
          <w:u w:val="single"/>
        </w:rPr>
        <w:t xml:space="preserve">  </w:t>
      </w:r>
    </w:p>
    <w:p w:rsidR="00D335A4" w:rsidRPr="00100526" w:rsidRDefault="00D335A4" w:rsidP="00D335A4">
      <w:pPr>
        <w:rPr>
          <w:rFonts w:cs="Arial"/>
        </w:rPr>
      </w:pPr>
    </w:p>
    <w:p w:rsidR="00D335A4" w:rsidRPr="00100526" w:rsidRDefault="00D335A4" w:rsidP="00D335A4">
      <w:pPr>
        <w:widowControl w:val="0"/>
        <w:autoSpaceDE w:val="0"/>
        <w:autoSpaceDN w:val="0"/>
        <w:adjustRightInd w:val="0"/>
        <w:spacing w:line="278" w:lineRule="atLeast"/>
        <w:rPr>
          <w:rFonts w:eastAsia="Batang" w:cs="Arial"/>
          <w:highlight w:val="lightGray"/>
          <w:u w:val="single"/>
          <w:lang w:val="en-AU" w:eastAsia="ko-KR"/>
        </w:rPr>
      </w:pPr>
      <w:r w:rsidRPr="00100526">
        <w:rPr>
          <w:rFonts w:eastAsia="Batang" w:cs="Arial"/>
          <w:i/>
          <w:iCs/>
          <w:highlight w:val="lightGray"/>
          <w:u w:val="single"/>
          <w:lang w:val="en-AU" w:eastAsia="ko-KR"/>
        </w:rPr>
        <w:t xml:space="preserve">Table 1: variances of candidate and comparable varieties for plant height data </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070"/>
        <w:gridCol w:w="2160"/>
        <w:gridCol w:w="2160"/>
        <w:gridCol w:w="2160"/>
      </w:tblGrid>
      <w:tr w:rsidR="00D335A4" w:rsidRPr="00100526" w:rsidTr="00C622EB">
        <w:trPr>
          <w:trHeight w:val="250"/>
          <w:jc w:val="center"/>
        </w:trPr>
        <w:tc>
          <w:tcPr>
            <w:tcW w:w="1080" w:type="dxa"/>
          </w:tcPr>
          <w:p w:rsidR="00D335A4" w:rsidRPr="00100526" w:rsidRDefault="00D335A4" w:rsidP="00C622EB">
            <w:pPr>
              <w:widowControl w:val="0"/>
              <w:autoSpaceDE w:val="0"/>
              <w:autoSpaceDN w:val="0"/>
              <w:adjustRightInd w:val="0"/>
              <w:jc w:val="left"/>
              <w:rPr>
                <w:rFonts w:eastAsia="Batang" w:cs="Arial"/>
                <w:spacing w:val="-6"/>
                <w:highlight w:val="lightGray"/>
                <w:u w:val="single"/>
                <w:lang w:val="en-AU" w:eastAsia="ko-KR"/>
              </w:rPr>
            </w:pPr>
            <w:r w:rsidRPr="00100526">
              <w:rPr>
                <w:rFonts w:eastAsia="Batang" w:cs="Arial"/>
                <w:spacing w:val="-6"/>
                <w:highlight w:val="lightGray"/>
                <w:u w:val="single"/>
                <w:lang w:val="en-AU" w:eastAsia="ko-KR"/>
              </w:rPr>
              <w:t xml:space="preserve">Candidate </w:t>
            </w:r>
          </w:p>
        </w:tc>
        <w:tc>
          <w:tcPr>
            <w:tcW w:w="2070" w:type="dxa"/>
          </w:tcPr>
          <w:p w:rsidR="00D335A4" w:rsidRPr="00100526" w:rsidRDefault="00D335A4" w:rsidP="00C622EB">
            <w:pPr>
              <w:widowControl w:val="0"/>
              <w:autoSpaceDE w:val="0"/>
              <w:autoSpaceDN w:val="0"/>
              <w:adjustRightInd w:val="0"/>
              <w:jc w:val="left"/>
              <w:rPr>
                <w:rFonts w:eastAsia="Batang" w:cs="Arial"/>
                <w:spacing w:val="-4"/>
                <w:highlight w:val="lightGray"/>
                <w:u w:val="single"/>
                <w:lang w:val="en-AU" w:eastAsia="ko-KR"/>
              </w:rPr>
            </w:pPr>
            <w:r w:rsidRPr="00100526">
              <w:rPr>
                <w:rFonts w:eastAsia="Batang" w:cs="Arial"/>
                <w:spacing w:val="-4"/>
                <w:highlight w:val="lightGray"/>
                <w:u w:val="single"/>
                <w:lang w:val="en-AU" w:eastAsia="ko-KR"/>
              </w:rPr>
              <w:t>Comparable variety 1</w:t>
            </w:r>
          </w:p>
        </w:tc>
        <w:tc>
          <w:tcPr>
            <w:tcW w:w="2160" w:type="dxa"/>
          </w:tcPr>
          <w:p w:rsidR="00D335A4" w:rsidRPr="00100526" w:rsidRDefault="00D335A4" w:rsidP="00C622EB">
            <w:pPr>
              <w:widowControl w:val="0"/>
              <w:autoSpaceDE w:val="0"/>
              <w:autoSpaceDN w:val="0"/>
              <w:adjustRightInd w:val="0"/>
              <w:jc w:val="left"/>
              <w:rPr>
                <w:rFonts w:eastAsia="Batang" w:cs="Arial"/>
                <w:spacing w:val="-4"/>
                <w:highlight w:val="lightGray"/>
                <w:u w:val="single"/>
                <w:lang w:val="en-AU" w:eastAsia="ko-KR"/>
              </w:rPr>
            </w:pPr>
            <w:r w:rsidRPr="00100526">
              <w:rPr>
                <w:rFonts w:eastAsia="Batang" w:cs="Arial"/>
                <w:spacing w:val="-4"/>
                <w:highlight w:val="lightGray"/>
                <w:u w:val="single"/>
                <w:lang w:val="en-AU" w:eastAsia="ko-KR"/>
              </w:rPr>
              <w:t>Comparable variety 2</w:t>
            </w:r>
          </w:p>
        </w:tc>
        <w:tc>
          <w:tcPr>
            <w:tcW w:w="2160" w:type="dxa"/>
          </w:tcPr>
          <w:p w:rsidR="00D335A4" w:rsidRPr="00100526" w:rsidRDefault="00D335A4" w:rsidP="00C622EB">
            <w:pPr>
              <w:widowControl w:val="0"/>
              <w:autoSpaceDE w:val="0"/>
              <w:autoSpaceDN w:val="0"/>
              <w:adjustRightInd w:val="0"/>
              <w:jc w:val="left"/>
              <w:rPr>
                <w:rFonts w:eastAsia="Batang" w:cs="Arial"/>
                <w:spacing w:val="-4"/>
                <w:highlight w:val="lightGray"/>
                <w:u w:val="single"/>
                <w:lang w:val="en-AU" w:eastAsia="ko-KR"/>
              </w:rPr>
            </w:pPr>
            <w:r w:rsidRPr="00100526">
              <w:rPr>
                <w:rFonts w:eastAsia="Batang" w:cs="Arial"/>
                <w:spacing w:val="-4"/>
                <w:highlight w:val="lightGray"/>
                <w:u w:val="single"/>
                <w:lang w:val="en-AU" w:eastAsia="ko-KR"/>
              </w:rPr>
              <w:t>Comparable variety 3</w:t>
            </w:r>
          </w:p>
        </w:tc>
        <w:tc>
          <w:tcPr>
            <w:tcW w:w="2160" w:type="dxa"/>
          </w:tcPr>
          <w:p w:rsidR="00D335A4" w:rsidRPr="00100526" w:rsidRDefault="00D335A4" w:rsidP="00C622EB">
            <w:pPr>
              <w:widowControl w:val="0"/>
              <w:autoSpaceDE w:val="0"/>
              <w:autoSpaceDN w:val="0"/>
              <w:adjustRightInd w:val="0"/>
              <w:jc w:val="left"/>
              <w:rPr>
                <w:rFonts w:eastAsia="Batang" w:cs="Arial"/>
                <w:spacing w:val="-4"/>
                <w:highlight w:val="lightGray"/>
                <w:u w:val="single"/>
                <w:lang w:val="en-AU" w:eastAsia="ko-KR"/>
              </w:rPr>
            </w:pPr>
            <w:r w:rsidRPr="00100526">
              <w:rPr>
                <w:rFonts w:eastAsia="Batang" w:cs="Arial"/>
                <w:spacing w:val="-4"/>
                <w:highlight w:val="lightGray"/>
                <w:u w:val="single"/>
                <w:lang w:val="en-AU" w:eastAsia="ko-KR"/>
              </w:rPr>
              <w:t xml:space="preserve">Comparable variety 4 </w:t>
            </w:r>
          </w:p>
        </w:tc>
      </w:tr>
      <w:tr w:rsidR="00D335A4" w:rsidRPr="00100526" w:rsidTr="00C622EB">
        <w:trPr>
          <w:trHeight w:val="197"/>
          <w:jc w:val="center"/>
        </w:trPr>
        <w:tc>
          <w:tcPr>
            <w:tcW w:w="1080" w:type="dxa"/>
            <w:vAlign w:val="bottom"/>
          </w:tcPr>
          <w:p w:rsidR="00D335A4" w:rsidRPr="00100526" w:rsidRDefault="00D335A4" w:rsidP="00C622EB">
            <w:pPr>
              <w:widowControl w:val="0"/>
              <w:autoSpaceDE w:val="0"/>
              <w:autoSpaceDN w:val="0"/>
              <w:adjustRightInd w:val="0"/>
              <w:jc w:val="center"/>
              <w:rPr>
                <w:rFonts w:eastAsia="Batang" w:cs="Arial"/>
                <w:highlight w:val="lightGray"/>
                <w:u w:val="single"/>
                <w:lang w:val="en-AU" w:eastAsia="ko-KR"/>
              </w:rPr>
            </w:pPr>
            <w:r w:rsidRPr="00100526">
              <w:rPr>
                <w:rFonts w:eastAsia="Batang" w:cs="Arial"/>
                <w:highlight w:val="lightGray"/>
                <w:u w:val="single"/>
                <w:lang w:val="en-AU" w:eastAsia="ko-KR"/>
              </w:rPr>
              <w:t>5.6</w:t>
            </w:r>
          </w:p>
        </w:tc>
        <w:tc>
          <w:tcPr>
            <w:tcW w:w="2070" w:type="dxa"/>
            <w:vAlign w:val="bottom"/>
          </w:tcPr>
          <w:p w:rsidR="00D335A4" w:rsidRPr="00100526" w:rsidRDefault="00D335A4" w:rsidP="00C622EB">
            <w:pPr>
              <w:widowControl w:val="0"/>
              <w:autoSpaceDE w:val="0"/>
              <w:autoSpaceDN w:val="0"/>
              <w:adjustRightInd w:val="0"/>
              <w:jc w:val="center"/>
              <w:rPr>
                <w:rFonts w:eastAsia="Batang" w:cs="Arial"/>
                <w:highlight w:val="lightGray"/>
                <w:u w:val="single"/>
                <w:lang w:val="en-AU" w:eastAsia="ko-KR"/>
              </w:rPr>
            </w:pPr>
            <w:r w:rsidRPr="00100526">
              <w:rPr>
                <w:rFonts w:eastAsia="Batang" w:cs="Arial"/>
                <w:highlight w:val="lightGray"/>
                <w:u w:val="single"/>
                <w:lang w:val="en-AU" w:eastAsia="ko-KR"/>
              </w:rPr>
              <w:t>7.8</w:t>
            </w:r>
          </w:p>
        </w:tc>
        <w:tc>
          <w:tcPr>
            <w:tcW w:w="2160" w:type="dxa"/>
            <w:vAlign w:val="bottom"/>
          </w:tcPr>
          <w:p w:rsidR="00D335A4" w:rsidRPr="00100526" w:rsidRDefault="00D335A4" w:rsidP="00C622EB">
            <w:pPr>
              <w:widowControl w:val="0"/>
              <w:autoSpaceDE w:val="0"/>
              <w:autoSpaceDN w:val="0"/>
              <w:adjustRightInd w:val="0"/>
              <w:jc w:val="center"/>
              <w:rPr>
                <w:rFonts w:eastAsia="Batang" w:cs="Arial"/>
                <w:highlight w:val="lightGray"/>
                <w:u w:val="single"/>
                <w:lang w:val="en-AU" w:eastAsia="ko-KR"/>
              </w:rPr>
            </w:pPr>
            <w:r w:rsidRPr="00100526">
              <w:rPr>
                <w:rFonts w:eastAsia="Batang" w:cs="Arial"/>
                <w:highlight w:val="lightGray"/>
                <w:u w:val="single"/>
                <w:lang w:val="en-AU" w:eastAsia="ko-KR"/>
              </w:rPr>
              <w:t>4.5</w:t>
            </w:r>
          </w:p>
        </w:tc>
        <w:tc>
          <w:tcPr>
            <w:tcW w:w="2160" w:type="dxa"/>
            <w:vAlign w:val="bottom"/>
          </w:tcPr>
          <w:p w:rsidR="00D335A4" w:rsidRPr="00100526" w:rsidRDefault="00D335A4" w:rsidP="00C622EB">
            <w:pPr>
              <w:widowControl w:val="0"/>
              <w:autoSpaceDE w:val="0"/>
              <w:autoSpaceDN w:val="0"/>
              <w:adjustRightInd w:val="0"/>
              <w:jc w:val="center"/>
              <w:rPr>
                <w:rFonts w:eastAsia="Batang" w:cs="Arial"/>
                <w:highlight w:val="lightGray"/>
                <w:u w:val="single"/>
                <w:lang w:val="en-AU" w:eastAsia="ko-KR"/>
              </w:rPr>
            </w:pPr>
            <w:r w:rsidRPr="00100526">
              <w:rPr>
                <w:rFonts w:eastAsia="Batang" w:cs="Arial"/>
                <w:highlight w:val="lightGray"/>
                <w:u w:val="single"/>
                <w:lang w:val="en-AU" w:eastAsia="ko-KR"/>
              </w:rPr>
              <w:t>3.2</w:t>
            </w:r>
          </w:p>
        </w:tc>
        <w:tc>
          <w:tcPr>
            <w:tcW w:w="2160" w:type="dxa"/>
            <w:vAlign w:val="bottom"/>
          </w:tcPr>
          <w:p w:rsidR="00D335A4" w:rsidRPr="00100526" w:rsidRDefault="00D335A4" w:rsidP="00C622EB">
            <w:pPr>
              <w:widowControl w:val="0"/>
              <w:autoSpaceDE w:val="0"/>
              <w:autoSpaceDN w:val="0"/>
              <w:adjustRightInd w:val="0"/>
              <w:jc w:val="center"/>
              <w:rPr>
                <w:rFonts w:eastAsia="Batang" w:cs="Arial"/>
                <w:u w:val="single"/>
                <w:lang w:val="en-AU" w:eastAsia="ko-KR"/>
              </w:rPr>
            </w:pPr>
            <w:r w:rsidRPr="00100526">
              <w:rPr>
                <w:rFonts w:eastAsia="Batang" w:cs="Arial"/>
                <w:highlight w:val="lightGray"/>
                <w:u w:val="single"/>
                <w:lang w:val="en-AU" w:eastAsia="ko-KR"/>
              </w:rPr>
              <w:t>5.8</w:t>
            </w:r>
          </w:p>
        </w:tc>
      </w:tr>
    </w:tbl>
    <w:p w:rsidR="00D335A4" w:rsidRPr="00100526" w:rsidRDefault="00D335A4" w:rsidP="00D335A4">
      <w:pPr>
        <w:rPr>
          <w:rFonts w:cs="Arial"/>
          <w:color w:val="C0C0C0"/>
          <w:u w:val="single"/>
        </w:rPr>
      </w:pPr>
    </w:p>
    <w:p w:rsidR="00D335A4" w:rsidRPr="00100526" w:rsidRDefault="00D335A4" w:rsidP="00D335A4">
      <w:pPr>
        <w:tabs>
          <w:tab w:val="left" w:pos="900"/>
        </w:tabs>
        <w:spacing w:before="60"/>
      </w:pPr>
      <w:r w:rsidRPr="00100526">
        <w:t>10.4.4</w:t>
      </w:r>
      <w:r w:rsidRPr="00100526">
        <w:tab/>
        <w:t xml:space="preserve">The relative variance for a particular characteristic refers to the variance of the candidate divided by the average of the variance of the comparable varieties. </w:t>
      </w:r>
    </w:p>
    <w:p w:rsidR="00D335A4" w:rsidRPr="00100526" w:rsidRDefault="00D335A4" w:rsidP="00D335A4">
      <w:pPr>
        <w:rPr>
          <w:rFonts w:cs="Arial"/>
        </w:rPr>
      </w:pPr>
    </w:p>
    <w:p w:rsidR="00D335A4" w:rsidRPr="00100526" w:rsidRDefault="00D335A4" w:rsidP="00D335A4">
      <w:pPr>
        <w:ind w:left="567"/>
        <w:rPr>
          <w:rFonts w:cs="Arial"/>
        </w:rPr>
      </w:pPr>
      <w:r w:rsidRPr="00100526">
        <w:rPr>
          <w:rFonts w:cs="Arial"/>
        </w:rPr>
        <w:t>Relative variance = variance of the candidate/average variance of the comparable varieties</w:t>
      </w:r>
    </w:p>
    <w:p w:rsidR="00D335A4" w:rsidRPr="00100526" w:rsidRDefault="00D335A4" w:rsidP="00D335A4">
      <w:pPr>
        <w:ind w:left="567"/>
        <w:rPr>
          <w:rFonts w:cs="Arial"/>
        </w:rPr>
      </w:pPr>
    </w:p>
    <w:p w:rsidR="00D335A4" w:rsidRPr="00100526" w:rsidRDefault="00D335A4" w:rsidP="00D335A4">
      <w:pPr>
        <w:ind w:left="567"/>
        <w:rPr>
          <w:rFonts w:cs="Arial"/>
        </w:rPr>
      </w:pPr>
      <w:r w:rsidRPr="00100526">
        <w:rPr>
          <w:rFonts w:cs="Arial"/>
        </w:rPr>
        <w:tab/>
      </w:r>
      <w:r w:rsidRPr="00100526">
        <w:rPr>
          <w:rFonts w:cs="Arial"/>
        </w:rPr>
        <w:tab/>
        <w:t xml:space="preserve">        = 5.6/5.32 = 1.05</w:t>
      </w:r>
    </w:p>
    <w:p w:rsidR="00D335A4" w:rsidRPr="00100526" w:rsidRDefault="00D335A4" w:rsidP="00D335A4">
      <w:pPr>
        <w:rPr>
          <w:rFonts w:cs="Arial"/>
        </w:rPr>
      </w:pPr>
    </w:p>
    <w:p w:rsidR="00D335A4" w:rsidRPr="00100526" w:rsidRDefault="00D335A4" w:rsidP="00D335A4">
      <w:pPr>
        <w:tabs>
          <w:tab w:val="left" w:pos="840"/>
        </w:tabs>
        <w:rPr>
          <w:rFonts w:cs="Arial"/>
        </w:rPr>
      </w:pPr>
      <w:r w:rsidRPr="00100526">
        <w:rPr>
          <w:rFonts w:cs="Arial"/>
        </w:rPr>
        <w:t>10.4.5</w:t>
      </w:r>
      <w:r w:rsidRPr="00100526">
        <w:rPr>
          <w:rFonts w:cs="Arial"/>
        </w:rPr>
        <w:tab/>
        <w:t xml:space="preserve"> For a sample size of 60, the threshold limit is </w:t>
      </w:r>
      <w:r w:rsidRPr="00100526">
        <w:rPr>
          <w:rFonts w:cs="Arial"/>
          <w:highlight w:val="lightGray"/>
          <w:u w:val="single"/>
        </w:rPr>
        <w:t>1.47</w:t>
      </w:r>
      <w:proofErr w:type="gramStart"/>
      <w:r w:rsidRPr="00100526">
        <w:rPr>
          <w:rFonts w:cs="Arial"/>
        </w:rPr>
        <w:t>;  therefore</w:t>
      </w:r>
      <w:proofErr w:type="gramEnd"/>
      <w:r w:rsidRPr="00100526">
        <w:rPr>
          <w:rFonts w:cs="Arial"/>
        </w:rPr>
        <w:t>, we can conclude that the candidate variety is sufficiently uniform for that characteristic.</w:t>
      </w:r>
    </w:p>
    <w:p w:rsidR="00D335A4" w:rsidRPr="00100526" w:rsidRDefault="00D335A4" w:rsidP="00D335A4">
      <w:pPr>
        <w:widowControl w:val="0"/>
        <w:autoSpaceDE w:val="0"/>
        <w:autoSpaceDN w:val="0"/>
        <w:adjustRightInd w:val="0"/>
        <w:rPr>
          <w:rFonts w:eastAsia="Batang" w:cs="Arial"/>
          <w:highlight w:val="lightGray"/>
          <w:u w:val="single"/>
          <w:lang w:val="en-AU" w:eastAsia="ko-KR"/>
        </w:rPr>
      </w:pPr>
    </w:p>
    <w:p w:rsidR="00D335A4" w:rsidRPr="00100526" w:rsidRDefault="00D335A4" w:rsidP="00D335A4">
      <w:pPr>
        <w:tabs>
          <w:tab w:val="left" w:pos="840"/>
        </w:tabs>
        <w:rPr>
          <w:rFonts w:cs="Arial"/>
          <w:highlight w:val="lightGray"/>
          <w:u w:val="single"/>
        </w:rPr>
      </w:pPr>
      <w:r w:rsidRPr="00100526">
        <w:rPr>
          <w:rFonts w:cs="Arial"/>
          <w:highlight w:val="lightGray"/>
          <w:u w:val="single"/>
        </w:rPr>
        <w:t>10.4.6</w:t>
      </w:r>
      <w:r w:rsidRPr="00100526">
        <w:rPr>
          <w:rFonts w:cs="Arial"/>
          <w:highlight w:val="lightGray"/>
          <w:u w:val="single"/>
        </w:rPr>
        <w:tab/>
        <w:t xml:space="preserve">This is a conservative estimate of the relative variance method using </w:t>
      </w:r>
      <w:r w:rsidRPr="00100526">
        <w:rPr>
          <w:rFonts w:cs="Arial"/>
          <w:color w:val="000000"/>
          <w:highlight w:val="lightGray"/>
          <w:u w:val="single"/>
        </w:rPr>
        <w:t>df2 = ∞</w:t>
      </w:r>
      <w:r w:rsidRPr="00100526">
        <w:rPr>
          <w:rFonts w:cs="Arial"/>
          <w:highlight w:val="lightGray"/>
          <w:u w:val="single"/>
        </w:rPr>
        <w:t>.  If the variety is found to be non-uniform using this conservative approach then the competent authority may consider whether additional approaches, such as using the actual sample of the comparable varieties for the estimation of df2, are appropriate to provide a more precise estimate of uniformity.</w:t>
      </w:r>
    </w:p>
    <w:p w:rsidR="00D335A4" w:rsidRDefault="00D335A4" w:rsidP="00D335A4">
      <w:pPr>
        <w:tabs>
          <w:tab w:val="left" w:pos="840"/>
        </w:tabs>
        <w:rPr>
          <w:rFonts w:cs="Arial"/>
          <w:highlight w:val="lightGray"/>
          <w:u w:val="single"/>
        </w:rPr>
      </w:pPr>
    </w:p>
    <w:p w:rsidR="00D335A4" w:rsidRPr="00100526" w:rsidRDefault="00D335A4" w:rsidP="00D335A4">
      <w:pPr>
        <w:tabs>
          <w:tab w:val="left" w:pos="840"/>
        </w:tabs>
        <w:rPr>
          <w:rFonts w:cs="Arial"/>
          <w:highlight w:val="lightGray"/>
          <w:u w:val="single"/>
        </w:rPr>
      </w:pPr>
    </w:p>
    <w:p w:rsidR="00D335A4" w:rsidRPr="00E5513D" w:rsidRDefault="00D335A4" w:rsidP="00D335A4">
      <w:pPr>
        <w:rPr>
          <w:u w:val="single"/>
        </w:rPr>
      </w:pPr>
      <w:r w:rsidRPr="00E5513D">
        <w:rPr>
          <w:u w:val="single"/>
        </w:rPr>
        <w:t>10.5</w:t>
      </w:r>
      <w:r w:rsidRPr="00E5513D">
        <w:rPr>
          <w:u w:val="single"/>
        </w:rPr>
        <w:tab/>
        <w:t xml:space="preserve">Relationship between relative variance and relative standard deviation </w:t>
      </w:r>
    </w:p>
    <w:p w:rsidR="00D335A4" w:rsidRPr="00100526" w:rsidRDefault="00D335A4" w:rsidP="00D335A4">
      <w:pPr>
        <w:keepNext/>
        <w:keepLines/>
      </w:pPr>
    </w:p>
    <w:p w:rsidR="00D335A4" w:rsidRPr="00100526" w:rsidRDefault="00D335A4" w:rsidP="00D335A4">
      <w:pPr>
        <w:keepNext/>
        <w:keepLines/>
        <w:tabs>
          <w:tab w:val="left" w:pos="840"/>
        </w:tabs>
      </w:pPr>
      <w:r w:rsidRPr="00100526">
        <w:t>10.5.1</w:t>
      </w:r>
      <w:r w:rsidRPr="00100526">
        <w:tab/>
        <w:t>Sometimes in DUS trials, the uniformity data is presented in terms of standard deviations, not as variances.  Mathematically there is a simple relationship between variance and standard deviation, as follows:</w:t>
      </w:r>
    </w:p>
    <w:p w:rsidR="00D335A4" w:rsidRPr="00100526" w:rsidRDefault="00D335A4" w:rsidP="00D335A4"/>
    <w:p w:rsidR="00D335A4" w:rsidRPr="00100526" w:rsidRDefault="00D335A4" w:rsidP="00D335A4">
      <w:r w:rsidRPr="00100526">
        <w:tab/>
        <w:t>Standard deviation = square root of Variance</w:t>
      </w:r>
    </w:p>
    <w:p w:rsidR="00D335A4" w:rsidRPr="00100526" w:rsidRDefault="00D335A4" w:rsidP="00D335A4"/>
    <w:p w:rsidR="00D335A4" w:rsidRPr="00100526" w:rsidRDefault="00D335A4" w:rsidP="00D335A4">
      <w:pPr>
        <w:tabs>
          <w:tab w:val="left" w:pos="840"/>
        </w:tabs>
      </w:pPr>
      <w:r w:rsidRPr="00100526">
        <w:rPr>
          <w:highlight w:val="lightGray"/>
          <w:u w:val="single"/>
        </w:rPr>
        <w:t>10.5.2</w:t>
      </w:r>
      <w:r w:rsidRPr="00100526">
        <w:tab/>
        <w:t xml:space="preserve">When making a decision on uniformity based on relative standard deviations, </w:t>
      </w:r>
      <w:r w:rsidRPr="00100526">
        <w:rPr>
          <w:highlight w:val="lightGray"/>
          <w:u w:val="single"/>
        </w:rPr>
        <w:t>t</w:t>
      </w:r>
      <w:r w:rsidRPr="00100526">
        <w:t xml:space="preserve">he same principle for acceptance or rejection applies for relative standard deviation; only the threshold limits are lower due to the square root of appropriate values.  For example, for 60 samples the relative variance threshold is </w:t>
      </w:r>
      <w:r w:rsidRPr="00100526">
        <w:rPr>
          <w:rFonts w:cs="Arial"/>
          <w:highlight w:val="lightGray"/>
          <w:u w:val="single"/>
        </w:rPr>
        <w:t>1.47</w:t>
      </w:r>
      <w:r w:rsidRPr="00100526">
        <w:t xml:space="preserve">; however, for relative standard deviation the threshold is </w:t>
      </w:r>
      <w:r w:rsidRPr="00100526">
        <w:rPr>
          <w:highlight w:val="lightGray"/>
          <w:u w:val="single"/>
        </w:rPr>
        <w:t>1.21</w:t>
      </w:r>
      <w:r w:rsidRPr="00100526">
        <w:t xml:space="preserve">, which is the square root of </w:t>
      </w:r>
      <w:r w:rsidRPr="00100526">
        <w:rPr>
          <w:rFonts w:cs="Arial"/>
          <w:highlight w:val="lightGray"/>
          <w:u w:val="single"/>
        </w:rPr>
        <w:t>1.47</w:t>
      </w:r>
      <w:r w:rsidRPr="00100526">
        <w:t xml:space="preserve">. </w:t>
      </w:r>
    </w:p>
    <w:p w:rsidR="00D335A4" w:rsidRPr="00100526" w:rsidRDefault="00D335A4" w:rsidP="00D335A4">
      <w:pPr>
        <w:jc w:val="left"/>
        <w:rPr>
          <w:highlight w:val="yellow"/>
        </w:rPr>
      </w:pPr>
    </w:p>
    <w:p w:rsidR="00D335A4" w:rsidRPr="00100526" w:rsidRDefault="00D335A4" w:rsidP="00D335A4">
      <w:pPr>
        <w:shd w:val="clear" w:color="auto" w:fill="FFFFFF"/>
        <w:jc w:val="left"/>
        <w:rPr>
          <w:highlight w:val="lightGray"/>
          <w:u w:val="single"/>
        </w:rPr>
      </w:pPr>
      <w:r w:rsidRPr="00100526">
        <w:rPr>
          <w:highlight w:val="lightGray"/>
        </w:rPr>
        <w:t>10.6</w:t>
      </w:r>
      <w:r w:rsidRPr="00100526">
        <w:rPr>
          <w:highlight w:val="lightGray"/>
        </w:rPr>
        <w:tab/>
      </w:r>
      <w:r w:rsidRPr="00100526">
        <w:rPr>
          <w:highlight w:val="lightGray"/>
          <w:u w:val="single"/>
        </w:rPr>
        <w:t>References</w:t>
      </w:r>
    </w:p>
    <w:p w:rsidR="002E3544" w:rsidRDefault="00D335A4" w:rsidP="00D335A4">
      <w:pPr>
        <w:shd w:val="clear" w:color="auto" w:fill="FFFFFF"/>
        <w:spacing w:before="100" w:beforeAutospacing="1" w:after="100" w:afterAutospacing="1"/>
        <w:jc w:val="left"/>
        <w:rPr>
          <w:rFonts w:eastAsia="MS Mincho" w:cs="Arial"/>
          <w:lang w:val="en-AU" w:eastAsia="ja-JP"/>
        </w:rPr>
      </w:pPr>
      <w:r w:rsidRPr="00100526">
        <w:rPr>
          <w:rFonts w:eastAsia="MS Mincho" w:cs="Arial"/>
          <w:highlight w:val="lightGray"/>
          <w:lang w:val="en-AU" w:eastAsia="ja-JP"/>
        </w:rPr>
        <w:t xml:space="preserve">ASTM Standard C33, 2003a, </w:t>
      </w:r>
      <w:r w:rsidRPr="00100526">
        <w:rPr>
          <w:rFonts w:eastAsia="Batang" w:cs="Arial"/>
          <w:color w:val="000000"/>
          <w:highlight w:val="lightGray"/>
          <w:lang w:val="en-AU" w:eastAsia="ko-KR"/>
        </w:rPr>
        <w:t>“Standard Practice for Calculating Sample Size to Estimate, With Specified Precision, the Average Characteristic of a Lot or Process”,</w:t>
      </w:r>
      <w:r w:rsidRPr="00100526">
        <w:rPr>
          <w:rFonts w:eastAsia="MS Mincho" w:cs="Arial"/>
          <w:highlight w:val="lightGray"/>
          <w:lang w:val="en-AU" w:eastAsia="ja-JP"/>
        </w:rPr>
        <w:t xml:space="preserve"> ASTM International, West Conshohocken, PA, 2011, DOI: 10.1520/EO122-09EO1, </w:t>
      </w:r>
      <w:hyperlink r:id="rId9" w:history="1">
        <w:r w:rsidRPr="00100526">
          <w:rPr>
            <w:rFonts w:eastAsia="MS Mincho" w:cs="Arial"/>
            <w:color w:val="0000FF"/>
            <w:highlight w:val="lightGray"/>
            <w:u w:val="single"/>
            <w:lang w:val="en-AU" w:eastAsia="ja-JP"/>
          </w:rPr>
          <w:t>www.astm.org</w:t>
        </w:r>
      </w:hyperlink>
      <w:r w:rsidRPr="00100526">
        <w:rPr>
          <w:rFonts w:eastAsia="MS Mincho" w:cs="Arial"/>
          <w:highlight w:val="lightGray"/>
          <w:lang w:val="en-AU" w:eastAsia="ja-JP"/>
        </w:rPr>
        <w:t>.</w:t>
      </w:r>
    </w:p>
    <w:p w:rsidR="00D335A4" w:rsidRDefault="00D335A4" w:rsidP="00D335A4">
      <w:pPr>
        <w:pStyle w:val="endofdoc"/>
      </w:pPr>
      <w:r w:rsidRPr="00C5280D">
        <w:t>[</w:t>
      </w:r>
      <w:r>
        <w:t>Annex II follows</w:t>
      </w:r>
      <w:r w:rsidRPr="00C5280D">
        <w:t>]</w:t>
      </w:r>
    </w:p>
    <w:p w:rsidR="00D335A4" w:rsidRPr="00100526" w:rsidRDefault="00D335A4" w:rsidP="00D335A4">
      <w:pPr>
        <w:jc w:val="right"/>
        <w:rPr>
          <w:rFonts w:cs="Arial"/>
          <w:lang w:val="en-GB"/>
        </w:rPr>
      </w:pPr>
    </w:p>
    <w:p w:rsidR="00D335A4" w:rsidRPr="00100526" w:rsidRDefault="00D335A4" w:rsidP="00D335A4">
      <w:pPr>
        <w:jc w:val="left"/>
        <w:rPr>
          <w:highlight w:val="yellow"/>
          <w:lang w:val="en-GB"/>
        </w:rPr>
        <w:sectPr w:rsidR="00D335A4" w:rsidRPr="00100526" w:rsidSect="00B132A9">
          <w:headerReference w:type="default" r:id="rId10"/>
          <w:headerReference w:type="first" r:id="rId11"/>
          <w:pgSz w:w="11907" w:h="16840" w:code="9"/>
          <w:pgMar w:top="510" w:right="1134" w:bottom="1134" w:left="1134" w:header="510" w:footer="680" w:gutter="0"/>
          <w:pgNumType w:start="1"/>
          <w:cols w:space="720"/>
          <w:titlePg/>
        </w:sectPr>
      </w:pPr>
    </w:p>
    <w:p w:rsidR="00D335A4" w:rsidRPr="003C4B34" w:rsidRDefault="00D335A4" w:rsidP="00D335A4">
      <w:pPr>
        <w:rPr>
          <w:caps/>
        </w:rPr>
      </w:pPr>
      <w:r w:rsidRPr="003C4B34">
        <w:rPr>
          <w:caps/>
        </w:rPr>
        <w:lastRenderedPageBreak/>
        <w:t xml:space="preserve">revised DRAFT proposal for REVISION OF DOCUMENT TGP/8 SECTION 10: </w:t>
      </w:r>
      <w:r w:rsidR="00D53B3B" w:rsidRPr="003C4B34">
        <w:rPr>
          <w:rFonts w:cs="Arial"/>
          <w:caps/>
        </w:rPr>
        <w:t>UNIFORMITY ASSESSMENT ON THE BASIS OF THE Relative Variance Method</w:t>
      </w:r>
    </w:p>
    <w:p w:rsidR="00D335A4" w:rsidRDefault="00D335A4" w:rsidP="00D335A4">
      <w:pPr>
        <w:widowControl w:val="0"/>
        <w:autoSpaceDE w:val="0"/>
        <w:autoSpaceDN w:val="0"/>
        <w:adjustRightInd w:val="0"/>
        <w:jc w:val="center"/>
        <w:rPr>
          <w:bCs/>
          <w:caps/>
          <w:noProof/>
        </w:rPr>
      </w:pPr>
    </w:p>
    <w:p w:rsidR="00D335A4" w:rsidRDefault="00D335A4" w:rsidP="00D335A4">
      <w:pPr>
        <w:widowControl w:val="0"/>
        <w:autoSpaceDE w:val="0"/>
        <w:autoSpaceDN w:val="0"/>
        <w:adjustRightInd w:val="0"/>
        <w:jc w:val="center"/>
        <w:rPr>
          <w:bCs/>
          <w:caps/>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D335A4" w:rsidRPr="00100526" w:rsidTr="00C622EB">
        <w:trPr>
          <w:cantSplit/>
          <w:jc w:val="center"/>
        </w:trPr>
        <w:tc>
          <w:tcPr>
            <w:tcW w:w="6664" w:type="dxa"/>
            <w:shd w:val="clear" w:color="auto" w:fill="E6E6E6"/>
          </w:tcPr>
          <w:p w:rsidR="00D335A4" w:rsidRPr="00100526" w:rsidRDefault="00D335A4" w:rsidP="00C622EB">
            <w:pPr>
              <w:jc w:val="center"/>
              <w:rPr>
                <w:rFonts w:cs="Arial"/>
                <w:sz w:val="18"/>
                <w:szCs w:val="22"/>
                <w:u w:val="single"/>
              </w:rPr>
            </w:pPr>
            <w:r w:rsidRPr="00100526">
              <w:rPr>
                <w:rFonts w:cs="Arial"/>
                <w:sz w:val="18"/>
                <w:szCs w:val="22"/>
                <w:u w:val="single"/>
              </w:rPr>
              <w:t>Note for Draft version</w:t>
            </w:r>
          </w:p>
          <w:p w:rsidR="00D335A4" w:rsidRPr="00100526" w:rsidRDefault="00D335A4" w:rsidP="00C622EB">
            <w:pPr>
              <w:rPr>
                <w:rFonts w:cs="Arial"/>
                <w:sz w:val="18"/>
                <w:szCs w:val="22"/>
                <w:u w:val="single"/>
              </w:rPr>
            </w:pPr>
          </w:p>
          <w:p w:rsidR="00D335A4" w:rsidRPr="00100526" w:rsidRDefault="00D335A4" w:rsidP="00C622EB">
            <w:pPr>
              <w:rPr>
                <w:rFonts w:cs="Arial"/>
                <w:bCs/>
                <w:sz w:val="18"/>
                <w:szCs w:val="22"/>
              </w:rPr>
            </w:pPr>
            <w:r w:rsidRPr="00100526">
              <w:rPr>
                <w:rFonts w:cs="Arial"/>
                <w:b/>
                <w:bCs/>
                <w:sz w:val="18"/>
                <w:szCs w:val="22"/>
                <w:u w:val="single"/>
              </w:rPr>
              <w:t>Underlining</w:t>
            </w:r>
            <w:r w:rsidRPr="00100526">
              <w:rPr>
                <w:rFonts w:cs="Arial"/>
                <w:b/>
                <w:bCs/>
                <w:sz w:val="18"/>
                <w:szCs w:val="22"/>
              </w:rPr>
              <w:t xml:space="preserve"> </w:t>
            </w:r>
            <w:r w:rsidRPr="00100526">
              <w:rPr>
                <w:rFonts w:cs="Arial"/>
                <w:b/>
                <w:sz w:val="18"/>
                <w:szCs w:val="22"/>
              </w:rPr>
              <w:t>(highlighted)</w:t>
            </w:r>
            <w:r w:rsidRPr="00100526">
              <w:rPr>
                <w:rFonts w:cs="Arial"/>
                <w:sz w:val="18"/>
                <w:szCs w:val="22"/>
              </w:rPr>
              <w:t xml:space="preserve"> </w:t>
            </w:r>
            <w:r w:rsidRPr="00100526">
              <w:rPr>
                <w:rFonts w:cs="Arial"/>
                <w:bCs/>
                <w:sz w:val="18"/>
                <w:szCs w:val="22"/>
              </w:rPr>
              <w:t>indicates proposed changes to document TGP/8/1</w:t>
            </w:r>
          </w:p>
          <w:p w:rsidR="00D335A4" w:rsidRPr="00100526" w:rsidRDefault="00D335A4" w:rsidP="00C622EB">
            <w:pPr>
              <w:rPr>
                <w:rFonts w:cs="Arial"/>
                <w:szCs w:val="22"/>
              </w:rPr>
            </w:pPr>
          </w:p>
        </w:tc>
      </w:tr>
    </w:tbl>
    <w:p w:rsidR="00D335A4" w:rsidRPr="00100526" w:rsidRDefault="00D335A4" w:rsidP="00D335A4">
      <w:pPr>
        <w:widowControl w:val="0"/>
        <w:autoSpaceDE w:val="0"/>
        <w:autoSpaceDN w:val="0"/>
        <w:adjustRightInd w:val="0"/>
        <w:rPr>
          <w:rFonts w:eastAsia="Batang" w:cs="Arial"/>
          <w:color w:val="000000"/>
          <w:lang w:eastAsia="ko-KR"/>
        </w:rPr>
      </w:pPr>
    </w:p>
    <w:p w:rsidR="00D335A4" w:rsidRDefault="00D335A4" w:rsidP="00D335A4"/>
    <w:p w:rsidR="00D335A4" w:rsidRDefault="00D335A4" w:rsidP="00D335A4">
      <w:bookmarkStart w:id="10" w:name="_Toc270063979"/>
      <w:r w:rsidRPr="00E315FE">
        <w:t>10.</w:t>
      </w:r>
      <w:r w:rsidRPr="00E315FE">
        <w:tab/>
        <w:t>UNIFORMITY ASSESSMENT ON THE BASIS OF THE RELATIVE VARIANCE METHOD</w:t>
      </w:r>
      <w:bookmarkEnd w:id="10"/>
    </w:p>
    <w:p w:rsidR="00D335A4" w:rsidRPr="00E315FE" w:rsidRDefault="00D335A4" w:rsidP="00D335A4"/>
    <w:p w:rsidR="00D335A4" w:rsidRPr="00A8424E" w:rsidRDefault="00D335A4" w:rsidP="00D335A4">
      <w:pPr>
        <w:rPr>
          <w:u w:val="single"/>
        </w:rPr>
      </w:pPr>
      <w:bookmarkStart w:id="11" w:name="_Toc219640859"/>
      <w:bookmarkStart w:id="12" w:name="_Toc270063980"/>
      <w:r w:rsidRPr="00A8424E">
        <w:rPr>
          <w:u w:val="single"/>
        </w:rPr>
        <w:t>10.1</w:t>
      </w:r>
      <w:r w:rsidRPr="00A8424E">
        <w:rPr>
          <w:u w:val="single"/>
        </w:rPr>
        <w:tab/>
        <w:t>Use of the relative variance method</w:t>
      </w:r>
      <w:bookmarkEnd w:id="11"/>
      <w:bookmarkEnd w:id="12"/>
    </w:p>
    <w:p w:rsidR="00D335A4" w:rsidRPr="00E315FE" w:rsidRDefault="00D335A4" w:rsidP="00D335A4"/>
    <w:p w:rsidR="00D335A4" w:rsidRPr="00E315FE" w:rsidRDefault="00D335A4" w:rsidP="00D335A4">
      <w:pPr>
        <w:rPr>
          <w:rFonts w:eastAsia="SimSun"/>
          <w:lang w:eastAsia="zh-CN"/>
        </w:rPr>
      </w:pPr>
      <w:bookmarkStart w:id="13" w:name="_Toc219640860"/>
      <w:r w:rsidRPr="00E315FE">
        <w:rPr>
          <w:snapToGrid w:val="0"/>
          <w:color w:val="000000"/>
        </w:rPr>
        <w:tab/>
      </w:r>
      <w:r w:rsidRPr="00E315FE">
        <w:t>The relative variance for a particular characteristic refers to the variance of the candidate divided by the average of the variance of the comparable varieties (i.e. Relative variance = variance of the candidate/average variance of the comparable varieties).  The data should be normally distributed.  The relative variance method may be applied to any measured characteristic that is a continuous variable, irrespective of the method of propagation of the variety.  Comparable varieties are varieties of the same type within the same or a closely related species that have been previously examined and considered to be sufficiently uniform (see document TGP/10, Section 5.2 “Determining acceptable level of variation”).</w:t>
      </w:r>
    </w:p>
    <w:p w:rsidR="00D335A4" w:rsidRPr="00E315FE" w:rsidRDefault="00D335A4" w:rsidP="00D335A4">
      <w:pPr>
        <w:rPr>
          <w:rFonts w:eastAsia="SimSun"/>
          <w:lang w:eastAsia="zh-CN"/>
        </w:rPr>
      </w:pPr>
    </w:p>
    <w:bookmarkEnd w:id="13"/>
    <w:p w:rsidR="00D335A4" w:rsidRPr="00E315FE" w:rsidRDefault="00D335A4" w:rsidP="00D335A4">
      <w:r w:rsidRPr="00E315FE">
        <w:tab/>
        <w:t>In cross-pollinated varieties, a common recommendation in the UPOV Test Guidelines is to take 60 measurements per characteristic per variety.  In essence, the variance ratio equates to the F statistic, and the tabulated value of F at P = 0.01 under df</w:t>
      </w:r>
      <w:r w:rsidRPr="00E315FE">
        <w:rPr>
          <w:vertAlign w:val="subscript"/>
        </w:rPr>
        <w:t>1</w:t>
      </w:r>
      <w:r w:rsidRPr="00E315FE">
        <w:t xml:space="preserve"> =60 (degrees of freedom of candidate) and df</w:t>
      </w:r>
      <w:r w:rsidRPr="00E315FE">
        <w:rPr>
          <w:vertAlign w:val="subscript"/>
        </w:rPr>
        <w:t>2</w:t>
      </w:r>
      <w:r w:rsidRPr="00E315FE">
        <w:t xml:space="preserve"> = </w:t>
      </w:r>
      <w:r w:rsidRPr="00E315FE">
        <w:sym w:font="Symbol" w:char="F0A5"/>
      </w:r>
      <w:r w:rsidRPr="00E315FE">
        <w:t xml:space="preserve"> (degrees of freedom of comparable </w:t>
      </w:r>
      <w:proofErr w:type="gramStart"/>
      <w:r w:rsidRPr="00E315FE">
        <w:t>variety(</w:t>
      </w:r>
      <w:proofErr w:type="spellStart"/>
      <w:proofErr w:type="gramEnd"/>
      <w:r w:rsidRPr="00E315FE">
        <w:t>ies</w:t>
      </w:r>
      <w:proofErr w:type="spellEnd"/>
      <w:r w:rsidRPr="00E315FE">
        <w:t xml:space="preserve">)) is </w:t>
      </w:r>
      <w:r w:rsidRPr="00B41D76">
        <w:rPr>
          <w:highlight w:val="lightGray"/>
          <w:u w:val="single"/>
        </w:rPr>
        <w:t>1.47</w:t>
      </w:r>
      <w:r w:rsidRPr="00B41D76">
        <w:t>.</w:t>
      </w:r>
      <w:r w:rsidRPr="00E315FE">
        <w:rPr>
          <w:b/>
        </w:rPr>
        <w:t xml:space="preserve">  </w:t>
      </w:r>
      <w:r w:rsidRPr="00E315FE">
        <w:t>df</w:t>
      </w:r>
      <w:r w:rsidRPr="00E315FE">
        <w:rPr>
          <w:vertAlign w:val="subscript"/>
        </w:rPr>
        <w:t>2</w:t>
      </w:r>
      <w:r w:rsidRPr="00E315FE">
        <w:t xml:space="preserve"> = </w:t>
      </w:r>
      <w:r w:rsidRPr="00E315FE">
        <w:sym w:font="Symbol" w:char="F0A5"/>
      </w:r>
      <w:r w:rsidRPr="00E315FE">
        <w:t xml:space="preserve"> is chosen as a conservative estimate, as it is assumed that comparable varieties accurately represent the infinite number of possible comparable varieties for the species as a whole.  Therefore, </w:t>
      </w:r>
      <w:r w:rsidRPr="00B41D76">
        <w:rPr>
          <w:highlight w:val="lightGray"/>
          <w:u w:val="single"/>
        </w:rPr>
        <w:t>1.47</w:t>
      </w:r>
      <w:r>
        <w:rPr>
          <w:u w:val="single"/>
        </w:rPr>
        <w:t xml:space="preserve"> </w:t>
      </w:r>
      <w:r w:rsidRPr="00E315FE">
        <w:t xml:space="preserve">is the threshold </w:t>
      </w:r>
      <w:r w:rsidRPr="003D700A">
        <w:rPr>
          <w:strike/>
          <w:highlight w:val="lightGray"/>
        </w:rPr>
        <w:t>limit</w:t>
      </w:r>
      <w:r w:rsidRPr="00E315FE">
        <w:t xml:space="preserve"> for cross-pollinated species with 60 measurements per characteristics per variety.  For different sample sizes, a different F statistic should be used for the df</w:t>
      </w:r>
      <w:r w:rsidRPr="00E315FE">
        <w:rPr>
          <w:vertAlign w:val="subscript"/>
        </w:rPr>
        <w:t>1,</w:t>
      </w:r>
      <w:r w:rsidRPr="00E315FE">
        <w:t xml:space="preserve"> although the df</w:t>
      </w:r>
      <w:r w:rsidRPr="00E315FE">
        <w:rPr>
          <w:vertAlign w:val="subscript"/>
        </w:rPr>
        <w:t>2</w:t>
      </w:r>
      <w:r w:rsidRPr="00E315FE">
        <w:t xml:space="preserve"> should remain </w:t>
      </w:r>
      <w:proofErr w:type="gramStart"/>
      <w:r w:rsidRPr="00E315FE">
        <w:t xml:space="preserve">at </w:t>
      </w:r>
      <w:proofErr w:type="gramEnd"/>
      <w:r w:rsidRPr="00E315FE">
        <w:sym w:font="Symbol" w:char="F0A5"/>
      </w:r>
      <w:r w:rsidRPr="00E315FE">
        <w:t>.</w:t>
      </w:r>
    </w:p>
    <w:p w:rsidR="00D335A4" w:rsidRPr="00E315FE" w:rsidRDefault="00D335A4" w:rsidP="00D335A4"/>
    <w:p w:rsidR="00D335A4" w:rsidRPr="00A8424E" w:rsidRDefault="00D335A4" w:rsidP="00D335A4">
      <w:pPr>
        <w:rPr>
          <w:u w:val="single"/>
        </w:rPr>
      </w:pPr>
      <w:bookmarkStart w:id="14" w:name="_Toc219640862"/>
      <w:bookmarkStart w:id="15" w:name="_Toc270063981"/>
      <w:r w:rsidRPr="00A8424E">
        <w:rPr>
          <w:u w:val="single"/>
        </w:rPr>
        <w:t>10.2</w:t>
      </w:r>
      <w:r w:rsidRPr="00A8424E">
        <w:rPr>
          <w:u w:val="single"/>
        </w:rPr>
        <w:tab/>
        <w:t>Threshold</w:t>
      </w:r>
      <w:r w:rsidR="002E3544" w:rsidRPr="002E3544">
        <w:rPr>
          <w:highlight w:val="lightGray"/>
          <w:u w:val="single"/>
        </w:rPr>
        <w:t>s</w:t>
      </w:r>
      <w:r w:rsidRPr="00A8424E">
        <w:rPr>
          <w:u w:val="single"/>
        </w:rPr>
        <w:t xml:space="preserve"> </w:t>
      </w:r>
      <w:r w:rsidRPr="00A8424E">
        <w:rPr>
          <w:strike/>
          <w:highlight w:val="lightGray"/>
          <w:u w:val="single"/>
        </w:rPr>
        <w:t>limit</w:t>
      </w:r>
      <w:r w:rsidRPr="00A8424E">
        <w:rPr>
          <w:u w:val="single"/>
        </w:rPr>
        <w:t xml:space="preserve"> for different sample sizes</w:t>
      </w:r>
      <w:bookmarkEnd w:id="14"/>
      <w:bookmarkEnd w:id="15"/>
    </w:p>
    <w:p w:rsidR="00D335A4" w:rsidRPr="00E315FE" w:rsidRDefault="00D335A4" w:rsidP="00D335A4">
      <w:pPr>
        <w:rPr>
          <w:b/>
        </w:rPr>
      </w:pPr>
    </w:p>
    <w:p w:rsidR="00D335A4" w:rsidRPr="00E315FE" w:rsidRDefault="00D335A4" w:rsidP="00D335A4">
      <w:r w:rsidRPr="00E315FE">
        <w:t>10.2.1</w:t>
      </w:r>
      <w:r>
        <w:t xml:space="preserve"> </w:t>
      </w:r>
      <w:r w:rsidRPr="00E315FE">
        <w:tab/>
        <w:t>Different threshold</w:t>
      </w:r>
      <w:r w:rsidR="002E3544" w:rsidRPr="002E3544">
        <w:rPr>
          <w:highlight w:val="lightGray"/>
          <w:u w:val="single"/>
        </w:rPr>
        <w:t>s</w:t>
      </w:r>
      <w:r w:rsidRPr="00E315FE">
        <w:t xml:space="preserve"> </w:t>
      </w:r>
      <w:r w:rsidRPr="003D700A">
        <w:rPr>
          <w:strike/>
          <w:highlight w:val="lightGray"/>
        </w:rPr>
        <w:t>limits</w:t>
      </w:r>
      <w:r w:rsidRPr="00E315FE">
        <w:t xml:space="preserve"> of F (at P = 0.01) should be applied for different sample sizes of the candidate variety.  The df</w:t>
      </w:r>
      <w:r w:rsidRPr="00E315FE">
        <w:rPr>
          <w:vertAlign w:val="subscript"/>
        </w:rPr>
        <w:t>1</w:t>
      </w:r>
      <w:r w:rsidRPr="00E315FE">
        <w:t xml:space="preserve"> will vary according to different sample sizes of the candidate variety.  However, in all cases the df</w:t>
      </w:r>
      <w:r w:rsidRPr="00E315FE">
        <w:rPr>
          <w:vertAlign w:val="subscript"/>
        </w:rPr>
        <w:t>2</w:t>
      </w:r>
      <w:r w:rsidRPr="00E315FE">
        <w:t xml:space="preserve"> will be considered to </w:t>
      </w:r>
      <w:proofErr w:type="gramStart"/>
      <w:r w:rsidRPr="00E315FE">
        <w:t xml:space="preserve">be </w:t>
      </w:r>
      <w:proofErr w:type="gramEnd"/>
      <w:r w:rsidRPr="00E315FE">
        <w:sym w:font="Symbol" w:char="F0A5"/>
      </w:r>
      <w:r w:rsidRPr="00E315FE">
        <w:t>, to cover the whole range of possible comparable varieties within a species - thus providing a conservative estimate of the threshold.  Under these conditions and taking the relevant values from the F table, Table 1 shows the threshold</w:t>
      </w:r>
      <w:r w:rsidR="002E3544" w:rsidRPr="002E3544">
        <w:rPr>
          <w:highlight w:val="lightGray"/>
          <w:u w:val="single"/>
        </w:rPr>
        <w:t>s</w:t>
      </w:r>
      <w:r w:rsidRPr="00E315FE">
        <w:t xml:space="preserve"> </w:t>
      </w:r>
      <w:r w:rsidRPr="003D700A">
        <w:rPr>
          <w:strike/>
          <w:highlight w:val="lightGray"/>
        </w:rPr>
        <w:t>limits</w:t>
      </w:r>
      <w:r w:rsidRPr="00E315FE">
        <w:t xml:space="preserve"> that would apply for different sample sizes of the candidate varieties. In the case of different sample sizes than those included in Table 1, the correct threshold </w:t>
      </w:r>
      <w:r w:rsidRPr="003D700A">
        <w:rPr>
          <w:strike/>
          <w:highlight w:val="lightGray"/>
        </w:rPr>
        <w:t>limit</w:t>
      </w:r>
      <w:r w:rsidRPr="00E315FE">
        <w:t xml:space="preserve"> should be used for the exact sample size. </w:t>
      </w:r>
    </w:p>
    <w:p w:rsidR="00D335A4" w:rsidRPr="00E315FE" w:rsidRDefault="00D335A4" w:rsidP="00D335A4"/>
    <w:p w:rsidR="00D335A4" w:rsidRPr="00E315FE" w:rsidRDefault="00D335A4" w:rsidP="00D335A4">
      <w:pPr>
        <w:rPr>
          <w:i/>
          <w:iCs/>
        </w:rPr>
      </w:pPr>
      <w:r w:rsidRPr="00E315FE">
        <w:rPr>
          <w:i/>
          <w:iCs/>
        </w:rPr>
        <w:t>Table 1: Threshold</w:t>
      </w:r>
      <w:r w:rsidR="002E3544" w:rsidRPr="002E3544">
        <w:rPr>
          <w:i/>
          <w:highlight w:val="lightGray"/>
          <w:u w:val="single"/>
        </w:rPr>
        <w:t>s</w:t>
      </w:r>
      <w:r w:rsidRPr="00E315FE">
        <w:rPr>
          <w:i/>
          <w:iCs/>
        </w:rPr>
        <w:t xml:space="preserve"> </w:t>
      </w:r>
      <w:r w:rsidRPr="003D700A">
        <w:rPr>
          <w:i/>
          <w:iCs/>
          <w:strike/>
          <w:highlight w:val="lightGray"/>
        </w:rPr>
        <w:t>limit</w:t>
      </w:r>
      <w:r w:rsidRPr="00E315FE">
        <w:rPr>
          <w:i/>
          <w:iCs/>
        </w:rPr>
        <w:t xml:space="preserve"> for relative variance for some different sample sizes</w:t>
      </w:r>
    </w:p>
    <w:tbl>
      <w:tblPr>
        <w:tblW w:w="0" w:type="auto"/>
        <w:jc w:val="center"/>
        <w:tblInd w:w="2088" w:type="dxa"/>
        <w:tblLook w:val="01E0" w:firstRow="1" w:lastRow="1" w:firstColumn="1" w:lastColumn="1" w:noHBand="0" w:noVBand="0"/>
      </w:tblPr>
      <w:tblGrid>
        <w:gridCol w:w="2173"/>
        <w:gridCol w:w="1967"/>
      </w:tblGrid>
      <w:tr w:rsidR="00D335A4" w:rsidRPr="00E315FE" w:rsidTr="00C622EB">
        <w:trPr>
          <w:jc w:val="center"/>
        </w:trPr>
        <w:tc>
          <w:tcPr>
            <w:tcW w:w="2173" w:type="dxa"/>
            <w:shd w:val="clear" w:color="auto" w:fill="auto"/>
          </w:tcPr>
          <w:p w:rsidR="00D335A4" w:rsidRPr="00E315FE" w:rsidRDefault="00D335A4" w:rsidP="00C622EB">
            <w:pPr>
              <w:jc w:val="center"/>
              <w:rPr>
                <w:b/>
              </w:rPr>
            </w:pPr>
            <w:r w:rsidRPr="00E315FE">
              <w:rPr>
                <w:b/>
              </w:rPr>
              <w:t>Sample size of candidate</w:t>
            </w:r>
          </w:p>
        </w:tc>
        <w:tc>
          <w:tcPr>
            <w:tcW w:w="1967" w:type="dxa"/>
            <w:shd w:val="clear" w:color="auto" w:fill="auto"/>
          </w:tcPr>
          <w:p w:rsidR="00D335A4" w:rsidRPr="00E315FE" w:rsidRDefault="00D335A4" w:rsidP="00C622EB">
            <w:pPr>
              <w:jc w:val="center"/>
              <w:rPr>
                <w:b/>
              </w:rPr>
            </w:pPr>
            <w:r w:rsidRPr="00E315FE">
              <w:rPr>
                <w:b/>
              </w:rPr>
              <w:t>Threshold</w:t>
            </w:r>
            <w:r w:rsidR="002E3544" w:rsidRPr="002E3544">
              <w:rPr>
                <w:b/>
                <w:highlight w:val="lightGray"/>
                <w:u w:val="single"/>
              </w:rPr>
              <w:t>s</w:t>
            </w:r>
            <w:r w:rsidRPr="00E315FE">
              <w:rPr>
                <w:b/>
              </w:rPr>
              <w:t xml:space="preserve"> </w:t>
            </w:r>
            <w:r w:rsidRPr="003D700A">
              <w:rPr>
                <w:b/>
                <w:strike/>
                <w:highlight w:val="lightGray"/>
              </w:rPr>
              <w:t>limit</w:t>
            </w:r>
            <w:r w:rsidRPr="00E315FE">
              <w:rPr>
                <w:b/>
              </w:rPr>
              <w:t xml:space="preserve"> for relative variance</w:t>
            </w:r>
          </w:p>
        </w:tc>
      </w:tr>
      <w:tr w:rsidR="00D335A4" w:rsidRPr="00E315FE" w:rsidTr="00C622EB">
        <w:trPr>
          <w:jc w:val="center"/>
        </w:trPr>
        <w:tc>
          <w:tcPr>
            <w:tcW w:w="2173" w:type="dxa"/>
            <w:shd w:val="clear" w:color="auto" w:fill="auto"/>
          </w:tcPr>
          <w:p w:rsidR="00D335A4" w:rsidRPr="00E315FE" w:rsidRDefault="00D335A4" w:rsidP="00C622EB">
            <w:pPr>
              <w:jc w:val="center"/>
            </w:pPr>
            <w:r w:rsidRPr="00E315FE">
              <w:t>30</w:t>
            </w:r>
          </w:p>
        </w:tc>
        <w:tc>
          <w:tcPr>
            <w:tcW w:w="1967" w:type="dxa"/>
            <w:shd w:val="clear" w:color="auto" w:fill="auto"/>
          </w:tcPr>
          <w:p w:rsidR="00D335A4" w:rsidRPr="00B41D76" w:rsidRDefault="00D335A4" w:rsidP="00C622EB">
            <w:pPr>
              <w:jc w:val="center"/>
              <w:rPr>
                <w:highlight w:val="lightGray"/>
                <w:u w:val="single"/>
              </w:rPr>
            </w:pPr>
            <w:r w:rsidRPr="00B41D76">
              <w:rPr>
                <w:highlight w:val="lightGray"/>
                <w:u w:val="single"/>
              </w:rPr>
              <w:t>1.70</w:t>
            </w:r>
          </w:p>
        </w:tc>
      </w:tr>
      <w:tr w:rsidR="00D335A4" w:rsidRPr="00E315FE" w:rsidTr="00C622EB">
        <w:trPr>
          <w:jc w:val="center"/>
        </w:trPr>
        <w:tc>
          <w:tcPr>
            <w:tcW w:w="2173" w:type="dxa"/>
            <w:shd w:val="clear" w:color="auto" w:fill="auto"/>
          </w:tcPr>
          <w:p w:rsidR="00D335A4" w:rsidRPr="00E315FE" w:rsidRDefault="00D335A4" w:rsidP="00C622EB">
            <w:pPr>
              <w:jc w:val="center"/>
            </w:pPr>
            <w:r w:rsidRPr="00E315FE">
              <w:t>40</w:t>
            </w:r>
          </w:p>
        </w:tc>
        <w:tc>
          <w:tcPr>
            <w:tcW w:w="1967" w:type="dxa"/>
            <w:shd w:val="clear" w:color="auto" w:fill="auto"/>
          </w:tcPr>
          <w:p w:rsidR="00D335A4" w:rsidRPr="00B41D76" w:rsidRDefault="00D335A4" w:rsidP="00C622EB">
            <w:pPr>
              <w:jc w:val="center"/>
              <w:rPr>
                <w:highlight w:val="lightGray"/>
                <w:u w:val="single"/>
              </w:rPr>
            </w:pPr>
            <w:r w:rsidRPr="00B41D76">
              <w:rPr>
                <w:highlight w:val="lightGray"/>
                <w:u w:val="single"/>
              </w:rPr>
              <w:t>1.59</w:t>
            </w:r>
          </w:p>
        </w:tc>
      </w:tr>
      <w:tr w:rsidR="00D335A4" w:rsidRPr="00E315FE" w:rsidTr="00C622EB">
        <w:trPr>
          <w:jc w:val="center"/>
        </w:trPr>
        <w:tc>
          <w:tcPr>
            <w:tcW w:w="2173" w:type="dxa"/>
            <w:shd w:val="clear" w:color="auto" w:fill="auto"/>
          </w:tcPr>
          <w:p w:rsidR="00D335A4" w:rsidRPr="00E315FE" w:rsidRDefault="00D335A4" w:rsidP="00C622EB">
            <w:pPr>
              <w:jc w:val="center"/>
            </w:pPr>
            <w:r w:rsidRPr="00E315FE">
              <w:t>50</w:t>
            </w:r>
          </w:p>
        </w:tc>
        <w:tc>
          <w:tcPr>
            <w:tcW w:w="1967" w:type="dxa"/>
            <w:shd w:val="clear" w:color="auto" w:fill="auto"/>
          </w:tcPr>
          <w:p w:rsidR="00D335A4" w:rsidRPr="00B41D76" w:rsidRDefault="00D335A4" w:rsidP="00C622EB">
            <w:pPr>
              <w:jc w:val="center"/>
              <w:rPr>
                <w:highlight w:val="lightGray"/>
                <w:u w:val="single"/>
              </w:rPr>
            </w:pPr>
            <w:r w:rsidRPr="00B41D76">
              <w:rPr>
                <w:highlight w:val="lightGray"/>
                <w:u w:val="single"/>
              </w:rPr>
              <w:t>1.53</w:t>
            </w:r>
          </w:p>
        </w:tc>
      </w:tr>
      <w:tr w:rsidR="00D335A4" w:rsidRPr="00E315FE" w:rsidTr="00C622EB">
        <w:trPr>
          <w:jc w:val="center"/>
        </w:trPr>
        <w:tc>
          <w:tcPr>
            <w:tcW w:w="2173" w:type="dxa"/>
            <w:shd w:val="clear" w:color="auto" w:fill="auto"/>
          </w:tcPr>
          <w:p w:rsidR="00D335A4" w:rsidRPr="00E315FE" w:rsidRDefault="00D335A4" w:rsidP="00C622EB">
            <w:pPr>
              <w:jc w:val="center"/>
            </w:pPr>
            <w:r w:rsidRPr="00E315FE">
              <w:t>60</w:t>
            </w:r>
          </w:p>
        </w:tc>
        <w:tc>
          <w:tcPr>
            <w:tcW w:w="1967" w:type="dxa"/>
            <w:shd w:val="clear" w:color="auto" w:fill="auto"/>
          </w:tcPr>
          <w:p w:rsidR="00D335A4" w:rsidRPr="00B41D76" w:rsidRDefault="00D335A4" w:rsidP="00C622EB">
            <w:pPr>
              <w:jc w:val="center"/>
              <w:rPr>
                <w:highlight w:val="lightGray"/>
                <w:u w:val="single"/>
              </w:rPr>
            </w:pPr>
            <w:r w:rsidRPr="00B41D76">
              <w:rPr>
                <w:highlight w:val="lightGray"/>
                <w:u w:val="single"/>
              </w:rPr>
              <w:t>1.47</w:t>
            </w:r>
          </w:p>
        </w:tc>
      </w:tr>
      <w:tr w:rsidR="00D335A4" w:rsidRPr="00E315FE" w:rsidTr="00C622EB">
        <w:trPr>
          <w:jc w:val="center"/>
        </w:trPr>
        <w:tc>
          <w:tcPr>
            <w:tcW w:w="2173" w:type="dxa"/>
            <w:shd w:val="clear" w:color="auto" w:fill="auto"/>
          </w:tcPr>
          <w:p w:rsidR="00D335A4" w:rsidRPr="00E315FE" w:rsidRDefault="00D335A4" w:rsidP="00C622EB">
            <w:pPr>
              <w:jc w:val="center"/>
            </w:pPr>
            <w:r w:rsidRPr="00E315FE">
              <w:t>80</w:t>
            </w:r>
          </w:p>
        </w:tc>
        <w:tc>
          <w:tcPr>
            <w:tcW w:w="1967" w:type="dxa"/>
            <w:shd w:val="clear" w:color="auto" w:fill="auto"/>
          </w:tcPr>
          <w:p w:rsidR="00D335A4" w:rsidRPr="00B41D76" w:rsidRDefault="00D335A4" w:rsidP="00C622EB">
            <w:pPr>
              <w:jc w:val="center"/>
              <w:rPr>
                <w:highlight w:val="lightGray"/>
                <w:u w:val="single"/>
              </w:rPr>
            </w:pPr>
            <w:r w:rsidRPr="00B41D76">
              <w:rPr>
                <w:highlight w:val="lightGray"/>
                <w:u w:val="single"/>
              </w:rPr>
              <w:t>1.41</w:t>
            </w:r>
          </w:p>
        </w:tc>
      </w:tr>
      <w:tr w:rsidR="00D335A4" w:rsidRPr="00E315FE" w:rsidTr="00C622EB">
        <w:trPr>
          <w:jc w:val="center"/>
        </w:trPr>
        <w:tc>
          <w:tcPr>
            <w:tcW w:w="2173" w:type="dxa"/>
            <w:shd w:val="clear" w:color="auto" w:fill="auto"/>
          </w:tcPr>
          <w:p w:rsidR="00D335A4" w:rsidRPr="00E315FE" w:rsidRDefault="00D335A4" w:rsidP="00C622EB">
            <w:pPr>
              <w:jc w:val="center"/>
            </w:pPr>
            <w:r w:rsidRPr="00E315FE">
              <w:t>100</w:t>
            </w:r>
          </w:p>
        </w:tc>
        <w:tc>
          <w:tcPr>
            <w:tcW w:w="1967" w:type="dxa"/>
            <w:shd w:val="clear" w:color="auto" w:fill="auto"/>
          </w:tcPr>
          <w:p w:rsidR="00D335A4" w:rsidRPr="00B41D76" w:rsidRDefault="00D335A4" w:rsidP="00C622EB">
            <w:pPr>
              <w:jc w:val="center"/>
              <w:rPr>
                <w:highlight w:val="lightGray"/>
                <w:u w:val="single"/>
              </w:rPr>
            </w:pPr>
            <w:r w:rsidRPr="00B41D76">
              <w:rPr>
                <w:highlight w:val="lightGray"/>
                <w:u w:val="single"/>
              </w:rPr>
              <w:t>1.36</w:t>
            </w:r>
          </w:p>
        </w:tc>
      </w:tr>
      <w:tr w:rsidR="00D335A4" w:rsidRPr="00E315FE" w:rsidTr="00C622EB">
        <w:trPr>
          <w:jc w:val="center"/>
        </w:trPr>
        <w:tc>
          <w:tcPr>
            <w:tcW w:w="2173" w:type="dxa"/>
            <w:shd w:val="clear" w:color="auto" w:fill="auto"/>
          </w:tcPr>
          <w:p w:rsidR="00D335A4" w:rsidRPr="00E315FE" w:rsidRDefault="00D335A4" w:rsidP="00C622EB">
            <w:pPr>
              <w:jc w:val="center"/>
            </w:pPr>
            <w:r w:rsidRPr="00E315FE">
              <w:t>150</w:t>
            </w:r>
          </w:p>
        </w:tc>
        <w:tc>
          <w:tcPr>
            <w:tcW w:w="1967" w:type="dxa"/>
            <w:shd w:val="clear" w:color="auto" w:fill="auto"/>
          </w:tcPr>
          <w:p w:rsidR="00D335A4" w:rsidRPr="00B41D76" w:rsidRDefault="00D335A4" w:rsidP="00C622EB">
            <w:pPr>
              <w:jc w:val="center"/>
              <w:rPr>
                <w:highlight w:val="lightGray"/>
                <w:u w:val="single"/>
              </w:rPr>
            </w:pPr>
            <w:r w:rsidRPr="00B41D76">
              <w:rPr>
                <w:highlight w:val="lightGray"/>
                <w:u w:val="single"/>
              </w:rPr>
              <w:t>1.29</w:t>
            </w:r>
          </w:p>
        </w:tc>
      </w:tr>
      <w:tr w:rsidR="00D335A4" w:rsidRPr="00E315FE" w:rsidTr="00C622EB">
        <w:trPr>
          <w:jc w:val="center"/>
        </w:trPr>
        <w:tc>
          <w:tcPr>
            <w:tcW w:w="2173" w:type="dxa"/>
            <w:shd w:val="clear" w:color="auto" w:fill="auto"/>
          </w:tcPr>
          <w:p w:rsidR="00D335A4" w:rsidRPr="00E315FE" w:rsidRDefault="00D335A4" w:rsidP="00C622EB">
            <w:pPr>
              <w:jc w:val="center"/>
            </w:pPr>
            <w:r w:rsidRPr="00E315FE">
              <w:t>200</w:t>
            </w:r>
          </w:p>
        </w:tc>
        <w:tc>
          <w:tcPr>
            <w:tcW w:w="1967" w:type="dxa"/>
            <w:shd w:val="clear" w:color="auto" w:fill="auto"/>
          </w:tcPr>
          <w:p w:rsidR="00D335A4" w:rsidRPr="00B41D76" w:rsidRDefault="00D335A4" w:rsidP="00C622EB">
            <w:pPr>
              <w:jc w:val="center"/>
              <w:rPr>
                <w:highlight w:val="lightGray"/>
                <w:u w:val="single"/>
              </w:rPr>
            </w:pPr>
            <w:r w:rsidRPr="00B41D76">
              <w:rPr>
                <w:highlight w:val="lightGray"/>
                <w:u w:val="single"/>
              </w:rPr>
              <w:t>1.25</w:t>
            </w:r>
          </w:p>
        </w:tc>
      </w:tr>
    </w:tbl>
    <w:p w:rsidR="00D335A4" w:rsidRDefault="00D335A4" w:rsidP="00D335A4">
      <w:pPr>
        <w:rPr>
          <w:sz w:val="16"/>
          <w:szCs w:val="16"/>
        </w:rPr>
      </w:pPr>
      <w:r w:rsidRPr="00BA5473">
        <w:tab/>
      </w:r>
      <w:r w:rsidRPr="00BA5473">
        <w:tab/>
      </w:r>
      <w:r w:rsidRPr="00BA5473">
        <w:rPr>
          <w:sz w:val="16"/>
          <w:szCs w:val="16"/>
        </w:rPr>
        <w:t>Source: Table of F published in ‘Tables for Statisticians’ Barnes &amp;</w:t>
      </w:r>
      <w:r w:rsidR="00070B0C">
        <w:rPr>
          <w:sz w:val="16"/>
          <w:szCs w:val="16"/>
        </w:rPr>
        <w:t xml:space="preserve"> </w:t>
      </w:r>
      <w:r w:rsidRPr="00BA5473">
        <w:rPr>
          <w:sz w:val="16"/>
          <w:szCs w:val="16"/>
        </w:rPr>
        <w:t xml:space="preserve">Noble, Inc. New York </w:t>
      </w:r>
    </w:p>
    <w:p w:rsidR="00D335A4" w:rsidRPr="00BA5473" w:rsidRDefault="00D335A4" w:rsidP="00D335A4">
      <w:pPr>
        <w:rPr>
          <w:sz w:val="16"/>
          <w:szCs w:val="16"/>
        </w:rPr>
      </w:pPr>
    </w:p>
    <w:p w:rsidR="00D335A4" w:rsidRPr="00E315FE" w:rsidRDefault="00D335A4" w:rsidP="00D335A4">
      <w:r w:rsidRPr="00E315FE">
        <w:t>10.2.2</w:t>
      </w:r>
      <w:r>
        <w:t xml:space="preserve"> </w:t>
      </w:r>
      <w:r w:rsidRPr="00E315FE">
        <w:tab/>
        <w:t xml:space="preserve">For a given sample size, if the relative variance exceeds the threshold </w:t>
      </w:r>
      <w:r w:rsidRPr="003D700A">
        <w:rPr>
          <w:strike/>
          <w:highlight w:val="lightGray"/>
        </w:rPr>
        <w:t>limit</w:t>
      </w:r>
      <w:r w:rsidRPr="00E315FE">
        <w:t>, the candidate variety will be deemed to be non-uniform for that characteristic.</w:t>
      </w:r>
    </w:p>
    <w:p w:rsidR="00D335A4" w:rsidRDefault="00D335A4" w:rsidP="00D335A4">
      <w:pPr>
        <w:rPr>
          <w:u w:val="single"/>
        </w:rPr>
      </w:pPr>
      <w:bookmarkStart w:id="16" w:name="_Toc219640863"/>
      <w:bookmarkStart w:id="17" w:name="_Toc270063982"/>
    </w:p>
    <w:p w:rsidR="002E3544" w:rsidRDefault="002E3544" w:rsidP="00D335A4">
      <w:pPr>
        <w:rPr>
          <w:u w:val="single"/>
        </w:rPr>
      </w:pPr>
    </w:p>
    <w:p w:rsidR="002E3544" w:rsidRDefault="002E3544" w:rsidP="00D335A4">
      <w:pPr>
        <w:rPr>
          <w:u w:val="single"/>
        </w:rPr>
      </w:pPr>
    </w:p>
    <w:p w:rsidR="002E3544" w:rsidRDefault="002E3544" w:rsidP="00D335A4">
      <w:pPr>
        <w:rPr>
          <w:u w:val="single"/>
        </w:rPr>
      </w:pPr>
    </w:p>
    <w:p w:rsidR="00D335A4" w:rsidRPr="00A8424E" w:rsidRDefault="00D335A4" w:rsidP="00D335A4">
      <w:pPr>
        <w:rPr>
          <w:u w:val="single"/>
        </w:rPr>
      </w:pPr>
      <w:r w:rsidRPr="00A8424E">
        <w:rPr>
          <w:u w:val="single"/>
        </w:rPr>
        <w:lastRenderedPageBreak/>
        <w:t>10.3</w:t>
      </w:r>
      <w:r w:rsidRPr="00A8424E">
        <w:rPr>
          <w:u w:val="single"/>
        </w:rPr>
        <w:tab/>
        <w:t>The relative variance test in practice</w:t>
      </w:r>
      <w:bookmarkEnd w:id="16"/>
      <w:bookmarkEnd w:id="17"/>
    </w:p>
    <w:p w:rsidR="00D335A4" w:rsidRPr="00E315FE" w:rsidRDefault="00D335A4" w:rsidP="00D335A4"/>
    <w:p w:rsidR="00D335A4" w:rsidRPr="00E315FE" w:rsidRDefault="00D335A4" w:rsidP="00D335A4">
      <w:r w:rsidRPr="00E315FE">
        <w:t>10.3.1</w:t>
      </w:r>
      <w:r w:rsidRPr="00E315FE">
        <w:tab/>
      </w:r>
      <w:r>
        <w:tab/>
      </w:r>
      <w:r w:rsidRPr="00E315FE">
        <w:t xml:space="preserve">When the calculated relative variance is lower than the tabulated value of F statistic presented in Table 1,  for the relevant sample size, then it is reasonable to assume that the variances are equal and the candidate variety is uniform in that particular characteristic.  If the calculated relative variance is higher than the tabulated value of F, then the null hypothesis, that the varieties have equal variances, is rejected.  The candidate variety would then be deemed to have a higher variance than the comparable varieties for that particular characteristic and, therefore, would not meet the uniformity criteria. </w:t>
      </w:r>
    </w:p>
    <w:p w:rsidR="00D335A4" w:rsidRPr="00E315FE" w:rsidRDefault="00D335A4" w:rsidP="00D335A4"/>
    <w:p w:rsidR="00D335A4" w:rsidRPr="00A8424E" w:rsidRDefault="00D335A4" w:rsidP="00D335A4">
      <w:pPr>
        <w:rPr>
          <w:u w:val="single"/>
        </w:rPr>
      </w:pPr>
      <w:bookmarkStart w:id="18" w:name="_Toc219640864"/>
      <w:bookmarkStart w:id="19" w:name="_Toc270063983"/>
      <w:r w:rsidRPr="00A8424E">
        <w:rPr>
          <w:u w:val="single"/>
        </w:rPr>
        <w:t>10.4</w:t>
      </w:r>
      <w:r w:rsidRPr="00A8424E">
        <w:rPr>
          <w:u w:val="single"/>
        </w:rPr>
        <w:tab/>
        <w:t>Example of relative variance method</w:t>
      </w:r>
      <w:bookmarkEnd w:id="18"/>
      <w:bookmarkEnd w:id="19"/>
    </w:p>
    <w:p w:rsidR="00D335A4" w:rsidRPr="00E315FE" w:rsidRDefault="00D335A4" w:rsidP="00D335A4">
      <w:pPr>
        <w:rPr>
          <w:b/>
          <w:u w:val="single"/>
          <w:lang w:val="en-GB"/>
        </w:rPr>
      </w:pPr>
    </w:p>
    <w:p w:rsidR="00D335A4" w:rsidRPr="00E315FE" w:rsidRDefault="00D335A4" w:rsidP="00D335A4">
      <w:pPr>
        <w:rPr>
          <w:i/>
        </w:rPr>
      </w:pPr>
      <w:r w:rsidRPr="00E315FE">
        <w:rPr>
          <w:i/>
        </w:rPr>
        <w:t xml:space="preserve">Example </w:t>
      </w:r>
    </w:p>
    <w:p w:rsidR="00D335A4" w:rsidRPr="00E315FE" w:rsidRDefault="00D335A4" w:rsidP="00D335A4"/>
    <w:p w:rsidR="00D335A4" w:rsidRPr="00E315FE" w:rsidRDefault="00D335A4" w:rsidP="00D335A4">
      <w:r w:rsidRPr="00E315FE">
        <w:t>10.4.1</w:t>
      </w:r>
      <w:r>
        <w:tab/>
      </w:r>
      <w:r w:rsidRPr="00E315FE">
        <w:tab/>
        <w:t>In a DUS trial, a cross-pollinated candidate variety is grown together with a number of varieties representing the required level of uniformity for all relevant characteristics.  In order to illustrate the calculation of the relative variance, an example with 4 comparable varieties is given.  The variance data on plant height measurements for the five varieties are presented in Table 2.  For each variety, 60 plants were measured for plant height:</w:t>
      </w:r>
    </w:p>
    <w:p w:rsidR="00D335A4" w:rsidRPr="00E315FE" w:rsidRDefault="00D335A4" w:rsidP="00D335A4"/>
    <w:p w:rsidR="00D335A4" w:rsidRPr="00E315FE" w:rsidRDefault="00D335A4" w:rsidP="00D335A4">
      <w:pPr>
        <w:rPr>
          <w:i/>
          <w:iCs/>
        </w:rPr>
      </w:pPr>
      <w:r w:rsidRPr="00E315FE">
        <w:rPr>
          <w:i/>
          <w:iCs/>
        </w:rPr>
        <w:tab/>
        <w:t>Table 2: variances of candidate and comparable varieties for plant height data</w:t>
      </w:r>
    </w:p>
    <w:tbl>
      <w:tblPr>
        <w:tblW w:w="0" w:type="auto"/>
        <w:tblInd w:w="250" w:type="dxa"/>
        <w:tblLook w:val="01E0" w:firstRow="1" w:lastRow="1" w:firstColumn="1" w:lastColumn="1" w:noHBand="0" w:noVBand="0"/>
      </w:tblPr>
      <w:tblGrid>
        <w:gridCol w:w="1418"/>
        <w:gridCol w:w="1842"/>
        <w:gridCol w:w="1843"/>
        <w:gridCol w:w="1843"/>
        <w:gridCol w:w="1843"/>
      </w:tblGrid>
      <w:tr w:rsidR="00D335A4" w:rsidRPr="00E315FE" w:rsidTr="00C622EB">
        <w:tc>
          <w:tcPr>
            <w:tcW w:w="1418" w:type="dxa"/>
            <w:shd w:val="clear" w:color="auto" w:fill="auto"/>
          </w:tcPr>
          <w:p w:rsidR="00D335A4" w:rsidRPr="00E315FE" w:rsidRDefault="00D335A4" w:rsidP="00C622EB">
            <w:pPr>
              <w:jc w:val="center"/>
            </w:pPr>
            <w:r w:rsidRPr="00E315FE">
              <w:t>Candidate</w:t>
            </w:r>
          </w:p>
        </w:tc>
        <w:tc>
          <w:tcPr>
            <w:tcW w:w="1842" w:type="dxa"/>
            <w:shd w:val="clear" w:color="auto" w:fill="auto"/>
          </w:tcPr>
          <w:p w:rsidR="00D335A4" w:rsidRPr="00E315FE" w:rsidRDefault="00D335A4" w:rsidP="00C622EB">
            <w:pPr>
              <w:jc w:val="center"/>
            </w:pPr>
            <w:r w:rsidRPr="00E315FE">
              <w:t>Comparable variety 1</w:t>
            </w:r>
          </w:p>
        </w:tc>
        <w:tc>
          <w:tcPr>
            <w:tcW w:w="1843" w:type="dxa"/>
            <w:shd w:val="clear" w:color="auto" w:fill="auto"/>
          </w:tcPr>
          <w:p w:rsidR="00D335A4" w:rsidRPr="00E315FE" w:rsidRDefault="00D335A4" w:rsidP="00C622EB">
            <w:pPr>
              <w:jc w:val="center"/>
            </w:pPr>
            <w:r w:rsidRPr="00E315FE">
              <w:t>Comparable variety 2</w:t>
            </w:r>
          </w:p>
        </w:tc>
        <w:tc>
          <w:tcPr>
            <w:tcW w:w="1843" w:type="dxa"/>
            <w:shd w:val="clear" w:color="auto" w:fill="auto"/>
          </w:tcPr>
          <w:p w:rsidR="00D335A4" w:rsidRPr="00E315FE" w:rsidRDefault="00D335A4" w:rsidP="00C622EB">
            <w:pPr>
              <w:jc w:val="center"/>
            </w:pPr>
            <w:r w:rsidRPr="00E315FE">
              <w:t>Comparable variety 3</w:t>
            </w:r>
          </w:p>
        </w:tc>
        <w:tc>
          <w:tcPr>
            <w:tcW w:w="1843" w:type="dxa"/>
            <w:shd w:val="clear" w:color="auto" w:fill="auto"/>
          </w:tcPr>
          <w:p w:rsidR="00D335A4" w:rsidRPr="00E315FE" w:rsidRDefault="00D335A4" w:rsidP="00C622EB">
            <w:pPr>
              <w:jc w:val="center"/>
            </w:pPr>
            <w:r w:rsidRPr="00E315FE">
              <w:t>Comparable variety 4</w:t>
            </w:r>
          </w:p>
        </w:tc>
      </w:tr>
      <w:tr w:rsidR="00D335A4" w:rsidRPr="00E315FE" w:rsidTr="00C622EB">
        <w:tc>
          <w:tcPr>
            <w:tcW w:w="1418" w:type="dxa"/>
            <w:shd w:val="clear" w:color="auto" w:fill="auto"/>
          </w:tcPr>
          <w:p w:rsidR="00D335A4" w:rsidRPr="00E315FE" w:rsidRDefault="00D335A4" w:rsidP="00C622EB">
            <w:pPr>
              <w:jc w:val="center"/>
            </w:pPr>
            <w:r w:rsidRPr="00E315FE">
              <w:t>5.6</w:t>
            </w:r>
          </w:p>
        </w:tc>
        <w:tc>
          <w:tcPr>
            <w:tcW w:w="1842" w:type="dxa"/>
            <w:shd w:val="clear" w:color="auto" w:fill="auto"/>
          </w:tcPr>
          <w:p w:rsidR="00D335A4" w:rsidRPr="00E315FE" w:rsidRDefault="00D335A4" w:rsidP="00C622EB">
            <w:pPr>
              <w:jc w:val="center"/>
            </w:pPr>
            <w:r w:rsidRPr="00E315FE">
              <w:t>7.8</w:t>
            </w:r>
          </w:p>
        </w:tc>
        <w:tc>
          <w:tcPr>
            <w:tcW w:w="1843" w:type="dxa"/>
            <w:shd w:val="clear" w:color="auto" w:fill="auto"/>
          </w:tcPr>
          <w:p w:rsidR="00D335A4" w:rsidRPr="00E315FE" w:rsidRDefault="00D335A4" w:rsidP="00C622EB">
            <w:pPr>
              <w:jc w:val="center"/>
            </w:pPr>
            <w:r w:rsidRPr="00E315FE">
              <w:t>4.5</w:t>
            </w:r>
          </w:p>
        </w:tc>
        <w:tc>
          <w:tcPr>
            <w:tcW w:w="1843" w:type="dxa"/>
            <w:shd w:val="clear" w:color="auto" w:fill="auto"/>
          </w:tcPr>
          <w:p w:rsidR="00D335A4" w:rsidRPr="00E315FE" w:rsidRDefault="00D335A4" w:rsidP="00C622EB">
            <w:pPr>
              <w:jc w:val="center"/>
            </w:pPr>
            <w:r w:rsidRPr="00E315FE">
              <w:t>3.2</w:t>
            </w:r>
          </w:p>
        </w:tc>
        <w:tc>
          <w:tcPr>
            <w:tcW w:w="1843" w:type="dxa"/>
            <w:shd w:val="clear" w:color="auto" w:fill="auto"/>
          </w:tcPr>
          <w:p w:rsidR="00D335A4" w:rsidRPr="00E315FE" w:rsidRDefault="00D335A4" w:rsidP="00C622EB">
            <w:pPr>
              <w:jc w:val="center"/>
            </w:pPr>
            <w:r w:rsidRPr="00E315FE">
              <w:t>5.8</w:t>
            </w:r>
          </w:p>
        </w:tc>
      </w:tr>
    </w:tbl>
    <w:p w:rsidR="00D335A4" w:rsidRPr="00E315FE" w:rsidRDefault="00D335A4" w:rsidP="00D335A4"/>
    <w:p w:rsidR="00D335A4" w:rsidRPr="00E315FE" w:rsidRDefault="00D335A4" w:rsidP="00D335A4">
      <w:r w:rsidRPr="00E315FE">
        <w:t>10.4.2</w:t>
      </w:r>
      <w:r>
        <w:tab/>
      </w:r>
      <w:r>
        <w:tab/>
      </w:r>
      <w:r w:rsidRPr="00E315FE">
        <w:t>The number of observations per variety is the same (n=60)</w:t>
      </w:r>
      <w:proofErr w:type="gramStart"/>
      <w:r w:rsidRPr="00E315FE">
        <w:t>;  therefore</w:t>
      </w:r>
      <w:proofErr w:type="gramEnd"/>
      <w:r w:rsidRPr="00E315FE">
        <w:t xml:space="preserve">, we can take the average variance of the comparable varieties as their pooled variance. </w:t>
      </w:r>
    </w:p>
    <w:p w:rsidR="00D335A4" w:rsidRPr="00E315FE" w:rsidRDefault="00D335A4" w:rsidP="00D335A4"/>
    <w:p w:rsidR="00D335A4" w:rsidRPr="00E315FE" w:rsidRDefault="00D335A4" w:rsidP="00D335A4">
      <w:r w:rsidRPr="00E315FE">
        <w:t>10.4.3</w:t>
      </w:r>
      <w:r w:rsidRPr="00E315FE">
        <w:tab/>
      </w:r>
      <w:r>
        <w:tab/>
      </w:r>
      <w:r w:rsidRPr="00E315FE">
        <w:t>The average variance for comparable varieties is   (7.8 + 4.5 + 3.2 + 5.8)/4 = 5.32</w:t>
      </w:r>
    </w:p>
    <w:p w:rsidR="00D335A4" w:rsidRPr="00E315FE" w:rsidRDefault="00D335A4" w:rsidP="00D335A4"/>
    <w:p w:rsidR="00D335A4" w:rsidRPr="00E315FE" w:rsidRDefault="00D335A4" w:rsidP="00D335A4">
      <w:r w:rsidRPr="00E315FE">
        <w:t>10.4.4</w:t>
      </w:r>
      <w:r w:rsidRPr="00E315FE">
        <w:tab/>
      </w:r>
      <w:r>
        <w:tab/>
      </w:r>
      <w:r w:rsidRPr="00E315FE">
        <w:t xml:space="preserve">The relative variance for a particular characteristic refers to the variance of the candidate divided by the average of the variance of the comparable varieties. </w:t>
      </w:r>
    </w:p>
    <w:p w:rsidR="00D335A4" w:rsidRPr="00E315FE" w:rsidRDefault="00D335A4" w:rsidP="00D335A4"/>
    <w:p w:rsidR="00D335A4" w:rsidRPr="00E315FE" w:rsidRDefault="00D335A4" w:rsidP="00D335A4">
      <w:r w:rsidRPr="00E315FE">
        <w:t>Relative variance = variance of the candidate/average variance of the comparable varieties</w:t>
      </w:r>
    </w:p>
    <w:p w:rsidR="00D335A4" w:rsidRPr="00E315FE" w:rsidRDefault="00D335A4" w:rsidP="00D335A4"/>
    <w:p w:rsidR="00D335A4" w:rsidRPr="00E315FE" w:rsidRDefault="00D335A4" w:rsidP="00D335A4">
      <w:r w:rsidRPr="00E315FE">
        <w:tab/>
      </w:r>
      <w:r w:rsidRPr="00E315FE">
        <w:tab/>
        <w:t xml:space="preserve">       = 5.6/5.32 = 1.05</w:t>
      </w:r>
    </w:p>
    <w:p w:rsidR="00D335A4" w:rsidRPr="00E315FE" w:rsidRDefault="00D335A4" w:rsidP="00D335A4"/>
    <w:p w:rsidR="00D335A4" w:rsidRPr="00E315FE" w:rsidRDefault="00D335A4" w:rsidP="00D335A4">
      <w:r w:rsidRPr="00E315FE">
        <w:t>10.4.5</w:t>
      </w:r>
      <w:r w:rsidRPr="00E315FE">
        <w:tab/>
      </w:r>
      <w:r>
        <w:tab/>
      </w:r>
      <w:r w:rsidRPr="00E315FE">
        <w:t xml:space="preserve">Now, in Table 1, for a sample size of 60, the threshold </w:t>
      </w:r>
      <w:r w:rsidRPr="003D700A">
        <w:rPr>
          <w:strike/>
          <w:highlight w:val="lightGray"/>
        </w:rPr>
        <w:t>limit</w:t>
      </w:r>
      <w:r w:rsidRPr="00E315FE">
        <w:t xml:space="preserve"> is </w:t>
      </w:r>
      <w:r w:rsidRPr="00B41D76">
        <w:rPr>
          <w:highlight w:val="lightGray"/>
          <w:u w:val="single"/>
        </w:rPr>
        <w:t>1.47</w:t>
      </w:r>
      <w:r w:rsidRPr="00E315FE">
        <w:t>; therefore, we can conclude that the candidate variety is sufficiently uniform for that characteristic.</w:t>
      </w:r>
    </w:p>
    <w:p w:rsidR="00D335A4" w:rsidRPr="00E315FE" w:rsidRDefault="00D335A4" w:rsidP="00D335A4"/>
    <w:p w:rsidR="00D335A4" w:rsidRPr="00E315FE" w:rsidRDefault="00D335A4" w:rsidP="00D335A4">
      <w:pPr>
        <w:rPr>
          <w:strike/>
          <w:highlight w:val="yellow"/>
        </w:rPr>
      </w:pPr>
    </w:p>
    <w:p w:rsidR="00D335A4" w:rsidRPr="00A8424E" w:rsidRDefault="00D335A4" w:rsidP="00D335A4">
      <w:pPr>
        <w:rPr>
          <w:u w:val="single"/>
        </w:rPr>
      </w:pPr>
      <w:bookmarkStart w:id="20" w:name="_Toc219640865"/>
      <w:bookmarkStart w:id="21" w:name="_Toc270063984"/>
      <w:r w:rsidRPr="00A8424E">
        <w:rPr>
          <w:u w:val="single"/>
        </w:rPr>
        <w:t>10.5</w:t>
      </w:r>
      <w:r w:rsidRPr="00A8424E">
        <w:rPr>
          <w:u w:val="single"/>
        </w:rPr>
        <w:tab/>
        <w:t>Relationship between relative variance and relative standard deviation</w:t>
      </w:r>
      <w:bookmarkEnd w:id="20"/>
      <w:bookmarkEnd w:id="21"/>
      <w:r w:rsidRPr="00A8424E">
        <w:rPr>
          <w:u w:val="single"/>
        </w:rPr>
        <w:t xml:space="preserve"> </w:t>
      </w:r>
    </w:p>
    <w:p w:rsidR="00D335A4" w:rsidRPr="00E315FE" w:rsidRDefault="00D335A4" w:rsidP="00D335A4"/>
    <w:p w:rsidR="00D335A4" w:rsidRPr="00E315FE" w:rsidRDefault="00D335A4" w:rsidP="00D335A4">
      <w:r w:rsidRPr="00E315FE">
        <w:t>10.5.1</w:t>
      </w:r>
      <w:r w:rsidRPr="00E315FE">
        <w:tab/>
      </w:r>
      <w:r>
        <w:tab/>
      </w:r>
      <w:r w:rsidRPr="00E315FE">
        <w:t>Sometimes in DUS trials, the uniformity data is presented in terms of standard deviations, not as variances.  Mathematically there is a simple relationship between variance and standard deviation, as follows:</w:t>
      </w:r>
    </w:p>
    <w:p w:rsidR="00D335A4" w:rsidRPr="00E315FE" w:rsidRDefault="00D335A4" w:rsidP="00D335A4"/>
    <w:p w:rsidR="00D335A4" w:rsidRPr="00E315FE" w:rsidRDefault="00D335A4" w:rsidP="00D335A4">
      <w:r w:rsidRPr="00E315FE">
        <w:tab/>
        <w:t>Standard deviation = square root of Variance</w:t>
      </w:r>
    </w:p>
    <w:p w:rsidR="00D335A4" w:rsidRPr="00E315FE" w:rsidRDefault="00D335A4" w:rsidP="00D335A4"/>
    <w:p w:rsidR="00D335A4" w:rsidRPr="00E315FE" w:rsidRDefault="00D335A4" w:rsidP="00D335A4">
      <w:r w:rsidRPr="00E315FE">
        <w:t>10.5.2</w:t>
      </w:r>
      <w:r w:rsidRPr="00E315FE">
        <w:tab/>
      </w:r>
      <w:r>
        <w:tab/>
      </w:r>
      <w:r w:rsidRPr="00E315FE">
        <w:t xml:space="preserve">Therefore, when dealing with relative standard deviations, Table 1 needs to be modified to include the square roots of the threshold </w:t>
      </w:r>
      <w:r w:rsidRPr="003D700A">
        <w:rPr>
          <w:strike/>
          <w:highlight w:val="lightGray"/>
        </w:rPr>
        <w:t>limits</w:t>
      </w:r>
      <w:r w:rsidRPr="00E315FE">
        <w:t xml:space="preserve">, which is presented in Table </w:t>
      </w:r>
      <w:r w:rsidR="00070B0C">
        <w:t>3</w:t>
      </w:r>
      <w:r w:rsidRPr="00E315FE">
        <w:t>.</w:t>
      </w:r>
    </w:p>
    <w:p w:rsidR="00D335A4" w:rsidRDefault="00D335A4" w:rsidP="00D335A4">
      <w:pPr>
        <w:rPr>
          <w:i/>
          <w:iCs/>
        </w:rPr>
      </w:pPr>
    </w:p>
    <w:p w:rsidR="00D335A4" w:rsidRPr="00E315FE" w:rsidRDefault="00D335A4" w:rsidP="00D335A4">
      <w:pPr>
        <w:rPr>
          <w:i/>
          <w:iCs/>
        </w:rPr>
      </w:pPr>
      <w:r w:rsidRPr="00E315FE">
        <w:rPr>
          <w:i/>
          <w:iCs/>
        </w:rPr>
        <w:t xml:space="preserve">Table </w:t>
      </w:r>
      <w:r w:rsidR="00070B0C">
        <w:rPr>
          <w:i/>
          <w:iCs/>
        </w:rPr>
        <w:t>3</w:t>
      </w:r>
      <w:r w:rsidRPr="00E315FE">
        <w:rPr>
          <w:i/>
          <w:iCs/>
        </w:rPr>
        <w:t>: Threshold</w:t>
      </w:r>
      <w:r w:rsidR="002E3544" w:rsidRPr="002E3544">
        <w:rPr>
          <w:i/>
          <w:highlight w:val="lightGray"/>
          <w:u w:val="single"/>
        </w:rPr>
        <w:t>s</w:t>
      </w:r>
      <w:r w:rsidRPr="00E315FE">
        <w:rPr>
          <w:i/>
          <w:iCs/>
        </w:rPr>
        <w:t xml:space="preserve"> </w:t>
      </w:r>
      <w:r w:rsidRPr="003D700A">
        <w:rPr>
          <w:i/>
          <w:iCs/>
          <w:strike/>
          <w:highlight w:val="lightGray"/>
        </w:rPr>
        <w:t>limit</w:t>
      </w:r>
      <w:r w:rsidRPr="00E315FE">
        <w:rPr>
          <w:i/>
          <w:iCs/>
        </w:rPr>
        <w:t xml:space="preserve"> for relative standard deviations for some different sample sizes </w:t>
      </w:r>
    </w:p>
    <w:tbl>
      <w:tblPr>
        <w:tblW w:w="0" w:type="auto"/>
        <w:tblInd w:w="2088" w:type="dxa"/>
        <w:tblLook w:val="01E0" w:firstRow="1" w:lastRow="1" w:firstColumn="1" w:lastColumn="1" w:noHBand="0" w:noVBand="0"/>
      </w:tblPr>
      <w:tblGrid>
        <w:gridCol w:w="2173"/>
        <w:gridCol w:w="2226"/>
      </w:tblGrid>
      <w:tr w:rsidR="00D335A4" w:rsidRPr="00E315FE" w:rsidTr="002E3544">
        <w:tc>
          <w:tcPr>
            <w:tcW w:w="2173" w:type="dxa"/>
            <w:shd w:val="clear" w:color="auto" w:fill="auto"/>
          </w:tcPr>
          <w:p w:rsidR="00D335A4" w:rsidRPr="00E315FE" w:rsidRDefault="00D335A4" w:rsidP="00C622EB">
            <w:pPr>
              <w:jc w:val="center"/>
              <w:rPr>
                <w:b/>
              </w:rPr>
            </w:pPr>
            <w:r w:rsidRPr="00E315FE">
              <w:rPr>
                <w:b/>
              </w:rPr>
              <w:t>Sample size of candidate</w:t>
            </w:r>
          </w:p>
        </w:tc>
        <w:tc>
          <w:tcPr>
            <w:tcW w:w="2226" w:type="dxa"/>
            <w:shd w:val="clear" w:color="auto" w:fill="auto"/>
          </w:tcPr>
          <w:p w:rsidR="00D335A4" w:rsidRPr="00E315FE" w:rsidRDefault="00D335A4" w:rsidP="00C622EB">
            <w:pPr>
              <w:jc w:val="center"/>
              <w:rPr>
                <w:b/>
              </w:rPr>
            </w:pPr>
            <w:r w:rsidRPr="00E315FE">
              <w:rPr>
                <w:b/>
              </w:rPr>
              <w:t>Threshold</w:t>
            </w:r>
            <w:r w:rsidR="002E3544" w:rsidRPr="002E3544">
              <w:rPr>
                <w:b/>
                <w:highlight w:val="lightGray"/>
                <w:u w:val="single"/>
              </w:rPr>
              <w:t>s</w:t>
            </w:r>
            <w:r w:rsidRPr="00E315FE">
              <w:rPr>
                <w:b/>
              </w:rPr>
              <w:t xml:space="preserve"> </w:t>
            </w:r>
            <w:r w:rsidRPr="003D700A">
              <w:rPr>
                <w:b/>
                <w:strike/>
                <w:highlight w:val="lightGray"/>
              </w:rPr>
              <w:t>limit</w:t>
            </w:r>
            <w:r w:rsidRPr="00E315FE">
              <w:rPr>
                <w:b/>
              </w:rPr>
              <w:t xml:space="preserve"> for relative standard deviations</w:t>
            </w:r>
          </w:p>
        </w:tc>
      </w:tr>
      <w:tr w:rsidR="00D335A4" w:rsidRPr="00E315FE" w:rsidTr="002E3544">
        <w:tc>
          <w:tcPr>
            <w:tcW w:w="2173" w:type="dxa"/>
            <w:shd w:val="clear" w:color="auto" w:fill="auto"/>
          </w:tcPr>
          <w:p w:rsidR="00D335A4" w:rsidRPr="00E315FE" w:rsidRDefault="00D335A4" w:rsidP="00C622EB">
            <w:pPr>
              <w:jc w:val="center"/>
            </w:pPr>
            <w:r w:rsidRPr="00E315FE">
              <w:t>30</w:t>
            </w:r>
          </w:p>
        </w:tc>
        <w:tc>
          <w:tcPr>
            <w:tcW w:w="2226" w:type="dxa"/>
            <w:shd w:val="clear" w:color="auto" w:fill="auto"/>
          </w:tcPr>
          <w:p w:rsidR="00D335A4" w:rsidRPr="00B41D76" w:rsidRDefault="00D335A4" w:rsidP="00C622EB">
            <w:pPr>
              <w:jc w:val="center"/>
              <w:rPr>
                <w:color w:val="000000"/>
                <w:highlight w:val="lightGray"/>
                <w:u w:val="single"/>
              </w:rPr>
            </w:pPr>
            <w:r w:rsidRPr="00B41D76">
              <w:rPr>
                <w:color w:val="000000"/>
                <w:highlight w:val="lightGray"/>
                <w:u w:val="single"/>
              </w:rPr>
              <w:t>1.30</w:t>
            </w:r>
          </w:p>
        </w:tc>
      </w:tr>
      <w:tr w:rsidR="00D335A4" w:rsidRPr="00E315FE" w:rsidTr="002E3544">
        <w:tc>
          <w:tcPr>
            <w:tcW w:w="2173" w:type="dxa"/>
            <w:shd w:val="clear" w:color="auto" w:fill="auto"/>
          </w:tcPr>
          <w:p w:rsidR="00D335A4" w:rsidRPr="00E315FE" w:rsidRDefault="00D335A4" w:rsidP="00C622EB">
            <w:pPr>
              <w:jc w:val="center"/>
            </w:pPr>
            <w:r w:rsidRPr="00E315FE">
              <w:t>40</w:t>
            </w:r>
          </w:p>
        </w:tc>
        <w:tc>
          <w:tcPr>
            <w:tcW w:w="2226" w:type="dxa"/>
            <w:shd w:val="clear" w:color="auto" w:fill="auto"/>
          </w:tcPr>
          <w:p w:rsidR="00D335A4" w:rsidRPr="00B41D76" w:rsidRDefault="00D335A4" w:rsidP="00C622EB">
            <w:pPr>
              <w:jc w:val="center"/>
              <w:rPr>
                <w:color w:val="000000"/>
                <w:highlight w:val="lightGray"/>
                <w:u w:val="single"/>
              </w:rPr>
            </w:pPr>
            <w:r w:rsidRPr="00B41D76">
              <w:rPr>
                <w:color w:val="000000"/>
                <w:highlight w:val="lightGray"/>
                <w:u w:val="single"/>
              </w:rPr>
              <w:t>1.26</w:t>
            </w:r>
          </w:p>
        </w:tc>
      </w:tr>
      <w:tr w:rsidR="00D335A4" w:rsidRPr="00E315FE" w:rsidTr="002E3544">
        <w:tc>
          <w:tcPr>
            <w:tcW w:w="2173" w:type="dxa"/>
            <w:shd w:val="clear" w:color="auto" w:fill="auto"/>
          </w:tcPr>
          <w:p w:rsidR="00D335A4" w:rsidRPr="00E315FE" w:rsidRDefault="00D335A4" w:rsidP="00C622EB">
            <w:pPr>
              <w:jc w:val="center"/>
            </w:pPr>
            <w:r w:rsidRPr="00E315FE">
              <w:t>50</w:t>
            </w:r>
          </w:p>
        </w:tc>
        <w:tc>
          <w:tcPr>
            <w:tcW w:w="2226" w:type="dxa"/>
            <w:shd w:val="clear" w:color="auto" w:fill="auto"/>
          </w:tcPr>
          <w:p w:rsidR="00D335A4" w:rsidRPr="00B41D76" w:rsidRDefault="00D335A4" w:rsidP="00C622EB">
            <w:pPr>
              <w:jc w:val="center"/>
              <w:rPr>
                <w:color w:val="000000"/>
                <w:highlight w:val="lightGray"/>
                <w:u w:val="single"/>
              </w:rPr>
            </w:pPr>
            <w:r w:rsidRPr="00B41D76">
              <w:rPr>
                <w:color w:val="000000"/>
                <w:highlight w:val="lightGray"/>
                <w:u w:val="single"/>
              </w:rPr>
              <w:t>1.24</w:t>
            </w:r>
          </w:p>
        </w:tc>
      </w:tr>
      <w:tr w:rsidR="00D335A4" w:rsidRPr="00E315FE" w:rsidTr="002E3544">
        <w:tc>
          <w:tcPr>
            <w:tcW w:w="2173" w:type="dxa"/>
            <w:shd w:val="clear" w:color="auto" w:fill="auto"/>
          </w:tcPr>
          <w:p w:rsidR="00D335A4" w:rsidRPr="00E315FE" w:rsidRDefault="00D335A4" w:rsidP="00C622EB">
            <w:pPr>
              <w:jc w:val="center"/>
            </w:pPr>
            <w:r w:rsidRPr="00E315FE">
              <w:t>60</w:t>
            </w:r>
          </w:p>
        </w:tc>
        <w:tc>
          <w:tcPr>
            <w:tcW w:w="2226" w:type="dxa"/>
            <w:shd w:val="clear" w:color="auto" w:fill="auto"/>
          </w:tcPr>
          <w:p w:rsidR="00D335A4" w:rsidRPr="00B41D76" w:rsidRDefault="00D335A4" w:rsidP="00C622EB">
            <w:pPr>
              <w:jc w:val="center"/>
              <w:rPr>
                <w:color w:val="000000"/>
                <w:highlight w:val="lightGray"/>
                <w:u w:val="single"/>
              </w:rPr>
            </w:pPr>
            <w:r w:rsidRPr="00B41D76">
              <w:rPr>
                <w:color w:val="000000"/>
                <w:highlight w:val="lightGray"/>
                <w:u w:val="single"/>
              </w:rPr>
              <w:t>1.21</w:t>
            </w:r>
          </w:p>
        </w:tc>
      </w:tr>
      <w:tr w:rsidR="00D335A4" w:rsidRPr="00E315FE" w:rsidTr="002E3544">
        <w:tc>
          <w:tcPr>
            <w:tcW w:w="2173" w:type="dxa"/>
            <w:shd w:val="clear" w:color="auto" w:fill="auto"/>
          </w:tcPr>
          <w:p w:rsidR="00D335A4" w:rsidRPr="00E315FE" w:rsidRDefault="00D335A4" w:rsidP="00C622EB">
            <w:pPr>
              <w:jc w:val="center"/>
            </w:pPr>
            <w:r w:rsidRPr="00E315FE">
              <w:t>80</w:t>
            </w:r>
          </w:p>
        </w:tc>
        <w:tc>
          <w:tcPr>
            <w:tcW w:w="2226" w:type="dxa"/>
            <w:shd w:val="clear" w:color="auto" w:fill="auto"/>
          </w:tcPr>
          <w:p w:rsidR="00D335A4" w:rsidRPr="00B41D76" w:rsidRDefault="00D335A4" w:rsidP="00C622EB">
            <w:pPr>
              <w:jc w:val="center"/>
              <w:rPr>
                <w:color w:val="000000"/>
                <w:highlight w:val="lightGray"/>
                <w:u w:val="single"/>
              </w:rPr>
            </w:pPr>
            <w:r w:rsidRPr="00B41D76">
              <w:rPr>
                <w:color w:val="000000"/>
                <w:highlight w:val="lightGray"/>
                <w:u w:val="single"/>
              </w:rPr>
              <w:t>1.19</w:t>
            </w:r>
          </w:p>
        </w:tc>
      </w:tr>
      <w:tr w:rsidR="00D335A4" w:rsidRPr="00E315FE" w:rsidTr="002E3544">
        <w:tc>
          <w:tcPr>
            <w:tcW w:w="2173" w:type="dxa"/>
            <w:shd w:val="clear" w:color="auto" w:fill="auto"/>
          </w:tcPr>
          <w:p w:rsidR="00D335A4" w:rsidRPr="00E315FE" w:rsidRDefault="00D335A4" w:rsidP="00C622EB">
            <w:pPr>
              <w:jc w:val="center"/>
            </w:pPr>
            <w:r w:rsidRPr="00E315FE">
              <w:t>100</w:t>
            </w:r>
          </w:p>
        </w:tc>
        <w:tc>
          <w:tcPr>
            <w:tcW w:w="2226" w:type="dxa"/>
            <w:shd w:val="clear" w:color="auto" w:fill="auto"/>
          </w:tcPr>
          <w:p w:rsidR="00D335A4" w:rsidRPr="00B41D76" w:rsidRDefault="00D335A4" w:rsidP="00C622EB">
            <w:pPr>
              <w:jc w:val="center"/>
              <w:rPr>
                <w:color w:val="000000"/>
                <w:highlight w:val="lightGray"/>
                <w:u w:val="single"/>
              </w:rPr>
            </w:pPr>
            <w:r w:rsidRPr="00B41D76">
              <w:rPr>
                <w:color w:val="000000"/>
                <w:highlight w:val="lightGray"/>
                <w:u w:val="single"/>
              </w:rPr>
              <w:t>1.17</w:t>
            </w:r>
          </w:p>
        </w:tc>
      </w:tr>
      <w:tr w:rsidR="00D335A4" w:rsidRPr="00E315FE" w:rsidTr="002E3544">
        <w:tc>
          <w:tcPr>
            <w:tcW w:w="2173" w:type="dxa"/>
            <w:shd w:val="clear" w:color="auto" w:fill="auto"/>
          </w:tcPr>
          <w:p w:rsidR="00D335A4" w:rsidRPr="00E315FE" w:rsidRDefault="00D335A4" w:rsidP="00C622EB">
            <w:pPr>
              <w:jc w:val="center"/>
            </w:pPr>
            <w:r w:rsidRPr="00E315FE">
              <w:t>150</w:t>
            </w:r>
          </w:p>
        </w:tc>
        <w:tc>
          <w:tcPr>
            <w:tcW w:w="2226" w:type="dxa"/>
            <w:shd w:val="clear" w:color="auto" w:fill="auto"/>
          </w:tcPr>
          <w:p w:rsidR="00D335A4" w:rsidRPr="00B41D76" w:rsidRDefault="00D335A4" w:rsidP="00C622EB">
            <w:pPr>
              <w:jc w:val="center"/>
              <w:rPr>
                <w:color w:val="000000"/>
                <w:highlight w:val="lightGray"/>
                <w:u w:val="single"/>
              </w:rPr>
            </w:pPr>
            <w:r w:rsidRPr="00B41D76">
              <w:rPr>
                <w:color w:val="000000"/>
                <w:highlight w:val="lightGray"/>
                <w:u w:val="single"/>
              </w:rPr>
              <w:t>1.14</w:t>
            </w:r>
          </w:p>
        </w:tc>
      </w:tr>
      <w:tr w:rsidR="00D335A4" w:rsidRPr="00E315FE" w:rsidTr="002E3544">
        <w:tc>
          <w:tcPr>
            <w:tcW w:w="2173" w:type="dxa"/>
            <w:shd w:val="clear" w:color="auto" w:fill="auto"/>
          </w:tcPr>
          <w:p w:rsidR="00D335A4" w:rsidRPr="00E315FE" w:rsidRDefault="00D335A4" w:rsidP="00C622EB">
            <w:pPr>
              <w:jc w:val="center"/>
            </w:pPr>
            <w:r w:rsidRPr="00E315FE">
              <w:t>200</w:t>
            </w:r>
          </w:p>
        </w:tc>
        <w:tc>
          <w:tcPr>
            <w:tcW w:w="2226" w:type="dxa"/>
            <w:shd w:val="clear" w:color="auto" w:fill="auto"/>
          </w:tcPr>
          <w:p w:rsidR="00D335A4" w:rsidRPr="00B41D76" w:rsidRDefault="00D335A4" w:rsidP="00C622EB">
            <w:pPr>
              <w:jc w:val="center"/>
              <w:rPr>
                <w:color w:val="000000"/>
                <w:highlight w:val="lightGray"/>
                <w:u w:val="single"/>
              </w:rPr>
            </w:pPr>
            <w:r w:rsidRPr="00B41D76">
              <w:rPr>
                <w:color w:val="000000"/>
                <w:highlight w:val="lightGray"/>
                <w:u w:val="single"/>
              </w:rPr>
              <w:t>1.12</w:t>
            </w:r>
          </w:p>
        </w:tc>
      </w:tr>
    </w:tbl>
    <w:p w:rsidR="00D335A4" w:rsidRPr="00E315FE" w:rsidRDefault="00D335A4" w:rsidP="00D335A4">
      <w:pPr>
        <w:rPr>
          <w:b/>
        </w:rPr>
      </w:pPr>
    </w:p>
    <w:p w:rsidR="00D335A4" w:rsidRPr="00E315FE" w:rsidRDefault="00D335A4" w:rsidP="00D335A4">
      <w:r w:rsidRPr="00E315FE">
        <w:t>10.5.3</w:t>
      </w:r>
      <w:r>
        <w:t xml:space="preserve"> </w:t>
      </w:r>
      <w:r w:rsidRPr="00E315FE">
        <w:tab/>
        <w:t xml:space="preserve">When making a decision on uniformity based on relative standard deviations, the examiner needs to use Table </w:t>
      </w:r>
      <w:r w:rsidR="00070B0C">
        <w:t>3</w:t>
      </w:r>
      <w:r w:rsidRPr="00E315FE">
        <w:t xml:space="preserve">, instead of Table 1, to get the appropriate threshold </w:t>
      </w:r>
      <w:r w:rsidRPr="003D700A">
        <w:rPr>
          <w:strike/>
          <w:highlight w:val="lightGray"/>
        </w:rPr>
        <w:t>limits</w:t>
      </w:r>
      <w:r w:rsidRPr="00E315FE">
        <w:t>.  The same principle for acceptance or rejection applies for relative standard deviation; only the threshold</w:t>
      </w:r>
      <w:r w:rsidR="002E3544" w:rsidRPr="002E3544">
        <w:rPr>
          <w:highlight w:val="lightGray"/>
          <w:u w:val="single"/>
        </w:rPr>
        <w:t>s</w:t>
      </w:r>
      <w:r w:rsidRPr="00E315FE">
        <w:t xml:space="preserve"> </w:t>
      </w:r>
      <w:r w:rsidRPr="003D700A">
        <w:rPr>
          <w:strike/>
          <w:highlight w:val="lightGray"/>
        </w:rPr>
        <w:t>limits</w:t>
      </w:r>
      <w:r w:rsidRPr="00E315FE">
        <w:t xml:space="preserve"> are lower due to the square root of appropriate values.  For example, for 60 samples the relative variance threshold is </w:t>
      </w:r>
      <w:r w:rsidRPr="00B41D76">
        <w:rPr>
          <w:highlight w:val="lightGray"/>
          <w:u w:val="single"/>
        </w:rPr>
        <w:t>1.47</w:t>
      </w:r>
      <w:r w:rsidRPr="00E315FE">
        <w:t xml:space="preserve">; however, for relative standard deviation the threshold is </w:t>
      </w:r>
      <w:r w:rsidRPr="00B41D76">
        <w:rPr>
          <w:highlight w:val="lightGray"/>
          <w:u w:val="single"/>
        </w:rPr>
        <w:t>1.21</w:t>
      </w:r>
      <w:r w:rsidRPr="00E315FE">
        <w:t xml:space="preserve">, which is the square root of </w:t>
      </w:r>
      <w:r w:rsidRPr="00B41D76">
        <w:rPr>
          <w:highlight w:val="lightGray"/>
          <w:u w:val="single"/>
        </w:rPr>
        <w:t>1.47</w:t>
      </w:r>
      <w:r w:rsidRPr="00E315FE">
        <w:t xml:space="preserve">. </w:t>
      </w:r>
    </w:p>
    <w:p w:rsidR="00D335A4" w:rsidRDefault="00D335A4" w:rsidP="00D335A4"/>
    <w:p w:rsidR="00050E16" w:rsidRPr="00D335A4" w:rsidRDefault="00D335A4" w:rsidP="00D335A4">
      <w:pPr>
        <w:pStyle w:val="endofdoc"/>
        <w:rPr>
          <w:snapToGrid w:val="0"/>
        </w:rPr>
      </w:pPr>
      <w:r w:rsidRPr="00100526">
        <w:t>[End of Annex</w:t>
      </w:r>
      <w:r>
        <w:t xml:space="preserve"> II</w:t>
      </w:r>
      <w:r w:rsidRPr="00100526">
        <w:t xml:space="preserve"> and of document]</w:t>
      </w:r>
    </w:p>
    <w:sectPr w:rsidR="00050E16" w:rsidRPr="00D335A4" w:rsidSect="00D335A4">
      <w:headerReference w:type="default" r:id="rId12"/>
      <w:headerReference w:type="first" r:id="rId13"/>
      <w:foot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E0F" w:rsidRDefault="001B2E0F" w:rsidP="006655D3">
      <w:r>
        <w:separator/>
      </w:r>
    </w:p>
    <w:p w:rsidR="001B2E0F" w:rsidRDefault="001B2E0F" w:rsidP="006655D3"/>
    <w:p w:rsidR="001B2E0F" w:rsidRDefault="001B2E0F" w:rsidP="006655D3"/>
  </w:endnote>
  <w:endnote w:type="continuationSeparator" w:id="0">
    <w:p w:rsidR="001B2E0F" w:rsidRDefault="001B2E0F" w:rsidP="006655D3">
      <w:r>
        <w:separator/>
      </w:r>
    </w:p>
    <w:p w:rsidR="001B2E0F" w:rsidRPr="00D335A4" w:rsidRDefault="001B2E0F">
      <w:pPr>
        <w:pStyle w:val="Footer"/>
        <w:spacing w:after="60"/>
        <w:rPr>
          <w:sz w:val="18"/>
          <w:lang w:val="fr-FR"/>
        </w:rPr>
      </w:pPr>
      <w:r w:rsidRPr="00D335A4">
        <w:rPr>
          <w:sz w:val="18"/>
          <w:lang w:val="fr-FR"/>
        </w:rPr>
        <w:t>[Suite de la note de la page précédente]</w:t>
      </w:r>
    </w:p>
    <w:p w:rsidR="001B2E0F" w:rsidRPr="00D335A4" w:rsidRDefault="001B2E0F" w:rsidP="006655D3">
      <w:pPr>
        <w:rPr>
          <w:lang w:val="fr-FR"/>
        </w:rPr>
      </w:pPr>
    </w:p>
    <w:p w:rsidR="001B2E0F" w:rsidRPr="00D335A4" w:rsidRDefault="001B2E0F" w:rsidP="006655D3">
      <w:pPr>
        <w:rPr>
          <w:lang w:val="fr-FR"/>
        </w:rPr>
      </w:pPr>
    </w:p>
  </w:endnote>
  <w:endnote w:type="continuationNotice" w:id="1">
    <w:p w:rsidR="001B2E0F" w:rsidRPr="00D335A4" w:rsidRDefault="001B2E0F" w:rsidP="006655D3">
      <w:pPr>
        <w:rPr>
          <w:lang w:val="fr-FR"/>
        </w:rPr>
      </w:pPr>
      <w:r w:rsidRPr="00D335A4">
        <w:rPr>
          <w:lang w:val="fr-FR"/>
        </w:rPr>
        <w:t>[Suite de la note page suivante]</w:t>
      </w:r>
    </w:p>
    <w:p w:rsidR="001B2E0F" w:rsidRPr="00D335A4" w:rsidRDefault="001B2E0F" w:rsidP="006655D3">
      <w:pPr>
        <w:rPr>
          <w:lang w:val="fr-FR"/>
        </w:rPr>
      </w:pPr>
    </w:p>
    <w:p w:rsidR="001B2E0F" w:rsidRPr="00D335A4" w:rsidRDefault="001B2E0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AE0EF1" w:rsidRDefault="00182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E0F" w:rsidRDefault="001B2E0F" w:rsidP="006655D3">
      <w:r>
        <w:separator/>
      </w:r>
    </w:p>
  </w:footnote>
  <w:footnote w:type="continuationSeparator" w:id="0">
    <w:p w:rsidR="001B2E0F" w:rsidRDefault="001B2E0F" w:rsidP="006655D3">
      <w:r>
        <w:separator/>
      </w:r>
    </w:p>
  </w:footnote>
  <w:footnote w:type="continuationNotice" w:id="1">
    <w:p w:rsidR="001B2E0F" w:rsidRPr="00AB530F" w:rsidRDefault="001B2E0F"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5A4" w:rsidRDefault="00D335A4" w:rsidP="00EB048E">
    <w:pPr>
      <w:pStyle w:val="Header"/>
      <w:rPr>
        <w:rStyle w:val="PageNumber"/>
        <w:lang w:val="en-US"/>
      </w:rPr>
    </w:pPr>
    <w:r w:rsidRPr="00C5280D">
      <w:rPr>
        <w:rStyle w:val="PageNumber"/>
        <w:lang w:val="en-US"/>
      </w:rPr>
      <w:t>TC/</w:t>
    </w:r>
    <w:r>
      <w:rPr>
        <w:rStyle w:val="PageNumber"/>
        <w:lang w:val="en-US"/>
      </w:rPr>
      <w:t>50</w:t>
    </w:r>
    <w:r w:rsidRPr="00C5280D">
      <w:rPr>
        <w:rStyle w:val="PageNumber"/>
        <w:lang w:val="en-US"/>
      </w:rPr>
      <w:t>/</w:t>
    </w:r>
    <w:r>
      <w:rPr>
        <w:rStyle w:val="PageNumber"/>
        <w:lang w:val="en-US"/>
      </w:rPr>
      <w:t>23</w:t>
    </w:r>
  </w:p>
  <w:p w:rsidR="00D335A4" w:rsidRPr="00C5280D" w:rsidRDefault="00D335A4" w:rsidP="00EB048E">
    <w:pPr>
      <w:pStyle w:val="Header"/>
      <w:rPr>
        <w:lang w:val="en-US"/>
      </w:rPr>
    </w:pPr>
    <w:r>
      <w:rPr>
        <w:lang w:val="en-US"/>
      </w:rPr>
      <w:t>P</w:t>
    </w:r>
    <w:r w:rsidRPr="00C5280D">
      <w:rPr>
        <w:lang w:val="en-US"/>
      </w:rPr>
      <w:t xml:space="preserve">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531D9">
      <w:rPr>
        <w:rStyle w:val="PageNumber"/>
        <w:noProof/>
        <w:lang w:val="en-US"/>
      </w:rPr>
      <w:t>3</w:t>
    </w:r>
    <w:r w:rsidRPr="00C5280D">
      <w:rPr>
        <w:rStyle w:val="PageNumber"/>
        <w:lang w:val="en-US"/>
      </w:rPr>
      <w:fldChar w:fldCharType="end"/>
    </w:r>
  </w:p>
  <w:p w:rsidR="00D335A4" w:rsidRPr="00C5280D" w:rsidRDefault="00D335A4"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5A4" w:rsidRDefault="00D335A4" w:rsidP="006E4864">
    <w:pPr>
      <w:pStyle w:val="Header"/>
      <w:rPr>
        <w:rStyle w:val="PageNumber"/>
        <w:lang w:val="en-US"/>
      </w:rPr>
    </w:pPr>
    <w:r w:rsidRPr="00C5280D">
      <w:rPr>
        <w:rStyle w:val="PageNumber"/>
        <w:lang w:val="en-US"/>
      </w:rPr>
      <w:t>TC/</w:t>
    </w:r>
    <w:r w:rsidR="00DD0E7F">
      <w:rPr>
        <w:rStyle w:val="PageNumber"/>
        <w:lang w:val="en-US"/>
      </w:rPr>
      <w:t>50/23</w:t>
    </w:r>
  </w:p>
  <w:p w:rsidR="00D335A4" w:rsidRPr="006E4864" w:rsidRDefault="00D335A4" w:rsidP="00EB048E">
    <w:pPr>
      <w:pStyle w:val="Header"/>
      <w:rPr>
        <w:lang w:val="en-US"/>
      </w:rPr>
    </w:pPr>
    <w:r w:rsidRPr="006E4864">
      <w:rPr>
        <w:lang w:val="en-US"/>
      </w:rPr>
      <w:t xml:space="preserve">Annex I, page </w:t>
    </w:r>
    <w:r>
      <w:rPr>
        <w:rStyle w:val="PageNumber"/>
      </w:rPr>
      <w:fldChar w:fldCharType="begin"/>
    </w:r>
    <w:r w:rsidRPr="006E4864">
      <w:rPr>
        <w:rStyle w:val="PageNumber"/>
        <w:lang w:val="en-US"/>
      </w:rPr>
      <w:instrText xml:space="preserve"> PAGE </w:instrText>
    </w:r>
    <w:r>
      <w:rPr>
        <w:rStyle w:val="PageNumber"/>
      </w:rPr>
      <w:fldChar w:fldCharType="separate"/>
    </w:r>
    <w:r w:rsidR="006531D9">
      <w:rPr>
        <w:rStyle w:val="PageNumber"/>
        <w:noProof/>
        <w:lang w:val="en-US"/>
      </w:rPr>
      <w:t>2</w:t>
    </w:r>
    <w:r>
      <w:rPr>
        <w:rStyle w:val="PageNumber"/>
      </w:rPr>
      <w:fldChar w:fldCharType="end"/>
    </w:r>
  </w:p>
  <w:p w:rsidR="00D335A4" w:rsidRPr="00C5280D" w:rsidRDefault="00D335A4"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5A4" w:rsidRDefault="00D335A4" w:rsidP="008E4862">
    <w:pPr>
      <w:pStyle w:val="Header"/>
      <w:rPr>
        <w:rStyle w:val="PageNumber"/>
        <w:lang w:val="en-US"/>
      </w:rPr>
    </w:pPr>
    <w:r w:rsidRPr="00C5280D">
      <w:rPr>
        <w:rStyle w:val="PageNumber"/>
        <w:lang w:val="en-US"/>
      </w:rPr>
      <w:t>TC/</w:t>
    </w:r>
    <w:r>
      <w:rPr>
        <w:rStyle w:val="PageNumber"/>
        <w:lang w:val="en-US"/>
      </w:rPr>
      <w:t>50</w:t>
    </w:r>
    <w:r w:rsidRPr="00C5280D">
      <w:rPr>
        <w:rStyle w:val="PageNumber"/>
        <w:lang w:val="en-US"/>
      </w:rPr>
      <w:t>/</w:t>
    </w:r>
    <w:r>
      <w:rPr>
        <w:rStyle w:val="PageNumber"/>
        <w:lang w:val="en-US"/>
      </w:rPr>
      <w:t>23</w:t>
    </w:r>
  </w:p>
  <w:p w:rsidR="00D335A4" w:rsidRDefault="00D335A4" w:rsidP="008E4862">
    <w:pPr>
      <w:pStyle w:val="Header"/>
      <w:rPr>
        <w:rStyle w:val="PageNumber"/>
        <w:lang w:val="en-US"/>
      </w:rPr>
    </w:pPr>
  </w:p>
  <w:p w:rsidR="00D335A4" w:rsidRPr="006E4864" w:rsidRDefault="00D335A4" w:rsidP="008E4862">
    <w:pPr>
      <w:pStyle w:val="Header"/>
      <w:rPr>
        <w:lang w:val="en-US"/>
      </w:rPr>
    </w:pPr>
    <w:r>
      <w:rPr>
        <w:lang w:val="en-US"/>
      </w:rPr>
      <w:t>ANNEX I</w:t>
    </w:r>
  </w:p>
  <w:p w:rsidR="00D335A4" w:rsidRPr="008E4862" w:rsidRDefault="00D335A4" w:rsidP="008E4862">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rPr>
    </w:pPr>
    <w:r>
      <w:rPr>
        <w:rStyle w:val="PageNumber"/>
        <w:lang w:val="en-US"/>
      </w:rPr>
      <w:t>TC/</w:t>
    </w:r>
    <w:r w:rsidR="00050E16">
      <w:rPr>
        <w:rStyle w:val="PageNumber"/>
        <w:lang w:val="en-US"/>
      </w:rPr>
      <w:t>50</w:t>
    </w:r>
    <w:r>
      <w:rPr>
        <w:rStyle w:val="PageNumber"/>
        <w:lang w:val="en-US"/>
      </w:rPr>
      <w:t>/</w:t>
    </w:r>
    <w:r w:rsidR="00D335A4">
      <w:rPr>
        <w:rStyle w:val="PageNumber"/>
        <w:lang w:val="en-US"/>
      </w:rPr>
      <w:t>23</w:t>
    </w:r>
  </w:p>
  <w:p w:rsidR="00182B99" w:rsidRPr="00C5280D" w:rsidRDefault="00D335A4" w:rsidP="00EB048E">
    <w:pPr>
      <w:pStyle w:val="Header"/>
      <w:rPr>
        <w:lang w:val="en-US"/>
      </w:rPr>
    </w:pPr>
    <w:r>
      <w:rPr>
        <w:lang w:val="en-US"/>
      </w:rPr>
      <w:t xml:space="preserve">Annex II, </w:t>
    </w:r>
    <w:r w:rsidR="00182B99" w:rsidRPr="00C5280D">
      <w:rPr>
        <w:lang w:val="en-US"/>
      </w:rPr>
      <w:t xml:space="preserve">page </w:t>
    </w:r>
    <w:r>
      <w:rPr>
        <w:rStyle w:val="PageNumber"/>
        <w:lang w:val="en-US"/>
      </w:rPr>
      <w:fldChar w:fldCharType="begin"/>
    </w:r>
    <w:r>
      <w:rPr>
        <w:rStyle w:val="PageNumber"/>
        <w:lang w:val="en-US"/>
      </w:rPr>
      <w:instrText xml:space="preserve"> PAGE  \* Arabic </w:instrText>
    </w:r>
    <w:r>
      <w:rPr>
        <w:rStyle w:val="PageNumber"/>
        <w:lang w:val="en-US"/>
      </w:rPr>
      <w:fldChar w:fldCharType="separate"/>
    </w:r>
    <w:r w:rsidR="006531D9">
      <w:rPr>
        <w:rStyle w:val="PageNumber"/>
        <w:noProof/>
        <w:lang w:val="en-US"/>
      </w:rPr>
      <w:t>3</w:t>
    </w:r>
    <w:r>
      <w:rPr>
        <w:rStyle w:val="PageNumber"/>
        <w:lang w:val="en-US"/>
      </w:rPr>
      <w:fldChar w:fldCharType="end"/>
    </w:r>
  </w:p>
  <w:p w:rsidR="00182B99" w:rsidRPr="00C5280D" w:rsidRDefault="00182B99"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5A4" w:rsidRDefault="00D335A4" w:rsidP="008E4862">
    <w:pPr>
      <w:pStyle w:val="Header"/>
      <w:rPr>
        <w:rStyle w:val="PageNumber"/>
        <w:lang w:val="en-US"/>
      </w:rPr>
    </w:pPr>
    <w:r w:rsidRPr="00C5280D">
      <w:rPr>
        <w:rStyle w:val="PageNumber"/>
        <w:lang w:val="en-US"/>
      </w:rPr>
      <w:t>TC/</w:t>
    </w:r>
    <w:r>
      <w:rPr>
        <w:rStyle w:val="PageNumber"/>
        <w:lang w:val="en-US"/>
      </w:rPr>
      <w:t>50</w:t>
    </w:r>
    <w:r w:rsidRPr="00C5280D">
      <w:rPr>
        <w:rStyle w:val="PageNumber"/>
        <w:lang w:val="en-US"/>
      </w:rPr>
      <w:t>/</w:t>
    </w:r>
    <w:r>
      <w:rPr>
        <w:rStyle w:val="PageNumber"/>
        <w:lang w:val="en-US"/>
      </w:rPr>
      <w:t>23</w:t>
    </w:r>
  </w:p>
  <w:p w:rsidR="00D335A4" w:rsidRDefault="00D335A4" w:rsidP="008E4862">
    <w:pPr>
      <w:pStyle w:val="Header"/>
      <w:rPr>
        <w:rStyle w:val="PageNumber"/>
        <w:lang w:val="en-US"/>
      </w:rPr>
    </w:pPr>
  </w:p>
  <w:p w:rsidR="00D335A4" w:rsidRPr="006E4864" w:rsidRDefault="00D335A4" w:rsidP="008E4862">
    <w:pPr>
      <w:pStyle w:val="Header"/>
      <w:rPr>
        <w:lang w:val="en-US"/>
      </w:rPr>
    </w:pPr>
    <w:r>
      <w:rPr>
        <w:lang w:val="en-US"/>
      </w:rPr>
      <w:t>ANNEX II</w:t>
    </w:r>
  </w:p>
  <w:p w:rsidR="00D335A4" w:rsidRPr="008E4862" w:rsidRDefault="00D335A4" w:rsidP="008E4862">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E0F"/>
    <w:rsid w:val="00010CF3"/>
    <w:rsid w:val="00011E27"/>
    <w:rsid w:val="000148BC"/>
    <w:rsid w:val="00024AB8"/>
    <w:rsid w:val="00030854"/>
    <w:rsid w:val="00036028"/>
    <w:rsid w:val="00044642"/>
    <w:rsid w:val="000446B9"/>
    <w:rsid w:val="00047E21"/>
    <w:rsid w:val="00050E16"/>
    <w:rsid w:val="00070B0C"/>
    <w:rsid w:val="00085505"/>
    <w:rsid w:val="000C7021"/>
    <w:rsid w:val="000D6BBC"/>
    <w:rsid w:val="000D7780"/>
    <w:rsid w:val="000F2F11"/>
    <w:rsid w:val="00105929"/>
    <w:rsid w:val="001131D5"/>
    <w:rsid w:val="00141DB8"/>
    <w:rsid w:val="0017474A"/>
    <w:rsid w:val="001758C6"/>
    <w:rsid w:val="00182B99"/>
    <w:rsid w:val="001B2E0F"/>
    <w:rsid w:val="0021332C"/>
    <w:rsid w:val="00213982"/>
    <w:rsid w:val="0024416D"/>
    <w:rsid w:val="00271911"/>
    <w:rsid w:val="002800A0"/>
    <w:rsid w:val="002801B3"/>
    <w:rsid w:val="00281060"/>
    <w:rsid w:val="002940E8"/>
    <w:rsid w:val="002A6E50"/>
    <w:rsid w:val="002C256A"/>
    <w:rsid w:val="002E3544"/>
    <w:rsid w:val="002F7BD7"/>
    <w:rsid w:val="00305A7F"/>
    <w:rsid w:val="003152FE"/>
    <w:rsid w:val="00327436"/>
    <w:rsid w:val="00344BD6"/>
    <w:rsid w:val="0035528D"/>
    <w:rsid w:val="00361821"/>
    <w:rsid w:val="003C4B34"/>
    <w:rsid w:val="003D227C"/>
    <w:rsid w:val="003D2B4D"/>
    <w:rsid w:val="00444A88"/>
    <w:rsid w:val="00474DA4"/>
    <w:rsid w:val="00476B4D"/>
    <w:rsid w:val="004805FA"/>
    <w:rsid w:val="004D047D"/>
    <w:rsid w:val="004E76B9"/>
    <w:rsid w:val="004F305A"/>
    <w:rsid w:val="00512164"/>
    <w:rsid w:val="00520297"/>
    <w:rsid w:val="005338F9"/>
    <w:rsid w:val="00536457"/>
    <w:rsid w:val="0054281C"/>
    <w:rsid w:val="0055268D"/>
    <w:rsid w:val="00576BE4"/>
    <w:rsid w:val="005A400A"/>
    <w:rsid w:val="00612379"/>
    <w:rsid w:val="0061555F"/>
    <w:rsid w:val="00641200"/>
    <w:rsid w:val="006531D9"/>
    <w:rsid w:val="006655D3"/>
    <w:rsid w:val="00667404"/>
    <w:rsid w:val="00674A38"/>
    <w:rsid w:val="00687EB4"/>
    <w:rsid w:val="006B17D2"/>
    <w:rsid w:val="006C224E"/>
    <w:rsid w:val="006D780A"/>
    <w:rsid w:val="00732DEC"/>
    <w:rsid w:val="00735BD5"/>
    <w:rsid w:val="007556F6"/>
    <w:rsid w:val="00760EEF"/>
    <w:rsid w:val="00777EE5"/>
    <w:rsid w:val="007824C2"/>
    <w:rsid w:val="00782F83"/>
    <w:rsid w:val="00784836"/>
    <w:rsid w:val="0079023E"/>
    <w:rsid w:val="007A2854"/>
    <w:rsid w:val="007D0B9D"/>
    <w:rsid w:val="007D19B0"/>
    <w:rsid w:val="007F498F"/>
    <w:rsid w:val="0080679D"/>
    <w:rsid w:val="008108B0"/>
    <w:rsid w:val="00811B20"/>
    <w:rsid w:val="0082296E"/>
    <w:rsid w:val="00824099"/>
    <w:rsid w:val="00867AC1"/>
    <w:rsid w:val="008A743F"/>
    <w:rsid w:val="008C0970"/>
    <w:rsid w:val="008D2CF7"/>
    <w:rsid w:val="008F34D0"/>
    <w:rsid w:val="00900C26"/>
    <w:rsid w:val="0090197F"/>
    <w:rsid w:val="00906DDC"/>
    <w:rsid w:val="00920628"/>
    <w:rsid w:val="009349F7"/>
    <w:rsid w:val="00934E09"/>
    <w:rsid w:val="00936253"/>
    <w:rsid w:val="00952DD4"/>
    <w:rsid w:val="00970FED"/>
    <w:rsid w:val="00992D82"/>
    <w:rsid w:val="00997029"/>
    <w:rsid w:val="009979BA"/>
    <w:rsid w:val="009A3450"/>
    <w:rsid w:val="009D690D"/>
    <w:rsid w:val="009E65B6"/>
    <w:rsid w:val="00A24C10"/>
    <w:rsid w:val="00A312B3"/>
    <w:rsid w:val="00A42AC3"/>
    <w:rsid w:val="00A430CF"/>
    <w:rsid w:val="00A45256"/>
    <w:rsid w:val="00A54309"/>
    <w:rsid w:val="00AB2B93"/>
    <w:rsid w:val="00AB530F"/>
    <w:rsid w:val="00AB7E5B"/>
    <w:rsid w:val="00AE0EF1"/>
    <w:rsid w:val="00AE2937"/>
    <w:rsid w:val="00AF4E17"/>
    <w:rsid w:val="00B07301"/>
    <w:rsid w:val="00B224DE"/>
    <w:rsid w:val="00B22AFC"/>
    <w:rsid w:val="00B46575"/>
    <w:rsid w:val="00B84BBD"/>
    <w:rsid w:val="00BA43FB"/>
    <w:rsid w:val="00BA729F"/>
    <w:rsid w:val="00BC127D"/>
    <w:rsid w:val="00BC1FE6"/>
    <w:rsid w:val="00BE1106"/>
    <w:rsid w:val="00C061B6"/>
    <w:rsid w:val="00C2446C"/>
    <w:rsid w:val="00C36AE5"/>
    <w:rsid w:val="00C41F17"/>
    <w:rsid w:val="00C5280D"/>
    <w:rsid w:val="00C5791C"/>
    <w:rsid w:val="00C66290"/>
    <w:rsid w:val="00C72B7A"/>
    <w:rsid w:val="00C973F2"/>
    <w:rsid w:val="00CA304C"/>
    <w:rsid w:val="00CA774A"/>
    <w:rsid w:val="00CC11B0"/>
    <w:rsid w:val="00CF7E36"/>
    <w:rsid w:val="00D335A4"/>
    <w:rsid w:val="00D3708D"/>
    <w:rsid w:val="00D40426"/>
    <w:rsid w:val="00D53B3B"/>
    <w:rsid w:val="00D57C96"/>
    <w:rsid w:val="00D91203"/>
    <w:rsid w:val="00D95174"/>
    <w:rsid w:val="00DA6F36"/>
    <w:rsid w:val="00DB596E"/>
    <w:rsid w:val="00DB7773"/>
    <w:rsid w:val="00DC00EA"/>
    <w:rsid w:val="00DC4CFC"/>
    <w:rsid w:val="00DD0E7F"/>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7556C"/>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DC4CFC"/>
    <w:pPr>
      <w:tabs>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rsid w:val="00D335A4"/>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DC4CFC"/>
    <w:pPr>
      <w:tabs>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rsid w:val="00D335A4"/>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stm.org"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tc_50_EN</Template>
  <TotalTime>1058</TotalTime>
  <Pages>8</Pages>
  <Words>3292</Words>
  <Characters>18192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22</cp:revision>
  <cp:lastPrinted>2014-02-14T14:26:00Z</cp:lastPrinted>
  <dcterms:created xsi:type="dcterms:W3CDTF">2013-11-18T14:55:00Z</dcterms:created>
  <dcterms:modified xsi:type="dcterms:W3CDTF">2014-02-14T14:28:00Z</dcterms:modified>
</cp:coreProperties>
</file>