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EB233F">
              <w:t>12</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C33428">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3941D8" w:rsidRPr="00C33428">
              <w:rPr>
                <w:b w:val="0"/>
                <w:spacing w:val="0"/>
              </w:rPr>
              <w:t>January</w:t>
            </w:r>
            <w:r w:rsidR="00AB530F" w:rsidRPr="00C33428">
              <w:rPr>
                <w:b w:val="0"/>
                <w:spacing w:val="0"/>
              </w:rPr>
              <w:t xml:space="preserve"> </w:t>
            </w:r>
            <w:r w:rsidR="0077534F" w:rsidRPr="00C33428">
              <w:rPr>
                <w:b w:val="0"/>
                <w:spacing w:val="0"/>
              </w:rPr>
              <w:t>2</w:t>
            </w:r>
            <w:r w:rsidR="00C33428" w:rsidRPr="00C33428">
              <w:rPr>
                <w:b w:val="0"/>
                <w:spacing w:val="0"/>
              </w:rPr>
              <w:t>7</w:t>
            </w:r>
            <w:r w:rsidR="0024416D" w:rsidRPr="00C33428">
              <w:rPr>
                <w:b w:val="0"/>
                <w:spacing w:val="0"/>
              </w:rPr>
              <w:t xml:space="preserve">, </w:t>
            </w:r>
            <w:r w:rsidR="001131D5" w:rsidRPr="00C33428">
              <w:rPr>
                <w:b w:val="0"/>
                <w:spacing w:val="0"/>
              </w:rPr>
              <w:t>201</w:t>
            </w:r>
            <w:r w:rsidR="00050E16" w:rsidRPr="00C33428">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EB233F" w:rsidP="006655D3">
      <w:pPr>
        <w:pStyle w:val="Titleofdoc0"/>
      </w:pPr>
      <w:bookmarkStart w:id="3" w:name="TitleOfDoc"/>
      <w:bookmarkEnd w:id="3"/>
      <w:r>
        <w:t xml:space="preserve">Assessing uniformity by off-types on basis of more than one sample </w:t>
      </w:r>
      <w:r>
        <w:br/>
        <w:t>or sub-samples</w:t>
      </w:r>
    </w:p>
    <w:p w:rsidR="00050E16" w:rsidRPr="00C5280D" w:rsidRDefault="00AE0EF1" w:rsidP="00050E16">
      <w:pPr>
        <w:pStyle w:val="preparedby1"/>
      </w:pPr>
      <w:bookmarkStart w:id="4" w:name="Prepared"/>
      <w:bookmarkEnd w:id="4"/>
      <w:r w:rsidRPr="000A37A7">
        <w:t>Document</w:t>
      </w:r>
      <w:r w:rsidRPr="00C5280D">
        <w:t xml:space="preserve"> </w:t>
      </w:r>
      <w:r w:rsidR="0061555F" w:rsidRPr="00C5280D">
        <w:t>prepared by the Office of the Union</w:t>
      </w:r>
      <w:r w:rsidR="00050E16">
        <w:br/>
      </w:r>
      <w:r w:rsidR="00050E16">
        <w:br/>
      </w:r>
      <w:r w:rsidR="00050E16">
        <w:rPr>
          <w:color w:val="A6A6A6" w:themeColor="background1" w:themeShade="A6"/>
        </w:rPr>
        <w:t>Disclaimer:  this document does not represent UPOV policies or guidance</w:t>
      </w:r>
    </w:p>
    <w:p w:rsidR="00183337" w:rsidRPr="00ED3415" w:rsidRDefault="00183337" w:rsidP="00183337">
      <w:pPr>
        <w:autoSpaceDE w:val="0"/>
        <w:autoSpaceDN w:val="0"/>
        <w:adjustRightInd w:val="0"/>
        <w:rPr>
          <w:rFonts w:eastAsia="MS Mincho"/>
          <w:color w:val="000000"/>
          <w:szCs w:val="24"/>
          <w:lang w:eastAsia="ja-JP"/>
        </w:rPr>
      </w:pPr>
      <w:r w:rsidRPr="00ED3415">
        <w:rPr>
          <w:szCs w:val="24"/>
        </w:rPr>
        <w:fldChar w:fldCharType="begin"/>
      </w:r>
      <w:r w:rsidRPr="00ED3415">
        <w:rPr>
          <w:szCs w:val="24"/>
        </w:rPr>
        <w:instrText xml:space="preserve"> AUTONUM  </w:instrText>
      </w:r>
      <w:r w:rsidRPr="00ED3415">
        <w:rPr>
          <w:szCs w:val="24"/>
        </w:rPr>
        <w:fldChar w:fldCharType="end"/>
      </w:r>
      <w:r w:rsidRPr="00ED3415">
        <w:rPr>
          <w:szCs w:val="24"/>
        </w:rPr>
        <w:tab/>
      </w:r>
      <w:r w:rsidRPr="00ED3415">
        <w:rPr>
          <w:rFonts w:eastAsia="MS Mincho"/>
          <w:color w:val="000000"/>
          <w:szCs w:val="24"/>
          <w:lang w:eastAsia="ja-JP"/>
        </w:rPr>
        <w:t>The purpose</w:t>
      </w:r>
      <w:r>
        <w:rPr>
          <w:rFonts w:eastAsia="MS Mincho"/>
          <w:color w:val="000000"/>
          <w:szCs w:val="24"/>
          <w:lang w:eastAsia="ja-JP"/>
        </w:rPr>
        <w:t xml:space="preserve"> of this document is to report on developments concerning a summary of approaches used by members of the Union in assessing </w:t>
      </w:r>
      <w:r w:rsidRPr="00ED3415">
        <w:rPr>
          <w:rFonts w:eastAsia="MS Mincho"/>
          <w:color w:val="000000"/>
          <w:szCs w:val="24"/>
          <w:lang w:eastAsia="ja-JP"/>
        </w:rPr>
        <w:t>uniformity by off-types on the basis of more</w:t>
      </w:r>
      <w:r>
        <w:rPr>
          <w:rFonts w:eastAsia="MS Mincho"/>
          <w:color w:val="000000"/>
          <w:szCs w:val="24"/>
          <w:lang w:eastAsia="ja-JP"/>
        </w:rPr>
        <w:t xml:space="preserve"> than one sample or sub-sample. </w:t>
      </w:r>
      <w:r w:rsidRPr="00ED3415">
        <w:rPr>
          <w:rFonts w:eastAsia="MS Mincho"/>
          <w:color w:val="000000"/>
          <w:szCs w:val="24"/>
          <w:lang w:eastAsia="ja-JP"/>
        </w:rPr>
        <w:t xml:space="preserve"> </w:t>
      </w:r>
    </w:p>
    <w:p w:rsidR="00183337" w:rsidRDefault="00183337" w:rsidP="00183337">
      <w:pPr>
        <w:autoSpaceDE w:val="0"/>
        <w:autoSpaceDN w:val="0"/>
        <w:adjustRightInd w:val="0"/>
        <w:rPr>
          <w:rFonts w:eastAsia="MS Mincho"/>
          <w:color w:val="000000"/>
          <w:szCs w:val="24"/>
          <w:lang w:eastAsia="ja-JP"/>
        </w:rPr>
      </w:pPr>
    </w:p>
    <w:p w:rsidR="00183337" w:rsidRDefault="00183337" w:rsidP="00183337">
      <w:pPr>
        <w:rPr>
          <w:rFonts w:cs="Arial"/>
          <w:color w:val="000000"/>
        </w:rPr>
      </w:pPr>
      <w:r w:rsidRPr="005623A7">
        <w:fldChar w:fldCharType="begin"/>
      </w:r>
      <w:r w:rsidRPr="005623A7">
        <w:instrText xml:space="preserve"> AUTONUM  </w:instrText>
      </w:r>
      <w:r w:rsidRPr="005623A7">
        <w:fldChar w:fldCharType="end"/>
      </w:r>
      <w:r>
        <w:tab/>
      </w:r>
      <w:r w:rsidRPr="00322838">
        <w:rPr>
          <w:rFonts w:cs="Arial"/>
          <w:color w:val="000000"/>
        </w:rPr>
        <w:t>The following abbreviations are used in this document:</w:t>
      </w:r>
    </w:p>
    <w:p w:rsidR="00183337" w:rsidRDefault="00183337" w:rsidP="00183337">
      <w:pPr>
        <w:rPr>
          <w:rFonts w:cs="Arial"/>
          <w:color w:val="000000"/>
        </w:rPr>
      </w:pPr>
    </w:p>
    <w:p w:rsidR="00183337" w:rsidRPr="00322838" w:rsidRDefault="00183337" w:rsidP="00183337">
      <w:pPr>
        <w:rPr>
          <w:rFonts w:cs="Arial"/>
        </w:rPr>
      </w:pPr>
      <w:r w:rsidRPr="00322838">
        <w:rPr>
          <w:rFonts w:cs="Arial"/>
        </w:rPr>
        <w:tab/>
        <w:t>TC:</w:t>
      </w:r>
      <w:r w:rsidRPr="00322838">
        <w:rPr>
          <w:rFonts w:cs="Arial"/>
        </w:rPr>
        <w:tab/>
      </w:r>
      <w:r w:rsidRPr="00322838">
        <w:rPr>
          <w:rFonts w:cs="Arial"/>
        </w:rPr>
        <w:tab/>
        <w:t>Technical Committee</w:t>
      </w:r>
    </w:p>
    <w:p w:rsidR="00183337" w:rsidRPr="00322838" w:rsidRDefault="00183337" w:rsidP="00183337">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183337" w:rsidRPr="00322838" w:rsidRDefault="00183337" w:rsidP="00183337">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183337" w:rsidRPr="00322838" w:rsidRDefault="00183337" w:rsidP="00183337">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183337" w:rsidRPr="00322838" w:rsidRDefault="00183337" w:rsidP="00183337">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183337" w:rsidRPr="00322838" w:rsidRDefault="00183337" w:rsidP="00183337">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 xml:space="preserve">Technical Working Party for Ornamental Plants and </w:t>
      </w:r>
      <w:smartTag w:uri="urn:schemas-microsoft-com:office:smarttags" w:element="place">
        <w:r w:rsidRPr="00322838">
          <w:rPr>
            <w:rFonts w:eastAsia="PMingLiU" w:cs="Arial"/>
            <w:szCs w:val="24"/>
          </w:rPr>
          <w:t>Forest</w:t>
        </w:r>
      </w:smartTag>
      <w:r w:rsidRPr="00322838">
        <w:rPr>
          <w:rFonts w:eastAsia="PMingLiU" w:cs="Arial"/>
          <w:szCs w:val="24"/>
        </w:rPr>
        <w:t xml:space="preserve"> Trees</w:t>
      </w:r>
    </w:p>
    <w:p w:rsidR="00183337" w:rsidRPr="00322838" w:rsidRDefault="00183337" w:rsidP="00183337">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183337" w:rsidRPr="00FF5F20" w:rsidRDefault="00183337" w:rsidP="00183337">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E5345F" w:rsidRDefault="00E5345F">
      <w:pPr>
        <w:jc w:val="left"/>
      </w:pPr>
      <w:r>
        <w:br w:type="page"/>
      </w:r>
    </w:p>
    <w:p w:rsidR="00183337" w:rsidRDefault="00183337" w:rsidP="00183337">
      <w:pPr>
        <w:autoSpaceDE w:val="0"/>
        <w:autoSpaceDN w:val="0"/>
        <w:adjustRightInd w:val="0"/>
      </w:pPr>
    </w:p>
    <w:p w:rsidR="00183337" w:rsidRDefault="00183337" w:rsidP="00183337">
      <w:pPr>
        <w:autoSpaceDE w:val="0"/>
        <w:autoSpaceDN w:val="0"/>
        <w:adjustRightInd w:val="0"/>
        <w:spacing w:before="120"/>
        <w:rPr>
          <w:rFonts w:eastAsia="MS Mincho"/>
          <w:color w:val="000000"/>
          <w:szCs w:val="24"/>
          <w:lang w:eastAsia="ja-JP"/>
        </w:rPr>
      </w:pPr>
      <w:r w:rsidRPr="005623A7">
        <w:fldChar w:fldCharType="begin"/>
      </w:r>
      <w:r w:rsidRPr="005623A7">
        <w:instrText xml:space="preserve"> AUTONUM  </w:instrText>
      </w:r>
      <w:r w:rsidRPr="005623A7">
        <w:fldChar w:fldCharType="end"/>
      </w:r>
      <w:r>
        <w:tab/>
      </w:r>
      <w:r>
        <w:rPr>
          <w:rFonts w:eastAsia="MS Mincho"/>
          <w:color w:val="000000"/>
          <w:szCs w:val="24"/>
          <w:lang w:eastAsia="ja-JP"/>
        </w:rPr>
        <w:t>The structure of this document is as follows:</w:t>
      </w:r>
    </w:p>
    <w:p w:rsidR="00183337" w:rsidRPr="00A70561" w:rsidRDefault="00183337" w:rsidP="00183337">
      <w:pPr>
        <w:autoSpaceDE w:val="0"/>
        <w:autoSpaceDN w:val="0"/>
        <w:adjustRightInd w:val="0"/>
        <w:rPr>
          <w:rFonts w:eastAsia="MS Mincho"/>
          <w:color w:val="000000"/>
          <w:szCs w:val="16"/>
          <w:lang w:eastAsia="ja-JP"/>
        </w:rPr>
      </w:pPr>
    </w:p>
    <w:p w:rsidR="00BE6470" w:rsidRDefault="00BE6470">
      <w:pPr>
        <w:pStyle w:val="TOC1"/>
        <w:rPr>
          <w:rFonts w:asciiTheme="minorHAnsi" w:eastAsiaTheme="minorEastAsia" w:hAnsiTheme="minorHAnsi" w:cstheme="minorBidi"/>
          <w:caps w:val="0"/>
          <w:noProof/>
          <w:sz w:val="22"/>
          <w:szCs w:val="22"/>
        </w:rPr>
      </w:pPr>
      <w:r>
        <w:rPr>
          <w:rFonts w:eastAsia="MS Mincho"/>
          <w:caps w:val="0"/>
          <w:noProof/>
          <w:szCs w:val="24"/>
          <w:lang w:eastAsia="ja-JP"/>
        </w:rPr>
        <w:fldChar w:fldCharType="begin"/>
      </w:r>
      <w:r>
        <w:rPr>
          <w:rFonts w:eastAsia="MS Mincho"/>
          <w:caps w:val="0"/>
          <w:noProof/>
          <w:szCs w:val="24"/>
          <w:lang w:eastAsia="ja-JP"/>
        </w:rPr>
        <w:instrText xml:space="preserve"> TOC \o "1-3" \u </w:instrText>
      </w:r>
      <w:r>
        <w:rPr>
          <w:rFonts w:eastAsia="MS Mincho"/>
          <w:caps w:val="0"/>
          <w:noProof/>
          <w:szCs w:val="24"/>
          <w:lang w:eastAsia="ja-JP"/>
        </w:rPr>
        <w:fldChar w:fldCharType="separate"/>
      </w:r>
      <w:r w:rsidRPr="005E32BD">
        <w:rPr>
          <w:rFonts w:eastAsia="MS Mincho"/>
          <w:noProof/>
          <w:lang w:eastAsia="ja-JP"/>
        </w:rPr>
        <w:t>i.</w:t>
      </w:r>
      <w:r>
        <w:rPr>
          <w:rFonts w:asciiTheme="minorHAnsi" w:eastAsiaTheme="minorEastAsia" w:hAnsiTheme="minorHAnsi" w:cstheme="minorBidi"/>
          <w:caps w:val="0"/>
          <w:noProof/>
          <w:sz w:val="22"/>
          <w:szCs w:val="22"/>
        </w:rPr>
        <w:tab/>
      </w:r>
      <w:r w:rsidRPr="005E32BD">
        <w:rPr>
          <w:rFonts w:eastAsia="MS Mincho"/>
          <w:noProof/>
          <w:lang w:eastAsia="ja-JP"/>
        </w:rPr>
        <w:t>BACKGROUND</w:t>
      </w:r>
      <w:r>
        <w:rPr>
          <w:noProof/>
        </w:rPr>
        <w:tab/>
      </w:r>
      <w:r>
        <w:rPr>
          <w:noProof/>
        </w:rPr>
        <w:fldChar w:fldCharType="begin"/>
      </w:r>
      <w:r>
        <w:rPr>
          <w:noProof/>
        </w:rPr>
        <w:instrText xml:space="preserve"> PAGEREF _Toc380150989 \h </w:instrText>
      </w:r>
      <w:r>
        <w:rPr>
          <w:noProof/>
        </w:rPr>
      </w:r>
      <w:r>
        <w:rPr>
          <w:noProof/>
        </w:rPr>
        <w:fldChar w:fldCharType="separate"/>
      </w:r>
      <w:r w:rsidR="0048071A">
        <w:rPr>
          <w:noProof/>
        </w:rPr>
        <w:t>2</w:t>
      </w:r>
      <w:r>
        <w:rPr>
          <w:noProof/>
        </w:rPr>
        <w:fldChar w:fldCharType="end"/>
      </w:r>
    </w:p>
    <w:p w:rsidR="00BE6470" w:rsidRDefault="00BE6470">
      <w:pPr>
        <w:pStyle w:val="TOC1"/>
        <w:rPr>
          <w:rFonts w:asciiTheme="minorHAnsi" w:eastAsiaTheme="minorEastAsia" w:hAnsiTheme="minorHAnsi" w:cstheme="minorBidi"/>
          <w:caps w:val="0"/>
          <w:noProof/>
          <w:sz w:val="22"/>
          <w:szCs w:val="22"/>
        </w:rPr>
      </w:pPr>
      <w:r w:rsidRPr="005E32BD">
        <w:rPr>
          <w:rFonts w:eastAsia="MS Mincho"/>
          <w:noProof/>
          <w:lang w:eastAsia="ja-JP"/>
        </w:rPr>
        <w:t>ii.</w:t>
      </w:r>
      <w:r>
        <w:rPr>
          <w:rFonts w:asciiTheme="minorHAnsi" w:eastAsiaTheme="minorEastAsia" w:hAnsiTheme="minorHAnsi" w:cstheme="minorBidi"/>
          <w:caps w:val="0"/>
          <w:noProof/>
          <w:sz w:val="22"/>
          <w:szCs w:val="22"/>
        </w:rPr>
        <w:tab/>
      </w:r>
      <w:r w:rsidRPr="005E32BD">
        <w:rPr>
          <w:rFonts w:eastAsia="MS Mincho"/>
          <w:noProof/>
          <w:lang w:eastAsia="ja-JP"/>
        </w:rPr>
        <w:t>Developments in 2012</w:t>
      </w:r>
      <w:r>
        <w:rPr>
          <w:noProof/>
        </w:rPr>
        <w:tab/>
      </w:r>
      <w:r>
        <w:rPr>
          <w:noProof/>
        </w:rPr>
        <w:fldChar w:fldCharType="begin"/>
      </w:r>
      <w:r>
        <w:rPr>
          <w:noProof/>
        </w:rPr>
        <w:instrText xml:space="preserve"> PAGEREF _Toc380150990 \h </w:instrText>
      </w:r>
      <w:r>
        <w:rPr>
          <w:noProof/>
        </w:rPr>
      </w:r>
      <w:r>
        <w:rPr>
          <w:noProof/>
        </w:rPr>
        <w:fldChar w:fldCharType="separate"/>
      </w:r>
      <w:r w:rsidR="0048071A">
        <w:rPr>
          <w:noProof/>
        </w:rPr>
        <w:t>2</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Working Party</w:t>
      </w:r>
      <w:r w:rsidRPr="005E32BD">
        <w:rPr>
          <w:rFonts w:eastAsia="MS Mincho"/>
          <w:iCs/>
          <w:noProof/>
          <w:lang w:eastAsia="ja-JP"/>
        </w:rPr>
        <w:t xml:space="preserve"> for Agricultural Crops</w:t>
      </w:r>
      <w:r>
        <w:rPr>
          <w:noProof/>
        </w:rPr>
        <w:tab/>
      </w:r>
      <w:r>
        <w:rPr>
          <w:noProof/>
        </w:rPr>
        <w:fldChar w:fldCharType="begin"/>
      </w:r>
      <w:r>
        <w:rPr>
          <w:noProof/>
        </w:rPr>
        <w:instrText xml:space="preserve"> PAGEREF _Toc380150991 \h </w:instrText>
      </w:r>
      <w:r>
        <w:rPr>
          <w:noProof/>
        </w:rPr>
      </w:r>
      <w:r>
        <w:rPr>
          <w:noProof/>
        </w:rPr>
        <w:fldChar w:fldCharType="separate"/>
      </w:r>
      <w:r w:rsidR="0048071A">
        <w:rPr>
          <w:noProof/>
        </w:rPr>
        <w:t>2</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Pr>
          <w:noProof/>
          <w:lang w:eastAsia="de-DE" w:bidi="de-DE"/>
        </w:rPr>
        <w:t>Technical Working Party for Vegetables</w:t>
      </w:r>
      <w:r>
        <w:rPr>
          <w:noProof/>
        </w:rPr>
        <w:tab/>
      </w:r>
      <w:r>
        <w:rPr>
          <w:noProof/>
        </w:rPr>
        <w:fldChar w:fldCharType="begin"/>
      </w:r>
      <w:r>
        <w:rPr>
          <w:noProof/>
        </w:rPr>
        <w:instrText xml:space="preserve"> PAGEREF _Toc380150992 \h </w:instrText>
      </w:r>
      <w:r>
        <w:rPr>
          <w:noProof/>
        </w:rPr>
      </w:r>
      <w:r>
        <w:rPr>
          <w:noProof/>
        </w:rPr>
        <w:fldChar w:fldCharType="separate"/>
      </w:r>
      <w:r w:rsidR="0048071A">
        <w:rPr>
          <w:noProof/>
        </w:rPr>
        <w:t>3</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Working Party on Automation and Computer Programs</w:t>
      </w:r>
      <w:r>
        <w:rPr>
          <w:noProof/>
        </w:rPr>
        <w:tab/>
      </w:r>
      <w:r>
        <w:rPr>
          <w:noProof/>
        </w:rPr>
        <w:fldChar w:fldCharType="begin"/>
      </w:r>
      <w:r>
        <w:rPr>
          <w:noProof/>
        </w:rPr>
        <w:instrText xml:space="preserve"> PAGEREF _Toc380150993 \h </w:instrText>
      </w:r>
      <w:r>
        <w:rPr>
          <w:noProof/>
        </w:rPr>
      </w:r>
      <w:r>
        <w:rPr>
          <w:noProof/>
        </w:rPr>
        <w:fldChar w:fldCharType="separate"/>
      </w:r>
      <w:r w:rsidR="0048071A">
        <w:rPr>
          <w:noProof/>
        </w:rPr>
        <w:t>3</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Working Party for Fruit Crops</w:t>
      </w:r>
      <w:r>
        <w:rPr>
          <w:noProof/>
        </w:rPr>
        <w:tab/>
      </w:r>
      <w:r>
        <w:rPr>
          <w:noProof/>
        </w:rPr>
        <w:fldChar w:fldCharType="begin"/>
      </w:r>
      <w:r>
        <w:rPr>
          <w:noProof/>
        </w:rPr>
        <w:instrText xml:space="preserve"> PAGEREF _Toc380150994 \h </w:instrText>
      </w:r>
      <w:r>
        <w:rPr>
          <w:noProof/>
        </w:rPr>
      </w:r>
      <w:r>
        <w:rPr>
          <w:noProof/>
        </w:rPr>
        <w:fldChar w:fldCharType="separate"/>
      </w:r>
      <w:r w:rsidR="0048071A">
        <w:rPr>
          <w:noProof/>
        </w:rPr>
        <w:t>4</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Working Party for Ornamental Plants and Forest Trees</w:t>
      </w:r>
      <w:r>
        <w:rPr>
          <w:noProof/>
        </w:rPr>
        <w:tab/>
      </w:r>
      <w:r>
        <w:rPr>
          <w:noProof/>
        </w:rPr>
        <w:fldChar w:fldCharType="begin"/>
      </w:r>
      <w:r>
        <w:rPr>
          <w:noProof/>
        </w:rPr>
        <w:instrText xml:space="preserve"> PAGEREF _Toc380150995 \h </w:instrText>
      </w:r>
      <w:r>
        <w:rPr>
          <w:noProof/>
        </w:rPr>
      </w:r>
      <w:r>
        <w:rPr>
          <w:noProof/>
        </w:rPr>
        <w:fldChar w:fldCharType="separate"/>
      </w:r>
      <w:r w:rsidR="0048071A">
        <w:rPr>
          <w:noProof/>
        </w:rPr>
        <w:t>4</w:t>
      </w:r>
      <w:r>
        <w:rPr>
          <w:noProof/>
        </w:rPr>
        <w:fldChar w:fldCharType="end"/>
      </w:r>
    </w:p>
    <w:p w:rsidR="00BE6470" w:rsidRDefault="00BE6470">
      <w:pPr>
        <w:pStyle w:val="TOC1"/>
        <w:rPr>
          <w:rFonts w:asciiTheme="minorHAnsi" w:eastAsiaTheme="minorEastAsia" w:hAnsiTheme="minorHAnsi" w:cstheme="minorBidi"/>
          <w:caps w:val="0"/>
          <w:noProof/>
          <w:sz w:val="22"/>
          <w:szCs w:val="22"/>
        </w:rPr>
      </w:pPr>
      <w:r>
        <w:rPr>
          <w:noProof/>
        </w:rPr>
        <w:t>iii.</w:t>
      </w:r>
      <w:r>
        <w:rPr>
          <w:rFonts w:asciiTheme="minorHAnsi" w:eastAsiaTheme="minorEastAsia" w:hAnsiTheme="minorHAnsi" w:cstheme="minorBidi"/>
          <w:caps w:val="0"/>
          <w:noProof/>
          <w:sz w:val="22"/>
          <w:szCs w:val="22"/>
        </w:rPr>
        <w:tab/>
      </w:r>
      <w:r>
        <w:rPr>
          <w:noProof/>
        </w:rPr>
        <w:t>DEVELOPMENTS IN 2013</w:t>
      </w:r>
      <w:r>
        <w:rPr>
          <w:noProof/>
        </w:rPr>
        <w:tab/>
      </w:r>
      <w:r>
        <w:rPr>
          <w:noProof/>
        </w:rPr>
        <w:fldChar w:fldCharType="begin"/>
      </w:r>
      <w:r>
        <w:rPr>
          <w:noProof/>
        </w:rPr>
        <w:instrText xml:space="preserve"> PAGEREF _Toc380150996 \h </w:instrText>
      </w:r>
      <w:r>
        <w:rPr>
          <w:noProof/>
        </w:rPr>
      </w:r>
      <w:r>
        <w:rPr>
          <w:noProof/>
        </w:rPr>
        <w:fldChar w:fldCharType="separate"/>
      </w:r>
      <w:r w:rsidR="0048071A">
        <w:rPr>
          <w:noProof/>
        </w:rPr>
        <w:t>4</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Committee</w:t>
      </w:r>
      <w:r>
        <w:rPr>
          <w:noProof/>
        </w:rPr>
        <w:tab/>
      </w:r>
      <w:bookmarkStart w:id="5" w:name="_GoBack"/>
      <w:bookmarkEnd w:id="5"/>
      <w:r>
        <w:rPr>
          <w:noProof/>
        </w:rPr>
        <w:fldChar w:fldCharType="begin"/>
      </w:r>
      <w:r>
        <w:rPr>
          <w:noProof/>
        </w:rPr>
        <w:instrText xml:space="preserve"> PAGEREF _Toc380150997 \h </w:instrText>
      </w:r>
      <w:r>
        <w:rPr>
          <w:noProof/>
        </w:rPr>
      </w:r>
      <w:r>
        <w:rPr>
          <w:noProof/>
        </w:rPr>
        <w:fldChar w:fldCharType="separate"/>
      </w:r>
      <w:r w:rsidR="0048071A">
        <w:rPr>
          <w:noProof/>
        </w:rPr>
        <w:t>4</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Working Party for Ornamental Plants and Forest Trees</w:t>
      </w:r>
      <w:r>
        <w:rPr>
          <w:noProof/>
        </w:rPr>
        <w:tab/>
      </w:r>
      <w:r>
        <w:rPr>
          <w:noProof/>
        </w:rPr>
        <w:fldChar w:fldCharType="begin"/>
      </w:r>
      <w:r>
        <w:rPr>
          <w:noProof/>
        </w:rPr>
        <w:instrText xml:space="preserve"> PAGEREF _Toc380150998 \h </w:instrText>
      </w:r>
      <w:r>
        <w:rPr>
          <w:noProof/>
        </w:rPr>
      </w:r>
      <w:r>
        <w:rPr>
          <w:noProof/>
        </w:rPr>
        <w:fldChar w:fldCharType="separate"/>
      </w:r>
      <w:r w:rsidR="0048071A">
        <w:rPr>
          <w:noProof/>
        </w:rPr>
        <w:t>5</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Working Party for Fruit Crops</w:t>
      </w:r>
      <w:r>
        <w:rPr>
          <w:noProof/>
        </w:rPr>
        <w:tab/>
      </w:r>
      <w:r>
        <w:rPr>
          <w:noProof/>
        </w:rPr>
        <w:fldChar w:fldCharType="begin"/>
      </w:r>
      <w:r>
        <w:rPr>
          <w:noProof/>
        </w:rPr>
        <w:instrText xml:space="preserve"> PAGEREF _Toc380150999 \h </w:instrText>
      </w:r>
      <w:r>
        <w:rPr>
          <w:noProof/>
        </w:rPr>
      </w:r>
      <w:r>
        <w:rPr>
          <w:noProof/>
        </w:rPr>
        <w:fldChar w:fldCharType="separate"/>
      </w:r>
      <w:r w:rsidR="0048071A">
        <w:rPr>
          <w:noProof/>
        </w:rPr>
        <w:t>5</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Pr>
          <w:noProof/>
          <w:lang w:eastAsia="de-DE" w:bidi="de-DE"/>
        </w:rPr>
        <w:t>Technical Working Party for Vegetables</w:t>
      </w:r>
      <w:r>
        <w:rPr>
          <w:noProof/>
        </w:rPr>
        <w:tab/>
      </w:r>
      <w:r>
        <w:rPr>
          <w:noProof/>
        </w:rPr>
        <w:fldChar w:fldCharType="begin"/>
      </w:r>
      <w:r>
        <w:rPr>
          <w:noProof/>
        </w:rPr>
        <w:instrText xml:space="preserve"> PAGEREF _Toc380151000 \h </w:instrText>
      </w:r>
      <w:r>
        <w:rPr>
          <w:noProof/>
        </w:rPr>
      </w:r>
      <w:r>
        <w:rPr>
          <w:noProof/>
        </w:rPr>
        <w:fldChar w:fldCharType="separate"/>
      </w:r>
      <w:r w:rsidR="0048071A">
        <w:rPr>
          <w:noProof/>
        </w:rPr>
        <w:t>5</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Working Party on Automation and Computer Programs</w:t>
      </w:r>
      <w:r>
        <w:rPr>
          <w:noProof/>
        </w:rPr>
        <w:tab/>
      </w:r>
      <w:r>
        <w:rPr>
          <w:noProof/>
        </w:rPr>
        <w:fldChar w:fldCharType="begin"/>
      </w:r>
      <w:r>
        <w:rPr>
          <w:noProof/>
        </w:rPr>
        <w:instrText xml:space="preserve"> PAGEREF _Toc380151001 \h </w:instrText>
      </w:r>
      <w:r>
        <w:rPr>
          <w:noProof/>
        </w:rPr>
      </w:r>
      <w:r>
        <w:rPr>
          <w:noProof/>
        </w:rPr>
        <w:fldChar w:fldCharType="separate"/>
      </w:r>
      <w:r w:rsidR="0048071A">
        <w:rPr>
          <w:noProof/>
        </w:rPr>
        <w:t>6</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sidRPr="005E32BD">
        <w:rPr>
          <w:rFonts w:eastAsia="MS Mincho"/>
          <w:noProof/>
          <w:lang w:eastAsia="ja-JP"/>
        </w:rPr>
        <w:t>Technical Working Party</w:t>
      </w:r>
      <w:r w:rsidRPr="005E32BD">
        <w:rPr>
          <w:rFonts w:eastAsia="MS Mincho"/>
          <w:iCs/>
          <w:noProof/>
          <w:lang w:eastAsia="ja-JP"/>
        </w:rPr>
        <w:t xml:space="preserve"> for Agricultural Crops</w:t>
      </w:r>
      <w:r>
        <w:rPr>
          <w:noProof/>
        </w:rPr>
        <w:tab/>
      </w:r>
      <w:r>
        <w:rPr>
          <w:noProof/>
        </w:rPr>
        <w:fldChar w:fldCharType="begin"/>
      </w:r>
      <w:r>
        <w:rPr>
          <w:noProof/>
        </w:rPr>
        <w:instrText xml:space="preserve"> PAGEREF _Toc380151002 \h </w:instrText>
      </w:r>
      <w:r>
        <w:rPr>
          <w:noProof/>
        </w:rPr>
      </w:r>
      <w:r>
        <w:rPr>
          <w:noProof/>
        </w:rPr>
        <w:fldChar w:fldCharType="separate"/>
      </w:r>
      <w:r w:rsidR="0048071A">
        <w:rPr>
          <w:noProof/>
        </w:rPr>
        <w:t>7</w:t>
      </w:r>
      <w:r>
        <w:rPr>
          <w:noProof/>
        </w:rPr>
        <w:fldChar w:fldCharType="end"/>
      </w:r>
    </w:p>
    <w:p w:rsidR="00BE6470" w:rsidRDefault="00BE6470">
      <w:pPr>
        <w:pStyle w:val="TOC1"/>
        <w:rPr>
          <w:rFonts w:asciiTheme="minorHAnsi" w:eastAsiaTheme="minorEastAsia" w:hAnsiTheme="minorHAnsi" w:cstheme="minorBidi"/>
          <w:caps w:val="0"/>
          <w:noProof/>
          <w:sz w:val="22"/>
          <w:szCs w:val="22"/>
        </w:rPr>
      </w:pPr>
      <w:r>
        <w:rPr>
          <w:noProof/>
        </w:rPr>
        <w:t>iV.</w:t>
      </w:r>
      <w:r>
        <w:rPr>
          <w:rFonts w:asciiTheme="minorHAnsi" w:eastAsiaTheme="minorEastAsia" w:hAnsiTheme="minorHAnsi" w:cstheme="minorBidi"/>
          <w:caps w:val="0"/>
          <w:noProof/>
          <w:sz w:val="22"/>
          <w:szCs w:val="22"/>
        </w:rPr>
        <w:tab/>
      </w:r>
      <w:r>
        <w:rPr>
          <w:noProof/>
        </w:rPr>
        <w:t>DEVELOPMENTS IN 2014</w:t>
      </w:r>
      <w:r>
        <w:rPr>
          <w:noProof/>
        </w:rPr>
        <w:tab/>
      </w:r>
      <w:r>
        <w:rPr>
          <w:noProof/>
        </w:rPr>
        <w:fldChar w:fldCharType="begin"/>
      </w:r>
      <w:r>
        <w:rPr>
          <w:noProof/>
        </w:rPr>
        <w:instrText xml:space="preserve"> PAGEREF _Toc380151003 \h </w:instrText>
      </w:r>
      <w:r>
        <w:rPr>
          <w:noProof/>
        </w:rPr>
      </w:r>
      <w:r>
        <w:rPr>
          <w:noProof/>
        </w:rPr>
        <w:fldChar w:fldCharType="separate"/>
      </w:r>
      <w:r w:rsidR="0048071A">
        <w:rPr>
          <w:noProof/>
        </w:rPr>
        <w:t>7</w:t>
      </w:r>
      <w:r>
        <w:rPr>
          <w:noProof/>
        </w:rPr>
        <w:fldChar w:fldCharType="end"/>
      </w:r>
    </w:p>
    <w:p w:rsidR="00BE6470" w:rsidRDefault="00BE6470" w:rsidP="0048071A">
      <w:pPr>
        <w:pStyle w:val="TOC2"/>
        <w:rPr>
          <w:rFonts w:asciiTheme="minorHAnsi" w:eastAsiaTheme="minorEastAsia" w:hAnsiTheme="minorHAnsi" w:cstheme="minorBidi"/>
          <w:noProof/>
          <w:sz w:val="22"/>
          <w:szCs w:val="22"/>
        </w:rPr>
      </w:pPr>
      <w:r>
        <w:rPr>
          <w:noProof/>
        </w:rPr>
        <w:t>Enlarged Editorial Committee</w:t>
      </w:r>
      <w:r>
        <w:rPr>
          <w:noProof/>
        </w:rPr>
        <w:tab/>
      </w:r>
      <w:r>
        <w:rPr>
          <w:noProof/>
        </w:rPr>
        <w:fldChar w:fldCharType="begin"/>
      </w:r>
      <w:r>
        <w:rPr>
          <w:noProof/>
        </w:rPr>
        <w:instrText xml:space="preserve"> PAGEREF _Toc380151004 \h </w:instrText>
      </w:r>
      <w:r>
        <w:rPr>
          <w:noProof/>
        </w:rPr>
      </w:r>
      <w:r>
        <w:rPr>
          <w:noProof/>
        </w:rPr>
        <w:fldChar w:fldCharType="separate"/>
      </w:r>
      <w:r w:rsidR="0048071A">
        <w:rPr>
          <w:noProof/>
        </w:rPr>
        <w:t>7</w:t>
      </w:r>
      <w:r>
        <w:rPr>
          <w:noProof/>
        </w:rPr>
        <w:fldChar w:fldCharType="end"/>
      </w:r>
    </w:p>
    <w:p w:rsidR="00BE6470" w:rsidRDefault="00BE6470">
      <w:pPr>
        <w:pStyle w:val="TOC1"/>
        <w:rPr>
          <w:rFonts w:asciiTheme="minorHAnsi" w:eastAsiaTheme="minorEastAsia" w:hAnsiTheme="minorHAnsi" w:cstheme="minorBidi"/>
          <w:caps w:val="0"/>
          <w:noProof/>
          <w:sz w:val="22"/>
          <w:szCs w:val="22"/>
        </w:rPr>
      </w:pPr>
      <w:r>
        <w:rPr>
          <w:noProof/>
        </w:rPr>
        <w:t>v.</w:t>
      </w:r>
      <w:r>
        <w:rPr>
          <w:rFonts w:asciiTheme="minorHAnsi" w:eastAsiaTheme="minorEastAsia" w:hAnsiTheme="minorHAnsi" w:cstheme="minorBidi"/>
          <w:caps w:val="0"/>
          <w:noProof/>
          <w:sz w:val="22"/>
          <w:szCs w:val="22"/>
        </w:rPr>
        <w:tab/>
      </w:r>
      <w:r>
        <w:rPr>
          <w:noProof/>
        </w:rPr>
        <w:t>Summary of approaches</w:t>
      </w:r>
      <w:r>
        <w:rPr>
          <w:noProof/>
        </w:rPr>
        <w:tab/>
      </w:r>
      <w:r>
        <w:rPr>
          <w:noProof/>
        </w:rPr>
        <w:fldChar w:fldCharType="begin"/>
      </w:r>
      <w:r>
        <w:rPr>
          <w:noProof/>
        </w:rPr>
        <w:instrText xml:space="preserve"> PAGEREF _Toc380151005 \h </w:instrText>
      </w:r>
      <w:r>
        <w:rPr>
          <w:noProof/>
        </w:rPr>
      </w:r>
      <w:r>
        <w:rPr>
          <w:noProof/>
        </w:rPr>
        <w:fldChar w:fldCharType="separate"/>
      </w:r>
      <w:r w:rsidR="0048071A">
        <w:rPr>
          <w:noProof/>
        </w:rPr>
        <w:t>8</w:t>
      </w:r>
      <w:r>
        <w:rPr>
          <w:noProof/>
        </w:rPr>
        <w:fldChar w:fldCharType="end"/>
      </w:r>
    </w:p>
    <w:p w:rsidR="00E5345F" w:rsidRDefault="00BE6470" w:rsidP="00183337">
      <w:pPr>
        <w:autoSpaceDE w:val="0"/>
        <w:autoSpaceDN w:val="0"/>
        <w:adjustRightInd w:val="0"/>
        <w:spacing w:before="60"/>
        <w:jc w:val="left"/>
        <w:rPr>
          <w:rFonts w:eastAsia="MS Mincho"/>
          <w:caps/>
          <w:szCs w:val="24"/>
          <w:lang w:eastAsia="ja-JP"/>
        </w:rPr>
      </w:pPr>
      <w:r>
        <w:rPr>
          <w:rFonts w:eastAsia="MS Mincho"/>
          <w:caps/>
          <w:noProof/>
          <w:szCs w:val="24"/>
          <w:lang w:eastAsia="ja-JP"/>
        </w:rPr>
        <w:fldChar w:fldCharType="end"/>
      </w:r>
    </w:p>
    <w:p w:rsidR="00183337" w:rsidRDefault="00183337" w:rsidP="00183337">
      <w:pPr>
        <w:autoSpaceDE w:val="0"/>
        <w:autoSpaceDN w:val="0"/>
        <w:adjustRightInd w:val="0"/>
        <w:spacing w:before="60"/>
        <w:jc w:val="left"/>
        <w:rPr>
          <w:rFonts w:eastAsia="MS Mincho"/>
          <w:color w:val="000000"/>
          <w:szCs w:val="24"/>
          <w:lang w:eastAsia="ja-JP"/>
        </w:rPr>
      </w:pPr>
      <w:r>
        <w:rPr>
          <w:rFonts w:eastAsia="MS Mincho"/>
          <w:color w:val="000000"/>
          <w:szCs w:val="24"/>
          <w:lang w:eastAsia="ja-JP"/>
        </w:rPr>
        <w:t xml:space="preserve">ANNEX </w:t>
      </w:r>
      <w:proofErr w:type="gramStart"/>
      <w:r>
        <w:rPr>
          <w:rFonts w:eastAsia="MS Mincho"/>
          <w:color w:val="000000"/>
          <w:szCs w:val="24"/>
          <w:lang w:eastAsia="ja-JP"/>
        </w:rPr>
        <w:t>I</w:t>
      </w:r>
      <w:proofErr w:type="gramEnd"/>
      <w:r>
        <w:rPr>
          <w:rFonts w:eastAsia="MS Mincho"/>
          <w:color w:val="000000"/>
          <w:szCs w:val="24"/>
          <w:lang w:eastAsia="ja-JP"/>
        </w:rPr>
        <w:t xml:space="preserve">: </w:t>
      </w:r>
      <w:r>
        <w:rPr>
          <w:rFonts w:eastAsia="MS Mincho"/>
          <w:color w:val="000000"/>
          <w:szCs w:val="24"/>
          <w:lang w:eastAsia="ja-JP"/>
        </w:rPr>
        <w:tab/>
      </w:r>
      <w:r>
        <w:rPr>
          <w:rFonts w:eastAsia="MS Mincho"/>
          <w:color w:val="000000"/>
          <w:szCs w:val="24"/>
          <w:lang w:eastAsia="ja-JP"/>
        </w:rPr>
        <w:tab/>
        <w:t>Situation A: Two Growing Cycles in a single location</w:t>
      </w:r>
    </w:p>
    <w:p w:rsidR="00183337" w:rsidRDefault="00183337" w:rsidP="0018333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w:t>
      </w:r>
      <w:r>
        <w:rPr>
          <w:rFonts w:eastAsia="MS Mincho"/>
          <w:color w:val="000000"/>
          <w:szCs w:val="24"/>
          <w:lang w:eastAsia="ja-JP"/>
        </w:rPr>
        <w:tab/>
        <w:t>Situation B: Two Growing Locations in the same year</w:t>
      </w:r>
    </w:p>
    <w:p w:rsidR="00183337" w:rsidRDefault="00183337" w:rsidP="0018333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III:</w:t>
      </w:r>
      <w:r>
        <w:rPr>
          <w:rFonts w:eastAsia="MS Mincho"/>
          <w:color w:val="000000"/>
          <w:szCs w:val="24"/>
          <w:lang w:eastAsia="ja-JP"/>
        </w:rPr>
        <w:tab/>
        <w:t>Situation C: More than one test/trial for a characteristics in the same growing cycle</w:t>
      </w:r>
    </w:p>
    <w:p w:rsidR="00183337" w:rsidRPr="00ED3415" w:rsidRDefault="00183337" w:rsidP="00183337">
      <w:pPr>
        <w:tabs>
          <w:tab w:val="left" w:pos="1701"/>
        </w:tabs>
        <w:autoSpaceDE w:val="0"/>
        <w:autoSpaceDN w:val="0"/>
        <w:adjustRightInd w:val="0"/>
        <w:rPr>
          <w:rFonts w:eastAsia="MS Mincho"/>
          <w:color w:val="000000"/>
          <w:szCs w:val="24"/>
          <w:lang w:eastAsia="ja-JP"/>
        </w:rPr>
      </w:pPr>
      <w:r>
        <w:rPr>
          <w:rFonts w:eastAsia="MS Mincho"/>
          <w:color w:val="000000"/>
          <w:szCs w:val="24"/>
          <w:lang w:eastAsia="ja-JP"/>
        </w:rPr>
        <w:t>ANNEX IV:</w:t>
      </w:r>
      <w:r>
        <w:rPr>
          <w:rFonts w:eastAsia="MS Mincho"/>
          <w:color w:val="000000"/>
          <w:szCs w:val="24"/>
          <w:lang w:eastAsia="ja-JP"/>
        </w:rPr>
        <w:tab/>
        <w:t xml:space="preserve">Situation D: Assessing sub-samples within a single test/trial </w:t>
      </w:r>
    </w:p>
    <w:p w:rsidR="00183337" w:rsidRDefault="00183337" w:rsidP="00183337">
      <w:pPr>
        <w:pStyle w:val="Heading1"/>
        <w:rPr>
          <w:rFonts w:eastAsia="MS Mincho"/>
          <w:lang w:eastAsia="ja-JP"/>
        </w:rPr>
      </w:pPr>
    </w:p>
    <w:p w:rsidR="00183337" w:rsidRDefault="00183337" w:rsidP="00183337">
      <w:pPr>
        <w:pStyle w:val="Heading1"/>
        <w:rPr>
          <w:rFonts w:eastAsia="MS Mincho"/>
          <w:lang w:eastAsia="ja-JP"/>
        </w:rPr>
      </w:pPr>
    </w:p>
    <w:p w:rsidR="00183337" w:rsidRDefault="00183337" w:rsidP="00183337">
      <w:pPr>
        <w:pStyle w:val="Heading1"/>
        <w:rPr>
          <w:rFonts w:eastAsia="MS Mincho"/>
          <w:lang w:eastAsia="ja-JP"/>
        </w:rPr>
      </w:pPr>
    </w:p>
    <w:p w:rsidR="00E5345F" w:rsidRPr="00E5345F" w:rsidRDefault="00E5345F" w:rsidP="00E5345F">
      <w:pPr>
        <w:rPr>
          <w:rFonts w:eastAsia="MS Mincho"/>
          <w:lang w:eastAsia="ja-JP"/>
        </w:rPr>
      </w:pPr>
    </w:p>
    <w:p w:rsidR="00183337" w:rsidRPr="00D65E68" w:rsidRDefault="00183337" w:rsidP="00183337">
      <w:pPr>
        <w:pStyle w:val="Heading1"/>
        <w:rPr>
          <w:rFonts w:eastAsia="MS Mincho"/>
          <w:lang w:eastAsia="ja-JP"/>
        </w:rPr>
      </w:pPr>
      <w:bookmarkStart w:id="6" w:name="_Toc380150989"/>
      <w:r>
        <w:rPr>
          <w:rFonts w:eastAsia="MS Mincho"/>
          <w:lang w:eastAsia="ja-JP"/>
        </w:rPr>
        <w:t>i.</w:t>
      </w:r>
      <w:r>
        <w:rPr>
          <w:rFonts w:eastAsia="MS Mincho"/>
          <w:lang w:eastAsia="ja-JP"/>
        </w:rPr>
        <w:tab/>
      </w:r>
      <w:r w:rsidRPr="00D65E68">
        <w:rPr>
          <w:rFonts w:eastAsia="MS Mincho"/>
          <w:lang w:eastAsia="ja-JP"/>
        </w:rPr>
        <w:t>BAC</w:t>
      </w:r>
      <w:r>
        <w:rPr>
          <w:rFonts w:eastAsia="MS Mincho"/>
          <w:lang w:eastAsia="ja-JP"/>
        </w:rPr>
        <w:t>K</w:t>
      </w:r>
      <w:r w:rsidRPr="00D65E68">
        <w:rPr>
          <w:rFonts w:eastAsia="MS Mincho"/>
          <w:lang w:eastAsia="ja-JP"/>
        </w:rPr>
        <w:t>GROUND</w:t>
      </w:r>
      <w:bookmarkEnd w:id="6"/>
    </w:p>
    <w:p w:rsidR="00183337" w:rsidRPr="00D65E68" w:rsidRDefault="00183337" w:rsidP="00183337">
      <w:pPr>
        <w:keepNext/>
        <w:autoSpaceDE w:val="0"/>
        <w:autoSpaceDN w:val="0"/>
        <w:adjustRightInd w:val="0"/>
        <w:rPr>
          <w:rFonts w:eastAsia="MS Mincho"/>
          <w:color w:val="000000"/>
          <w:szCs w:val="24"/>
          <w:lang w:eastAsia="ja-JP"/>
        </w:rPr>
      </w:pPr>
    </w:p>
    <w:p w:rsidR="00183337" w:rsidRDefault="00183337" w:rsidP="00183337">
      <w:r w:rsidRPr="005623A7">
        <w:fldChar w:fldCharType="begin"/>
      </w:r>
      <w:r w:rsidRPr="005623A7">
        <w:instrText xml:space="preserve"> AUTONUM  </w:instrText>
      </w:r>
      <w:r w:rsidRPr="005623A7">
        <w:fldChar w:fldCharType="end"/>
      </w:r>
      <w:r>
        <w:tab/>
      </w:r>
      <w:r>
        <w:rPr>
          <w:szCs w:val="24"/>
        </w:rPr>
        <w:t xml:space="preserve">The complete background to this matter is provided in document </w:t>
      </w:r>
      <w:r w:rsidRPr="00C9295B">
        <w:rPr>
          <w:szCs w:val="24"/>
        </w:rPr>
        <w:t>T</w:t>
      </w:r>
      <w:r>
        <w:rPr>
          <w:szCs w:val="24"/>
        </w:rPr>
        <w:t>C</w:t>
      </w:r>
      <w:r w:rsidRPr="00C9295B">
        <w:rPr>
          <w:szCs w:val="24"/>
        </w:rPr>
        <w:t>/4</w:t>
      </w:r>
      <w:r>
        <w:rPr>
          <w:szCs w:val="24"/>
        </w:rPr>
        <w:t>8</w:t>
      </w:r>
      <w:r w:rsidRPr="00C9295B">
        <w:rPr>
          <w:szCs w:val="24"/>
        </w:rPr>
        <w:t>/</w:t>
      </w:r>
      <w:r>
        <w:rPr>
          <w:szCs w:val="24"/>
        </w:rPr>
        <w:t>14 “</w:t>
      </w:r>
      <w:r>
        <w:t>Assessing Uniformity by Off-Types on the Basis of More than One Sample or Sub-Sample”.</w:t>
      </w:r>
    </w:p>
    <w:p w:rsidR="00183337" w:rsidRPr="0013283F" w:rsidRDefault="00183337" w:rsidP="00183337"/>
    <w:p w:rsidR="00183337" w:rsidRPr="0013283F" w:rsidRDefault="00183337" w:rsidP="00183337">
      <w:pPr>
        <w:pStyle w:val="Heading1"/>
        <w:keepNext w:val="0"/>
      </w:pPr>
    </w:p>
    <w:p w:rsidR="00183337" w:rsidRPr="00D65E68" w:rsidRDefault="00183337" w:rsidP="00183337">
      <w:pPr>
        <w:pStyle w:val="Heading1"/>
        <w:keepNext w:val="0"/>
        <w:rPr>
          <w:rFonts w:eastAsia="MS Mincho"/>
          <w:lang w:eastAsia="ja-JP"/>
        </w:rPr>
      </w:pPr>
      <w:bookmarkStart w:id="7" w:name="_Toc380150990"/>
      <w:r>
        <w:rPr>
          <w:rFonts w:eastAsia="MS Mincho"/>
          <w:lang w:eastAsia="ja-JP"/>
        </w:rPr>
        <w:t>ii.</w:t>
      </w:r>
      <w:r>
        <w:rPr>
          <w:rFonts w:eastAsia="MS Mincho"/>
          <w:lang w:eastAsia="ja-JP"/>
        </w:rPr>
        <w:tab/>
      </w:r>
      <w:r w:rsidRPr="00D65E68">
        <w:rPr>
          <w:rFonts w:eastAsia="MS Mincho"/>
          <w:lang w:eastAsia="ja-JP"/>
        </w:rPr>
        <w:t>Developments in 2012</w:t>
      </w:r>
      <w:bookmarkEnd w:id="7"/>
      <w:r w:rsidRPr="00D65E68">
        <w:rPr>
          <w:rFonts w:eastAsia="MS Mincho"/>
          <w:lang w:eastAsia="ja-JP"/>
        </w:rPr>
        <w:t xml:space="preserve"> </w:t>
      </w:r>
    </w:p>
    <w:p w:rsidR="00183337" w:rsidRDefault="00183337" w:rsidP="00183337">
      <w:pPr>
        <w:rPr>
          <w:rFonts w:eastAsia="MS Mincho"/>
          <w:color w:val="000000"/>
          <w:szCs w:val="24"/>
          <w:lang w:eastAsia="ja-JP"/>
        </w:rPr>
      </w:pPr>
    </w:p>
    <w:p w:rsidR="00183337" w:rsidRPr="00ED3415" w:rsidRDefault="00183337" w:rsidP="00183337">
      <w:pPr>
        <w:pStyle w:val="Heading2"/>
        <w:keepNext w:val="0"/>
      </w:pPr>
      <w:bookmarkStart w:id="8" w:name="_Toc380150991"/>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8"/>
    </w:p>
    <w:p w:rsidR="00183337" w:rsidRDefault="00183337" w:rsidP="00183337"/>
    <w:p w:rsidR="00183337" w:rsidRPr="005E666F" w:rsidRDefault="00183337" w:rsidP="00183337">
      <w:pPr>
        <w:autoSpaceDE w:val="0"/>
        <w:autoSpaceDN w:val="0"/>
        <w:adjustRightInd w:val="0"/>
        <w:rPr>
          <w:rFonts w:eastAsia="MS Mincho"/>
          <w:color w:val="000000"/>
          <w:szCs w:val="24"/>
          <w:lang w:eastAsia="ja-JP"/>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 xml:space="preserve">, </w:t>
      </w:r>
      <w:r w:rsidRPr="00CC4F79">
        <w:rPr>
          <w:rFonts w:cs="Arial"/>
        </w:rPr>
        <w:t>held in Angers, France</w:t>
      </w:r>
      <w:r>
        <w:rPr>
          <w:rFonts w:cs="Arial"/>
        </w:rPr>
        <w:t xml:space="preserve">, from May 21 to 25, 2012 considered document TWA/41/9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w:t>
      </w:r>
      <w:r>
        <w:rPr>
          <w:rFonts w:eastAsia="MS Mincho"/>
          <w:color w:val="000000"/>
          <w:szCs w:val="24"/>
          <w:lang w:eastAsia="ja-JP"/>
        </w:rPr>
        <w:noBreakHyphen/>
        <w:t xml:space="preserve">sample”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46).</w:t>
      </w:r>
      <w:r w:rsidRPr="00CC4F79">
        <w:rPr>
          <w:rFonts w:cs="Arial"/>
        </w:rPr>
        <w:t xml:space="preserve"> </w:t>
      </w:r>
    </w:p>
    <w:p w:rsidR="00183337" w:rsidRPr="00CC4F79" w:rsidRDefault="00183337" w:rsidP="00183337">
      <w:pPr>
        <w:rPr>
          <w:rFonts w:cs="Arial"/>
        </w:rPr>
      </w:pPr>
    </w:p>
    <w:p w:rsidR="00183337" w:rsidRPr="00CC4F79" w:rsidRDefault="00183337" w:rsidP="00183337">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agreed that clarification should be provided for Situations A and B if the approach combining the results from two growing cycles was considered to correspond to the requirement f</w:t>
      </w:r>
      <w:r>
        <w:rPr>
          <w:rFonts w:cs="Arial"/>
        </w:rPr>
        <w:t xml:space="preserve">or “independent” growing cycles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47).</w:t>
      </w:r>
    </w:p>
    <w:p w:rsidR="00183337" w:rsidRPr="00CC4F79" w:rsidRDefault="00183337" w:rsidP="00183337">
      <w:pPr>
        <w:rPr>
          <w:rFonts w:cs="Arial"/>
        </w:rPr>
      </w:pPr>
    </w:p>
    <w:p w:rsidR="00183337" w:rsidRPr="00CC4F79" w:rsidRDefault="00183337" w:rsidP="00183337">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The TWA</w:t>
      </w:r>
      <w:r>
        <w:rPr>
          <w:rFonts w:cs="Arial"/>
        </w:rPr>
        <w:t xml:space="preserve">, </w:t>
      </w:r>
      <w:r>
        <w:t xml:space="preserve">at </w:t>
      </w:r>
      <w:r w:rsidRPr="00CC4F79">
        <w:rPr>
          <w:rFonts w:cs="Arial"/>
        </w:rPr>
        <w:t>its forty-first session</w:t>
      </w:r>
      <w:r>
        <w:rPr>
          <w:rFonts w:cs="Arial"/>
        </w:rPr>
        <w:t>,</w:t>
      </w:r>
      <w:r w:rsidRPr="00CC4F79">
        <w:rPr>
          <w:rFonts w:cs="Arial"/>
        </w:rPr>
        <w:t xml:space="preserve"> noted the explanation from the expert from the </w:t>
      </w:r>
      <w:smartTag w:uri="urn:schemas-microsoft-com:office:smarttags" w:element="place">
        <w:smartTag w:uri="urn:schemas-microsoft-com:office:smarttags" w:element="PlaceName">
          <w:r w:rsidRPr="00CC4F79">
            <w:rPr>
              <w:rFonts w:cs="Arial"/>
            </w:rPr>
            <w:t>Czech</w:t>
          </w:r>
        </w:smartTag>
        <w:r w:rsidRPr="00CC4F79">
          <w:rPr>
            <w:rFonts w:cs="Arial"/>
          </w:rPr>
          <w:t xml:space="preserve"> </w:t>
        </w:r>
        <w:smartTag w:uri="urn:schemas-microsoft-com:office:smarttags" w:element="PlaceType">
          <w:r w:rsidRPr="00CC4F79">
            <w:rPr>
              <w:rFonts w:cs="Arial"/>
            </w:rPr>
            <w:t>Republic</w:t>
          </w:r>
        </w:smartTag>
      </w:smartTag>
      <w:r>
        <w:rPr>
          <w:rFonts w:cs="Arial"/>
        </w:rPr>
        <w:t xml:space="preserve"> that the A</w:t>
      </w:r>
      <w:r w:rsidRPr="00CC4F79">
        <w:rPr>
          <w:rFonts w:cs="Arial"/>
        </w:rPr>
        <w:t>pple example should be deleted, because the same appro</w:t>
      </w:r>
      <w:r>
        <w:rPr>
          <w:rFonts w:cs="Arial"/>
        </w:rPr>
        <w:t xml:space="preserve">ach was used as for other crops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48).</w:t>
      </w:r>
    </w:p>
    <w:p w:rsidR="00183337" w:rsidRPr="00CC4F79" w:rsidRDefault="00183337" w:rsidP="00183337">
      <w:pPr>
        <w:rPr>
          <w:rFonts w:cs="Arial"/>
        </w:rPr>
      </w:pPr>
    </w:p>
    <w:p w:rsidR="00183337" w:rsidRPr="00CC4F79" w:rsidRDefault="00183337" w:rsidP="00183337">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On the basis of information provided at the meeting on “Situation B:  Two growing locations in the same year, Approach: Third growing cycle in case of inconsistent results”, the TWA agreed to revise the text to read as follows:</w:t>
      </w:r>
    </w:p>
    <w:p w:rsidR="00183337" w:rsidRPr="00CC4F79" w:rsidRDefault="00183337" w:rsidP="00183337">
      <w:pPr>
        <w:rPr>
          <w:rFonts w:cs="Arial"/>
        </w:rPr>
      </w:pPr>
    </w:p>
    <w:p w:rsidR="00183337" w:rsidRPr="00CC4F79" w:rsidRDefault="00183337" w:rsidP="00183337">
      <w:pPr>
        <w:keepNext/>
        <w:keepLines/>
        <w:spacing w:before="120" w:after="120"/>
        <w:ind w:left="562" w:right="708"/>
        <w:rPr>
          <w:rFonts w:eastAsia="SimSun"/>
          <w:lang w:eastAsia="zh-CN"/>
        </w:rPr>
      </w:pPr>
      <w:r w:rsidRPr="00CC4F79">
        <w:rPr>
          <w:rFonts w:eastAsia="SimSun"/>
          <w:lang w:eastAsia="zh-CN"/>
        </w:rPr>
        <w:lastRenderedPageBreak/>
        <w:t xml:space="preserve">“[…] </w:t>
      </w:r>
      <w:proofErr w:type="gramStart"/>
      <w:r w:rsidRPr="00CC4F79">
        <w:rPr>
          <w:rFonts w:eastAsia="SimSun"/>
          <w:lang w:eastAsia="zh-CN"/>
        </w:rPr>
        <w:t>If</w:t>
      </w:r>
      <w:proofErr w:type="gramEnd"/>
      <w:r w:rsidRPr="00CC4F79">
        <w:rPr>
          <w:rFonts w:eastAsia="SimSun"/>
          <w:lang w:eastAsia="zh-CN"/>
        </w:rPr>
        <w:t xml:space="preserve"> the variety is within the uniformity standard in one growing location but is not within the uniformity standard in the other growing location, then: </w:t>
      </w:r>
    </w:p>
    <w:p w:rsidR="00183337" w:rsidRPr="00CC4F79" w:rsidRDefault="00183337" w:rsidP="00183337">
      <w:pPr>
        <w:keepNext/>
        <w:keepLines/>
        <w:spacing w:before="120" w:after="120"/>
        <w:ind w:left="562" w:right="708"/>
        <w:rPr>
          <w:rFonts w:eastAsia="SimSun"/>
          <w:lang w:eastAsia="zh-CN"/>
        </w:rPr>
      </w:pPr>
      <w:r w:rsidRPr="00CC4F79">
        <w:rPr>
          <w:rFonts w:eastAsia="SimSun"/>
          <w:lang w:eastAsia="zh-CN"/>
        </w:rPr>
        <w:t>Alternative (a)</w:t>
      </w:r>
      <w:r w:rsidRPr="00CC4F79">
        <w:rPr>
          <w:rFonts w:eastAsia="SimSun"/>
          <w:lang w:eastAsia="zh-CN"/>
        </w:rPr>
        <w:tab/>
        <w:t>the trial is repeated at both locations for a second year;</w:t>
      </w:r>
    </w:p>
    <w:p w:rsidR="00183337" w:rsidRPr="00CC4F79" w:rsidRDefault="00183337" w:rsidP="00183337">
      <w:pPr>
        <w:keepNext/>
        <w:keepLines/>
        <w:spacing w:before="120" w:after="120"/>
        <w:ind w:left="562" w:right="708"/>
        <w:rPr>
          <w:rFonts w:eastAsia="SimSun"/>
          <w:lang w:eastAsia="zh-CN"/>
        </w:rPr>
      </w:pPr>
      <w:r w:rsidRPr="00CC4F79">
        <w:rPr>
          <w:rFonts w:eastAsia="SimSun"/>
          <w:lang w:eastAsia="zh-CN"/>
        </w:rPr>
        <w:t>Alternative (b)</w:t>
      </w:r>
      <w:r w:rsidRPr="00CC4F79">
        <w:rPr>
          <w:rFonts w:eastAsia="SimSun"/>
          <w:lang w:eastAsia="zh-CN"/>
        </w:rPr>
        <w:tab/>
        <w:t>the trial is repeated at the Leading station (location) (European Union)”</w:t>
      </w:r>
    </w:p>
    <w:p w:rsidR="00183337" w:rsidRDefault="00183337" w:rsidP="00183337">
      <w:pPr>
        <w:rPr>
          <w:rFonts w:eastAsia="PMingLiU" w:cs="Arial"/>
          <w:szCs w:val="24"/>
        </w:rPr>
      </w:pPr>
      <w:r w:rsidRPr="000D2BFB">
        <w:rPr>
          <w:rFonts w:cs="Arial"/>
          <w:szCs w:val="24"/>
        </w:rPr>
        <w:t>(</w:t>
      </w:r>
      <w:proofErr w:type="gramStart"/>
      <w:r w:rsidRPr="000D2BFB">
        <w:rPr>
          <w:rFonts w:cs="Arial"/>
          <w:szCs w:val="24"/>
        </w:rPr>
        <w:t>see</w:t>
      </w:r>
      <w:proofErr w:type="gramEnd"/>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49).</w:t>
      </w:r>
    </w:p>
    <w:p w:rsidR="00183337" w:rsidRPr="00CC4F79" w:rsidRDefault="00183337" w:rsidP="00183337">
      <w:pPr>
        <w:rPr>
          <w:rFonts w:cs="Arial"/>
        </w:rPr>
      </w:pPr>
    </w:p>
    <w:p w:rsidR="00183337" w:rsidRPr="00CC4F79" w:rsidRDefault="00183337" w:rsidP="00183337">
      <w:pPr>
        <w:rPr>
          <w:rFonts w:cs="Arial"/>
        </w:rPr>
      </w:pPr>
      <w:r w:rsidRPr="00CC4F79">
        <w:rPr>
          <w:rFonts w:cs="Arial"/>
        </w:rPr>
        <w:fldChar w:fldCharType="begin"/>
      </w:r>
      <w:r w:rsidRPr="00CC4F79">
        <w:rPr>
          <w:rFonts w:cs="Arial"/>
        </w:rPr>
        <w:instrText xml:space="preserve"> AUTONUM  </w:instrText>
      </w:r>
      <w:r w:rsidRPr="00CC4F79">
        <w:rPr>
          <w:rFonts w:cs="Arial"/>
        </w:rPr>
        <w:fldChar w:fldCharType="end"/>
      </w:r>
      <w:r w:rsidRPr="00CC4F79">
        <w:rPr>
          <w:rFonts w:cs="Arial"/>
        </w:rPr>
        <w:tab/>
        <w:t xml:space="preserve">In the case of “Situation D:  Assessing sub-samples within a single test/trial, Approach: Sub-sample as first step of assessment”, the TWA agreed that the explanation should be generalized (i.e. no reference to 0 off-types in the subsample) and should provide an explanation of the statistical basis for the approach.  The TWA also agreed that the statistical experts from </w:t>
      </w:r>
      <w:smartTag w:uri="urn:schemas-microsoft-com:office:smarttags" w:element="country-region">
        <w:r w:rsidRPr="00CC4F79">
          <w:rPr>
            <w:rFonts w:cs="Arial"/>
          </w:rPr>
          <w:t>France</w:t>
        </w:r>
      </w:smartTag>
      <w:r w:rsidRPr="00CC4F79">
        <w:rPr>
          <w:rFonts w:cs="Arial"/>
        </w:rPr>
        <w:t xml:space="preserve"> and </w:t>
      </w:r>
      <w:smartTag w:uri="urn:schemas-microsoft-com:office:smarttags" w:element="place">
        <w:smartTag w:uri="urn:schemas-microsoft-com:office:smarttags" w:element="country-region">
          <w:r w:rsidRPr="00CC4F79">
            <w:rPr>
              <w:rFonts w:cs="Arial"/>
            </w:rPr>
            <w:t>Germany</w:t>
          </w:r>
        </w:smartTag>
      </w:smartTag>
      <w:r w:rsidRPr="00CC4F79">
        <w:rPr>
          <w:rFonts w:cs="Arial"/>
        </w:rPr>
        <w:t xml:space="preserve"> should be invited to explain the statistical basis for the acceptable number of off-types in the subsample of 20 plants used in the context </w:t>
      </w:r>
      <w:r>
        <w:rPr>
          <w:rFonts w:cs="Arial"/>
        </w:rPr>
        <w:t xml:space="preserve">of a sample size of 100 plants </w:t>
      </w:r>
      <w:r w:rsidRPr="000D2BFB">
        <w:rPr>
          <w:rFonts w:cs="Arial"/>
          <w:szCs w:val="24"/>
        </w:rPr>
        <w:t>(see</w:t>
      </w:r>
      <w:r w:rsidRPr="000D2BFB">
        <w:rPr>
          <w:rFonts w:eastAsia="PMingLiU" w:cs="Arial"/>
          <w:szCs w:val="24"/>
        </w:rPr>
        <w:t xml:space="preserve"> document</w:t>
      </w:r>
      <w:r>
        <w:rPr>
          <w:rFonts w:eastAsia="PMingLiU" w:cs="Arial"/>
          <w:szCs w:val="24"/>
        </w:rPr>
        <w:t> TWA/41/34 “Report”,</w:t>
      </w:r>
      <w:r w:rsidRPr="000D2BFB">
        <w:rPr>
          <w:rFonts w:eastAsia="PMingLiU" w:cs="Arial"/>
          <w:szCs w:val="24"/>
        </w:rPr>
        <w:t xml:space="preserve"> p</w:t>
      </w:r>
      <w:r>
        <w:rPr>
          <w:rFonts w:eastAsia="PMingLiU" w:cs="Arial"/>
          <w:szCs w:val="24"/>
        </w:rPr>
        <w:t>aragraph 50).</w:t>
      </w:r>
    </w:p>
    <w:p w:rsidR="00183337" w:rsidRPr="00CC4F79" w:rsidRDefault="00183337" w:rsidP="00183337">
      <w:pPr>
        <w:rPr>
          <w:rFonts w:cs="Arial"/>
        </w:rPr>
      </w:pPr>
    </w:p>
    <w:p w:rsidR="00183337" w:rsidRDefault="00183337" w:rsidP="003232C8">
      <w:pPr>
        <w:rPr>
          <w:rFonts w:eastAsia="PMingLiU"/>
          <w:szCs w:val="24"/>
        </w:rPr>
      </w:pPr>
      <w:r w:rsidRPr="00CC4F79">
        <w:fldChar w:fldCharType="begin"/>
      </w:r>
      <w:r w:rsidRPr="00CC4F79">
        <w:instrText xml:space="preserve"> AUTONUM  </w:instrText>
      </w:r>
      <w:r w:rsidRPr="00CC4F79">
        <w:fldChar w:fldCharType="end"/>
      </w:r>
      <w:r w:rsidRPr="00CC4F79">
        <w:tab/>
        <w:t>The TWA</w:t>
      </w:r>
      <w:r>
        <w:t xml:space="preserve">, at </w:t>
      </w:r>
      <w:r w:rsidRPr="00CC4F79">
        <w:t>its forty-first session</w:t>
      </w:r>
      <w:r>
        <w:t>,</w:t>
      </w:r>
      <w:r w:rsidRPr="00CC4F79">
        <w:t xml:space="preserve"> noted that the TWC would be invited to provide guidance on the possible conse</w:t>
      </w:r>
      <w:r>
        <w:t xml:space="preserve">quences of different approaches </w:t>
      </w:r>
      <w:r w:rsidRPr="000D2BFB">
        <w:rPr>
          <w:szCs w:val="24"/>
        </w:rPr>
        <w:t>(see</w:t>
      </w:r>
      <w:r w:rsidRPr="000D2BFB">
        <w:rPr>
          <w:rFonts w:eastAsia="PMingLiU"/>
          <w:szCs w:val="24"/>
        </w:rPr>
        <w:t xml:space="preserve"> document</w:t>
      </w:r>
      <w:r>
        <w:rPr>
          <w:rFonts w:eastAsia="PMingLiU"/>
          <w:szCs w:val="24"/>
        </w:rPr>
        <w:t> TWA/41/34 “Report”,</w:t>
      </w:r>
      <w:r w:rsidRPr="000D2BFB">
        <w:rPr>
          <w:rFonts w:eastAsia="PMingLiU"/>
          <w:szCs w:val="24"/>
        </w:rPr>
        <w:t xml:space="preserve"> p</w:t>
      </w:r>
      <w:r>
        <w:rPr>
          <w:rFonts w:eastAsia="PMingLiU"/>
          <w:szCs w:val="24"/>
        </w:rPr>
        <w:t>aragraph 51).</w:t>
      </w:r>
    </w:p>
    <w:p w:rsidR="00183337" w:rsidRDefault="00183337" w:rsidP="003232C8">
      <w:pPr>
        <w:rPr>
          <w:rFonts w:eastAsia="PMingLiU"/>
          <w:szCs w:val="24"/>
        </w:rPr>
      </w:pPr>
    </w:p>
    <w:p w:rsidR="00183337" w:rsidRDefault="00183337" w:rsidP="003232C8">
      <w:pPr>
        <w:rPr>
          <w:rFonts w:eastAsia="PMingLiU"/>
          <w:szCs w:val="24"/>
        </w:rPr>
      </w:pPr>
    </w:p>
    <w:p w:rsidR="00183337" w:rsidRDefault="00183337" w:rsidP="00183337">
      <w:pPr>
        <w:pStyle w:val="Heading2"/>
        <w:rPr>
          <w:lang w:eastAsia="de-DE" w:bidi="de-DE"/>
        </w:rPr>
      </w:pPr>
      <w:bookmarkStart w:id="9" w:name="_Toc380150992"/>
      <w:r w:rsidRPr="001576B7">
        <w:rPr>
          <w:lang w:eastAsia="de-DE" w:bidi="de-DE"/>
        </w:rPr>
        <w:t>Technical Working Party for Vegetables</w:t>
      </w:r>
      <w:bookmarkEnd w:id="9"/>
      <w:r w:rsidRPr="001576B7">
        <w:rPr>
          <w:lang w:eastAsia="de-DE" w:bidi="de-DE"/>
        </w:rPr>
        <w:t xml:space="preserve"> </w:t>
      </w:r>
    </w:p>
    <w:p w:rsidR="00183337" w:rsidRPr="001576B7" w:rsidRDefault="00183337" w:rsidP="003232C8">
      <w:pPr>
        <w:rPr>
          <w:lang w:eastAsia="de-DE" w:bidi="de-DE"/>
        </w:rPr>
      </w:pPr>
    </w:p>
    <w:p w:rsidR="00183337" w:rsidRPr="00D8502F" w:rsidRDefault="00183337" w:rsidP="003232C8">
      <w:pPr>
        <w:rPr>
          <w:rFonts w:eastAsia="MS Mincho"/>
          <w:lang w:eastAsia="ja-JP"/>
        </w:rPr>
      </w:pPr>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 xml:space="preserve">, </w:t>
      </w:r>
      <w:r w:rsidRPr="000C2AD6">
        <w:rPr>
          <w:rFonts w:cs="Arial"/>
        </w:rPr>
        <w:t>held near the city of Venlo, Netherlands</w:t>
      </w:r>
      <w:r>
        <w:rPr>
          <w:rFonts w:cs="Arial"/>
        </w:rPr>
        <w:t>, from June 11 to 15, 2012,</w:t>
      </w:r>
      <w:r w:rsidRPr="00722A02">
        <w:t xml:space="preserve"> </w:t>
      </w:r>
      <w:r>
        <w:rPr>
          <w:rFonts w:cs="Arial"/>
        </w:rPr>
        <w:t>consi</w:t>
      </w:r>
      <w:r w:rsidRPr="00D8502F">
        <w:rPr>
          <w:rFonts w:cs="Arial"/>
        </w:rPr>
        <w:t xml:space="preserve">dered document TWV/46/9 </w:t>
      </w:r>
      <w:r w:rsidRPr="00D8502F">
        <w:t>“A</w:t>
      </w:r>
      <w:r w:rsidRPr="00D8502F">
        <w:rPr>
          <w:rFonts w:eastAsia="MS Mincho"/>
          <w:lang w:eastAsia="ja-JP"/>
        </w:rPr>
        <w:t>ssessing uniformity by off-types on the basis of more than one sample or sub-sample”. The changes in document TWV/46/9 from document TWA/41/9 were made, on the basis of the comments made by the TWA,</w:t>
      </w:r>
      <w:r w:rsidRPr="00D8502F">
        <w:t xml:space="preserve"> at </w:t>
      </w:r>
      <w:r w:rsidRPr="00D8502F">
        <w:rPr>
          <w:rFonts w:cs="Arial"/>
        </w:rPr>
        <w:t>its forty-first session, as follows:</w:t>
      </w:r>
    </w:p>
    <w:p w:rsidR="00183337" w:rsidRPr="00D8502F" w:rsidRDefault="00183337" w:rsidP="003232C8">
      <w:pPr>
        <w:rPr>
          <w:rFonts w:eastAsia="MS Mincho"/>
          <w:lang w:eastAsia="ja-JP"/>
        </w:rPr>
      </w:pPr>
    </w:p>
    <w:p w:rsidR="00183337" w:rsidRPr="00D8502F" w:rsidRDefault="00183337" w:rsidP="00183337">
      <w:pPr>
        <w:keepNext/>
        <w:numPr>
          <w:ilvl w:val="0"/>
          <w:numId w:val="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deletion of Approach: “Requirement to meet uniformity standard in both growing cycles” (proposed for the Apple example), in section “Summary of approaches” and in Annex I “Situation A: </w:t>
      </w:r>
      <w:r w:rsidRPr="00D8502F">
        <w:rPr>
          <w:rFonts w:eastAsia="MS Mincho"/>
          <w:i/>
          <w:color w:val="000000"/>
          <w:szCs w:val="24"/>
          <w:lang w:eastAsia="ja-JP"/>
        </w:rPr>
        <w:t>Two growing cycles in single location”</w:t>
      </w:r>
      <w:r w:rsidRPr="00D8502F">
        <w:rPr>
          <w:rFonts w:eastAsia="MS Mincho"/>
          <w:color w:val="000000"/>
          <w:szCs w:val="24"/>
          <w:lang w:eastAsia="ja-JP"/>
        </w:rPr>
        <w:t>, as set out in paragraph 10 of this document</w:t>
      </w:r>
    </w:p>
    <w:p w:rsidR="00183337" w:rsidRPr="00D8502F" w:rsidRDefault="00183337" w:rsidP="00183337">
      <w:pPr>
        <w:keepNext/>
        <w:autoSpaceDE w:val="0"/>
        <w:autoSpaceDN w:val="0"/>
        <w:adjustRightInd w:val="0"/>
        <w:rPr>
          <w:rFonts w:eastAsia="MS Mincho"/>
          <w:color w:val="000000"/>
          <w:szCs w:val="24"/>
          <w:lang w:eastAsia="ja-JP"/>
        </w:rPr>
      </w:pPr>
    </w:p>
    <w:p w:rsidR="00183337" w:rsidRPr="00D8502F" w:rsidRDefault="00183337" w:rsidP="00183337">
      <w:pPr>
        <w:keepNext/>
        <w:numPr>
          <w:ilvl w:val="0"/>
          <w:numId w:val="1"/>
        </w:numPr>
        <w:autoSpaceDE w:val="0"/>
        <w:autoSpaceDN w:val="0"/>
        <w:adjustRightInd w:val="0"/>
        <w:rPr>
          <w:rFonts w:eastAsia="MS Mincho"/>
          <w:color w:val="000000"/>
          <w:szCs w:val="24"/>
          <w:lang w:eastAsia="ja-JP"/>
        </w:rPr>
      </w:pPr>
      <w:r w:rsidRPr="00D8502F">
        <w:rPr>
          <w:rFonts w:eastAsia="MS Mincho"/>
          <w:color w:val="000000"/>
          <w:szCs w:val="24"/>
          <w:lang w:eastAsia="ja-JP"/>
        </w:rPr>
        <w:t xml:space="preserve">revision of the text for </w:t>
      </w:r>
      <w:r w:rsidRPr="00D8502F">
        <w:rPr>
          <w:rFonts w:cs="Arial"/>
        </w:rPr>
        <w:t>Approach: “Third growing cycle in case of inconsistent results”</w:t>
      </w:r>
      <w:r w:rsidRPr="00D8502F">
        <w:rPr>
          <w:rFonts w:eastAsia="MS Mincho"/>
          <w:color w:val="000000"/>
          <w:szCs w:val="24"/>
          <w:lang w:eastAsia="ja-JP"/>
        </w:rPr>
        <w:t xml:space="preserve"> in Annex II “Situation B: </w:t>
      </w:r>
      <w:r w:rsidRPr="00D8502F">
        <w:rPr>
          <w:rFonts w:eastAsia="MS Mincho"/>
          <w:i/>
          <w:color w:val="000000"/>
          <w:szCs w:val="24"/>
          <w:lang w:eastAsia="ja-JP"/>
        </w:rPr>
        <w:t>Two growing locations in the same year,”</w:t>
      </w:r>
      <w:r w:rsidRPr="00D8502F">
        <w:rPr>
          <w:rFonts w:eastAsia="MS Mincho"/>
          <w:color w:val="000000"/>
          <w:szCs w:val="24"/>
          <w:lang w:eastAsia="ja-JP"/>
        </w:rPr>
        <w:t xml:space="preserve"> as set out in paragraph 11 of this document</w:t>
      </w:r>
    </w:p>
    <w:p w:rsidR="00183337" w:rsidRPr="00722A02" w:rsidRDefault="00183337" w:rsidP="00183337">
      <w:pPr>
        <w:keepNext/>
        <w:autoSpaceDE w:val="0"/>
        <w:autoSpaceDN w:val="0"/>
        <w:adjustRightInd w:val="0"/>
        <w:rPr>
          <w:rFonts w:cs="Arial"/>
        </w:rPr>
      </w:pPr>
    </w:p>
    <w:p w:rsidR="00183337" w:rsidRPr="00CB410A" w:rsidRDefault="00183337" w:rsidP="00183337">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noted the different approaches and the similarity between the approaches used in different UPOV members.  It agreed to invite the Technical Working Party </w:t>
      </w:r>
      <w:r w:rsidRPr="00722A02">
        <w:rPr>
          <w:lang w:val="en"/>
        </w:rPr>
        <w:t>on Automation and Computer Programs (T</w:t>
      </w:r>
      <w:r w:rsidRPr="00722A02">
        <w:rPr>
          <w:rFonts w:cs="Arial"/>
        </w:rPr>
        <w:t xml:space="preserve">WC) to advise whether to use individual or combined results.  The experts from </w:t>
      </w:r>
      <w:smartTag w:uri="urn:schemas-microsoft-com:office:smarttags" w:element="country-region">
        <w:r w:rsidRPr="00722A02">
          <w:rPr>
            <w:rFonts w:cs="Arial"/>
          </w:rPr>
          <w:t>Germany</w:t>
        </w:r>
      </w:smartTag>
      <w:r w:rsidRPr="00722A02">
        <w:rPr>
          <w:rFonts w:cs="Arial"/>
        </w:rPr>
        <w:t xml:space="preserve">, </w:t>
      </w:r>
      <w:smartTag w:uri="urn:schemas-microsoft-com:office:smarttags" w:element="country-region">
        <w:r w:rsidRPr="00722A02">
          <w:rPr>
            <w:rFonts w:cs="Arial"/>
          </w:rPr>
          <w:t>Italy</w:t>
        </w:r>
      </w:smartTag>
      <w:r w:rsidRPr="00722A02">
        <w:rPr>
          <w:rFonts w:cs="Arial"/>
        </w:rPr>
        <w:t xml:space="preserve">, </w:t>
      </w:r>
      <w:smartTag w:uri="urn:schemas-microsoft-com:office:smarttags" w:element="country-region">
        <w:r w:rsidRPr="00722A02">
          <w:rPr>
            <w:rFonts w:cs="Arial"/>
          </w:rPr>
          <w:t>France</w:t>
        </w:r>
      </w:smartTag>
      <w:r w:rsidRPr="00722A02">
        <w:rPr>
          <w:rFonts w:cs="Arial"/>
        </w:rPr>
        <w:t xml:space="preserve"> and the </w:t>
      </w:r>
      <w:smartTag w:uri="urn:schemas-microsoft-com:office:smarttags" w:element="place">
        <w:smartTag w:uri="urn:schemas-microsoft-com:office:smarttags" w:element="country-region">
          <w:r w:rsidRPr="00722A02">
            <w:rPr>
              <w:rFonts w:cs="Arial"/>
            </w:rPr>
            <w:t>Netherlands</w:t>
          </w:r>
        </w:smartTag>
      </w:smartTag>
      <w:r w:rsidRPr="00722A02">
        <w:rPr>
          <w:rFonts w:cs="Arial"/>
        </w:rPr>
        <w:t xml:space="preserve"> offered to provide examples</w:t>
      </w:r>
      <w:r>
        <w:rPr>
          <w:rFonts w:cs="Arial"/>
        </w:rPr>
        <w:t xml:space="preserve"> and data to the TWC, if needed </w:t>
      </w:r>
      <w:r>
        <w:t xml:space="preserve">(see </w:t>
      </w:r>
      <w:r>
        <w:rPr>
          <w:rFonts w:eastAsia="PMingLiU" w:cs="Arial"/>
          <w:szCs w:val="24"/>
        </w:rPr>
        <w:t>document TWV/46/41 “Report”, paragraph 55).</w:t>
      </w:r>
    </w:p>
    <w:p w:rsidR="00183337" w:rsidRPr="00722A02" w:rsidRDefault="00183337" w:rsidP="00183337">
      <w:pPr>
        <w:rPr>
          <w:rFonts w:cs="Arial"/>
        </w:rPr>
      </w:pPr>
    </w:p>
    <w:p w:rsidR="00183337" w:rsidRPr="00722A02" w:rsidRDefault="00183337" w:rsidP="00183337">
      <w:r w:rsidRPr="00722A02">
        <w:rPr>
          <w:rFonts w:cs="Arial"/>
        </w:rPr>
        <w:fldChar w:fldCharType="begin"/>
      </w:r>
      <w:r w:rsidRPr="00722A02">
        <w:rPr>
          <w:rFonts w:cs="Arial"/>
        </w:rPr>
        <w:instrText xml:space="preserve"> AUTONUM  </w:instrText>
      </w:r>
      <w:r w:rsidRPr="00722A02">
        <w:rPr>
          <w:rFonts w:cs="Arial"/>
        </w:rPr>
        <w:fldChar w:fldCharType="end"/>
      </w:r>
      <w:r w:rsidRPr="00722A02">
        <w:rPr>
          <w:rFonts w:cs="Arial"/>
        </w:rPr>
        <w:tab/>
        <w:t>The TWV</w:t>
      </w:r>
      <w:r>
        <w:rPr>
          <w:rFonts w:cs="Arial"/>
        </w:rPr>
        <w:t xml:space="preserve">, </w:t>
      </w:r>
      <w:r>
        <w:t xml:space="preserve">at </w:t>
      </w:r>
      <w:r w:rsidRPr="000C2AD6">
        <w:rPr>
          <w:rFonts w:cs="Arial"/>
        </w:rPr>
        <w:t>its forty-sixth session</w:t>
      </w:r>
      <w:r>
        <w:rPr>
          <w:rFonts w:cs="Arial"/>
        </w:rPr>
        <w:t>,</w:t>
      </w:r>
      <w:r w:rsidRPr="00722A02">
        <w:rPr>
          <w:rFonts w:cs="Arial"/>
        </w:rPr>
        <w:t xml:space="preserve"> agreed that the definition of sam</w:t>
      </w:r>
      <w:r>
        <w:rPr>
          <w:rFonts w:cs="Arial"/>
        </w:rPr>
        <w:t xml:space="preserve">ple size should be more precise </w:t>
      </w:r>
      <w:r>
        <w:t xml:space="preserve">(see </w:t>
      </w:r>
      <w:r>
        <w:rPr>
          <w:rFonts w:eastAsia="PMingLiU" w:cs="Arial"/>
          <w:szCs w:val="24"/>
        </w:rPr>
        <w:t>document TWV/46/41 “Report”, paragraph 56).</w:t>
      </w:r>
    </w:p>
    <w:p w:rsidR="00183337" w:rsidRDefault="00183337" w:rsidP="00183337"/>
    <w:p w:rsidR="00183337" w:rsidRDefault="00183337" w:rsidP="00183337"/>
    <w:p w:rsidR="00183337" w:rsidRPr="00ED3415" w:rsidRDefault="00183337" w:rsidP="00183337">
      <w:pPr>
        <w:pStyle w:val="Heading2"/>
        <w:rPr>
          <w:rFonts w:eastAsia="MS Mincho"/>
          <w:lang w:eastAsia="ja-JP"/>
        </w:rPr>
      </w:pPr>
      <w:bookmarkStart w:id="10" w:name="_Toc380150993"/>
      <w:r w:rsidRPr="00ED3415">
        <w:rPr>
          <w:rFonts w:eastAsia="MS Mincho"/>
          <w:lang w:eastAsia="ja-JP"/>
        </w:rPr>
        <w:t>Technical Working Party on Automation and Computer Programs</w:t>
      </w:r>
      <w:bookmarkEnd w:id="10"/>
      <w:r w:rsidRPr="00ED3415">
        <w:rPr>
          <w:rFonts w:eastAsia="MS Mincho"/>
          <w:lang w:eastAsia="ja-JP"/>
        </w:rPr>
        <w:t xml:space="preserve"> </w:t>
      </w:r>
    </w:p>
    <w:p w:rsidR="00183337" w:rsidRDefault="00183337" w:rsidP="00183337"/>
    <w:p w:rsidR="00183337" w:rsidRPr="005E666F" w:rsidRDefault="00183337" w:rsidP="00183337">
      <w:pPr>
        <w:keepNext/>
        <w:autoSpaceDE w:val="0"/>
        <w:autoSpaceDN w:val="0"/>
        <w:adjustRightInd w:val="0"/>
        <w:rPr>
          <w:rFonts w:eastAsia="MS Mincho"/>
          <w:color w:val="000000"/>
          <w:szCs w:val="24"/>
          <w:lang w:eastAsia="ja-JP"/>
        </w:rPr>
      </w:pPr>
      <w:r>
        <w:rPr>
          <w:szCs w:val="24"/>
        </w:rPr>
        <w:fldChar w:fldCharType="begin"/>
      </w:r>
      <w:r>
        <w:rPr>
          <w:szCs w:val="24"/>
        </w:rPr>
        <w:instrText xml:space="preserve"> AUTONUM  </w:instrText>
      </w:r>
      <w:r>
        <w:rPr>
          <w:szCs w:val="24"/>
        </w:rPr>
        <w:fldChar w:fldCharType="end"/>
      </w:r>
      <w:r>
        <w:rPr>
          <w:szCs w:val="24"/>
        </w:rPr>
        <w:tab/>
      </w:r>
      <w:r w:rsidRPr="0084452E">
        <w:rPr>
          <w:szCs w:val="24"/>
        </w:rPr>
        <w:t>The TWC</w:t>
      </w:r>
      <w:r>
        <w:rPr>
          <w:szCs w:val="24"/>
        </w:rPr>
        <w:t xml:space="preserve">, </w:t>
      </w:r>
      <w:r>
        <w:rPr>
          <w:rFonts w:cs="Arial"/>
          <w:lang w:eastAsia="pt-BR"/>
        </w:rPr>
        <w:t>at</w:t>
      </w:r>
      <w:r w:rsidRPr="00C025A5">
        <w:t xml:space="preserve"> its </w:t>
      </w:r>
      <w:r>
        <w:t xml:space="preserve">thirtieth </w:t>
      </w:r>
      <w:r w:rsidRPr="00C025A5">
        <w:t>session</w:t>
      </w:r>
      <w:r>
        <w:t xml:space="preserve">, </w:t>
      </w:r>
      <w:r w:rsidRPr="00C025A5">
        <w:t xml:space="preserve">held in </w:t>
      </w:r>
      <w:r>
        <w:t>Chisinau, Republic of Moldova</w:t>
      </w:r>
      <w:r w:rsidRPr="00C025A5">
        <w:t xml:space="preserve">, from June </w:t>
      </w:r>
      <w:r>
        <w:t>26</w:t>
      </w:r>
      <w:r w:rsidRPr="00C025A5">
        <w:t xml:space="preserve"> to </w:t>
      </w:r>
      <w:r>
        <w:t>29, 2012,</w:t>
      </w:r>
      <w:r w:rsidRPr="00C025A5">
        <w:t xml:space="preserve"> </w:t>
      </w:r>
      <w:r w:rsidRPr="0084452E">
        <w:rPr>
          <w:szCs w:val="24"/>
        </w:rPr>
        <w:t>considered document TWC/</w:t>
      </w:r>
      <w:r>
        <w:rPr>
          <w:szCs w:val="24"/>
        </w:rPr>
        <w:t xml:space="preserve">30/9 </w:t>
      </w:r>
      <w:r w:rsidRPr="00C9028D">
        <w:t>“A</w:t>
      </w:r>
      <w:r w:rsidRPr="00C9028D">
        <w:rPr>
          <w:rFonts w:eastAsia="MS Mincho"/>
          <w:color w:val="000000"/>
          <w:szCs w:val="24"/>
          <w:lang w:eastAsia="ja-JP"/>
        </w:rPr>
        <w:t>ssessing uniformity by off-types on the basis of more t</w:t>
      </w:r>
      <w:r>
        <w:rPr>
          <w:rFonts w:eastAsia="MS Mincho"/>
          <w:color w:val="000000"/>
          <w:szCs w:val="24"/>
          <w:lang w:eastAsia="ja-JP"/>
        </w:rPr>
        <w:t>han one sample or sub-sample</w:t>
      </w:r>
      <w:r w:rsidRPr="00D8502F">
        <w:rPr>
          <w:rFonts w:eastAsia="MS Mincho"/>
          <w:color w:val="000000"/>
          <w:szCs w:val="24"/>
          <w:lang w:eastAsia="ja-JP"/>
        </w:rPr>
        <w:t>”, with section “Summary of approaches” and annexes, as set out in this document.</w:t>
      </w:r>
      <w:r>
        <w:rPr>
          <w:rFonts w:eastAsia="MS Mincho"/>
          <w:color w:val="000000"/>
          <w:szCs w:val="24"/>
          <w:lang w:eastAsia="ja-JP"/>
        </w:rPr>
        <w:t xml:space="preserve"> </w:t>
      </w:r>
    </w:p>
    <w:p w:rsidR="00183337" w:rsidRDefault="00183337" w:rsidP="00183337">
      <w:pPr>
        <w:autoSpaceDE w:val="0"/>
        <w:autoSpaceDN w:val="0"/>
        <w:adjustRightInd w:val="0"/>
        <w:rPr>
          <w:szCs w:val="24"/>
        </w:rPr>
      </w:pPr>
    </w:p>
    <w:p w:rsidR="00183337" w:rsidRDefault="00183337" w:rsidP="00183337">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noted the need for further explanation on the situations described, such as the clarification of whether two growing cycles related to the use of the same sample and were carried out in the same year. The TWC agreed that more detailed information and further analysis were needed in order to give guidance on consequences on the </w:t>
      </w:r>
      <w:r>
        <w:rPr>
          <w:szCs w:val="24"/>
        </w:rPr>
        <w:t xml:space="preserve">use of the different approaches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83).</w:t>
      </w:r>
    </w:p>
    <w:p w:rsidR="00183337" w:rsidRPr="00A726B5" w:rsidRDefault="00183337" w:rsidP="00183337">
      <w:pPr>
        <w:autoSpaceDE w:val="0"/>
        <w:autoSpaceDN w:val="0"/>
        <w:adjustRightInd w:val="0"/>
        <w:rPr>
          <w:szCs w:val="24"/>
        </w:rPr>
      </w:pPr>
    </w:p>
    <w:p w:rsidR="00183337" w:rsidRDefault="00183337" w:rsidP="00183337">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r>
      <w:r w:rsidRPr="00A726B5">
        <w:rPr>
          <w:rFonts w:cs="Arial"/>
        </w:rPr>
        <w:t>The TWC</w:t>
      </w:r>
      <w:r>
        <w:rPr>
          <w:rFonts w:cs="Arial"/>
        </w:rPr>
        <w:t xml:space="preserve">, </w:t>
      </w:r>
      <w:r>
        <w:rPr>
          <w:rFonts w:cs="Arial"/>
          <w:lang w:eastAsia="pt-BR"/>
        </w:rPr>
        <w:t>at</w:t>
      </w:r>
      <w:r w:rsidRPr="00C025A5">
        <w:t xml:space="preserve"> its </w:t>
      </w:r>
      <w:r>
        <w:t xml:space="preserve">thirtieth </w:t>
      </w:r>
      <w:r w:rsidRPr="00C025A5">
        <w:t>session</w:t>
      </w:r>
      <w:r>
        <w:t>,</w:t>
      </w:r>
      <w:r w:rsidRPr="00A726B5">
        <w:rPr>
          <w:rFonts w:cs="Arial"/>
        </w:rPr>
        <w:t xml:space="preserve"> agreed that </w:t>
      </w:r>
      <w:smartTag w:uri="urn:schemas-microsoft-com:office:smarttags" w:element="country-region">
        <w:r w:rsidRPr="00A726B5">
          <w:rPr>
            <w:rFonts w:cs="Arial"/>
          </w:rPr>
          <w:t>France</w:t>
        </w:r>
      </w:smartTag>
      <w:r w:rsidRPr="00A726B5">
        <w:rPr>
          <w:rFonts w:cs="Arial"/>
        </w:rPr>
        <w:t xml:space="preserve">, </w:t>
      </w:r>
      <w:smartTag w:uri="urn:schemas-microsoft-com:office:smarttags" w:element="country-region">
        <w:r w:rsidRPr="00A726B5">
          <w:rPr>
            <w:rFonts w:cs="Arial"/>
          </w:rPr>
          <w:t>Germany</w:t>
        </w:r>
      </w:smartTag>
      <w:r w:rsidRPr="00A726B5">
        <w:rPr>
          <w:rFonts w:cs="Arial"/>
        </w:rPr>
        <w:t xml:space="preserve"> and the </w:t>
      </w:r>
      <w:smartTag w:uri="urn:schemas-microsoft-com:office:smarttags" w:element="place">
        <w:smartTag w:uri="urn:schemas-microsoft-com:office:smarttags" w:element="country-region">
          <w:r w:rsidRPr="00A726B5">
            <w:rPr>
              <w:rFonts w:cs="Arial"/>
            </w:rPr>
            <w:t>Netherlands</w:t>
          </w:r>
        </w:smartTag>
      </w:smartTag>
      <w:r w:rsidRPr="00A726B5">
        <w:rPr>
          <w:rFonts w:cs="Arial"/>
        </w:rPr>
        <w:t xml:space="preserve"> would present one or more concrete situations in their countries and the statistical basis of thei</w:t>
      </w:r>
      <w:r>
        <w:rPr>
          <w:rFonts w:cs="Arial"/>
        </w:rPr>
        <w:t xml:space="preserve">r analysis for its next session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84).</w:t>
      </w:r>
    </w:p>
    <w:p w:rsidR="00183337" w:rsidRPr="00A726B5" w:rsidRDefault="00183337" w:rsidP="00183337">
      <w:pPr>
        <w:autoSpaceDE w:val="0"/>
        <w:autoSpaceDN w:val="0"/>
        <w:adjustRightInd w:val="0"/>
        <w:rPr>
          <w:rFonts w:cs="Arial"/>
        </w:rPr>
      </w:pPr>
    </w:p>
    <w:p w:rsidR="00183337" w:rsidRDefault="00183337" w:rsidP="00183337">
      <w:pPr>
        <w:autoSpaceDE w:val="0"/>
        <w:autoSpaceDN w:val="0"/>
        <w:adjustRightInd w:val="0"/>
      </w:pPr>
      <w:r w:rsidRPr="00A726B5">
        <w:rPr>
          <w:szCs w:val="24"/>
        </w:rPr>
        <w:fldChar w:fldCharType="begin"/>
      </w:r>
      <w:r w:rsidRPr="00A726B5">
        <w:rPr>
          <w:szCs w:val="24"/>
        </w:rPr>
        <w:instrText xml:space="preserve"> AUTONUM  </w:instrText>
      </w:r>
      <w:r w:rsidRPr="00A726B5">
        <w:rPr>
          <w:szCs w:val="24"/>
        </w:rPr>
        <w:fldChar w:fldCharType="end"/>
      </w:r>
      <w:r w:rsidRPr="00A726B5">
        <w:rPr>
          <w:szCs w:val="24"/>
        </w:rPr>
        <w:tab/>
        <w:t>The TWC</w:t>
      </w:r>
      <w:r>
        <w:rPr>
          <w:szCs w:val="24"/>
        </w:rPr>
        <w:t xml:space="preserve">, </w:t>
      </w:r>
      <w:r>
        <w:rPr>
          <w:rFonts w:cs="Arial"/>
          <w:lang w:eastAsia="pt-BR"/>
        </w:rPr>
        <w:t>at</w:t>
      </w:r>
      <w:r w:rsidRPr="00C025A5">
        <w:t xml:space="preserve"> its </w:t>
      </w:r>
      <w:r>
        <w:t xml:space="preserve">thirtieth </w:t>
      </w:r>
      <w:r w:rsidRPr="00C025A5">
        <w:t>session</w:t>
      </w:r>
      <w:r>
        <w:t>,</w:t>
      </w:r>
      <w:r w:rsidRPr="00A726B5">
        <w:rPr>
          <w:szCs w:val="24"/>
        </w:rPr>
        <w:t xml:space="preserve"> agreed that the </w:t>
      </w:r>
      <w:r w:rsidRPr="00A726B5">
        <w:rPr>
          <w:rFonts w:cs="Arial"/>
        </w:rPr>
        <w:t>statistical basis f</w:t>
      </w:r>
      <w:r>
        <w:rPr>
          <w:rFonts w:cs="Arial"/>
        </w:rPr>
        <w:t>or the acceptable number of off</w:t>
      </w:r>
      <w:r>
        <w:rPr>
          <w:rFonts w:cs="Arial"/>
        </w:rPr>
        <w:noBreakHyphen/>
      </w:r>
      <w:r w:rsidRPr="00A726B5">
        <w:rPr>
          <w:rFonts w:cs="Arial"/>
        </w:rPr>
        <w:t>types in the subsample of 20 plants used in the context of a sample size of 100 plants (situation D) would be assessed by experts from France and Germany</w:t>
      </w:r>
      <w:r>
        <w:rPr>
          <w:rFonts w:cs="Arial"/>
        </w:rPr>
        <w:t xml:space="preserve"> </w:t>
      </w:r>
      <w:r>
        <w:rPr>
          <w:rFonts w:cs="Arial"/>
          <w:lang w:eastAsia="pt-BR"/>
        </w:rPr>
        <w:t xml:space="preserve">(see </w:t>
      </w:r>
      <w:r>
        <w:rPr>
          <w:rFonts w:eastAsia="PMingLiU" w:cs="Arial"/>
          <w:szCs w:val="24"/>
        </w:rPr>
        <w:t>document TWC/30/41,</w:t>
      </w:r>
      <w:r w:rsidRPr="00905C92">
        <w:rPr>
          <w:rFonts w:eastAsia="PMingLiU" w:cs="Arial"/>
          <w:szCs w:val="24"/>
        </w:rPr>
        <w:t xml:space="preserve"> </w:t>
      </w:r>
      <w:r>
        <w:rPr>
          <w:rFonts w:eastAsia="PMingLiU" w:cs="Arial"/>
          <w:szCs w:val="24"/>
        </w:rPr>
        <w:t>“Report”, paragraph 85).</w:t>
      </w:r>
    </w:p>
    <w:p w:rsidR="00183337" w:rsidRDefault="00183337" w:rsidP="00183337"/>
    <w:p w:rsidR="00183337" w:rsidRPr="00ED3415" w:rsidRDefault="00183337" w:rsidP="00183337">
      <w:pPr>
        <w:pStyle w:val="Heading2"/>
        <w:rPr>
          <w:rFonts w:eastAsia="MS Mincho"/>
          <w:lang w:eastAsia="ja-JP"/>
        </w:rPr>
      </w:pPr>
      <w:bookmarkStart w:id="11" w:name="_Toc380150994"/>
      <w:r w:rsidRPr="00ED3415">
        <w:rPr>
          <w:rFonts w:eastAsia="MS Mincho"/>
          <w:lang w:eastAsia="ja-JP"/>
        </w:rPr>
        <w:t xml:space="preserve">Technical Working Party </w:t>
      </w:r>
      <w:r w:rsidR="004C4AA4">
        <w:rPr>
          <w:rFonts w:eastAsia="MS Mincho"/>
          <w:lang w:eastAsia="ja-JP"/>
        </w:rPr>
        <w:t>for</w:t>
      </w:r>
      <w:r w:rsidRPr="00ED3415">
        <w:rPr>
          <w:rFonts w:eastAsia="MS Mincho"/>
          <w:lang w:eastAsia="ja-JP"/>
        </w:rPr>
        <w:t xml:space="preserve"> Fruit Crops</w:t>
      </w:r>
      <w:bookmarkEnd w:id="11"/>
      <w:r w:rsidRPr="00ED3415">
        <w:rPr>
          <w:rFonts w:eastAsia="MS Mincho"/>
          <w:lang w:eastAsia="ja-JP"/>
        </w:rPr>
        <w:t xml:space="preserve"> </w:t>
      </w:r>
    </w:p>
    <w:p w:rsidR="00183337" w:rsidRDefault="00183337" w:rsidP="00183337"/>
    <w:p w:rsidR="00183337" w:rsidRPr="00CB0956" w:rsidRDefault="00183337" w:rsidP="00183337">
      <w:pPr>
        <w:keepNext/>
        <w:autoSpaceDE w:val="0"/>
        <w:autoSpaceDN w:val="0"/>
        <w:adjustRightInd w:val="0"/>
        <w:rPr>
          <w:rFonts w:eastAsia="MS Mincho"/>
          <w:color w:val="000000"/>
          <w:szCs w:val="24"/>
          <w:lang w:eastAsia="ja-JP"/>
        </w:rPr>
      </w:pPr>
      <w:r w:rsidRPr="000936D2">
        <w:rPr>
          <w:rFonts w:cs="Arial"/>
        </w:rPr>
        <w:fldChar w:fldCharType="begin"/>
      </w:r>
      <w:r w:rsidRPr="000936D2">
        <w:rPr>
          <w:rFonts w:cs="Arial"/>
        </w:rPr>
        <w:instrText xml:space="preserve"> AUTONUM  </w:instrText>
      </w:r>
      <w:r w:rsidRPr="000936D2">
        <w:rPr>
          <w:rFonts w:cs="Arial"/>
        </w:rPr>
        <w:fldChar w:fldCharType="end"/>
      </w:r>
      <w:r>
        <w:rPr>
          <w:rFonts w:cs="Arial"/>
        </w:rPr>
        <w:tab/>
        <w:t xml:space="preserve">The TWF, at its forty-third session, held in </w:t>
      </w:r>
      <w:smartTag w:uri="urn:schemas-microsoft-com:office:smarttags" w:element="place">
        <w:smartTag w:uri="urn:schemas-microsoft-com:office:smarttags" w:element="City">
          <w:r>
            <w:rPr>
              <w:rFonts w:cs="Arial"/>
            </w:rPr>
            <w:t>Beijing</w:t>
          </w:r>
        </w:smartTag>
        <w:r>
          <w:rPr>
            <w:rFonts w:cs="Arial"/>
          </w:rPr>
          <w:t xml:space="preserve">, </w:t>
        </w:r>
        <w:smartTag w:uri="urn:schemas-microsoft-com:office:smarttags" w:element="country-region">
          <w:r>
            <w:rPr>
              <w:rFonts w:cs="Arial"/>
            </w:rPr>
            <w:t>China</w:t>
          </w:r>
        </w:smartTag>
      </w:smartTag>
      <w:r>
        <w:rPr>
          <w:rFonts w:cs="Arial"/>
        </w:rPr>
        <w:t>, from July 30 to August 3, 2012,</w:t>
      </w:r>
      <w:r w:rsidRPr="000936D2">
        <w:rPr>
          <w:rFonts w:cs="Arial"/>
        </w:rPr>
        <w:t xml:space="preserve"> considered document </w:t>
      </w:r>
      <w:r w:rsidRPr="00D8502F">
        <w:rPr>
          <w:rFonts w:cs="Arial"/>
        </w:rPr>
        <w:t>TWF/43/9 Rev.</w:t>
      </w:r>
      <w:r w:rsidRPr="00D8502F">
        <w:t xml:space="preserve"> “A</w:t>
      </w:r>
      <w:r w:rsidRPr="00D8502F">
        <w:rPr>
          <w:rFonts w:eastAsia="MS Mincho"/>
          <w:color w:val="000000"/>
          <w:szCs w:val="24"/>
          <w:lang w:eastAsia="ja-JP"/>
        </w:rPr>
        <w:t>ssessing uniformity by off-types on the basis of more than one sample or sub</w:t>
      </w:r>
      <w:r w:rsidRPr="00D8502F">
        <w:rPr>
          <w:rFonts w:eastAsia="MS Mincho"/>
          <w:color w:val="000000"/>
          <w:szCs w:val="24"/>
          <w:lang w:eastAsia="ja-JP"/>
        </w:rPr>
        <w:noBreakHyphen/>
        <w:t>sample”, with section “Summary of approaches” and annexes, as set out in this document.</w:t>
      </w:r>
    </w:p>
    <w:p w:rsidR="00183337" w:rsidRPr="000936D2" w:rsidRDefault="00183337" w:rsidP="00183337">
      <w:pPr>
        <w:rPr>
          <w:rFonts w:cs="Arial"/>
        </w:rPr>
      </w:pPr>
    </w:p>
    <w:p w:rsidR="00183337" w:rsidRPr="000936D2" w:rsidRDefault="00183337" w:rsidP="00183337">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noted the different approaches and the similarity between the approaches used by different UPOV members.  It agreed to propose that the Technical Working Party </w:t>
      </w:r>
      <w:r w:rsidRPr="000936D2">
        <w:rPr>
          <w:lang w:val="en"/>
        </w:rPr>
        <w:t>on Automation and Computer Programs (T</w:t>
      </w:r>
      <w:r w:rsidRPr="000936D2">
        <w:rPr>
          <w:rFonts w:cs="Arial"/>
        </w:rPr>
        <w:t>WC) be invited to advise whether to use</w:t>
      </w:r>
      <w:r>
        <w:rPr>
          <w:rFonts w:cs="Arial"/>
        </w:rPr>
        <w:t xml:space="preserve"> individual or combined results (see </w:t>
      </w:r>
      <w:r w:rsidRPr="000D2BFB">
        <w:rPr>
          <w:rFonts w:eastAsia="PMingLiU" w:cs="Arial"/>
          <w:szCs w:val="24"/>
        </w:rPr>
        <w:t>document</w:t>
      </w:r>
      <w:r>
        <w:t xml:space="preserve"> TWF/43/38 “Report”, paragraph 51).</w:t>
      </w:r>
    </w:p>
    <w:p w:rsidR="00183337" w:rsidRPr="000936D2" w:rsidRDefault="00183337" w:rsidP="00183337">
      <w:pPr>
        <w:rPr>
          <w:rFonts w:cs="Arial"/>
        </w:rPr>
      </w:pPr>
    </w:p>
    <w:p w:rsidR="00183337" w:rsidRPr="000936D2" w:rsidRDefault="00183337" w:rsidP="00183337">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requested that the expert from </w:t>
      </w:r>
      <w:smartTag w:uri="urn:schemas-microsoft-com:office:smarttags" w:element="place">
        <w:smartTag w:uri="urn:schemas-microsoft-com:office:smarttags" w:element="country-region">
          <w:r w:rsidRPr="000936D2">
            <w:rPr>
              <w:rFonts w:cs="Arial"/>
            </w:rPr>
            <w:t>New Zealand</w:t>
          </w:r>
        </w:smartTag>
      </w:smartTag>
      <w:r w:rsidRPr="000936D2">
        <w:rPr>
          <w:rFonts w:cs="Arial"/>
        </w:rPr>
        <w:t xml:space="preserve"> would provide a presentation on the testing of uniformity of apple varieties arising from mutati</w:t>
      </w:r>
      <w:r>
        <w:rPr>
          <w:rFonts w:cs="Arial"/>
        </w:rPr>
        <w:t xml:space="preserve">ons, at the TWF meeting in 2013 (see </w:t>
      </w:r>
      <w:r w:rsidRPr="000D2BFB">
        <w:rPr>
          <w:rFonts w:eastAsia="PMingLiU" w:cs="Arial"/>
          <w:szCs w:val="24"/>
        </w:rPr>
        <w:t>document</w:t>
      </w:r>
      <w:r>
        <w:t> TWF/43/38 “Report”, paragraph 52).</w:t>
      </w:r>
    </w:p>
    <w:p w:rsidR="00183337" w:rsidRPr="000936D2" w:rsidRDefault="00183337" w:rsidP="00183337">
      <w:pPr>
        <w:rPr>
          <w:rFonts w:cs="Arial"/>
        </w:rPr>
      </w:pPr>
    </w:p>
    <w:p w:rsidR="00183337" w:rsidRPr="000936D2" w:rsidRDefault="00183337" w:rsidP="00183337">
      <w:pPr>
        <w:rPr>
          <w:rFonts w:cs="Arial"/>
        </w:rPr>
      </w:pPr>
      <w:r w:rsidRPr="000936D2">
        <w:rPr>
          <w:rFonts w:cs="Arial"/>
        </w:rPr>
        <w:fldChar w:fldCharType="begin"/>
      </w:r>
      <w:r w:rsidRPr="000936D2">
        <w:rPr>
          <w:rFonts w:cs="Arial"/>
        </w:rPr>
        <w:instrText xml:space="preserve"> AUTONUM  </w:instrText>
      </w:r>
      <w:r w:rsidRPr="000936D2">
        <w:rPr>
          <w:rFonts w:cs="Arial"/>
        </w:rPr>
        <w:fldChar w:fldCharType="end"/>
      </w:r>
      <w:r w:rsidRPr="000936D2">
        <w:rPr>
          <w:rFonts w:cs="Arial"/>
        </w:rPr>
        <w:tab/>
        <w:t>The TWF</w:t>
      </w:r>
      <w:r>
        <w:rPr>
          <w:rFonts w:cs="Arial"/>
        </w:rPr>
        <w:t>, at its forty-third session,</w:t>
      </w:r>
      <w:r w:rsidRPr="000936D2">
        <w:rPr>
          <w:rFonts w:cs="Arial"/>
        </w:rPr>
        <w:t xml:space="preserve"> agreed that the definition of growing cycles should be more precise and that, in the future, a detailed description of the way that the examination was to be conducted should be included under “Ma</w:t>
      </w:r>
      <w:r>
        <w:rPr>
          <w:rFonts w:cs="Arial"/>
        </w:rPr>
        <w:t xml:space="preserve">tters for future consideration” (see </w:t>
      </w:r>
      <w:r w:rsidRPr="000D2BFB">
        <w:rPr>
          <w:rFonts w:eastAsia="PMingLiU" w:cs="Arial"/>
          <w:szCs w:val="24"/>
        </w:rPr>
        <w:t>document</w:t>
      </w:r>
      <w:r>
        <w:t xml:space="preserve"> TWF/43/38 “Report”, paragraph 53).</w:t>
      </w:r>
    </w:p>
    <w:p w:rsidR="00183337" w:rsidRDefault="00183337" w:rsidP="00183337"/>
    <w:p w:rsidR="00183337" w:rsidRDefault="00183337" w:rsidP="00183337"/>
    <w:p w:rsidR="00183337" w:rsidRPr="00FA78B5" w:rsidRDefault="00183337" w:rsidP="00183337">
      <w:pPr>
        <w:pStyle w:val="Heading2"/>
        <w:rPr>
          <w:rFonts w:eastAsia="MS Mincho"/>
          <w:lang w:eastAsia="ja-JP"/>
        </w:rPr>
      </w:pPr>
      <w:bookmarkStart w:id="12" w:name="_Toc380150995"/>
      <w:r w:rsidRPr="00FA78B5">
        <w:rPr>
          <w:rFonts w:eastAsia="MS Mincho"/>
          <w:lang w:eastAsia="ja-JP"/>
        </w:rPr>
        <w:t xml:space="preserve">Technical Working Party for Ornamental Plants and </w:t>
      </w:r>
      <w:smartTag w:uri="urn:schemas-microsoft-com:office:smarttags" w:element="place">
        <w:r w:rsidRPr="00FA78B5">
          <w:rPr>
            <w:rFonts w:eastAsia="MS Mincho"/>
            <w:lang w:eastAsia="ja-JP"/>
          </w:rPr>
          <w:t>Forest</w:t>
        </w:r>
      </w:smartTag>
      <w:r w:rsidRPr="00FA78B5">
        <w:rPr>
          <w:rFonts w:eastAsia="MS Mincho"/>
          <w:lang w:eastAsia="ja-JP"/>
        </w:rPr>
        <w:t xml:space="preserve"> Trees</w:t>
      </w:r>
      <w:bookmarkEnd w:id="12"/>
      <w:r w:rsidRPr="00FA78B5">
        <w:rPr>
          <w:rFonts w:eastAsia="MS Mincho"/>
          <w:lang w:eastAsia="ja-JP"/>
        </w:rPr>
        <w:t xml:space="preserve"> </w:t>
      </w:r>
    </w:p>
    <w:p w:rsidR="00183337" w:rsidRPr="00FA78B5" w:rsidRDefault="00183337" w:rsidP="00183337">
      <w:pPr>
        <w:keepNext/>
        <w:rPr>
          <w:rFonts w:eastAsia="MS Mincho"/>
          <w:i/>
          <w:iCs/>
          <w:color w:val="000000"/>
          <w:szCs w:val="24"/>
          <w:lang w:eastAsia="ja-JP"/>
        </w:rPr>
      </w:pPr>
    </w:p>
    <w:p w:rsidR="00183337" w:rsidRPr="00CB0956" w:rsidRDefault="00183337" w:rsidP="00183337">
      <w:pPr>
        <w:keepNext/>
        <w:autoSpaceDE w:val="0"/>
        <w:autoSpaceDN w:val="0"/>
        <w:adjustRightInd w:val="0"/>
        <w:rPr>
          <w:rFonts w:eastAsia="MS Mincho"/>
          <w:color w:val="000000"/>
          <w:szCs w:val="24"/>
          <w:lang w:eastAsia="ja-JP"/>
        </w:rPr>
      </w:pPr>
      <w:r w:rsidRPr="005623A7">
        <w:fldChar w:fldCharType="begin"/>
      </w:r>
      <w:r w:rsidRPr="005623A7">
        <w:instrText xml:space="preserve"> AUTONUM  </w:instrText>
      </w:r>
      <w:r w:rsidRPr="005623A7">
        <w:fldChar w:fldCharType="end"/>
      </w:r>
      <w:r>
        <w:tab/>
      </w:r>
      <w:r w:rsidRPr="00FA78B5">
        <w:rPr>
          <w:rFonts w:cs="Arial"/>
        </w:rPr>
        <w:t xml:space="preserve">The TWO, </w:t>
      </w:r>
      <w:r w:rsidRPr="00FA78B5">
        <w:t>a</w:t>
      </w:r>
      <w:r w:rsidRPr="00FA78B5">
        <w:rPr>
          <w:rFonts w:cs="Arial"/>
        </w:rPr>
        <w:t xml:space="preserve">t its forty-fifth session, held in </w:t>
      </w:r>
      <w:proofErr w:type="spellStart"/>
      <w:r w:rsidRPr="00FA78B5">
        <w:rPr>
          <w:rFonts w:cs="Arial"/>
        </w:rPr>
        <w:t>Jeju</w:t>
      </w:r>
      <w:proofErr w:type="spellEnd"/>
      <w:r w:rsidRPr="00FA78B5">
        <w:rPr>
          <w:rFonts w:cs="Arial"/>
        </w:rPr>
        <w:t xml:space="preserve">, Republic of Korea, from August 6 to 10, 2012,  considered document TWO/45/9 </w:t>
      </w:r>
      <w:r w:rsidRPr="00FA78B5">
        <w:t>“A</w:t>
      </w:r>
      <w:r w:rsidRPr="00FA78B5">
        <w:rPr>
          <w:rFonts w:eastAsia="MS Mincho"/>
          <w:color w:val="000000"/>
          <w:szCs w:val="24"/>
          <w:lang w:eastAsia="ja-JP"/>
        </w:rPr>
        <w:t>ssessing uniformity by off-types on the basis of more than one sample or sub</w:t>
      </w:r>
      <w:r w:rsidRPr="00FA78B5">
        <w:rPr>
          <w:rFonts w:eastAsia="MS Mincho"/>
          <w:color w:val="000000"/>
          <w:szCs w:val="24"/>
          <w:lang w:eastAsia="ja-JP"/>
        </w:rPr>
        <w:noBreakHyphen/>
        <w:t>sample”, with section “Summary of approaches” and annexes, as presented in this document. The TWO</w:t>
      </w:r>
      <w:r w:rsidRPr="00FA78B5">
        <w:rPr>
          <w:rFonts w:cs="Arial"/>
        </w:rPr>
        <w:t xml:space="preserve"> noted the different approaches used in different UPOV members </w:t>
      </w:r>
      <w:r>
        <w:rPr>
          <w:rFonts w:cs="Arial"/>
        </w:rPr>
        <w:t>(</w:t>
      </w:r>
      <w:r w:rsidRPr="00FA78B5">
        <w:t>see document</w:t>
      </w:r>
      <w:r w:rsidRPr="00FA78B5">
        <w:rPr>
          <w:rFonts w:eastAsia="PMingLiU" w:cs="Arial"/>
          <w:szCs w:val="24"/>
        </w:rPr>
        <w:t> TWO/45/37 “Report”, paragraph 54).</w:t>
      </w:r>
    </w:p>
    <w:p w:rsidR="00183337" w:rsidRPr="005E5E84" w:rsidRDefault="00183337" w:rsidP="00183337"/>
    <w:p w:rsidR="00183337" w:rsidRDefault="00183337" w:rsidP="00183337">
      <w:pPr>
        <w:rPr>
          <w:caps/>
        </w:rPr>
      </w:pPr>
    </w:p>
    <w:p w:rsidR="00183337" w:rsidRDefault="00183337" w:rsidP="00183337">
      <w:pPr>
        <w:pStyle w:val="Heading1"/>
      </w:pPr>
      <w:bookmarkStart w:id="13" w:name="_Toc380150996"/>
      <w:r>
        <w:t>iii.</w:t>
      </w:r>
      <w:r>
        <w:tab/>
        <w:t>DEVELOPMENTS IN 2013</w:t>
      </w:r>
      <w:bookmarkEnd w:id="13"/>
    </w:p>
    <w:p w:rsidR="00183337" w:rsidRDefault="00183337" w:rsidP="00183337">
      <w:pPr>
        <w:keepNext/>
      </w:pPr>
    </w:p>
    <w:p w:rsidR="00183337" w:rsidRPr="00ED3415" w:rsidRDefault="00183337" w:rsidP="00183337">
      <w:pPr>
        <w:pStyle w:val="Heading2"/>
      </w:pPr>
      <w:bookmarkStart w:id="14" w:name="_Toc380150997"/>
      <w:r w:rsidRPr="00ED3415">
        <w:rPr>
          <w:rFonts w:eastAsia="MS Mincho"/>
          <w:lang w:eastAsia="ja-JP"/>
        </w:rPr>
        <w:t>Technical Committee</w:t>
      </w:r>
      <w:bookmarkEnd w:id="14"/>
    </w:p>
    <w:p w:rsidR="00183337" w:rsidRDefault="00183337" w:rsidP="00183337">
      <w:pPr>
        <w:keepNext/>
        <w:rPr>
          <w:rFonts w:eastAsia="MS Mincho"/>
          <w:color w:val="000000"/>
          <w:szCs w:val="24"/>
          <w:lang w:eastAsia="ja-JP"/>
        </w:rPr>
      </w:pPr>
    </w:p>
    <w:p w:rsidR="00183337" w:rsidRPr="00AF342C" w:rsidRDefault="00183337" w:rsidP="00183337">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r>
      <w:r w:rsidRPr="004F1C91">
        <w:rPr>
          <w:rFonts w:cs="Arial"/>
          <w:color w:val="000000"/>
        </w:rPr>
        <w:t xml:space="preserve">The </w:t>
      </w:r>
      <w:r w:rsidRPr="004F1C91">
        <w:rPr>
          <w:rFonts w:cs="Arial"/>
        </w:rPr>
        <w:t xml:space="preserve">TC, </w:t>
      </w:r>
      <w:r w:rsidRPr="004F1C91">
        <w:rPr>
          <w:rFonts w:cs="Arial"/>
          <w:lang w:eastAsia="ja-JP"/>
        </w:rPr>
        <w:t>at its forty-ninth session held in Geneva from March 18 to 20, 2013,</w:t>
      </w:r>
      <w:r>
        <w:rPr>
          <w:rFonts w:cs="Arial"/>
          <w:lang w:eastAsia="ja-JP"/>
        </w:rPr>
        <w:t xml:space="preserve"> </w:t>
      </w:r>
      <w:r>
        <w:t>considered document </w:t>
      </w:r>
      <w:r w:rsidRPr="00AF342C">
        <w:t>TC/49/14</w:t>
      </w:r>
      <w: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w:t>
      </w:r>
      <w:r w:rsidRPr="00FA78B5">
        <w:rPr>
          <w:rFonts w:eastAsia="PMingLiU" w:cs="Arial"/>
          <w:szCs w:val="24"/>
        </w:rPr>
        <w:t>4)</w:t>
      </w:r>
      <w:r w:rsidRPr="00AF342C">
        <w:t>.</w:t>
      </w:r>
    </w:p>
    <w:p w:rsidR="00183337" w:rsidRPr="00AF342C" w:rsidRDefault="00183337" w:rsidP="00183337">
      <w:pPr>
        <w:keepNext/>
        <w:ind w:left="567" w:hanging="567"/>
        <w:rPr>
          <w:snapToGrid w:val="0"/>
        </w:rPr>
      </w:pPr>
    </w:p>
    <w:p w:rsidR="00183337" w:rsidRPr="00AF342C" w:rsidRDefault="00183337" w:rsidP="00183337">
      <w:pPr>
        <w:keepNext/>
        <w:rPr>
          <w:snapToGrid w:val="0"/>
        </w:rPr>
      </w:pPr>
      <w:r w:rsidRPr="00AF342C">
        <w:rPr>
          <w:snapToGrid w:val="0"/>
        </w:rPr>
        <w:fldChar w:fldCharType="begin"/>
      </w:r>
      <w:r w:rsidRPr="00AF342C">
        <w:rPr>
          <w:snapToGrid w:val="0"/>
        </w:rPr>
        <w:instrText xml:space="preserve"> AUTONUM  </w:instrText>
      </w:r>
      <w:r w:rsidRPr="00AF342C">
        <w:rPr>
          <w:snapToGrid w:val="0"/>
        </w:rPr>
        <w:fldChar w:fldCharType="end"/>
      </w:r>
      <w:r w:rsidRPr="00AF342C">
        <w:rPr>
          <w:snapToGrid w:val="0"/>
        </w:rPr>
        <w:tab/>
        <w:t xml:space="preserve">The TC </w:t>
      </w:r>
      <w:r w:rsidRPr="00AF342C">
        <w:rPr>
          <w:iCs/>
          <w:spacing w:val="-4"/>
        </w:rPr>
        <w:t xml:space="preserve">noted that the TWC would consider further information on the situations presented in Annex I to IV to document TC/49/14, </w:t>
      </w:r>
      <w:r w:rsidRPr="00AF342C">
        <w:rPr>
          <w:szCs w:val="24"/>
        </w:rPr>
        <w:t xml:space="preserve">such as the clarification of whether two growing cycles related to the use of the same sample and were carried out in the same year.  The </w:t>
      </w:r>
      <w:r>
        <w:rPr>
          <w:szCs w:val="24"/>
        </w:rPr>
        <w:t xml:space="preserve">TC noted that the </w:t>
      </w:r>
      <w:r w:rsidRPr="00AF342C">
        <w:rPr>
          <w:szCs w:val="24"/>
        </w:rPr>
        <w:t xml:space="preserve">TWC had agreed that more detailed information and further analysis were needed in order to give guidance on consequences on the use of the different approaches.  The TWC had further </w:t>
      </w:r>
      <w:r w:rsidRPr="00AF342C">
        <w:rPr>
          <w:rFonts w:cs="Arial"/>
        </w:rPr>
        <w:t xml:space="preserve">agreed that France, Germany and </w:t>
      </w:r>
      <w:r>
        <w:rPr>
          <w:rFonts w:cs="Arial"/>
        </w:rPr>
        <w:t xml:space="preserve">the </w:t>
      </w:r>
      <w:r w:rsidRPr="00AF342C">
        <w:rPr>
          <w:rFonts w:cs="Arial"/>
        </w:rPr>
        <w:t xml:space="preserve">Netherlands would present one or more concrete situations in their countries and the statistical basis of their analysis for its next session, and </w:t>
      </w:r>
      <w:r w:rsidRPr="00AF342C">
        <w:rPr>
          <w:szCs w:val="24"/>
        </w:rPr>
        <w:t xml:space="preserve">that the </w:t>
      </w:r>
      <w:r w:rsidRPr="00AF342C">
        <w:rPr>
          <w:rFonts w:cs="Arial"/>
        </w:rPr>
        <w:t>statistical basis for the acceptable number of off</w:t>
      </w:r>
      <w:r w:rsidRPr="00AF342C">
        <w:rPr>
          <w:rFonts w:cs="Arial"/>
        </w:rPr>
        <w:noBreakHyphen/>
        <w:t>types in the sub</w:t>
      </w:r>
      <w:r>
        <w:rPr>
          <w:rFonts w:cs="Arial"/>
        </w:rPr>
        <w:t>-</w:t>
      </w:r>
      <w:r w:rsidRPr="00AF342C">
        <w:rPr>
          <w:rFonts w:cs="Arial"/>
        </w:rPr>
        <w:t>sample of 20 plants used in the context of a sample size of 100 plants (situation D) would be assessed by experts from France and Germany</w:t>
      </w:r>
      <w:r>
        <w:rPr>
          <w:rFonts w:cs="Arial"/>
        </w:rPr>
        <w:t xml:space="preserve"> (</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115</w:t>
      </w:r>
      <w:r w:rsidRPr="00FA78B5">
        <w:rPr>
          <w:rFonts w:eastAsia="PMingLiU" w:cs="Arial"/>
          <w:szCs w:val="24"/>
        </w:rPr>
        <w:t>)</w:t>
      </w:r>
      <w:r w:rsidRPr="00AF342C">
        <w:rPr>
          <w:rFonts w:cs="Arial"/>
        </w:rPr>
        <w:t>.</w:t>
      </w:r>
    </w:p>
    <w:p w:rsidR="00183337" w:rsidRPr="00AF342C" w:rsidRDefault="00183337" w:rsidP="00183337">
      <w:pPr>
        <w:ind w:left="567" w:hanging="567"/>
      </w:pPr>
    </w:p>
    <w:p w:rsidR="00183337" w:rsidRPr="00AF342C" w:rsidRDefault="00183337" w:rsidP="00183337">
      <w:r w:rsidRPr="00AF342C">
        <w:fldChar w:fldCharType="begin"/>
      </w:r>
      <w:r w:rsidRPr="00AF342C">
        <w:instrText xml:space="preserve"> AUTONUM  </w:instrText>
      </w:r>
      <w:r w:rsidRPr="00AF342C">
        <w:fldChar w:fldCharType="end"/>
      </w:r>
      <w:r w:rsidRPr="00AF342C">
        <w:tab/>
        <w:t xml:space="preserve">The TC </w:t>
      </w:r>
      <w:r w:rsidRPr="00AF342C">
        <w:rPr>
          <w:iCs/>
          <w:spacing w:val="-4"/>
        </w:rPr>
        <w:t>agreed that the approach combining the results from two growing cycles, as set out in Annexes I and II, Situation A and B, was not inconsistent with the requirement for “independent” growing cycles.  However, it agreed that care would be needed</w:t>
      </w:r>
      <w:r>
        <w:rPr>
          <w:iCs/>
          <w:spacing w:val="-4"/>
        </w:rPr>
        <w:t>, for example</w:t>
      </w:r>
      <w:r w:rsidRPr="00AF342C">
        <w:rPr>
          <w:iCs/>
          <w:spacing w:val="-4"/>
        </w:rPr>
        <w:t xml:space="preserve"> when considering results </w:t>
      </w:r>
      <w:r>
        <w:rPr>
          <w:iCs/>
          <w:spacing w:val="-4"/>
        </w:rPr>
        <w:t>that</w:t>
      </w:r>
      <w:r w:rsidRPr="00AF342C">
        <w:rPr>
          <w:iCs/>
          <w:spacing w:val="-4"/>
        </w:rPr>
        <w:t xml:space="preserve"> were very different</w:t>
      </w:r>
      <w:r>
        <w:rPr>
          <w:iCs/>
          <w:spacing w:val="-4"/>
        </w:rPr>
        <w:t xml:space="preserve"> in each of the growing cycles, such as when a type of off-type was observed at a high level in one growing cycle and was absent in another growing cycle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116</w:t>
      </w:r>
      <w:r w:rsidRPr="00FA78B5">
        <w:rPr>
          <w:rFonts w:eastAsia="PMingLiU" w:cs="Arial"/>
          <w:szCs w:val="24"/>
        </w:rPr>
        <w:t>)</w:t>
      </w:r>
      <w:r>
        <w:rPr>
          <w:iCs/>
          <w:spacing w:val="-4"/>
        </w:rPr>
        <w:t>.</w:t>
      </w:r>
    </w:p>
    <w:p w:rsidR="00183337" w:rsidRPr="00AF342C" w:rsidRDefault="00183337" w:rsidP="00183337">
      <w:pPr>
        <w:ind w:left="567" w:hanging="567"/>
      </w:pPr>
    </w:p>
    <w:p w:rsidR="00183337" w:rsidRPr="00AF342C" w:rsidRDefault="00183337" w:rsidP="00183337">
      <w:r w:rsidRPr="00AF342C">
        <w:fldChar w:fldCharType="begin"/>
      </w:r>
      <w:r w:rsidRPr="00AF342C">
        <w:instrText xml:space="preserve"> AUTONUM  </w:instrText>
      </w:r>
      <w:r w:rsidRPr="00AF342C">
        <w:fldChar w:fldCharType="end"/>
      </w:r>
      <w:r w:rsidRPr="00AF342C">
        <w:tab/>
        <w:t xml:space="preserve">The TC </w:t>
      </w:r>
      <w:r w:rsidRPr="00AF342C">
        <w:rPr>
          <w:iCs/>
          <w:spacing w:val="-4"/>
        </w:rPr>
        <w:t xml:space="preserve">noted that an expert from New Zealand </w:t>
      </w:r>
      <w:r>
        <w:rPr>
          <w:iCs/>
          <w:spacing w:val="-4"/>
        </w:rPr>
        <w:t>would</w:t>
      </w:r>
      <w:r w:rsidRPr="00AF342C">
        <w:rPr>
          <w:iCs/>
          <w:spacing w:val="-4"/>
        </w:rPr>
        <w:t xml:space="preserve"> make a presentation on testing of uniformity of Apple varieties arising from mutation at the TWF session in 2013</w:t>
      </w:r>
      <w:r>
        <w:rPr>
          <w:iCs/>
          <w:spacing w:val="-4"/>
        </w:rPr>
        <w:t xml:space="preserve"> </w:t>
      </w:r>
      <w:r>
        <w:rPr>
          <w:rFonts w:cs="Arial"/>
        </w:rPr>
        <w:t>(</w:t>
      </w:r>
      <w:r w:rsidRPr="00FA78B5">
        <w:t>see document</w:t>
      </w:r>
      <w:r w:rsidRPr="00FA78B5">
        <w:rPr>
          <w:rFonts w:eastAsia="PMingLiU" w:cs="Arial"/>
          <w:szCs w:val="24"/>
        </w:rPr>
        <w:t> T</w:t>
      </w:r>
      <w:r>
        <w:rPr>
          <w:rFonts w:eastAsia="PMingLiU" w:cs="Arial"/>
          <w:szCs w:val="24"/>
        </w:rPr>
        <w:t>C</w:t>
      </w:r>
      <w:r w:rsidRPr="00FA78B5">
        <w:rPr>
          <w:rFonts w:eastAsia="PMingLiU" w:cs="Arial"/>
          <w:szCs w:val="24"/>
        </w:rPr>
        <w:t>/4</w:t>
      </w:r>
      <w:r>
        <w:rPr>
          <w:rFonts w:eastAsia="PMingLiU" w:cs="Arial"/>
          <w:szCs w:val="24"/>
        </w:rPr>
        <w:t>9</w:t>
      </w:r>
      <w:r w:rsidRPr="00FA78B5">
        <w:rPr>
          <w:rFonts w:eastAsia="PMingLiU" w:cs="Arial"/>
          <w:szCs w:val="24"/>
        </w:rPr>
        <w:t>/</w:t>
      </w:r>
      <w:r>
        <w:rPr>
          <w:rFonts w:eastAsia="PMingLiU" w:cs="Arial"/>
          <w:szCs w:val="24"/>
        </w:rPr>
        <w:t>41</w:t>
      </w:r>
      <w:r w:rsidRPr="00FA78B5">
        <w:rPr>
          <w:rFonts w:eastAsia="PMingLiU" w:cs="Arial"/>
          <w:szCs w:val="24"/>
        </w:rPr>
        <w:t> “Report</w:t>
      </w:r>
      <w:r>
        <w:rPr>
          <w:rFonts w:eastAsia="PMingLiU" w:cs="Arial"/>
          <w:szCs w:val="24"/>
        </w:rPr>
        <w:t xml:space="preserve"> on the Conclusions</w:t>
      </w:r>
      <w:r w:rsidRPr="00FA78B5">
        <w:rPr>
          <w:rFonts w:eastAsia="PMingLiU" w:cs="Arial"/>
          <w:szCs w:val="24"/>
        </w:rPr>
        <w:t xml:space="preserve">”, paragraph </w:t>
      </w:r>
      <w:r>
        <w:rPr>
          <w:rFonts w:eastAsia="PMingLiU" w:cs="Arial"/>
          <w:szCs w:val="24"/>
        </w:rPr>
        <w:t>117</w:t>
      </w:r>
      <w:r w:rsidRPr="00FA78B5">
        <w:rPr>
          <w:rFonts w:eastAsia="PMingLiU" w:cs="Arial"/>
          <w:szCs w:val="24"/>
        </w:rPr>
        <w:t>)</w:t>
      </w:r>
      <w:r>
        <w:rPr>
          <w:iCs/>
          <w:spacing w:val="-4"/>
        </w:rPr>
        <w:t>.</w:t>
      </w:r>
    </w:p>
    <w:p w:rsidR="00183337" w:rsidRDefault="00183337" w:rsidP="00183337"/>
    <w:p w:rsidR="00183337" w:rsidRDefault="00183337" w:rsidP="00183337">
      <w:r>
        <w:fldChar w:fldCharType="begin"/>
      </w:r>
      <w:r>
        <w:instrText xml:space="preserve"> AUTONUM  </w:instrText>
      </w:r>
      <w:r>
        <w:fldChar w:fldCharType="end"/>
      </w:r>
      <w:r>
        <w:tab/>
        <w:t xml:space="preserve">Subsequent to the TC meeting, the </w:t>
      </w:r>
      <w:r w:rsidRPr="000A4D17">
        <w:t>expert from New Zealand agreed to prepare a document to be presented at all the TWP sessions in 2013 (see document</w:t>
      </w:r>
      <w:r>
        <w:t>s</w:t>
      </w:r>
      <w:r w:rsidRPr="000A4D17">
        <w:t xml:space="preserve"> TW</w:t>
      </w:r>
      <w:r>
        <w:t>O/46</w:t>
      </w:r>
      <w:r w:rsidRPr="000A4D17">
        <w:t>/26</w:t>
      </w:r>
      <w:r>
        <w:t>, TWF/44/26, TWV/47/26, TWC/31/26 and TWA/42/26 “Testing Uniformity of Apple Varieties Arising from Mutation”</w:t>
      </w:r>
      <w:r w:rsidRPr="000A4D17">
        <w:t>).</w:t>
      </w:r>
    </w:p>
    <w:p w:rsidR="00183337" w:rsidRDefault="00183337" w:rsidP="00183337"/>
    <w:p w:rsidR="00183337" w:rsidRDefault="00183337" w:rsidP="00183337"/>
    <w:p w:rsidR="00183337" w:rsidRDefault="00183337" w:rsidP="00183337">
      <w:pPr>
        <w:pStyle w:val="Heading2"/>
        <w:rPr>
          <w:rFonts w:eastAsia="MS Mincho"/>
          <w:lang w:eastAsia="ja-JP"/>
        </w:rPr>
      </w:pPr>
      <w:bookmarkStart w:id="15" w:name="_Toc380150998"/>
      <w:r w:rsidRPr="00FA78B5">
        <w:rPr>
          <w:rFonts w:eastAsia="MS Mincho"/>
          <w:lang w:eastAsia="ja-JP"/>
        </w:rPr>
        <w:t>Technical Working Party for Ornamental Plants and Forest Trees</w:t>
      </w:r>
      <w:bookmarkEnd w:id="15"/>
      <w:r w:rsidRPr="00FA78B5">
        <w:rPr>
          <w:rFonts w:eastAsia="MS Mincho"/>
          <w:lang w:eastAsia="ja-JP"/>
        </w:rPr>
        <w:t xml:space="preserve"> </w:t>
      </w:r>
    </w:p>
    <w:p w:rsidR="00183337" w:rsidRPr="00ED3415" w:rsidRDefault="00183337" w:rsidP="00183337">
      <w:pPr>
        <w:pStyle w:val="Heading2"/>
        <w:rPr>
          <w:rFonts w:eastAsia="MS Mincho"/>
          <w:lang w:eastAsia="ja-JP"/>
        </w:rPr>
      </w:pPr>
      <w:bookmarkStart w:id="16" w:name="_Toc380150999"/>
      <w:r w:rsidRPr="00ED3415">
        <w:rPr>
          <w:rFonts w:eastAsia="MS Mincho"/>
          <w:lang w:eastAsia="ja-JP"/>
        </w:rPr>
        <w:t xml:space="preserve">Technical Working Party </w:t>
      </w:r>
      <w:r w:rsidR="00AE4C05">
        <w:rPr>
          <w:rFonts w:eastAsia="MS Mincho"/>
          <w:lang w:eastAsia="ja-JP"/>
        </w:rPr>
        <w:t>for</w:t>
      </w:r>
      <w:r w:rsidRPr="00ED3415">
        <w:rPr>
          <w:rFonts w:eastAsia="MS Mincho"/>
          <w:lang w:eastAsia="ja-JP"/>
        </w:rPr>
        <w:t xml:space="preserve"> Fruit Crops</w:t>
      </w:r>
      <w:bookmarkEnd w:id="16"/>
      <w:r w:rsidRPr="00ED3415">
        <w:rPr>
          <w:rFonts w:eastAsia="MS Mincho"/>
          <w:lang w:eastAsia="ja-JP"/>
        </w:rPr>
        <w:t xml:space="preserve"> </w:t>
      </w:r>
    </w:p>
    <w:p w:rsidR="00183337" w:rsidRDefault="00183337" w:rsidP="00183337">
      <w:pPr>
        <w:rPr>
          <w:rFonts w:eastAsia="MS Mincho"/>
          <w:lang w:eastAsia="ja-JP"/>
        </w:rPr>
      </w:pPr>
    </w:p>
    <w:p w:rsidR="00183337" w:rsidRPr="00143E49" w:rsidRDefault="00183337" w:rsidP="00183337">
      <w:pPr>
        <w:rPr>
          <w:rFonts w:eastAsia="MS Mincho"/>
        </w:rPr>
      </w:pPr>
      <w:r>
        <w:fldChar w:fldCharType="begin"/>
      </w:r>
      <w:r>
        <w:instrText xml:space="preserve"> AUTONUM  </w:instrText>
      </w:r>
      <w:r>
        <w:fldChar w:fldCharType="end"/>
      </w:r>
      <w:r>
        <w:tab/>
      </w:r>
      <w:r w:rsidRPr="00143E49">
        <w:t xml:space="preserve">The TWO </w:t>
      </w:r>
      <w:r>
        <w:t xml:space="preserve">and the TWF </w:t>
      </w:r>
      <w:r w:rsidRPr="00143E49">
        <w:rPr>
          <w:rFonts w:eastAsia="MS Mincho"/>
        </w:rPr>
        <w:t>considered document</w:t>
      </w:r>
      <w:r>
        <w:rPr>
          <w:rFonts w:eastAsia="MS Mincho"/>
        </w:rPr>
        <w:t>s</w:t>
      </w:r>
      <w:r w:rsidRPr="00143E49">
        <w:rPr>
          <w:rFonts w:eastAsia="MS Mincho"/>
        </w:rPr>
        <w:t xml:space="preserve"> TWO/46/22 Rev. and </w:t>
      </w:r>
      <w:r>
        <w:rPr>
          <w:rFonts w:eastAsia="MS Mincho"/>
        </w:rPr>
        <w:t xml:space="preserve">TWF/44/22, respectively, and </w:t>
      </w:r>
      <w:r w:rsidRPr="00143E49">
        <w:rPr>
          <w:rFonts w:eastAsia="MS Mincho"/>
        </w:rPr>
        <w:t>noted that</w:t>
      </w:r>
      <w:r>
        <w:rPr>
          <w:rFonts w:eastAsia="MS Mincho"/>
        </w:rPr>
        <w:t xml:space="preserve"> </w:t>
      </w:r>
      <w:r w:rsidRPr="00100526">
        <w:rPr>
          <w:rFonts w:cs="Arial"/>
        </w:rPr>
        <w:t>(see document</w:t>
      </w:r>
      <w:r>
        <w:rPr>
          <w:rFonts w:cs="Arial"/>
        </w:rPr>
        <w:t>s</w:t>
      </w:r>
      <w:r w:rsidRPr="00100526">
        <w:rPr>
          <w:rFonts w:cs="Arial"/>
        </w:rPr>
        <w:t xml:space="preserve">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63, and TWF/44/31 “Report”, paragraph 61</w:t>
      </w:r>
      <w:r w:rsidRPr="00100526">
        <w:rPr>
          <w:rFonts w:cs="Arial"/>
        </w:rPr>
        <w:t>)</w:t>
      </w:r>
      <w:r w:rsidRPr="00143E49">
        <w:rPr>
          <w:rFonts w:eastAsia="MS Mincho"/>
        </w:rPr>
        <w:t>:</w:t>
      </w:r>
    </w:p>
    <w:p w:rsidR="00183337" w:rsidRPr="00143E49" w:rsidRDefault="00183337" w:rsidP="00183337">
      <w:pPr>
        <w:rPr>
          <w:rFonts w:eastAsia="MS Mincho"/>
        </w:rPr>
      </w:pPr>
    </w:p>
    <w:p w:rsidR="00183337" w:rsidRPr="00143E49" w:rsidRDefault="00183337" w:rsidP="00183337">
      <w:pPr>
        <w:numPr>
          <w:ilvl w:val="0"/>
          <w:numId w:val="3"/>
        </w:numPr>
        <w:ind w:left="0" w:firstLine="540"/>
      </w:pPr>
      <w:r w:rsidRPr="00143E49">
        <w:rPr>
          <w:rFonts w:eastAsia="MS Mincho"/>
        </w:rPr>
        <w:t>t</w:t>
      </w:r>
      <w:r w:rsidRPr="00143E49">
        <w:t xml:space="preserve">he TWC had agreed that more detailed information and further analysis were needed in order to give guidance on consequences on the use of the different approaches </w:t>
      </w:r>
      <w:r w:rsidRPr="00143E49">
        <w:rPr>
          <w:rFonts w:eastAsia="MS Mincho"/>
        </w:rPr>
        <w:t xml:space="preserve">presented in Annex I to IV of document TWO/46/22 Rev., and that </w:t>
      </w:r>
      <w:r w:rsidRPr="00143E49">
        <w:t>France, Germany and the Netherlands would present one or more concrete situations in their countries and the statistical basis of their analysis for its next session;</w:t>
      </w:r>
    </w:p>
    <w:p w:rsidR="00183337" w:rsidRPr="00143E49" w:rsidRDefault="00183337" w:rsidP="00183337">
      <w:pPr>
        <w:ind w:firstLine="540"/>
      </w:pPr>
    </w:p>
    <w:p w:rsidR="00183337" w:rsidRPr="00143E49" w:rsidRDefault="00183337" w:rsidP="00183337">
      <w:pPr>
        <w:numPr>
          <w:ilvl w:val="0"/>
          <w:numId w:val="3"/>
        </w:numPr>
        <w:ind w:left="0" w:firstLine="540"/>
        <w:rPr>
          <w:rFonts w:eastAsia="MS Mincho"/>
        </w:rPr>
      </w:pPr>
      <w:r w:rsidRPr="00143E49">
        <w:t>the TWC had agreed that the statistical basis for the acceptable number of off</w:t>
      </w:r>
      <w:r w:rsidRPr="00143E49">
        <w:noBreakHyphen/>
        <w:t>types in the subsample of 20 plants used in the context of a sample size of 100 plants (situation D) would be assessed by experts from France and Germany;  and</w:t>
      </w:r>
    </w:p>
    <w:p w:rsidR="00183337" w:rsidRPr="00143E49" w:rsidRDefault="00183337" w:rsidP="00183337">
      <w:pPr>
        <w:ind w:firstLine="540"/>
        <w:rPr>
          <w:rFonts w:eastAsia="MS Mincho"/>
        </w:rPr>
      </w:pPr>
    </w:p>
    <w:p w:rsidR="00183337" w:rsidRPr="00143E49" w:rsidRDefault="00183337" w:rsidP="00183337">
      <w:pPr>
        <w:ind w:firstLine="540"/>
        <w:rPr>
          <w:rFonts w:eastAsia="MS Mincho"/>
        </w:rPr>
      </w:pPr>
      <w:r w:rsidRPr="00143E49">
        <w:rPr>
          <w:rFonts w:eastAsia="MS Mincho"/>
        </w:rPr>
        <w:t>(c)</w:t>
      </w:r>
      <w:r w:rsidRPr="00143E49">
        <w:rPr>
          <w:rFonts w:eastAsia="MS Mincho"/>
        </w:rPr>
        <w:tab/>
        <w:t xml:space="preserve">with regard to </w:t>
      </w:r>
      <w:r w:rsidRPr="00143E49">
        <w:t xml:space="preserve">the approach combining the results from two growing cycles, as set out in Annexes I and II, Situation A and B, </w:t>
      </w:r>
      <w:r w:rsidRPr="00143E49">
        <w:rPr>
          <w:rFonts w:eastAsia="MS Mincho"/>
        </w:rPr>
        <w:t>t</w:t>
      </w:r>
      <w:r w:rsidRPr="00143E49">
        <w:t>he TC had agreed that care would be needed when considering results that were very different in each of the growing cycles, such as when a type of off-type was observed at a high level in one growing cycle and was absent in another growing cycle</w:t>
      </w:r>
      <w:r w:rsidRPr="00143E49">
        <w:rPr>
          <w:rFonts w:eastAsia="MS Mincho"/>
        </w:rPr>
        <w:t>.</w:t>
      </w:r>
    </w:p>
    <w:p w:rsidR="00183337" w:rsidRDefault="00183337" w:rsidP="00183337">
      <w:pPr>
        <w:rPr>
          <w:rFonts w:eastAsia="MS Mincho"/>
          <w:lang w:eastAsia="ja-JP"/>
        </w:rPr>
      </w:pPr>
    </w:p>
    <w:p w:rsidR="00183337" w:rsidRDefault="00183337" w:rsidP="00183337">
      <w:pPr>
        <w:rPr>
          <w:caps/>
        </w:rPr>
      </w:pPr>
    </w:p>
    <w:p w:rsidR="00183337" w:rsidRDefault="00183337" w:rsidP="00183337">
      <w:pPr>
        <w:pStyle w:val="Heading2"/>
        <w:rPr>
          <w:lang w:eastAsia="de-DE" w:bidi="de-DE"/>
        </w:rPr>
      </w:pPr>
      <w:bookmarkStart w:id="17" w:name="_Toc380151000"/>
      <w:r w:rsidRPr="001576B7">
        <w:rPr>
          <w:lang w:eastAsia="de-DE" w:bidi="de-DE"/>
        </w:rPr>
        <w:t>Technical Working Party for Vegetables</w:t>
      </w:r>
      <w:bookmarkEnd w:id="17"/>
      <w:r w:rsidRPr="001576B7">
        <w:rPr>
          <w:lang w:eastAsia="de-DE" w:bidi="de-DE"/>
        </w:rPr>
        <w:t xml:space="preserve"> </w:t>
      </w:r>
    </w:p>
    <w:p w:rsidR="00183337" w:rsidRDefault="00183337" w:rsidP="00183337">
      <w:pPr>
        <w:rPr>
          <w:caps/>
        </w:rPr>
      </w:pPr>
    </w:p>
    <w:p w:rsidR="00183337" w:rsidRPr="004B761D" w:rsidRDefault="00183337" w:rsidP="0018333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rFonts w:cs="Arial"/>
          <w:caps w:val="0"/>
        </w:rPr>
        <w:t xml:space="preserve">The TWV considered document </w:t>
      </w:r>
      <w:r w:rsidRPr="004B761D">
        <w:t>TWV/47/22</w:t>
      </w:r>
      <w:r w:rsidRPr="004B761D">
        <w:rPr>
          <w:rFonts w:cs="Arial"/>
          <w:caps w:val="0"/>
        </w:rPr>
        <w:t xml:space="preserve"> and noted that</w:t>
      </w:r>
      <w:r>
        <w:rPr>
          <w:rFonts w:cs="Arial"/>
          <w:caps w:val="0"/>
        </w:rPr>
        <w:t xml:space="preserve"> </w:t>
      </w:r>
      <w:r w:rsidRPr="00EA1A1B">
        <w:rPr>
          <w:rFonts w:cs="Arial"/>
          <w:caps w:val="0"/>
        </w:rPr>
        <w:t>(see documents TW</w:t>
      </w:r>
      <w:r>
        <w:rPr>
          <w:rFonts w:cs="Arial"/>
          <w:caps w:val="0"/>
        </w:rPr>
        <w:t>V</w:t>
      </w:r>
      <w:r w:rsidRPr="00EA1A1B">
        <w:rPr>
          <w:rFonts w:cs="Arial"/>
          <w:caps w:val="0"/>
        </w:rPr>
        <w:t>/</w:t>
      </w:r>
      <w:r>
        <w:rPr>
          <w:rFonts w:cs="Arial"/>
          <w:caps w:val="0"/>
        </w:rPr>
        <w:t>47</w:t>
      </w:r>
      <w:r w:rsidRPr="00EA1A1B">
        <w:rPr>
          <w:rFonts w:cs="Arial"/>
          <w:caps w:val="0"/>
        </w:rPr>
        <w:t>/</w:t>
      </w:r>
      <w:r>
        <w:rPr>
          <w:rFonts w:cs="Arial"/>
          <w:caps w:val="0"/>
        </w:rPr>
        <w:t>34</w:t>
      </w:r>
      <w:r w:rsidRPr="00EA1A1B">
        <w:rPr>
          <w:rFonts w:cs="Arial"/>
          <w:caps w:val="0"/>
        </w:rPr>
        <w:t xml:space="preserve"> “Report”, paragraph</w:t>
      </w:r>
      <w:r>
        <w:rPr>
          <w:rFonts w:cs="Arial"/>
          <w:caps w:val="0"/>
        </w:rPr>
        <w:t>s</w:t>
      </w:r>
      <w:r w:rsidRPr="00EA1A1B">
        <w:rPr>
          <w:rFonts w:cs="Arial"/>
          <w:caps w:val="0"/>
        </w:rPr>
        <w:t xml:space="preserve"> 6</w:t>
      </w:r>
      <w:r>
        <w:rPr>
          <w:rFonts w:cs="Arial"/>
          <w:caps w:val="0"/>
        </w:rPr>
        <w:t>2 to 64</w:t>
      </w:r>
      <w:r w:rsidRPr="00EA1A1B">
        <w:rPr>
          <w:rFonts w:cs="Arial"/>
          <w:caps w:val="0"/>
        </w:rPr>
        <w:t>)</w:t>
      </w:r>
      <w:r w:rsidRPr="004B761D">
        <w:rPr>
          <w:rFonts w:cs="Arial"/>
          <w:caps w:val="0"/>
        </w:rPr>
        <w:t>:</w:t>
      </w:r>
    </w:p>
    <w:p w:rsidR="00183337" w:rsidRPr="004B761D" w:rsidRDefault="00183337" w:rsidP="00183337">
      <w:pPr>
        <w:rPr>
          <w:rFonts w:eastAsia="MS Mincho"/>
        </w:rPr>
      </w:pPr>
    </w:p>
    <w:p w:rsidR="00183337" w:rsidRPr="004B761D" w:rsidRDefault="00183337" w:rsidP="00183337">
      <w:pPr>
        <w:ind w:firstLine="540"/>
      </w:pPr>
      <w:r w:rsidRPr="004B761D">
        <w:rPr>
          <w:rFonts w:eastAsia="MS Mincho"/>
        </w:rPr>
        <w:t>(a)</w:t>
      </w:r>
      <w:r w:rsidRPr="004B761D">
        <w:rPr>
          <w:rFonts w:eastAsia="MS Mincho"/>
        </w:rPr>
        <w:tab/>
        <w:t>t</w:t>
      </w:r>
      <w:r w:rsidRPr="004B761D">
        <w:t xml:space="preserve">he TWC had agreed that more detailed information and further analysis were needed in order to give guidance on consequences on the use of the different approaches </w:t>
      </w:r>
      <w:r w:rsidRPr="004B761D">
        <w:rPr>
          <w:rFonts w:eastAsia="MS Mincho"/>
        </w:rPr>
        <w:t xml:space="preserve">presented in Annex I to IV of document TWV/47/22, and that </w:t>
      </w:r>
      <w:r w:rsidRPr="004B761D">
        <w:t>France, Germany and the Netherlands would present one or more concrete situations in their countries and the statistical basis of their analysis for its next session;</w:t>
      </w:r>
    </w:p>
    <w:p w:rsidR="00183337" w:rsidRPr="004B761D" w:rsidRDefault="00183337" w:rsidP="00183337">
      <w:pPr>
        <w:ind w:firstLine="540"/>
      </w:pPr>
    </w:p>
    <w:p w:rsidR="00183337" w:rsidRPr="004B761D" w:rsidRDefault="00183337" w:rsidP="00183337">
      <w:pPr>
        <w:ind w:firstLine="540"/>
        <w:rPr>
          <w:rFonts w:eastAsia="MS Mincho"/>
        </w:rPr>
      </w:pPr>
      <w:r w:rsidRPr="004B761D">
        <w:t>(b)</w:t>
      </w:r>
      <w:r w:rsidRPr="004B761D">
        <w:tab/>
      </w:r>
      <w:proofErr w:type="gramStart"/>
      <w:r w:rsidRPr="004B761D">
        <w:t>the</w:t>
      </w:r>
      <w:proofErr w:type="gramEnd"/>
      <w:r w:rsidRPr="004B761D">
        <w:t xml:space="preserve"> TWC had agreed that the statistical basis for the acceptable number of off</w:t>
      </w:r>
      <w:r w:rsidRPr="004B761D">
        <w:noBreakHyphen/>
        <w:t>types in the subsample of 20 plants used in the context of a sample size of 100 plants (situation D) would be assessed by experts from France and Germany;  and</w:t>
      </w:r>
    </w:p>
    <w:p w:rsidR="00183337" w:rsidRPr="004B761D" w:rsidRDefault="00183337" w:rsidP="00183337">
      <w:pPr>
        <w:ind w:firstLine="540"/>
        <w:rPr>
          <w:rFonts w:eastAsia="MS Mincho"/>
        </w:rPr>
      </w:pPr>
    </w:p>
    <w:p w:rsidR="00183337" w:rsidRPr="004B761D" w:rsidRDefault="00183337" w:rsidP="00183337">
      <w:pPr>
        <w:ind w:firstLine="540"/>
        <w:rPr>
          <w:rFonts w:eastAsia="MS Mincho"/>
        </w:rPr>
      </w:pPr>
      <w:r w:rsidRPr="004B761D">
        <w:rPr>
          <w:rFonts w:eastAsia="MS Mincho"/>
        </w:rPr>
        <w:t>(c)</w:t>
      </w:r>
      <w:r w:rsidRPr="004B761D">
        <w:rPr>
          <w:rFonts w:eastAsia="MS Mincho"/>
        </w:rPr>
        <w:tab/>
        <w:t xml:space="preserve">with regard to </w:t>
      </w:r>
      <w:r w:rsidRPr="004B761D">
        <w:t xml:space="preserve">the approach combining the results from two growing cycles, as set out in Annexes I and II of document TWV/47/22, Situation A and B, </w:t>
      </w:r>
      <w:r w:rsidRPr="004B761D">
        <w:rPr>
          <w:rFonts w:eastAsia="MS Mincho"/>
        </w:rPr>
        <w:t>t</w:t>
      </w:r>
      <w:r w:rsidRPr="004B761D">
        <w:t>he TC had agreed that care would be needed when considering results that were very different in each of the growing cycles, such as when a type of off</w:t>
      </w:r>
      <w:r w:rsidRPr="004B761D">
        <w:noBreakHyphen/>
        <w:t>type was observed at a high level in one growing cycle and was absent in another growing cycle</w:t>
      </w:r>
      <w:r w:rsidRPr="004B761D">
        <w:rPr>
          <w:rFonts w:eastAsia="MS Mincho"/>
        </w:rPr>
        <w:t>.</w:t>
      </w:r>
    </w:p>
    <w:p w:rsidR="00183337" w:rsidRPr="004B761D" w:rsidRDefault="00183337" w:rsidP="00183337">
      <w:pPr>
        <w:ind w:firstLine="540"/>
        <w:rPr>
          <w:rFonts w:eastAsia="MS Mincho"/>
        </w:rPr>
      </w:pPr>
    </w:p>
    <w:p w:rsidR="00183337" w:rsidRPr="00700478" w:rsidRDefault="00183337" w:rsidP="00183337">
      <w:pPr>
        <w:pStyle w:val="Titleofdoc0"/>
        <w:spacing w:before="0"/>
        <w:jc w:val="both"/>
        <w:rPr>
          <w:caps w:val="0"/>
        </w:rPr>
      </w:pPr>
      <w:r w:rsidRPr="004B761D">
        <w:fldChar w:fldCharType="begin"/>
      </w:r>
      <w:r w:rsidRPr="004B761D">
        <w:instrText xml:space="preserve"> AUTONUM  </w:instrText>
      </w:r>
      <w:r w:rsidRPr="004B761D">
        <w:fldChar w:fldCharType="end"/>
      </w:r>
      <w:r w:rsidRPr="004B761D">
        <w:tab/>
        <w:t>T</w:t>
      </w:r>
      <w:r w:rsidRPr="004B761D">
        <w:rPr>
          <w:caps w:val="0"/>
        </w:rPr>
        <w:t xml:space="preserve">he TWV noted that with regard to </w:t>
      </w:r>
      <w:r w:rsidRPr="00700478">
        <w:rPr>
          <w:caps w:val="0"/>
        </w:rPr>
        <w:t>the situation B, as set out in Annex II of document TWV/47/22, the expert from France indicated that France was now considering each cycle to be independent and was no longer combining the results of two locations, therefore the reference to France and cauliflower was no longer appropriate and that the text should be amended as follows:</w:t>
      </w:r>
    </w:p>
    <w:p w:rsidR="00E5345F" w:rsidRDefault="00E5345F">
      <w:pPr>
        <w:jc w:val="left"/>
      </w:pPr>
    </w:p>
    <w:p w:rsidR="00183337" w:rsidRPr="00700478" w:rsidRDefault="00183337" w:rsidP="00183337">
      <w:pPr>
        <w:pStyle w:val="Titleofdoc0"/>
        <w:spacing w:before="0"/>
        <w:jc w:val="both"/>
        <w:rPr>
          <w:caps w:val="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552754" w:rsidTr="00183337">
        <w:trPr>
          <w:trHeight w:val="404"/>
        </w:trPr>
        <w:tc>
          <w:tcPr>
            <w:tcW w:w="9889" w:type="dxa"/>
          </w:tcPr>
          <w:p w:rsidR="00183337" w:rsidRPr="00552754" w:rsidRDefault="00183337" w:rsidP="003941D8">
            <w:pPr>
              <w:keepNext/>
              <w:autoSpaceDE w:val="0"/>
              <w:autoSpaceDN w:val="0"/>
              <w:adjustRightInd w:val="0"/>
              <w:spacing w:before="120" w:after="120"/>
              <w:jc w:val="center"/>
              <w:rPr>
                <w:rFonts w:eastAsia="SimSun"/>
                <w:sz w:val="18"/>
                <w:szCs w:val="18"/>
                <w:lang w:eastAsia="zh-CN"/>
              </w:rPr>
            </w:pPr>
            <w:r w:rsidRPr="00700478">
              <w:rPr>
                <w:rFonts w:eastAsia="SimSun"/>
                <w:sz w:val="18"/>
                <w:szCs w:val="18"/>
                <w:lang w:eastAsia="zh-CN"/>
              </w:rPr>
              <w:t>SITUATION B: TWO GROWING LOCATIONS IN THE SAME YEAR</w:t>
            </w:r>
          </w:p>
        </w:tc>
      </w:tr>
      <w:tr w:rsidR="00183337" w:rsidRPr="00552754" w:rsidTr="00183337">
        <w:trPr>
          <w:trHeight w:val="2880"/>
        </w:trPr>
        <w:tc>
          <w:tcPr>
            <w:tcW w:w="9889" w:type="dxa"/>
            <w:tcBorders>
              <w:bottom w:val="single" w:sz="4" w:space="0" w:color="auto"/>
            </w:tcBorders>
          </w:tcPr>
          <w:p w:rsidR="00183337" w:rsidRPr="00552754" w:rsidRDefault="00183337" w:rsidP="003941D8">
            <w:pPr>
              <w:keepNext/>
              <w:ind w:left="567" w:right="601"/>
              <w:rPr>
                <w:b/>
                <w:sz w:val="18"/>
                <w:szCs w:val="18"/>
              </w:rPr>
            </w:pPr>
          </w:p>
          <w:p w:rsidR="00183337" w:rsidRPr="00552754" w:rsidRDefault="00183337" w:rsidP="003941D8">
            <w:pPr>
              <w:keepNext/>
              <w:ind w:left="567" w:right="601"/>
              <w:rPr>
                <w:b/>
                <w:sz w:val="18"/>
                <w:szCs w:val="18"/>
              </w:rPr>
            </w:pPr>
            <w:r w:rsidRPr="00552754">
              <w:rPr>
                <w:b/>
                <w:sz w:val="18"/>
                <w:szCs w:val="18"/>
              </w:rPr>
              <w:t xml:space="preserve">Approach: Third growing cycle for inconsistent results </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ind w:left="567" w:right="601"/>
              <w:rPr>
                <w:rFonts w:eastAsia="SimSun"/>
                <w:sz w:val="18"/>
                <w:szCs w:val="18"/>
                <w:lang w:eastAsia="zh-CN"/>
              </w:rPr>
            </w:pPr>
            <w:r w:rsidRPr="00552754">
              <w:rPr>
                <w:rFonts w:eastAsia="SimSun"/>
                <w:sz w:val="18"/>
                <w:szCs w:val="18"/>
                <w:lang w:eastAsia="zh-CN"/>
              </w:rPr>
              <w:t>A variety is considered uniform if it is within the uniformity standard in both of the growing locations.</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ind w:left="567" w:right="601"/>
              <w:rPr>
                <w:rFonts w:eastAsia="SimSun"/>
                <w:sz w:val="18"/>
                <w:szCs w:val="18"/>
                <w:lang w:eastAsia="zh-CN"/>
              </w:rPr>
            </w:pPr>
            <w:r w:rsidRPr="00552754">
              <w:rPr>
                <w:rFonts w:eastAsia="SimSun"/>
                <w:sz w:val="18"/>
                <w:szCs w:val="18"/>
                <w:lang w:eastAsia="zh-CN"/>
              </w:rPr>
              <w:t>A variety is considered non-uniform if it fails to meet the uniformity standard in both of the growing locations.</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keepLines/>
              <w:ind w:left="567" w:right="601"/>
              <w:rPr>
                <w:rFonts w:eastAsia="SimSun"/>
                <w:sz w:val="18"/>
                <w:szCs w:val="18"/>
                <w:lang w:eastAsia="zh-CN"/>
              </w:rPr>
            </w:pPr>
            <w:r w:rsidRPr="00552754">
              <w:rPr>
                <w:rFonts w:eastAsia="SimSun"/>
                <w:sz w:val="18"/>
                <w:szCs w:val="18"/>
                <w:lang w:eastAsia="zh-CN"/>
              </w:rPr>
              <w:t xml:space="preserve">If the variety is within the uniformity standard in one growing location but is not within the uniformity standard in the other growing location, then </w:t>
            </w:r>
          </w:p>
          <w:p w:rsidR="00183337" w:rsidRPr="00552754" w:rsidRDefault="00183337" w:rsidP="003941D8">
            <w:pPr>
              <w:keepNext/>
              <w:keepLines/>
              <w:ind w:left="567" w:right="601"/>
              <w:rPr>
                <w:rFonts w:eastAsia="SimSun"/>
                <w:sz w:val="18"/>
                <w:szCs w:val="18"/>
                <w:lang w:eastAsia="zh-CN"/>
              </w:rPr>
            </w:pPr>
          </w:p>
          <w:p w:rsidR="00183337" w:rsidRPr="00552754" w:rsidRDefault="00183337" w:rsidP="003941D8">
            <w:pPr>
              <w:keepNext/>
              <w:keepLines/>
              <w:ind w:left="567" w:right="601"/>
              <w:rPr>
                <w:rFonts w:eastAsia="SimSun"/>
                <w:sz w:val="18"/>
                <w:szCs w:val="18"/>
                <w:lang w:eastAsia="zh-CN"/>
              </w:rPr>
            </w:pPr>
            <w:r w:rsidRPr="00552754">
              <w:rPr>
                <w:rFonts w:eastAsia="SimSun"/>
                <w:sz w:val="18"/>
                <w:szCs w:val="18"/>
                <w:lang w:eastAsia="zh-CN"/>
              </w:rPr>
              <w:t>Alternative (a)</w:t>
            </w:r>
            <w:r w:rsidRPr="00552754">
              <w:rPr>
                <w:rFonts w:eastAsia="SimSun"/>
                <w:sz w:val="18"/>
                <w:szCs w:val="18"/>
                <w:lang w:eastAsia="zh-CN"/>
              </w:rPr>
              <w:tab/>
            </w:r>
            <w:r w:rsidR="00604292">
              <w:rPr>
                <w:rFonts w:eastAsia="SimSun"/>
                <w:sz w:val="18"/>
                <w:szCs w:val="18"/>
                <w:lang w:eastAsia="zh-CN"/>
              </w:rPr>
              <w:t xml:space="preserve"> </w:t>
            </w:r>
            <w:r w:rsidRPr="00552754">
              <w:rPr>
                <w:rFonts w:eastAsia="SimSun"/>
                <w:sz w:val="18"/>
                <w:szCs w:val="18"/>
                <w:lang w:eastAsia="zh-CN"/>
              </w:rPr>
              <w:t>the trial is repeated at both locations for a second year;</w:t>
            </w:r>
          </w:p>
          <w:p w:rsidR="00183337" w:rsidRPr="00552754" w:rsidRDefault="00183337" w:rsidP="003941D8">
            <w:pPr>
              <w:keepNext/>
              <w:keepLines/>
              <w:ind w:left="567" w:right="601"/>
              <w:rPr>
                <w:rFonts w:eastAsia="SimSun"/>
                <w:sz w:val="18"/>
                <w:szCs w:val="18"/>
                <w:lang w:eastAsia="zh-CN"/>
              </w:rPr>
            </w:pPr>
          </w:p>
          <w:p w:rsidR="00183337" w:rsidRPr="00552754" w:rsidRDefault="00183337" w:rsidP="003941D8">
            <w:pPr>
              <w:keepNext/>
              <w:keepLines/>
              <w:ind w:left="567" w:right="601"/>
              <w:rPr>
                <w:rFonts w:eastAsia="SimSun"/>
                <w:sz w:val="18"/>
                <w:szCs w:val="18"/>
                <w:lang w:eastAsia="zh-CN"/>
              </w:rPr>
            </w:pPr>
            <w:r w:rsidRPr="00552754">
              <w:rPr>
                <w:rFonts w:eastAsia="SimSun"/>
                <w:sz w:val="18"/>
                <w:szCs w:val="18"/>
                <w:lang w:eastAsia="zh-CN"/>
              </w:rPr>
              <w:t>Alternative (b)</w:t>
            </w:r>
            <w:r w:rsidR="00604292">
              <w:rPr>
                <w:rFonts w:eastAsia="SimSun"/>
                <w:sz w:val="18"/>
                <w:szCs w:val="18"/>
                <w:lang w:eastAsia="zh-CN"/>
              </w:rPr>
              <w:t xml:space="preserve"> </w:t>
            </w:r>
            <w:r w:rsidRPr="00552754">
              <w:rPr>
                <w:rFonts w:eastAsia="SimSun"/>
                <w:sz w:val="18"/>
                <w:szCs w:val="18"/>
                <w:lang w:eastAsia="zh-CN"/>
              </w:rPr>
              <w:t>the trial is repeated at the Leading station (location)</w:t>
            </w:r>
          </w:p>
          <w:p w:rsidR="00183337" w:rsidRPr="00552754" w:rsidRDefault="00183337" w:rsidP="003941D8">
            <w:pPr>
              <w:keepNext/>
              <w:keepLines/>
              <w:ind w:left="567" w:right="601"/>
              <w:rPr>
                <w:rFonts w:eastAsia="MS Mincho"/>
                <w:color w:val="000000"/>
                <w:sz w:val="18"/>
                <w:szCs w:val="18"/>
                <w:lang w:eastAsia="ja-JP"/>
              </w:rPr>
            </w:pPr>
            <w:r w:rsidRPr="00552754">
              <w:rPr>
                <w:sz w:val="18"/>
                <w:szCs w:val="18"/>
              </w:rPr>
              <w:t>(</w:t>
            </w:r>
            <w:r w:rsidRPr="00552754">
              <w:rPr>
                <w:rFonts w:eastAsia="MS Mincho"/>
                <w:color w:val="000000"/>
                <w:sz w:val="18"/>
                <w:szCs w:val="18"/>
                <w:lang w:eastAsia="ja-JP"/>
              </w:rPr>
              <w:t>European Union</w:t>
            </w:r>
            <w:r w:rsidR="00604292">
              <w:rPr>
                <w:rFonts w:eastAsia="MS Mincho"/>
                <w:color w:val="000000"/>
                <w:sz w:val="18"/>
                <w:szCs w:val="18"/>
                <w:lang w:eastAsia="ja-JP"/>
              </w:rPr>
              <w:t xml:space="preserve"> </w:t>
            </w:r>
            <w:r w:rsidRPr="00552754">
              <w:rPr>
                <w:rFonts w:eastAsia="MS Mincho"/>
                <w:color w:val="000000"/>
                <w:sz w:val="18"/>
                <w:szCs w:val="18"/>
                <w:lang w:eastAsia="ja-JP"/>
              </w:rPr>
              <w:t>(</w:t>
            </w:r>
            <w:r w:rsidRPr="00552754">
              <w:rPr>
                <w:sz w:val="18"/>
                <w:szCs w:val="18"/>
              </w:rPr>
              <w:t>Cauliflower)</w:t>
            </w:r>
            <w:r w:rsidRPr="00552754">
              <w:rPr>
                <w:rFonts w:eastAsia="MS Mincho"/>
                <w:color w:val="000000"/>
                <w:sz w:val="18"/>
                <w:szCs w:val="18"/>
                <w:lang w:eastAsia="ja-JP"/>
              </w:rPr>
              <w:t>)</w:t>
            </w:r>
          </w:p>
          <w:p w:rsidR="00183337" w:rsidRPr="00552754" w:rsidRDefault="00183337" w:rsidP="003941D8">
            <w:pPr>
              <w:keepNext/>
              <w:keepLines/>
              <w:ind w:left="567" w:right="601"/>
              <w:rPr>
                <w:b/>
                <w:sz w:val="18"/>
                <w:szCs w:val="18"/>
              </w:rPr>
            </w:pPr>
          </w:p>
          <w:p w:rsidR="00183337" w:rsidRPr="00552754" w:rsidRDefault="00183337" w:rsidP="003941D8">
            <w:pPr>
              <w:keepNext/>
              <w:ind w:left="567" w:right="601"/>
              <w:rPr>
                <w:rFonts w:eastAsia="SimSun"/>
                <w:b/>
                <w:sz w:val="18"/>
                <w:szCs w:val="18"/>
                <w:lang w:eastAsia="zh-CN"/>
              </w:rPr>
            </w:pPr>
            <w:r w:rsidRPr="00552754">
              <w:rPr>
                <w:b/>
                <w:sz w:val="18"/>
                <w:szCs w:val="18"/>
              </w:rPr>
              <w:t xml:space="preserve">Approach: </w:t>
            </w:r>
            <w:r w:rsidRPr="00552754">
              <w:rPr>
                <w:rFonts w:eastAsia="SimSun"/>
                <w:b/>
                <w:sz w:val="18"/>
                <w:szCs w:val="18"/>
                <w:lang w:eastAsia="zh-CN"/>
              </w:rPr>
              <w:t xml:space="preserve">Combining the results of two locations </w:t>
            </w:r>
          </w:p>
          <w:p w:rsidR="00183337" w:rsidRDefault="00183337" w:rsidP="003941D8">
            <w:pPr>
              <w:keepNext/>
              <w:ind w:left="567" w:right="601"/>
              <w:rPr>
                <w:rFonts w:eastAsia="SimSun"/>
                <w:b/>
                <w:sz w:val="18"/>
                <w:szCs w:val="18"/>
                <w:lang w:eastAsia="zh-CN"/>
              </w:rPr>
            </w:pPr>
          </w:p>
          <w:p w:rsidR="00183337" w:rsidRPr="00BD2498" w:rsidRDefault="00183337" w:rsidP="003941D8">
            <w:pPr>
              <w:keepNext/>
              <w:ind w:left="567" w:right="601"/>
              <w:rPr>
                <w:rFonts w:eastAsia="SimSun"/>
                <w:strike/>
                <w:sz w:val="18"/>
                <w:szCs w:val="18"/>
                <w:u w:val="single"/>
                <w:lang w:eastAsia="zh-CN"/>
              </w:rPr>
            </w:pPr>
            <w:r w:rsidRPr="00BD2498">
              <w:rPr>
                <w:rFonts w:eastAsia="SimSun"/>
                <w:strike/>
                <w:sz w:val="18"/>
                <w:szCs w:val="18"/>
                <w:highlight w:val="lightGray"/>
                <w:u w:val="single"/>
                <w:lang w:eastAsia="zh-CN"/>
              </w:rPr>
              <w:t>(France (Cauliflower))</w:t>
            </w:r>
          </w:p>
          <w:p w:rsidR="00183337" w:rsidRPr="00552754" w:rsidRDefault="00183337" w:rsidP="003941D8">
            <w:pPr>
              <w:keepNext/>
              <w:ind w:left="567" w:right="601"/>
              <w:rPr>
                <w:rFonts w:eastAsia="SimSun"/>
                <w:b/>
                <w:sz w:val="18"/>
                <w:szCs w:val="18"/>
                <w:lang w:eastAsia="zh-CN"/>
              </w:rPr>
            </w:pPr>
          </w:p>
          <w:p w:rsidR="00183337" w:rsidRPr="00552754" w:rsidRDefault="00183337" w:rsidP="003941D8">
            <w:pPr>
              <w:keepNext/>
              <w:ind w:left="567" w:right="601"/>
              <w:rPr>
                <w:rFonts w:eastAsia="SimSun"/>
                <w:sz w:val="18"/>
                <w:szCs w:val="18"/>
                <w:lang w:eastAsia="zh-CN"/>
              </w:rPr>
            </w:pPr>
            <w:r w:rsidRPr="00552754">
              <w:rPr>
                <w:rFonts w:eastAsia="SimSun"/>
                <w:sz w:val="18"/>
                <w:szCs w:val="18"/>
                <w:lang w:eastAsia="zh-CN"/>
              </w:rPr>
              <w:t>A variety is considered uniform if it is within the uniformity standard in both locations.</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keepLines/>
              <w:tabs>
                <w:tab w:val="left" w:pos="1985"/>
              </w:tabs>
              <w:ind w:left="567" w:right="601"/>
              <w:rPr>
                <w:rFonts w:eastAsia="SimSun"/>
                <w:sz w:val="18"/>
                <w:szCs w:val="18"/>
                <w:lang w:eastAsia="zh-CN"/>
              </w:rPr>
            </w:pPr>
            <w:r w:rsidRPr="00552754">
              <w:rPr>
                <w:rFonts w:eastAsia="SimSun"/>
                <w:sz w:val="18"/>
                <w:szCs w:val="18"/>
                <w:lang w:eastAsia="zh-CN"/>
              </w:rPr>
              <w:t>A variety is considered non-uniform if it fails to meet the uniformity standard in both locations.</w:t>
            </w:r>
          </w:p>
          <w:p w:rsidR="00183337" w:rsidRPr="00552754" w:rsidRDefault="00183337" w:rsidP="003941D8">
            <w:pPr>
              <w:keepNext/>
              <w:keepLines/>
              <w:tabs>
                <w:tab w:val="left" w:pos="1985"/>
              </w:tabs>
              <w:ind w:left="567" w:right="601"/>
              <w:rPr>
                <w:rFonts w:eastAsia="SimSun"/>
                <w:sz w:val="18"/>
                <w:szCs w:val="18"/>
                <w:lang w:eastAsia="zh-CN"/>
              </w:rPr>
            </w:pPr>
          </w:p>
          <w:p w:rsidR="00183337" w:rsidRPr="00552754" w:rsidRDefault="00183337" w:rsidP="003941D8">
            <w:pPr>
              <w:keepNext/>
              <w:ind w:left="567" w:right="601"/>
              <w:rPr>
                <w:rFonts w:eastAsia="SimSun"/>
                <w:sz w:val="18"/>
                <w:szCs w:val="18"/>
                <w:lang w:eastAsia="zh-CN"/>
              </w:rPr>
            </w:pPr>
            <w:r w:rsidRPr="00552754">
              <w:rPr>
                <w:rFonts w:eastAsia="SimSun"/>
                <w:sz w:val="18"/>
                <w:szCs w:val="18"/>
                <w:lang w:eastAsia="zh-CN"/>
              </w:rPr>
              <w:t xml:space="preserve">A variety is considered </w:t>
            </w:r>
            <w:r w:rsidRPr="00552754">
              <w:rPr>
                <w:sz w:val="18"/>
                <w:szCs w:val="18"/>
              </w:rPr>
              <w:t xml:space="preserve">within the uniformity standard if </w:t>
            </w:r>
            <w:r w:rsidRPr="00552754">
              <w:rPr>
                <w:rFonts w:eastAsia="SimSun"/>
                <w:sz w:val="18"/>
                <w:szCs w:val="18"/>
                <w:lang w:eastAsia="zh-CN"/>
              </w:rPr>
              <w:t>the number of off-type plants or parts of plants does not exceed the allowed number of off-types for the combined sample (two locations).</w:t>
            </w:r>
          </w:p>
          <w:p w:rsidR="00183337" w:rsidRPr="00552754" w:rsidRDefault="00183337" w:rsidP="003941D8">
            <w:pPr>
              <w:keepNext/>
              <w:ind w:left="567" w:right="601"/>
              <w:rPr>
                <w:rFonts w:eastAsia="SimSun"/>
                <w:sz w:val="18"/>
                <w:szCs w:val="18"/>
                <w:lang w:eastAsia="zh-CN"/>
              </w:rPr>
            </w:pPr>
          </w:p>
          <w:p w:rsidR="00183337" w:rsidRPr="00552754" w:rsidRDefault="00183337" w:rsidP="003941D8">
            <w:pPr>
              <w:keepNext/>
              <w:ind w:left="567" w:right="601"/>
              <w:rPr>
                <w:sz w:val="18"/>
                <w:szCs w:val="18"/>
              </w:rPr>
            </w:pPr>
          </w:p>
        </w:tc>
      </w:tr>
    </w:tbl>
    <w:p w:rsidR="00183337" w:rsidRDefault="00183337" w:rsidP="00183337">
      <w:pPr>
        <w:pStyle w:val="Titleofdoc0"/>
        <w:spacing w:before="0"/>
        <w:jc w:val="both"/>
        <w:rPr>
          <w:rFonts w:cs="Arial"/>
          <w:caps w:val="0"/>
        </w:rPr>
      </w:pPr>
    </w:p>
    <w:p w:rsidR="00183337" w:rsidRPr="00700478" w:rsidRDefault="00183337" w:rsidP="00183337">
      <w:pPr>
        <w:pStyle w:val="Titleofdoc0"/>
        <w:spacing w:before="0"/>
        <w:jc w:val="both"/>
        <w:rPr>
          <w:caps w:val="0"/>
        </w:rPr>
      </w:pPr>
      <w:r w:rsidRPr="00700478">
        <w:fldChar w:fldCharType="begin"/>
      </w:r>
      <w:r w:rsidRPr="00700478">
        <w:instrText xml:space="preserve"> AUTONUM  </w:instrText>
      </w:r>
      <w:r w:rsidRPr="00700478">
        <w:fldChar w:fldCharType="end"/>
      </w:r>
      <w:r w:rsidRPr="00700478">
        <w:tab/>
        <w:t>T</w:t>
      </w:r>
      <w:r w:rsidRPr="00700478">
        <w:rPr>
          <w:caps w:val="0"/>
        </w:rPr>
        <w:t>he TWV agreed that the preferred approach, for the assessment of uniformity for vegetables, was to use the individual results rather than the combined results and requested the TWC to consider the following example when considering the different approaches:</w:t>
      </w:r>
    </w:p>
    <w:p w:rsidR="00183337" w:rsidRPr="00700478" w:rsidRDefault="00183337" w:rsidP="00183337">
      <w:pPr>
        <w:pStyle w:val="Titleofdoc0"/>
        <w:spacing w:before="0"/>
        <w:jc w:val="both"/>
        <w:rPr>
          <w:caps w:val="0"/>
        </w:rPr>
      </w:pPr>
    </w:p>
    <w:p w:rsidR="00183337" w:rsidRPr="00700478" w:rsidRDefault="00183337" w:rsidP="00183337">
      <w:pPr>
        <w:pStyle w:val="Titleofdoc0"/>
        <w:spacing w:before="0"/>
        <w:ind w:left="567"/>
        <w:jc w:val="both"/>
        <w:rPr>
          <w:caps w:val="0"/>
        </w:rPr>
      </w:pPr>
      <w:r w:rsidRPr="00700478">
        <w:rPr>
          <w:caps w:val="0"/>
        </w:rPr>
        <w:t xml:space="preserve">Trial 1: 50 plants / 2 off-types </w:t>
      </w:r>
      <w:r w:rsidRPr="00700478">
        <w:rPr>
          <w:caps w:val="0"/>
        </w:rPr>
        <w:tab/>
      </w:r>
      <w:r w:rsidRPr="00700478">
        <w:rPr>
          <w:caps w:val="0"/>
        </w:rPr>
        <w:tab/>
      </w:r>
      <w:r w:rsidRPr="00700478">
        <w:rPr>
          <w:rFonts w:cs="Arial"/>
          <w:caps w:val="0"/>
        </w:rPr>
        <w:t>→</w:t>
      </w:r>
      <w:r w:rsidRPr="00700478">
        <w:rPr>
          <w:caps w:val="0"/>
        </w:rPr>
        <w:tab/>
        <w:t>the variety is considered uniform</w:t>
      </w:r>
    </w:p>
    <w:p w:rsidR="00183337" w:rsidRPr="00700478" w:rsidRDefault="00183337" w:rsidP="0018333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183337" w:rsidRPr="00700478" w:rsidRDefault="00183337" w:rsidP="00183337">
      <w:pPr>
        <w:pStyle w:val="Titleofdoc0"/>
        <w:spacing w:before="0"/>
        <w:ind w:left="567"/>
        <w:jc w:val="both"/>
        <w:rPr>
          <w:caps w:val="0"/>
        </w:rPr>
      </w:pPr>
    </w:p>
    <w:p w:rsidR="00183337" w:rsidRPr="00700478" w:rsidRDefault="00183337" w:rsidP="00183337">
      <w:pPr>
        <w:pStyle w:val="Titleofdoc0"/>
        <w:spacing w:before="0"/>
        <w:ind w:left="567"/>
        <w:jc w:val="both"/>
        <w:rPr>
          <w:caps w:val="0"/>
        </w:rPr>
      </w:pPr>
      <w:r w:rsidRPr="00700478">
        <w:rPr>
          <w:caps w:val="0"/>
        </w:rPr>
        <w:t xml:space="preserve">Trial 2: 50 plants / 2 off-types </w:t>
      </w:r>
      <w:r w:rsidRPr="00700478">
        <w:rPr>
          <w:caps w:val="0"/>
        </w:rPr>
        <w:tab/>
      </w:r>
      <w:r w:rsidRPr="00700478">
        <w:rPr>
          <w:caps w:val="0"/>
        </w:rPr>
        <w:tab/>
      </w:r>
      <w:r w:rsidRPr="00700478">
        <w:rPr>
          <w:rFonts w:cs="Arial"/>
          <w:caps w:val="0"/>
        </w:rPr>
        <w:t>→</w:t>
      </w:r>
      <w:r w:rsidRPr="00700478">
        <w:rPr>
          <w:caps w:val="0"/>
        </w:rPr>
        <w:t xml:space="preserve"> </w:t>
      </w:r>
      <w:r w:rsidRPr="00700478">
        <w:rPr>
          <w:caps w:val="0"/>
        </w:rPr>
        <w:tab/>
        <w:t>the variety is considered uniform</w:t>
      </w:r>
    </w:p>
    <w:p w:rsidR="00183337" w:rsidRPr="00700478" w:rsidRDefault="00183337" w:rsidP="0018333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36 to 82 plants)</w:t>
      </w:r>
    </w:p>
    <w:p w:rsidR="00183337" w:rsidRPr="00700478" w:rsidRDefault="00183337" w:rsidP="00183337">
      <w:pPr>
        <w:pStyle w:val="Titleofdoc0"/>
        <w:spacing w:before="0"/>
        <w:jc w:val="both"/>
        <w:rPr>
          <w:caps w:val="0"/>
        </w:rPr>
      </w:pPr>
    </w:p>
    <w:p w:rsidR="00183337" w:rsidRPr="00700478" w:rsidRDefault="00183337" w:rsidP="00183337">
      <w:pPr>
        <w:pStyle w:val="Titleofdoc0"/>
        <w:spacing w:before="0"/>
        <w:ind w:left="567"/>
        <w:jc w:val="both"/>
        <w:rPr>
          <w:caps w:val="0"/>
        </w:rPr>
      </w:pPr>
      <w:r w:rsidRPr="00700478">
        <w:rPr>
          <w:caps w:val="0"/>
        </w:rPr>
        <w:t>Trial 1+2: 100 plants/ 4 off-types</w:t>
      </w:r>
      <w:r w:rsidRPr="00700478">
        <w:rPr>
          <w:caps w:val="0"/>
        </w:rPr>
        <w:tab/>
      </w:r>
      <w:r w:rsidRPr="00700478">
        <w:rPr>
          <w:rFonts w:cs="Arial"/>
          <w:caps w:val="0"/>
        </w:rPr>
        <w:t>→</w:t>
      </w:r>
      <w:r w:rsidRPr="00700478">
        <w:rPr>
          <w:caps w:val="0"/>
        </w:rPr>
        <w:t xml:space="preserve"> </w:t>
      </w:r>
      <w:r w:rsidRPr="00700478">
        <w:rPr>
          <w:caps w:val="0"/>
        </w:rPr>
        <w:tab/>
        <w:t>the variety is considered non-uniform</w:t>
      </w:r>
    </w:p>
    <w:p w:rsidR="00183337" w:rsidRPr="00700478" w:rsidRDefault="00183337" w:rsidP="00183337">
      <w:pPr>
        <w:pStyle w:val="Titleofdoc0"/>
        <w:spacing w:before="0"/>
        <w:ind w:left="567"/>
        <w:jc w:val="both"/>
        <w:rPr>
          <w:caps w:val="0"/>
        </w:rPr>
      </w:pPr>
      <w:r w:rsidRPr="00700478">
        <w:rPr>
          <w:caps w:val="0"/>
        </w:rPr>
        <w:t>(</w:t>
      </w:r>
      <w:proofErr w:type="gramStart"/>
      <w:r w:rsidRPr="00700478">
        <w:rPr>
          <w:caps w:val="0"/>
        </w:rPr>
        <w:t>based</w:t>
      </w:r>
      <w:proofErr w:type="gramEnd"/>
      <w:r w:rsidRPr="00700478">
        <w:rPr>
          <w:caps w:val="0"/>
        </w:rPr>
        <w:t xml:space="preserve"> on a population standard of 1% and an acceptance probability of 95% from a sample of 83 to 130 plants)</w:t>
      </w:r>
    </w:p>
    <w:p w:rsidR="00183337" w:rsidRPr="00700478" w:rsidRDefault="00183337" w:rsidP="00183337">
      <w:pPr>
        <w:pStyle w:val="Titleofdoc0"/>
        <w:spacing w:before="0"/>
        <w:jc w:val="both"/>
        <w:rPr>
          <w:caps w:val="0"/>
        </w:rPr>
      </w:pPr>
    </w:p>
    <w:p w:rsidR="00183337" w:rsidRDefault="00183337" w:rsidP="00183337">
      <w:pPr>
        <w:pStyle w:val="Titleofdoc0"/>
        <w:spacing w:before="0"/>
        <w:jc w:val="both"/>
        <w:rPr>
          <w:caps w:val="0"/>
        </w:rPr>
      </w:pPr>
      <w:r w:rsidRPr="00700478">
        <w:rPr>
          <w:caps w:val="0"/>
        </w:rPr>
        <w:t>If the two trials are considered independent, the variety is considered to be uniform. If the two trials are combined, the variety is considered not uniform.</w:t>
      </w:r>
    </w:p>
    <w:p w:rsidR="00183337" w:rsidRDefault="00183337" w:rsidP="00183337">
      <w:pPr>
        <w:rPr>
          <w:caps/>
        </w:rPr>
      </w:pPr>
    </w:p>
    <w:p w:rsidR="00183337" w:rsidRDefault="00183337" w:rsidP="00183337">
      <w:pPr>
        <w:rPr>
          <w:caps/>
        </w:rPr>
      </w:pPr>
    </w:p>
    <w:p w:rsidR="00183337" w:rsidRPr="00ED3415" w:rsidRDefault="00183337" w:rsidP="00183337">
      <w:pPr>
        <w:pStyle w:val="Heading2"/>
        <w:rPr>
          <w:rFonts w:eastAsia="MS Mincho"/>
          <w:lang w:eastAsia="ja-JP"/>
        </w:rPr>
      </w:pPr>
      <w:bookmarkStart w:id="18" w:name="_Toc380151001"/>
      <w:r w:rsidRPr="00ED3415">
        <w:rPr>
          <w:rFonts w:eastAsia="MS Mincho"/>
          <w:lang w:eastAsia="ja-JP"/>
        </w:rPr>
        <w:t>Technical Working Party on Automation and Computer Programs</w:t>
      </w:r>
      <w:bookmarkEnd w:id="18"/>
      <w:r w:rsidRPr="00ED3415">
        <w:rPr>
          <w:rFonts w:eastAsia="MS Mincho"/>
          <w:lang w:eastAsia="ja-JP"/>
        </w:rPr>
        <w:t xml:space="preserve"> </w:t>
      </w:r>
    </w:p>
    <w:p w:rsidR="00183337" w:rsidRDefault="00183337" w:rsidP="00183337">
      <w:pPr>
        <w:rPr>
          <w:caps/>
        </w:rPr>
      </w:pPr>
    </w:p>
    <w:p w:rsidR="00183337" w:rsidRPr="00917C3E" w:rsidRDefault="00183337" w:rsidP="00183337">
      <w:pPr>
        <w:autoSpaceDE w:val="0"/>
        <w:autoSpaceDN w:val="0"/>
        <w:adjustRightInd w:val="0"/>
        <w:ind w:left="567" w:hanging="567"/>
        <w:jc w:val="left"/>
        <w:rPr>
          <w:color w:val="000000"/>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rPr>
        <w:tab/>
        <w:t>The TWC considered document TWC/31/22.</w:t>
      </w:r>
    </w:p>
    <w:p w:rsidR="00183337" w:rsidRPr="00917C3E" w:rsidRDefault="00183337" w:rsidP="00183337">
      <w:pPr>
        <w:autoSpaceDE w:val="0"/>
        <w:autoSpaceDN w:val="0"/>
        <w:adjustRightInd w:val="0"/>
        <w:ind w:left="567" w:hanging="567"/>
        <w:jc w:val="left"/>
        <w:rPr>
          <w:color w:val="000000"/>
        </w:rPr>
      </w:pPr>
    </w:p>
    <w:p w:rsidR="00183337" w:rsidRPr="00917C3E" w:rsidRDefault="00183337" w:rsidP="0018333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sidRPr="00917C3E">
        <w:rPr>
          <w:color w:val="000000"/>
          <w:szCs w:val="24"/>
        </w:rPr>
        <w:tab/>
        <w:t xml:space="preserve">The TWC noted that it had agreed that more detailed information and further analysis were needed in order to give guidance on consequences on the use of the different approaches presented in Annexes I to IV of document TWC/31/22, and that France, Germany and the Netherlands would present one or more concrete situations in their countries and the statistical basis of their analysis for its next session. </w:t>
      </w:r>
    </w:p>
    <w:p w:rsidR="00183337" w:rsidRPr="00917C3E" w:rsidRDefault="00183337" w:rsidP="00183337">
      <w:pPr>
        <w:autoSpaceDE w:val="0"/>
        <w:autoSpaceDN w:val="0"/>
        <w:adjustRightInd w:val="0"/>
        <w:ind w:left="567" w:hanging="27"/>
        <w:jc w:val="left"/>
        <w:rPr>
          <w:color w:val="000000"/>
          <w:szCs w:val="24"/>
        </w:rPr>
      </w:pPr>
    </w:p>
    <w:p w:rsidR="00183337" w:rsidRPr="00917C3E" w:rsidRDefault="00183337" w:rsidP="0018333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considered the statistical basis for the acceptable number of off-types in the subsample of 20 plants used in the context of a sample size of 100 plants, as provided in Annex V to document TWC/31/22, which was introduced by an expert f</w:t>
      </w:r>
      <w:r>
        <w:rPr>
          <w:color w:val="000000"/>
          <w:szCs w:val="24"/>
        </w:rPr>
        <w:t>rom Germany by electronic means</w:t>
      </w:r>
      <w:r w:rsidRPr="00917C3E">
        <w:rPr>
          <w:color w:val="000000"/>
          <w:szCs w:val="24"/>
        </w:rPr>
        <w:t xml:space="preserve">. </w:t>
      </w:r>
    </w:p>
    <w:p w:rsidR="00183337" w:rsidRPr="00917C3E" w:rsidRDefault="00183337" w:rsidP="00183337">
      <w:pPr>
        <w:autoSpaceDE w:val="0"/>
        <w:autoSpaceDN w:val="0"/>
        <w:adjustRightInd w:val="0"/>
        <w:rPr>
          <w:color w:val="000000"/>
          <w:szCs w:val="24"/>
        </w:rPr>
      </w:pPr>
    </w:p>
    <w:p w:rsidR="00183337" w:rsidRPr="00917C3E" w:rsidRDefault="00183337" w:rsidP="00183337">
      <w:pPr>
        <w:autoSpaceDE w:val="0"/>
        <w:autoSpaceDN w:val="0"/>
        <w:adjustRightInd w:val="0"/>
        <w:rPr>
          <w:color w:val="000000"/>
          <w:szCs w:val="24"/>
        </w:rPr>
      </w:pPr>
      <w:r w:rsidRPr="008232BD">
        <w:rPr>
          <w:color w:val="000000"/>
          <w:szCs w:val="24"/>
        </w:rPr>
        <w:fldChar w:fldCharType="begin"/>
      </w:r>
      <w:r w:rsidRPr="008232BD">
        <w:rPr>
          <w:color w:val="000000"/>
          <w:szCs w:val="24"/>
        </w:rPr>
        <w:instrText xml:space="preserve"> AUTONUM  </w:instrText>
      </w:r>
      <w:r w:rsidRPr="008232BD">
        <w:rPr>
          <w:color w:val="000000"/>
          <w:szCs w:val="24"/>
        </w:rPr>
        <w:fldChar w:fldCharType="end"/>
      </w:r>
      <w:r w:rsidRPr="008232BD">
        <w:rPr>
          <w:color w:val="000000"/>
          <w:szCs w:val="24"/>
        </w:rPr>
        <w:tab/>
        <w:t>The TWC requested the experts from Germany to explain the Type I and Type II errors used in the statistical basis for the acceptable number of off-types in the subsample of 20 plants used in the context of a sample size of 100 plants. The TWC agreed that the statistical</w:t>
      </w:r>
      <w:r w:rsidRPr="00917C3E">
        <w:rPr>
          <w:color w:val="000000"/>
          <w:szCs w:val="24"/>
        </w:rPr>
        <w:t xml:space="preserve"> basis for this approach would continue </w:t>
      </w:r>
      <w:r>
        <w:rPr>
          <w:color w:val="000000"/>
          <w:szCs w:val="24"/>
        </w:rPr>
        <w:t xml:space="preserve">to </w:t>
      </w:r>
      <w:r w:rsidRPr="00917C3E">
        <w:rPr>
          <w:color w:val="000000"/>
          <w:szCs w:val="24"/>
        </w:rPr>
        <w:t xml:space="preserve">be discussed at its thirty-second session. The TWC agreed that it would not be appropriate to recommend this approach for other crops or sample sizes before it had agreed on the statistical basis. </w:t>
      </w:r>
    </w:p>
    <w:p w:rsidR="00183337" w:rsidRPr="00917C3E" w:rsidRDefault="00183337" w:rsidP="00183337">
      <w:pPr>
        <w:autoSpaceDE w:val="0"/>
        <w:autoSpaceDN w:val="0"/>
        <w:adjustRightInd w:val="0"/>
        <w:ind w:left="567" w:hanging="27"/>
        <w:jc w:val="left"/>
        <w:rPr>
          <w:color w:val="000000"/>
          <w:szCs w:val="24"/>
        </w:rPr>
      </w:pPr>
    </w:p>
    <w:p w:rsidR="00183337" w:rsidRPr="00917C3E" w:rsidRDefault="00183337" w:rsidP="0018333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rPr>
        <w:tab/>
      </w:r>
      <w:r w:rsidRPr="00917C3E">
        <w:rPr>
          <w:color w:val="000000"/>
        </w:rPr>
        <w:t xml:space="preserve">The TWC </w:t>
      </w:r>
      <w:r w:rsidRPr="00917C3E">
        <w:rPr>
          <w:color w:val="000000"/>
          <w:szCs w:val="24"/>
        </w:rPr>
        <w:t>noted that, with regard to the approach combining the results from two growing cycles, as set out in Annexes I and II to document TWC/31/22, Situation A and B, the TC had agreed that care would be needed when considering results that were very different in each of the growing cycles, such as when a type of off-type was observed at a high level in one growing cycle and was absent in another growing cycle.</w:t>
      </w:r>
    </w:p>
    <w:p w:rsidR="00183337" w:rsidRPr="00917C3E" w:rsidRDefault="00183337" w:rsidP="00183337">
      <w:pPr>
        <w:autoSpaceDE w:val="0"/>
        <w:autoSpaceDN w:val="0"/>
        <w:adjustRightInd w:val="0"/>
        <w:ind w:left="567" w:hanging="27"/>
        <w:rPr>
          <w:color w:val="000000"/>
          <w:szCs w:val="24"/>
        </w:rPr>
      </w:pPr>
    </w:p>
    <w:p w:rsidR="00183337" w:rsidRDefault="00183337" w:rsidP="00183337">
      <w:pPr>
        <w:autoSpaceDE w:val="0"/>
        <w:autoSpaceDN w:val="0"/>
        <w:adjustRightInd w:val="0"/>
        <w:rPr>
          <w:color w:val="000000"/>
          <w:szCs w:val="24"/>
        </w:rPr>
      </w:pPr>
      <w:r w:rsidRPr="00917C3E">
        <w:rPr>
          <w:color w:val="000000"/>
        </w:rPr>
        <w:fldChar w:fldCharType="begin"/>
      </w:r>
      <w:r w:rsidRPr="00917C3E">
        <w:rPr>
          <w:color w:val="000000"/>
        </w:rPr>
        <w:instrText xml:space="preserve"> AUTONUM  </w:instrText>
      </w:r>
      <w:r w:rsidRPr="00917C3E">
        <w:rPr>
          <w:color w:val="000000"/>
        </w:rPr>
        <w:fldChar w:fldCharType="end"/>
      </w:r>
      <w:r>
        <w:rPr>
          <w:color w:val="000000"/>
          <w:szCs w:val="24"/>
        </w:rPr>
        <w:tab/>
      </w:r>
      <w:r w:rsidRPr="00917C3E">
        <w:rPr>
          <w:color w:val="000000"/>
          <w:szCs w:val="24"/>
        </w:rPr>
        <w:t>The TWC noted information on testing of uniformity of Apple varieties arising from mutation in</w:t>
      </w:r>
      <w:r>
        <w:rPr>
          <w:color w:val="000000"/>
          <w:szCs w:val="24"/>
        </w:rPr>
        <w:t xml:space="preserve"> New </w:t>
      </w:r>
      <w:r w:rsidRPr="00917C3E">
        <w:rPr>
          <w:color w:val="000000"/>
          <w:szCs w:val="24"/>
        </w:rPr>
        <w:t>Zealand would be presented in document TWC/31/26</w:t>
      </w:r>
      <w:r>
        <w:rPr>
          <w:color w:val="000000"/>
          <w:szCs w:val="24"/>
        </w:rPr>
        <w:t xml:space="preserve"> </w:t>
      </w:r>
      <w:r>
        <w:rPr>
          <w:rFonts w:cs="Arial"/>
        </w:rPr>
        <w:t>(see document</w:t>
      </w:r>
      <w:r w:rsidR="000B324F">
        <w:rPr>
          <w:rFonts w:cs="Arial"/>
        </w:rPr>
        <w:t xml:space="preserve">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s 82 to 87</w:t>
      </w:r>
      <w:r w:rsidRPr="00100526">
        <w:rPr>
          <w:rFonts w:cs="Arial"/>
        </w:rPr>
        <w:t>)</w:t>
      </w:r>
      <w:r w:rsidRPr="00917C3E">
        <w:rPr>
          <w:color w:val="000000"/>
          <w:szCs w:val="24"/>
        </w:rPr>
        <w:t>.</w:t>
      </w:r>
    </w:p>
    <w:p w:rsidR="00183337" w:rsidRDefault="00183337" w:rsidP="00183337">
      <w:pPr>
        <w:rPr>
          <w:caps/>
        </w:rPr>
      </w:pPr>
    </w:p>
    <w:p w:rsidR="00183337" w:rsidRDefault="00183337" w:rsidP="00183337">
      <w:pPr>
        <w:rPr>
          <w:caps/>
        </w:rPr>
      </w:pPr>
    </w:p>
    <w:p w:rsidR="00183337" w:rsidRPr="00ED3415" w:rsidRDefault="00183337" w:rsidP="00183337">
      <w:pPr>
        <w:pStyle w:val="Heading2"/>
        <w:keepNext w:val="0"/>
      </w:pPr>
      <w:bookmarkStart w:id="19" w:name="_Toc380151002"/>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9"/>
    </w:p>
    <w:p w:rsidR="00183337" w:rsidRDefault="00183337" w:rsidP="00183337">
      <w:pPr>
        <w:rPr>
          <w:caps/>
        </w:rPr>
      </w:pPr>
    </w:p>
    <w:p w:rsidR="00183337" w:rsidRPr="004B761D" w:rsidRDefault="00183337" w:rsidP="00183337">
      <w:pPr>
        <w:pStyle w:val="Titleofdoc0"/>
        <w:spacing w:before="0"/>
        <w:jc w:val="both"/>
        <w:rPr>
          <w:rFonts w:eastAsia="MS Mincho"/>
        </w:rPr>
      </w:pPr>
      <w:r w:rsidRPr="004B761D">
        <w:fldChar w:fldCharType="begin"/>
      </w:r>
      <w:r w:rsidRPr="004B761D">
        <w:instrText xml:space="preserve"> AUTONUM  </w:instrText>
      </w:r>
      <w:r w:rsidRPr="004B761D">
        <w:fldChar w:fldCharType="end"/>
      </w:r>
      <w:r w:rsidRPr="004B761D">
        <w:tab/>
      </w:r>
      <w:r w:rsidRPr="004B761D">
        <w:rPr>
          <w:caps w:val="0"/>
        </w:rPr>
        <w:t>The TW</w:t>
      </w:r>
      <w:r>
        <w:rPr>
          <w:caps w:val="0"/>
        </w:rPr>
        <w:t>A</w:t>
      </w:r>
      <w:r w:rsidRPr="004B761D">
        <w:rPr>
          <w:caps w:val="0"/>
        </w:rPr>
        <w:t xml:space="preserve"> considered document </w:t>
      </w:r>
      <w:r>
        <w:t>TWA/42</w:t>
      </w:r>
      <w:r w:rsidRPr="004B761D">
        <w:t>/22</w:t>
      </w:r>
      <w:r w:rsidRPr="004B761D">
        <w:rPr>
          <w:caps w:val="0"/>
        </w:rPr>
        <w:t xml:space="preserve"> and noted that:</w:t>
      </w:r>
    </w:p>
    <w:p w:rsidR="00183337" w:rsidRPr="004B761D" w:rsidRDefault="00183337" w:rsidP="00183337">
      <w:pPr>
        <w:rPr>
          <w:rFonts w:eastAsia="MS Mincho"/>
        </w:rPr>
      </w:pPr>
    </w:p>
    <w:p w:rsidR="00183337" w:rsidRPr="004B761D" w:rsidRDefault="00183337" w:rsidP="00183337">
      <w:pPr>
        <w:ind w:firstLine="540"/>
      </w:pPr>
      <w:r w:rsidRPr="004B761D">
        <w:rPr>
          <w:rFonts w:eastAsia="MS Mincho"/>
        </w:rPr>
        <w:t>(a)</w:t>
      </w:r>
      <w:r w:rsidRPr="004B761D">
        <w:rPr>
          <w:rFonts w:eastAsia="MS Mincho"/>
        </w:rPr>
        <w:tab/>
        <w:t>t</w:t>
      </w:r>
      <w:r w:rsidRPr="004B761D">
        <w:t xml:space="preserve">he TWC had agreed that more detailed information and further analysis were needed in order to give guidance on consequences on the use of the different approaches </w:t>
      </w:r>
      <w:r w:rsidRPr="004B761D">
        <w:rPr>
          <w:rFonts w:eastAsia="MS Mincho"/>
        </w:rPr>
        <w:t xml:space="preserve">presented in Annex I to IV of document </w:t>
      </w:r>
      <w:r>
        <w:rPr>
          <w:rFonts w:eastAsia="MS Mincho"/>
        </w:rPr>
        <w:t>TWA/42</w:t>
      </w:r>
      <w:r w:rsidRPr="004B761D">
        <w:rPr>
          <w:rFonts w:eastAsia="MS Mincho"/>
        </w:rPr>
        <w:t xml:space="preserve">/22, and that </w:t>
      </w:r>
      <w:r w:rsidRPr="004B761D">
        <w:t>France, Germany and the Netherlands would present one or more concrete situations in their countries and the statistical basis of their analysis for its next session;</w:t>
      </w:r>
    </w:p>
    <w:p w:rsidR="00183337" w:rsidRPr="004B761D" w:rsidRDefault="00183337" w:rsidP="00183337">
      <w:pPr>
        <w:ind w:firstLine="540"/>
      </w:pPr>
    </w:p>
    <w:p w:rsidR="00183337" w:rsidRPr="004B761D" w:rsidRDefault="00183337" w:rsidP="00183337">
      <w:pPr>
        <w:ind w:firstLine="540"/>
        <w:rPr>
          <w:rFonts w:eastAsia="MS Mincho"/>
        </w:rPr>
      </w:pPr>
      <w:r w:rsidRPr="004B761D">
        <w:t>(b)</w:t>
      </w:r>
      <w:r w:rsidRPr="004B761D">
        <w:tab/>
      </w:r>
      <w:proofErr w:type="gramStart"/>
      <w:r w:rsidRPr="004B761D">
        <w:t>the</w:t>
      </w:r>
      <w:proofErr w:type="gramEnd"/>
      <w:r w:rsidRPr="004B761D">
        <w:t xml:space="preserve"> TWC had agreed that the statistical basis for the acceptable number of off</w:t>
      </w:r>
      <w:r w:rsidRPr="004B761D">
        <w:noBreakHyphen/>
        <w:t>types in the subsample of 20 plants used in the context of a sample size of 100 plants (situation D) would be assessed by experts from France and Germany;  and</w:t>
      </w:r>
    </w:p>
    <w:p w:rsidR="00183337" w:rsidRPr="004B761D" w:rsidRDefault="00183337" w:rsidP="00183337">
      <w:pPr>
        <w:ind w:firstLine="540"/>
        <w:rPr>
          <w:rFonts w:eastAsia="MS Mincho"/>
        </w:rPr>
      </w:pPr>
    </w:p>
    <w:p w:rsidR="00183337" w:rsidRPr="004B761D" w:rsidRDefault="00183337" w:rsidP="00183337">
      <w:pPr>
        <w:ind w:firstLine="540"/>
        <w:rPr>
          <w:rFonts w:eastAsia="MS Mincho"/>
        </w:rPr>
      </w:pPr>
      <w:r w:rsidRPr="004B761D">
        <w:rPr>
          <w:rFonts w:eastAsia="MS Mincho"/>
        </w:rPr>
        <w:t>(c)</w:t>
      </w:r>
      <w:r w:rsidRPr="004B761D">
        <w:rPr>
          <w:rFonts w:eastAsia="MS Mincho"/>
        </w:rPr>
        <w:tab/>
        <w:t xml:space="preserve">with regard to </w:t>
      </w:r>
      <w:r w:rsidRPr="004B761D">
        <w:t xml:space="preserve">the approach combining the results from two growing cycles, as set out in Annexes I and II of document </w:t>
      </w:r>
      <w:r>
        <w:t>TWA/42</w:t>
      </w:r>
      <w:r w:rsidRPr="004B761D">
        <w:t xml:space="preserve">/22, Situation A and B, </w:t>
      </w:r>
      <w:r w:rsidRPr="004B761D">
        <w:rPr>
          <w:rFonts w:eastAsia="MS Mincho"/>
        </w:rPr>
        <w:t>t</w:t>
      </w:r>
      <w:r w:rsidRPr="004B761D">
        <w:t>he TC had agreed that care would be needed when considering results that were very different in each of the growing cycles, such as when a type of off</w:t>
      </w:r>
      <w:r w:rsidRPr="004B761D">
        <w:noBreakHyphen/>
        <w:t>type was observed at a high level in one growing cycle and was absent in another growing cycle</w:t>
      </w:r>
      <w:r w:rsidRPr="004B761D">
        <w:rPr>
          <w:rFonts w:eastAsia="MS Mincho"/>
        </w:rPr>
        <w:t>.</w:t>
      </w:r>
    </w:p>
    <w:p w:rsidR="00183337" w:rsidRPr="004B761D" w:rsidRDefault="00183337" w:rsidP="00183337">
      <w:pPr>
        <w:ind w:firstLine="540"/>
        <w:rPr>
          <w:rFonts w:eastAsia="MS Mincho"/>
        </w:rPr>
      </w:pPr>
    </w:p>
    <w:p w:rsidR="00183337" w:rsidRDefault="00183337" w:rsidP="0018333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sidRPr="005076CA">
        <w:rPr>
          <w:caps w:val="0"/>
        </w:rPr>
        <w:tab/>
      </w:r>
      <w:r>
        <w:rPr>
          <w:caps w:val="0"/>
        </w:rPr>
        <w:t xml:space="preserve">The TWA requested the Office of the Union to further develop the Annexes to document TWA/42/22 to be presented at its forty-third session with regard to providing the information requested by the TWC for the analysis of consequences of different approaches. The TWA agreed that the experts </w:t>
      </w:r>
      <w:r w:rsidRPr="00D25E50">
        <w:rPr>
          <w:caps w:val="0"/>
        </w:rPr>
        <w:t>from France, Germany, the Netherlands and the United Kingdom,</w:t>
      </w:r>
      <w:r>
        <w:rPr>
          <w:caps w:val="0"/>
        </w:rPr>
        <w:t xml:space="preserve"> should assist the Office in the preparation of the document. </w:t>
      </w:r>
    </w:p>
    <w:p w:rsidR="00183337" w:rsidRDefault="00183337" w:rsidP="00183337">
      <w:pPr>
        <w:pStyle w:val="Titleofdoc0"/>
        <w:spacing w:before="0"/>
        <w:jc w:val="both"/>
        <w:rPr>
          <w:caps w:val="0"/>
        </w:rPr>
      </w:pPr>
    </w:p>
    <w:p w:rsidR="00183337" w:rsidRPr="005076CA" w:rsidRDefault="00183337" w:rsidP="00183337">
      <w:pPr>
        <w:pStyle w:val="Titleofdoc0"/>
        <w:spacing w:before="0"/>
        <w:jc w:val="both"/>
        <w:rPr>
          <w:caps w:val="0"/>
        </w:rPr>
      </w:pPr>
      <w:r w:rsidRPr="005076CA">
        <w:rPr>
          <w:caps w:val="0"/>
        </w:rPr>
        <w:fldChar w:fldCharType="begin"/>
      </w:r>
      <w:r w:rsidRPr="005076CA">
        <w:rPr>
          <w:caps w:val="0"/>
        </w:rPr>
        <w:instrText xml:space="preserve"> AUTONUM  </w:instrText>
      </w:r>
      <w:r w:rsidRPr="005076CA">
        <w:rPr>
          <w:caps w:val="0"/>
        </w:rPr>
        <w:fldChar w:fldCharType="end"/>
      </w:r>
      <w:r>
        <w:rPr>
          <w:caps w:val="0"/>
        </w:rPr>
        <w:tab/>
        <w:t xml:space="preserve">The TWA agreed that the different situations should be presented in one example without mention to individual members of the Union. The TWA also agreed that it should be clarified if the two approaches in situation A were </w:t>
      </w:r>
      <w:r w:rsidRPr="00D25E50">
        <w:rPr>
          <w:caps w:val="0"/>
        </w:rPr>
        <w:t>inconsistent, or if one of them was more appropriate,</w:t>
      </w:r>
      <w:r>
        <w:rPr>
          <w:caps w:val="0"/>
        </w:rPr>
        <w:t xml:space="preserve"> and that situation C should refer to the use of samples or subsamples instead of “tests/trials” </w:t>
      </w:r>
      <w:r w:rsidRPr="009678B3">
        <w:rPr>
          <w:caps w:val="0"/>
        </w:rPr>
        <w:t>(see document</w:t>
      </w:r>
      <w:r>
        <w:rPr>
          <w:caps w:val="0"/>
        </w:rPr>
        <w:t> </w:t>
      </w:r>
      <w:r w:rsidRPr="009678B3">
        <w:rPr>
          <w:caps w:val="0"/>
        </w:rPr>
        <w:t>TW</w:t>
      </w:r>
      <w:r>
        <w:rPr>
          <w:caps w:val="0"/>
        </w:rPr>
        <w:t>A</w:t>
      </w:r>
      <w:r w:rsidRPr="009678B3">
        <w:rPr>
          <w:caps w:val="0"/>
        </w:rPr>
        <w:t>/4</w:t>
      </w:r>
      <w:r>
        <w:rPr>
          <w:caps w:val="0"/>
        </w:rPr>
        <w:t>2</w:t>
      </w:r>
      <w:r w:rsidRPr="009678B3">
        <w:rPr>
          <w:caps w:val="0"/>
        </w:rPr>
        <w:t>/</w:t>
      </w:r>
      <w:r>
        <w:rPr>
          <w:caps w:val="0"/>
        </w:rPr>
        <w:t>31</w:t>
      </w:r>
      <w:r w:rsidRPr="009678B3">
        <w:rPr>
          <w:caps w:val="0"/>
        </w:rPr>
        <w:t xml:space="preserve"> “Report”, paragraph</w:t>
      </w:r>
      <w:r>
        <w:rPr>
          <w:caps w:val="0"/>
        </w:rPr>
        <w:t>s </w:t>
      </w:r>
      <w:r w:rsidRPr="009678B3">
        <w:rPr>
          <w:caps w:val="0"/>
        </w:rPr>
        <w:t>6</w:t>
      </w:r>
      <w:r>
        <w:rPr>
          <w:caps w:val="0"/>
        </w:rPr>
        <w:t>8 to 70</w:t>
      </w:r>
      <w:r w:rsidRPr="009678B3">
        <w:rPr>
          <w:caps w:val="0"/>
        </w:rPr>
        <w:t>)</w:t>
      </w:r>
      <w:r>
        <w:rPr>
          <w:caps w:val="0"/>
        </w:rPr>
        <w:t xml:space="preserve">. </w:t>
      </w:r>
    </w:p>
    <w:p w:rsidR="00183337" w:rsidRDefault="00183337" w:rsidP="00183337">
      <w:pPr>
        <w:rPr>
          <w:caps/>
        </w:rPr>
      </w:pPr>
    </w:p>
    <w:p w:rsidR="00E5345F" w:rsidRDefault="00E5345F" w:rsidP="00183337">
      <w:pPr>
        <w:rPr>
          <w:caps/>
        </w:rPr>
      </w:pPr>
    </w:p>
    <w:p w:rsidR="00B74E0F" w:rsidRDefault="00B74E0F" w:rsidP="00B74E0F">
      <w:pPr>
        <w:pStyle w:val="Heading1"/>
      </w:pPr>
      <w:bookmarkStart w:id="20" w:name="_Toc380151003"/>
      <w:r>
        <w:t>iV.</w:t>
      </w:r>
      <w:r>
        <w:tab/>
        <w:t>DEVELOPMENTS IN 2014</w:t>
      </w:r>
      <w:bookmarkEnd w:id="20"/>
    </w:p>
    <w:p w:rsidR="00183337" w:rsidRDefault="00183337" w:rsidP="00183337">
      <w:pPr>
        <w:rPr>
          <w:caps/>
        </w:rPr>
      </w:pPr>
    </w:p>
    <w:p w:rsidR="00183337" w:rsidRDefault="00B74E0F" w:rsidP="00B74E0F">
      <w:pPr>
        <w:pStyle w:val="Heading2"/>
      </w:pPr>
      <w:bookmarkStart w:id="21" w:name="_Toc380151004"/>
      <w:r w:rsidRPr="00B74E0F">
        <w:t>E</w:t>
      </w:r>
      <w:r>
        <w:t>nlarged Editorial Committee</w:t>
      </w:r>
      <w:bookmarkEnd w:id="21"/>
    </w:p>
    <w:p w:rsidR="00B74E0F" w:rsidRDefault="00B74E0F" w:rsidP="00183337"/>
    <w:p w:rsidR="00B74E0F" w:rsidRDefault="00B74E0F" w:rsidP="00B74E0F">
      <w:r>
        <w:fldChar w:fldCharType="begin"/>
      </w:r>
      <w:r>
        <w:instrText xml:space="preserve"> AUTONUM  </w:instrText>
      </w:r>
      <w:r>
        <w:fldChar w:fldCharType="end"/>
      </w:r>
      <w:r>
        <w:tab/>
        <w:t>The TC-EDC,</w:t>
      </w:r>
      <w:r w:rsidRPr="00665728">
        <w:rPr>
          <w:color w:val="000000"/>
        </w:rPr>
        <w:t xml:space="preserve"> </w:t>
      </w:r>
      <w:r w:rsidRPr="00FF2AF5">
        <w:rPr>
          <w:rFonts w:cs="Arial"/>
          <w:lang w:eastAsia="ja-JP"/>
        </w:rPr>
        <w:t xml:space="preserve">at its </w:t>
      </w:r>
      <w:r>
        <w:rPr>
          <w:rFonts w:cs="Arial"/>
          <w:lang w:eastAsia="ja-JP"/>
        </w:rPr>
        <w:t xml:space="preserve">meeting </w:t>
      </w:r>
      <w:r w:rsidRPr="00FF2AF5">
        <w:rPr>
          <w:rFonts w:cs="Arial"/>
          <w:lang w:eastAsia="ja-JP"/>
        </w:rPr>
        <w:t xml:space="preserve">held in Geneva </w:t>
      </w:r>
      <w:r>
        <w:rPr>
          <w:rFonts w:cs="Arial"/>
          <w:lang w:eastAsia="ja-JP"/>
        </w:rPr>
        <w:t>on January 8 and 9</w:t>
      </w:r>
      <w:r w:rsidRPr="00FF2AF5">
        <w:rPr>
          <w:rFonts w:cs="Arial"/>
          <w:lang w:eastAsia="ja-JP"/>
        </w:rPr>
        <w:t>, 201</w:t>
      </w:r>
      <w:r>
        <w:rPr>
          <w:rFonts w:cs="Arial"/>
          <w:lang w:eastAsia="ja-JP"/>
        </w:rPr>
        <w:t>4</w:t>
      </w:r>
      <w:r w:rsidRPr="00FF2AF5">
        <w:rPr>
          <w:rFonts w:cs="Arial"/>
          <w:lang w:eastAsia="ja-JP"/>
        </w:rPr>
        <w:t>,</w:t>
      </w:r>
      <w:r w:rsidRPr="002F6EFE">
        <w:rPr>
          <w:color w:val="000000"/>
        </w:rPr>
        <w:t xml:space="preserve"> </w:t>
      </w:r>
      <w:r>
        <w:t>considered document TC</w:t>
      </w:r>
      <w:r>
        <w:noBreakHyphen/>
        <w:t>EDC/Jan14/</w:t>
      </w:r>
      <w:r w:rsidR="003232C8">
        <w:t>23</w:t>
      </w:r>
      <w:r>
        <w:t xml:space="preserve"> “</w:t>
      </w:r>
      <w:r w:rsidR="003232C8" w:rsidRPr="00275ED6">
        <w:rPr>
          <w:rFonts w:cs="Arial"/>
        </w:rPr>
        <w:t>Assessing Uniformity by Off-Types on Basis of More than One Sample or Sub-Samples</w:t>
      </w:r>
      <w:r>
        <w:t xml:space="preserve">” and the comments made by the TWPs at their sessions in 2013 and </w:t>
      </w:r>
      <w:r w:rsidR="003232C8">
        <w:t>made the following comments:</w:t>
      </w:r>
    </w:p>
    <w:p w:rsidR="003232C8" w:rsidRDefault="003232C8" w:rsidP="00B74E0F"/>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1"/>
        <w:gridCol w:w="8208"/>
      </w:tblGrid>
      <w:tr w:rsidR="003232C8" w:rsidRPr="002302DC" w:rsidTr="00E14650">
        <w:trPr>
          <w:cantSplit/>
        </w:trPr>
        <w:tc>
          <w:tcPr>
            <w:tcW w:w="1431" w:type="dxa"/>
          </w:tcPr>
          <w:p w:rsidR="003232C8" w:rsidRPr="002302DC" w:rsidRDefault="00AE2B12" w:rsidP="00AE2B12">
            <w:pPr>
              <w:rPr>
                <w:rFonts w:cs="Arial"/>
              </w:rPr>
            </w:pPr>
            <w:r>
              <w:rPr>
                <w:rFonts w:cs="Arial"/>
              </w:rPr>
              <w:t>G</w:t>
            </w:r>
            <w:r w:rsidR="003232C8" w:rsidRPr="002302DC">
              <w:rPr>
                <w:rFonts w:cs="Arial"/>
              </w:rPr>
              <w:t>eneral</w:t>
            </w:r>
          </w:p>
        </w:tc>
        <w:tc>
          <w:tcPr>
            <w:tcW w:w="8208" w:type="dxa"/>
          </w:tcPr>
          <w:p w:rsidR="003232C8" w:rsidRPr="002302DC" w:rsidRDefault="00AE2B12" w:rsidP="00DD41C2">
            <w:pPr>
              <w:keepNext/>
              <w:jc w:val="left"/>
              <w:rPr>
                <w:rFonts w:cs="Arial"/>
                <w:color w:val="000000" w:themeColor="text1"/>
              </w:rPr>
            </w:pPr>
            <w:r>
              <w:rPr>
                <w:rFonts w:cs="Arial"/>
                <w:bCs/>
                <w:snapToGrid w:val="0"/>
                <w:color w:val="000000"/>
              </w:rPr>
              <w:t>to consider whether</w:t>
            </w:r>
            <w:r w:rsidR="003232C8" w:rsidRPr="00B613C8">
              <w:rPr>
                <w:rFonts w:cs="Arial"/>
                <w:bCs/>
                <w:snapToGrid w:val="0"/>
                <w:color w:val="000000"/>
              </w:rPr>
              <w:t xml:space="preserve"> guidance should be developed</w:t>
            </w:r>
            <w:r>
              <w:rPr>
                <w:rFonts w:cs="Arial"/>
                <w:bCs/>
                <w:snapToGrid w:val="0"/>
                <w:color w:val="000000"/>
              </w:rPr>
              <w:t xml:space="preserve"> for situations A, B, C and D</w:t>
            </w:r>
            <w:r w:rsidR="003232C8" w:rsidRPr="00B613C8">
              <w:rPr>
                <w:rFonts w:cs="Arial"/>
                <w:bCs/>
                <w:snapToGrid w:val="0"/>
                <w:color w:val="000000"/>
              </w:rPr>
              <w:t xml:space="preserve"> in document TGP/10 </w:t>
            </w:r>
            <w:r>
              <w:rPr>
                <w:rFonts w:cs="Arial"/>
                <w:bCs/>
                <w:snapToGrid w:val="0"/>
                <w:color w:val="000000"/>
              </w:rPr>
              <w:t>and</w:t>
            </w:r>
            <w:r w:rsidR="000B324F">
              <w:rPr>
                <w:rFonts w:cs="Arial"/>
                <w:bCs/>
                <w:snapToGrid w:val="0"/>
                <w:color w:val="000000"/>
              </w:rPr>
              <w:t>,</w:t>
            </w:r>
            <w:r>
              <w:rPr>
                <w:rFonts w:cs="Arial"/>
                <w:bCs/>
                <w:snapToGrid w:val="0"/>
                <w:color w:val="000000"/>
              </w:rPr>
              <w:t xml:space="preserve"> in the case of situations A and B</w:t>
            </w:r>
            <w:r w:rsidR="000B324F">
              <w:rPr>
                <w:rFonts w:cs="Arial"/>
                <w:bCs/>
                <w:snapToGrid w:val="0"/>
                <w:color w:val="000000"/>
              </w:rPr>
              <w:t>,</w:t>
            </w:r>
            <w:r>
              <w:rPr>
                <w:rFonts w:cs="Arial"/>
                <w:bCs/>
                <w:snapToGrid w:val="0"/>
                <w:color w:val="000000"/>
              </w:rPr>
              <w:t xml:space="preserve"> whether the guidance should be </w:t>
            </w:r>
            <w:r w:rsidR="003232C8" w:rsidRPr="00B613C8">
              <w:rPr>
                <w:rFonts w:cs="Arial"/>
                <w:bCs/>
                <w:snapToGrid w:val="0"/>
                <w:color w:val="000000"/>
              </w:rPr>
              <w:t>on the basis of one of the approaches or both approaches</w:t>
            </w:r>
            <w:r>
              <w:rPr>
                <w:rFonts w:cs="Arial"/>
                <w:bCs/>
                <w:snapToGrid w:val="0"/>
                <w:color w:val="000000"/>
              </w:rPr>
              <w:t>.</w:t>
            </w:r>
          </w:p>
        </w:tc>
      </w:tr>
      <w:tr w:rsidR="00E14650" w:rsidRPr="002302DC" w:rsidTr="00E14650">
        <w:trPr>
          <w:cantSplit/>
        </w:trPr>
        <w:tc>
          <w:tcPr>
            <w:tcW w:w="1431" w:type="dxa"/>
          </w:tcPr>
          <w:p w:rsidR="00E14650" w:rsidRPr="002302DC" w:rsidRDefault="00E14650" w:rsidP="00E14650">
            <w:pPr>
              <w:jc w:val="left"/>
              <w:rPr>
                <w:rFonts w:cs="Arial"/>
              </w:rPr>
            </w:pPr>
            <w:r w:rsidRPr="002302DC">
              <w:rPr>
                <w:rFonts w:cs="Arial"/>
              </w:rPr>
              <w:t>Annex</w:t>
            </w:r>
            <w:r w:rsidR="000B324F">
              <w:rPr>
                <w:rFonts w:cs="Arial"/>
              </w:rPr>
              <w:t>es</w:t>
            </w:r>
            <w:r w:rsidRPr="002302DC">
              <w:rPr>
                <w:rFonts w:cs="Arial"/>
              </w:rPr>
              <w:t xml:space="preserve"> I</w:t>
            </w:r>
            <w:r>
              <w:rPr>
                <w:rFonts w:cs="Arial"/>
              </w:rPr>
              <w:t xml:space="preserve"> and II</w:t>
            </w:r>
          </w:p>
        </w:tc>
        <w:tc>
          <w:tcPr>
            <w:tcW w:w="8208" w:type="dxa"/>
          </w:tcPr>
          <w:p w:rsidR="00E14650" w:rsidRPr="002302DC" w:rsidRDefault="00E14650" w:rsidP="00E14650">
            <w:pPr>
              <w:autoSpaceDE w:val="0"/>
              <w:autoSpaceDN w:val="0"/>
              <w:adjustRightInd w:val="0"/>
              <w:rPr>
                <w:rFonts w:cs="Arial"/>
                <w:color w:val="000000" w:themeColor="text1"/>
              </w:rPr>
            </w:pPr>
            <w:r>
              <w:rPr>
                <w:rFonts w:cs="Arial"/>
                <w:color w:val="000000" w:themeColor="text1"/>
              </w:rPr>
              <w:t xml:space="preserve">In </w:t>
            </w:r>
            <w:r w:rsidRPr="002302DC">
              <w:rPr>
                <w:rFonts w:cs="Arial"/>
                <w:color w:val="000000" w:themeColor="text1"/>
              </w:rPr>
              <w:t>Approach 2</w:t>
            </w:r>
            <w:r>
              <w:rPr>
                <w:rFonts w:cs="Arial"/>
                <w:color w:val="000000" w:themeColor="text1"/>
              </w:rPr>
              <w:t xml:space="preserve">, </w:t>
            </w:r>
            <w:r w:rsidRPr="002302DC">
              <w:rPr>
                <w:rFonts w:cs="Arial"/>
                <w:color w:val="000000" w:themeColor="text1"/>
              </w:rPr>
              <w:t xml:space="preserve">to </w:t>
            </w:r>
            <w:r>
              <w:rPr>
                <w:rFonts w:cs="Arial"/>
                <w:color w:val="000000" w:themeColor="text1"/>
              </w:rPr>
              <w:t>add “</w:t>
            </w:r>
            <w:r w:rsidRPr="002302DC">
              <w:rPr>
                <w:rFonts w:eastAsia="SimSun"/>
                <w:szCs w:val="24"/>
                <w:highlight w:val="lightGray"/>
                <w:u w:val="single"/>
                <w:lang w:eastAsia="zh-CN"/>
              </w:rPr>
              <w:t>If at the end of the two growing cycles the variety is within the uniformity standard in one growing cycle but is not within the uniformity standard in the other growing cycle,</w:t>
            </w:r>
            <w:r>
              <w:rPr>
                <w:rFonts w:eastAsia="SimSun"/>
                <w:szCs w:val="24"/>
                <w:highlight w:val="lightGray"/>
                <w:u w:val="single"/>
                <w:lang w:eastAsia="zh-CN"/>
              </w:rPr>
              <w:t>”</w:t>
            </w:r>
            <w:r w:rsidRPr="00E14650">
              <w:rPr>
                <w:rFonts w:eastAsia="SimSun"/>
                <w:szCs w:val="24"/>
                <w:lang w:eastAsia="zh-CN"/>
              </w:rPr>
              <w:t xml:space="preserve"> at the beginning of the third paragraph. </w:t>
            </w:r>
          </w:p>
        </w:tc>
      </w:tr>
      <w:tr w:rsidR="003232C8" w:rsidRPr="002302DC" w:rsidTr="00E14650">
        <w:trPr>
          <w:cantSplit/>
        </w:trPr>
        <w:tc>
          <w:tcPr>
            <w:tcW w:w="1431" w:type="dxa"/>
          </w:tcPr>
          <w:p w:rsidR="003232C8" w:rsidRPr="002302DC" w:rsidRDefault="003232C8" w:rsidP="00DD41C2">
            <w:pPr>
              <w:rPr>
                <w:rFonts w:cs="Arial"/>
              </w:rPr>
            </w:pPr>
            <w:r w:rsidRPr="002302DC">
              <w:rPr>
                <w:rFonts w:cs="Arial"/>
              </w:rPr>
              <w:t xml:space="preserve">Annex III </w:t>
            </w:r>
          </w:p>
        </w:tc>
        <w:tc>
          <w:tcPr>
            <w:tcW w:w="8208" w:type="dxa"/>
          </w:tcPr>
          <w:p w:rsidR="003232C8" w:rsidRPr="002302DC" w:rsidRDefault="003232C8" w:rsidP="00DD41C2">
            <w:pPr>
              <w:autoSpaceDE w:val="0"/>
              <w:autoSpaceDN w:val="0"/>
              <w:adjustRightInd w:val="0"/>
              <w:rPr>
                <w:rFonts w:cs="Arial"/>
                <w:color w:val="000000" w:themeColor="text1"/>
              </w:rPr>
            </w:pPr>
            <w:proofErr w:type="gramStart"/>
            <w:r w:rsidRPr="002302DC">
              <w:rPr>
                <w:rFonts w:cs="Arial"/>
                <w:color w:val="000000" w:themeColor="text1"/>
              </w:rPr>
              <w:t>to</w:t>
            </w:r>
            <w:proofErr w:type="gramEnd"/>
            <w:r w:rsidRPr="002302DC">
              <w:rPr>
                <w:rFonts w:cs="Arial"/>
                <w:color w:val="000000" w:themeColor="text1"/>
              </w:rPr>
              <w:t xml:space="preserve"> check whether to delete the approach presented in Annex III</w:t>
            </w:r>
            <w:r w:rsidR="00AE2B12">
              <w:rPr>
                <w:rFonts w:cs="Arial"/>
                <w:color w:val="000000" w:themeColor="text1"/>
              </w:rPr>
              <w:t xml:space="preserve"> on the basis that it does not relate to a common situation.</w:t>
            </w:r>
          </w:p>
        </w:tc>
      </w:tr>
    </w:tbl>
    <w:p w:rsidR="00183337" w:rsidRPr="00D65E68" w:rsidRDefault="00183337" w:rsidP="00183337">
      <w:pPr>
        <w:pStyle w:val="Heading1"/>
      </w:pPr>
      <w:bookmarkStart w:id="22" w:name="_Toc380151005"/>
      <w:r w:rsidRPr="00AE4C05">
        <w:t>v.</w:t>
      </w:r>
      <w:r>
        <w:tab/>
      </w:r>
      <w:r w:rsidRPr="00D65E68">
        <w:t>Summary of approaches</w:t>
      </w:r>
      <w:bookmarkEnd w:id="22"/>
    </w:p>
    <w:p w:rsidR="00183337" w:rsidRPr="00D65E68" w:rsidRDefault="00183337" w:rsidP="00183337">
      <w:pPr>
        <w:rPr>
          <w:rFonts w:cs="Arial"/>
          <w:caps/>
          <w:snapToGrid w:val="0"/>
        </w:rPr>
      </w:pPr>
    </w:p>
    <w:p w:rsidR="00183337" w:rsidRDefault="00183337" w:rsidP="00183337">
      <w:pPr>
        <w:rPr>
          <w:szCs w:val="24"/>
        </w:rPr>
      </w:pPr>
      <w:r w:rsidRPr="00D8502F">
        <w:fldChar w:fldCharType="begin"/>
      </w:r>
      <w:r w:rsidRPr="00D8502F">
        <w:instrText xml:space="preserve"> AUTONUM  </w:instrText>
      </w:r>
      <w:r w:rsidRPr="00D8502F">
        <w:fldChar w:fldCharType="end"/>
      </w:r>
      <w:r w:rsidRPr="00D8502F">
        <w:tab/>
      </w:r>
      <w:r w:rsidRPr="00D8502F">
        <w:rPr>
          <w:szCs w:val="24"/>
        </w:rPr>
        <w:t>Annexes I to IV to this document, as amended on the basis of the comments made by the TW</w:t>
      </w:r>
      <w:r>
        <w:rPr>
          <w:szCs w:val="24"/>
        </w:rPr>
        <w:t>P</w:t>
      </w:r>
      <w:r w:rsidR="00AE2B12">
        <w:rPr>
          <w:szCs w:val="24"/>
        </w:rPr>
        <w:t>s</w:t>
      </w:r>
      <w:r>
        <w:rPr>
          <w:szCs w:val="24"/>
        </w:rPr>
        <w:t xml:space="preserve"> at their sessions in 2013</w:t>
      </w:r>
      <w:r w:rsidRPr="00D8502F">
        <w:rPr>
          <w:szCs w:val="24"/>
        </w:rPr>
        <w:t>, summarize different situations when different samples are combined for the overall assessment of uniformity of a variety</w:t>
      </w:r>
      <w:r>
        <w:rPr>
          <w:szCs w:val="24"/>
        </w:rPr>
        <w:t xml:space="preserve">, as follows: </w:t>
      </w:r>
    </w:p>
    <w:p w:rsidR="00183337" w:rsidRDefault="00183337" w:rsidP="00183337">
      <w:pPr>
        <w:snapToGrid w:val="0"/>
        <w:rPr>
          <w:szCs w:val="24"/>
        </w:rPr>
      </w:pPr>
    </w:p>
    <w:p w:rsidR="00183337" w:rsidRPr="00F971AF" w:rsidRDefault="00183337" w:rsidP="00183337">
      <w:pPr>
        <w:autoSpaceDE w:val="0"/>
        <w:autoSpaceDN w:val="0"/>
        <w:adjustRightInd w:val="0"/>
        <w:snapToGrid w:val="0"/>
        <w:rPr>
          <w:i/>
          <w:szCs w:val="24"/>
        </w:rPr>
      </w:pPr>
      <w:r w:rsidRPr="00F971AF">
        <w:rPr>
          <w:i/>
          <w:szCs w:val="24"/>
        </w:rPr>
        <w:t>Annex I: Situation A:  Two growing cycles in a single location</w:t>
      </w:r>
    </w:p>
    <w:p w:rsidR="00183337" w:rsidRPr="00F971AF" w:rsidRDefault="00183337" w:rsidP="00183337">
      <w:pPr>
        <w:autoSpaceDE w:val="0"/>
        <w:autoSpaceDN w:val="0"/>
        <w:adjustRightInd w:val="0"/>
        <w:snapToGrid w:val="0"/>
        <w:ind w:left="567"/>
        <w:rPr>
          <w:szCs w:val="24"/>
        </w:rPr>
      </w:pPr>
    </w:p>
    <w:p w:rsidR="00183337" w:rsidRPr="00F971AF" w:rsidRDefault="00183337" w:rsidP="00183337">
      <w:pPr>
        <w:autoSpaceDE w:val="0"/>
        <w:autoSpaceDN w:val="0"/>
        <w:adjustRightInd w:val="0"/>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183337" w:rsidRPr="00F971AF" w:rsidRDefault="00183337" w:rsidP="00183337">
      <w:pPr>
        <w:autoSpaceDE w:val="0"/>
        <w:autoSpaceDN w:val="0"/>
        <w:adjustRightInd w:val="0"/>
        <w:snapToGrid w:val="0"/>
        <w:ind w:left="567" w:firstLine="273"/>
        <w:rPr>
          <w:szCs w:val="24"/>
        </w:rPr>
      </w:pPr>
      <w:r w:rsidRPr="00F971AF">
        <w:rPr>
          <w:szCs w:val="24"/>
        </w:rPr>
        <w:t>Approach</w:t>
      </w:r>
      <w:r>
        <w:rPr>
          <w:szCs w:val="24"/>
        </w:rPr>
        <w:t xml:space="preserve"> 2</w:t>
      </w:r>
      <w:r w:rsidRPr="00F971AF">
        <w:rPr>
          <w:szCs w:val="24"/>
        </w:rPr>
        <w:t>:  Combining the results of two growing cycles</w:t>
      </w:r>
    </w:p>
    <w:p w:rsidR="00183337" w:rsidRPr="00F971AF" w:rsidRDefault="00183337" w:rsidP="00183337">
      <w:pPr>
        <w:autoSpaceDE w:val="0"/>
        <w:autoSpaceDN w:val="0"/>
        <w:adjustRightInd w:val="0"/>
        <w:snapToGrid w:val="0"/>
        <w:ind w:left="567" w:firstLine="273"/>
        <w:rPr>
          <w:szCs w:val="24"/>
        </w:rPr>
      </w:pPr>
    </w:p>
    <w:p w:rsidR="00183337" w:rsidRPr="00F971AF" w:rsidRDefault="00183337" w:rsidP="00183337">
      <w:pPr>
        <w:snapToGrid w:val="0"/>
        <w:jc w:val="left"/>
        <w:rPr>
          <w:i/>
          <w:szCs w:val="24"/>
        </w:rPr>
      </w:pPr>
      <w:r w:rsidRPr="00F971AF">
        <w:rPr>
          <w:i/>
          <w:szCs w:val="24"/>
        </w:rPr>
        <w:t xml:space="preserve">Annex II: Situation B:  Two growing locations in the same year </w:t>
      </w:r>
    </w:p>
    <w:p w:rsidR="00183337" w:rsidRPr="00F971AF" w:rsidRDefault="00183337" w:rsidP="00183337">
      <w:pPr>
        <w:snapToGrid w:val="0"/>
        <w:ind w:left="567"/>
        <w:jc w:val="left"/>
      </w:pPr>
    </w:p>
    <w:p w:rsidR="00183337" w:rsidRPr="00F971AF" w:rsidRDefault="00183337" w:rsidP="00183337">
      <w:pPr>
        <w:snapToGrid w:val="0"/>
        <w:ind w:left="567" w:firstLine="273"/>
        <w:rPr>
          <w:szCs w:val="24"/>
        </w:rPr>
      </w:pPr>
      <w:r w:rsidRPr="00F971AF">
        <w:rPr>
          <w:szCs w:val="24"/>
        </w:rPr>
        <w:t>Approach</w:t>
      </w:r>
      <w:r>
        <w:rPr>
          <w:szCs w:val="24"/>
        </w:rPr>
        <w:t xml:space="preserve"> 1</w:t>
      </w:r>
      <w:r w:rsidRPr="00F971AF">
        <w:rPr>
          <w:szCs w:val="24"/>
        </w:rPr>
        <w:t xml:space="preserve">:  Third growing cycle in the case of inconsistent results </w:t>
      </w:r>
    </w:p>
    <w:p w:rsidR="00183337" w:rsidRPr="00F971AF" w:rsidRDefault="00183337" w:rsidP="00183337">
      <w:pPr>
        <w:snapToGrid w:val="0"/>
        <w:ind w:left="567" w:firstLine="273"/>
        <w:rPr>
          <w:szCs w:val="24"/>
        </w:rPr>
      </w:pPr>
      <w:r w:rsidRPr="00F971AF">
        <w:rPr>
          <w:szCs w:val="24"/>
        </w:rPr>
        <w:t>Approach</w:t>
      </w:r>
      <w:r>
        <w:rPr>
          <w:szCs w:val="24"/>
        </w:rPr>
        <w:t xml:space="preserve"> 2</w:t>
      </w:r>
      <w:r w:rsidRPr="00F971AF">
        <w:rPr>
          <w:szCs w:val="24"/>
        </w:rPr>
        <w:t xml:space="preserve">:  Combining the results of two locations </w:t>
      </w:r>
    </w:p>
    <w:p w:rsidR="00183337" w:rsidRPr="00F971AF" w:rsidRDefault="00183337" w:rsidP="00183337">
      <w:pPr>
        <w:autoSpaceDE w:val="0"/>
        <w:autoSpaceDN w:val="0"/>
        <w:adjustRightInd w:val="0"/>
        <w:snapToGrid w:val="0"/>
        <w:ind w:left="567"/>
        <w:rPr>
          <w:szCs w:val="24"/>
        </w:rPr>
      </w:pPr>
    </w:p>
    <w:p w:rsidR="00183337" w:rsidRPr="00F971AF" w:rsidRDefault="00183337" w:rsidP="00183337">
      <w:pPr>
        <w:snapToGrid w:val="0"/>
        <w:jc w:val="left"/>
        <w:rPr>
          <w:i/>
        </w:rPr>
      </w:pPr>
      <w:r w:rsidRPr="00F971AF">
        <w:rPr>
          <w:i/>
          <w:szCs w:val="24"/>
        </w:rPr>
        <w:t xml:space="preserve">Annex III: Situation C:  </w:t>
      </w:r>
      <w:r w:rsidRPr="00F971AF">
        <w:rPr>
          <w:i/>
        </w:rPr>
        <w:t>More than one sample/sub-sample for a characteristic in the same growing cycle</w:t>
      </w:r>
    </w:p>
    <w:p w:rsidR="00183337" w:rsidRPr="00F971AF" w:rsidRDefault="00183337" w:rsidP="00183337">
      <w:pPr>
        <w:snapToGrid w:val="0"/>
        <w:ind w:left="567"/>
        <w:jc w:val="left"/>
        <w:rPr>
          <w:i/>
        </w:rPr>
      </w:pPr>
    </w:p>
    <w:p w:rsidR="00183337" w:rsidRPr="00F971AF" w:rsidRDefault="00183337" w:rsidP="00183337">
      <w:pPr>
        <w:snapToGrid w:val="0"/>
        <w:ind w:left="567" w:firstLine="273"/>
        <w:jc w:val="left"/>
      </w:pPr>
      <w:r w:rsidRPr="00F971AF">
        <w:t>Approach:  Additional growing cycle in the case of inconsistent results</w:t>
      </w:r>
    </w:p>
    <w:p w:rsidR="00183337" w:rsidRPr="00F971AF" w:rsidRDefault="00183337" w:rsidP="00183337">
      <w:pPr>
        <w:autoSpaceDE w:val="0"/>
        <w:autoSpaceDN w:val="0"/>
        <w:adjustRightInd w:val="0"/>
        <w:snapToGrid w:val="0"/>
        <w:ind w:left="567"/>
        <w:rPr>
          <w:szCs w:val="24"/>
        </w:rPr>
      </w:pPr>
    </w:p>
    <w:p w:rsidR="00183337" w:rsidRPr="00F971AF" w:rsidRDefault="00183337" w:rsidP="00183337">
      <w:pPr>
        <w:snapToGrid w:val="0"/>
        <w:jc w:val="left"/>
        <w:rPr>
          <w:i/>
          <w:szCs w:val="24"/>
        </w:rPr>
      </w:pPr>
      <w:r w:rsidRPr="00F971AF">
        <w:rPr>
          <w:i/>
          <w:szCs w:val="24"/>
        </w:rPr>
        <w:t xml:space="preserve">Annex IV: Situation D:  Assessing sub-samples within a single test/trial </w:t>
      </w:r>
    </w:p>
    <w:p w:rsidR="00183337" w:rsidRPr="00F971AF" w:rsidRDefault="00183337" w:rsidP="00183337">
      <w:pPr>
        <w:snapToGrid w:val="0"/>
        <w:ind w:left="567"/>
        <w:jc w:val="left"/>
        <w:rPr>
          <w:i/>
          <w:szCs w:val="24"/>
        </w:rPr>
      </w:pPr>
    </w:p>
    <w:p w:rsidR="00183337" w:rsidRPr="00966299" w:rsidRDefault="00183337" w:rsidP="00183337">
      <w:pPr>
        <w:snapToGrid w:val="0"/>
        <w:ind w:left="567" w:firstLine="273"/>
        <w:jc w:val="left"/>
        <w:rPr>
          <w:i/>
          <w:szCs w:val="24"/>
        </w:rPr>
      </w:pPr>
      <w:r w:rsidRPr="00F971AF">
        <w:rPr>
          <w:szCs w:val="24"/>
        </w:rPr>
        <w:t>Approach</w:t>
      </w:r>
      <w:r w:rsidRPr="00F971AF">
        <w:rPr>
          <w:i/>
          <w:szCs w:val="24"/>
        </w:rPr>
        <w:t xml:space="preserve">: </w:t>
      </w:r>
      <w:r w:rsidRPr="00F971AF">
        <w:rPr>
          <w:szCs w:val="24"/>
        </w:rPr>
        <w:t xml:space="preserve"> Sub-sample as a first step of assessment</w:t>
      </w:r>
      <w:r w:rsidRPr="00966299">
        <w:rPr>
          <w:szCs w:val="24"/>
        </w:rPr>
        <w:t xml:space="preserve"> </w:t>
      </w:r>
    </w:p>
    <w:p w:rsidR="00183337" w:rsidRDefault="00183337" w:rsidP="00183337">
      <w:pPr>
        <w:snapToGrid w:val="0"/>
        <w:jc w:val="left"/>
        <w:rPr>
          <w:szCs w:val="24"/>
        </w:rPr>
      </w:pPr>
    </w:p>
    <w:p w:rsidR="00183337" w:rsidRDefault="00183337" w:rsidP="00183337">
      <w:r w:rsidRPr="00654E37">
        <w:fldChar w:fldCharType="begin"/>
      </w:r>
      <w:r w:rsidRPr="00654E37">
        <w:instrText xml:space="preserve"> AUTONUM  </w:instrText>
      </w:r>
      <w:r w:rsidRPr="00654E37">
        <w:fldChar w:fldCharType="end"/>
      </w:r>
      <w:r w:rsidRPr="00654E37">
        <w:tab/>
      </w:r>
      <w:r>
        <w:t>The summary in Annexes I to IV only relates to situations where more than one sample, or sub</w:t>
      </w:r>
      <w:r>
        <w:noBreakHyphen/>
        <w:t xml:space="preserve">sample, concern the examination of </w:t>
      </w:r>
      <w:r w:rsidRPr="008D0B05">
        <w:t>the same characteristic.</w:t>
      </w:r>
      <w:r>
        <w:t xml:space="preserve">  In the case of different samples, or sub</w:t>
      </w:r>
      <w:r>
        <w:noBreakHyphen/>
        <w:t xml:space="preserve">samples (e.g. special test), to examine a different characteristic there is no requirement to combine the results because a variety is required to be uniform for all </w:t>
      </w:r>
      <w:r w:rsidRPr="00443AD8">
        <w:t>relevant characteristics.</w:t>
      </w:r>
    </w:p>
    <w:p w:rsidR="00183337" w:rsidRDefault="00183337" w:rsidP="00183337">
      <w:pPr>
        <w:jc w:val="left"/>
        <w:rPr>
          <w:szCs w:val="24"/>
        </w:rPr>
      </w:pPr>
    </w:p>
    <w:p w:rsidR="003232C8" w:rsidRDefault="00183337" w:rsidP="00183337">
      <w:pPr>
        <w:ind w:left="4820"/>
        <w:rPr>
          <w:i/>
        </w:rPr>
      </w:pPr>
      <w:r>
        <w:rPr>
          <w:i/>
        </w:rPr>
        <w:fldChar w:fldCharType="begin"/>
      </w:r>
      <w:r>
        <w:rPr>
          <w:i/>
        </w:rPr>
        <w:instrText xml:space="preserve"> AUTONUM  </w:instrText>
      </w:r>
      <w:r>
        <w:rPr>
          <w:i/>
        </w:rPr>
        <w:fldChar w:fldCharType="end"/>
      </w:r>
      <w:r>
        <w:rPr>
          <w:i/>
        </w:rPr>
        <w:tab/>
      </w:r>
      <w:r>
        <w:rPr>
          <w:i/>
        </w:rPr>
        <w:tab/>
      </w:r>
      <w:r w:rsidRPr="00330930">
        <w:rPr>
          <w:i/>
        </w:rPr>
        <w:t>The TC</w:t>
      </w:r>
      <w:r>
        <w:rPr>
          <w:i/>
        </w:rPr>
        <w:t xml:space="preserve"> is invited to</w:t>
      </w:r>
      <w:r w:rsidR="003232C8">
        <w:rPr>
          <w:i/>
        </w:rPr>
        <w:t xml:space="preserve">: </w:t>
      </w:r>
    </w:p>
    <w:p w:rsidR="003232C8" w:rsidRDefault="003232C8" w:rsidP="003232C8">
      <w:pPr>
        <w:ind w:left="4820" w:firstLine="567"/>
        <w:rPr>
          <w:i/>
        </w:rPr>
      </w:pPr>
    </w:p>
    <w:p w:rsidR="003515D6" w:rsidRPr="001142CD" w:rsidRDefault="00EB4FC2" w:rsidP="003515D6">
      <w:pPr>
        <w:pStyle w:val="ListParagraph"/>
        <w:numPr>
          <w:ilvl w:val="0"/>
          <w:numId w:val="4"/>
        </w:numPr>
        <w:ind w:firstLine="567"/>
        <w:rPr>
          <w:i/>
        </w:rPr>
      </w:pPr>
      <w:r>
        <w:rPr>
          <w:i/>
        </w:rPr>
        <w:t xml:space="preserve">note that </w:t>
      </w:r>
      <w:r w:rsidR="003515D6" w:rsidRPr="003515D6">
        <w:rPr>
          <w:i/>
        </w:rPr>
        <w:t xml:space="preserve">the TWC </w:t>
      </w:r>
      <w:r w:rsidR="00DD41C2">
        <w:rPr>
          <w:i/>
        </w:rPr>
        <w:t xml:space="preserve">proposed to provide </w:t>
      </w:r>
      <w:r w:rsidR="003515D6" w:rsidRPr="003515D6">
        <w:rPr>
          <w:i/>
        </w:rPr>
        <w:t xml:space="preserve">more detailed information and further analysis on </w:t>
      </w:r>
      <w:r w:rsidR="00DD41C2">
        <w:rPr>
          <w:i/>
        </w:rPr>
        <w:t xml:space="preserve">the </w:t>
      </w:r>
      <w:r w:rsidR="003515D6" w:rsidRPr="003515D6">
        <w:rPr>
          <w:i/>
        </w:rPr>
        <w:t xml:space="preserve">consequences </w:t>
      </w:r>
      <w:r w:rsidR="00DD41C2">
        <w:rPr>
          <w:i/>
        </w:rPr>
        <w:t>of</w:t>
      </w:r>
      <w:r w:rsidR="003515D6" w:rsidRPr="003515D6">
        <w:rPr>
          <w:i/>
        </w:rPr>
        <w:t xml:space="preserve"> the use of the approaches presented in </w:t>
      </w:r>
      <w:r w:rsidR="00DD41C2">
        <w:rPr>
          <w:i/>
        </w:rPr>
        <w:t xml:space="preserve">situations A, B, C and D at its session in 2014, as set out in </w:t>
      </w:r>
      <w:r w:rsidR="00DD41C2" w:rsidRPr="001142CD">
        <w:rPr>
          <w:i/>
        </w:rPr>
        <w:t>paragraph 33</w:t>
      </w:r>
      <w:r w:rsidR="003515D6" w:rsidRPr="001142CD">
        <w:rPr>
          <w:i/>
        </w:rPr>
        <w:t xml:space="preserve">; </w:t>
      </w:r>
    </w:p>
    <w:p w:rsidR="00EB4FC2" w:rsidRPr="001142CD" w:rsidRDefault="00EB4FC2" w:rsidP="00EB4FC2">
      <w:pPr>
        <w:rPr>
          <w:i/>
        </w:rPr>
      </w:pPr>
    </w:p>
    <w:p w:rsidR="003232C8" w:rsidRPr="001142CD" w:rsidRDefault="003515D6" w:rsidP="003515D6">
      <w:pPr>
        <w:pStyle w:val="ListParagraph"/>
        <w:numPr>
          <w:ilvl w:val="0"/>
          <w:numId w:val="4"/>
        </w:numPr>
        <w:ind w:firstLine="567"/>
        <w:rPr>
          <w:i/>
        </w:rPr>
      </w:pPr>
      <w:r w:rsidRPr="001142CD">
        <w:rPr>
          <w:i/>
        </w:rPr>
        <w:t xml:space="preserve">note that the TWC </w:t>
      </w:r>
      <w:r w:rsidR="00DD41C2" w:rsidRPr="001142CD">
        <w:rPr>
          <w:i/>
        </w:rPr>
        <w:t xml:space="preserve">proposed </w:t>
      </w:r>
      <w:r w:rsidRPr="001142CD">
        <w:rPr>
          <w:i/>
        </w:rPr>
        <w:t>that the statistical basis for the acceptable number of off</w:t>
      </w:r>
      <w:r w:rsidR="00DD41C2" w:rsidRPr="001142CD">
        <w:rPr>
          <w:i/>
        </w:rPr>
        <w:noBreakHyphen/>
      </w:r>
      <w:r w:rsidRPr="001142CD">
        <w:rPr>
          <w:i/>
        </w:rPr>
        <w:t xml:space="preserve">types in </w:t>
      </w:r>
      <w:r w:rsidR="00DD41C2" w:rsidRPr="001142CD">
        <w:rPr>
          <w:i/>
        </w:rPr>
        <w:t xml:space="preserve">situation D be considered further </w:t>
      </w:r>
      <w:r w:rsidR="000B324F" w:rsidRPr="001142CD">
        <w:rPr>
          <w:i/>
        </w:rPr>
        <w:t>at its session in 2014</w:t>
      </w:r>
      <w:r w:rsidR="00DD41C2" w:rsidRPr="001142CD">
        <w:rPr>
          <w:i/>
        </w:rPr>
        <w:t>, as set out in paragraphs</w:t>
      </w:r>
      <w:r w:rsidR="000B324F" w:rsidRPr="001142CD">
        <w:rPr>
          <w:i/>
        </w:rPr>
        <w:t> </w:t>
      </w:r>
      <w:r w:rsidR="00DD41C2" w:rsidRPr="001142CD">
        <w:rPr>
          <w:i/>
        </w:rPr>
        <w:t>34</w:t>
      </w:r>
      <w:r w:rsidR="000B324F" w:rsidRPr="001142CD">
        <w:rPr>
          <w:i/>
        </w:rPr>
        <w:t> </w:t>
      </w:r>
      <w:r w:rsidR="00DD41C2" w:rsidRPr="001142CD">
        <w:rPr>
          <w:i/>
        </w:rPr>
        <w:t>and</w:t>
      </w:r>
      <w:r w:rsidR="000B324F" w:rsidRPr="001142CD">
        <w:rPr>
          <w:i/>
        </w:rPr>
        <w:t> </w:t>
      </w:r>
      <w:r w:rsidR="00DD41C2" w:rsidRPr="001142CD">
        <w:rPr>
          <w:i/>
        </w:rPr>
        <w:t>35</w:t>
      </w:r>
      <w:r w:rsidRPr="001142CD">
        <w:rPr>
          <w:i/>
        </w:rPr>
        <w:t>;</w:t>
      </w:r>
    </w:p>
    <w:p w:rsidR="003515D6" w:rsidRPr="003515D6" w:rsidRDefault="003515D6" w:rsidP="003515D6">
      <w:pPr>
        <w:pStyle w:val="ListParagraph"/>
        <w:ind w:left="5747"/>
        <w:rPr>
          <w:i/>
        </w:rPr>
      </w:pPr>
    </w:p>
    <w:p w:rsidR="00183337" w:rsidRPr="00DD41C2" w:rsidRDefault="003232C8" w:rsidP="003232C8">
      <w:pPr>
        <w:pStyle w:val="ListParagraph"/>
        <w:numPr>
          <w:ilvl w:val="0"/>
          <w:numId w:val="4"/>
        </w:numPr>
        <w:ind w:firstLine="567"/>
        <w:rPr>
          <w:rFonts w:cs="Arial"/>
          <w:i/>
        </w:rPr>
      </w:pPr>
      <w:r w:rsidRPr="00DD41C2">
        <w:rPr>
          <w:i/>
        </w:rPr>
        <w:t xml:space="preserve">consider whether </w:t>
      </w:r>
      <w:r w:rsidR="00DD41C2" w:rsidRPr="00DD41C2">
        <w:rPr>
          <w:rFonts w:cs="Arial"/>
          <w:bCs/>
          <w:i/>
          <w:snapToGrid w:val="0"/>
          <w:color w:val="000000"/>
        </w:rPr>
        <w:t xml:space="preserve">guidance should be developed </w:t>
      </w:r>
      <w:r w:rsidR="00A270DC" w:rsidRPr="00DD41C2">
        <w:rPr>
          <w:rFonts w:cs="Arial"/>
          <w:bCs/>
          <w:i/>
          <w:snapToGrid w:val="0"/>
          <w:color w:val="000000"/>
        </w:rPr>
        <w:t>in document TGP/10</w:t>
      </w:r>
      <w:r w:rsidR="00A270DC">
        <w:rPr>
          <w:rFonts w:cs="Arial"/>
          <w:bCs/>
          <w:i/>
          <w:snapToGrid w:val="0"/>
          <w:color w:val="000000"/>
        </w:rPr>
        <w:t xml:space="preserve"> </w:t>
      </w:r>
      <w:r w:rsidR="00DD41C2" w:rsidRPr="00DD41C2">
        <w:rPr>
          <w:rFonts w:cs="Arial"/>
          <w:bCs/>
          <w:i/>
          <w:snapToGrid w:val="0"/>
          <w:color w:val="000000"/>
        </w:rPr>
        <w:t>for situations A, B, C and D</w:t>
      </w:r>
      <w:r w:rsidR="00A270DC">
        <w:rPr>
          <w:rFonts w:cs="Arial"/>
          <w:bCs/>
          <w:i/>
          <w:snapToGrid w:val="0"/>
          <w:color w:val="000000"/>
        </w:rPr>
        <w:t xml:space="preserve">, as set out in Annexes I to IV of this document, </w:t>
      </w:r>
      <w:r w:rsidR="00DD41C2" w:rsidRPr="00DD41C2">
        <w:rPr>
          <w:rFonts w:cs="Arial"/>
          <w:bCs/>
          <w:i/>
          <w:snapToGrid w:val="0"/>
          <w:color w:val="000000"/>
        </w:rPr>
        <w:t>and in the case of situations A and B</w:t>
      </w:r>
      <w:r w:rsidR="00A270DC">
        <w:rPr>
          <w:rFonts w:cs="Arial"/>
          <w:bCs/>
          <w:i/>
          <w:snapToGrid w:val="0"/>
          <w:color w:val="000000"/>
        </w:rPr>
        <w:t>,</w:t>
      </w:r>
      <w:r w:rsidR="00DD41C2" w:rsidRPr="00DD41C2">
        <w:rPr>
          <w:rFonts w:cs="Arial"/>
          <w:bCs/>
          <w:i/>
          <w:snapToGrid w:val="0"/>
          <w:color w:val="000000"/>
        </w:rPr>
        <w:t xml:space="preserve"> whether the guidance should be on the basis of one of the approaches or both approaches</w:t>
      </w:r>
      <w:r w:rsidRPr="00DD41C2">
        <w:rPr>
          <w:i/>
        </w:rPr>
        <w:t>;</w:t>
      </w:r>
      <w:r w:rsidR="00EB4FC2" w:rsidRPr="00DD41C2">
        <w:rPr>
          <w:i/>
        </w:rPr>
        <w:t xml:space="preserve"> and</w:t>
      </w:r>
    </w:p>
    <w:p w:rsidR="003232C8" w:rsidRPr="003232C8" w:rsidRDefault="003232C8" w:rsidP="003232C8">
      <w:pPr>
        <w:pStyle w:val="ListParagraph"/>
        <w:ind w:left="5180" w:firstLine="567"/>
        <w:rPr>
          <w:rFonts w:cs="Arial"/>
        </w:rPr>
      </w:pPr>
    </w:p>
    <w:p w:rsidR="003232C8" w:rsidRPr="003232C8" w:rsidRDefault="003232C8" w:rsidP="003232C8">
      <w:pPr>
        <w:pStyle w:val="ListParagraph"/>
        <w:numPr>
          <w:ilvl w:val="0"/>
          <w:numId w:val="4"/>
        </w:numPr>
        <w:ind w:firstLine="567"/>
        <w:rPr>
          <w:rFonts w:cs="Arial"/>
        </w:rPr>
      </w:pPr>
      <w:proofErr w:type="gramStart"/>
      <w:r>
        <w:rPr>
          <w:i/>
        </w:rPr>
        <w:t>consider</w:t>
      </w:r>
      <w:proofErr w:type="gramEnd"/>
      <w:r>
        <w:rPr>
          <w:i/>
        </w:rPr>
        <w:t xml:space="preserve"> whether to delete the approach presented in </w:t>
      </w:r>
      <w:r w:rsidR="00A270DC">
        <w:rPr>
          <w:i/>
        </w:rPr>
        <w:t>situation C, as set out in Annex III to this document</w:t>
      </w:r>
      <w:r>
        <w:rPr>
          <w:i/>
        </w:rPr>
        <w:t>.</w:t>
      </w:r>
    </w:p>
    <w:p w:rsidR="003232C8" w:rsidRPr="003232C8" w:rsidRDefault="003232C8" w:rsidP="003232C8">
      <w:pPr>
        <w:pStyle w:val="ListParagraph"/>
        <w:rPr>
          <w:rFonts w:cs="Arial"/>
        </w:rPr>
      </w:pPr>
    </w:p>
    <w:p w:rsidR="00183337" w:rsidRDefault="00183337" w:rsidP="00183337">
      <w:pPr>
        <w:jc w:val="right"/>
      </w:pPr>
    </w:p>
    <w:p w:rsidR="00183337" w:rsidRDefault="00183337" w:rsidP="00183337">
      <w:pPr>
        <w:jc w:val="right"/>
      </w:pPr>
    </w:p>
    <w:p w:rsidR="00183337" w:rsidRDefault="00183337" w:rsidP="00183337">
      <w:pPr>
        <w:jc w:val="right"/>
      </w:pPr>
      <w:r>
        <w:t>[Annexes follow]</w:t>
      </w:r>
    </w:p>
    <w:p w:rsidR="00183337" w:rsidRDefault="00183337" w:rsidP="00183337">
      <w:pPr>
        <w:rPr>
          <w:snapToGrid w:val="0"/>
        </w:rPr>
        <w:sectPr w:rsidR="00183337" w:rsidSect="00906DDC">
          <w:headerReference w:type="default" r:id="rId9"/>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ED3415" w:rsidTr="00183337">
        <w:trPr>
          <w:trHeight w:val="392"/>
        </w:trPr>
        <w:tc>
          <w:tcPr>
            <w:tcW w:w="9889" w:type="dxa"/>
          </w:tcPr>
          <w:p w:rsidR="00183337" w:rsidRPr="002A2C89" w:rsidRDefault="00183337" w:rsidP="00183337">
            <w:pPr>
              <w:autoSpaceDE w:val="0"/>
              <w:autoSpaceDN w:val="0"/>
              <w:adjustRightInd w:val="0"/>
              <w:spacing w:before="120" w:after="120"/>
              <w:jc w:val="center"/>
              <w:rPr>
                <w:rFonts w:eastAsia="SimSun"/>
                <w:szCs w:val="24"/>
                <w:lang w:eastAsia="zh-CN"/>
              </w:rPr>
            </w:pPr>
            <w:r>
              <w:rPr>
                <w:rFonts w:eastAsia="SimSun"/>
                <w:szCs w:val="24"/>
                <w:lang w:eastAsia="zh-CN"/>
              </w:rPr>
              <w:t>SITUATION A:  TWO GROWING CYCLES IN A SINGLE LOCATION</w:t>
            </w:r>
          </w:p>
        </w:tc>
      </w:tr>
      <w:tr w:rsidR="00183337" w:rsidRPr="00ED3415" w:rsidTr="00183337">
        <w:trPr>
          <w:trHeight w:val="2880"/>
        </w:trPr>
        <w:tc>
          <w:tcPr>
            <w:tcW w:w="9889" w:type="dxa"/>
            <w:tcBorders>
              <w:bottom w:val="single" w:sz="4" w:space="0" w:color="auto"/>
            </w:tcBorders>
          </w:tcPr>
          <w:p w:rsidR="00183337" w:rsidRDefault="00183337" w:rsidP="00183337">
            <w:pPr>
              <w:rPr>
                <w:b/>
                <w:szCs w:val="24"/>
              </w:rPr>
            </w:pPr>
          </w:p>
          <w:p w:rsidR="00183337" w:rsidRDefault="00183337" w:rsidP="00183337">
            <w:pPr>
              <w:rPr>
                <w:b/>
                <w:szCs w:val="24"/>
              </w:rPr>
            </w:pPr>
            <w:r>
              <w:rPr>
                <w:b/>
                <w:szCs w:val="24"/>
              </w:rPr>
              <w:t>Approach 1:  Third growing cycle in the case of</w:t>
            </w:r>
            <w:r w:rsidRPr="00C9028D">
              <w:rPr>
                <w:b/>
                <w:szCs w:val="24"/>
              </w:rPr>
              <w:t xml:space="preserve"> i</w:t>
            </w:r>
            <w:r>
              <w:rPr>
                <w:b/>
                <w:szCs w:val="24"/>
              </w:rPr>
              <w:t xml:space="preserve">nconsistent results </w:t>
            </w:r>
          </w:p>
          <w:p w:rsidR="00183337" w:rsidRPr="00C9028D" w:rsidRDefault="00183337" w:rsidP="00183337">
            <w:pPr>
              <w:rPr>
                <w:b/>
                <w:szCs w:val="24"/>
              </w:rPr>
            </w:pPr>
          </w:p>
          <w:p w:rsidR="00183337" w:rsidRDefault="00183337" w:rsidP="00183337">
            <w:pPr>
              <w:rPr>
                <w:rFonts w:eastAsia="SimSun"/>
                <w:szCs w:val="24"/>
                <w:lang w:eastAsia="zh-CN"/>
              </w:rPr>
            </w:pPr>
            <w:r w:rsidRPr="00ED3415">
              <w:rPr>
                <w:rFonts w:eastAsia="SimSun"/>
                <w:szCs w:val="24"/>
                <w:lang w:eastAsia="zh-CN"/>
              </w:rPr>
              <w:t>A variety is considered uniform if it is within the uniformity stan</w:t>
            </w:r>
            <w:r>
              <w:rPr>
                <w:rFonts w:eastAsia="SimSun"/>
                <w:szCs w:val="24"/>
                <w:lang w:eastAsia="zh-CN"/>
              </w:rPr>
              <w:t>dard in both of the two growing</w:t>
            </w:r>
            <w:r w:rsidRPr="00ED3415">
              <w:rPr>
                <w:rFonts w:eastAsia="SimSun"/>
                <w:szCs w:val="24"/>
                <w:lang w:eastAsia="zh-CN"/>
              </w:rPr>
              <w:t xml:space="preserve"> cycles</w:t>
            </w:r>
            <w:r>
              <w:rPr>
                <w:rFonts w:eastAsia="SimSun"/>
                <w:szCs w:val="24"/>
                <w:lang w:eastAsia="zh-CN"/>
              </w:rPr>
              <w:t>.</w:t>
            </w:r>
          </w:p>
          <w:p w:rsidR="00183337" w:rsidRPr="00ED3415" w:rsidRDefault="00183337" w:rsidP="00183337">
            <w:pPr>
              <w:rPr>
                <w:rFonts w:eastAsia="SimSun"/>
                <w:szCs w:val="24"/>
                <w:lang w:eastAsia="zh-CN"/>
              </w:rPr>
            </w:pPr>
          </w:p>
          <w:p w:rsidR="00183337" w:rsidRDefault="00183337" w:rsidP="00183337">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dard in both of the two growing</w:t>
            </w:r>
            <w:r w:rsidRPr="00ED3415">
              <w:rPr>
                <w:rFonts w:eastAsia="SimSun"/>
                <w:szCs w:val="24"/>
                <w:lang w:eastAsia="zh-CN"/>
              </w:rPr>
              <w:t xml:space="preserve"> cycles.</w:t>
            </w:r>
          </w:p>
          <w:p w:rsidR="00183337" w:rsidRPr="00ED3415" w:rsidRDefault="00183337" w:rsidP="00183337">
            <w:pPr>
              <w:rPr>
                <w:rFonts w:eastAsia="SimSun"/>
                <w:szCs w:val="24"/>
                <w:lang w:eastAsia="zh-CN"/>
              </w:rPr>
            </w:pPr>
          </w:p>
          <w:p w:rsidR="00183337" w:rsidRDefault="00183337" w:rsidP="00183337">
            <w:pPr>
              <w:keepNext/>
              <w:keepLines/>
              <w:rPr>
                <w:rFonts w:eastAsia="SimSun"/>
                <w:szCs w:val="24"/>
                <w:lang w:eastAsia="zh-CN"/>
              </w:rPr>
            </w:pPr>
            <w:r w:rsidRPr="00ED3415">
              <w:rPr>
                <w:rFonts w:eastAsia="SimSun"/>
                <w:szCs w:val="24"/>
                <w:lang w:eastAsia="zh-CN"/>
              </w:rPr>
              <w:t>I</w:t>
            </w:r>
            <w:r>
              <w:rPr>
                <w:rFonts w:eastAsia="SimSun"/>
                <w:szCs w:val="24"/>
                <w:lang w:eastAsia="zh-CN"/>
              </w:rPr>
              <w:t xml:space="preserve">f at the end of the </w:t>
            </w:r>
            <w:r w:rsidRPr="00F16672">
              <w:rPr>
                <w:rFonts w:eastAsia="SimSun"/>
                <w:szCs w:val="24"/>
                <w:lang w:eastAsia="zh-CN"/>
              </w:rPr>
              <w:t>two growing cycles</w:t>
            </w:r>
            <w:r w:rsidRPr="00ED3415">
              <w:rPr>
                <w:rFonts w:eastAsia="SimSun"/>
                <w:szCs w:val="24"/>
                <w:lang w:eastAsia="zh-CN"/>
              </w:rPr>
              <w:t xml:space="preserve"> the variety is within the</w:t>
            </w:r>
            <w:r>
              <w:rPr>
                <w:rFonts w:eastAsia="SimSun"/>
                <w:szCs w:val="24"/>
                <w:lang w:eastAsia="zh-CN"/>
              </w:rPr>
              <w:t xml:space="preserve"> uniformity standard in </w:t>
            </w:r>
            <w:r w:rsidRPr="00F16672">
              <w:rPr>
                <w:rFonts w:eastAsia="SimSun"/>
                <w:szCs w:val="24"/>
                <w:lang w:eastAsia="zh-CN"/>
              </w:rPr>
              <w:t>one growing</w:t>
            </w:r>
            <w:r w:rsidRPr="00ED3415">
              <w:rPr>
                <w:rFonts w:eastAsia="SimSun"/>
                <w:szCs w:val="24"/>
                <w:lang w:eastAsia="zh-CN"/>
              </w:rPr>
              <w:t xml:space="preserve"> cycle but is not within the uniformity standard in the other growing cycle, then unif</w:t>
            </w:r>
            <w:r>
              <w:rPr>
                <w:rFonts w:eastAsia="SimSun"/>
                <w:szCs w:val="24"/>
                <w:lang w:eastAsia="zh-CN"/>
              </w:rPr>
              <w:t xml:space="preserve">ormity is assessed in a third </w:t>
            </w:r>
            <w:r w:rsidRPr="00F16672">
              <w:rPr>
                <w:rFonts w:eastAsia="SimSun"/>
                <w:szCs w:val="24"/>
                <w:lang w:eastAsia="zh-CN"/>
              </w:rPr>
              <w:t>growing</w:t>
            </w:r>
            <w:r w:rsidRPr="00ED3415">
              <w:rPr>
                <w:rFonts w:eastAsia="SimSun"/>
                <w:szCs w:val="24"/>
                <w:lang w:eastAsia="zh-CN"/>
              </w:rPr>
              <w:t xml:space="preserve"> cycle after consultation with the appl</w:t>
            </w:r>
            <w:r>
              <w:rPr>
                <w:rFonts w:eastAsia="SimSun"/>
                <w:szCs w:val="24"/>
                <w:lang w:eastAsia="zh-CN"/>
              </w:rPr>
              <w:t xml:space="preserve">icant.  If in the third </w:t>
            </w:r>
            <w:r w:rsidRPr="00F16672">
              <w:rPr>
                <w:rFonts w:eastAsia="SimSun"/>
                <w:szCs w:val="24"/>
                <w:lang w:eastAsia="zh-CN"/>
              </w:rPr>
              <w:t>growing</w:t>
            </w:r>
            <w:r w:rsidRPr="00ED3415">
              <w:rPr>
                <w:rFonts w:eastAsia="SimSun"/>
                <w:szCs w:val="24"/>
                <w:lang w:eastAsia="zh-CN"/>
              </w:rPr>
              <w:t xml:space="preserve"> cycle the variety is within the uniformity standard, the variety is consi</w:t>
            </w:r>
            <w:r>
              <w:rPr>
                <w:rFonts w:eastAsia="SimSun"/>
                <w:szCs w:val="24"/>
                <w:lang w:eastAsia="zh-CN"/>
              </w:rPr>
              <w:t>dered uniform.  If in</w:t>
            </w:r>
            <w:r w:rsidRPr="00ED3415">
              <w:rPr>
                <w:rFonts w:eastAsia="SimSun"/>
                <w:szCs w:val="24"/>
                <w:lang w:eastAsia="zh-CN"/>
              </w:rPr>
              <w:t xml:space="preserve"> the third </w:t>
            </w:r>
            <w:r>
              <w:rPr>
                <w:rFonts w:eastAsia="SimSun"/>
                <w:szCs w:val="24"/>
                <w:lang w:eastAsia="zh-CN"/>
              </w:rPr>
              <w:t>growing</w:t>
            </w:r>
            <w:r w:rsidRPr="00ED3415">
              <w:rPr>
                <w:rFonts w:eastAsia="SimSun"/>
                <w:szCs w:val="24"/>
                <w:lang w:eastAsia="zh-CN"/>
              </w:rPr>
              <w:t xml:space="preserve"> cycle the variety fails to meet the uniformity standard, the variety is considered non-uniform.</w:t>
            </w:r>
          </w:p>
          <w:p w:rsidR="00183337" w:rsidRDefault="00183337" w:rsidP="00183337">
            <w:pPr>
              <w:keepNext/>
              <w:keepLines/>
              <w:rPr>
                <w:color w:val="000000"/>
                <w:szCs w:val="24"/>
              </w:rPr>
            </w:pPr>
          </w:p>
          <w:p w:rsidR="00183337" w:rsidRDefault="00183337" w:rsidP="00183337">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183337" w:rsidRDefault="00183337" w:rsidP="00183337">
            <w:pPr>
              <w:keepNext/>
              <w:keepLines/>
              <w:rPr>
                <w:rFonts w:eastAsia="SimSun"/>
                <w:szCs w:val="24"/>
                <w:lang w:eastAsia="zh-CN"/>
              </w:rPr>
            </w:pPr>
          </w:p>
          <w:p w:rsidR="00183337" w:rsidRPr="00443AD8" w:rsidRDefault="00183337" w:rsidP="00183337">
            <w:pPr>
              <w:keepNext/>
              <w:keepLines/>
              <w:rPr>
                <w:rFonts w:eastAsia="SimSun"/>
                <w:szCs w:val="24"/>
                <w:lang w:eastAsia="zh-CN"/>
              </w:rPr>
            </w:pPr>
          </w:p>
          <w:p w:rsidR="00183337" w:rsidRDefault="00183337" w:rsidP="00183337">
            <w:pPr>
              <w:rPr>
                <w:b/>
                <w:szCs w:val="24"/>
              </w:rPr>
            </w:pPr>
            <w:r>
              <w:rPr>
                <w:b/>
                <w:szCs w:val="24"/>
              </w:rPr>
              <w:t>Approach 2:  Combining the results of two growing cycles</w:t>
            </w:r>
          </w:p>
          <w:p w:rsidR="00183337" w:rsidRPr="00AE31A9" w:rsidRDefault="00183337" w:rsidP="00183337">
            <w:pPr>
              <w:keepNext/>
              <w:keepLines/>
              <w:rPr>
                <w:rFonts w:eastAsia="MS Mincho"/>
                <w:color w:val="000000"/>
                <w:lang w:eastAsia="ja-JP"/>
              </w:rPr>
            </w:pPr>
          </w:p>
          <w:p w:rsidR="00183337" w:rsidRDefault="00183337" w:rsidP="00183337">
            <w:pPr>
              <w:rPr>
                <w:rFonts w:eastAsia="SimSun"/>
                <w:lang w:eastAsia="zh-CN"/>
              </w:rPr>
            </w:pPr>
            <w:r w:rsidRPr="00160D6F">
              <w:rPr>
                <w:rFonts w:eastAsia="SimSun"/>
                <w:lang w:eastAsia="zh-CN"/>
              </w:rPr>
              <w:t>A variety is considered uniform if it is w</w:t>
            </w:r>
            <w:r>
              <w:rPr>
                <w:rFonts w:eastAsia="SimSun"/>
                <w:lang w:eastAsia="zh-CN"/>
              </w:rPr>
              <w:t>ithin the uniformity standard in</w:t>
            </w:r>
            <w:r w:rsidRPr="00160D6F">
              <w:rPr>
                <w:rFonts w:eastAsia="SimSun"/>
                <w:lang w:eastAsia="zh-CN"/>
              </w:rPr>
              <w:t xml:space="preserve"> both of the two growing cycles</w:t>
            </w:r>
            <w:r>
              <w:rPr>
                <w:rFonts w:eastAsia="SimSun"/>
                <w:lang w:eastAsia="zh-CN"/>
              </w:rPr>
              <w:t>.</w:t>
            </w:r>
          </w:p>
          <w:p w:rsidR="00183337" w:rsidRDefault="00183337" w:rsidP="00183337">
            <w:pPr>
              <w:rPr>
                <w:rFonts w:eastAsia="SimSun"/>
                <w:lang w:eastAsia="zh-CN"/>
              </w:rPr>
            </w:pPr>
          </w:p>
          <w:p w:rsidR="00183337" w:rsidRPr="002302DC" w:rsidRDefault="00183337" w:rsidP="00183337">
            <w:pPr>
              <w:rPr>
                <w:rFonts w:eastAsia="SimSun"/>
                <w:lang w:eastAsia="zh-CN"/>
              </w:rPr>
            </w:pPr>
            <w:r w:rsidRPr="002302DC">
              <w:rPr>
                <w:rFonts w:eastAsia="SimSun"/>
                <w:lang w:eastAsia="zh-CN"/>
              </w:rPr>
              <w:t>A variety is considered non-uniform if it fails to meet the uniformity standard in both of the two growing cycles.</w:t>
            </w:r>
          </w:p>
          <w:p w:rsidR="00183337" w:rsidRPr="00160D6F" w:rsidRDefault="00183337" w:rsidP="00183337">
            <w:pPr>
              <w:rPr>
                <w:rFonts w:eastAsia="SimSun"/>
                <w:lang w:eastAsia="zh-CN"/>
              </w:rPr>
            </w:pPr>
          </w:p>
          <w:p w:rsidR="00183337" w:rsidRPr="00183337" w:rsidRDefault="00183337" w:rsidP="00183337">
            <w:pPr>
              <w:keepNext/>
              <w:keepLines/>
              <w:rPr>
                <w:rFonts w:eastAsia="SimSun"/>
                <w:lang w:eastAsia="zh-CN"/>
              </w:rPr>
            </w:pPr>
            <w:r w:rsidRPr="00183337">
              <w:rPr>
                <w:rFonts w:eastAsia="SimSun"/>
                <w:lang w:eastAsia="zh-CN"/>
              </w:rPr>
              <w:t>If at the end of the two growing cycles the variety is within the uniformity standard in one growing cycle but is not within the uniformity standard in the other growing cycle, a</w:t>
            </w:r>
            <w:r w:rsidRPr="00183337" w:rsidDel="00882017">
              <w:rPr>
                <w:rFonts w:eastAsia="SimSun"/>
                <w:lang w:eastAsia="zh-CN"/>
              </w:rPr>
              <w:t xml:space="preserve"> </w:t>
            </w:r>
            <w:r w:rsidRPr="00183337">
              <w:rPr>
                <w:rFonts w:eastAsia="SimSun"/>
                <w:lang w:eastAsia="zh-CN"/>
              </w:rPr>
              <w:t>variety is considered uniform if the total number of off-types at the end of the two growing cycles does not exceed the number of allowed off-types for the combined sample.</w:t>
            </w:r>
          </w:p>
          <w:p w:rsidR="00183337" w:rsidRPr="00183337" w:rsidRDefault="00183337" w:rsidP="00183337">
            <w:pPr>
              <w:keepNext/>
              <w:keepLines/>
              <w:ind w:right="459"/>
              <w:rPr>
                <w:rFonts w:eastAsia="SimSun"/>
                <w:lang w:eastAsia="zh-CN"/>
              </w:rPr>
            </w:pPr>
          </w:p>
          <w:p w:rsidR="00183337" w:rsidRPr="00183337" w:rsidRDefault="00183337" w:rsidP="00183337">
            <w:pPr>
              <w:keepNext/>
              <w:keepLines/>
              <w:rPr>
                <w:rFonts w:eastAsia="SimSun"/>
                <w:lang w:eastAsia="zh-CN"/>
              </w:rPr>
            </w:pPr>
            <w:r w:rsidRPr="00183337">
              <w:rPr>
                <w:rFonts w:eastAsia="SimSun"/>
                <w:lang w:eastAsia="zh-CN"/>
              </w:rPr>
              <w:t>Care is needed when considering results that were very different in each of the growing cycles, such as when a type of off-type was observed at a high level in one growing cycle and was absent in another growing cycle.</w:t>
            </w:r>
          </w:p>
          <w:p w:rsidR="00183337" w:rsidRDefault="00183337" w:rsidP="00183337">
            <w:pPr>
              <w:rPr>
                <w:szCs w:val="24"/>
              </w:rPr>
            </w:pPr>
            <w:r>
              <w:rPr>
                <w:color w:val="000000"/>
                <w:szCs w:val="24"/>
              </w:rPr>
              <w:t>______________________________________________________________________________________</w:t>
            </w:r>
          </w:p>
          <w:p w:rsidR="00183337" w:rsidRDefault="00183337" w:rsidP="00183337">
            <w:pPr>
              <w:rPr>
                <w:szCs w:val="24"/>
              </w:rPr>
            </w:pPr>
          </w:p>
          <w:p w:rsidR="00183337" w:rsidRPr="00BD2498" w:rsidRDefault="00183337" w:rsidP="00183337">
            <w:pPr>
              <w:rPr>
                <w:szCs w:val="24"/>
              </w:rPr>
            </w:pPr>
            <w:r w:rsidRPr="00BD2498">
              <w:rPr>
                <w:szCs w:val="24"/>
              </w:rPr>
              <w:t xml:space="preserve">Example for consideration: </w:t>
            </w:r>
          </w:p>
          <w:p w:rsidR="00183337" w:rsidRDefault="00183337" w:rsidP="00183337">
            <w:pPr>
              <w:rPr>
                <w:szCs w:val="24"/>
              </w:rPr>
            </w:pPr>
          </w:p>
          <w:tbl>
            <w:tblPr>
              <w:tblW w:w="5778" w:type="dxa"/>
              <w:tblInd w:w="1593" w:type="dxa"/>
              <w:tblLook w:val="04A0" w:firstRow="1" w:lastRow="0" w:firstColumn="1" w:lastColumn="0" w:noHBand="0" w:noVBand="1"/>
            </w:tblPr>
            <w:tblGrid>
              <w:gridCol w:w="5778"/>
            </w:tblGrid>
            <w:tr w:rsidR="00183337" w:rsidRPr="00304612" w:rsidTr="00183337">
              <w:trPr>
                <w:trHeight w:val="255"/>
              </w:trPr>
              <w:tc>
                <w:tcPr>
                  <w:tcW w:w="5778" w:type="dxa"/>
                  <w:tcBorders>
                    <w:top w:val="nil"/>
                    <w:left w:val="nil"/>
                    <w:bottom w:val="nil"/>
                    <w:right w:val="nil"/>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 xml:space="preserve">Population Standard  = 1%  </w:t>
                  </w:r>
                </w:p>
              </w:tc>
            </w:tr>
            <w:tr w:rsidR="00183337" w:rsidRPr="00304612" w:rsidTr="00183337">
              <w:trPr>
                <w:trHeight w:val="270"/>
              </w:trPr>
              <w:tc>
                <w:tcPr>
                  <w:tcW w:w="5778" w:type="dxa"/>
                  <w:tcBorders>
                    <w:top w:val="nil"/>
                    <w:left w:val="nil"/>
                    <w:bottom w:val="nil"/>
                    <w:right w:val="nil"/>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Acceptance Probability ≥ 95%</w:t>
                  </w:r>
                </w:p>
              </w:tc>
            </w:tr>
            <w:tr w:rsidR="00183337" w:rsidRPr="00304612" w:rsidTr="00183337">
              <w:trPr>
                <w:trHeight w:val="255"/>
              </w:trPr>
              <w:tc>
                <w:tcPr>
                  <w:tcW w:w="5778" w:type="dxa"/>
                  <w:tcBorders>
                    <w:top w:val="single" w:sz="8" w:space="0" w:color="auto"/>
                    <w:left w:val="single" w:sz="8" w:space="0" w:color="auto"/>
                    <w:bottom w:val="nil"/>
                    <w:right w:val="single" w:sz="8" w:space="0" w:color="000000"/>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183337" w:rsidRPr="00304612" w:rsidTr="00183337">
              <w:trPr>
                <w:trHeight w:val="270"/>
              </w:trPr>
              <w:tc>
                <w:tcPr>
                  <w:tcW w:w="5778" w:type="dxa"/>
                  <w:tcBorders>
                    <w:top w:val="nil"/>
                    <w:left w:val="single" w:sz="4" w:space="0" w:color="auto"/>
                    <w:bottom w:val="single" w:sz="8" w:space="0" w:color="auto"/>
                    <w:right w:val="single" w:sz="8" w:space="0" w:color="000000"/>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Maximum number of Off-Types = 2</w:t>
                  </w:r>
                </w:p>
              </w:tc>
            </w:tr>
            <w:tr w:rsidR="00183337" w:rsidRPr="00304612" w:rsidTr="00183337">
              <w:trPr>
                <w:trHeight w:val="270"/>
              </w:trPr>
              <w:tc>
                <w:tcPr>
                  <w:tcW w:w="5778" w:type="dxa"/>
                  <w:tcBorders>
                    <w:top w:val="nil"/>
                    <w:left w:val="single" w:sz="4" w:space="0" w:color="auto"/>
                    <w:bottom w:val="nil"/>
                    <w:right w:val="single" w:sz="4" w:space="0" w:color="auto"/>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183337" w:rsidRPr="00304612" w:rsidTr="00183337">
              <w:trPr>
                <w:trHeight w:val="270"/>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Maximum number of Off-Types = 3</w:t>
                  </w:r>
                </w:p>
              </w:tc>
            </w:tr>
          </w:tbl>
          <w:p w:rsidR="00183337" w:rsidRDefault="00183337" w:rsidP="00183337">
            <w:pPr>
              <w:pStyle w:val="Titleofdoc0"/>
              <w:spacing w:before="0"/>
              <w:jc w:val="both"/>
              <w:rPr>
                <w:szCs w:val="24"/>
              </w:rPr>
            </w:pPr>
          </w:p>
          <w:tbl>
            <w:tblPr>
              <w:tblW w:w="5781" w:type="dxa"/>
              <w:tblInd w:w="1593" w:type="dxa"/>
              <w:tblLook w:val="04A0" w:firstRow="1" w:lastRow="0" w:firstColumn="1" w:lastColumn="0" w:noHBand="0" w:noVBand="1"/>
            </w:tblPr>
            <w:tblGrid>
              <w:gridCol w:w="520"/>
              <w:gridCol w:w="1080"/>
              <w:gridCol w:w="1260"/>
              <w:gridCol w:w="1501"/>
              <w:gridCol w:w="1420"/>
            </w:tblGrid>
            <w:tr w:rsidR="00183337" w:rsidRPr="00BD2498" w:rsidTr="00183337">
              <w:trPr>
                <w:trHeight w:val="255"/>
              </w:trPr>
              <w:tc>
                <w:tcPr>
                  <w:tcW w:w="5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08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126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1501"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142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r>
            <w:tr w:rsidR="00183337" w:rsidRPr="00BD2498" w:rsidTr="00183337">
              <w:trPr>
                <w:trHeight w:val="255"/>
              </w:trPr>
              <w:tc>
                <w:tcPr>
                  <w:tcW w:w="520" w:type="dxa"/>
                  <w:tcBorders>
                    <w:top w:val="nil"/>
                    <w:left w:val="nil"/>
                    <w:bottom w:val="nil"/>
                    <w:right w:val="single" w:sz="4" w:space="0" w:color="auto"/>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2340" w:type="dxa"/>
                  <w:gridSpan w:val="2"/>
                  <w:tcBorders>
                    <w:top w:val="nil"/>
                    <w:left w:val="nil"/>
                    <w:bottom w:val="single" w:sz="4" w:space="0" w:color="auto"/>
                    <w:right w:val="single" w:sz="4" w:space="0" w:color="000000"/>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Growing cycle</w:t>
                  </w:r>
                </w:p>
              </w:tc>
              <w:tc>
                <w:tcPr>
                  <w:tcW w:w="29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Decision</w:t>
                  </w:r>
                </w:p>
              </w:tc>
            </w:tr>
            <w:tr w:rsidR="00183337" w:rsidRPr="00BD2498" w:rsidTr="00183337">
              <w:trPr>
                <w:trHeight w:val="270"/>
              </w:trPr>
              <w:tc>
                <w:tcPr>
                  <w:tcW w:w="520" w:type="dxa"/>
                  <w:tcBorders>
                    <w:top w:val="nil"/>
                    <w:left w:val="nil"/>
                    <w:bottom w:val="single" w:sz="4" w:space="0" w:color="auto"/>
                    <w:right w:val="single" w:sz="4" w:space="0" w:color="auto"/>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108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First</w:t>
                  </w:r>
                </w:p>
              </w:tc>
              <w:tc>
                <w:tcPr>
                  <w:tcW w:w="126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Second</w:t>
                  </w:r>
                </w:p>
              </w:tc>
              <w:tc>
                <w:tcPr>
                  <w:tcW w:w="1501"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Approach 1</w:t>
                  </w:r>
                </w:p>
              </w:tc>
              <w:tc>
                <w:tcPr>
                  <w:tcW w:w="142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Approach 2</w:t>
                  </w:r>
                </w:p>
              </w:tc>
            </w:tr>
            <w:tr w:rsidR="00183337" w:rsidRPr="00BD2498" w:rsidTr="00183337">
              <w:trPr>
                <w:trHeight w:val="390"/>
              </w:trPr>
              <w:tc>
                <w:tcPr>
                  <w:tcW w:w="520" w:type="dxa"/>
                  <w:vMerge w:val="restart"/>
                  <w:tcBorders>
                    <w:top w:val="nil"/>
                    <w:left w:val="single" w:sz="4" w:space="0" w:color="auto"/>
                    <w:bottom w:val="single" w:sz="4" w:space="0" w:color="000000"/>
                    <w:right w:val="single" w:sz="4" w:space="0" w:color="000000"/>
                  </w:tcBorders>
                  <w:shd w:val="clear" w:color="auto" w:fill="auto"/>
                  <w:textDirection w:val="btLr"/>
                  <w:vAlign w:val="bottom"/>
                  <w:hideMark/>
                </w:tcPr>
                <w:p w:rsidR="00183337" w:rsidRPr="00BD2498" w:rsidRDefault="00183337" w:rsidP="00183337">
                  <w:pPr>
                    <w:jc w:val="center"/>
                    <w:rPr>
                      <w:rFonts w:cs="Arial"/>
                      <w:color w:val="000000"/>
                    </w:rPr>
                  </w:pPr>
                  <w:r w:rsidRPr="00BD2498">
                    <w:rPr>
                      <w:rFonts w:cs="Arial"/>
                      <w:color w:val="000000"/>
                    </w:rPr>
                    <w:t>Number of Off-Types</w:t>
                  </w:r>
                </w:p>
              </w:tc>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rFonts w:cs="Arial"/>
                      <w:color w:val="000000"/>
                    </w:rPr>
                    <w:t>2</w:t>
                  </w:r>
                </w:p>
              </w:tc>
              <w:tc>
                <w:tcPr>
                  <w:tcW w:w="1260" w:type="dxa"/>
                  <w:tcBorders>
                    <w:top w:val="nil"/>
                    <w:left w:val="nil"/>
                    <w:bottom w:val="single" w:sz="8"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rFonts w:cs="Arial"/>
                      <w:color w:val="000000"/>
                    </w:rPr>
                    <w:t>2</w:t>
                  </w:r>
                </w:p>
              </w:tc>
              <w:tc>
                <w:tcPr>
                  <w:tcW w:w="1501" w:type="dxa"/>
                  <w:tcBorders>
                    <w:top w:val="nil"/>
                    <w:left w:val="nil"/>
                    <w:bottom w:val="single" w:sz="8"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rFonts w:cs="Arial"/>
                      <w:color w:val="000000"/>
                    </w:rPr>
                    <w:t>u</w:t>
                  </w:r>
                  <w:r w:rsidRPr="00BD2498">
                    <w:rPr>
                      <w:rFonts w:cs="Arial"/>
                      <w:color w:val="000000"/>
                    </w:rPr>
                    <w:t>niform</w:t>
                  </w:r>
                </w:p>
              </w:tc>
              <w:tc>
                <w:tcPr>
                  <w:tcW w:w="1420" w:type="dxa"/>
                  <w:tcBorders>
                    <w:top w:val="nil"/>
                    <w:left w:val="nil"/>
                    <w:bottom w:val="single" w:sz="8" w:space="0" w:color="auto"/>
                    <w:right w:val="single" w:sz="8"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uniform</w:t>
                  </w:r>
                </w:p>
              </w:tc>
            </w:tr>
            <w:tr w:rsidR="00183337" w:rsidRPr="00BD2498" w:rsidTr="00183337">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0</w:t>
                  </w:r>
                </w:p>
              </w:tc>
              <w:tc>
                <w:tcPr>
                  <w:tcW w:w="126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rFonts w:cs="Arial"/>
                      <w:color w:val="000000"/>
                    </w:rPr>
                    <w:t>t</w:t>
                  </w:r>
                  <w:r w:rsidRPr="00BD2498">
                    <w:rPr>
                      <w:rFonts w:cs="Arial"/>
                      <w:color w:val="000000"/>
                    </w:rPr>
                    <w:t>hird growing cycle</w:t>
                  </w:r>
                </w:p>
              </w:tc>
              <w:tc>
                <w:tcPr>
                  <w:tcW w:w="142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uniform</w:t>
                  </w:r>
                </w:p>
              </w:tc>
            </w:tr>
            <w:tr w:rsidR="00183337" w:rsidRPr="00BD2498" w:rsidTr="00183337">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1</w:t>
                  </w:r>
                </w:p>
              </w:tc>
              <w:tc>
                <w:tcPr>
                  <w:tcW w:w="126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rFonts w:cs="Arial"/>
                      <w:color w:val="000000"/>
                    </w:rPr>
                    <w:t>t</w:t>
                  </w:r>
                  <w:r w:rsidRPr="00BD2498">
                    <w:rPr>
                      <w:rFonts w:cs="Arial"/>
                      <w:color w:val="000000"/>
                    </w:rPr>
                    <w:t>hird growing cycle</w:t>
                  </w:r>
                </w:p>
              </w:tc>
              <w:tc>
                <w:tcPr>
                  <w:tcW w:w="1420" w:type="dxa"/>
                  <w:tcBorders>
                    <w:top w:val="nil"/>
                    <w:left w:val="nil"/>
                    <w:bottom w:val="single" w:sz="8" w:space="0" w:color="auto"/>
                    <w:right w:val="single" w:sz="8" w:space="0" w:color="auto"/>
                  </w:tcBorders>
                  <w:shd w:val="clear" w:color="auto" w:fill="auto"/>
                  <w:vAlign w:val="center"/>
                  <w:hideMark/>
                </w:tcPr>
                <w:p w:rsidR="00183337" w:rsidRPr="00BD2498" w:rsidRDefault="00183337" w:rsidP="00183337">
                  <w:pPr>
                    <w:jc w:val="center"/>
                    <w:rPr>
                      <w:rFonts w:cs="Arial"/>
                      <w:color w:val="000000"/>
                    </w:rPr>
                  </w:pPr>
                  <w:r>
                    <w:rPr>
                      <w:rFonts w:cs="Arial"/>
                      <w:color w:val="000000"/>
                    </w:rPr>
                    <w:t>non-</w:t>
                  </w:r>
                  <w:r w:rsidRPr="00BD2498">
                    <w:rPr>
                      <w:rFonts w:cs="Arial"/>
                      <w:color w:val="000000"/>
                    </w:rPr>
                    <w:t>uniform</w:t>
                  </w:r>
                </w:p>
              </w:tc>
            </w:tr>
            <w:tr w:rsidR="00183337" w:rsidRPr="00BD2498" w:rsidTr="00183337">
              <w:trPr>
                <w:trHeight w:val="510"/>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sidRPr="00BD2498">
                    <w:rPr>
                      <w:rFonts w:cs="Arial"/>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sidRPr="00BD2498">
                    <w:rPr>
                      <w:rFonts w:cs="Arial"/>
                      <w:color w:val="000000"/>
                    </w:rPr>
                    <w:t>10</w:t>
                  </w:r>
                </w:p>
              </w:tc>
              <w:tc>
                <w:tcPr>
                  <w:tcW w:w="1501" w:type="dxa"/>
                  <w:tcBorders>
                    <w:top w:val="nil"/>
                    <w:left w:val="nil"/>
                    <w:bottom w:val="single" w:sz="4"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rFonts w:cs="Arial"/>
                      <w:color w:val="000000"/>
                    </w:rPr>
                    <w:t>t</w:t>
                  </w:r>
                  <w:r w:rsidRPr="00BD2498">
                    <w:rPr>
                      <w:rFonts w:cs="Arial"/>
                      <w:color w:val="000000"/>
                    </w:rPr>
                    <w:t>hird growing cycle</w:t>
                  </w:r>
                </w:p>
              </w:tc>
              <w:tc>
                <w:tcPr>
                  <w:tcW w:w="1420" w:type="dxa"/>
                  <w:tcBorders>
                    <w:top w:val="nil"/>
                    <w:left w:val="nil"/>
                    <w:bottom w:val="single" w:sz="4"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non-uniform</w:t>
                  </w:r>
                </w:p>
              </w:tc>
            </w:tr>
            <w:tr w:rsidR="00183337" w:rsidRPr="00BD2498" w:rsidTr="00183337">
              <w:trPr>
                <w:trHeight w:val="255"/>
              </w:trPr>
              <w:tc>
                <w:tcPr>
                  <w:tcW w:w="5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08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26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501"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4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r>
          </w:tbl>
          <w:p w:rsidR="00183337" w:rsidRPr="0071257F" w:rsidRDefault="00183337" w:rsidP="00183337">
            <w:pPr>
              <w:pStyle w:val="Titleofdoc0"/>
              <w:spacing w:before="0"/>
              <w:jc w:val="both"/>
              <w:rPr>
                <w:szCs w:val="24"/>
              </w:rPr>
            </w:pPr>
          </w:p>
        </w:tc>
      </w:tr>
    </w:tbl>
    <w:p w:rsidR="00183337" w:rsidRDefault="00183337" w:rsidP="00183337">
      <w:pPr>
        <w:rPr>
          <w:snapToGrid w:val="0"/>
        </w:rPr>
      </w:pPr>
    </w:p>
    <w:p w:rsidR="00183337" w:rsidRDefault="00183337" w:rsidP="00183337">
      <w:pPr>
        <w:rPr>
          <w:snapToGrid w:val="0"/>
        </w:rPr>
      </w:pPr>
    </w:p>
    <w:p w:rsidR="00183337" w:rsidRDefault="00183337" w:rsidP="00183337">
      <w:pPr>
        <w:jc w:val="right"/>
        <w:rPr>
          <w:snapToGrid w:val="0"/>
        </w:rPr>
      </w:pPr>
      <w:r>
        <w:rPr>
          <w:rFonts w:eastAsia="MS Mincho"/>
          <w:color w:val="000000"/>
          <w:lang w:eastAsia="ja-JP"/>
        </w:rPr>
        <w:t>[Annex II</w:t>
      </w:r>
      <w:r w:rsidRPr="00423063">
        <w:rPr>
          <w:rFonts w:eastAsia="MS Mincho"/>
          <w:color w:val="000000"/>
          <w:lang w:eastAsia="ja-JP"/>
        </w:rPr>
        <w:t xml:space="preserve"> follows]</w:t>
      </w:r>
    </w:p>
    <w:p w:rsidR="00183337" w:rsidRDefault="00183337" w:rsidP="00183337">
      <w:pPr>
        <w:rPr>
          <w:snapToGrid w:val="0"/>
        </w:rPr>
        <w:sectPr w:rsidR="00183337" w:rsidSect="00906DDC">
          <w:headerReference w:type="first" r:id="rId10"/>
          <w:footerReference w:type="first" r:id="rId11"/>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ED3415" w:rsidTr="00183337">
        <w:trPr>
          <w:trHeight w:val="404"/>
        </w:trPr>
        <w:tc>
          <w:tcPr>
            <w:tcW w:w="9889" w:type="dxa"/>
          </w:tcPr>
          <w:p w:rsidR="00183337" w:rsidRPr="002A2C89" w:rsidRDefault="00183337" w:rsidP="00183337">
            <w:pPr>
              <w:autoSpaceDE w:val="0"/>
              <w:autoSpaceDN w:val="0"/>
              <w:adjustRightInd w:val="0"/>
              <w:spacing w:before="120" w:after="120"/>
              <w:jc w:val="center"/>
              <w:rPr>
                <w:rFonts w:eastAsia="SimSun"/>
                <w:szCs w:val="24"/>
                <w:lang w:eastAsia="zh-CN"/>
              </w:rPr>
            </w:pPr>
            <w:r>
              <w:rPr>
                <w:rFonts w:eastAsia="SimSun"/>
                <w:szCs w:val="24"/>
                <w:lang w:eastAsia="zh-CN"/>
              </w:rPr>
              <w:t>SITUATION B: TWO GROWING LOCATIONS IN THE SAME YEAR</w:t>
            </w:r>
          </w:p>
        </w:tc>
      </w:tr>
      <w:tr w:rsidR="00183337" w:rsidRPr="00ED3415" w:rsidTr="00183337">
        <w:trPr>
          <w:trHeight w:val="2880"/>
        </w:trPr>
        <w:tc>
          <w:tcPr>
            <w:tcW w:w="9889" w:type="dxa"/>
            <w:tcBorders>
              <w:bottom w:val="single" w:sz="4" w:space="0" w:color="auto"/>
            </w:tcBorders>
          </w:tcPr>
          <w:p w:rsidR="00183337" w:rsidRPr="006556B3" w:rsidRDefault="00183337" w:rsidP="00183337">
            <w:pPr>
              <w:rPr>
                <w:b/>
                <w:szCs w:val="24"/>
              </w:rPr>
            </w:pPr>
          </w:p>
          <w:p w:rsidR="00183337" w:rsidRPr="006556B3" w:rsidRDefault="00183337" w:rsidP="00183337">
            <w:pPr>
              <w:rPr>
                <w:b/>
                <w:szCs w:val="24"/>
              </w:rPr>
            </w:pPr>
            <w:r w:rsidRPr="006556B3">
              <w:rPr>
                <w:b/>
                <w:szCs w:val="24"/>
              </w:rPr>
              <w:t>Approach</w:t>
            </w:r>
            <w:r>
              <w:rPr>
                <w:b/>
                <w:szCs w:val="24"/>
              </w:rPr>
              <w:t xml:space="preserve"> 1</w:t>
            </w:r>
            <w:r w:rsidRPr="006556B3">
              <w:rPr>
                <w:b/>
                <w:szCs w:val="24"/>
              </w:rPr>
              <w:t xml:space="preserve">: Third growing cycle for inconsistent results </w:t>
            </w:r>
          </w:p>
          <w:p w:rsidR="00183337" w:rsidRPr="006556B3" w:rsidRDefault="00183337" w:rsidP="00183337">
            <w:pPr>
              <w:rPr>
                <w:rFonts w:eastAsia="SimSun"/>
                <w:szCs w:val="24"/>
                <w:lang w:eastAsia="zh-CN"/>
              </w:rPr>
            </w:pPr>
          </w:p>
          <w:p w:rsidR="00183337" w:rsidRPr="006556B3" w:rsidRDefault="00183337" w:rsidP="00183337">
            <w:pPr>
              <w:rPr>
                <w:rFonts w:eastAsia="SimSun"/>
                <w:szCs w:val="24"/>
                <w:lang w:eastAsia="zh-CN"/>
              </w:rPr>
            </w:pPr>
            <w:r w:rsidRPr="006556B3">
              <w:rPr>
                <w:rFonts w:eastAsia="SimSun"/>
                <w:szCs w:val="24"/>
                <w:lang w:eastAsia="zh-CN"/>
              </w:rPr>
              <w:t>A variety is considered uniform if it is within the uniformity standard in both of the growing locations.</w:t>
            </w:r>
          </w:p>
          <w:p w:rsidR="00183337" w:rsidRPr="006556B3" w:rsidRDefault="00183337" w:rsidP="00183337">
            <w:pPr>
              <w:rPr>
                <w:rFonts w:eastAsia="SimSun"/>
                <w:szCs w:val="24"/>
                <w:lang w:eastAsia="zh-CN"/>
              </w:rPr>
            </w:pPr>
          </w:p>
          <w:p w:rsidR="00183337" w:rsidRPr="006556B3" w:rsidRDefault="00183337" w:rsidP="00183337">
            <w:pPr>
              <w:rPr>
                <w:rFonts w:eastAsia="SimSun"/>
                <w:szCs w:val="24"/>
                <w:lang w:eastAsia="zh-CN"/>
              </w:rPr>
            </w:pPr>
            <w:r w:rsidRPr="006556B3">
              <w:rPr>
                <w:rFonts w:eastAsia="SimSun"/>
                <w:szCs w:val="24"/>
                <w:lang w:eastAsia="zh-CN"/>
              </w:rPr>
              <w:t>A variety is considered non-uniform if it fails to meet the uniformity standard in both of the growing locations.</w:t>
            </w:r>
          </w:p>
          <w:p w:rsidR="00183337" w:rsidRPr="006556B3" w:rsidRDefault="00183337" w:rsidP="00183337">
            <w:pPr>
              <w:rPr>
                <w:rFonts w:eastAsia="SimSun"/>
                <w:szCs w:val="24"/>
                <w:lang w:eastAsia="zh-CN"/>
              </w:rPr>
            </w:pPr>
          </w:p>
          <w:p w:rsidR="00183337" w:rsidRPr="006556B3" w:rsidRDefault="00183337" w:rsidP="00183337">
            <w:pPr>
              <w:keepNext/>
              <w:keepLines/>
              <w:rPr>
                <w:rFonts w:eastAsia="SimSun"/>
                <w:szCs w:val="24"/>
                <w:lang w:eastAsia="zh-CN"/>
              </w:rPr>
            </w:pPr>
            <w:r w:rsidRPr="006556B3">
              <w:rPr>
                <w:rFonts w:eastAsia="SimSun"/>
                <w:szCs w:val="24"/>
                <w:lang w:eastAsia="zh-CN"/>
              </w:rPr>
              <w:t xml:space="preserve">If the variety is within the uniformity standard in one growing location but is not within the uniformity standard in the other growing location, then </w:t>
            </w:r>
          </w:p>
          <w:p w:rsidR="00183337" w:rsidRPr="006556B3" w:rsidRDefault="00183337" w:rsidP="00183337">
            <w:pPr>
              <w:keepNext/>
              <w:keepLines/>
              <w:rPr>
                <w:rFonts w:eastAsia="SimSun"/>
                <w:szCs w:val="24"/>
                <w:lang w:eastAsia="zh-CN"/>
              </w:rPr>
            </w:pPr>
          </w:p>
          <w:p w:rsidR="00183337" w:rsidRPr="006556B3" w:rsidRDefault="00183337" w:rsidP="00183337">
            <w:pPr>
              <w:keepNext/>
              <w:keepLines/>
              <w:ind w:left="561" w:right="709"/>
              <w:rPr>
                <w:rFonts w:eastAsia="SimSun"/>
                <w:lang w:eastAsia="zh-CN"/>
              </w:rPr>
            </w:pPr>
            <w:r w:rsidRPr="006556B3">
              <w:rPr>
                <w:rFonts w:eastAsia="SimSun"/>
                <w:lang w:eastAsia="zh-CN"/>
              </w:rPr>
              <w:t>Alternative (a)</w:t>
            </w:r>
            <w:r w:rsidRPr="006556B3">
              <w:rPr>
                <w:rFonts w:eastAsia="SimSun"/>
                <w:lang w:eastAsia="zh-CN"/>
              </w:rPr>
              <w:tab/>
              <w:t>the trial is repeated at both locations for a second year;</w:t>
            </w:r>
          </w:p>
          <w:p w:rsidR="00183337" w:rsidRPr="006556B3" w:rsidRDefault="00183337" w:rsidP="00183337">
            <w:pPr>
              <w:keepNext/>
              <w:keepLines/>
              <w:ind w:left="561" w:right="709"/>
              <w:rPr>
                <w:rFonts w:eastAsia="SimSun"/>
                <w:lang w:eastAsia="zh-CN"/>
              </w:rPr>
            </w:pPr>
          </w:p>
          <w:p w:rsidR="00183337" w:rsidRPr="006556B3" w:rsidRDefault="00183337" w:rsidP="00183337">
            <w:pPr>
              <w:keepNext/>
              <w:keepLines/>
              <w:ind w:left="561" w:right="709"/>
              <w:rPr>
                <w:rFonts w:eastAsia="SimSun"/>
                <w:lang w:eastAsia="zh-CN"/>
              </w:rPr>
            </w:pPr>
            <w:r w:rsidRPr="006556B3">
              <w:rPr>
                <w:rFonts w:eastAsia="SimSun"/>
                <w:lang w:eastAsia="zh-CN"/>
              </w:rPr>
              <w:t>Alternative (b)</w:t>
            </w:r>
            <w:r w:rsidRPr="006556B3">
              <w:rPr>
                <w:rFonts w:eastAsia="SimSun"/>
                <w:lang w:eastAsia="zh-CN"/>
              </w:rPr>
              <w:tab/>
              <w:t>the trial is repeated at the Leading station (location)</w:t>
            </w:r>
          </w:p>
          <w:p w:rsidR="00183337" w:rsidRPr="006556B3" w:rsidRDefault="00183337" w:rsidP="00183337">
            <w:pPr>
              <w:keepNext/>
              <w:keepLines/>
              <w:ind w:left="561" w:right="709"/>
            </w:pPr>
          </w:p>
          <w:p w:rsidR="00183337" w:rsidRDefault="00183337" w:rsidP="00183337">
            <w:pPr>
              <w:keepNext/>
              <w:keepLines/>
              <w:rPr>
                <w:rFonts w:eastAsia="SimSun"/>
                <w:szCs w:val="24"/>
                <w:lang w:eastAsia="zh-CN"/>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183337" w:rsidRDefault="00183337" w:rsidP="00183337">
            <w:pPr>
              <w:keepNext/>
              <w:keepLines/>
              <w:rPr>
                <w:rFonts w:eastAsia="SimSun"/>
                <w:szCs w:val="24"/>
                <w:lang w:eastAsia="zh-CN"/>
              </w:rPr>
            </w:pPr>
          </w:p>
          <w:p w:rsidR="00183337" w:rsidRPr="006556B3" w:rsidRDefault="00183337" w:rsidP="00183337">
            <w:pPr>
              <w:keepNext/>
              <w:keepLines/>
              <w:ind w:left="561" w:right="709"/>
              <w:rPr>
                <w:b/>
                <w:szCs w:val="24"/>
              </w:rPr>
            </w:pPr>
          </w:p>
          <w:p w:rsidR="00183337" w:rsidRPr="006556B3" w:rsidRDefault="00183337" w:rsidP="00183337">
            <w:pPr>
              <w:rPr>
                <w:rFonts w:eastAsia="SimSun"/>
                <w:b/>
                <w:szCs w:val="24"/>
                <w:lang w:eastAsia="zh-CN"/>
              </w:rPr>
            </w:pPr>
            <w:r w:rsidRPr="006556B3">
              <w:rPr>
                <w:b/>
                <w:szCs w:val="24"/>
              </w:rPr>
              <w:t>Approach</w:t>
            </w:r>
            <w:r>
              <w:rPr>
                <w:b/>
                <w:szCs w:val="24"/>
              </w:rPr>
              <w:t xml:space="preserve"> 2</w:t>
            </w:r>
            <w:r w:rsidRPr="006556B3">
              <w:rPr>
                <w:b/>
                <w:szCs w:val="24"/>
              </w:rPr>
              <w:t xml:space="preserve">: </w:t>
            </w:r>
            <w:r w:rsidRPr="006556B3">
              <w:rPr>
                <w:rFonts w:eastAsia="SimSun"/>
                <w:b/>
                <w:szCs w:val="24"/>
                <w:lang w:eastAsia="zh-CN"/>
              </w:rPr>
              <w:t xml:space="preserve">Combining the results of two locations </w:t>
            </w:r>
          </w:p>
          <w:p w:rsidR="00183337" w:rsidRPr="006556B3" w:rsidRDefault="00183337" w:rsidP="00183337">
            <w:pPr>
              <w:rPr>
                <w:rFonts w:eastAsia="SimSun"/>
                <w:b/>
                <w:szCs w:val="24"/>
                <w:lang w:eastAsia="zh-CN"/>
              </w:rPr>
            </w:pPr>
          </w:p>
          <w:p w:rsidR="00183337" w:rsidRPr="006556B3" w:rsidRDefault="00183337" w:rsidP="00183337">
            <w:pPr>
              <w:rPr>
                <w:rFonts w:eastAsia="SimSun"/>
                <w:szCs w:val="24"/>
                <w:lang w:eastAsia="zh-CN"/>
              </w:rPr>
            </w:pPr>
            <w:r w:rsidRPr="006556B3">
              <w:rPr>
                <w:rFonts w:eastAsia="SimSun"/>
                <w:szCs w:val="24"/>
                <w:lang w:eastAsia="zh-CN"/>
              </w:rPr>
              <w:t>A variety is considered uniform if it is within the uniformity standard in both locations.</w:t>
            </w:r>
          </w:p>
          <w:p w:rsidR="00183337" w:rsidRPr="006556B3" w:rsidRDefault="00183337" w:rsidP="00183337">
            <w:pPr>
              <w:rPr>
                <w:rFonts w:eastAsia="SimSun"/>
                <w:szCs w:val="24"/>
                <w:lang w:eastAsia="zh-CN"/>
              </w:rPr>
            </w:pPr>
          </w:p>
          <w:p w:rsidR="00183337" w:rsidRPr="006556B3" w:rsidRDefault="00183337" w:rsidP="00183337">
            <w:pPr>
              <w:keepNext/>
              <w:keepLines/>
              <w:tabs>
                <w:tab w:val="left" w:pos="1985"/>
              </w:tabs>
              <w:rPr>
                <w:rFonts w:eastAsia="SimSun"/>
                <w:szCs w:val="24"/>
                <w:lang w:eastAsia="zh-CN"/>
              </w:rPr>
            </w:pPr>
            <w:r w:rsidRPr="006556B3">
              <w:rPr>
                <w:rFonts w:eastAsia="SimSun"/>
                <w:szCs w:val="24"/>
                <w:lang w:eastAsia="zh-CN"/>
              </w:rPr>
              <w:t>A variety is considered non-uniform if it fails to meet the uniformity standard in both locations.</w:t>
            </w:r>
          </w:p>
          <w:p w:rsidR="00183337" w:rsidRPr="006556B3" w:rsidRDefault="00183337" w:rsidP="00183337">
            <w:pPr>
              <w:keepNext/>
              <w:keepLines/>
              <w:tabs>
                <w:tab w:val="left" w:pos="1985"/>
              </w:tabs>
              <w:rPr>
                <w:rFonts w:eastAsia="SimSun"/>
                <w:szCs w:val="24"/>
                <w:lang w:eastAsia="zh-CN"/>
              </w:rPr>
            </w:pPr>
          </w:p>
          <w:p w:rsidR="00183337" w:rsidRPr="006556B3" w:rsidRDefault="00183337" w:rsidP="00183337">
            <w:pPr>
              <w:rPr>
                <w:rFonts w:eastAsia="SimSun"/>
                <w:szCs w:val="24"/>
                <w:lang w:eastAsia="zh-CN"/>
              </w:rPr>
            </w:pPr>
            <w:r w:rsidRPr="00627ABA">
              <w:rPr>
                <w:rFonts w:eastAsia="SimSun"/>
                <w:szCs w:val="24"/>
                <w:lang w:eastAsia="zh-CN"/>
              </w:rPr>
              <w:t>If the variety is within the uniformity standard in one growing location but is not within the uniformity standard in the other growing location, a</w:t>
            </w:r>
            <w:r w:rsidRPr="00627ABA" w:rsidDel="00882017">
              <w:rPr>
                <w:szCs w:val="24"/>
              </w:rPr>
              <w:t xml:space="preserve"> </w:t>
            </w:r>
            <w:r w:rsidRPr="00627ABA">
              <w:rPr>
                <w:rFonts w:eastAsia="SimSun"/>
                <w:szCs w:val="24"/>
                <w:lang w:eastAsia="zh-CN"/>
              </w:rPr>
              <w:t>variety</w:t>
            </w:r>
            <w:r w:rsidRPr="006556B3">
              <w:rPr>
                <w:rFonts w:eastAsia="SimSun"/>
                <w:szCs w:val="24"/>
                <w:lang w:eastAsia="zh-CN"/>
              </w:rPr>
              <w:t xml:space="preserve"> is considered </w:t>
            </w:r>
            <w:r w:rsidRPr="006556B3">
              <w:rPr>
                <w:szCs w:val="24"/>
              </w:rPr>
              <w:t xml:space="preserve">within the uniformity standard if </w:t>
            </w:r>
            <w:r w:rsidRPr="006556B3">
              <w:rPr>
                <w:rFonts w:eastAsia="SimSun"/>
                <w:szCs w:val="24"/>
                <w:lang w:eastAsia="zh-CN"/>
              </w:rPr>
              <w:t>the number of off-type plants or parts of plants does not exceed the allowed number of off-types for the combined sample (two locations).</w:t>
            </w:r>
          </w:p>
          <w:p w:rsidR="00183337" w:rsidRDefault="00183337" w:rsidP="00183337">
            <w:pPr>
              <w:keepNext/>
              <w:keepLines/>
              <w:rPr>
                <w:rFonts w:eastAsia="SimSun"/>
                <w:szCs w:val="24"/>
                <w:lang w:eastAsia="zh-CN"/>
              </w:rPr>
            </w:pPr>
          </w:p>
          <w:p w:rsidR="00183337" w:rsidRDefault="00183337" w:rsidP="00183337">
            <w:pPr>
              <w:keepNext/>
              <w:keepLines/>
              <w:rPr>
                <w:color w:val="000000"/>
                <w:szCs w:val="24"/>
              </w:rPr>
            </w:pPr>
            <w:r>
              <w:rPr>
                <w:color w:val="000000"/>
                <w:szCs w:val="24"/>
              </w:rPr>
              <w:t>C</w:t>
            </w:r>
            <w:r w:rsidRPr="00917C3E">
              <w:rPr>
                <w:color w:val="000000"/>
                <w:szCs w:val="24"/>
              </w:rPr>
              <w:t xml:space="preserve">are </w:t>
            </w:r>
            <w:r>
              <w:rPr>
                <w:color w:val="000000"/>
                <w:szCs w:val="24"/>
              </w:rPr>
              <w:t xml:space="preserve">is </w:t>
            </w:r>
            <w:r w:rsidRPr="00917C3E">
              <w:rPr>
                <w:color w:val="000000"/>
                <w:szCs w:val="24"/>
              </w:rPr>
              <w:t>needed when considering results that were very different in each of the growing cycles, such as when a type of off-type was observed at a high level in one growing cycle and was absent in another growing cycle.</w:t>
            </w:r>
          </w:p>
          <w:p w:rsidR="00183337" w:rsidRDefault="00183337" w:rsidP="00183337">
            <w:pPr>
              <w:keepNext/>
              <w:keepLines/>
              <w:rPr>
                <w:rFonts w:eastAsia="SimSun"/>
                <w:szCs w:val="24"/>
                <w:lang w:eastAsia="zh-CN"/>
              </w:rPr>
            </w:pPr>
            <w:r>
              <w:rPr>
                <w:rFonts w:eastAsia="SimSun"/>
                <w:szCs w:val="24"/>
                <w:lang w:eastAsia="zh-CN"/>
              </w:rPr>
              <w:t>______________________________________________________________________________________</w:t>
            </w:r>
          </w:p>
          <w:p w:rsidR="00183337" w:rsidRDefault="00183337" w:rsidP="00183337">
            <w:pPr>
              <w:rPr>
                <w:szCs w:val="24"/>
              </w:rPr>
            </w:pPr>
          </w:p>
          <w:p w:rsidR="00183337" w:rsidRPr="00BD2498" w:rsidRDefault="00183337" w:rsidP="00183337">
            <w:pPr>
              <w:rPr>
                <w:szCs w:val="24"/>
              </w:rPr>
            </w:pPr>
            <w:r w:rsidRPr="00BD2498">
              <w:rPr>
                <w:szCs w:val="24"/>
              </w:rPr>
              <w:t xml:space="preserve">Example for consideration: </w:t>
            </w:r>
          </w:p>
          <w:p w:rsidR="00183337" w:rsidRDefault="00183337" w:rsidP="00183337">
            <w:pPr>
              <w:rPr>
                <w:szCs w:val="24"/>
              </w:rPr>
            </w:pPr>
          </w:p>
          <w:tbl>
            <w:tblPr>
              <w:tblW w:w="5778" w:type="dxa"/>
              <w:tblInd w:w="1593" w:type="dxa"/>
              <w:tblLook w:val="04A0" w:firstRow="1" w:lastRow="0" w:firstColumn="1" w:lastColumn="0" w:noHBand="0" w:noVBand="1"/>
            </w:tblPr>
            <w:tblGrid>
              <w:gridCol w:w="5778"/>
            </w:tblGrid>
            <w:tr w:rsidR="00183337" w:rsidRPr="00304612" w:rsidTr="00183337">
              <w:trPr>
                <w:trHeight w:val="255"/>
              </w:trPr>
              <w:tc>
                <w:tcPr>
                  <w:tcW w:w="5778" w:type="dxa"/>
                  <w:tcBorders>
                    <w:top w:val="nil"/>
                    <w:left w:val="nil"/>
                    <w:bottom w:val="nil"/>
                    <w:right w:val="nil"/>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 xml:space="preserve">Population Standard  = 1%  </w:t>
                  </w:r>
                </w:p>
              </w:tc>
            </w:tr>
            <w:tr w:rsidR="00183337" w:rsidRPr="00304612" w:rsidTr="00183337">
              <w:trPr>
                <w:trHeight w:val="270"/>
              </w:trPr>
              <w:tc>
                <w:tcPr>
                  <w:tcW w:w="5778" w:type="dxa"/>
                  <w:tcBorders>
                    <w:top w:val="nil"/>
                    <w:left w:val="nil"/>
                    <w:bottom w:val="nil"/>
                    <w:right w:val="nil"/>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Acceptance Probability ≥ 95%</w:t>
                  </w:r>
                </w:p>
              </w:tc>
            </w:tr>
            <w:tr w:rsidR="00183337" w:rsidRPr="00304612" w:rsidTr="00183337">
              <w:trPr>
                <w:trHeight w:val="255"/>
              </w:trPr>
              <w:tc>
                <w:tcPr>
                  <w:tcW w:w="5778" w:type="dxa"/>
                  <w:tcBorders>
                    <w:top w:val="single" w:sz="8" w:space="0" w:color="auto"/>
                    <w:left w:val="single" w:sz="8" w:space="0" w:color="auto"/>
                    <w:bottom w:val="nil"/>
                    <w:right w:val="single" w:sz="8" w:space="0" w:color="000000"/>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Sample Size</w:t>
                  </w:r>
                  <w:r>
                    <w:rPr>
                      <w:rFonts w:cs="Arial"/>
                      <w:color w:val="000000"/>
                    </w:rPr>
                    <w:t xml:space="preserve"> in each of growing cycles 1 and 2</w:t>
                  </w:r>
                  <w:r w:rsidRPr="00304612">
                    <w:rPr>
                      <w:rFonts w:cs="Arial"/>
                      <w:color w:val="000000"/>
                    </w:rPr>
                    <w:t xml:space="preserve"> = 50</w:t>
                  </w:r>
                </w:p>
              </w:tc>
            </w:tr>
            <w:tr w:rsidR="00183337" w:rsidRPr="00304612" w:rsidTr="00183337">
              <w:trPr>
                <w:trHeight w:val="270"/>
              </w:trPr>
              <w:tc>
                <w:tcPr>
                  <w:tcW w:w="5778" w:type="dxa"/>
                  <w:tcBorders>
                    <w:top w:val="nil"/>
                    <w:left w:val="single" w:sz="4" w:space="0" w:color="auto"/>
                    <w:bottom w:val="single" w:sz="8" w:space="0" w:color="auto"/>
                    <w:right w:val="single" w:sz="8" w:space="0" w:color="000000"/>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Maximum number of Off-Types = 2</w:t>
                  </w:r>
                </w:p>
              </w:tc>
            </w:tr>
            <w:tr w:rsidR="00183337" w:rsidRPr="00304612" w:rsidTr="00183337">
              <w:trPr>
                <w:trHeight w:val="270"/>
              </w:trPr>
              <w:tc>
                <w:tcPr>
                  <w:tcW w:w="5778" w:type="dxa"/>
                  <w:tcBorders>
                    <w:top w:val="nil"/>
                    <w:left w:val="single" w:sz="4" w:space="0" w:color="auto"/>
                    <w:bottom w:val="nil"/>
                    <w:right w:val="single" w:sz="4" w:space="0" w:color="auto"/>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 xml:space="preserve">Sample Size </w:t>
                  </w:r>
                  <w:r>
                    <w:rPr>
                      <w:rFonts w:cs="Arial"/>
                      <w:color w:val="000000"/>
                    </w:rPr>
                    <w:t xml:space="preserve">in growing cycles 1 and 2 combined </w:t>
                  </w:r>
                  <w:r w:rsidRPr="00304612">
                    <w:rPr>
                      <w:rFonts w:cs="Arial"/>
                      <w:color w:val="000000"/>
                    </w:rPr>
                    <w:t>= 100</w:t>
                  </w:r>
                </w:p>
              </w:tc>
            </w:tr>
            <w:tr w:rsidR="00183337" w:rsidRPr="00304612" w:rsidTr="00183337">
              <w:trPr>
                <w:trHeight w:val="270"/>
              </w:trPr>
              <w:tc>
                <w:tcPr>
                  <w:tcW w:w="5778" w:type="dxa"/>
                  <w:tcBorders>
                    <w:top w:val="nil"/>
                    <w:left w:val="single" w:sz="4" w:space="0" w:color="auto"/>
                    <w:bottom w:val="single" w:sz="4" w:space="0" w:color="auto"/>
                    <w:right w:val="single" w:sz="4" w:space="0" w:color="auto"/>
                  </w:tcBorders>
                  <w:shd w:val="clear" w:color="auto" w:fill="auto"/>
                  <w:noWrap/>
                  <w:vAlign w:val="bottom"/>
                  <w:hideMark/>
                </w:tcPr>
                <w:p w:rsidR="00183337" w:rsidRPr="00304612" w:rsidRDefault="00183337" w:rsidP="00183337">
                  <w:pPr>
                    <w:jc w:val="left"/>
                    <w:rPr>
                      <w:rFonts w:cs="Arial"/>
                      <w:color w:val="000000"/>
                    </w:rPr>
                  </w:pPr>
                  <w:r w:rsidRPr="00304612">
                    <w:rPr>
                      <w:rFonts w:cs="Arial"/>
                      <w:color w:val="000000"/>
                    </w:rPr>
                    <w:t>Maximum number of Off-Types = 3</w:t>
                  </w:r>
                </w:p>
              </w:tc>
            </w:tr>
          </w:tbl>
          <w:p w:rsidR="00183337" w:rsidRDefault="00183337" w:rsidP="00183337">
            <w:pPr>
              <w:pStyle w:val="Titleofdoc0"/>
              <w:spacing w:before="0"/>
              <w:jc w:val="both"/>
              <w:rPr>
                <w:szCs w:val="24"/>
              </w:rPr>
            </w:pPr>
          </w:p>
          <w:tbl>
            <w:tblPr>
              <w:tblW w:w="5781" w:type="dxa"/>
              <w:tblInd w:w="1593" w:type="dxa"/>
              <w:tblLook w:val="04A0" w:firstRow="1" w:lastRow="0" w:firstColumn="1" w:lastColumn="0" w:noHBand="0" w:noVBand="1"/>
            </w:tblPr>
            <w:tblGrid>
              <w:gridCol w:w="520"/>
              <w:gridCol w:w="1080"/>
              <w:gridCol w:w="1260"/>
              <w:gridCol w:w="1501"/>
              <w:gridCol w:w="1420"/>
            </w:tblGrid>
            <w:tr w:rsidR="00183337" w:rsidRPr="00BD2498" w:rsidTr="00183337">
              <w:trPr>
                <w:trHeight w:val="255"/>
              </w:trPr>
              <w:tc>
                <w:tcPr>
                  <w:tcW w:w="5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08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126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1501"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1420" w:type="dxa"/>
                  <w:tcBorders>
                    <w:top w:val="nil"/>
                    <w:left w:val="nil"/>
                    <w:bottom w:val="single" w:sz="4" w:space="0" w:color="auto"/>
                    <w:right w:val="nil"/>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r>
            <w:tr w:rsidR="00183337" w:rsidRPr="00BD2498" w:rsidTr="00183337">
              <w:trPr>
                <w:trHeight w:val="255"/>
              </w:trPr>
              <w:tc>
                <w:tcPr>
                  <w:tcW w:w="520" w:type="dxa"/>
                  <w:tcBorders>
                    <w:top w:val="nil"/>
                    <w:left w:val="nil"/>
                    <w:bottom w:val="nil"/>
                    <w:right w:val="single" w:sz="4" w:space="0" w:color="auto"/>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2340" w:type="dxa"/>
                  <w:gridSpan w:val="2"/>
                  <w:tcBorders>
                    <w:top w:val="nil"/>
                    <w:left w:val="nil"/>
                    <w:bottom w:val="single" w:sz="4" w:space="0" w:color="auto"/>
                    <w:right w:val="single" w:sz="4" w:space="0" w:color="000000"/>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 xml:space="preserve">Growing </w:t>
                  </w:r>
                  <w:r>
                    <w:rPr>
                      <w:rFonts w:cs="Arial"/>
                      <w:color w:val="000000"/>
                    </w:rPr>
                    <w:t>location</w:t>
                  </w:r>
                </w:p>
              </w:tc>
              <w:tc>
                <w:tcPr>
                  <w:tcW w:w="292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Decision</w:t>
                  </w:r>
                </w:p>
              </w:tc>
            </w:tr>
            <w:tr w:rsidR="00183337" w:rsidRPr="00BD2498" w:rsidTr="00183337">
              <w:trPr>
                <w:trHeight w:val="270"/>
              </w:trPr>
              <w:tc>
                <w:tcPr>
                  <w:tcW w:w="520" w:type="dxa"/>
                  <w:tcBorders>
                    <w:top w:val="nil"/>
                    <w:left w:val="nil"/>
                    <w:bottom w:val="single" w:sz="4" w:space="0" w:color="auto"/>
                    <w:right w:val="single" w:sz="4" w:space="0" w:color="auto"/>
                  </w:tcBorders>
                  <w:shd w:val="clear" w:color="auto" w:fill="auto"/>
                  <w:noWrap/>
                  <w:vAlign w:val="bottom"/>
                  <w:hideMark/>
                </w:tcPr>
                <w:p w:rsidR="00183337" w:rsidRPr="00BD2498" w:rsidRDefault="00183337" w:rsidP="00183337">
                  <w:pPr>
                    <w:jc w:val="left"/>
                    <w:rPr>
                      <w:rFonts w:cs="Arial"/>
                      <w:color w:val="000000"/>
                    </w:rPr>
                  </w:pPr>
                  <w:r w:rsidRPr="00BD2498">
                    <w:rPr>
                      <w:rFonts w:cs="Arial"/>
                      <w:color w:val="000000"/>
                    </w:rPr>
                    <w:t> </w:t>
                  </w:r>
                </w:p>
              </w:tc>
              <w:tc>
                <w:tcPr>
                  <w:tcW w:w="108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First</w:t>
                  </w:r>
                </w:p>
              </w:tc>
              <w:tc>
                <w:tcPr>
                  <w:tcW w:w="126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Second</w:t>
                  </w:r>
                </w:p>
              </w:tc>
              <w:tc>
                <w:tcPr>
                  <w:tcW w:w="1501"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Approach 1</w:t>
                  </w:r>
                </w:p>
              </w:tc>
              <w:tc>
                <w:tcPr>
                  <w:tcW w:w="1420" w:type="dxa"/>
                  <w:tcBorders>
                    <w:top w:val="nil"/>
                    <w:left w:val="nil"/>
                    <w:bottom w:val="single" w:sz="8" w:space="0" w:color="auto"/>
                    <w:right w:val="single" w:sz="4" w:space="0" w:color="auto"/>
                  </w:tcBorders>
                  <w:shd w:val="clear" w:color="auto" w:fill="auto"/>
                  <w:noWrap/>
                  <w:vAlign w:val="bottom"/>
                  <w:hideMark/>
                </w:tcPr>
                <w:p w:rsidR="00183337" w:rsidRPr="00BD2498" w:rsidRDefault="00183337" w:rsidP="00183337">
                  <w:pPr>
                    <w:jc w:val="center"/>
                    <w:rPr>
                      <w:rFonts w:cs="Arial"/>
                      <w:color w:val="000000"/>
                    </w:rPr>
                  </w:pPr>
                  <w:r w:rsidRPr="00BD2498">
                    <w:rPr>
                      <w:rFonts w:cs="Arial"/>
                      <w:color w:val="000000"/>
                    </w:rPr>
                    <w:t>Approach 2</w:t>
                  </w:r>
                </w:p>
              </w:tc>
            </w:tr>
            <w:tr w:rsidR="00183337" w:rsidRPr="00BD2498" w:rsidTr="00183337">
              <w:trPr>
                <w:trHeight w:val="390"/>
              </w:trPr>
              <w:tc>
                <w:tcPr>
                  <w:tcW w:w="520" w:type="dxa"/>
                  <w:vMerge w:val="restart"/>
                  <w:tcBorders>
                    <w:top w:val="nil"/>
                    <w:left w:val="single" w:sz="4" w:space="0" w:color="auto"/>
                    <w:bottom w:val="single" w:sz="4" w:space="0" w:color="000000"/>
                    <w:right w:val="single" w:sz="4" w:space="0" w:color="000000"/>
                  </w:tcBorders>
                  <w:shd w:val="clear" w:color="auto" w:fill="auto"/>
                  <w:textDirection w:val="btLr"/>
                  <w:vAlign w:val="bottom"/>
                  <w:hideMark/>
                </w:tcPr>
                <w:p w:rsidR="00183337" w:rsidRPr="00BD2498" w:rsidRDefault="00183337" w:rsidP="00183337">
                  <w:pPr>
                    <w:jc w:val="center"/>
                    <w:rPr>
                      <w:rFonts w:cs="Arial"/>
                      <w:color w:val="000000"/>
                    </w:rPr>
                  </w:pPr>
                  <w:r w:rsidRPr="00BD2498">
                    <w:rPr>
                      <w:rFonts w:cs="Arial"/>
                      <w:color w:val="000000"/>
                    </w:rPr>
                    <w:t>Number of Off-Types</w:t>
                  </w:r>
                </w:p>
              </w:tc>
              <w:tc>
                <w:tcPr>
                  <w:tcW w:w="1080" w:type="dxa"/>
                  <w:tcBorders>
                    <w:top w:val="nil"/>
                    <w:left w:val="single" w:sz="8" w:space="0" w:color="auto"/>
                    <w:bottom w:val="single" w:sz="8"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rFonts w:cs="Arial"/>
                      <w:color w:val="000000"/>
                    </w:rPr>
                    <w:t>2</w:t>
                  </w:r>
                </w:p>
              </w:tc>
              <w:tc>
                <w:tcPr>
                  <w:tcW w:w="1260" w:type="dxa"/>
                  <w:tcBorders>
                    <w:top w:val="nil"/>
                    <w:left w:val="nil"/>
                    <w:bottom w:val="single" w:sz="8"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rFonts w:cs="Arial"/>
                      <w:color w:val="000000"/>
                    </w:rPr>
                    <w:t>2</w:t>
                  </w:r>
                </w:p>
              </w:tc>
              <w:tc>
                <w:tcPr>
                  <w:tcW w:w="1501" w:type="dxa"/>
                  <w:tcBorders>
                    <w:top w:val="nil"/>
                    <w:left w:val="nil"/>
                    <w:bottom w:val="single" w:sz="8"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Pr>
                      <w:rFonts w:cs="Arial"/>
                      <w:color w:val="000000"/>
                    </w:rPr>
                    <w:t>u</w:t>
                  </w:r>
                  <w:r w:rsidRPr="00BD2498">
                    <w:rPr>
                      <w:rFonts w:cs="Arial"/>
                      <w:color w:val="000000"/>
                    </w:rPr>
                    <w:t>niform</w:t>
                  </w:r>
                </w:p>
              </w:tc>
              <w:tc>
                <w:tcPr>
                  <w:tcW w:w="1420" w:type="dxa"/>
                  <w:tcBorders>
                    <w:top w:val="nil"/>
                    <w:left w:val="nil"/>
                    <w:bottom w:val="single" w:sz="8" w:space="0" w:color="auto"/>
                    <w:right w:val="single" w:sz="8"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uniform</w:t>
                  </w:r>
                </w:p>
              </w:tc>
            </w:tr>
            <w:tr w:rsidR="00183337" w:rsidRPr="00BD2498" w:rsidTr="00183337">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0</w:t>
                  </w:r>
                </w:p>
              </w:tc>
              <w:tc>
                <w:tcPr>
                  <w:tcW w:w="126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rFonts w:cs="Arial"/>
                      <w:color w:val="000000"/>
                    </w:rPr>
                    <w:t>repeat trial</w:t>
                  </w:r>
                </w:p>
              </w:tc>
              <w:tc>
                <w:tcPr>
                  <w:tcW w:w="142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uniform</w:t>
                  </w:r>
                </w:p>
              </w:tc>
            </w:tr>
            <w:tr w:rsidR="00183337" w:rsidRPr="00BD2498" w:rsidTr="00183337">
              <w:trPr>
                <w:trHeight w:val="525"/>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single" w:sz="8" w:space="0" w:color="auto"/>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1</w:t>
                  </w:r>
                </w:p>
              </w:tc>
              <w:tc>
                <w:tcPr>
                  <w:tcW w:w="1260"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3</w:t>
                  </w:r>
                </w:p>
              </w:tc>
              <w:tc>
                <w:tcPr>
                  <w:tcW w:w="1501" w:type="dxa"/>
                  <w:tcBorders>
                    <w:top w:val="nil"/>
                    <w:left w:val="nil"/>
                    <w:bottom w:val="single" w:sz="8"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rFonts w:cs="Arial"/>
                      <w:color w:val="000000"/>
                    </w:rPr>
                    <w:t>repeat trial</w:t>
                  </w:r>
                </w:p>
              </w:tc>
              <w:tc>
                <w:tcPr>
                  <w:tcW w:w="1420" w:type="dxa"/>
                  <w:tcBorders>
                    <w:top w:val="nil"/>
                    <w:left w:val="nil"/>
                    <w:bottom w:val="single" w:sz="8" w:space="0" w:color="auto"/>
                    <w:right w:val="single" w:sz="8" w:space="0" w:color="auto"/>
                  </w:tcBorders>
                  <w:shd w:val="clear" w:color="auto" w:fill="auto"/>
                  <w:vAlign w:val="center"/>
                  <w:hideMark/>
                </w:tcPr>
                <w:p w:rsidR="00183337" w:rsidRPr="00BD2498" w:rsidRDefault="00183337" w:rsidP="00183337">
                  <w:pPr>
                    <w:jc w:val="center"/>
                    <w:rPr>
                      <w:rFonts w:cs="Arial"/>
                      <w:color w:val="000000"/>
                    </w:rPr>
                  </w:pPr>
                  <w:r>
                    <w:rPr>
                      <w:rFonts w:cs="Arial"/>
                      <w:color w:val="000000"/>
                    </w:rPr>
                    <w:t>non-</w:t>
                  </w:r>
                  <w:r w:rsidRPr="00BD2498">
                    <w:rPr>
                      <w:rFonts w:cs="Arial"/>
                      <w:color w:val="000000"/>
                    </w:rPr>
                    <w:t>uniform</w:t>
                  </w:r>
                </w:p>
              </w:tc>
            </w:tr>
            <w:tr w:rsidR="00183337" w:rsidRPr="00BD2498" w:rsidTr="00183337">
              <w:trPr>
                <w:trHeight w:val="510"/>
              </w:trPr>
              <w:tc>
                <w:tcPr>
                  <w:tcW w:w="520" w:type="dxa"/>
                  <w:vMerge/>
                  <w:tcBorders>
                    <w:top w:val="nil"/>
                    <w:left w:val="single" w:sz="4" w:space="0" w:color="auto"/>
                    <w:bottom w:val="single" w:sz="4" w:space="0" w:color="000000"/>
                    <w:right w:val="single" w:sz="4" w:space="0" w:color="000000"/>
                  </w:tcBorders>
                  <w:vAlign w:val="center"/>
                  <w:hideMark/>
                </w:tcPr>
                <w:p w:rsidR="00183337" w:rsidRPr="00BD2498" w:rsidRDefault="00183337" w:rsidP="00183337">
                  <w:pPr>
                    <w:jc w:val="left"/>
                    <w:rPr>
                      <w:rFonts w:cs="Arial"/>
                      <w:color w:val="000000"/>
                    </w:rPr>
                  </w:pPr>
                </w:p>
              </w:tc>
              <w:tc>
                <w:tcPr>
                  <w:tcW w:w="1080" w:type="dxa"/>
                  <w:tcBorders>
                    <w:top w:val="nil"/>
                    <w:left w:val="nil"/>
                    <w:bottom w:val="single" w:sz="4"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sidRPr="00BD2498">
                    <w:rPr>
                      <w:rFonts w:cs="Arial"/>
                      <w:color w:val="000000"/>
                    </w:rPr>
                    <w:t>0</w:t>
                  </w:r>
                </w:p>
              </w:tc>
              <w:tc>
                <w:tcPr>
                  <w:tcW w:w="1260" w:type="dxa"/>
                  <w:tcBorders>
                    <w:top w:val="nil"/>
                    <w:left w:val="nil"/>
                    <w:bottom w:val="single" w:sz="4" w:space="0" w:color="auto"/>
                    <w:right w:val="single" w:sz="4" w:space="0" w:color="auto"/>
                  </w:tcBorders>
                  <w:shd w:val="clear" w:color="auto" w:fill="auto"/>
                  <w:noWrap/>
                  <w:vAlign w:val="center"/>
                  <w:hideMark/>
                </w:tcPr>
                <w:p w:rsidR="00183337" w:rsidRPr="00BD2498" w:rsidRDefault="00183337" w:rsidP="00183337">
                  <w:pPr>
                    <w:jc w:val="center"/>
                    <w:rPr>
                      <w:rFonts w:cs="Arial"/>
                      <w:color w:val="000000"/>
                    </w:rPr>
                  </w:pPr>
                  <w:r w:rsidRPr="00BD2498">
                    <w:rPr>
                      <w:rFonts w:cs="Arial"/>
                      <w:color w:val="000000"/>
                    </w:rPr>
                    <w:t>10</w:t>
                  </w:r>
                </w:p>
              </w:tc>
              <w:tc>
                <w:tcPr>
                  <w:tcW w:w="1501" w:type="dxa"/>
                  <w:tcBorders>
                    <w:top w:val="nil"/>
                    <w:left w:val="nil"/>
                    <w:bottom w:val="single" w:sz="4"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Pr>
                      <w:rFonts w:cs="Arial"/>
                      <w:color w:val="000000"/>
                    </w:rPr>
                    <w:t>repeat trial</w:t>
                  </w:r>
                </w:p>
              </w:tc>
              <w:tc>
                <w:tcPr>
                  <w:tcW w:w="1420" w:type="dxa"/>
                  <w:tcBorders>
                    <w:top w:val="nil"/>
                    <w:left w:val="nil"/>
                    <w:bottom w:val="single" w:sz="4" w:space="0" w:color="auto"/>
                    <w:right w:val="single" w:sz="4" w:space="0" w:color="auto"/>
                  </w:tcBorders>
                  <w:shd w:val="clear" w:color="auto" w:fill="auto"/>
                  <w:vAlign w:val="center"/>
                  <w:hideMark/>
                </w:tcPr>
                <w:p w:rsidR="00183337" w:rsidRPr="00BD2498" w:rsidRDefault="00183337" w:rsidP="00183337">
                  <w:pPr>
                    <w:jc w:val="center"/>
                    <w:rPr>
                      <w:rFonts w:cs="Arial"/>
                      <w:color w:val="000000"/>
                    </w:rPr>
                  </w:pPr>
                  <w:r w:rsidRPr="00BD2498">
                    <w:rPr>
                      <w:rFonts w:cs="Arial"/>
                      <w:color w:val="000000"/>
                    </w:rPr>
                    <w:t>non-uniform</w:t>
                  </w:r>
                </w:p>
              </w:tc>
            </w:tr>
            <w:tr w:rsidR="00183337" w:rsidRPr="00BD2498" w:rsidTr="00183337">
              <w:trPr>
                <w:trHeight w:val="255"/>
              </w:trPr>
              <w:tc>
                <w:tcPr>
                  <w:tcW w:w="5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08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26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501"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c>
                <w:tcPr>
                  <w:tcW w:w="1420" w:type="dxa"/>
                  <w:tcBorders>
                    <w:top w:val="nil"/>
                    <w:left w:val="nil"/>
                    <w:bottom w:val="nil"/>
                    <w:right w:val="nil"/>
                  </w:tcBorders>
                  <w:shd w:val="clear" w:color="auto" w:fill="auto"/>
                  <w:noWrap/>
                  <w:vAlign w:val="bottom"/>
                  <w:hideMark/>
                </w:tcPr>
                <w:p w:rsidR="00183337" w:rsidRPr="00BD2498" w:rsidRDefault="00183337" w:rsidP="00183337">
                  <w:pPr>
                    <w:jc w:val="left"/>
                    <w:rPr>
                      <w:rFonts w:cs="Arial"/>
                      <w:color w:val="000000"/>
                    </w:rPr>
                  </w:pPr>
                </w:p>
              </w:tc>
            </w:tr>
          </w:tbl>
          <w:p w:rsidR="00183337" w:rsidRPr="006556B3" w:rsidRDefault="00183337" w:rsidP="00183337">
            <w:pPr>
              <w:pStyle w:val="Titleofdoc0"/>
              <w:spacing w:before="0"/>
              <w:jc w:val="both"/>
              <w:rPr>
                <w:szCs w:val="24"/>
              </w:rPr>
            </w:pPr>
          </w:p>
        </w:tc>
      </w:tr>
    </w:tbl>
    <w:p w:rsidR="00183337" w:rsidRDefault="00183337" w:rsidP="00183337">
      <w:pPr>
        <w:rPr>
          <w:snapToGrid w:val="0"/>
        </w:rPr>
      </w:pPr>
    </w:p>
    <w:p w:rsidR="00183337" w:rsidRDefault="00183337" w:rsidP="00183337">
      <w:pPr>
        <w:jc w:val="right"/>
        <w:rPr>
          <w:snapToGrid w:val="0"/>
        </w:rPr>
      </w:pPr>
      <w:r w:rsidRPr="00E27A9E">
        <w:rPr>
          <w:rFonts w:eastAsia="MS Mincho"/>
          <w:color w:val="000000"/>
          <w:lang w:eastAsia="ja-JP"/>
        </w:rPr>
        <w:t>[Annex III follows]</w:t>
      </w:r>
    </w:p>
    <w:p w:rsidR="00183337" w:rsidRDefault="00183337" w:rsidP="00183337">
      <w:pPr>
        <w:rPr>
          <w:snapToGrid w:val="0"/>
        </w:rPr>
        <w:sectPr w:rsidR="00183337" w:rsidSect="00906DDC">
          <w:headerReference w:type="first" r:id="rId12"/>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ED3415" w:rsidTr="00183337">
        <w:trPr>
          <w:trHeight w:val="632"/>
        </w:trPr>
        <w:tc>
          <w:tcPr>
            <w:tcW w:w="9889" w:type="dxa"/>
          </w:tcPr>
          <w:p w:rsidR="00183337" w:rsidRPr="002A2C89" w:rsidRDefault="00183337" w:rsidP="00183337">
            <w:pPr>
              <w:autoSpaceDE w:val="0"/>
              <w:autoSpaceDN w:val="0"/>
              <w:adjustRightInd w:val="0"/>
              <w:spacing w:before="120" w:after="120"/>
              <w:jc w:val="center"/>
              <w:rPr>
                <w:rFonts w:eastAsia="SimSun"/>
                <w:szCs w:val="24"/>
                <w:lang w:eastAsia="zh-CN"/>
              </w:rPr>
            </w:pPr>
            <w:r>
              <w:rPr>
                <w:rFonts w:eastAsia="SimSun"/>
                <w:szCs w:val="24"/>
                <w:lang w:eastAsia="zh-CN"/>
              </w:rPr>
              <w:t xml:space="preserve">SITUATION C:  </w:t>
            </w:r>
            <w:r w:rsidRPr="00082E24">
              <w:rPr>
                <w:szCs w:val="24"/>
              </w:rPr>
              <w:t xml:space="preserve">MORE THAN ONE </w:t>
            </w:r>
            <w:r w:rsidRPr="006556B3">
              <w:rPr>
                <w:szCs w:val="24"/>
              </w:rPr>
              <w:t>SAMPLE OR SUBSAMPLE</w:t>
            </w:r>
            <w:r>
              <w:rPr>
                <w:szCs w:val="24"/>
              </w:rPr>
              <w:t xml:space="preserve"> FOR A CHARACTERISTIC IN THE SAME GROWING CYCLE</w:t>
            </w:r>
          </w:p>
        </w:tc>
      </w:tr>
      <w:tr w:rsidR="00183337" w:rsidRPr="00ED3415" w:rsidTr="00183337">
        <w:trPr>
          <w:trHeight w:val="2880"/>
        </w:trPr>
        <w:tc>
          <w:tcPr>
            <w:tcW w:w="9889" w:type="dxa"/>
            <w:tcBorders>
              <w:bottom w:val="single" w:sz="4" w:space="0" w:color="auto"/>
            </w:tcBorders>
          </w:tcPr>
          <w:p w:rsidR="00183337" w:rsidRDefault="00183337" w:rsidP="00183337">
            <w:pPr>
              <w:rPr>
                <w:b/>
                <w:szCs w:val="24"/>
              </w:rPr>
            </w:pPr>
          </w:p>
          <w:p w:rsidR="00183337" w:rsidRPr="00A4174A" w:rsidRDefault="00183337" w:rsidP="00183337">
            <w:r>
              <w:rPr>
                <w:b/>
                <w:szCs w:val="24"/>
              </w:rPr>
              <w:t>Approach:  Additional growing cycle in the case of inconsistent results</w:t>
            </w:r>
          </w:p>
          <w:p w:rsidR="00183337" w:rsidRDefault="00183337" w:rsidP="00183337">
            <w:pPr>
              <w:jc w:val="left"/>
              <w:rPr>
                <w:rFonts w:eastAsia="MS Mincho"/>
                <w:color w:val="000000"/>
                <w:lang w:eastAsia="ja-JP"/>
              </w:rPr>
            </w:pPr>
          </w:p>
          <w:p w:rsidR="00183337" w:rsidRPr="00ED3415" w:rsidRDefault="00183337" w:rsidP="00183337">
            <w:pPr>
              <w:rPr>
                <w:szCs w:val="24"/>
                <w:u w:val="single"/>
              </w:rPr>
            </w:pPr>
            <w:r>
              <w:rPr>
                <w:rFonts w:eastAsia="SimSun"/>
                <w:szCs w:val="24"/>
                <w:lang w:eastAsia="zh-CN"/>
              </w:rPr>
              <w:t xml:space="preserve">A variety is considered to be </w:t>
            </w:r>
            <w:r w:rsidRPr="00807A44">
              <w:rPr>
                <w:rFonts w:eastAsia="SimSun"/>
                <w:szCs w:val="24"/>
                <w:lang w:eastAsia="zh-CN"/>
              </w:rPr>
              <w:t xml:space="preserve">uniform </w:t>
            </w:r>
            <w:r>
              <w:rPr>
                <w:rFonts w:eastAsia="SimSun"/>
                <w:szCs w:val="24"/>
                <w:lang w:eastAsia="zh-CN"/>
              </w:rPr>
              <w:t xml:space="preserve">for a characteristic </w:t>
            </w:r>
            <w:r w:rsidRPr="00807A44">
              <w:rPr>
                <w:rFonts w:eastAsia="SimSun"/>
                <w:szCs w:val="24"/>
                <w:lang w:eastAsia="zh-CN"/>
              </w:rPr>
              <w:t>if it is within the uniformity stan</w:t>
            </w:r>
            <w:r>
              <w:rPr>
                <w:rFonts w:eastAsia="SimSun"/>
                <w:szCs w:val="24"/>
                <w:lang w:eastAsia="zh-CN"/>
              </w:rPr>
              <w:t xml:space="preserve">dard for the characteristic in all </w:t>
            </w:r>
            <w:r w:rsidRPr="006556B3">
              <w:rPr>
                <w:rFonts w:eastAsia="SimSun"/>
                <w:szCs w:val="24"/>
                <w:lang w:eastAsia="zh-CN"/>
              </w:rPr>
              <w:t>samples or subsamples.</w:t>
            </w:r>
          </w:p>
          <w:p w:rsidR="00183337" w:rsidRDefault="00183337" w:rsidP="00183337">
            <w:pPr>
              <w:rPr>
                <w:rFonts w:eastAsia="SimSun"/>
                <w:szCs w:val="24"/>
                <w:lang w:eastAsia="zh-CN"/>
              </w:rPr>
            </w:pPr>
          </w:p>
          <w:p w:rsidR="00183337" w:rsidRPr="00ED3415" w:rsidRDefault="00183337" w:rsidP="00183337">
            <w:pPr>
              <w:rPr>
                <w:rFonts w:eastAsia="SimSun"/>
                <w:szCs w:val="24"/>
                <w:lang w:eastAsia="zh-CN"/>
              </w:rPr>
            </w:pPr>
            <w:r w:rsidRPr="00ED3415">
              <w:rPr>
                <w:rFonts w:eastAsia="SimSun"/>
                <w:szCs w:val="24"/>
                <w:lang w:eastAsia="zh-CN"/>
              </w:rPr>
              <w:t>A variety is considered non-uniform if it fails to meet the uniformity stan</w:t>
            </w:r>
            <w:r>
              <w:rPr>
                <w:rFonts w:eastAsia="SimSun"/>
                <w:szCs w:val="24"/>
                <w:lang w:eastAsia="zh-CN"/>
              </w:rPr>
              <w:t xml:space="preserve">dard for the characteristic in all </w:t>
            </w:r>
            <w:r w:rsidRPr="006556B3">
              <w:rPr>
                <w:rFonts w:eastAsia="SimSun"/>
                <w:szCs w:val="24"/>
                <w:lang w:eastAsia="zh-CN"/>
              </w:rPr>
              <w:t>samples or subsamples</w:t>
            </w:r>
            <w:r>
              <w:rPr>
                <w:rFonts w:eastAsia="SimSun"/>
                <w:szCs w:val="24"/>
                <w:lang w:eastAsia="zh-CN"/>
              </w:rPr>
              <w:t>.</w:t>
            </w:r>
          </w:p>
          <w:p w:rsidR="00183337" w:rsidRDefault="00183337" w:rsidP="00183337">
            <w:pPr>
              <w:rPr>
                <w:szCs w:val="24"/>
              </w:rPr>
            </w:pPr>
          </w:p>
          <w:p w:rsidR="00183337" w:rsidRPr="006556B3" w:rsidRDefault="00183337" w:rsidP="00183337">
            <w:pPr>
              <w:rPr>
                <w:szCs w:val="24"/>
              </w:rPr>
            </w:pPr>
            <w:r w:rsidRPr="006556B3">
              <w:rPr>
                <w:szCs w:val="24"/>
              </w:rPr>
              <w:t xml:space="preserve">In the case where a variety is within the uniformity standard </w:t>
            </w:r>
            <w:r w:rsidRPr="006556B3">
              <w:rPr>
                <w:rFonts w:eastAsia="SimSun"/>
                <w:szCs w:val="24"/>
                <w:lang w:eastAsia="zh-CN"/>
              </w:rPr>
              <w:t xml:space="preserve">for the characteristic </w:t>
            </w:r>
            <w:r w:rsidRPr="006556B3">
              <w:rPr>
                <w:szCs w:val="24"/>
              </w:rPr>
              <w:t xml:space="preserve">in one </w:t>
            </w:r>
            <w:r w:rsidRPr="006556B3">
              <w:rPr>
                <w:rFonts w:eastAsia="SimSun"/>
                <w:szCs w:val="24"/>
                <w:lang w:eastAsia="zh-CN"/>
              </w:rPr>
              <w:t>samples or subsamples</w:t>
            </w:r>
            <w:r w:rsidRPr="006556B3">
              <w:rPr>
                <w:szCs w:val="24"/>
              </w:rPr>
              <w:t xml:space="preserve"> (e.g. main trial) and not in another </w:t>
            </w:r>
            <w:r w:rsidRPr="006556B3">
              <w:rPr>
                <w:rFonts w:eastAsia="SimSun"/>
                <w:szCs w:val="24"/>
                <w:lang w:eastAsia="zh-CN"/>
              </w:rPr>
              <w:t>samples or subsamples</w:t>
            </w:r>
            <w:r w:rsidRPr="006556B3">
              <w:rPr>
                <w:szCs w:val="24"/>
              </w:rPr>
              <w:t xml:space="preserve"> (e.g. ear-row plot), both</w:t>
            </w:r>
            <w:r w:rsidRPr="006556B3">
              <w:rPr>
                <w:rFonts w:eastAsia="SimSun"/>
                <w:szCs w:val="24"/>
                <w:lang w:eastAsia="zh-CN"/>
              </w:rPr>
              <w:t xml:space="preserve"> samples or subsamples</w:t>
            </w:r>
            <w:r w:rsidRPr="006556B3">
              <w:rPr>
                <w:szCs w:val="24"/>
              </w:rPr>
              <w:t xml:space="preserve"> are examined in a further growing cycle.</w:t>
            </w:r>
          </w:p>
          <w:p w:rsidR="00183337" w:rsidRPr="0071257F" w:rsidRDefault="00183337" w:rsidP="00183337">
            <w:pPr>
              <w:rPr>
                <w:szCs w:val="24"/>
              </w:rPr>
            </w:pPr>
          </w:p>
        </w:tc>
      </w:tr>
    </w:tbl>
    <w:p w:rsidR="00183337" w:rsidRDefault="00183337" w:rsidP="00183337">
      <w:pPr>
        <w:rPr>
          <w:snapToGrid w:val="0"/>
        </w:rPr>
      </w:pPr>
    </w:p>
    <w:p w:rsidR="00183337" w:rsidRDefault="00183337" w:rsidP="00183337">
      <w:pPr>
        <w:rPr>
          <w:snapToGrid w:val="0"/>
        </w:rPr>
      </w:pPr>
    </w:p>
    <w:p w:rsidR="00183337" w:rsidRDefault="00183337" w:rsidP="00183337">
      <w:pPr>
        <w:rPr>
          <w:snapToGrid w:val="0"/>
        </w:rPr>
      </w:pPr>
    </w:p>
    <w:p w:rsidR="00183337" w:rsidRDefault="00183337" w:rsidP="00183337">
      <w:pPr>
        <w:jc w:val="right"/>
      </w:pPr>
      <w:r>
        <w:t>[Annex IV follows]</w:t>
      </w:r>
    </w:p>
    <w:p w:rsidR="00183337" w:rsidRDefault="00183337" w:rsidP="00183337">
      <w:pPr>
        <w:rPr>
          <w:snapToGrid w:val="0"/>
        </w:rPr>
      </w:pPr>
    </w:p>
    <w:p w:rsidR="00183337" w:rsidRDefault="00183337" w:rsidP="00183337">
      <w:pPr>
        <w:rPr>
          <w:snapToGrid w:val="0"/>
        </w:rPr>
        <w:sectPr w:rsidR="00183337" w:rsidSect="00906DDC">
          <w:headerReference w:type="first" r:id="rId13"/>
          <w:pgSz w:w="11907" w:h="16840" w:code="9"/>
          <w:pgMar w:top="510" w:right="1134" w:bottom="1134" w:left="1134" w:header="510" w:footer="680" w:gutter="0"/>
          <w:cols w:space="720"/>
          <w:titlePg/>
        </w:sect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183337" w:rsidRPr="00ED3415" w:rsidTr="00183337">
        <w:trPr>
          <w:trHeight w:val="512"/>
        </w:trPr>
        <w:tc>
          <w:tcPr>
            <w:tcW w:w="9889" w:type="dxa"/>
          </w:tcPr>
          <w:p w:rsidR="00183337" w:rsidRPr="002A2C89" w:rsidRDefault="00183337" w:rsidP="00183337">
            <w:pPr>
              <w:autoSpaceDE w:val="0"/>
              <w:autoSpaceDN w:val="0"/>
              <w:adjustRightInd w:val="0"/>
              <w:spacing w:before="120" w:after="120"/>
              <w:jc w:val="center"/>
              <w:rPr>
                <w:rFonts w:eastAsia="SimSun"/>
                <w:szCs w:val="24"/>
                <w:lang w:eastAsia="zh-CN"/>
              </w:rPr>
            </w:pPr>
            <w:r>
              <w:rPr>
                <w:rFonts w:eastAsia="SimSun"/>
                <w:szCs w:val="24"/>
                <w:lang w:eastAsia="zh-CN"/>
              </w:rPr>
              <w:t xml:space="preserve">SITUATION D:  ASSESSING </w:t>
            </w:r>
            <w:r>
              <w:rPr>
                <w:szCs w:val="24"/>
              </w:rPr>
              <w:t>SUB-SAMPLES WITHIN A SINGLE TEST/TRIAL</w:t>
            </w:r>
          </w:p>
        </w:tc>
      </w:tr>
      <w:tr w:rsidR="00183337" w:rsidRPr="00ED3415" w:rsidTr="00183337">
        <w:trPr>
          <w:trHeight w:val="2880"/>
        </w:trPr>
        <w:tc>
          <w:tcPr>
            <w:tcW w:w="9889" w:type="dxa"/>
            <w:tcBorders>
              <w:bottom w:val="single" w:sz="4" w:space="0" w:color="auto"/>
            </w:tcBorders>
          </w:tcPr>
          <w:p w:rsidR="00183337" w:rsidRPr="00443AD8" w:rsidRDefault="00183337" w:rsidP="00183337"/>
          <w:p w:rsidR="00183337" w:rsidRDefault="00183337" w:rsidP="00183337">
            <w:pPr>
              <w:rPr>
                <w:b/>
              </w:rPr>
            </w:pPr>
            <w:r w:rsidRPr="00443AD8">
              <w:rPr>
                <w:b/>
              </w:rPr>
              <w:t xml:space="preserve">Approach:  Use of sub-sample as </w:t>
            </w:r>
            <w:r>
              <w:rPr>
                <w:b/>
              </w:rPr>
              <w:t xml:space="preserve">a </w:t>
            </w:r>
            <w:r w:rsidRPr="00443AD8">
              <w:rPr>
                <w:b/>
              </w:rPr>
              <w:t>first step of assessment</w:t>
            </w:r>
          </w:p>
          <w:p w:rsidR="00183337" w:rsidRPr="00443AD8" w:rsidRDefault="00183337" w:rsidP="00183337">
            <w:pPr>
              <w:rPr>
                <w:b/>
              </w:rPr>
            </w:pPr>
          </w:p>
          <w:p w:rsidR="00183337" w:rsidRDefault="00183337" w:rsidP="00183337">
            <w:r w:rsidRPr="00443AD8">
              <w:t>A variety is considered unif</w:t>
            </w:r>
            <w:r>
              <w:t>orm</w:t>
            </w:r>
            <w:r w:rsidRPr="00443AD8">
              <w:t xml:space="preserve"> if no off-types are observed in a sub-sample.</w:t>
            </w:r>
          </w:p>
          <w:p w:rsidR="00183337" w:rsidRPr="00443AD8" w:rsidRDefault="00183337" w:rsidP="00183337"/>
          <w:p w:rsidR="00183337" w:rsidRDefault="00183337" w:rsidP="00183337">
            <w:r>
              <w:t>A variety is considered non–</w:t>
            </w:r>
            <w:r w:rsidRPr="00443AD8">
              <w:t>uniform if the number of off-types in the sub-sample exceeds the accepted number of off-types for the whole sample.</w:t>
            </w:r>
          </w:p>
          <w:p w:rsidR="00183337" w:rsidRPr="00443AD8" w:rsidRDefault="00183337" w:rsidP="00183337"/>
          <w:p w:rsidR="00183337" w:rsidRDefault="00183337" w:rsidP="00183337">
            <w:r w:rsidRPr="00443AD8">
              <w:t>If the number of off-types is 1 or more, but below the accepted number of off-types for the whole sample, the whole sample is assessed.</w:t>
            </w:r>
          </w:p>
          <w:p w:rsidR="00183337" w:rsidRDefault="00183337" w:rsidP="00183337">
            <w:pPr>
              <w:rPr>
                <w:szCs w:val="24"/>
              </w:rPr>
            </w:pPr>
          </w:p>
          <w:p w:rsidR="00183337" w:rsidRDefault="00183337" w:rsidP="00183337">
            <w:pPr>
              <w:rPr>
                <w:szCs w:val="24"/>
              </w:rPr>
            </w:pPr>
            <w:r>
              <w:rPr>
                <w:szCs w:val="24"/>
              </w:rPr>
              <w:t>______________________________________________________________________________________</w:t>
            </w:r>
          </w:p>
          <w:p w:rsidR="00183337" w:rsidRDefault="00183337" w:rsidP="00183337">
            <w:pPr>
              <w:rPr>
                <w:szCs w:val="24"/>
              </w:rPr>
            </w:pPr>
          </w:p>
          <w:p w:rsidR="00183337" w:rsidRPr="00BF512B" w:rsidRDefault="00183337" w:rsidP="00183337">
            <w:pPr>
              <w:rPr>
                <w:szCs w:val="24"/>
              </w:rPr>
            </w:pPr>
            <w:r>
              <w:rPr>
                <w:szCs w:val="24"/>
              </w:rPr>
              <w:t>Example for consideration:</w:t>
            </w:r>
          </w:p>
          <w:p w:rsidR="00183337" w:rsidRDefault="00183337" w:rsidP="00183337">
            <w:pPr>
              <w:rPr>
                <w:szCs w:val="24"/>
              </w:rPr>
            </w:pPr>
          </w:p>
          <w:p w:rsidR="00183337" w:rsidRDefault="00183337" w:rsidP="00183337">
            <w:pPr>
              <w:autoSpaceDE w:val="0"/>
              <w:autoSpaceDN w:val="0"/>
              <w:adjustRightInd w:val="0"/>
              <w:rPr>
                <w:color w:val="000000"/>
                <w:szCs w:val="24"/>
              </w:rPr>
            </w:pPr>
            <w:r>
              <w:rPr>
                <w:color w:val="000000"/>
                <w:szCs w:val="24"/>
              </w:rPr>
              <w:t>In a sample size of 100 plants, the acceptable number of off-types is 3 (based on a population standard of 1% and an acceptance probability of at least 95%).</w:t>
            </w:r>
          </w:p>
          <w:p w:rsidR="00183337" w:rsidRDefault="00183337" w:rsidP="00183337">
            <w:pPr>
              <w:autoSpaceDE w:val="0"/>
              <w:autoSpaceDN w:val="0"/>
              <w:adjustRightInd w:val="0"/>
              <w:rPr>
                <w:color w:val="000000"/>
                <w:szCs w:val="24"/>
              </w:rPr>
            </w:pPr>
          </w:p>
          <w:p w:rsidR="00183337" w:rsidRDefault="00183337" w:rsidP="00183337">
            <w:pPr>
              <w:autoSpaceDE w:val="0"/>
              <w:autoSpaceDN w:val="0"/>
              <w:adjustRightInd w:val="0"/>
              <w:rPr>
                <w:color w:val="000000"/>
                <w:szCs w:val="24"/>
              </w:rPr>
            </w:pPr>
            <w:r>
              <w:rPr>
                <w:color w:val="000000"/>
                <w:szCs w:val="24"/>
              </w:rPr>
              <w:t>I</w:t>
            </w:r>
            <w:r w:rsidRPr="00917C3E">
              <w:rPr>
                <w:color w:val="000000"/>
                <w:szCs w:val="24"/>
              </w:rPr>
              <w:t xml:space="preserve">n </w:t>
            </w:r>
            <w:r>
              <w:rPr>
                <w:color w:val="000000"/>
                <w:szCs w:val="24"/>
              </w:rPr>
              <w:t>a</w:t>
            </w:r>
            <w:r w:rsidRPr="00917C3E">
              <w:rPr>
                <w:color w:val="000000"/>
                <w:szCs w:val="24"/>
              </w:rPr>
              <w:t xml:space="preserve"> subsample of 20 plants used in the context</w:t>
            </w:r>
            <w:r>
              <w:rPr>
                <w:color w:val="000000"/>
                <w:szCs w:val="24"/>
              </w:rPr>
              <w:t xml:space="preserve"> of the sample size of 100 plants above:</w:t>
            </w:r>
          </w:p>
          <w:p w:rsidR="00183337" w:rsidRDefault="00183337" w:rsidP="00183337">
            <w:pPr>
              <w:autoSpaceDE w:val="0"/>
              <w:autoSpaceDN w:val="0"/>
              <w:adjustRightInd w:val="0"/>
              <w:rPr>
                <w:color w:val="000000"/>
                <w:szCs w:val="24"/>
              </w:rPr>
            </w:pPr>
          </w:p>
          <w:p w:rsidR="00183337" w:rsidRDefault="00183337" w:rsidP="00183337">
            <w:pPr>
              <w:ind w:left="567"/>
            </w:pPr>
            <w:r w:rsidRPr="00443AD8">
              <w:t>A variety is considered unif</w:t>
            </w:r>
            <w:r>
              <w:t>orm</w:t>
            </w:r>
            <w:r w:rsidRPr="00443AD8">
              <w:t xml:space="preserve"> if no off-types are observed in </w:t>
            </w:r>
            <w:r>
              <w:t>the</w:t>
            </w:r>
            <w:r w:rsidRPr="00443AD8">
              <w:t xml:space="preserve"> sub-sample.</w:t>
            </w:r>
          </w:p>
          <w:p w:rsidR="00183337" w:rsidRPr="00443AD8" w:rsidRDefault="00183337" w:rsidP="00183337"/>
          <w:p w:rsidR="00183337" w:rsidRDefault="00183337" w:rsidP="00183337">
            <w:pPr>
              <w:ind w:left="567"/>
            </w:pPr>
            <w:r>
              <w:t>A variety is considered non–</w:t>
            </w:r>
            <w:r w:rsidRPr="00443AD8">
              <w:t xml:space="preserve">uniform if the number of off-types in the sub-sample exceeds </w:t>
            </w:r>
            <w:r>
              <w:t>3</w:t>
            </w:r>
            <w:r w:rsidRPr="00443AD8">
              <w:t>.</w:t>
            </w:r>
          </w:p>
          <w:p w:rsidR="00183337" w:rsidRPr="00443AD8" w:rsidRDefault="00183337" w:rsidP="00183337"/>
          <w:p w:rsidR="00183337" w:rsidRDefault="00183337" w:rsidP="00183337">
            <w:pPr>
              <w:ind w:left="567"/>
            </w:pPr>
            <w:r w:rsidRPr="00443AD8">
              <w:t xml:space="preserve">If the number of off-types is 1 </w:t>
            </w:r>
            <w:r>
              <w:t>to 3</w:t>
            </w:r>
            <w:r w:rsidRPr="00443AD8">
              <w:t xml:space="preserve">, the whole sample </w:t>
            </w:r>
            <w:r>
              <w:t xml:space="preserve">of 100 plants </w:t>
            </w:r>
            <w:r w:rsidRPr="00443AD8">
              <w:t>is assessed.</w:t>
            </w:r>
          </w:p>
          <w:p w:rsidR="00183337" w:rsidRDefault="00183337" w:rsidP="00183337">
            <w:pPr>
              <w:rPr>
                <w:szCs w:val="24"/>
              </w:rPr>
            </w:pPr>
          </w:p>
          <w:p w:rsidR="00183337" w:rsidRPr="0071257F" w:rsidRDefault="00183337" w:rsidP="00183337">
            <w:pPr>
              <w:rPr>
                <w:szCs w:val="24"/>
              </w:rPr>
            </w:pPr>
            <w:r>
              <w:rPr>
                <w:szCs w:val="24"/>
              </w:rPr>
              <w:t xml:space="preserve"> </w:t>
            </w:r>
          </w:p>
        </w:tc>
      </w:tr>
    </w:tbl>
    <w:p w:rsidR="00183337" w:rsidRDefault="00183337" w:rsidP="00183337">
      <w:pPr>
        <w:rPr>
          <w:snapToGrid w:val="0"/>
        </w:rPr>
      </w:pPr>
    </w:p>
    <w:p w:rsidR="00183337" w:rsidRDefault="00183337" w:rsidP="00183337">
      <w:pPr>
        <w:pStyle w:val="endofdoc"/>
        <w:rPr>
          <w:snapToGrid w:val="0"/>
        </w:rPr>
      </w:pPr>
      <w:r>
        <w:rPr>
          <w:snapToGrid w:val="0"/>
        </w:rPr>
        <w:t>[End of Annex IV and of document]</w:t>
      </w:r>
    </w:p>
    <w:p w:rsidR="00050E16" w:rsidRPr="00C5280D" w:rsidRDefault="00050E16" w:rsidP="00183337"/>
    <w:sectPr w:rsidR="00050E16" w:rsidRPr="00C5280D" w:rsidSect="00906DDC">
      <w:headerReference w:type="default" r:id="rId14"/>
      <w:headerReference w:type="first" r:id="rId15"/>
      <w:footerReference w:type="first" r:id="rId1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6A8" w:rsidRDefault="00AF06A8" w:rsidP="006655D3">
      <w:r>
        <w:separator/>
      </w:r>
    </w:p>
    <w:p w:rsidR="00AF06A8" w:rsidRDefault="00AF06A8" w:rsidP="006655D3"/>
    <w:p w:rsidR="00AF06A8" w:rsidRDefault="00AF06A8" w:rsidP="006655D3"/>
  </w:endnote>
  <w:endnote w:type="continuationSeparator" w:id="0">
    <w:p w:rsidR="00AF06A8" w:rsidRDefault="00AF06A8" w:rsidP="006655D3">
      <w:r>
        <w:separator/>
      </w:r>
    </w:p>
    <w:p w:rsidR="00AF06A8" w:rsidRPr="009B4AAE" w:rsidRDefault="00AF06A8">
      <w:pPr>
        <w:pStyle w:val="Footer"/>
        <w:spacing w:after="60"/>
        <w:rPr>
          <w:sz w:val="18"/>
          <w:lang w:val="fr-FR"/>
        </w:rPr>
      </w:pPr>
      <w:r w:rsidRPr="009B4AAE">
        <w:rPr>
          <w:sz w:val="18"/>
          <w:lang w:val="fr-FR"/>
        </w:rPr>
        <w:t>[Suite de la note de la page précédente]</w:t>
      </w:r>
    </w:p>
    <w:p w:rsidR="00AF06A8" w:rsidRPr="009B4AAE" w:rsidRDefault="00AF06A8" w:rsidP="006655D3">
      <w:pPr>
        <w:rPr>
          <w:lang w:val="fr-FR"/>
        </w:rPr>
      </w:pPr>
    </w:p>
    <w:p w:rsidR="00AF06A8" w:rsidRPr="009B4AAE" w:rsidRDefault="00AF06A8" w:rsidP="006655D3">
      <w:pPr>
        <w:rPr>
          <w:lang w:val="fr-FR"/>
        </w:rPr>
      </w:pPr>
    </w:p>
  </w:endnote>
  <w:endnote w:type="continuationNotice" w:id="1">
    <w:p w:rsidR="00AF06A8" w:rsidRPr="009B4AAE" w:rsidRDefault="00AF06A8" w:rsidP="006655D3">
      <w:pPr>
        <w:rPr>
          <w:lang w:val="fr-FR"/>
        </w:rPr>
      </w:pPr>
      <w:r w:rsidRPr="009B4AAE">
        <w:rPr>
          <w:lang w:val="fr-FR"/>
        </w:rPr>
        <w:t>[Suite de la note page suivante]</w:t>
      </w:r>
    </w:p>
    <w:p w:rsidR="00AF06A8" w:rsidRPr="009B4AAE" w:rsidRDefault="00AF06A8" w:rsidP="006655D3">
      <w:pPr>
        <w:rPr>
          <w:lang w:val="fr-FR"/>
        </w:rPr>
      </w:pPr>
    </w:p>
    <w:p w:rsidR="00AF06A8" w:rsidRPr="009B4AAE" w:rsidRDefault="00AF06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A8" w:rsidRPr="005C0679" w:rsidRDefault="00AF06A8" w:rsidP="005C06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A8" w:rsidRPr="00AE0EF1" w:rsidRDefault="00AF06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6A8" w:rsidRDefault="00AF06A8" w:rsidP="006655D3">
      <w:r>
        <w:separator/>
      </w:r>
    </w:p>
  </w:footnote>
  <w:footnote w:type="continuationSeparator" w:id="0">
    <w:p w:rsidR="00AF06A8" w:rsidRDefault="00AF06A8" w:rsidP="006655D3">
      <w:r>
        <w:separator/>
      </w:r>
    </w:p>
  </w:footnote>
  <w:footnote w:type="continuationNotice" w:id="1">
    <w:p w:rsidR="00AF06A8" w:rsidRPr="00AB530F" w:rsidRDefault="00AF06A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A8" w:rsidRPr="00C5280D" w:rsidRDefault="00AF06A8" w:rsidP="00EB048E">
    <w:pPr>
      <w:pStyle w:val="Header"/>
      <w:rPr>
        <w:rStyle w:val="PageNumber"/>
      </w:rPr>
    </w:pPr>
    <w:r>
      <w:rPr>
        <w:rStyle w:val="PageNumber"/>
      </w:rPr>
      <w:t>TC/50/12</w:t>
    </w:r>
  </w:p>
  <w:p w:rsidR="00AF06A8" w:rsidRPr="00C5280D" w:rsidRDefault="00AF06A8" w:rsidP="00EB048E">
    <w:pPr>
      <w:pStyle w:val="Header"/>
    </w:pPr>
    <w:proofErr w:type="gramStart"/>
    <w:r w:rsidRPr="00C5280D">
      <w:t>page</w:t>
    </w:r>
    <w:proofErr w:type="gramEnd"/>
    <w:r w:rsidRPr="00C5280D">
      <w:t xml:space="preserve">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48071A">
      <w:rPr>
        <w:rStyle w:val="PageNumber"/>
        <w:noProof/>
      </w:rPr>
      <w:t>8</w:t>
    </w:r>
    <w:r w:rsidRPr="00C5280D">
      <w:rPr>
        <w:rStyle w:val="PageNumber"/>
      </w:rPr>
      <w:fldChar w:fldCharType="end"/>
    </w:r>
  </w:p>
  <w:p w:rsidR="00AF06A8" w:rsidRPr="00C5280D" w:rsidRDefault="00AF06A8"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A8" w:rsidRPr="00C5280D" w:rsidRDefault="00AF06A8" w:rsidP="00183337">
    <w:pPr>
      <w:pStyle w:val="Header"/>
      <w:rPr>
        <w:rStyle w:val="PageNumber"/>
      </w:rPr>
    </w:pPr>
    <w:r>
      <w:rPr>
        <w:rStyle w:val="PageNumber"/>
      </w:rPr>
      <w:t>TC/50/12</w:t>
    </w:r>
  </w:p>
  <w:p w:rsidR="00AF06A8" w:rsidRDefault="00AF06A8" w:rsidP="00CB0247">
    <w:pPr>
      <w:pStyle w:val="Header"/>
    </w:pPr>
  </w:p>
  <w:p w:rsidR="00AF06A8" w:rsidRPr="000555A3" w:rsidRDefault="00AF06A8" w:rsidP="00CB0247">
    <w:pPr>
      <w:pStyle w:val="Header"/>
    </w:pPr>
    <w:r>
      <w:t>ANNEX I</w:t>
    </w:r>
  </w:p>
  <w:p w:rsidR="00AF06A8" w:rsidRDefault="00AF06A8" w:rsidP="00CB0247">
    <w:pPr>
      <w:pStyle w:val="Header"/>
      <w:rPr>
        <w:rFonts w:eastAsia="MS Mincho"/>
        <w:lang w:eastAsia="ja-JP"/>
      </w:rPr>
    </w:pPr>
  </w:p>
  <w:p w:rsidR="00AF06A8" w:rsidRDefault="00AF06A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A8" w:rsidRPr="00C5280D" w:rsidRDefault="00AF06A8" w:rsidP="00183337">
    <w:pPr>
      <w:pStyle w:val="Header"/>
      <w:rPr>
        <w:rStyle w:val="PageNumber"/>
      </w:rPr>
    </w:pPr>
    <w:r>
      <w:rPr>
        <w:rStyle w:val="PageNumber"/>
      </w:rPr>
      <w:t>TC/50/12</w:t>
    </w:r>
  </w:p>
  <w:p w:rsidR="00AF06A8" w:rsidRDefault="00AF06A8" w:rsidP="00CB0247">
    <w:pPr>
      <w:pStyle w:val="Header"/>
    </w:pPr>
  </w:p>
  <w:p w:rsidR="00AF06A8" w:rsidRPr="000555A3" w:rsidRDefault="00AF06A8" w:rsidP="00CB0247">
    <w:pPr>
      <w:pStyle w:val="Header"/>
    </w:pPr>
    <w:r>
      <w:t>ANNEX II</w:t>
    </w:r>
  </w:p>
  <w:p w:rsidR="00AF06A8" w:rsidRDefault="00AF06A8" w:rsidP="00CB0247">
    <w:pPr>
      <w:pStyle w:val="Header"/>
      <w:rPr>
        <w:rFonts w:eastAsia="MS Mincho"/>
        <w:lang w:eastAsia="ja-JP"/>
      </w:rPr>
    </w:pPr>
  </w:p>
  <w:p w:rsidR="00AF06A8" w:rsidRDefault="00AF06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A8" w:rsidRPr="00C5280D" w:rsidRDefault="00AF06A8" w:rsidP="00183337">
    <w:pPr>
      <w:pStyle w:val="Header"/>
      <w:rPr>
        <w:rStyle w:val="PageNumber"/>
      </w:rPr>
    </w:pPr>
    <w:r>
      <w:rPr>
        <w:rStyle w:val="PageNumber"/>
      </w:rPr>
      <w:t>TC/50/12</w:t>
    </w:r>
  </w:p>
  <w:p w:rsidR="00AF06A8" w:rsidRDefault="00AF06A8" w:rsidP="00CB0247">
    <w:pPr>
      <w:pStyle w:val="Header"/>
    </w:pPr>
  </w:p>
  <w:p w:rsidR="00AF06A8" w:rsidRPr="000555A3" w:rsidRDefault="00AF06A8" w:rsidP="00CB0247">
    <w:pPr>
      <w:pStyle w:val="Header"/>
    </w:pPr>
    <w:r>
      <w:t>ANNEX III</w:t>
    </w:r>
  </w:p>
  <w:p w:rsidR="00AF06A8" w:rsidRDefault="00AF06A8" w:rsidP="00CB0247">
    <w:pPr>
      <w:pStyle w:val="Header"/>
      <w:rPr>
        <w:rFonts w:eastAsia="MS Mincho"/>
        <w:lang w:eastAsia="ja-JP"/>
      </w:rPr>
    </w:pPr>
  </w:p>
  <w:p w:rsidR="00AF06A8" w:rsidRDefault="00AF06A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A8" w:rsidRPr="00C5280D" w:rsidRDefault="00AF06A8" w:rsidP="00EB048E">
    <w:pPr>
      <w:pStyle w:val="Header"/>
      <w:rPr>
        <w:rStyle w:val="PageNumber"/>
        <w:lang w:val="en-US"/>
      </w:rPr>
    </w:pPr>
    <w:r>
      <w:rPr>
        <w:rStyle w:val="PageNumber"/>
        <w:lang w:val="en-US"/>
      </w:rPr>
      <w:t>TC/50/</w:t>
    </w:r>
  </w:p>
  <w:p w:rsidR="00AF06A8" w:rsidRPr="00C5280D" w:rsidRDefault="00AF06A8"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8071A">
      <w:rPr>
        <w:rStyle w:val="PageNumber"/>
        <w:noProof/>
        <w:lang w:val="en-US"/>
      </w:rPr>
      <w:t>12</w:t>
    </w:r>
    <w:r w:rsidRPr="00C5280D">
      <w:rPr>
        <w:rStyle w:val="PageNumber"/>
        <w:lang w:val="en-US"/>
      </w:rPr>
      <w:fldChar w:fldCharType="end"/>
    </w:r>
  </w:p>
  <w:p w:rsidR="00AF06A8" w:rsidRPr="00C5280D" w:rsidRDefault="00AF06A8" w:rsidP="006655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6A8" w:rsidRPr="00C5280D" w:rsidRDefault="00AF06A8" w:rsidP="00183337">
    <w:pPr>
      <w:pStyle w:val="Header"/>
      <w:rPr>
        <w:rStyle w:val="PageNumber"/>
      </w:rPr>
    </w:pPr>
    <w:r>
      <w:rPr>
        <w:rStyle w:val="PageNumber"/>
      </w:rPr>
      <w:t>TC/50/12</w:t>
    </w:r>
  </w:p>
  <w:p w:rsidR="00AF06A8" w:rsidRDefault="00AF06A8" w:rsidP="00CB0247">
    <w:pPr>
      <w:pStyle w:val="Header"/>
    </w:pPr>
  </w:p>
  <w:p w:rsidR="00AF06A8" w:rsidRPr="000555A3" w:rsidRDefault="00AF06A8" w:rsidP="00CB0247">
    <w:pPr>
      <w:pStyle w:val="Header"/>
    </w:pPr>
    <w:r>
      <w:t>ANNEX IV</w:t>
    </w:r>
  </w:p>
  <w:p w:rsidR="00AF06A8" w:rsidRDefault="00AF06A8" w:rsidP="00CB0247">
    <w:pPr>
      <w:pStyle w:val="Header"/>
      <w:rPr>
        <w:rFonts w:eastAsia="MS Mincho"/>
        <w:lang w:eastAsia="ja-JP"/>
      </w:rPr>
    </w:pPr>
  </w:p>
  <w:p w:rsidR="00AF06A8" w:rsidRDefault="00AF06A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774E4C"/>
    <w:multiLevelType w:val="hybridMultilevel"/>
    <w:tmpl w:val="FEBE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701444"/>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
    <w:nsid w:val="4C1B6711"/>
    <w:multiLevelType w:val="hybridMultilevel"/>
    <w:tmpl w:val="9CFE5CC4"/>
    <w:lvl w:ilvl="0" w:tplc="699E2F02">
      <w:start w:val="1"/>
      <w:numFmt w:val="lowerLetter"/>
      <w:lvlText w:val="(%1)"/>
      <w:lvlJc w:val="left"/>
      <w:pPr>
        <w:ind w:left="360" w:hanging="360"/>
      </w:pPr>
      <w:rPr>
        <w:rFonts w:eastAsia="MS Mincho"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4FCF6D60"/>
    <w:multiLevelType w:val="hybridMultilevel"/>
    <w:tmpl w:val="1890BE30"/>
    <w:lvl w:ilvl="0" w:tplc="CB200898">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E216C27"/>
    <w:multiLevelType w:val="hybridMultilevel"/>
    <w:tmpl w:val="D55497C2"/>
    <w:lvl w:ilvl="0" w:tplc="461E64C2">
      <w:start w:val="1"/>
      <w:numFmt w:val="lowerLetter"/>
      <w:lvlText w:val="(%1)"/>
      <w:lvlJc w:val="left"/>
      <w:pPr>
        <w:ind w:left="5180" w:hanging="360"/>
      </w:pPr>
      <w:rPr>
        <w:rFonts w:cs="Times New Roman" w:hint="default"/>
        <w:i/>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60"/>
    <w:rsid w:val="00010CF3"/>
    <w:rsid w:val="00011E27"/>
    <w:rsid w:val="000148BC"/>
    <w:rsid w:val="00024AB8"/>
    <w:rsid w:val="00025CE5"/>
    <w:rsid w:val="000262AC"/>
    <w:rsid w:val="00030854"/>
    <w:rsid w:val="00036028"/>
    <w:rsid w:val="00044642"/>
    <w:rsid w:val="000446B9"/>
    <w:rsid w:val="00047E21"/>
    <w:rsid w:val="00050E16"/>
    <w:rsid w:val="00056454"/>
    <w:rsid w:val="00084D77"/>
    <w:rsid w:val="00085505"/>
    <w:rsid w:val="000A37A7"/>
    <w:rsid w:val="000B324F"/>
    <w:rsid w:val="000C7021"/>
    <w:rsid w:val="000D6BBC"/>
    <w:rsid w:val="000D7780"/>
    <w:rsid w:val="000F2F11"/>
    <w:rsid w:val="00105929"/>
    <w:rsid w:val="001131D5"/>
    <w:rsid w:val="001142CD"/>
    <w:rsid w:val="00141DB8"/>
    <w:rsid w:val="0017474A"/>
    <w:rsid w:val="001758C6"/>
    <w:rsid w:val="00182B99"/>
    <w:rsid w:val="00183337"/>
    <w:rsid w:val="0021332C"/>
    <w:rsid w:val="00213982"/>
    <w:rsid w:val="0024416D"/>
    <w:rsid w:val="00271911"/>
    <w:rsid w:val="002800A0"/>
    <w:rsid w:val="002801B3"/>
    <w:rsid w:val="00281060"/>
    <w:rsid w:val="002872C8"/>
    <w:rsid w:val="002940E8"/>
    <w:rsid w:val="002A6E50"/>
    <w:rsid w:val="002C256A"/>
    <w:rsid w:val="00305A7F"/>
    <w:rsid w:val="0031423F"/>
    <w:rsid w:val="003152FE"/>
    <w:rsid w:val="003232C8"/>
    <w:rsid w:val="00327436"/>
    <w:rsid w:val="00344BD6"/>
    <w:rsid w:val="003515D6"/>
    <w:rsid w:val="0035528D"/>
    <w:rsid w:val="00361821"/>
    <w:rsid w:val="003941D8"/>
    <w:rsid w:val="003B0C7B"/>
    <w:rsid w:val="003D227C"/>
    <w:rsid w:val="003D2B4D"/>
    <w:rsid w:val="004244F6"/>
    <w:rsid w:val="00442A06"/>
    <w:rsid w:val="00444A88"/>
    <w:rsid w:val="00474DA4"/>
    <w:rsid w:val="00476B4D"/>
    <w:rsid w:val="004805FA"/>
    <w:rsid w:val="0048071A"/>
    <w:rsid w:val="004C4AA4"/>
    <w:rsid w:val="004D047D"/>
    <w:rsid w:val="004D42C8"/>
    <w:rsid w:val="004E26E0"/>
    <w:rsid w:val="004F305A"/>
    <w:rsid w:val="005077F9"/>
    <w:rsid w:val="00512164"/>
    <w:rsid w:val="00520297"/>
    <w:rsid w:val="005338F9"/>
    <w:rsid w:val="0054224C"/>
    <w:rsid w:val="0054281C"/>
    <w:rsid w:val="0055268D"/>
    <w:rsid w:val="00576BE4"/>
    <w:rsid w:val="005A400A"/>
    <w:rsid w:val="005C0679"/>
    <w:rsid w:val="005D3EDD"/>
    <w:rsid w:val="00604292"/>
    <w:rsid w:val="00604F80"/>
    <w:rsid w:val="00612379"/>
    <w:rsid w:val="0061555F"/>
    <w:rsid w:val="00627ABA"/>
    <w:rsid w:val="00641200"/>
    <w:rsid w:val="006655D3"/>
    <w:rsid w:val="00667404"/>
    <w:rsid w:val="00687EB4"/>
    <w:rsid w:val="006B17D2"/>
    <w:rsid w:val="006C224E"/>
    <w:rsid w:val="006D780A"/>
    <w:rsid w:val="00707660"/>
    <w:rsid w:val="00732DEC"/>
    <w:rsid w:val="00735BD5"/>
    <w:rsid w:val="00746616"/>
    <w:rsid w:val="007556F6"/>
    <w:rsid w:val="00760EEF"/>
    <w:rsid w:val="0077534F"/>
    <w:rsid w:val="00777EE5"/>
    <w:rsid w:val="00784836"/>
    <w:rsid w:val="0079023E"/>
    <w:rsid w:val="007A2854"/>
    <w:rsid w:val="007B3A96"/>
    <w:rsid w:val="007C1B0C"/>
    <w:rsid w:val="007D0B9D"/>
    <w:rsid w:val="007D19B0"/>
    <w:rsid w:val="007F498F"/>
    <w:rsid w:val="0080679D"/>
    <w:rsid w:val="008108B0"/>
    <w:rsid w:val="00811B20"/>
    <w:rsid w:val="00820E39"/>
    <w:rsid w:val="0082296E"/>
    <w:rsid w:val="00824099"/>
    <w:rsid w:val="008571FF"/>
    <w:rsid w:val="00867AC1"/>
    <w:rsid w:val="00897D14"/>
    <w:rsid w:val="008A743F"/>
    <w:rsid w:val="008C0970"/>
    <w:rsid w:val="008D2CF7"/>
    <w:rsid w:val="00900C26"/>
    <w:rsid w:val="0090197F"/>
    <w:rsid w:val="00906DDC"/>
    <w:rsid w:val="00934E09"/>
    <w:rsid w:val="00936253"/>
    <w:rsid w:val="00952DD4"/>
    <w:rsid w:val="00966299"/>
    <w:rsid w:val="009678B3"/>
    <w:rsid w:val="00970FED"/>
    <w:rsid w:val="00992D82"/>
    <w:rsid w:val="00997029"/>
    <w:rsid w:val="009B4AAE"/>
    <w:rsid w:val="009B69F2"/>
    <w:rsid w:val="009D690D"/>
    <w:rsid w:val="009E65B6"/>
    <w:rsid w:val="00A24C10"/>
    <w:rsid w:val="00A270DC"/>
    <w:rsid w:val="00A27BA8"/>
    <w:rsid w:val="00A30D79"/>
    <w:rsid w:val="00A42AC3"/>
    <w:rsid w:val="00A430CF"/>
    <w:rsid w:val="00A54309"/>
    <w:rsid w:val="00AB2B93"/>
    <w:rsid w:val="00AB530F"/>
    <w:rsid w:val="00AB7E5B"/>
    <w:rsid w:val="00AE0EF1"/>
    <w:rsid w:val="00AE2937"/>
    <w:rsid w:val="00AE2B12"/>
    <w:rsid w:val="00AE4C05"/>
    <w:rsid w:val="00AF06A8"/>
    <w:rsid w:val="00B07301"/>
    <w:rsid w:val="00B224DE"/>
    <w:rsid w:val="00B46575"/>
    <w:rsid w:val="00B74E0F"/>
    <w:rsid w:val="00B84BBD"/>
    <w:rsid w:val="00BA43FB"/>
    <w:rsid w:val="00BC127D"/>
    <w:rsid w:val="00BC1FE6"/>
    <w:rsid w:val="00BE6470"/>
    <w:rsid w:val="00C061B6"/>
    <w:rsid w:val="00C2446C"/>
    <w:rsid w:val="00C33428"/>
    <w:rsid w:val="00C36AE5"/>
    <w:rsid w:val="00C41F17"/>
    <w:rsid w:val="00C4273C"/>
    <w:rsid w:val="00C5280D"/>
    <w:rsid w:val="00C5791C"/>
    <w:rsid w:val="00C66290"/>
    <w:rsid w:val="00C72B7A"/>
    <w:rsid w:val="00C973F2"/>
    <w:rsid w:val="00CA304C"/>
    <w:rsid w:val="00CA774A"/>
    <w:rsid w:val="00CB0247"/>
    <w:rsid w:val="00CC11B0"/>
    <w:rsid w:val="00CF7E36"/>
    <w:rsid w:val="00D3708D"/>
    <w:rsid w:val="00D40426"/>
    <w:rsid w:val="00D44CE1"/>
    <w:rsid w:val="00D57C96"/>
    <w:rsid w:val="00D91203"/>
    <w:rsid w:val="00D95174"/>
    <w:rsid w:val="00DA6F36"/>
    <w:rsid w:val="00DB596E"/>
    <w:rsid w:val="00DB7773"/>
    <w:rsid w:val="00DC00EA"/>
    <w:rsid w:val="00DD41C2"/>
    <w:rsid w:val="00E11095"/>
    <w:rsid w:val="00E14650"/>
    <w:rsid w:val="00E32F7E"/>
    <w:rsid w:val="00E5345F"/>
    <w:rsid w:val="00E72D49"/>
    <w:rsid w:val="00E7593C"/>
    <w:rsid w:val="00E7678A"/>
    <w:rsid w:val="00E935F1"/>
    <w:rsid w:val="00E94A81"/>
    <w:rsid w:val="00EA1A1B"/>
    <w:rsid w:val="00EA1ADE"/>
    <w:rsid w:val="00EA1FFB"/>
    <w:rsid w:val="00EB048E"/>
    <w:rsid w:val="00EB233F"/>
    <w:rsid w:val="00EB4FC2"/>
    <w:rsid w:val="00EE34DF"/>
    <w:rsid w:val="00EF2F89"/>
    <w:rsid w:val="00F1237A"/>
    <w:rsid w:val="00F22CBD"/>
    <w:rsid w:val="00F45372"/>
    <w:rsid w:val="00F560F7"/>
    <w:rsid w:val="00F6334D"/>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8071A"/>
    <w:pPr>
      <w:tabs>
        <w:tab w:val="right" w:leader="dot" w:pos="9639"/>
      </w:tabs>
      <w:spacing w:before="120"/>
      <w:ind w:left="567" w:right="851"/>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E6470"/>
    <w:pPr>
      <w:tabs>
        <w:tab w:val="left" w:pos="567"/>
        <w:tab w:val="right" w:leader="dot" w:pos="9639"/>
      </w:tabs>
      <w:spacing w:before="120"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232C8"/>
    <w:pPr>
      <w:ind w:left="720"/>
      <w:contextualSpacing/>
    </w:pPr>
  </w:style>
  <w:style w:type="paragraph" w:customStyle="1" w:styleId="Default">
    <w:name w:val="Default"/>
    <w:rsid w:val="003232C8"/>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8071A"/>
    <w:pPr>
      <w:tabs>
        <w:tab w:val="right" w:leader="dot" w:pos="9639"/>
      </w:tabs>
      <w:spacing w:before="120"/>
      <w:ind w:left="567" w:right="851"/>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E6470"/>
    <w:pPr>
      <w:tabs>
        <w:tab w:val="left" w:pos="567"/>
        <w:tab w:val="right" w:leader="dot" w:pos="9639"/>
      </w:tabs>
      <w:spacing w:before="120" w:after="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ListParagraph">
    <w:name w:val="List Paragraph"/>
    <w:basedOn w:val="Normal"/>
    <w:uiPriority w:val="34"/>
    <w:qFormat/>
    <w:rsid w:val="003232C8"/>
    <w:pPr>
      <w:ind w:left="720"/>
      <w:contextualSpacing/>
    </w:pPr>
  </w:style>
  <w:style w:type="paragraph" w:customStyle="1" w:styleId="Default">
    <w:name w:val="Default"/>
    <w:rsid w:val="003232C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1991</TotalTime>
  <Pages>12</Pages>
  <Words>4945</Words>
  <Characters>26285</Characters>
  <Application>Microsoft Office Word</Application>
  <DocSecurity>0</DocSecurity>
  <Lines>219</Lines>
  <Paragraphs>62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31168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41</cp:revision>
  <cp:lastPrinted>2014-02-14T13:21:00Z</cp:lastPrinted>
  <dcterms:created xsi:type="dcterms:W3CDTF">2013-11-18T14:52:00Z</dcterms:created>
  <dcterms:modified xsi:type="dcterms:W3CDTF">2014-02-14T13:21:00Z</dcterms:modified>
</cp:coreProperties>
</file>