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CB138C" w:rsidP="006655D3">
            <w:pPr>
              <w:pStyle w:val="LogoUPOV"/>
            </w:pPr>
            <w:r>
              <w:rPr>
                <w:noProof/>
              </w:rPr>
              <w:drawing>
                <wp:inline distT="0" distB="0" distL="0" distR="0" wp14:anchorId="76ED6575" wp14:editId="0C5A29E6">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1D4FC8">
              <w:t>10</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581540">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AB530F" w:rsidRPr="00581540">
              <w:rPr>
                <w:b w:val="0"/>
                <w:spacing w:val="0"/>
              </w:rPr>
              <w:t xml:space="preserve">February </w:t>
            </w:r>
            <w:r w:rsidR="00FC4145" w:rsidRPr="00581540">
              <w:rPr>
                <w:b w:val="0"/>
                <w:spacing w:val="0"/>
              </w:rPr>
              <w:t>1</w:t>
            </w:r>
            <w:r w:rsidR="00581540" w:rsidRPr="00581540">
              <w:rPr>
                <w:b w:val="0"/>
                <w:spacing w:val="0"/>
              </w:rPr>
              <w:t>3</w:t>
            </w:r>
            <w:r w:rsidR="0024416D" w:rsidRPr="00581540">
              <w:rPr>
                <w:b w:val="0"/>
                <w:spacing w:val="0"/>
              </w:rPr>
              <w:t xml:space="preserve">, </w:t>
            </w:r>
            <w:r w:rsidR="001131D5" w:rsidRPr="00581540">
              <w:rPr>
                <w:b w:val="0"/>
                <w:spacing w:val="0"/>
              </w:rPr>
              <w:t>201</w:t>
            </w:r>
            <w:r w:rsidR="00050E16" w:rsidRPr="00581540">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C5280D" w:rsidRDefault="001D4FC8" w:rsidP="006655D3">
      <w:pPr>
        <w:pStyle w:val="Titleofdoc0"/>
      </w:pPr>
      <w:bookmarkStart w:id="3" w:name="TitleOfDoc"/>
      <w:bookmarkEnd w:id="3"/>
      <w:r w:rsidRPr="00192206">
        <w:t xml:space="preserve">Report on developments in UPOV including relevant matters discussed </w:t>
      </w:r>
      <w:r>
        <w:br/>
      </w:r>
      <w:r w:rsidRPr="00192206">
        <w:t xml:space="preserve">in the last sessions of the Administrative and Legal Committee, </w:t>
      </w:r>
      <w:r>
        <w:br/>
      </w:r>
      <w:r w:rsidRPr="00192206">
        <w:t>the Consultative Committee and the Council</w:t>
      </w:r>
    </w:p>
    <w:p w:rsidR="00050E16" w:rsidRPr="00C5280D" w:rsidRDefault="0061555F" w:rsidP="00050E16">
      <w:pPr>
        <w:pStyle w:val="preparedby1"/>
      </w:pPr>
      <w:bookmarkStart w:id="4" w:name="Prepared"/>
      <w:bookmarkEnd w:id="4"/>
      <w:proofErr w:type="gramStart"/>
      <w:r w:rsidRPr="00C5280D">
        <w:t>prepared</w:t>
      </w:r>
      <w:proofErr w:type="gramEnd"/>
      <w:r w:rsidRPr="00C5280D">
        <w:t xml:space="preserve"> by the Office of the Union</w:t>
      </w:r>
      <w:r w:rsidR="00050E16">
        <w:br/>
      </w:r>
      <w:r w:rsidR="00050E16">
        <w:br/>
      </w:r>
      <w:r w:rsidR="00050E16">
        <w:rPr>
          <w:color w:val="A6A6A6" w:themeColor="background1" w:themeShade="A6"/>
        </w:rPr>
        <w:t>Disclaimer:  this document does not represent UPOV policies or guidance</w:t>
      </w:r>
    </w:p>
    <w:p w:rsidR="00050E16" w:rsidRDefault="006E3F4B" w:rsidP="00BD1A54">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w:t>
      </w:r>
      <w:r w:rsidR="00BD1A54">
        <w:rPr>
          <w:snapToGrid w:val="0"/>
        </w:rPr>
        <w:t xml:space="preserve">report on developments in UPOV since the </w:t>
      </w:r>
      <w:r w:rsidR="00BD1A54" w:rsidRPr="00BD1A54">
        <w:rPr>
          <w:snapToGrid w:val="0"/>
        </w:rPr>
        <w:t>forty-ninth session of the Technical Committee</w:t>
      </w:r>
      <w:r w:rsidR="00BD1A54">
        <w:rPr>
          <w:snapToGrid w:val="0"/>
        </w:rPr>
        <w:t xml:space="preserve"> that are not presented under specific items on the agenda</w:t>
      </w:r>
      <w:r w:rsidR="00F70FE9">
        <w:rPr>
          <w:snapToGrid w:val="0"/>
        </w:rPr>
        <w:t xml:space="preserve"> of the fiftieth session of the </w:t>
      </w:r>
      <w:r w:rsidR="00F70FE9" w:rsidRPr="00F70FE9">
        <w:rPr>
          <w:snapToGrid w:val="0"/>
        </w:rPr>
        <w:t>Technical Committee</w:t>
      </w:r>
      <w:r w:rsidR="00BD1A54" w:rsidRPr="00BD1A54">
        <w:rPr>
          <w:snapToGrid w:val="0"/>
        </w:rPr>
        <w:t>, inclu</w:t>
      </w:r>
      <w:r w:rsidR="00BD1A54">
        <w:rPr>
          <w:snapToGrid w:val="0"/>
        </w:rPr>
        <w:t xml:space="preserve">ding relevant matters discussed </w:t>
      </w:r>
      <w:r w:rsidR="00BD1A54" w:rsidRPr="00BD1A54">
        <w:rPr>
          <w:snapToGrid w:val="0"/>
        </w:rPr>
        <w:t>in the last sessions of the Administrative and Legal Committee,</w:t>
      </w:r>
      <w:r w:rsidR="00BD1A54">
        <w:rPr>
          <w:snapToGrid w:val="0"/>
        </w:rPr>
        <w:t xml:space="preserve"> </w:t>
      </w:r>
      <w:r w:rsidR="00BD1A54" w:rsidRPr="00BD1A54">
        <w:rPr>
          <w:snapToGrid w:val="0"/>
        </w:rPr>
        <w:t>the Consultative Committee and the Council</w:t>
      </w:r>
      <w:r w:rsidR="00BD1A54">
        <w:rPr>
          <w:snapToGrid w:val="0"/>
        </w:rPr>
        <w:t>.</w:t>
      </w:r>
    </w:p>
    <w:p w:rsidR="00BD1A54" w:rsidRDefault="00BD1A54" w:rsidP="00BD1A54">
      <w:pPr>
        <w:rPr>
          <w:snapToGrid w:val="0"/>
        </w:rPr>
      </w:pPr>
    </w:p>
    <w:p w:rsidR="00BD1A54" w:rsidRDefault="00BD1A54" w:rsidP="00BD1A54">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This document </w:t>
      </w:r>
      <w:r w:rsidR="00524050">
        <w:rPr>
          <w:snapToGrid w:val="0"/>
        </w:rPr>
        <w:t xml:space="preserve">also </w:t>
      </w:r>
      <w:r w:rsidR="00F70FE9">
        <w:rPr>
          <w:snapToGrid w:val="0"/>
        </w:rPr>
        <w:t>contains</w:t>
      </w:r>
      <w:r>
        <w:rPr>
          <w:snapToGrid w:val="0"/>
        </w:rPr>
        <w:t xml:space="preserve"> matters for consideration by the </w:t>
      </w:r>
      <w:r w:rsidRPr="00BD1A54">
        <w:rPr>
          <w:snapToGrid w:val="0"/>
        </w:rPr>
        <w:t>Technical Committee</w:t>
      </w:r>
      <w:r>
        <w:rPr>
          <w:snapToGrid w:val="0"/>
        </w:rPr>
        <w:t xml:space="preserve"> in relation to</w:t>
      </w:r>
      <w:r w:rsidR="00F70FE9">
        <w:rPr>
          <w:snapToGrid w:val="0"/>
        </w:rPr>
        <w:t xml:space="preserve">:  </w:t>
      </w:r>
      <w:r w:rsidR="00F70FE9" w:rsidRPr="00F70FE9">
        <w:rPr>
          <w:snapToGrid w:val="0"/>
        </w:rPr>
        <w:t>guidance on variety descriptions</w:t>
      </w:r>
      <w:r w:rsidR="00F70FE9">
        <w:rPr>
          <w:snapToGrid w:val="0"/>
        </w:rPr>
        <w:t>;</w:t>
      </w:r>
      <w:r>
        <w:rPr>
          <w:snapToGrid w:val="0"/>
        </w:rPr>
        <w:t xml:space="preserve"> </w:t>
      </w:r>
      <w:r w:rsidRPr="00BD1A54">
        <w:rPr>
          <w:snapToGrid w:val="0"/>
        </w:rPr>
        <w:t>matters raised by the International Seed Federation (ISF)</w:t>
      </w:r>
      <w:r w:rsidR="00F70FE9">
        <w:rPr>
          <w:snapToGrid w:val="0"/>
        </w:rPr>
        <w:t>;</w:t>
      </w:r>
      <w:r>
        <w:rPr>
          <w:snapToGrid w:val="0"/>
        </w:rPr>
        <w:t xml:space="preserve"> and the development of the </w:t>
      </w:r>
      <w:r w:rsidRPr="00BD1A54">
        <w:rPr>
          <w:snapToGrid w:val="0"/>
        </w:rPr>
        <w:t>web-based TG Template</w:t>
      </w:r>
      <w:r>
        <w:rPr>
          <w:snapToGrid w:val="0"/>
        </w:rPr>
        <w:t>.</w:t>
      </w:r>
    </w:p>
    <w:p w:rsidR="00BD1A54" w:rsidRDefault="00BD1A54" w:rsidP="00BD1A54">
      <w:pPr>
        <w:rPr>
          <w:snapToGrid w:val="0"/>
        </w:rPr>
      </w:pPr>
    </w:p>
    <w:p w:rsidR="00BD1A54" w:rsidRPr="00C5280D" w:rsidRDefault="00BD1A54" w:rsidP="00BD1A54">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A presentation summarizing the items in this document will be presented to the </w:t>
      </w:r>
      <w:r w:rsidRPr="00BD1A54">
        <w:rPr>
          <w:snapToGrid w:val="0"/>
        </w:rPr>
        <w:t>Technical Committee</w:t>
      </w:r>
      <w:r>
        <w:rPr>
          <w:snapToGrid w:val="0"/>
        </w:rPr>
        <w:t xml:space="preserve"> </w:t>
      </w:r>
      <w:r w:rsidRPr="005C4236">
        <w:rPr>
          <w:snapToGrid w:val="0"/>
        </w:rPr>
        <w:t>at its fiftieth session, a copy of which</w:t>
      </w:r>
      <w:r w:rsidR="00FC4145" w:rsidRPr="005C4236">
        <w:rPr>
          <w:snapToGrid w:val="0"/>
        </w:rPr>
        <w:t xml:space="preserve"> (in English only)</w:t>
      </w:r>
      <w:r w:rsidRPr="005C4236">
        <w:rPr>
          <w:snapToGrid w:val="0"/>
        </w:rPr>
        <w:t xml:space="preserve"> is attached as the Annex to this document.</w:t>
      </w:r>
    </w:p>
    <w:p w:rsidR="00050E16" w:rsidRDefault="00050E16" w:rsidP="004816A1">
      <w:pPr>
        <w:pStyle w:val="TOC1"/>
        <w:rPr>
          <w:snapToGrid w:val="0"/>
        </w:rPr>
      </w:pPr>
    </w:p>
    <w:p w:rsidR="00BD1A54" w:rsidRDefault="00BD1A54">
      <w:pPr>
        <w:jc w:val="left"/>
      </w:pPr>
      <w:r>
        <w:br w:type="page"/>
      </w:r>
    </w:p>
    <w:p w:rsidR="0099668A" w:rsidRPr="004816A1" w:rsidRDefault="004816A1" w:rsidP="002E3428">
      <w:pPr>
        <w:spacing w:after="180"/>
        <w:rPr>
          <w:u w:val="single"/>
        </w:rPr>
      </w:pPr>
      <w:r>
        <w:rPr>
          <w:u w:val="single"/>
        </w:rPr>
        <w:lastRenderedPageBreak/>
        <w:t>Contents</w:t>
      </w:r>
    </w:p>
    <w:p w:rsidR="00763992" w:rsidRDefault="0099668A">
      <w:pPr>
        <w:pStyle w:val="TOC1"/>
        <w:rPr>
          <w:rFonts w:asciiTheme="minorHAnsi" w:eastAsiaTheme="minorEastAsia" w:hAnsiTheme="minorHAnsi" w:cstheme="minorBidi"/>
          <w:caps w:val="0"/>
          <w:noProof/>
          <w:sz w:val="22"/>
          <w:szCs w:val="22"/>
        </w:rPr>
      </w:pPr>
      <w:r>
        <w:fldChar w:fldCharType="begin"/>
      </w:r>
      <w:r>
        <w:instrText xml:space="preserve"> TOC \o "1-3" \u </w:instrText>
      </w:r>
      <w:r>
        <w:fldChar w:fldCharType="separate"/>
      </w:r>
      <w:r w:rsidR="00763992" w:rsidRPr="00A60130">
        <w:rPr>
          <w:b/>
          <w:bCs/>
          <w:smallCaps/>
          <w:noProof/>
          <w:spacing w:val="5"/>
        </w:rPr>
        <w:t>I.</w:t>
      </w:r>
      <w:r w:rsidR="00763992">
        <w:rPr>
          <w:rFonts w:asciiTheme="minorHAnsi" w:eastAsiaTheme="minorEastAsia" w:hAnsiTheme="minorHAnsi" w:cstheme="minorBidi"/>
          <w:caps w:val="0"/>
          <w:noProof/>
          <w:sz w:val="22"/>
          <w:szCs w:val="22"/>
        </w:rPr>
        <w:tab/>
      </w:r>
      <w:r w:rsidR="00763992" w:rsidRPr="00A60130">
        <w:rPr>
          <w:b/>
          <w:bCs/>
          <w:smallCaps/>
          <w:noProof/>
          <w:spacing w:val="5"/>
        </w:rPr>
        <w:t>Matters for Information</w:t>
      </w:r>
      <w:r w:rsidR="00763992">
        <w:rPr>
          <w:noProof/>
        </w:rPr>
        <w:tab/>
      </w:r>
      <w:r w:rsidR="00763992">
        <w:rPr>
          <w:noProof/>
        </w:rPr>
        <w:fldChar w:fldCharType="begin"/>
      </w:r>
      <w:r w:rsidR="00763992">
        <w:rPr>
          <w:noProof/>
        </w:rPr>
        <w:instrText xml:space="preserve"> PAGEREF _Toc381174851 \h </w:instrText>
      </w:r>
      <w:r w:rsidR="00763992">
        <w:rPr>
          <w:noProof/>
        </w:rPr>
      </w:r>
      <w:r w:rsidR="00763992">
        <w:rPr>
          <w:noProof/>
        </w:rPr>
        <w:fldChar w:fldCharType="separate"/>
      </w:r>
      <w:r w:rsidR="00FC105B">
        <w:rPr>
          <w:noProof/>
        </w:rPr>
        <w:t>3</w:t>
      </w:r>
      <w:r w:rsidR="00763992">
        <w:rPr>
          <w:noProof/>
        </w:rPr>
        <w:fldChar w:fldCharType="end"/>
      </w:r>
    </w:p>
    <w:p w:rsidR="00763992" w:rsidRDefault="00763992">
      <w:pPr>
        <w:pStyle w:val="TOC1"/>
        <w:rPr>
          <w:rFonts w:asciiTheme="minorHAnsi" w:eastAsiaTheme="minorEastAsia" w:hAnsiTheme="minorHAnsi" w:cstheme="minorBidi"/>
          <w:caps w:val="0"/>
          <w:noProof/>
          <w:sz w:val="22"/>
          <w:szCs w:val="22"/>
        </w:rPr>
      </w:pPr>
      <w:r>
        <w:rPr>
          <w:noProof/>
        </w:rPr>
        <w:t>Membership</w:t>
      </w:r>
      <w:r>
        <w:rPr>
          <w:noProof/>
        </w:rPr>
        <w:tab/>
      </w:r>
      <w:r>
        <w:rPr>
          <w:noProof/>
        </w:rPr>
        <w:fldChar w:fldCharType="begin"/>
      </w:r>
      <w:r>
        <w:rPr>
          <w:noProof/>
        </w:rPr>
        <w:instrText xml:space="preserve"> PAGEREF _Toc381174852 \h </w:instrText>
      </w:r>
      <w:r>
        <w:rPr>
          <w:noProof/>
        </w:rPr>
      </w:r>
      <w:r>
        <w:rPr>
          <w:noProof/>
        </w:rPr>
        <w:fldChar w:fldCharType="separate"/>
      </w:r>
      <w:r w:rsidR="00FC105B">
        <w:rPr>
          <w:noProof/>
        </w:rPr>
        <w:t>3</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Members of the Union</w:t>
      </w:r>
      <w:r>
        <w:rPr>
          <w:noProof/>
        </w:rPr>
        <w:tab/>
      </w:r>
      <w:r>
        <w:rPr>
          <w:noProof/>
        </w:rPr>
        <w:fldChar w:fldCharType="begin"/>
      </w:r>
      <w:r>
        <w:rPr>
          <w:noProof/>
        </w:rPr>
        <w:instrText xml:space="preserve"> PAGEREF _Toc381174853 \h </w:instrText>
      </w:r>
      <w:r>
        <w:rPr>
          <w:noProof/>
        </w:rPr>
      </w:r>
      <w:r>
        <w:rPr>
          <w:noProof/>
        </w:rPr>
        <w:fldChar w:fldCharType="separate"/>
      </w:r>
      <w:r w:rsidR="00FC105B">
        <w:rPr>
          <w:noProof/>
        </w:rPr>
        <w:t>3</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Examination of Laws</w:t>
      </w:r>
      <w:r>
        <w:rPr>
          <w:noProof/>
        </w:rPr>
        <w:tab/>
      </w:r>
      <w:r>
        <w:rPr>
          <w:noProof/>
        </w:rPr>
        <w:fldChar w:fldCharType="begin"/>
      </w:r>
      <w:r>
        <w:rPr>
          <w:noProof/>
        </w:rPr>
        <w:instrText xml:space="preserve"> PAGEREF _Toc381174854 \h </w:instrText>
      </w:r>
      <w:r>
        <w:rPr>
          <w:noProof/>
        </w:rPr>
      </w:r>
      <w:r>
        <w:rPr>
          <w:noProof/>
        </w:rPr>
        <w:fldChar w:fldCharType="separate"/>
      </w:r>
      <w:r w:rsidR="00FC105B">
        <w:rPr>
          <w:noProof/>
        </w:rPr>
        <w:t>3</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D23C7A">
        <w:rPr>
          <w:noProof/>
          <w:lang w:val="en-US"/>
        </w:rPr>
        <w:t>Zanzibar</w:t>
      </w:r>
      <w:r w:rsidRPr="00D23C7A">
        <w:rPr>
          <w:noProof/>
          <w:lang w:val="en-US"/>
        </w:rPr>
        <w:tab/>
      </w:r>
      <w:r>
        <w:rPr>
          <w:noProof/>
        </w:rPr>
        <w:fldChar w:fldCharType="begin"/>
      </w:r>
      <w:r w:rsidRPr="00D23C7A">
        <w:rPr>
          <w:noProof/>
          <w:lang w:val="en-US"/>
        </w:rPr>
        <w:instrText xml:space="preserve"> PAGEREF _Toc381174855 \h </w:instrText>
      </w:r>
      <w:r>
        <w:rPr>
          <w:noProof/>
        </w:rPr>
      </w:r>
      <w:r>
        <w:rPr>
          <w:noProof/>
        </w:rPr>
        <w:fldChar w:fldCharType="separate"/>
      </w:r>
      <w:r w:rsidR="00FC105B" w:rsidRPr="00D23C7A">
        <w:rPr>
          <w:noProof/>
          <w:lang w:val="en-US"/>
        </w:rPr>
        <w:t>3</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D23C7A">
        <w:rPr>
          <w:noProof/>
          <w:lang w:val="en-US"/>
        </w:rPr>
        <w:t>Bosnia and Herzegovina</w:t>
      </w:r>
      <w:r w:rsidRPr="00D23C7A">
        <w:rPr>
          <w:noProof/>
          <w:lang w:val="en-US"/>
        </w:rPr>
        <w:tab/>
      </w:r>
      <w:r>
        <w:rPr>
          <w:noProof/>
        </w:rPr>
        <w:fldChar w:fldCharType="begin"/>
      </w:r>
      <w:r w:rsidRPr="00D23C7A">
        <w:rPr>
          <w:noProof/>
          <w:lang w:val="en-US"/>
        </w:rPr>
        <w:instrText xml:space="preserve"> PAGEREF _Toc381174856 \h </w:instrText>
      </w:r>
      <w:r>
        <w:rPr>
          <w:noProof/>
        </w:rPr>
      </w:r>
      <w:r>
        <w:rPr>
          <w:noProof/>
        </w:rPr>
        <w:fldChar w:fldCharType="separate"/>
      </w:r>
      <w:r w:rsidR="00FC105B" w:rsidRPr="00D23C7A">
        <w:rPr>
          <w:noProof/>
          <w:lang w:val="en-US"/>
        </w:rPr>
        <w:t>3</w:t>
      </w:r>
      <w:r>
        <w:rPr>
          <w:noProof/>
        </w:rPr>
        <w:fldChar w:fldCharType="end"/>
      </w:r>
    </w:p>
    <w:p w:rsidR="00763992" w:rsidRDefault="00763992">
      <w:pPr>
        <w:pStyle w:val="TOC1"/>
        <w:rPr>
          <w:rFonts w:asciiTheme="minorHAnsi" w:eastAsiaTheme="minorEastAsia" w:hAnsiTheme="minorHAnsi" w:cstheme="minorBidi"/>
          <w:caps w:val="0"/>
          <w:noProof/>
          <w:sz w:val="22"/>
          <w:szCs w:val="22"/>
        </w:rPr>
      </w:pPr>
      <w:r>
        <w:rPr>
          <w:noProof/>
        </w:rPr>
        <w:t xml:space="preserve">Statistics on </w:t>
      </w:r>
      <w:r w:rsidRPr="00A60130">
        <w:rPr>
          <w:noProof/>
          <w:snapToGrid w:val="0"/>
        </w:rPr>
        <w:t>Plant Variety Protection</w:t>
      </w:r>
      <w:r>
        <w:rPr>
          <w:noProof/>
        </w:rPr>
        <w:tab/>
      </w:r>
      <w:r>
        <w:rPr>
          <w:noProof/>
        </w:rPr>
        <w:fldChar w:fldCharType="begin"/>
      </w:r>
      <w:r>
        <w:rPr>
          <w:noProof/>
        </w:rPr>
        <w:instrText xml:space="preserve"> PAGEREF _Toc381174857 \h </w:instrText>
      </w:r>
      <w:r>
        <w:rPr>
          <w:noProof/>
        </w:rPr>
      </w:r>
      <w:r>
        <w:rPr>
          <w:noProof/>
        </w:rPr>
        <w:fldChar w:fldCharType="separate"/>
      </w:r>
      <w:r w:rsidR="00FC105B">
        <w:rPr>
          <w:noProof/>
        </w:rPr>
        <w:t>3</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sidRPr="00A60130">
        <w:rPr>
          <w:rFonts w:eastAsia="MS Mincho"/>
          <w:noProof/>
          <w:lang w:eastAsia="ja-JP"/>
        </w:rPr>
        <w:t>List of the taxa protected by the members of the Union</w:t>
      </w:r>
      <w:r>
        <w:rPr>
          <w:noProof/>
        </w:rPr>
        <w:tab/>
      </w:r>
      <w:r>
        <w:rPr>
          <w:noProof/>
        </w:rPr>
        <w:fldChar w:fldCharType="begin"/>
      </w:r>
      <w:r>
        <w:rPr>
          <w:noProof/>
        </w:rPr>
        <w:instrText xml:space="preserve"> PAGEREF _Toc381174858 \h </w:instrText>
      </w:r>
      <w:r>
        <w:rPr>
          <w:noProof/>
        </w:rPr>
      </w:r>
      <w:r>
        <w:rPr>
          <w:noProof/>
        </w:rPr>
        <w:fldChar w:fldCharType="separate"/>
      </w:r>
      <w:r w:rsidR="00FC105B">
        <w:rPr>
          <w:noProof/>
        </w:rPr>
        <w:t>3</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Plant variety protection statistics</w:t>
      </w:r>
      <w:r>
        <w:rPr>
          <w:noProof/>
        </w:rPr>
        <w:tab/>
      </w:r>
      <w:r>
        <w:rPr>
          <w:noProof/>
        </w:rPr>
        <w:fldChar w:fldCharType="begin"/>
      </w:r>
      <w:r>
        <w:rPr>
          <w:noProof/>
        </w:rPr>
        <w:instrText xml:space="preserve"> PAGEREF _Toc381174859 \h </w:instrText>
      </w:r>
      <w:r>
        <w:rPr>
          <w:noProof/>
        </w:rPr>
      </w:r>
      <w:r>
        <w:rPr>
          <w:noProof/>
        </w:rPr>
        <w:fldChar w:fldCharType="separate"/>
      </w:r>
      <w:r w:rsidR="00FC105B">
        <w:rPr>
          <w:noProof/>
        </w:rPr>
        <w:t>4</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Cooperation in the examination of new plant varieties</w:t>
      </w:r>
      <w:r>
        <w:rPr>
          <w:noProof/>
        </w:rPr>
        <w:tab/>
      </w:r>
      <w:r>
        <w:rPr>
          <w:noProof/>
        </w:rPr>
        <w:fldChar w:fldCharType="begin"/>
      </w:r>
      <w:r>
        <w:rPr>
          <w:noProof/>
        </w:rPr>
        <w:instrText xml:space="preserve"> PAGEREF _Toc381174860 \h </w:instrText>
      </w:r>
      <w:r>
        <w:rPr>
          <w:noProof/>
        </w:rPr>
      </w:r>
      <w:r>
        <w:rPr>
          <w:noProof/>
        </w:rPr>
        <w:fldChar w:fldCharType="separate"/>
      </w:r>
      <w:r w:rsidR="00FC105B">
        <w:rPr>
          <w:noProof/>
        </w:rPr>
        <w:t>4</w:t>
      </w:r>
      <w:r>
        <w:rPr>
          <w:noProof/>
        </w:rPr>
        <w:fldChar w:fldCharType="end"/>
      </w:r>
    </w:p>
    <w:p w:rsidR="00763992" w:rsidRDefault="00763992">
      <w:pPr>
        <w:pStyle w:val="TOC1"/>
        <w:rPr>
          <w:rFonts w:asciiTheme="minorHAnsi" w:eastAsiaTheme="minorEastAsia" w:hAnsiTheme="minorHAnsi" w:cstheme="minorBidi"/>
          <w:caps w:val="0"/>
          <w:noProof/>
          <w:sz w:val="22"/>
          <w:szCs w:val="22"/>
        </w:rPr>
      </w:pPr>
      <w:r>
        <w:rPr>
          <w:noProof/>
        </w:rPr>
        <w:t>Financial situation</w:t>
      </w:r>
      <w:r>
        <w:rPr>
          <w:noProof/>
        </w:rPr>
        <w:tab/>
      </w:r>
      <w:r>
        <w:rPr>
          <w:noProof/>
        </w:rPr>
        <w:fldChar w:fldCharType="begin"/>
      </w:r>
      <w:r>
        <w:rPr>
          <w:noProof/>
        </w:rPr>
        <w:instrText xml:space="preserve"> PAGEREF _Toc381174861 \h </w:instrText>
      </w:r>
      <w:r>
        <w:rPr>
          <w:noProof/>
        </w:rPr>
      </w:r>
      <w:r>
        <w:rPr>
          <w:noProof/>
        </w:rPr>
        <w:fldChar w:fldCharType="separate"/>
      </w:r>
      <w:r w:rsidR="00FC105B">
        <w:rPr>
          <w:noProof/>
        </w:rPr>
        <w:t>4</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Program and Budget of the Union for the 2014-2015 Biennium</w:t>
      </w:r>
      <w:r>
        <w:rPr>
          <w:noProof/>
        </w:rPr>
        <w:tab/>
      </w:r>
      <w:r>
        <w:rPr>
          <w:noProof/>
        </w:rPr>
        <w:fldChar w:fldCharType="begin"/>
      </w:r>
      <w:r>
        <w:rPr>
          <w:noProof/>
        </w:rPr>
        <w:instrText xml:space="preserve"> PAGEREF _Toc381174862 \h </w:instrText>
      </w:r>
      <w:r>
        <w:rPr>
          <w:noProof/>
        </w:rPr>
      </w:r>
      <w:r>
        <w:rPr>
          <w:noProof/>
        </w:rPr>
        <w:fldChar w:fldCharType="separate"/>
      </w:r>
      <w:r w:rsidR="00FC105B">
        <w:rPr>
          <w:noProof/>
        </w:rPr>
        <w:t>4</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sidRPr="00A60130">
        <w:rPr>
          <w:noProof/>
          <w:snapToGrid w:val="0"/>
        </w:rPr>
        <w:t>Reserve Fund</w:t>
      </w:r>
      <w:r>
        <w:rPr>
          <w:noProof/>
        </w:rPr>
        <w:tab/>
      </w:r>
      <w:r>
        <w:rPr>
          <w:noProof/>
        </w:rPr>
        <w:fldChar w:fldCharType="begin"/>
      </w:r>
      <w:r>
        <w:rPr>
          <w:noProof/>
        </w:rPr>
        <w:instrText xml:space="preserve"> PAGEREF _Toc381174863 \h </w:instrText>
      </w:r>
      <w:r>
        <w:rPr>
          <w:noProof/>
        </w:rPr>
      </w:r>
      <w:r>
        <w:rPr>
          <w:noProof/>
        </w:rPr>
        <w:fldChar w:fldCharType="separate"/>
      </w:r>
      <w:r w:rsidR="00FC105B">
        <w:rPr>
          <w:noProof/>
        </w:rPr>
        <w:t>4</w:t>
      </w:r>
      <w:r>
        <w:rPr>
          <w:noProof/>
        </w:rPr>
        <w:fldChar w:fldCharType="end"/>
      </w:r>
    </w:p>
    <w:p w:rsidR="00763992" w:rsidRDefault="00763992">
      <w:pPr>
        <w:pStyle w:val="TOC1"/>
        <w:rPr>
          <w:rFonts w:asciiTheme="minorHAnsi" w:eastAsiaTheme="minorEastAsia" w:hAnsiTheme="minorHAnsi" w:cstheme="minorBidi"/>
          <w:caps w:val="0"/>
          <w:noProof/>
          <w:sz w:val="22"/>
          <w:szCs w:val="22"/>
        </w:rPr>
      </w:pPr>
      <w:r>
        <w:rPr>
          <w:noProof/>
        </w:rPr>
        <w:t>Chair of UPOV Bodies</w:t>
      </w:r>
      <w:r>
        <w:rPr>
          <w:noProof/>
        </w:rPr>
        <w:tab/>
      </w:r>
      <w:r>
        <w:rPr>
          <w:noProof/>
        </w:rPr>
        <w:fldChar w:fldCharType="begin"/>
      </w:r>
      <w:r>
        <w:rPr>
          <w:noProof/>
        </w:rPr>
        <w:instrText xml:space="preserve"> PAGEREF _Toc381174864 \h </w:instrText>
      </w:r>
      <w:r>
        <w:rPr>
          <w:noProof/>
        </w:rPr>
      </w:r>
      <w:r>
        <w:rPr>
          <w:noProof/>
        </w:rPr>
        <w:fldChar w:fldCharType="separate"/>
      </w:r>
      <w:r w:rsidR="00FC105B">
        <w:rPr>
          <w:noProof/>
        </w:rPr>
        <w:t>5</w:t>
      </w:r>
      <w:r>
        <w:rPr>
          <w:noProof/>
        </w:rPr>
        <w:fldChar w:fldCharType="end"/>
      </w:r>
    </w:p>
    <w:p w:rsidR="00763992" w:rsidRDefault="00763992">
      <w:pPr>
        <w:pStyle w:val="TOC1"/>
        <w:rPr>
          <w:rFonts w:asciiTheme="minorHAnsi" w:eastAsiaTheme="minorEastAsia" w:hAnsiTheme="minorHAnsi" w:cstheme="minorBidi"/>
          <w:caps w:val="0"/>
          <w:noProof/>
          <w:sz w:val="22"/>
          <w:szCs w:val="22"/>
        </w:rPr>
      </w:pPr>
      <w:r>
        <w:rPr>
          <w:noProof/>
        </w:rPr>
        <w:t>UPOV Collection</w:t>
      </w:r>
      <w:r>
        <w:rPr>
          <w:noProof/>
        </w:rPr>
        <w:tab/>
      </w:r>
      <w:r>
        <w:rPr>
          <w:noProof/>
        </w:rPr>
        <w:fldChar w:fldCharType="begin"/>
      </w:r>
      <w:r>
        <w:rPr>
          <w:noProof/>
        </w:rPr>
        <w:instrText xml:space="preserve"> PAGEREF _Toc381174865 \h </w:instrText>
      </w:r>
      <w:r>
        <w:rPr>
          <w:noProof/>
        </w:rPr>
      </w:r>
      <w:r>
        <w:rPr>
          <w:noProof/>
        </w:rPr>
        <w:fldChar w:fldCharType="separate"/>
      </w:r>
      <w:r w:rsidR="00FC105B">
        <w:rPr>
          <w:noProof/>
        </w:rPr>
        <w:t>5</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New adopted documents</w:t>
      </w:r>
      <w:r>
        <w:rPr>
          <w:noProof/>
        </w:rPr>
        <w:tab/>
      </w:r>
      <w:r>
        <w:rPr>
          <w:noProof/>
        </w:rPr>
        <w:fldChar w:fldCharType="begin"/>
      </w:r>
      <w:r>
        <w:rPr>
          <w:noProof/>
        </w:rPr>
        <w:instrText xml:space="preserve"> PAGEREF _Toc381174866 \h </w:instrText>
      </w:r>
      <w:r>
        <w:rPr>
          <w:noProof/>
        </w:rPr>
      </w:r>
      <w:r>
        <w:rPr>
          <w:noProof/>
        </w:rPr>
        <w:fldChar w:fldCharType="separate"/>
      </w:r>
      <w:r w:rsidR="00FC105B">
        <w:rPr>
          <w:noProof/>
        </w:rPr>
        <w:t>5</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D23C7A">
        <w:rPr>
          <w:noProof/>
          <w:snapToGrid w:val="0"/>
          <w:lang w:val="en-US"/>
        </w:rPr>
        <w:t>UPOV/INF document series</w:t>
      </w:r>
      <w:r w:rsidRPr="00D23C7A">
        <w:rPr>
          <w:noProof/>
          <w:lang w:val="en-US"/>
        </w:rPr>
        <w:tab/>
      </w:r>
      <w:r>
        <w:rPr>
          <w:noProof/>
        </w:rPr>
        <w:fldChar w:fldCharType="begin"/>
      </w:r>
      <w:r w:rsidRPr="00D23C7A">
        <w:rPr>
          <w:noProof/>
          <w:lang w:val="en-US"/>
        </w:rPr>
        <w:instrText xml:space="preserve"> PAGEREF _Toc381174867 \h </w:instrText>
      </w:r>
      <w:r>
        <w:rPr>
          <w:noProof/>
        </w:rPr>
      </w:r>
      <w:r>
        <w:rPr>
          <w:noProof/>
        </w:rPr>
        <w:fldChar w:fldCharType="separate"/>
      </w:r>
      <w:r w:rsidR="00FC105B" w:rsidRPr="00D23C7A">
        <w:rPr>
          <w:noProof/>
          <w:lang w:val="en-US"/>
        </w:rPr>
        <w:t>5</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D23C7A">
        <w:rPr>
          <w:noProof/>
          <w:snapToGrid w:val="0"/>
          <w:lang w:val="en-US"/>
        </w:rPr>
        <w:t>Explanatory notes on the UPOV Convention</w:t>
      </w:r>
      <w:r w:rsidRPr="00D23C7A">
        <w:rPr>
          <w:noProof/>
          <w:lang w:val="en-US"/>
        </w:rPr>
        <w:tab/>
      </w:r>
      <w:r>
        <w:rPr>
          <w:noProof/>
        </w:rPr>
        <w:fldChar w:fldCharType="begin"/>
      </w:r>
      <w:r w:rsidRPr="00D23C7A">
        <w:rPr>
          <w:noProof/>
          <w:lang w:val="en-US"/>
        </w:rPr>
        <w:instrText xml:space="preserve"> PAGEREF _Toc381174868 \h </w:instrText>
      </w:r>
      <w:r>
        <w:rPr>
          <w:noProof/>
        </w:rPr>
      </w:r>
      <w:r>
        <w:rPr>
          <w:noProof/>
        </w:rPr>
        <w:fldChar w:fldCharType="separate"/>
      </w:r>
      <w:r w:rsidR="00FC105B" w:rsidRPr="00D23C7A">
        <w:rPr>
          <w:noProof/>
          <w:lang w:val="en-US"/>
        </w:rPr>
        <w:t>5</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D23C7A">
        <w:rPr>
          <w:noProof/>
          <w:snapToGrid w:val="0"/>
          <w:lang w:val="en-US"/>
        </w:rPr>
        <w:t>TGP documents</w:t>
      </w:r>
      <w:r w:rsidRPr="00D23C7A">
        <w:rPr>
          <w:noProof/>
          <w:lang w:val="en-US"/>
        </w:rPr>
        <w:tab/>
      </w:r>
      <w:r>
        <w:rPr>
          <w:noProof/>
        </w:rPr>
        <w:fldChar w:fldCharType="begin"/>
      </w:r>
      <w:r w:rsidRPr="00D23C7A">
        <w:rPr>
          <w:noProof/>
          <w:lang w:val="en-US"/>
        </w:rPr>
        <w:instrText xml:space="preserve"> PAGEREF _Toc381174869 \h </w:instrText>
      </w:r>
      <w:r>
        <w:rPr>
          <w:noProof/>
        </w:rPr>
      </w:r>
      <w:r>
        <w:rPr>
          <w:noProof/>
        </w:rPr>
        <w:fldChar w:fldCharType="separate"/>
      </w:r>
      <w:r w:rsidR="00FC105B" w:rsidRPr="00D23C7A">
        <w:rPr>
          <w:noProof/>
          <w:lang w:val="en-US"/>
        </w:rPr>
        <w:t>6</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Program for Development of Explanatory notes on the UPOV Convention</w:t>
      </w:r>
      <w:r>
        <w:rPr>
          <w:noProof/>
        </w:rPr>
        <w:tab/>
      </w:r>
      <w:r>
        <w:rPr>
          <w:noProof/>
        </w:rPr>
        <w:fldChar w:fldCharType="begin"/>
      </w:r>
      <w:r>
        <w:rPr>
          <w:noProof/>
        </w:rPr>
        <w:instrText xml:space="preserve"> PAGEREF _Toc381174870 \h </w:instrText>
      </w:r>
      <w:r>
        <w:rPr>
          <w:noProof/>
        </w:rPr>
      </w:r>
      <w:r>
        <w:rPr>
          <w:noProof/>
        </w:rPr>
        <w:fldChar w:fldCharType="separate"/>
      </w:r>
      <w:r w:rsidR="00FC105B">
        <w:rPr>
          <w:noProof/>
        </w:rPr>
        <w:t>6</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UPOV Lex</w:t>
      </w:r>
      <w:r>
        <w:rPr>
          <w:noProof/>
        </w:rPr>
        <w:tab/>
      </w:r>
      <w:r>
        <w:rPr>
          <w:noProof/>
        </w:rPr>
        <w:fldChar w:fldCharType="begin"/>
      </w:r>
      <w:r>
        <w:rPr>
          <w:noProof/>
        </w:rPr>
        <w:instrText xml:space="preserve"> PAGEREF _Toc381174871 \h </w:instrText>
      </w:r>
      <w:r>
        <w:rPr>
          <w:noProof/>
        </w:rPr>
      </w:r>
      <w:r>
        <w:rPr>
          <w:noProof/>
        </w:rPr>
        <w:fldChar w:fldCharType="separate"/>
      </w:r>
      <w:r w:rsidR="00FC105B">
        <w:rPr>
          <w:noProof/>
        </w:rPr>
        <w:t>6</w:t>
      </w:r>
      <w:r>
        <w:rPr>
          <w:noProof/>
        </w:rPr>
        <w:fldChar w:fldCharType="end"/>
      </w:r>
    </w:p>
    <w:p w:rsidR="00763992" w:rsidRDefault="00763992">
      <w:pPr>
        <w:pStyle w:val="TOC1"/>
        <w:rPr>
          <w:rFonts w:asciiTheme="minorHAnsi" w:eastAsiaTheme="minorEastAsia" w:hAnsiTheme="minorHAnsi" w:cstheme="minorBidi"/>
          <w:caps w:val="0"/>
          <w:noProof/>
          <w:sz w:val="22"/>
          <w:szCs w:val="22"/>
        </w:rPr>
      </w:pPr>
      <w:r>
        <w:rPr>
          <w:noProof/>
        </w:rPr>
        <w:t>PUBLICATIONS, activities &amp; training</w:t>
      </w:r>
      <w:r>
        <w:rPr>
          <w:noProof/>
        </w:rPr>
        <w:tab/>
      </w:r>
      <w:r>
        <w:rPr>
          <w:noProof/>
        </w:rPr>
        <w:fldChar w:fldCharType="begin"/>
      </w:r>
      <w:r>
        <w:rPr>
          <w:noProof/>
        </w:rPr>
        <w:instrText xml:space="preserve"> PAGEREF _Toc381174872 \h </w:instrText>
      </w:r>
      <w:r>
        <w:rPr>
          <w:noProof/>
        </w:rPr>
      </w:r>
      <w:r>
        <w:rPr>
          <w:noProof/>
        </w:rPr>
        <w:fldChar w:fldCharType="separate"/>
      </w:r>
      <w:r w:rsidR="00FC105B">
        <w:rPr>
          <w:noProof/>
        </w:rPr>
        <w:t>6</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Communication strategy</w:t>
      </w:r>
      <w:r>
        <w:rPr>
          <w:noProof/>
        </w:rPr>
        <w:tab/>
      </w:r>
      <w:r>
        <w:rPr>
          <w:noProof/>
        </w:rPr>
        <w:fldChar w:fldCharType="begin"/>
      </w:r>
      <w:r>
        <w:rPr>
          <w:noProof/>
        </w:rPr>
        <w:instrText xml:space="preserve"> PAGEREF _Toc381174873 \h </w:instrText>
      </w:r>
      <w:r>
        <w:rPr>
          <w:noProof/>
        </w:rPr>
      </w:r>
      <w:r>
        <w:rPr>
          <w:noProof/>
        </w:rPr>
        <w:fldChar w:fldCharType="separate"/>
      </w:r>
      <w:r w:rsidR="00FC105B">
        <w:rPr>
          <w:noProof/>
        </w:rPr>
        <w:t>6</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Trilogy Publication</w:t>
      </w:r>
      <w:r>
        <w:rPr>
          <w:noProof/>
        </w:rPr>
        <w:tab/>
      </w:r>
      <w:r>
        <w:rPr>
          <w:noProof/>
        </w:rPr>
        <w:fldChar w:fldCharType="begin"/>
      </w:r>
      <w:r>
        <w:rPr>
          <w:noProof/>
        </w:rPr>
        <w:instrText xml:space="preserve"> PAGEREF _Toc381174874 \h </w:instrText>
      </w:r>
      <w:r>
        <w:rPr>
          <w:noProof/>
        </w:rPr>
      </w:r>
      <w:r>
        <w:rPr>
          <w:noProof/>
        </w:rPr>
        <w:fldChar w:fldCharType="separate"/>
      </w:r>
      <w:r w:rsidR="00FC105B">
        <w:rPr>
          <w:noProof/>
        </w:rPr>
        <w:t>6</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Seminar on Essentially Derived Varieties (EDVs)</w:t>
      </w:r>
      <w:r>
        <w:rPr>
          <w:noProof/>
        </w:rPr>
        <w:tab/>
      </w:r>
      <w:r>
        <w:rPr>
          <w:noProof/>
        </w:rPr>
        <w:fldChar w:fldCharType="begin"/>
      </w:r>
      <w:r>
        <w:rPr>
          <w:noProof/>
        </w:rPr>
        <w:instrText xml:space="preserve"> PAGEREF _Toc381174875 \h </w:instrText>
      </w:r>
      <w:r>
        <w:rPr>
          <w:noProof/>
        </w:rPr>
      </w:r>
      <w:r>
        <w:rPr>
          <w:noProof/>
        </w:rPr>
        <w:fldChar w:fldCharType="separate"/>
      </w:r>
      <w:r w:rsidR="00FC105B">
        <w:rPr>
          <w:noProof/>
        </w:rPr>
        <w:t>7</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Distance Learning Courses</w:t>
      </w:r>
      <w:r>
        <w:rPr>
          <w:noProof/>
        </w:rPr>
        <w:tab/>
      </w:r>
      <w:r>
        <w:rPr>
          <w:noProof/>
        </w:rPr>
        <w:fldChar w:fldCharType="begin"/>
      </w:r>
      <w:r>
        <w:rPr>
          <w:noProof/>
        </w:rPr>
        <w:instrText xml:space="preserve"> PAGEREF _Toc381174876 \h </w:instrText>
      </w:r>
      <w:r>
        <w:rPr>
          <w:noProof/>
        </w:rPr>
      </w:r>
      <w:r>
        <w:rPr>
          <w:noProof/>
        </w:rPr>
        <w:fldChar w:fldCharType="separate"/>
      </w:r>
      <w:r w:rsidR="00FC105B">
        <w:rPr>
          <w:noProof/>
        </w:rPr>
        <w:t>7</w:t>
      </w:r>
      <w:r>
        <w:rPr>
          <w:noProof/>
        </w:rPr>
        <w:fldChar w:fldCharType="end"/>
      </w:r>
    </w:p>
    <w:p w:rsidR="00763992" w:rsidRDefault="00763992">
      <w:pPr>
        <w:pStyle w:val="TOC1"/>
        <w:rPr>
          <w:rFonts w:asciiTheme="minorHAnsi" w:eastAsiaTheme="minorEastAsia" w:hAnsiTheme="minorHAnsi" w:cstheme="minorBidi"/>
          <w:caps w:val="0"/>
          <w:noProof/>
          <w:sz w:val="22"/>
          <w:szCs w:val="22"/>
        </w:rPr>
      </w:pPr>
      <w:r w:rsidRPr="00A60130">
        <w:rPr>
          <w:noProof/>
          <w:snapToGrid w:val="0"/>
        </w:rPr>
        <w:t>Developments of relevance to UPOV in other international fora</w:t>
      </w:r>
      <w:r>
        <w:rPr>
          <w:noProof/>
        </w:rPr>
        <w:tab/>
      </w:r>
      <w:r>
        <w:rPr>
          <w:noProof/>
        </w:rPr>
        <w:fldChar w:fldCharType="begin"/>
      </w:r>
      <w:r>
        <w:rPr>
          <w:noProof/>
        </w:rPr>
        <w:instrText xml:space="preserve"> PAGEREF _Toc381174877 \h </w:instrText>
      </w:r>
      <w:r>
        <w:rPr>
          <w:noProof/>
        </w:rPr>
      </w:r>
      <w:r>
        <w:rPr>
          <w:noProof/>
        </w:rPr>
        <w:fldChar w:fldCharType="separate"/>
      </w:r>
      <w:r w:rsidR="00FC105B">
        <w:rPr>
          <w:noProof/>
        </w:rPr>
        <w:t>8</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International Treaty on Plant Genetic Resources for Food and Agriculture (ITPGRFA)</w:t>
      </w:r>
      <w:r>
        <w:rPr>
          <w:noProof/>
        </w:rPr>
        <w:tab/>
      </w:r>
      <w:r>
        <w:rPr>
          <w:noProof/>
        </w:rPr>
        <w:fldChar w:fldCharType="begin"/>
      </w:r>
      <w:r>
        <w:rPr>
          <w:noProof/>
        </w:rPr>
        <w:instrText xml:space="preserve"> PAGEREF _Toc381174878 \h </w:instrText>
      </w:r>
      <w:r>
        <w:rPr>
          <w:noProof/>
        </w:rPr>
      </w:r>
      <w:r>
        <w:rPr>
          <w:noProof/>
        </w:rPr>
        <w:fldChar w:fldCharType="separate"/>
      </w:r>
      <w:r w:rsidR="00FC105B">
        <w:rPr>
          <w:noProof/>
        </w:rPr>
        <w:t>8</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D23C7A">
        <w:rPr>
          <w:noProof/>
          <w:snapToGrid w:val="0"/>
          <w:lang w:val="en-US"/>
        </w:rPr>
        <w:t>ITPGRFA Platform for the Co­Development and Transfer of Technologies</w:t>
      </w:r>
      <w:r w:rsidRPr="00D23C7A">
        <w:rPr>
          <w:noProof/>
          <w:lang w:val="en-US"/>
        </w:rPr>
        <w:tab/>
      </w:r>
      <w:r>
        <w:rPr>
          <w:noProof/>
        </w:rPr>
        <w:fldChar w:fldCharType="begin"/>
      </w:r>
      <w:r w:rsidRPr="00D23C7A">
        <w:rPr>
          <w:noProof/>
          <w:lang w:val="en-US"/>
        </w:rPr>
        <w:instrText xml:space="preserve"> PAGEREF _Toc381174879 \h </w:instrText>
      </w:r>
      <w:r>
        <w:rPr>
          <w:noProof/>
        </w:rPr>
      </w:r>
      <w:r>
        <w:rPr>
          <w:noProof/>
        </w:rPr>
        <w:fldChar w:fldCharType="separate"/>
      </w:r>
      <w:r w:rsidR="00FC105B" w:rsidRPr="00D23C7A">
        <w:rPr>
          <w:noProof/>
          <w:lang w:val="en-US"/>
        </w:rPr>
        <w:t>8</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D23C7A">
        <w:rPr>
          <w:noProof/>
          <w:snapToGrid w:val="0"/>
          <w:lang w:val="en-US"/>
        </w:rPr>
        <w:t>Public-Private Partnerships in Pre-breeding</w:t>
      </w:r>
      <w:r w:rsidRPr="00D23C7A">
        <w:rPr>
          <w:noProof/>
          <w:lang w:val="en-US"/>
        </w:rPr>
        <w:tab/>
      </w:r>
      <w:r>
        <w:rPr>
          <w:noProof/>
        </w:rPr>
        <w:fldChar w:fldCharType="begin"/>
      </w:r>
      <w:r w:rsidRPr="00D23C7A">
        <w:rPr>
          <w:noProof/>
          <w:lang w:val="en-US"/>
        </w:rPr>
        <w:instrText xml:space="preserve"> PAGEREF _Toc381174880 \h </w:instrText>
      </w:r>
      <w:r>
        <w:rPr>
          <w:noProof/>
        </w:rPr>
      </w:r>
      <w:r>
        <w:rPr>
          <w:noProof/>
        </w:rPr>
        <w:fldChar w:fldCharType="separate"/>
      </w:r>
      <w:r w:rsidR="00FC105B" w:rsidRPr="00D23C7A">
        <w:rPr>
          <w:noProof/>
          <w:lang w:val="en-US"/>
        </w:rPr>
        <w:t>8</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D23C7A">
        <w:rPr>
          <w:noProof/>
          <w:snapToGrid w:val="0"/>
          <w:lang w:val="en-US"/>
        </w:rPr>
        <w:t>Interrelations between ITPGRFA, UPOV and WIPO</w:t>
      </w:r>
      <w:r w:rsidRPr="00D23C7A">
        <w:rPr>
          <w:noProof/>
          <w:lang w:val="en-US"/>
        </w:rPr>
        <w:tab/>
      </w:r>
      <w:r>
        <w:rPr>
          <w:noProof/>
        </w:rPr>
        <w:fldChar w:fldCharType="begin"/>
      </w:r>
      <w:r w:rsidRPr="00D23C7A">
        <w:rPr>
          <w:noProof/>
          <w:lang w:val="en-US"/>
        </w:rPr>
        <w:instrText xml:space="preserve"> PAGEREF _Toc381174881 \h </w:instrText>
      </w:r>
      <w:r>
        <w:rPr>
          <w:noProof/>
        </w:rPr>
      </w:r>
      <w:r>
        <w:rPr>
          <w:noProof/>
        </w:rPr>
        <w:fldChar w:fldCharType="separate"/>
      </w:r>
      <w:r w:rsidR="00FC105B" w:rsidRPr="00D23C7A">
        <w:rPr>
          <w:noProof/>
          <w:lang w:val="en-US"/>
        </w:rPr>
        <w:t>8</w:t>
      </w:r>
      <w:r>
        <w:rPr>
          <w:noProof/>
        </w:rPr>
        <w:fldChar w:fldCharType="end"/>
      </w:r>
    </w:p>
    <w:p w:rsidR="00763992" w:rsidRDefault="00763992">
      <w:pPr>
        <w:pStyle w:val="TOC1"/>
        <w:rPr>
          <w:rFonts w:asciiTheme="minorHAnsi" w:eastAsiaTheme="minorEastAsia" w:hAnsiTheme="minorHAnsi" w:cstheme="minorBidi"/>
          <w:caps w:val="0"/>
          <w:noProof/>
          <w:sz w:val="22"/>
          <w:szCs w:val="22"/>
        </w:rPr>
      </w:pPr>
      <w:r w:rsidRPr="00A60130">
        <w:rPr>
          <w:b/>
          <w:bCs/>
          <w:smallCaps/>
          <w:noProof/>
          <w:spacing w:val="5"/>
        </w:rPr>
        <w:t>II.</w:t>
      </w:r>
      <w:r>
        <w:rPr>
          <w:rFonts w:asciiTheme="minorHAnsi" w:eastAsiaTheme="minorEastAsia" w:hAnsiTheme="minorHAnsi" w:cstheme="minorBidi"/>
          <w:caps w:val="0"/>
          <w:noProof/>
          <w:sz w:val="22"/>
          <w:szCs w:val="22"/>
        </w:rPr>
        <w:tab/>
      </w:r>
      <w:r w:rsidRPr="00A60130">
        <w:rPr>
          <w:b/>
          <w:bCs/>
          <w:smallCaps/>
          <w:noProof/>
          <w:spacing w:val="5"/>
        </w:rPr>
        <w:t>Matters for consideration by the Technical Committee</w:t>
      </w:r>
      <w:r>
        <w:rPr>
          <w:noProof/>
        </w:rPr>
        <w:tab/>
      </w:r>
      <w:r>
        <w:rPr>
          <w:noProof/>
        </w:rPr>
        <w:fldChar w:fldCharType="begin"/>
      </w:r>
      <w:r>
        <w:rPr>
          <w:noProof/>
        </w:rPr>
        <w:instrText xml:space="preserve"> PAGEREF _Toc381174882 \h </w:instrText>
      </w:r>
      <w:r>
        <w:rPr>
          <w:noProof/>
        </w:rPr>
      </w:r>
      <w:r>
        <w:rPr>
          <w:noProof/>
        </w:rPr>
        <w:fldChar w:fldCharType="separate"/>
      </w:r>
      <w:r w:rsidR="00FC105B">
        <w:rPr>
          <w:noProof/>
        </w:rPr>
        <w:t>8</w:t>
      </w:r>
      <w:r>
        <w:rPr>
          <w:noProof/>
        </w:rPr>
        <w:fldChar w:fldCharType="end"/>
      </w:r>
    </w:p>
    <w:p w:rsidR="00763992" w:rsidRDefault="00763992">
      <w:pPr>
        <w:pStyle w:val="TOC1"/>
        <w:rPr>
          <w:rFonts w:asciiTheme="minorHAnsi" w:eastAsiaTheme="minorEastAsia" w:hAnsiTheme="minorHAnsi" w:cstheme="minorBidi"/>
          <w:caps w:val="0"/>
          <w:noProof/>
          <w:sz w:val="22"/>
          <w:szCs w:val="22"/>
        </w:rPr>
      </w:pPr>
      <w:r>
        <w:rPr>
          <w:noProof/>
        </w:rPr>
        <w:t>variety descriptions</w:t>
      </w:r>
      <w:r>
        <w:rPr>
          <w:noProof/>
        </w:rPr>
        <w:tab/>
      </w:r>
      <w:r>
        <w:rPr>
          <w:noProof/>
        </w:rPr>
        <w:fldChar w:fldCharType="begin"/>
      </w:r>
      <w:r>
        <w:rPr>
          <w:noProof/>
        </w:rPr>
        <w:instrText xml:space="preserve"> PAGEREF _Toc381174883 \h </w:instrText>
      </w:r>
      <w:r>
        <w:rPr>
          <w:noProof/>
        </w:rPr>
      </w:r>
      <w:r>
        <w:rPr>
          <w:noProof/>
        </w:rPr>
        <w:fldChar w:fldCharType="separate"/>
      </w:r>
      <w:r w:rsidR="00FC105B">
        <w:rPr>
          <w:noProof/>
        </w:rPr>
        <w:t>8</w:t>
      </w:r>
      <w:r>
        <w:rPr>
          <w:noProof/>
        </w:rPr>
        <w:fldChar w:fldCharType="end"/>
      </w:r>
    </w:p>
    <w:p w:rsidR="00763992" w:rsidRDefault="00763992">
      <w:pPr>
        <w:pStyle w:val="TOC1"/>
        <w:rPr>
          <w:rFonts w:asciiTheme="minorHAnsi" w:eastAsiaTheme="minorEastAsia" w:hAnsiTheme="minorHAnsi" w:cstheme="minorBidi"/>
          <w:caps w:val="0"/>
          <w:noProof/>
          <w:sz w:val="22"/>
          <w:szCs w:val="22"/>
        </w:rPr>
      </w:pPr>
      <w:r>
        <w:rPr>
          <w:noProof/>
        </w:rPr>
        <w:t>Matters raised by the International Seed Federation (ISF)</w:t>
      </w:r>
      <w:r>
        <w:rPr>
          <w:noProof/>
        </w:rPr>
        <w:tab/>
      </w:r>
      <w:r>
        <w:rPr>
          <w:noProof/>
        </w:rPr>
        <w:fldChar w:fldCharType="begin"/>
      </w:r>
      <w:r>
        <w:rPr>
          <w:noProof/>
        </w:rPr>
        <w:instrText xml:space="preserve"> PAGEREF _Toc381174884 \h </w:instrText>
      </w:r>
      <w:r>
        <w:rPr>
          <w:noProof/>
        </w:rPr>
      </w:r>
      <w:r>
        <w:rPr>
          <w:noProof/>
        </w:rPr>
        <w:fldChar w:fldCharType="separate"/>
      </w:r>
      <w:r w:rsidR="00FC105B">
        <w:rPr>
          <w:noProof/>
        </w:rPr>
        <w:t>9</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Matters which the TC is invited to consider</w:t>
      </w:r>
      <w:r>
        <w:rPr>
          <w:noProof/>
        </w:rPr>
        <w:tab/>
      </w:r>
      <w:r>
        <w:rPr>
          <w:noProof/>
        </w:rPr>
        <w:fldChar w:fldCharType="begin"/>
      </w:r>
      <w:r>
        <w:rPr>
          <w:noProof/>
        </w:rPr>
        <w:instrText xml:space="preserve"> PAGEREF _Toc381174885 \h </w:instrText>
      </w:r>
      <w:r>
        <w:rPr>
          <w:noProof/>
        </w:rPr>
      </w:r>
      <w:r>
        <w:rPr>
          <w:noProof/>
        </w:rPr>
        <w:fldChar w:fldCharType="separate"/>
      </w:r>
      <w:r w:rsidR="00FC105B">
        <w:rPr>
          <w:noProof/>
        </w:rPr>
        <w:t>10</w:t>
      </w:r>
      <w:r>
        <w:rPr>
          <w:noProof/>
        </w:rPr>
        <w:fldChar w:fldCharType="end"/>
      </w:r>
    </w:p>
    <w:p w:rsidR="00763992" w:rsidRDefault="00763992">
      <w:pPr>
        <w:pStyle w:val="TOC3"/>
        <w:tabs>
          <w:tab w:val="left" w:pos="1100"/>
        </w:tabs>
        <w:rPr>
          <w:rFonts w:asciiTheme="minorHAnsi" w:eastAsiaTheme="minorEastAsia" w:hAnsiTheme="minorHAnsi" w:cstheme="minorBidi"/>
          <w:noProof/>
          <w:sz w:val="22"/>
          <w:szCs w:val="22"/>
          <w:lang w:val="en-US"/>
        </w:rPr>
      </w:pPr>
      <w:r w:rsidRPr="00D23C7A">
        <w:rPr>
          <w:noProof/>
          <w:lang w:val="en-US"/>
        </w:rPr>
        <w:t>(a)</w:t>
      </w:r>
      <w:r>
        <w:rPr>
          <w:rFonts w:asciiTheme="minorHAnsi" w:eastAsiaTheme="minorEastAsia" w:hAnsiTheme="minorHAnsi" w:cstheme="minorBidi"/>
          <w:noProof/>
          <w:sz w:val="22"/>
          <w:szCs w:val="22"/>
          <w:lang w:val="en-US"/>
        </w:rPr>
        <w:tab/>
      </w:r>
      <w:r w:rsidRPr="00D23C7A">
        <w:rPr>
          <w:noProof/>
          <w:lang w:val="en-US"/>
        </w:rPr>
        <w:t>Photographs</w:t>
      </w:r>
      <w:r w:rsidRPr="00D23C7A">
        <w:rPr>
          <w:noProof/>
          <w:lang w:val="en-US"/>
        </w:rPr>
        <w:tab/>
      </w:r>
      <w:r>
        <w:rPr>
          <w:noProof/>
        </w:rPr>
        <w:fldChar w:fldCharType="begin"/>
      </w:r>
      <w:r w:rsidRPr="00D23C7A">
        <w:rPr>
          <w:noProof/>
          <w:lang w:val="en-US"/>
        </w:rPr>
        <w:instrText xml:space="preserve"> PAGEREF _Toc381174886 \h </w:instrText>
      </w:r>
      <w:r>
        <w:rPr>
          <w:noProof/>
        </w:rPr>
      </w:r>
      <w:r>
        <w:rPr>
          <w:noProof/>
        </w:rPr>
        <w:fldChar w:fldCharType="separate"/>
      </w:r>
      <w:r w:rsidR="00FC105B" w:rsidRPr="00D23C7A">
        <w:rPr>
          <w:noProof/>
          <w:lang w:val="en-US"/>
        </w:rPr>
        <w:t>10</w:t>
      </w:r>
      <w:r>
        <w:rPr>
          <w:noProof/>
        </w:rPr>
        <w:fldChar w:fldCharType="end"/>
      </w:r>
    </w:p>
    <w:p w:rsidR="00763992" w:rsidRDefault="00763992">
      <w:pPr>
        <w:pStyle w:val="TOC3"/>
        <w:tabs>
          <w:tab w:val="left" w:pos="1100"/>
        </w:tabs>
        <w:rPr>
          <w:rFonts w:asciiTheme="minorHAnsi" w:eastAsiaTheme="minorEastAsia" w:hAnsiTheme="minorHAnsi" w:cstheme="minorBidi"/>
          <w:noProof/>
          <w:sz w:val="22"/>
          <w:szCs w:val="22"/>
          <w:lang w:val="en-US"/>
        </w:rPr>
      </w:pPr>
      <w:r w:rsidRPr="00D23C7A">
        <w:rPr>
          <w:noProof/>
          <w:snapToGrid w:val="0"/>
          <w:lang w:val="en-US"/>
        </w:rPr>
        <w:t>(b)</w:t>
      </w:r>
      <w:r>
        <w:rPr>
          <w:rFonts w:asciiTheme="minorHAnsi" w:eastAsiaTheme="minorEastAsia" w:hAnsiTheme="minorHAnsi" w:cstheme="minorBidi"/>
          <w:noProof/>
          <w:sz w:val="22"/>
          <w:szCs w:val="22"/>
          <w:lang w:val="en-US"/>
        </w:rPr>
        <w:tab/>
      </w:r>
      <w:r w:rsidRPr="00D23C7A">
        <w:rPr>
          <w:noProof/>
          <w:snapToGrid w:val="0"/>
          <w:lang w:val="en-US"/>
        </w:rPr>
        <w:t>Minimum sample size</w:t>
      </w:r>
      <w:r w:rsidRPr="00D23C7A">
        <w:rPr>
          <w:noProof/>
          <w:lang w:val="en-US"/>
        </w:rPr>
        <w:tab/>
      </w:r>
      <w:r>
        <w:rPr>
          <w:noProof/>
        </w:rPr>
        <w:fldChar w:fldCharType="begin"/>
      </w:r>
      <w:r w:rsidRPr="00D23C7A">
        <w:rPr>
          <w:noProof/>
          <w:lang w:val="en-US"/>
        </w:rPr>
        <w:instrText xml:space="preserve"> PAGEREF _Toc381174887 \h </w:instrText>
      </w:r>
      <w:r>
        <w:rPr>
          <w:noProof/>
        </w:rPr>
      </w:r>
      <w:r>
        <w:rPr>
          <w:noProof/>
        </w:rPr>
        <w:fldChar w:fldCharType="separate"/>
      </w:r>
      <w:r w:rsidR="00FC105B" w:rsidRPr="00D23C7A">
        <w:rPr>
          <w:noProof/>
          <w:lang w:val="en-US"/>
        </w:rPr>
        <w:t>10</w:t>
      </w:r>
      <w:r>
        <w:rPr>
          <w:noProof/>
        </w:rPr>
        <w:fldChar w:fldCharType="end"/>
      </w:r>
    </w:p>
    <w:p w:rsidR="00763992" w:rsidRDefault="00763992">
      <w:pPr>
        <w:pStyle w:val="TOC3"/>
        <w:tabs>
          <w:tab w:val="left" w:pos="1100"/>
        </w:tabs>
        <w:rPr>
          <w:rFonts w:asciiTheme="minorHAnsi" w:eastAsiaTheme="minorEastAsia" w:hAnsiTheme="minorHAnsi" w:cstheme="minorBidi"/>
          <w:noProof/>
          <w:sz w:val="22"/>
          <w:szCs w:val="22"/>
          <w:lang w:val="en-US"/>
        </w:rPr>
      </w:pPr>
      <w:r w:rsidRPr="00D23C7A">
        <w:rPr>
          <w:noProof/>
          <w:lang w:val="en-US"/>
        </w:rPr>
        <w:t>(c)</w:t>
      </w:r>
      <w:r>
        <w:rPr>
          <w:rFonts w:asciiTheme="minorHAnsi" w:eastAsiaTheme="minorEastAsia" w:hAnsiTheme="minorHAnsi" w:cstheme="minorBidi"/>
          <w:noProof/>
          <w:sz w:val="22"/>
          <w:szCs w:val="22"/>
          <w:lang w:val="en-US"/>
        </w:rPr>
        <w:tab/>
      </w:r>
      <w:r w:rsidRPr="00D23C7A">
        <w:rPr>
          <w:noProof/>
          <w:snapToGrid w:val="0"/>
          <w:lang w:val="en-US"/>
        </w:rPr>
        <w:t>Reference collections</w:t>
      </w:r>
      <w:r w:rsidRPr="00D23C7A">
        <w:rPr>
          <w:noProof/>
          <w:lang w:val="en-US"/>
        </w:rPr>
        <w:tab/>
      </w:r>
      <w:r>
        <w:rPr>
          <w:noProof/>
        </w:rPr>
        <w:fldChar w:fldCharType="begin"/>
      </w:r>
      <w:r w:rsidRPr="00D23C7A">
        <w:rPr>
          <w:noProof/>
          <w:lang w:val="en-US"/>
        </w:rPr>
        <w:instrText xml:space="preserve"> PAGEREF _Toc381174888 \h </w:instrText>
      </w:r>
      <w:r>
        <w:rPr>
          <w:noProof/>
        </w:rPr>
      </w:r>
      <w:r>
        <w:rPr>
          <w:noProof/>
        </w:rPr>
        <w:fldChar w:fldCharType="separate"/>
      </w:r>
      <w:r w:rsidR="00FC105B" w:rsidRPr="00D23C7A">
        <w:rPr>
          <w:noProof/>
          <w:lang w:val="en-US"/>
        </w:rPr>
        <w:t>10</w:t>
      </w:r>
      <w:r>
        <w:rPr>
          <w:noProof/>
        </w:rPr>
        <w:fldChar w:fldCharType="end"/>
      </w:r>
    </w:p>
    <w:p w:rsidR="00763992" w:rsidRDefault="00763992">
      <w:pPr>
        <w:pStyle w:val="TOC3"/>
        <w:tabs>
          <w:tab w:val="left" w:pos="1100"/>
        </w:tabs>
        <w:rPr>
          <w:rFonts w:asciiTheme="minorHAnsi" w:eastAsiaTheme="minorEastAsia" w:hAnsiTheme="minorHAnsi" w:cstheme="minorBidi"/>
          <w:noProof/>
          <w:sz w:val="22"/>
          <w:szCs w:val="22"/>
          <w:lang w:val="en-US"/>
        </w:rPr>
      </w:pPr>
      <w:r w:rsidRPr="00D23C7A">
        <w:rPr>
          <w:noProof/>
          <w:lang w:val="en-US"/>
        </w:rPr>
        <w:t>(d)</w:t>
      </w:r>
      <w:r>
        <w:rPr>
          <w:rFonts w:asciiTheme="minorHAnsi" w:eastAsiaTheme="minorEastAsia" w:hAnsiTheme="minorHAnsi" w:cstheme="minorBidi"/>
          <w:noProof/>
          <w:sz w:val="22"/>
          <w:szCs w:val="22"/>
          <w:lang w:val="en-US"/>
        </w:rPr>
        <w:tab/>
      </w:r>
      <w:r w:rsidRPr="00D23C7A">
        <w:rPr>
          <w:noProof/>
          <w:lang w:val="en-US"/>
        </w:rPr>
        <w:t>Length of examination</w:t>
      </w:r>
      <w:r w:rsidRPr="00D23C7A">
        <w:rPr>
          <w:noProof/>
          <w:lang w:val="en-US"/>
        </w:rPr>
        <w:tab/>
      </w:r>
      <w:r>
        <w:rPr>
          <w:noProof/>
        </w:rPr>
        <w:fldChar w:fldCharType="begin"/>
      </w:r>
      <w:r w:rsidRPr="00D23C7A">
        <w:rPr>
          <w:noProof/>
          <w:lang w:val="en-US"/>
        </w:rPr>
        <w:instrText xml:space="preserve"> PAGEREF _Toc381174889 \h </w:instrText>
      </w:r>
      <w:r>
        <w:rPr>
          <w:noProof/>
        </w:rPr>
      </w:r>
      <w:r>
        <w:rPr>
          <w:noProof/>
        </w:rPr>
        <w:fldChar w:fldCharType="separate"/>
      </w:r>
      <w:r w:rsidR="00FC105B" w:rsidRPr="00D23C7A">
        <w:rPr>
          <w:noProof/>
          <w:lang w:val="en-US"/>
        </w:rPr>
        <w:t>11</w:t>
      </w:r>
      <w:r>
        <w:rPr>
          <w:noProof/>
        </w:rPr>
        <w:fldChar w:fldCharType="end"/>
      </w:r>
    </w:p>
    <w:p w:rsidR="00763992" w:rsidRDefault="00763992">
      <w:pPr>
        <w:pStyle w:val="TOC3"/>
        <w:tabs>
          <w:tab w:val="left" w:pos="1100"/>
        </w:tabs>
        <w:rPr>
          <w:rFonts w:asciiTheme="minorHAnsi" w:eastAsiaTheme="minorEastAsia" w:hAnsiTheme="minorHAnsi" w:cstheme="minorBidi"/>
          <w:noProof/>
          <w:sz w:val="22"/>
          <w:szCs w:val="22"/>
          <w:lang w:val="en-US"/>
        </w:rPr>
      </w:pPr>
      <w:r w:rsidRPr="00D23C7A">
        <w:rPr>
          <w:noProof/>
          <w:snapToGrid w:val="0"/>
          <w:lang w:val="en-US"/>
        </w:rPr>
        <w:t>(e)</w:t>
      </w:r>
      <w:r>
        <w:rPr>
          <w:rFonts w:asciiTheme="minorHAnsi" w:eastAsiaTheme="minorEastAsia" w:hAnsiTheme="minorHAnsi" w:cstheme="minorBidi"/>
          <w:noProof/>
          <w:sz w:val="22"/>
          <w:szCs w:val="22"/>
          <w:lang w:val="en-US"/>
        </w:rPr>
        <w:tab/>
      </w:r>
      <w:r w:rsidRPr="00D23C7A">
        <w:rPr>
          <w:noProof/>
          <w:snapToGrid w:val="0"/>
          <w:lang w:val="en-US"/>
        </w:rPr>
        <w:t>Variety description of most similar variety</w:t>
      </w:r>
      <w:r w:rsidRPr="00D23C7A">
        <w:rPr>
          <w:noProof/>
          <w:lang w:val="en-US"/>
        </w:rPr>
        <w:tab/>
      </w:r>
      <w:r>
        <w:rPr>
          <w:noProof/>
        </w:rPr>
        <w:fldChar w:fldCharType="begin"/>
      </w:r>
      <w:r w:rsidRPr="00D23C7A">
        <w:rPr>
          <w:noProof/>
          <w:lang w:val="en-US"/>
        </w:rPr>
        <w:instrText xml:space="preserve"> PAGEREF _Toc381174890 \h </w:instrText>
      </w:r>
      <w:r>
        <w:rPr>
          <w:noProof/>
        </w:rPr>
      </w:r>
      <w:r>
        <w:rPr>
          <w:noProof/>
        </w:rPr>
        <w:fldChar w:fldCharType="separate"/>
      </w:r>
      <w:r w:rsidR="00FC105B" w:rsidRPr="00D23C7A">
        <w:rPr>
          <w:noProof/>
          <w:lang w:val="en-US"/>
        </w:rPr>
        <w:t>11</w:t>
      </w:r>
      <w:r>
        <w:rPr>
          <w:noProof/>
        </w:rPr>
        <w:fldChar w:fldCharType="end"/>
      </w:r>
    </w:p>
    <w:p w:rsidR="00763992" w:rsidRDefault="00763992">
      <w:pPr>
        <w:pStyle w:val="TOC3"/>
        <w:tabs>
          <w:tab w:val="left" w:pos="964"/>
        </w:tabs>
        <w:rPr>
          <w:rFonts w:asciiTheme="minorHAnsi" w:eastAsiaTheme="minorEastAsia" w:hAnsiTheme="minorHAnsi" w:cstheme="minorBidi"/>
          <w:noProof/>
          <w:sz w:val="22"/>
          <w:szCs w:val="22"/>
          <w:lang w:val="en-US"/>
        </w:rPr>
      </w:pPr>
      <w:r w:rsidRPr="00D23C7A">
        <w:rPr>
          <w:noProof/>
          <w:lang w:val="en-US"/>
        </w:rPr>
        <w:t>(f)</w:t>
      </w:r>
      <w:r>
        <w:rPr>
          <w:rFonts w:asciiTheme="minorHAnsi" w:eastAsiaTheme="minorEastAsia" w:hAnsiTheme="minorHAnsi" w:cstheme="minorBidi"/>
          <w:noProof/>
          <w:sz w:val="22"/>
          <w:szCs w:val="22"/>
          <w:lang w:val="en-US"/>
        </w:rPr>
        <w:tab/>
      </w:r>
      <w:r w:rsidRPr="00D23C7A">
        <w:rPr>
          <w:noProof/>
          <w:lang w:val="en-US"/>
        </w:rPr>
        <w:t>Variety description by applicant</w:t>
      </w:r>
      <w:r w:rsidRPr="00D23C7A">
        <w:rPr>
          <w:noProof/>
          <w:lang w:val="en-US"/>
        </w:rPr>
        <w:tab/>
      </w:r>
      <w:r>
        <w:rPr>
          <w:noProof/>
        </w:rPr>
        <w:fldChar w:fldCharType="begin"/>
      </w:r>
      <w:r w:rsidRPr="00D23C7A">
        <w:rPr>
          <w:noProof/>
          <w:lang w:val="en-US"/>
        </w:rPr>
        <w:instrText xml:space="preserve"> PAGEREF _Toc381174891 \h </w:instrText>
      </w:r>
      <w:r>
        <w:rPr>
          <w:noProof/>
        </w:rPr>
      </w:r>
      <w:r>
        <w:rPr>
          <w:noProof/>
        </w:rPr>
        <w:fldChar w:fldCharType="separate"/>
      </w:r>
      <w:r w:rsidR="00FC105B" w:rsidRPr="00D23C7A">
        <w:rPr>
          <w:noProof/>
          <w:lang w:val="en-US"/>
        </w:rPr>
        <w:t>12</w:t>
      </w:r>
      <w:r>
        <w:rPr>
          <w:noProof/>
        </w:rPr>
        <w:fldChar w:fldCharType="end"/>
      </w:r>
    </w:p>
    <w:p w:rsidR="00763992" w:rsidRDefault="00763992">
      <w:pPr>
        <w:pStyle w:val="TOC3"/>
        <w:tabs>
          <w:tab w:val="left" w:pos="1100"/>
        </w:tabs>
        <w:rPr>
          <w:rFonts w:asciiTheme="minorHAnsi" w:eastAsiaTheme="minorEastAsia" w:hAnsiTheme="minorHAnsi" w:cstheme="minorBidi"/>
          <w:noProof/>
          <w:sz w:val="22"/>
          <w:szCs w:val="22"/>
          <w:lang w:val="en-US"/>
        </w:rPr>
      </w:pPr>
      <w:r w:rsidRPr="00D23C7A">
        <w:rPr>
          <w:noProof/>
          <w:lang w:val="en-US"/>
        </w:rPr>
        <w:t>(g)</w:t>
      </w:r>
      <w:r>
        <w:rPr>
          <w:rFonts w:asciiTheme="minorHAnsi" w:eastAsiaTheme="minorEastAsia" w:hAnsiTheme="minorHAnsi" w:cstheme="minorBidi"/>
          <w:noProof/>
          <w:sz w:val="22"/>
          <w:szCs w:val="22"/>
          <w:lang w:val="en-US"/>
        </w:rPr>
        <w:tab/>
      </w:r>
      <w:r w:rsidRPr="00D23C7A">
        <w:rPr>
          <w:noProof/>
          <w:lang w:val="en-US"/>
        </w:rPr>
        <w:t>Variety description databases</w:t>
      </w:r>
      <w:r w:rsidRPr="00D23C7A">
        <w:rPr>
          <w:noProof/>
          <w:lang w:val="en-US"/>
        </w:rPr>
        <w:tab/>
      </w:r>
      <w:r>
        <w:rPr>
          <w:noProof/>
        </w:rPr>
        <w:fldChar w:fldCharType="begin"/>
      </w:r>
      <w:r w:rsidRPr="00D23C7A">
        <w:rPr>
          <w:noProof/>
          <w:lang w:val="en-US"/>
        </w:rPr>
        <w:instrText xml:space="preserve"> PAGEREF _Toc381174892 \h </w:instrText>
      </w:r>
      <w:r>
        <w:rPr>
          <w:noProof/>
        </w:rPr>
      </w:r>
      <w:r>
        <w:rPr>
          <w:noProof/>
        </w:rPr>
        <w:fldChar w:fldCharType="separate"/>
      </w:r>
      <w:r w:rsidR="00FC105B" w:rsidRPr="00D23C7A">
        <w:rPr>
          <w:noProof/>
          <w:lang w:val="en-US"/>
        </w:rPr>
        <w:t>12</w:t>
      </w:r>
      <w:r>
        <w:rPr>
          <w:noProof/>
        </w:rPr>
        <w:fldChar w:fldCharType="end"/>
      </w:r>
    </w:p>
    <w:p w:rsidR="00763992" w:rsidRDefault="00763992">
      <w:pPr>
        <w:pStyle w:val="TOC1"/>
        <w:rPr>
          <w:rFonts w:asciiTheme="minorHAnsi" w:eastAsiaTheme="minorEastAsia" w:hAnsiTheme="minorHAnsi" w:cstheme="minorBidi"/>
          <w:caps w:val="0"/>
          <w:noProof/>
          <w:sz w:val="22"/>
          <w:szCs w:val="22"/>
        </w:rPr>
      </w:pPr>
      <w:r>
        <w:rPr>
          <w:noProof/>
        </w:rPr>
        <w:t>Web-based TG Template</w:t>
      </w:r>
      <w:r>
        <w:rPr>
          <w:noProof/>
        </w:rPr>
        <w:tab/>
      </w:r>
      <w:r>
        <w:rPr>
          <w:noProof/>
        </w:rPr>
        <w:fldChar w:fldCharType="begin"/>
      </w:r>
      <w:r>
        <w:rPr>
          <w:noProof/>
        </w:rPr>
        <w:instrText xml:space="preserve"> PAGEREF _Toc381174893 \h </w:instrText>
      </w:r>
      <w:r>
        <w:rPr>
          <w:noProof/>
        </w:rPr>
      </w:r>
      <w:r>
        <w:rPr>
          <w:noProof/>
        </w:rPr>
        <w:fldChar w:fldCharType="separate"/>
      </w:r>
      <w:r w:rsidR="00FC105B">
        <w:rPr>
          <w:noProof/>
        </w:rPr>
        <w:t>13</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Version 1</w:t>
      </w:r>
      <w:r>
        <w:rPr>
          <w:noProof/>
        </w:rPr>
        <w:tab/>
      </w:r>
      <w:r>
        <w:rPr>
          <w:noProof/>
        </w:rPr>
        <w:fldChar w:fldCharType="begin"/>
      </w:r>
      <w:r>
        <w:rPr>
          <w:noProof/>
        </w:rPr>
        <w:instrText xml:space="preserve"> PAGEREF _Toc381174894 \h </w:instrText>
      </w:r>
      <w:r>
        <w:rPr>
          <w:noProof/>
        </w:rPr>
      </w:r>
      <w:r>
        <w:rPr>
          <w:noProof/>
        </w:rPr>
        <w:fldChar w:fldCharType="separate"/>
      </w:r>
      <w:r w:rsidR="00FC105B">
        <w:rPr>
          <w:noProof/>
        </w:rPr>
        <w:t>14</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D23C7A">
        <w:rPr>
          <w:noProof/>
          <w:lang w:val="en-US"/>
        </w:rPr>
        <w:t>Features</w:t>
      </w:r>
      <w:r w:rsidRPr="00D23C7A">
        <w:rPr>
          <w:noProof/>
          <w:lang w:val="en-US"/>
        </w:rPr>
        <w:tab/>
      </w:r>
      <w:r>
        <w:rPr>
          <w:noProof/>
        </w:rPr>
        <w:fldChar w:fldCharType="begin"/>
      </w:r>
      <w:r w:rsidRPr="00D23C7A">
        <w:rPr>
          <w:noProof/>
          <w:lang w:val="en-US"/>
        </w:rPr>
        <w:instrText xml:space="preserve"> PAGEREF _Toc381174895 \h </w:instrText>
      </w:r>
      <w:r>
        <w:rPr>
          <w:noProof/>
        </w:rPr>
      </w:r>
      <w:r>
        <w:rPr>
          <w:noProof/>
        </w:rPr>
        <w:fldChar w:fldCharType="separate"/>
      </w:r>
      <w:r w:rsidR="00FC105B" w:rsidRPr="00D23C7A">
        <w:rPr>
          <w:noProof/>
          <w:lang w:val="en-US"/>
        </w:rPr>
        <w:t>14</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A60130">
        <w:rPr>
          <w:noProof/>
          <w:snapToGrid w:val="0"/>
          <w:lang w:val="nl-NL"/>
        </w:rPr>
        <w:t>Implementation</w:t>
      </w:r>
      <w:r w:rsidRPr="00D23C7A">
        <w:rPr>
          <w:noProof/>
          <w:lang w:val="en-US"/>
        </w:rPr>
        <w:tab/>
      </w:r>
      <w:r>
        <w:rPr>
          <w:noProof/>
        </w:rPr>
        <w:fldChar w:fldCharType="begin"/>
      </w:r>
      <w:r w:rsidRPr="00D23C7A">
        <w:rPr>
          <w:noProof/>
          <w:lang w:val="en-US"/>
        </w:rPr>
        <w:instrText xml:space="preserve"> PAGEREF _Toc381174896 \h </w:instrText>
      </w:r>
      <w:r>
        <w:rPr>
          <w:noProof/>
        </w:rPr>
      </w:r>
      <w:r>
        <w:rPr>
          <w:noProof/>
        </w:rPr>
        <w:fldChar w:fldCharType="separate"/>
      </w:r>
      <w:r w:rsidR="00FC105B" w:rsidRPr="00D23C7A">
        <w:rPr>
          <w:noProof/>
          <w:lang w:val="en-US"/>
        </w:rPr>
        <w:t>14</w:t>
      </w:r>
      <w:r>
        <w:rPr>
          <w:noProof/>
        </w:rPr>
        <w:fldChar w:fldCharType="end"/>
      </w:r>
    </w:p>
    <w:p w:rsidR="00763992" w:rsidRDefault="00763992">
      <w:pPr>
        <w:pStyle w:val="TOC2"/>
        <w:rPr>
          <w:rFonts w:asciiTheme="minorHAnsi" w:eastAsiaTheme="minorEastAsia" w:hAnsiTheme="minorHAnsi" w:cstheme="minorBidi"/>
          <w:smallCaps w:val="0"/>
          <w:noProof/>
          <w:sz w:val="22"/>
          <w:szCs w:val="22"/>
        </w:rPr>
      </w:pPr>
      <w:r>
        <w:rPr>
          <w:noProof/>
        </w:rPr>
        <w:t>Version 2</w:t>
      </w:r>
      <w:r>
        <w:rPr>
          <w:noProof/>
        </w:rPr>
        <w:tab/>
      </w:r>
      <w:r>
        <w:rPr>
          <w:noProof/>
        </w:rPr>
        <w:fldChar w:fldCharType="begin"/>
      </w:r>
      <w:r>
        <w:rPr>
          <w:noProof/>
        </w:rPr>
        <w:instrText xml:space="preserve"> PAGEREF _Toc381174897 \h </w:instrText>
      </w:r>
      <w:r>
        <w:rPr>
          <w:noProof/>
        </w:rPr>
      </w:r>
      <w:r>
        <w:rPr>
          <w:noProof/>
        </w:rPr>
        <w:fldChar w:fldCharType="separate"/>
      </w:r>
      <w:r w:rsidR="00FC105B">
        <w:rPr>
          <w:noProof/>
        </w:rPr>
        <w:t>15</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D23C7A">
        <w:rPr>
          <w:noProof/>
          <w:lang w:val="en-US"/>
        </w:rPr>
        <w:t>Concurrent translation</w:t>
      </w:r>
      <w:r w:rsidRPr="00D23C7A">
        <w:rPr>
          <w:noProof/>
          <w:lang w:val="en-US"/>
        </w:rPr>
        <w:tab/>
      </w:r>
      <w:r>
        <w:rPr>
          <w:noProof/>
        </w:rPr>
        <w:fldChar w:fldCharType="begin"/>
      </w:r>
      <w:r w:rsidRPr="00D23C7A">
        <w:rPr>
          <w:noProof/>
          <w:lang w:val="en-US"/>
        </w:rPr>
        <w:instrText xml:space="preserve"> PAGEREF _Toc381174898 \h </w:instrText>
      </w:r>
      <w:r>
        <w:rPr>
          <w:noProof/>
        </w:rPr>
      </w:r>
      <w:r>
        <w:rPr>
          <w:noProof/>
        </w:rPr>
        <w:fldChar w:fldCharType="separate"/>
      </w:r>
      <w:r w:rsidR="00FC105B" w:rsidRPr="00D23C7A">
        <w:rPr>
          <w:noProof/>
          <w:lang w:val="en-US"/>
        </w:rPr>
        <w:t>15</w:t>
      </w:r>
      <w:r>
        <w:rPr>
          <w:noProof/>
        </w:rPr>
        <w:fldChar w:fldCharType="end"/>
      </w:r>
    </w:p>
    <w:p w:rsidR="00763992" w:rsidRDefault="00763992">
      <w:pPr>
        <w:pStyle w:val="TOC3"/>
        <w:rPr>
          <w:rFonts w:asciiTheme="minorHAnsi" w:eastAsiaTheme="minorEastAsia" w:hAnsiTheme="minorHAnsi" w:cstheme="minorBidi"/>
          <w:noProof/>
          <w:sz w:val="22"/>
          <w:szCs w:val="22"/>
          <w:lang w:val="en-US"/>
        </w:rPr>
      </w:pPr>
      <w:r w:rsidRPr="00D23C7A">
        <w:rPr>
          <w:noProof/>
          <w:lang w:val="en-US"/>
        </w:rPr>
        <w:t>Individual authorities’ test guidelines</w:t>
      </w:r>
      <w:r w:rsidRPr="00D23C7A">
        <w:rPr>
          <w:noProof/>
          <w:lang w:val="en-US"/>
        </w:rPr>
        <w:tab/>
      </w:r>
      <w:r>
        <w:rPr>
          <w:noProof/>
        </w:rPr>
        <w:fldChar w:fldCharType="begin"/>
      </w:r>
      <w:r w:rsidRPr="00D23C7A">
        <w:rPr>
          <w:noProof/>
          <w:lang w:val="en-US"/>
        </w:rPr>
        <w:instrText xml:space="preserve"> PAGEREF _Toc381174899 \h </w:instrText>
      </w:r>
      <w:r>
        <w:rPr>
          <w:noProof/>
        </w:rPr>
      </w:r>
      <w:r>
        <w:rPr>
          <w:noProof/>
        </w:rPr>
        <w:fldChar w:fldCharType="separate"/>
      </w:r>
      <w:r w:rsidR="00FC105B" w:rsidRPr="00D23C7A">
        <w:rPr>
          <w:noProof/>
          <w:lang w:val="en-US"/>
        </w:rPr>
        <w:t>15</w:t>
      </w:r>
      <w:r>
        <w:rPr>
          <w:noProof/>
        </w:rPr>
        <w:fldChar w:fldCharType="end"/>
      </w:r>
    </w:p>
    <w:p w:rsidR="00ED14A6" w:rsidRDefault="0099668A" w:rsidP="000D2119">
      <w:r>
        <w:lastRenderedPageBreak/>
        <w:fldChar w:fldCharType="end"/>
      </w:r>
    </w:p>
    <w:p w:rsidR="001F4113" w:rsidRPr="00763992" w:rsidRDefault="001F4113" w:rsidP="00763992">
      <w:pPr>
        <w:pStyle w:val="Heading1"/>
        <w:rPr>
          <w:rStyle w:val="BookTitle"/>
          <w:b/>
        </w:rPr>
      </w:pPr>
      <w:bookmarkStart w:id="5" w:name="_Toc381174851"/>
      <w:r w:rsidRPr="008B494D">
        <w:rPr>
          <w:rStyle w:val="BookTitle"/>
          <w:b/>
        </w:rPr>
        <w:t>I.</w:t>
      </w:r>
      <w:r w:rsidRPr="008B494D">
        <w:rPr>
          <w:rStyle w:val="BookTitle"/>
          <w:b/>
        </w:rPr>
        <w:tab/>
      </w:r>
      <w:r w:rsidRPr="00763992">
        <w:rPr>
          <w:rStyle w:val="BookTitle"/>
          <w:b/>
        </w:rPr>
        <w:t>Matters for Information</w:t>
      </w:r>
      <w:bookmarkEnd w:id="5"/>
    </w:p>
    <w:p w:rsidR="001F4113" w:rsidRDefault="001F4113" w:rsidP="00D135ED">
      <w:pPr>
        <w:pStyle w:val="Heading1"/>
      </w:pPr>
    </w:p>
    <w:p w:rsidR="00D41A77" w:rsidRDefault="00D41A77" w:rsidP="00D135ED">
      <w:pPr>
        <w:pStyle w:val="Heading1"/>
      </w:pPr>
      <w:bookmarkStart w:id="6" w:name="_Toc381174852"/>
      <w:r>
        <w:t>Membership</w:t>
      </w:r>
      <w:bookmarkEnd w:id="6"/>
    </w:p>
    <w:p w:rsidR="00D41A77" w:rsidRDefault="00D41A77" w:rsidP="00D41A77"/>
    <w:p w:rsidR="00D41A77" w:rsidRDefault="00D41A77" w:rsidP="006A4A4E">
      <w:pPr>
        <w:pStyle w:val="Heading2"/>
      </w:pPr>
      <w:bookmarkStart w:id="7" w:name="_Toc381174853"/>
      <w:r>
        <w:t>Members of the Union</w:t>
      </w:r>
      <w:bookmarkEnd w:id="7"/>
    </w:p>
    <w:p w:rsidR="00D41A77" w:rsidRDefault="00D41A77" w:rsidP="00D41A77"/>
    <w:p w:rsidR="00D41A77" w:rsidRPr="009B0042" w:rsidRDefault="0028178C" w:rsidP="00D41A77">
      <w:r w:rsidRPr="009B0042">
        <w:rPr>
          <w:snapToGrid w:val="0"/>
        </w:rPr>
        <w:fldChar w:fldCharType="begin"/>
      </w:r>
      <w:r w:rsidRPr="009B0042">
        <w:rPr>
          <w:snapToGrid w:val="0"/>
        </w:rPr>
        <w:instrText xml:space="preserve"> AUTONUM  </w:instrText>
      </w:r>
      <w:r w:rsidRPr="009B0042">
        <w:rPr>
          <w:snapToGrid w:val="0"/>
        </w:rPr>
        <w:fldChar w:fldCharType="end"/>
      </w:r>
      <w:r w:rsidR="00704A4B" w:rsidRPr="009B0042">
        <w:rPr>
          <w:snapToGrid w:val="0"/>
        </w:rPr>
        <w:tab/>
      </w:r>
      <w:r w:rsidR="00D41A77" w:rsidRPr="009B0042">
        <w:t xml:space="preserve">On January 31, 2014, the situation of the members of the Union (total 71) in relation to the Convention and its various Acts was as follows: </w:t>
      </w:r>
    </w:p>
    <w:p w:rsidR="00D41A77" w:rsidRPr="009B0042" w:rsidRDefault="00D41A77" w:rsidP="00D41A77"/>
    <w:p w:rsidR="00D41A77" w:rsidRPr="009B0042" w:rsidRDefault="00D41A77" w:rsidP="00D41A77">
      <w:r w:rsidRPr="009B0042">
        <w:tab/>
        <w:t>(a)</w:t>
      </w:r>
      <w:r w:rsidRPr="009B0042">
        <w:tab/>
        <w:t>Belgium was bound by the 1961 Convention as amended by the 1972 Act;</w:t>
      </w:r>
    </w:p>
    <w:p w:rsidR="00D41A77" w:rsidRPr="009B0042" w:rsidRDefault="00D41A77" w:rsidP="00D41A77"/>
    <w:p w:rsidR="00D41A77" w:rsidRPr="009B0042" w:rsidRDefault="00D41A77" w:rsidP="00D41A77">
      <w:r w:rsidRPr="009B0042">
        <w:tab/>
        <w:t>(b)</w:t>
      </w:r>
      <w:r w:rsidRPr="009B0042">
        <w:tab/>
        <w:t>19 members were bound by the 1978 Act, namely:  Argentina, Bolivia, Brazil, Canada, Chile, China, Colombia, Ecuador, Italy, Kenya, Mexico, New Zealand, Nicaragua, Norway, Paraguay, Portugal, South Africa, Trinidad and Tobago and Uruguay;</w:t>
      </w:r>
    </w:p>
    <w:p w:rsidR="00D41A77" w:rsidRPr="009B0042" w:rsidRDefault="00D41A77" w:rsidP="00D41A77"/>
    <w:p w:rsidR="00D41A77" w:rsidRPr="006054BD" w:rsidRDefault="00D41A77" w:rsidP="00D41A77">
      <w:r w:rsidRPr="009B0042">
        <w:tab/>
        <w:t>(c)</w:t>
      </w:r>
      <w:r w:rsidRPr="009B0042">
        <w:tab/>
        <w:t>51 members were bound by the 1991 Act, namely:  Albania, Australia, Austria, Azerbaijan, Belarus, Bulgaria, Costa Rica, Croatia, Czech Republic, Denmark, Dominican Republic, Estonia, European Union, France, Finland, Georgia, Germany, Hungary, Iceland, Ireland, Israel, Japan, Jordan,</w:t>
      </w:r>
      <w:r w:rsidRPr="00D41A77">
        <w:t xml:space="preserve"> Kyrgyzstan, Latvia, Lithuania, Morocco, Netherlands, Oman, Panama, Peru, Poland, Republic of Korea, Republic of Moldova, Romania, Russian Federation, Serbia, Singapore, Slovakia, Slovenia, Spain, Sweden, Switzerland, the former Yugoslav Republic of Macedonia, Tunisia, Turkey, Ukraine, United Kingdom, United States of America, Uzbekistan and Viet Nam.</w:t>
      </w:r>
    </w:p>
    <w:p w:rsidR="00D41A77" w:rsidRDefault="00D41A77" w:rsidP="00D41A77"/>
    <w:p w:rsidR="00D135ED" w:rsidRDefault="00D135ED" w:rsidP="00D41A77"/>
    <w:p w:rsidR="00D41A77" w:rsidRDefault="00D41A77" w:rsidP="006A4A4E">
      <w:pPr>
        <w:pStyle w:val="Heading2"/>
      </w:pPr>
      <w:bookmarkStart w:id="8" w:name="_Toc381174854"/>
      <w:r>
        <w:t>Examination of Laws</w:t>
      </w:r>
      <w:bookmarkEnd w:id="8"/>
    </w:p>
    <w:p w:rsidR="00D41A77" w:rsidRDefault="00D41A77" w:rsidP="00D41A77">
      <w:pPr>
        <w:keepNext/>
      </w:pPr>
    </w:p>
    <w:p w:rsidR="00D41A77" w:rsidRDefault="00D41A77" w:rsidP="00D41A77">
      <w:pPr>
        <w:pStyle w:val="Heading3"/>
      </w:pPr>
      <w:bookmarkStart w:id="9" w:name="_Toc381174855"/>
      <w:r>
        <w:t>Zanzibar</w:t>
      </w:r>
      <w:bookmarkEnd w:id="9"/>
    </w:p>
    <w:p w:rsidR="00D41A77" w:rsidRDefault="00D41A77" w:rsidP="00D41A77">
      <w:pPr>
        <w:keepNext/>
      </w:pPr>
    </w:p>
    <w:p w:rsidR="00D41A77" w:rsidRDefault="00D41A77" w:rsidP="00CF57D7">
      <w:r>
        <w:fldChar w:fldCharType="begin"/>
      </w:r>
      <w:r>
        <w:instrText xml:space="preserve"> AUTONUM  </w:instrText>
      </w:r>
      <w:r>
        <w:fldChar w:fldCharType="end"/>
      </w:r>
      <w:r>
        <w:tab/>
        <w:t>At its thirtieth extraordinary session held in Geneva on March 22, 2013, the Council examined</w:t>
      </w:r>
      <w:r w:rsidRPr="008E734A">
        <w:t xml:space="preserve"> the conformity of the Plant Breeders’ Rights Bill for Zanzibar with the 1991 Act of the UPOV Convention</w:t>
      </w:r>
      <w:r>
        <w:t xml:space="preserve">.  The Council decided, subject to the incorporation in the Plant Breeders’ Rights Bill for Zanzibar of certain modifications and with no additional changes, to take a positive decision on the conformity of the Plant Breeders’ Rights Bill for Zanzibar with the provisions of the 1991 Act of the International Convention for the Protection of New Varieties of Plants.  The Council also decided to inform the Government of the United Republic of Tanzania that, subject to the modifications recommended by the Council being incorporated in the Plant Breeders’ Rights Bill for Zanzibar and the adoption of the Bill with no additional changes, the instrument of accession of the United Republic of Tanzania could be deposited (see document </w:t>
      </w:r>
      <w:proofErr w:type="gramStart"/>
      <w:r w:rsidRPr="007930E0">
        <w:t>C(</w:t>
      </w:r>
      <w:proofErr w:type="spellStart"/>
      <w:proofErr w:type="gramEnd"/>
      <w:r w:rsidRPr="007930E0">
        <w:t>Extr</w:t>
      </w:r>
      <w:proofErr w:type="spellEnd"/>
      <w:r w:rsidRPr="007930E0">
        <w:t>.)/30/8</w:t>
      </w:r>
      <w:r>
        <w:t xml:space="preserve"> “Report”, paragraph 13).</w:t>
      </w:r>
    </w:p>
    <w:p w:rsidR="00D41A77" w:rsidRDefault="00D41A77" w:rsidP="00CF57D7">
      <w:pPr>
        <w:spacing w:line="360" w:lineRule="auto"/>
      </w:pPr>
    </w:p>
    <w:p w:rsidR="00D41A77" w:rsidRPr="00DA5AD2" w:rsidRDefault="00D41A77" w:rsidP="00D41A77">
      <w:pPr>
        <w:pStyle w:val="Heading3"/>
      </w:pPr>
      <w:bookmarkStart w:id="10" w:name="_Toc381174856"/>
      <w:r>
        <w:t>Bosnia and Herzegovina</w:t>
      </w:r>
      <w:bookmarkEnd w:id="10"/>
    </w:p>
    <w:p w:rsidR="00D41A77" w:rsidRPr="00D135ED" w:rsidRDefault="00D41A77" w:rsidP="00CF57D7">
      <w:pPr>
        <w:keepNext/>
      </w:pPr>
    </w:p>
    <w:p w:rsidR="00D41A77" w:rsidRPr="00247710" w:rsidRDefault="00D41A77" w:rsidP="00D41A77">
      <w:r>
        <w:fldChar w:fldCharType="begin"/>
      </w:r>
      <w:r>
        <w:instrText xml:space="preserve"> AUTONUM  </w:instrText>
      </w:r>
      <w:r>
        <w:fldChar w:fldCharType="end"/>
      </w:r>
      <w:r>
        <w:tab/>
        <w:t xml:space="preserve">At its </w:t>
      </w:r>
      <w:r w:rsidRPr="001C553C">
        <w:t>forty-seventh ordinary session</w:t>
      </w:r>
      <w:r>
        <w:t>, held in Geneva on</w:t>
      </w:r>
      <w:r w:rsidRPr="001C553C">
        <w:t xml:space="preserve"> October 24, 2013</w:t>
      </w:r>
      <w:r>
        <w:t>, the Council took</w:t>
      </w:r>
      <w:r w:rsidRPr="00247710">
        <w:t xml:space="preserve"> a positive decision on the conformity of the Law for the Protection of New Varieties of Plants of Bosnia and Herzegovina with the provisions of the 1991 Act of the International Convention for the Protection of New Varieties of Plants, which allows Bosnia and Herzegovina to deposit its instrument of accessi</w:t>
      </w:r>
      <w:r>
        <w:t>on to the 1991 Act (see document C/47/19 “Report on the Decisions”, paragraphs 8 to 11).</w:t>
      </w:r>
    </w:p>
    <w:p w:rsidR="00D41A77" w:rsidRDefault="00D41A77" w:rsidP="00D41A77"/>
    <w:p w:rsidR="00D41A77" w:rsidRDefault="00D41A77" w:rsidP="00D41A77"/>
    <w:p w:rsidR="00F81AF1" w:rsidRDefault="00F81AF1" w:rsidP="00D41A77"/>
    <w:p w:rsidR="00D135ED" w:rsidRPr="003D70F6" w:rsidRDefault="00D135ED" w:rsidP="00D135ED">
      <w:pPr>
        <w:pStyle w:val="Heading1"/>
      </w:pPr>
      <w:bookmarkStart w:id="11" w:name="_Toc381174857"/>
      <w:r>
        <w:t xml:space="preserve">Statistics on </w:t>
      </w:r>
      <w:r w:rsidRPr="00465430">
        <w:rPr>
          <w:snapToGrid w:val="0"/>
        </w:rPr>
        <w:t>Plant Variety Protection</w:t>
      </w:r>
      <w:bookmarkEnd w:id="11"/>
    </w:p>
    <w:p w:rsidR="00D135ED" w:rsidRDefault="00D135ED" w:rsidP="00D135ED">
      <w:pPr>
        <w:keepNext/>
      </w:pPr>
    </w:p>
    <w:p w:rsidR="00D135ED" w:rsidRPr="00B129B1" w:rsidRDefault="00D135ED" w:rsidP="006A4A4E">
      <w:pPr>
        <w:pStyle w:val="Heading2"/>
        <w:rPr>
          <w:rFonts w:eastAsia="MS Mincho"/>
          <w:lang w:eastAsia="ja-JP"/>
        </w:rPr>
      </w:pPr>
      <w:bookmarkStart w:id="12" w:name="_Toc381174858"/>
      <w:r w:rsidRPr="00B129B1">
        <w:rPr>
          <w:rFonts w:eastAsia="MS Mincho"/>
          <w:lang w:eastAsia="ja-JP"/>
        </w:rPr>
        <w:t>List of the taxa protected by the members of the Union</w:t>
      </w:r>
      <w:bookmarkEnd w:id="12"/>
    </w:p>
    <w:p w:rsidR="00D135ED" w:rsidRDefault="00D135ED" w:rsidP="00D135ED">
      <w:pPr>
        <w:keepNext/>
        <w:autoSpaceDE w:val="0"/>
        <w:autoSpaceDN w:val="0"/>
        <w:adjustRightInd w:val="0"/>
        <w:rPr>
          <w:rFonts w:eastAsia="MS Mincho" w:cs="Arial"/>
          <w:lang w:eastAsia="ja-JP"/>
        </w:rPr>
      </w:pPr>
      <w:r>
        <w:rPr>
          <w:rFonts w:eastAsia="MS Mincho" w:cs="Arial"/>
          <w:lang w:eastAsia="ja-JP"/>
        </w:rPr>
        <w:t>(</w:t>
      </w:r>
      <w:proofErr w:type="gramStart"/>
      <w:r>
        <w:rPr>
          <w:rFonts w:eastAsia="MS Mincho" w:cs="Arial"/>
          <w:lang w:eastAsia="ja-JP"/>
        </w:rPr>
        <w:t>see</w:t>
      </w:r>
      <w:proofErr w:type="gramEnd"/>
      <w:r>
        <w:rPr>
          <w:rFonts w:eastAsia="MS Mincho" w:cs="Arial"/>
          <w:lang w:eastAsia="ja-JP"/>
        </w:rPr>
        <w:t xml:space="preserve"> document C/47/6 “</w:t>
      </w:r>
      <w:r w:rsidRPr="00465430">
        <w:rPr>
          <w:rFonts w:eastAsia="MS Mincho" w:cs="Arial"/>
          <w:lang w:eastAsia="ja-JP"/>
        </w:rPr>
        <w:t>List of the Taxa Protected by the Members of the Union</w:t>
      </w:r>
      <w:r>
        <w:rPr>
          <w:rFonts w:eastAsia="MS Mincho" w:cs="Arial"/>
          <w:lang w:eastAsia="ja-JP"/>
        </w:rPr>
        <w:t>”)</w:t>
      </w:r>
    </w:p>
    <w:p w:rsidR="00D135ED" w:rsidRPr="001923D3" w:rsidRDefault="00D135ED" w:rsidP="00D135ED">
      <w:pPr>
        <w:keepNext/>
        <w:autoSpaceDE w:val="0"/>
        <w:autoSpaceDN w:val="0"/>
        <w:adjustRightInd w:val="0"/>
        <w:rPr>
          <w:rFonts w:eastAsia="MS Mincho" w:cs="Arial"/>
          <w:lang w:eastAsia="ja-JP"/>
        </w:rPr>
      </w:pPr>
    </w:p>
    <w:p w:rsidR="00D135ED" w:rsidRPr="001923D3" w:rsidRDefault="00D135ED" w:rsidP="00D135ED">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 xml:space="preserve">As of </w:t>
      </w:r>
      <w:r w:rsidRPr="00465430">
        <w:rPr>
          <w:rFonts w:eastAsia="MS Mincho" w:cs="Arial"/>
          <w:lang w:eastAsia="ja-JP"/>
        </w:rPr>
        <w:t>October 16, 2013</w:t>
      </w:r>
      <w:r>
        <w:rPr>
          <w:rFonts w:eastAsia="MS Mincho" w:cs="Arial"/>
          <w:lang w:eastAsia="ja-JP"/>
        </w:rPr>
        <w:t>, a</w:t>
      </w:r>
      <w:r w:rsidRPr="006C2AAA">
        <w:rPr>
          <w:rFonts w:eastAsia="MS Mincho" w:cs="Arial"/>
          <w:lang w:eastAsia="ja-JP"/>
        </w:rPr>
        <w:t xml:space="preserve"> total of 56 members of the Union </w:t>
      </w:r>
      <w:r>
        <w:rPr>
          <w:rFonts w:eastAsia="MS Mincho" w:cs="Arial"/>
          <w:lang w:eastAsia="ja-JP"/>
        </w:rPr>
        <w:t>offered</w:t>
      </w:r>
      <w:r w:rsidRPr="006C2AAA">
        <w:rPr>
          <w:rFonts w:eastAsia="MS Mincho" w:cs="Arial"/>
          <w:lang w:eastAsia="ja-JP"/>
        </w:rPr>
        <w:t xml:space="preserve"> protection to all plant genera and species (53 in 2012), with 15 members of the Union offering protection to a limited number of plant genera and species.</w:t>
      </w:r>
    </w:p>
    <w:p w:rsidR="00D135ED" w:rsidRDefault="00D135ED" w:rsidP="00D135ED"/>
    <w:p w:rsidR="00F81AF1" w:rsidRPr="000349CA" w:rsidRDefault="00F81AF1" w:rsidP="00D135ED"/>
    <w:p w:rsidR="00D135ED" w:rsidRPr="0068055A" w:rsidRDefault="00D135ED" w:rsidP="006A4A4E">
      <w:pPr>
        <w:pStyle w:val="Heading2"/>
      </w:pPr>
      <w:bookmarkStart w:id="13" w:name="_Toc381174859"/>
      <w:r w:rsidRPr="0068055A">
        <w:t>Plant variety protection statistics</w:t>
      </w:r>
      <w:bookmarkEnd w:id="13"/>
      <w:r>
        <w:t xml:space="preserve"> </w:t>
      </w:r>
    </w:p>
    <w:p w:rsidR="00D135ED" w:rsidRDefault="00D135ED" w:rsidP="00D135ED">
      <w:pPr>
        <w:keepNext/>
        <w:autoSpaceDE w:val="0"/>
        <w:autoSpaceDN w:val="0"/>
        <w:adjustRightInd w:val="0"/>
        <w:rPr>
          <w:rFonts w:eastAsia="MS Mincho" w:cs="Arial"/>
          <w:lang w:eastAsia="ja-JP"/>
        </w:rPr>
      </w:pPr>
      <w:r>
        <w:rPr>
          <w:rFonts w:eastAsia="MS Mincho" w:cs="Arial"/>
          <w:lang w:eastAsia="ja-JP"/>
        </w:rPr>
        <w:t>(</w:t>
      </w:r>
      <w:proofErr w:type="gramStart"/>
      <w:r>
        <w:rPr>
          <w:rFonts w:eastAsia="MS Mincho" w:cs="Arial"/>
          <w:lang w:eastAsia="ja-JP"/>
        </w:rPr>
        <w:t>see</w:t>
      </w:r>
      <w:proofErr w:type="gramEnd"/>
      <w:r>
        <w:rPr>
          <w:rFonts w:eastAsia="MS Mincho" w:cs="Arial"/>
          <w:lang w:eastAsia="ja-JP"/>
        </w:rPr>
        <w:t xml:space="preserve"> document C/47/7 “</w:t>
      </w:r>
      <w:r>
        <w:t>Plant variety protection statistics for the period 2008-2012”)</w:t>
      </w:r>
    </w:p>
    <w:p w:rsidR="00D135ED" w:rsidRPr="001923D3" w:rsidRDefault="00D135ED" w:rsidP="00D135ED">
      <w:pPr>
        <w:keepNext/>
        <w:autoSpaceDE w:val="0"/>
        <w:autoSpaceDN w:val="0"/>
        <w:adjustRightInd w:val="0"/>
        <w:rPr>
          <w:rFonts w:eastAsia="MS Mincho" w:cs="Arial"/>
          <w:lang w:eastAsia="ja-JP"/>
        </w:rPr>
      </w:pPr>
    </w:p>
    <w:p w:rsidR="00D135ED" w:rsidRPr="000A743B" w:rsidRDefault="00D135ED" w:rsidP="00D135ED">
      <w:pPr>
        <w:autoSpaceDE w:val="0"/>
        <w:autoSpaceDN w:val="0"/>
        <w:adjustRightInd w:val="0"/>
        <w:rPr>
          <w:rFonts w:eastAsia="MS Mincho" w:cs="Arial"/>
          <w:strike/>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 xml:space="preserve">In </w:t>
      </w:r>
      <w:r w:rsidRPr="00465430">
        <w:rPr>
          <w:rFonts w:eastAsia="MS Mincho" w:cs="Arial"/>
          <w:lang w:eastAsia="ja-JP"/>
        </w:rPr>
        <w:t>2012</w:t>
      </w:r>
      <w:r>
        <w:rPr>
          <w:rFonts w:eastAsia="MS Mincho" w:cs="Arial"/>
          <w:lang w:eastAsia="ja-JP"/>
        </w:rPr>
        <w:t>, there was</w:t>
      </w:r>
      <w:r w:rsidRPr="00DD1268">
        <w:rPr>
          <w:rFonts w:eastAsia="MS Mincho" w:cs="Arial"/>
          <w:lang w:eastAsia="ja-JP"/>
        </w:rPr>
        <w:t xml:space="preserve"> a 1.1 percent increase in the number of applications for plant variety protection (13,867 in 2012;  13,714 in 2011), representing a 0.7 percent decrease in the number of applications by residents (8,751 in 2012;  8,813 in 2011) and a 4.4 percent increase in the number of applications by non</w:t>
      </w:r>
      <w:r>
        <w:rPr>
          <w:rFonts w:eastAsia="MS Mincho" w:cs="Arial"/>
          <w:lang w:eastAsia="ja-JP"/>
        </w:rPr>
        <w:t>­</w:t>
      </w:r>
      <w:r w:rsidRPr="00DD1268">
        <w:rPr>
          <w:rFonts w:eastAsia="MS Mincho" w:cs="Arial"/>
          <w:lang w:eastAsia="ja-JP"/>
        </w:rPr>
        <w:t>residents (5,116 in 2012;  4,901 in 2011).</w:t>
      </w:r>
    </w:p>
    <w:p w:rsidR="00D135ED" w:rsidRDefault="00D135ED" w:rsidP="00D135ED">
      <w:pPr>
        <w:autoSpaceDE w:val="0"/>
        <w:autoSpaceDN w:val="0"/>
        <w:adjustRightInd w:val="0"/>
        <w:rPr>
          <w:rFonts w:eastAsia="MS Mincho" w:cs="Arial"/>
          <w:lang w:eastAsia="ja-JP"/>
        </w:rPr>
      </w:pPr>
    </w:p>
    <w:p w:rsidR="00D135ED" w:rsidRPr="001923D3" w:rsidRDefault="00D135ED" w:rsidP="00D135ED">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 xml:space="preserve">The </w:t>
      </w:r>
      <w:r w:rsidRPr="00DD1268">
        <w:rPr>
          <w:rFonts w:eastAsia="MS Mincho" w:cs="Arial"/>
          <w:lang w:eastAsia="ja-JP"/>
        </w:rPr>
        <w:t>number of titles granted</w:t>
      </w:r>
      <w:r>
        <w:rPr>
          <w:rFonts w:eastAsia="MS Mincho" w:cs="Arial"/>
          <w:lang w:eastAsia="ja-JP"/>
        </w:rPr>
        <w:t xml:space="preserve"> </w:t>
      </w:r>
      <w:r w:rsidRPr="00DD1268">
        <w:rPr>
          <w:rFonts w:eastAsia="MS Mincho" w:cs="Arial"/>
          <w:lang w:eastAsia="ja-JP"/>
        </w:rPr>
        <w:t xml:space="preserve">decreased </w:t>
      </w:r>
      <w:r>
        <w:rPr>
          <w:rFonts w:eastAsia="MS Mincho" w:cs="Arial"/>
          <w:lang w:eastAsia="ja-JP"/>
        </w:rPr>
        <w:t>by 2.4 percent from 10,065 in </w:t>
      </w:r>
      <w:r w:rsidRPr="00DD1268">
        <w:rPr>
          <w:rFonts w:eastAsia="MS Mincho" w:cs="Arial"/>
          <w:lang w:eastAsia="ja-JP"/>
        </w:rPr>
        <w:t>2011</w:t>
      </w:r>
      <w:r>
        <w:rPr>
          <w:rFonts w:eastAsia="MS Mincho" w:cs="Arial"/>
          <w:lang w:eastAsia="ja-JP"/>
        </w:rPr>
        <w:t>,</w:t>
      </w:r>
      <w:r w:rsidRPr="00DD1268">
        <w:rPr>
          <w:rFonts w:eastAsia="MS Mincho" w:cs="Arial"/>
          <w:lang w:eastAsia="ja-JP"/>
        </w:rPr>
        <w:t xml:space="preserve"> to 9,822 in 2012.</w:t>
      </w:r>
    </w:p>
    <w:p w:rsidR="00D135ED" w:rsidRPr="001923D3" w:rsidRDefault="00D135ED" w:rsidP="00D135ED">
      <w:pPr>
        <w:autoSpaceDE w:val="0"/>
        <w:autoSpaceDN w:val="0"/>
        <w:adjustRightInd w:val="0"/>
        <w:rPr>
          <w:rFonts w:eastAsia="MS Mincho" w:cs="Arial"/>
          <w:lang w:eastAsia="ja-JP"/>
        </w:rPr>
      </w:pPr>
    </w:p>
    <w:p w:rsidR="00D135ED" w:rsidRDefault="00D135ED" w:rsidP="00D135ED">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A</w:t>
      </w:r>
      <w:r w:rsidRPr="00DD1268">
        <w:rPr>
          <w:rFonts w:eastAsia="MS Mincho" w:cs="Arial"/>
          <w:lang w:eastAsia="ja-JP"/>
        </w:rPr>
        <w:t xml:space="preserve"> new record number of titles in force – 99,409 – </w:t>
      </w:r>
      <w:proofErr w:type="gramStart"/>
      <w:r w:rsidRPr="00DD1268">
        <w:rPr>
          <w:rFonts w:eastAsia="MS Mincho" w:cs="Arial"/>
          <w:lang w:eastAsia="ja-JP"/>
        </w:rPr>
        <w:t>was</w:t>
      </w:r>
      <w:proofErr w:type="gramEnd"/>
      <w:r w:rsidRPr="00DD1268">
        <w:rPr>
          <w:rFonts w:eastAsia="MS Mincho" w:cs="Arial"/>
          <w:lang w:eastAsia="ja-JP"/>
        </w:rPr>
        <w:t xml:space="preserve"> recorded in 2012, representing a 4.6 percent increase on figures for 2011 (95,041).</w:t>
      </w:r>
    </w:p>
    <w:p w:rsidR="00D135ED" w:rsidRDefault="00D135ED" w:rsidP="00D135ED">
      <w:pPr>
        <w:autoSpaceDE w:val="0"/>
        <w:autoSpaceDN w:val="0"/>
        <w:adjustRightInd w:val="0"/>
        <w:rPr>
          <w:rFonts w:eastAsia="MS Mincho" w:cs="Arial"/>
          <w:lang w:eastAsia="ja-JP"/>
        </w:rPr>
      </w:pPr>
    </w:p>
    <w:p w:rsidR="00D135ED" w:rsidRDefault="00D135ED" w:rsidP="00D135ED">
      <w:pPr>
        <w:autoSpaceDE w:val="0"/>
        <w:autoSpaceDN w:val="0"/>
        <w:adjustRightInd w:val="0"/>
        <w:rPr>
          <w:rFonts w:eastAsia="MS Mincho" w:cs="Arial"/>
          <w:lang w:eastAsia="ja-JP"/>
        </w:rPr>
      </w:pPr>
      <w:r>
        <w:rPr>
          <w:rFonts w:eastAsia="MS Mincho" w:cs="Arial"/>
          <w:lang w:eastAsia="ja-JP"/>
        </w:rPr>
        <w:fldChar w:fldCharType="begin"/>
      </w:r>
      <w:r>
        <w:rPr>
          <w:rFonts w:eastAsia="MS Mincho" w:cs="Arial"/>
          <w:lang w:eastAsia="ja-JP"/>
        </w:rPr>
        <w:instrText xml:space="preserve"> AUTONUM  </w:instrText>
      </w:r>
      <w:r>
        <w:rPr>
          <w:rFonts w:eastAsia="MS Mincho" w:cs="Arial"/>
          <w:lang w:eastAsia="ja-JP"/>
        </w:rPr>
        <w:fldChar w:fldCharType="end"/>
      </w:r>
      <w:r>
        <w:rPr>
          <w:rFonts w:eastAsia="MS Mincho" w:cs="Arial"/>
          <w:lang w:eastAsia="ja-JP"/>
        </w:rPr>
        <w:tab/>
        <w:t xml:space="preserve">The Office of the Union will explore the possibility of providing information on statistics by crop type (e.g. agriculture, fruit, </w:t>
      </w:r>
      <w:proofErr w:type="gramStart"/>
      <w:r>
        <w:rPr>
          <w:rFonts w:eastAsia="MS Mincho" w:cs="Arial"/>
          <w:lang w:eastAsia="ja-JP"/>
        </w:rPr>
        <w:t>ornamental</w:t>
      </w:r>
      <w:proofErr w:type="gramEnd"/>
      <w:r>
        <w:rPr>
          <w:rFonts w:eastAsia="MS Mincho" w:cs="Arial"/>
          <w:lang w:eastAsia="ja-JP"/>
        </w:rPr>
        <w:t>, vegetable and forest trees) in future versions of document C/xx/7.</w:t>
      </w:r>
    </w:p>
    <w:p w:rsidR="00D135ED" w:rsidRDefault="00D135ED" w:rsidP="00D135ED">
      <w:pPr>
        <w:autoSpaceDE w:val="0"/>
        <w:autoSpaceDN w:val="0"/>
        <w:adjustRightInd w:val="0"/>
        <w:rPr>
          <w:rFonts w:eastAsia="MS Mincho" w:cs="Arial"/>
          <w:lang w:eastAsia="ja-JP"/>
        </w:rPr>
      </w:pPr>
    </w:p>
    <w:p w:rsidR="00F81AF1" w:rsidRDefault="00F81AF1" w:rsidP="00D135ED">
      <w:pPr>
        <w:autoSpaceDE w:val="0"/>
        <w:autoSpaceDN w:val="0"/>
        <w:adjustRightInd w:val="0"/>
        <w:rPr>
          <w:rFonts w:eastAsia="MS Mincho" w:cs="Arial"/>
          <w:lang w:eastAsia="ja-JP"/>
        </w:rPr>
      </w:pPr>
    </w:p>
    <w:p w:rsidR="00D135ED" w:rsidRPr="00D20DE5" w:rsidRDefault="00D135ED" w:rsidP="006A4A4E">
      <w:pPr>
        <w:pStyle w:val="Heading2"/>
      </w:pPr>
      <w:bookmarkStart w:id="14" w:name="_Toc381174860"/>
      <w:r w:rsidRPr="0068055A">
        <w:t xml:space="preserve">Cooperation in the </w:t>
      </w:r>
      <w:r w:rsidRPr="00D20DE5">
        <w:t>examination of new plant varieties</w:t>
      </w:r>
      <w:bookmarkEnd w:id="14"/>
    </w:p>
    <w:p w:rsidR="00D135ED" w:rsidRDefault="00D135ED" w:rsidP="00D135ED">
      <w:pPr>
        <w:keepNext/>
        <w:autoSpaceDE w:val="0"/>
        <w:autoSpaceDN w:val="0"/>
        <w:adjustRightInd w:val="0"/>
        <w:rPr>
          <w:rFonts w:eastAsia="MS Mincho" w:cs="Arial"/>
          <w:lang w:eastAsia="ja-JP"/>
        </w:rPr>
      </w:pPr>
      <w:r>
        <w:rPr>
          <w:rFonts w:eastAsia="MS Mincho" w:cs="Arial"/>
          <w:lang w:eastAsia="ja-JP"/>
        </w:rPr>
        <w:t>(</w:t>
      </w:r>
      <w:proofErr w:type="gramStart"/>
      <w:r>
        <w:rPr>
          <w:rFonts w:eastAsia="MS Mincho" w:cs="Arial"/>
          <w:lang w:eastAsia="ja-JP"/>
        </w:rPr>
        <w:t>see</w:t>
      </w:r>
      <w:proofErr w:type="gramEnd"/>
      <w:r>
        <w:rPr>
          <w:rFonts w:eastAsia="MS Mincho" w:cs="Arial"/>
          <w:lang w:eastAsia="ja-JP"/>
        </w:rPr>
        <w:t xml:space="preserve"> document C/47/5 “</w:t>
      </w:r>
      <w:r w:rsidRPr="004E7E98">
        <w:t>Cooperation in examination</w:t>
      </w:r>
      <w:r>
        <w:t>”)</w:t>
      </w:r>
    </w:p>
    <w:p w:rsidR="00D135ED" w:rsidRDefault="00D135ED" w:rsidP="00D135ED">
      <w:pPr>
        <w:keepNext/>
        <w:tabs>
          <w:tab w:val="num" w:pos="1440"/>
        </w:tabs>
        <w:autoSpaceDE w:val="0"/>
        <w:autoSpaceDN w:val="0"/>
        <w:adjustRightInd w:val="0"/>
        <w:rPr>
          <w:rFonts w:cs="Arial"/>
        </w:rPr>
      </w:pPr>
    </w:p>
    <w:p w:rsidR="00D135ED" w:rsidRPr="002E4F0D" w:rsidRDefault="00D135ED" w:rsidP="00D135ED">
      <w:r>
        <w:rPr>
          <w:rFonts w:eastAsia="MS Mincho"/>
          <w:lang w:eastAsia="ja-JP"/>
        </w:rPr>
        <w:fldChar w:fldCharType="begin"/>
      </w:r>
      <w:r>
        <w:rPr>
          <w:rFonts w:eastAsia="MS Mincho"/>
          <w:lang w:eastAsia="ja-JP"/>
        </w:rPr>
        <w:instrText xml:space="preserve"> AUTONUM  </w:instrText>
      </w:r>
      <w:r>
        <w:rPr>
          <w:rFonts w:eastAsia="MS Mincho"/>
          <w:lang w:eastAsia="ja-JP"/>
        </w:rPr>
        <w:fldChar w:fldCharType="end"/>
      </w:r>
      <w:r>
        <w:rPr>
          <w:rFonts w:eastAsia="MS Mincho"/>
          <w:lang w:eastAsia="ja-JP"/>
        </w:rPr>
        <w:tab/>
      </w:r>
      <w:r w:rsidRPr="002C4F2A">
        <w:rPr>
          <w:rFonts w:eastAsia="MS Mincho"/>
          <w:lang w:eastAsia="ja-JP"/>
        </w:rPr>
        <w:t>In 2012, the number of plant genera and species for which there were agreements between members of the Union for cooperation in the examination of distinctness, uniformity and stability totaled 1</w:t>
      </w:r>
      <w:r>
        <w:rPr>
          <w:rFonts w:eastAsia="MS Mincho"/>
          <w:lang w:eastAsia="ja-JP"/>
        </w:rPr>
        <w:t>,</w:t>
      </w:r>
      <w:r w:rsidRPr="002C4F2A">
        <w:rPr>
          <w:rFonts w:eastAsia="MS Mincho"/>
          <w:lang w:eastAsia="ja-JP"/>
        </w:rPr>
        <w:t>997, compared to 1,991 in 2011.</w:t>
      </w:r>
    </w:p>
    <w:p w:rsidR="00D135ED" w:rsidRDefault="00D135ED" w:rsidP="00D135ED"/>
    <w:p w:rsidR="00D135ED" w:rsidRPr="001C553C" w:rsidRDefault="00D135ED" w:rsidP="00D135ED">
      <w:r>
        <w:fldChar w:fldCharType="begin"/>
      </w:r>
      <w:r>
        <w:instrText xml:space="preserve"> AUTONUM  </w:instrText>
      </w:r>
      <w:r>
        <w:fldChar w:fldCharType="end"/>
      </w:r>
      <w:r>
        <w:tab/>
        <w:t xml:space="preserve">At its </w:t>
      </w:r>
      <w:r w:rsidRPr="001C553C">
        <w:t>forty-seventh ordinary session</w:t>
      </w:r>
      <w:r>
        <w:t>, t</w:t>
      </w:r>
      <w:r w:rsidRPr="001C553C">
        <w:t>he Council agreed to copy the circular concerning cooperation in examination, e.g. see C/xx/5, to the Technical Committee (TC) designated persons in order to ensure that the maximum amount of information could be colle</w:t>
      </w:r>
      <w:r>
        <w:t xml:space="preserve">cted (see document C/47/19 “Report on the Decisions”, </w:t>
      </w:r>
      <w:r w:rsidRPr="001C553C">
        <w:t>paragraph 2</w:t>
      </w:r>
      <w:r>
        <w:t>0</w:t>
      </w:r>
      <w:r w:rsidRPr="001C553C">
        <w:t>).</w:t>
      </w:r>
    </w:p>
    <w:p w:rsidR="00D135ED" w:rsidRDefault="00D135ED" w:rsidP="00D135ED"/>
    <w:p w:rsidR="00CF57D7" w:rsidRDefault="00CF57D7" w:rsidP="00D135ED"/>
    <w:p w:rsidR="00D135ED" w:rsidRDefault="00D135ED" w:rsidP="00D135ED"/>
    <w:p w:rsidR="00D135ED" w:rsidRDefault="00D135ED" w:rsidP="00D135ED">
      <w:pPr>
        <w:pStyle w:val="Heading1"/>
      </w:pPr>
      <w:bookmarkStart w:id="15" w:name="_Toc381174861"/>
      <w:r>
        <w:t>Financial situation</w:t>
      </w:r>
      <w:bookmarkEnd w:id="15"/>
    </w:p>
    <w:p w:rsidR="00D135ED" w:rsidRPr="00807F07" w:rsidRDefault="00D135ED" w:rsidP="00D135ED">
      <w:pPr>
        <w:keepNext/>
      </w:pPr>
    </w:p>
    <w:p w:rsidR="00807F07" w:rsidRDefault="00807F07" w:rsidP="006A4A4E">
      <w:pPr>
        <w:pStyle w:val="Heading2"/>
      </w:pPr>
      <w:bookmarkStart w:id="16" w:name="_Toc381174862"/>
      <w:r w:rsidRPr="00CD2116">
        <w:t>Program and Budget of the Union for the 2014-2015 Biennium</w:t>
      </w:r>
      <w:bookmarkEnd w:id="16"/>
      <w:r w:rsidRPr="00CD2116">
        <w:t xml:space="preserve"> </w:t>
      </w:r>
    </w:p>
    <w:p w:rsidR="00807F07" w:rsidRPr="00CD2116" w:rsidRDefault="00807F07" w:rsidP="00807F07">
      <w:pPr>
        <w:keepNext/>
        <w:rPr>
          <w:spacing w:val="-2"/>
          <w:szCs w:val="24"/>
        </w:rPr>
      </w:pPr>
    </w:p>
    <w:p w:rsidR="00337B8E" w:rsidRDefault="00337B8E" w:rsidP="00807F07">
      <w:r>
        <w:fldChar w:fldCharType="begin"/>
      </w:r>
      <w:r>
        <w:instrText xml:space="preserve"> AUTONUM  </w:instrText>
      </w:r>
      <w:r>
        <w:fldChar w:fldCharType="end"/>
      </w:r>
      <w:r>
        <w:tab/>
      </w:r>
      <w:r w:rsidR="00807F07">
        <w:t xml:space="preserve">At its </w:t>
      </w:r>
      <w:r w:rsidR="00807F07" w:rsidRPr="001C553C">
        <w:t>forty-seventh ordinary session</w:t>
      </w:r>
      <w:r w:rsidR="00807F07">
        <w:t>, held in Geneva on</w:t>
      </w:r>
      <w:r w:rsidR="00807F07" w:rsidRPr="001C553C">
        <w:t xml:space="preserve"> October 24, 2013</w:t>
      </w:r>
      <w:r w:rsidR="00807F07">
        <w:t>, the Council</w:t>
      </w:r>
      <w:r>
        <w:t xml:space="preserve"> approved the </w:t>
      </w:r>
      <w:r w:rsidR="00807F07" w:rsidRPr="00956FAB">
        <w:t>Program and Budget for the 2014-2015 Biennium, as presented in the Annex to document C/47/4</w:t>
      </w:r>
      <w:r>
        <w:t xml:space="preserve"> Rev “</w:t>
      </w:r>
      <w:r w:rsidR="000536A6" w:rsidRPr="000536A6">
        <w:t>Program and Budget for the 2014-2015 Biennium</w:t>
      </w:r>
      <w:r w:rsidR="000536A6">
        <w:t>” (see document C/47/19 “Report on the Decisions”, paragraphs 33 and 34)</w:t>
      </w:r>
      <w:r>
        <w:t xml:space="preserve">.  </w:t>
      </w:r>
    </w:p>
    <w:p w:rsidR="00337B8E" w:rsidRDefault="00337B8E" w:rsidP="00807F07"/>
    <w:p w:rsidR="00337B8E" w:rsidRPr="00337B8E" w:rsidRDefault="00337B8E" w:rsidP="00337B8E">
      <w:r>
        <w:fldChar w:fldCharType="begin"/>
      </w:r>
      <w:r>
        <w:instrText xml:space="preserve"> AUTONUM  </w:instrText>
      </w:r>
      <w:r>
        <w:fldChar w:fldCharType="end"/>
      </w:r>
      <w:r>
        <w:tab/>
      </w:r>
      <w:r w:rsidRPr="00337B8E">
        <w:t xml:space="preserve">The </w:t>
      </w:r>
      <w:r>
        <w:t xml:space="preserve">maximum ceiling of </w:t>
      </w:r>
      <w:r w:rsidRPr="00956FAB">
        <w:t>expenditure in the regular budget</w:t>
      </w:r>
      <w:r>
        <w:t xml:space="preserve"> for the </w:t>
      </w:r>
      <w:r w:rsidRPr="00956FAB">
        <w:t>2014-2015 Biennium</w:t>
      </w:r>
      <w:r>
        <w:t xml:space="preserve"> is </w:t>
      </w:r>
      <w:r w:rsidRPr="00337B8E">
        <w:t>6,794,000</w:t>
      </w:r>
      <w:r>
        <w:t> </w:t>
      </w:r>
      <w:r w:rsidRPr="00337B8E">
        <w:t>Swiss francs</w:t>
      </w:r>
      <w:r>
        <w:t xml:space="preserve"> (</w:t>
      </w:r>
      <w:r w:rsidR="000536A6">
        <w:t>6,798</w:t>
      </w:r>
      <w:r w:rsidRPr="00337B8E">
        <w:t>,000</w:t>
      </w:r>
      <w:r>
        <w:t> </w:t>
      </w:r>
      <w:r w:rsidRPr="00337B8E">
        <w:t>Swiss francs</w:t>
      </w:r>
      <w:r>
        <w:t xml:space="preserve"> for the 2012-2013 Biennium) and </w:t>
      </w:r>
      <w:r w:rsidRPr="00337B8E">
        <w:t>is based on no change to the value of the contribution unit</w:t>
      </w:r>
      <w:r>
        <w:t xml:space="preserve"> (</w:t>
      </w:r>
      <w:r w:rsidRPr="00337B8E">
        <w:t>53,641 Swiss francs</w:t>
      </w:r>
      <w:r>
        <w:t xml:space="preserve">) and no change to </w:t>
      </w:r>
      <w:r w:rsidRPr="00337B8E">
        <w:t>the total number of posts</w:t>
      </w:r>
      <w:r>
        <w:t xml:space="preserve"> (11)</w:t>
      </w:r>
      <w:r w:rsidRPr="00337B8E">
        <w:t xml:space="preserve"> for the Office of the Union</w:t>
      </w:r>
      <w:r w:rsidR="000536A6">
        <w:t>.</w:t>
      </w:r>
    </w:p>
    <w:p w:rsidR="000536A6" w:rsidRDefault="000536A6" w:rsidP="00807F07"/>
    <w:p w:rsidR="00CF57D7" w:rsidRDefault="00CF57D7" w:rsidP="00807F07"/>
    <w:p w:rsidR="00574BC4" w:rsidRPr="00E75156" w:rsidRDefault="00574BC4" w:rsidP="006A4A4E">
      <w:pPr>
        <w:pStyle w:val="Heading2"/>
        <w:rPr>
          <w:snapToGrid w:val="0"/>
        </w:rPr>
      </w:pPr>
      <w:bookmarkStart w:id="17" w:name="_Toc381174863"/>
      <w:r w:rsidRPr="00E75156">
        <w:rPr>
          <w:snapToGrid w:val="0"/>
        </w:rPr>
        <w:t>Reserve Fund</w:t>
      </w:r>
      <w:bookmarkEnd w:id="17"/>
    </w:p>
    <w:p w:rsidR="00574BC4" w:rsidRDefault="00574BC4" w:rsidP="00574BC4">
      <w:pPr>
        <w:keepNext/>
        <w:rPr>
          <w:snapToGrid w:val="0"/>
        </w:rPr>
      </w:pPr>
    </w:p>
    <w:p w:rsidR="00932B5A" w:rsidRDefault="00932B5A" w:rsidP="00932B5A">
      <w:r>
        <w:fldChar w:fldCharType="begin"/>
      </w:r>
      <w:r>
        <w:instrText xml:space="preserve"> AUTONUM  </w:instrText>
      </w:r>
      <w:r>
        <w:fldChar w:fldCharType="end"/>
      </w:r>
      <w:r>
        <w:tab/>
        <w:t>Regulation 4.6 of document UPOV/INF/4/3 “Financial Regulations and Rules” states that: “[…] If after the closure of the financial period, the amount of the reserve fund exceeds 15 percent of the total income for the financial period, the amount in excess shall be reimbursed to the members of UPOV, unless otherwise decided by the Council. Any member of UPOV may request that the reimbursement attributed to it be deposited in a special account or trust fund specified by it.”</w:t>
      </w:r>
    </w:p>
    <w:p w:rsidR="00932B5A" w:rsidRDefault="00932B5A" w:rsidP="00574BC4"/>
    <w:p w:rsidR="00574BC4" w:rsidRPr="002151A4" w:rsidRDefault="00574BC4" w:rsidP="00574BC4">
      <w:pPr>
        <w:rPr>
          <w:rFonts w:cs="Arial"/>
        </w:rPr>
      </w:pPr>
      <w:r>
        <w:fldChar w:fldCharType="begin"/>
      </w:r>
      <w:r>
        <w:instrText xml:space="preserve"> AUTONUM  </w:instrText>
      </w:r>
      <w:r>
        <w:fldChar w:fldCharType="end"/>
      </w:r>
      <w:r>
        <w:tab/>
      </w:r>
      <w:r w:rsidR="00932B5A">
        <w:rPr>
          <w:rFonts w:cs="Arial"/>
        </w:rPr>
        <w:t xml:space="preserve">The </w:t>
      </w:r>
      <w:r w:rsidR="00932B5A" w:rsidRPr="002151A4">
        <w:rPr>
          <w:rFonts w:cs="Arial"/>
        </w:rPr>
        <w:t>Consultative Committee</w:t>
      </w:r>
      <w:r w:rsidR="00932B5A" w:rsidRPr="00932B5A">
        <w:rPr>
          <w:rFonts w:cs="Arial"/>
        </w:rPr>
        <w:t>, at its eighty-sixth session, held in Geneva on October 23 and 24, 2013</w:t>
      </w:r>
      <w:r w:rsidR="00932B5A">
        <w:rPr>
          <w:rFonts w:cs="Arial"/>
        </w:rPr>
        <w:t xml:space="preserve">, recommended </w:t>
      </w:r>
      <w:r w:rsidR="00932B5A" w:rsidRPr="002151A4">
        <w:rPr>
          <w:rFonts w:cs="Arial"/>
        </w:rPr>
        <w:t>the creation of a special UPOV account that would be used to finance extra-budgetary</w:t>
      </w:r>
      <w:r w:rsidR="00932B5A">
        <w:rPr>
          <w:rFonts w:cs="Arial"/>
        </w:rPr>
        <w:t xml:space="preserve"> projects agreed by the Council i</w:t>
      </w:r>
      <w:r>
        <w:rPr>
          <w:rFonts w:cs="Arial"/>
        </w:rPr>
        <w:t xml:space="preserve">n a </w:t>
      </w:r>
      <w:r w:rsidRPr="002151A4">
        <w:rPr>
          <w:rFonts w:cs="Arial"/>
        </w:rPr>
        <w:t>situation where the amount of the reserve fund exceeds 15 percent of the total income for the</w:t>
      </w:r>
      <w:r w:rsidR="00932B5A">
        <w:rPr>
          <w:rFonts w:cs="Arial"/>
        </w:rPr>
        <w:t xml:space="preserve"> 2012­2013 Biennium.</w:t>
      </w:r>
      <w:r>
        <w:rPr>
          <w:rFonts w:cs="Arial"/>
        </w:rPr>
        <w:t xml:space="preserve">  It was agreed </w:t>
      </w:r>
      <w:r w:rsidRPr="002151A4">
        <w:rPr>
          <w:rFonts w:cs="Arial"/>
        </w:rPr>
        <w:t xml:space="preserve">that the </w:t>
      </w:r>
      <w:r w:rsidRPr="008530C5">
        <w:rPr>
          <w:rFonts w:cs="Arial"/>
        </w:rPr>
        <w:t xml:space="preserve">account </w:t>
      </w:r>
      <w:r>
        <w:rPr>
          <w:rFonts w:cs="Arial"/>
        </w:rPr>
        <w:t xml:space="preserve">should </w:t>
      </w:r>
      <w:r w:rsidRPr="008530C5">
        <w:rPr>
          <w:rFonts w:cs="Arial"/>
        </w:rPr>
        <w:t>be used for projects that would, in particular</w:t>
      </w:r>
      <w:r w:rsidRPr="002151A4">
        <w:rPr>
          <w:rFonts w:cs="Arial"/>
        </w:rPr>
        <w:t>:</w:t>
      </w:r>
    </w:p>
    <w:p w:rsidR="00574BC4" w:rsidRPr="002151A4" w:rsidRDefault="00574BC4" w:rsidP="00574BC4">
      <w:pPr>
        <w:rPr>
          <w:rFonts w:cs="Arial"/>
        </w:rPr>
      </w:pPr>
    </w:p>
    <w:p w:rsidR="00574BC4" w:rsidRPr="002151A4" w:rsidRDefault="00574BC4" w:rsidP="00574BC4">
      <w:pPr>
        <w:ind w:left="567"/>
        <w:rPr>
          <w:rFonts w:cs="Arial"/>
        </w:rPr>
      </w:pPr>
      <w:r w:rsidRPr="002151A4">
        <w:rPr>
          <w:rFonts w:cs="Arial"/>
        </w:rPr>
        <w:t>(</w:t>
      </w:r>
      <w:proofErr w:type="spellStart"/>
      <w:proofErr w:type="gramStart"/>
      <w:r>
        <w:rPr>
          <w:rFonts w:cs="Arial"/>
        </w:rPr>
        <w:t>i</w:t>
      </w:r>
      <w:proofErr w:type="spellEnd"/>
      <w:proofErr w:type="gramEnd"/>
      <w:r>
        <w:rPr>
          <w:rFonts w:cs="Arial"/>
        </w:rPr>
        <w:t>)</w:t>
      </w:r>
      <w:r>
        <w:rPr>
          <w:rFonts w:cs="Arial"/>
        </w:rPr>
        <w:tab/>
        <w:t xml:space="preserve">support members of the Union, and in particular new members, </w:t>
      </w:r>
      <w:r w:rsidRPr="002151A4">
        <w:rPr>
          <w:rFonts w:cs="Arial"/>
        </w:rPr>
        <w:t>in the operation of their plant variety protection systems;</w:t>
      </w:r>
    </w:p>
    <w:p w:rsidR="00574BC4" w:rsidRPr="002151A4" w:rsidRDefault="00574BC4" w:rsidP="00574BC4">
      <w:pPr>
        <w:ind w:left="567"/>
        <w:rPr>
          <w:rFonts w:cs="Arial"/>
        </w:rPr>
      </w:pPr>
      <w:r w:rsidRPr="002151A4">
        <w:rPr>
          <w:rFonts w:cs="Arial"/>
        </w:rPr>
        <w:t>(ii)</w:t>
      </w:r>
      <w:r w:rsidRPr="002151A4">
        <w:rPr>
          <w:rFonts w:cs="Arial"/>
        </w:rPr>
        <w:tab/>
      </w:r>
      <w:proofErr w:type="gramStart"/>
      <w:r w:rsidRPr="002151A4">
        <w:rPr>
          <w:rFonts w:cs="Arial"/>
        </w:rPr>
        <w:t>extend</w:t>
      </w:r>
      <w:proofErr w:type="gramEnd"/>
      <w:r w:rsidRPr="002151A4">
        <w:rPr>
          <w:rFonts w:cs="Arial"/>
        </w:rPr>
        <w:t xml:space="preserve"> over more than one biennium;  </w:t>
      </w:r>
    </w:p>
    <w:p w:rsidR="00574BC4" w:rsidRPr="002151A4" w:rsidRDefault="00574BC4" w:rsidP="00574BC4">
      <w:pPr>
        <w:ind w:left="567"/>
        <w:rPr>
          <w:rFonts w:cs="Arial"/>
        </w:rPr>
      </w:pPr>
      <w:r w:rsidRPr="002151A4">
        <w:rPr>
          <w:rFonts w:cs="Arial"/>
        </w:rPr>
        <w:t>(iii)</w:t>
      </w:r>
      <w:r w:rsidRPr="002151A4">
        <w:rPr>
          <w:rFonts w:cs="Arial"/>
        </w:rPr>
        <w:tab/>
      </w:r>
      <w:proofErr w:type="gramStart"/>
      <w:r w:rsidRPr="002151A4">
        <w:rPr>
          <w:rFonts w:cs="Arial"/>
        </w:rPr>
        <w:t>provid</w:t>
      </w:r>
      <w:r>
        <w:rPr>
          <w:rFonts w:cs="Arial"/>
        </w:rPr>
        <w:t>e</w:t>
      </w:r>
      <w:proofErr w:type="gramEnd"/>
      <w:r w:rsidRPr="002151A4">
        <w:rPr>
          <w:rFonts w:cs="Arial"/>
        </w:rPr>
        <w:t xml:space="preserve"> long-term benefits to members of the Union;  and</w:t>
      </w:r>
    </w:p>
    <w:p w:rsidR="00574BC4" w:rsidRPr="002151A4" w:rsidRDefault="00574BC4" w:rsidP="00574BC4">
      <w:pPr>
        <w:ind w:left="567"/>
        <w:rPr>
          <w:rFonts w:cs="Arial"/>
        </w:rPr>
      </w:pPr>
      <w:r w:rsidRPr="002151A4">
        <w:rPr>
          <w:rFonts w:cs="Arial"/>
        </w:rPr>
        <w:t>(iv)</w:t>
      </w:r>
      <w:r w:rsidRPr="002151A4">
        <w:rPr>
          <w:rFonts w:cs="Arial"/>
        </w:rPr>
        <w:tab/>
      </w:r>
      <w:proofErr w:type="gramStart"/>
      <w:r w:rsidRPr="002151A4">
        <w:rPr>
          <w:rFonts w:cs="Arial"/>
        </w:rPr>
        <w:t>be</w:t>
      </w:r>
      <w:proofErr w:type="gramEnd"/>
      <w:r w:rsidRPr="002151A4">
        <w:rPr>
          <w:rFonts w:cs="Arial"/>
        </w:rPr>
        <w:t xml:space="preserve"> advanced more rapidly by extra-budgetary funds.</w:t>
      </w:r>
    </w:p>
    <w:p w:rsidR="00574BC4" w:rsidRDefault="00574BC4" w:rsidP="00574BC4">
      <w:pPr>
        <w:rPr>
          <w:rFonts w:cs="Arial"/>
        </w:rPr>
      </w:pPr>
    </w:p>
    <w:p w:rsidR="00574BC4" w:rsidRPr="00E46B69" w:rsidRDefault="00574BC4" w:rsidP="00574BC4">
      <w:pPr>
        <w:rPr>
          <w:sz w:val="18"/>
          <w:szCs w:val="18"/>
        </w:rPr>
      </w:pPr>
      <w:r>
        <w:fldChar w:fldCharType="begin"/>
      </w:r>
      <w:r>
        <w:instrText xml:space="preserve"> AUTONUM  </w:instrText>
      </w:r>
      <w:r>
        <w:fldChar w:fldCharType="end"/>
      </w:r>
      <w:r>
        <w:tab/>
      </w:r>
      <w:r>
        <w:rPr>
          <w:rFonts w:cs="Arial"/>
        </w:rPr>
        <w:t>It was</w:t>
      </w:r>
      <w:r w:rsidRPr="002151A4">
        <w:rPr>
          <w:rFonts w:cs="Arial"/>
        </w:rPr>
        <w:t xml:space="preserve"> </w:t>
      </w:r>
      <w:r>
        <w:rPr>
          <w:rFonts w:cs="Arial"/>
        </w:rPr>
        <w:t xml:space="preserve">further agreed </w:t>
      </w:r>
      <w:r w:rsidRPr="002151A4">
        <w:rPr>
          <w:rFonts w:cs="Arial"/>
        </w:rPr>
        <w:t>that projects to be considered under a special UPOV account</w:t>
      </w:r>
      <w:r>
        <w:rPr>
          <w:rFonts w:cs="Arial"/>
        </w:rPr>
        <w:t xml:space="preserve"> w</w:t>
      </w:r>
      <w:r w:rsidRPr="002151A4">
        <w:rPr>
          <w:rFonts w:cs="Arial"/>
        </w:rPr>
        <w:t xml:space="preserve">ould be presented for consideration by the Consultative Committee prior to submission </w:t>
      </w:r>
      <w:r>
        <w:rPr>
          <w:rFonts w:cs="Arial"/>
        </w:rPr>
        <w:t xml:space="preserve">to the Council for approval.  In that regard, it was agreed that the </w:t>
      </w:r>
      <w:r w:rsidRPr="002105BE">
        <w:rPr>
          <w:rFonts w:cs="Arial"/>
        </w:rPr>
        <w:t>Consultative Committee</w:t>
      </w:r>
      <w:r>
        <w:rPr>
          <w:rFonts w:cs="Arial"/>
        </w:rPr>
        <w:t xml:space="preserve"> would have flexibility to recommend projects that took into account factors other than those identified in (</w:t>
      </w:r>
      <w:proofErr w:type="spellStart"/>
      <w:r>
        <w:rPr>
          <w:rFonts w:cs="Arial"/>
        </w:rPr>
        <w:t>i</w:t>
      </w:r>
      <w:proofErr w:type="spellEnd"/>
      <w:r>
        <w:rPr>
          <w:rFonts w:cs="Arial"/>
        </w:rPr>
        <w:t>) to (iv) above.</w:t>
      </w:r>
    </w:p>
    <w:p w:rsidR="00574BC4" w:rsidRDefault="00574BC4" w:rsidP="00574BC4">
      <w:pPr>
        <w:rPr>
          <w:spacing w:val="-2"/>
        </w:rPr>
      </w:pPr>
    </w:p>
    <w:p w:rsidR="00CF57D7" w:rsidRDefault="00CF57D7" w:rsidP="00574BC4">
      <w:pPr>
        <w:rPr>
          <w:spacing w:val="-2"/>
        </w:rPr>
      </w:pPr>
    </w:p>
    <w:p w:rsidR="00CF57D7" w:rsidRDefault="00CF57D7" w:rsidP="00574BC4">
      <w:pPr>
        <w:rPr>
          <w:spacing w:val="-2"/>
        </w:rPr>
      </w:pPr>
    </w:p>
    <w:p w:rsidR="000536A6" w:rsidRPr="00BC006A" w:rsidRDefault="000536A6" w:rsidP="00D135ED">
      <w:pPr>
        <w:pStyle w:val="Heading1"/>
      </w:pPr>
      <w:bookmarkStart w:id="18" w:name="_Toc381174864"/>
      <w:r w:rsidRPr="00BC006A">
        <w:t>Chair</w:t>
      </w:r>
      <w:r>
        <w:t xml:space="preserve"> of UPOV Bodies</w:t>
      </w:r>
      <w:bookmarkEnd w:id="18"/>
    </w:p>
    <w:p w:rsidR="000536A6" w:rsidRDefault="000536A6" w:rsidP="000536A6">
      <w:pPr>
        <w:keepNext/>
        <w:rPr>
          <w:rFonts w:cs="Arial"/>
        </w:rPr>
      </w:pPr>
    </w:p>
    <w:p w:rsidR="000536A6" w:rsidRPr="000D584B" w:rsidRDefault="000536A6" w:rsidP="000536A6">
      <w:pPr>
        <w:rPr>
          <w:rFonts w:cs="Arial"/>
        </w:rPr>
      </w:pPr>
      <w:r>
        <w:rPr>
          <w:rFonts w:cs="Arial"/>
        </w:rPr>
        <w:fldChar w:fldCharType="begin"/>
      </w:r>
      <w:r>
        <w:rPr>
          <w:rFonts w:cs="Arial"/>
        </w:rPr>
        <w:instrText xml:space="preserve"> AUTONUM  </w:instrText>
      </w:r>
      <w:r>
        <w:rPr>
          <w:rFonts w:cs="Arial"/>
        </w:rPr>
        <w:fldChar w:fldCharType="end"/>
      </w:r>
      <w:r>
        <w:rPr>
          <w:rFonts w:cs="Arial"/>
        </w:rPr>
        <w:tab/>
      </w:r>
      <w:r w:rsidR="00F50671">
        <w:t xml:space="preserve">At its </w:t>
      </w:r>
      <w:r w:rsidR="00F50671" w:rsidRPr="001C553C">
        <w:t>forty-seventh ordinary session</w:t>
      </w:r>
      <w:r w:rsidR="00F50671">
        <w:t>, held in Geneva on</w:t>
      </w:r>
      <w:r w:rsidR="00F50671" w:rsidRPr="001C553C">
        <w:t xml:space="preserve"> October 24, 2013</w:t>
      </w:r>
      <w:r w:rsidR="00F50671">
        <w:t>, t</w:t>
      </w:r>
      <w:r w:rsidRPr="000D584B">
        <w:rPr>
          <w:rFonts w:cs="Arial"/>
        </w:rPr>
        <w:t xml:space="preserve">he Council elected, in each case for a term of three years ending with the </w:t>
      </w:r>
      <w:r>
        <w:rPr>
          <w:rFonts w:cs="Arial"/>
        </w:rPr>
        <w:t>fiftieth</w:t>
      </w:r>
      <w:r w:rsidRPr="000D584B">
        <w:rPr>
          <w:rFonts w:cs="Arial"/>
        </w:rPr>
        <w:t xml:space="preserve"> ordinary</w:t>
      </w:r>
      <w:r>
        <w:rPr>
          <w:rFonts w:cs="Arial"/>
        </w:rPr>
        <w:t xml:space="preserve"> session of the Council, in 2016</w:t>
      </w:r>
      <w:r w:rsidR="00932B5A">
        <w:rPr>
          <w:rFonts w:cs="Arial"/>
        </w:rPr>
        <w:t xml:space="preserve"> </w:t>
      </w:r>
      <w:r w:rsidR="00932B5A">
        <w:t>(see document C/47/19 “Report on the Decisions”, paragraph 53)</w:t>
      </w:r>
      <w:r w:rsidRPr="000D584B">
        <w:rPr>
          <w:rFonts w:cs="Arial"/>
        </w:rPr>
        <w:t>:</w:t>
      </w:r>
    </w:p>
    <w:p w:rsidR="000536A6" w:rsidRPr="000D584B" w:rsidRDefault="000536A6" w:rsidP="000536A6">
      <w:pPr>
        <w:rPr>
          <w:rFonts w:cs="Arial"/>
        </w:rPr>
      </w:pPr>
    </w:p>
    <w:p w:rsidR="000536A6" w:rsidRPr="000D584B" w:rsidRDefault="000536A6" w:rsidP="000536A6">
      <w:pPr>
        <w:rPr>
          <w:rFonts w:cs="Arial"/>
        </w:rPr>
      </w:pPr>
      <w:r w:rsidRPr="000D584B">
        <w:rPr>
          <w:rFonts w:cs="Arial"/>
        </w:rPr>
        <w:tab/>
      </w:r>
      <w:r w:rsidRPr="00B926B8">
        <w:rPr>
          <w:rFonts w:cs="Arial"/>
        </w:rPr>
        <w:t>(a)</w:t>
      </w:r>
      <w:r w:rsidRPr="00B926B8">
        <w:rPr>
          <w:rFonts w:cs="Arial"/>
        </w:rPr>
        <w:tab/>
        <w:t xml:space="preserve">Mr. Martin </w:t>
      </w:r>
      <w:proofErr w:type="spellStart"/>
      <w:r w:rsidRPr="00B926B8">
        <w:rPr>
          <w:rFonts w:cs="Arial"/>
        </w:rPr>
        <w:t>Ekvad</w:t>
      </w:r>
      <w:proofErr w:type="spellEnd"/>
      <w:r w:rsidRPr="00B926B8">
        <w:rPr>
          <w:rFonts w:cs="Arial"/>
        </w:rPr>
        <w:t xml:space="preserve"> (European Union), Chair of the Administrative and Legal Committee;</w:t>
      </w:r>
      <w:r w:rsidRPr="000D584B">
        <w:rPr>
          <w:rFonts w:cs="Arial"/>
        </w:rPr>
        <w:t xml:space="preserve"> </w:t>
      </w:r>
    </w:p>
    <w:p w:rsidR="000536A6" w:rsidRPr="000D584B" w:rsidRDefault="000536A6" w:rsidP="000536A6">
      <w:pPr>
        <w:rPr>
          <w:rFonts w:cs="Arial"/>
        </w:rPr>
      </w:pPr>
    </w:p>
    <w:p w:rsidR="000536A6" w:rsidRPr="000D584B" w:rsidRDefault="000536A6" w:rsidP="000536A6">
      <w:pPr>
        <w:rPr>
          <w:rFonts w:cs="Arial"/>
        </w:rPr>
      </w:pPr>
      <w:r w:rsidRPr="000D584B">
        <w:rPr>
          <w:rFonts w:cs="Arial"/>
        </w:rPr>
        <w:tab/>
      </w:r>
      <w:r w:rsidRPr="00D8514C">
        <w:rPr>
          <w:rFonts w:cs="Arial"/>
        </w:rPr>
        <w:t>(b)</w:t>
      </w:r>
      <w:r w:rsidRPr="00D8514C">
        <w:rPr>
          <w:rFonts w:cs="Arial"/>
        </w:rPr>
        <w:tab/>
        <w:t xml:space="preserve">Mr. James M. </w:t>
      </w:r>
      <w:proofErr w:type="spellStart"/>
      <w:r w:rsidRPr="00D8514C">
        <w:rPr>
          <w:rFonts w:cs="Arial"/>
        </w:rPr>
        <w:t>Onsando</w:t>
      </w:r>
      <w:proofErr w:type="spellEnd"/>
      <w:r w:rsidRPr="00D8514C">
        <w:rPr>
          <w:rFonts w:cs="Arial"/>
        </w:rPr>
        <w:t xml:space="preserve"> (Kenya), Vice-Chair of the Administrative and Legal Committee</w:t>
      </w:r>
      <w:r>
        <w:rPr>
          <w:rFonts w:cs="Arial"/>
        </w:rPr>
        <w:t>;</w:t>
      </w:r>
    </w:p>
    <w:p w:rsidR="000536A6" w:rsidRPr="000D584B" w:rsidRDefault="000536A6" w:rsidP="000536A6">
      <w:pPr>
        <w:rPr>
          <w:rFonts w:cs="Arial"/>
        </w:rPr>
      </w:pPr>
    </w:p>
    <w:p w:rsidR="000536A6" w:rsidRPr="004F5736" w:rsidRDefault="000536A6" w:rsidP="000536A6">
      <w:pPr>
        <w:rPr>
          <w:rFonts w:cs="Arial"/>
        </w:rPr>
      </w:pPr>
      <w:r w:rsidRPr="000D584B">
        <w:rPr>
          <w:rFonts w:cs="Arial"/>
        </w:rPr>
        <w:tab/>
      </w:r>
      <w:r w:rsidRPr="004F5736">
        <w:rPr>
          <w:rFonts w:cs="Arial"/>
        </w:rPr>
        <w:t>(c)</w:t>
      </w:r>
      <w:r w:rsidRPr="004F5736">
        <w:rPr>
          <w:rFonts w:cs="Arial"/>
        </w:rPr>
        <w:tab/>
        <w:t xml:space="preserve">Mr. Alejandro </w:t>
      </w:r>
      <w:r w:rsidR="00581540">
        <w:rPr>
          <w:rFonts w:cs="Arial"/>
        </w:rPr>
        <w:t xml:space="preserve">F. </w:t>
      </w:r>
      <w:proofErr w:type="spellStart"/>
      <w:r w:rsidRPr="004F5736">
        <w:rPr>
          <w:rFonts w:cs="Arial"/>
        </w:rPr>
        <w:t>Barrientos-Priego</w:t>
      </w:r>
      <w:proofErr w:type="spellEnd"/>
      <w:r w:rsidRPr="004F5736">
        <w:rPr>
          <w:rFonts w:cs="Arial"/>
        </w:rPr>
        <w:t xml:space="preserve"> (Mexico), Chair of the Technical Committee; and</w:t>
      </w:r>
    </w:p>
    <w:p w:rsidR="000536A6" w:rsidRPr="004F5736" w:rsidRDefault="000536A6" w:rsidP="000536A6">
      <w:pPr>
        <w:rPr>
          <w:rFonts w:cs="Arial"/>
        </w:rPr>
      </w:pPr>
    </w:p>
    <w:p w:rsidR="000536A6" w:rsidRDefault="000536A6" w:rsidP="000536A6">
      <w:pPr>
        <w:rPr>
          <w:rFonts w:cs="Arial"/>
        </w:rPr>
      </w:pPr>
      <w:r w:rsidRPr="004F5736">
        <w:rPr>
          <w:rFonts w:cs="Arial"/>
        </w:rPr>
        <w:tab/>
        <w:t>(d)</w:t>
      </w:r>
      <w:r w:rsidRPr="004F5736">
        <w:rPr>
          <w:rFonts w:cs="Arial"/>
        </w:rPr>
        <w:tab/>
        <w:t xml:space="preserve">Mr. </w:t>
      </w:r>
      <w:proofErr w:type="spellStart"/>
      <w:r w:rsidRPr="004F5736">
        <w:rPr>
          <w:rFonts w:cs="Arial"/>
        </w:rPr>
        <w:t>Kees</w:t>
      </w:r>
      <w:proofErr w:type="spellEnd"/>
      <w:r w:rsidRPr="004F5736">
        <w:rPr>
          <w:rFonts w:cs="Arial"/>
        </w:rPr>
        <w:t xml:space="preserve"> van </w:t>
      </w:r>
      <w:proofErr w:type="spellStart"/>
      <w:r w:rsidRPr="004F5736">
        <w:rPr>
          <w:rFonts w:cs="Arial"/>
        </w:rPr>
        <w:t>Ettekoven</w:t>
      </w:r>
      <w:proofErr w:type="spellEnd"/>
      <w:r w:rsidRPr="004F5736">
        <w:rPr>
          <w:rFonts w:cs="Arial"/>
        </w:rPr>
        <w:t xml:space="preserve"> (Netherlands), Vice-Chair of the Technical Committee.</w:t>
      </w:r>
    </w:p>
    <w:p w:rsidR="000536A6" w:rsidRDefault="000536A6" w:rsidP="000536A6"/>
    <w:p w:rsidR="00CF57D7" w:rsidRPr="00FB3EE9" w:rsidRDefault="00CF57D7" w:rsidP="000536A6"/>
    <w:p w:rsidR="000536A6" w:rsidRPr="00956FAB" w:rsidRDefault="000536A6" w:rsidP="00807F07"/>
    <w:p w:rsidR="007930E0" w:rsidRDefault="007930E0" w:rsidP="00D135ED">
      <w:pPr>
        <w:pStyle w:val="Heading1"/>
      </w:pPr>
      <w:bookmarkStart w:id="19" w:name="_Toc381174865"/>
      <w:r>
        <w:t>UPOV Collection</w:t>
      </w:r>
      <w:bookmarkEnd w:id="19"/>
    </w:p>
    <w:p w:rsidR="007930E0" w:rsidRDefault="007930E0" w:rsidP="00D135ED">
      <w:pPr>
        <w:pStyle w:val="Heading1"/>
      </w:pPr>
    </w:p>
    <w:p w:rsidR="007930E0" w:rsidRPr="007930E0" w:rsidRDefault="001C553C" w:rsidP="007930E0">
      <w:r>
        <w:fldChar w:fldCharType="begin"/>
      </w:r>
      <w:r>
        <w:instrText xml:space="preserve"> AUTONUM  </w:instrText>
      </w:r>
      <w:r>
        <w:fldChar w:fldCharType="end"/>
      </w:r>
      <w:r>
        <w:tab/>
      </w:r>
      <w:r w:rsidR="007930E0">
        <w:t xml:space="preserve">The following documents in the UPOV Collection have been adopted since the forty-ninth session of the </w:t>
      </w:r>
      <w:r w:rsidR="007930E0" w:rsidRPr="007930E0">
        <w:t>Technical Committee</w:t>
      </w:r>
      <w:r w:rsidR="007930E0">
        <w:t xml:space="preserve">, held in Geneva from </w:t>
      </w:r>
      <w:r w:rsidR="007930E0" w:rsidRPr="007930E0">
        <w:t>March 18 to March 20, 2013</w:t>
      </w:r>
      <w:r w:rsidR="007930E0">
        <w:t>:</w:t>
      </w:r>
      <w:r w:rsidR="007930E0" w:rsidRPr="007930E0">
        <w:t xml:space="preserve">  </w:t>
      </w:r>
    </w:p>
    <w:p w:rsidR="007930E0" w:rsidRDefault="007930E0" w:rsidP="007930E0"/>
    <w:p w:rsidR="00CF57D7" w:rsidRDefault="00CF57D7" w:rsidP="007930E0"/>
    <w:p w:rsidR="00CA449D" w:rsidRDefault="00CA449D" w:rsidP="006A4A4E">
      <w:pPr>
        <w:pStyle w:val="Heading2"/>
      </w:pPr>
      <w:bookmarkStart w:id="20" w:name="_Toc381174866"/>
      <w:r>
        <w:t>New adopt</w:t>
      </w:r>
      <w:r w:rsidR="00ED14A6">
        <w:t>ed documents</w:t>
      </w:r>
      <w:bookmarkEnd w:id="20"/>
    </w:p>
    <w:p w:rsidR="00CA449D" w:rsidRDefault="00CA449D" w:rsidP="007930E0"/>
    <w:p w:rsidR="007C6459" w:rsidRPr="00A20A11" w:rsidRDefault="007C6459" w:rsidP="00CA449D">
      <w:pPr>
        <w:pStyle w:val="Heading3"/>
        <w:rPr>
          <w:snapToGrid w:val="0"/>
        </w:rPr>
      </w:pPr>
      <w:bookmarkStart w:id="21" w:name="_Toc381174867"/>
      <w:r w:rsidRPr="00A20A11">
        <w:rPr>
          <w:snapToGrid w:val="0"/>
        </w:rPr>
        <w:t>UPOV/INF document series</w:t>
      </w:r>
      <w:bookmarkEnd w:id="21"/>
    </w:p>
    <w:p w:rsidR="007C6459" w:rsidRPr="00A20A11" w:rsidRDefault="007C6459" w:rsidP="007C6459">
      <w:pPr>
        <w:rPr>
          <w:snapToGrid w:val="0"/>
          <w:szCs w:val="24"/>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851"/>
        <w:gridCol w:w="4961"/>
        <w:gridCol w:w="1843"/>
      </w:tblGrid>
      <w:tr w:rsidR="007C6459" w:rsidRPr="00A20A11" w:rsidTr="00A9076F">
        <w:trPr>
          <w:cantSplit/>
          <w:tblHeader/>
        </w:trPr>
        <w:tc>
          <w:tcPr>
            <w:tcW w:w="1985" w:type="dxa"/>
            <w:shd w:val="pct10" w:color="auto" w:fill="auto"/>
          </w:tcPr>
          <w:p w:rsidR="007C6459" w:rsidRPr="00A20A11" w:rsidRDefault="007C6459" w:rsidP="00B252EB">
            <w:pPr>
              <w:spacing w:before="60" w:after="60"/>
              <w:rPr>
                <w:b/>
                <w:sz w:val="22"/>
                <w:szCs w:val="22"/>
              </w:rPr>
            </w:pPr>
            <w:r w:rsidRPr="00A20A11">
              <w:rPr>
                <w:b/>
                <w:szCs w:val="22"/>
              </w:rPr>
              <w:t>Document reference</w:t>
            </w:r>
          </w:p>
        </w:tc>
        <w:tc>
          <w:tcPr>
            <w:tcW w:w="851" w:type="dxa"/>
            <w:shd w:val="pct10" w:color="auto" w:fill="auto"/>
          </w:tcPr>
          <w:p w:rsidR="007C6459" w:rsidRPr="00A20A11" w:rsidRDefault="007C6459" w:rsidP="00B252EB">
            <w:pPr>
              <w:spacing w:before="60" w:after="60"/>
              <w:rPr>
                <w:b/>
                <w:sz w:val="22"/>
                <w:szCs w:val="22"/>
              </w:rPr>
            </w:pPr>
            <w:r w:rsidRPr="00A20A11">
              <w:rPr>
                <w:b/>
                <w:szCs w:val="22"/>
              </w:rPr>
              <w:t>Issue</w:t>
            </w:r>
          </w:p>
        </w:tc>
        <w:tc>
          <w:tcPr>
            <w:tcW w:w="4961" w:type="dxa"/>
            <w:shd w:val="pct10" w:color="auto" w:fill="auto"/>
          </w:tcPr>
          <w:p w:rsidR="007C6459" w:rsidRPr="00A20A11" w:rsidRDefault="007C6459" w:rsidP="00B252EB">
            <w:pPr>
              <w:spacing w:before="60" w:after="60"/>
              <w:rPr>
                <w:b/>
                <w:sz w:val="22"/>
                <w:szCs w:val="22"/>
              </w:rPr>
            </w:pPr>
            <w:r w:rsidRPr="00A20A11">
              <w:rPr>
                <w:b/>
                <w:szCs w:val="22"/>
              </w:rPr>
              <w:t>Title</w:t>
            </w:r>
          </w:p>
        </w:tc>
        <w:tc>
          <w:tcPr>
            <w:tcW w:w="1843" w:type="dxa"/>
            <w:shd w:val="pct10" w:color="auto" w:fill="auto"/>
          </w:tcPr>
          <w:p w:rsidR="007C6459" w:rsidRPr="00A20A11" w:rsidRDefault="007C6459" w:rsidP="00B252EB">
            <w:pPr>
              <w:spacing w:before="60" w:after="60"/>
              <w:rPr>
                <w:b/>
                <w:szCs w:val="22"/>
              </w:rPr>
            </w:pPr>
            <w:r w:rsidRPr="00A20A11">
              <w:rPr>
                <w:b/>
                <w:szCs w:val="22"/>
              </w:rPr>
              <w:t>Issue date</w:t>
            </w:r>
          </w:p>
        </w:tc>
      </w:tr>
      <w:tr w:rsidR="007C6459" w:rsidRPr="00A20A11" w:rsidTr="00A9076F">
        <w:trPr>
          <w:cantSplit/>
        </w:trPr>
        <w:tc>
          <w:tcPr>
            <w:tcW w:w="1985" w:type="dxa"/>
          </w:tcPr>
          <w:p w:rsidR="007C6459" w:rsidRPr="00A20A11" w:rsidRDefault="007C6459" w:rsidP="00B252EB">
            <w:pPr>
              <w:spacing w:before="40" w:after="40"/>
              <w:rPr>
                <w:sz w:val="22"/>
                <w:szCs w:val="22"/>
              </w:rPr>
            </w:pPr>
            <w:r w:rsidRPr="00A20A11">
              <w:rPr>
                <w:szCs w:val="22"/>
              </w:rPr>
              <w:t>UPOV/INF-EXN</w:t>
            </w:r>
          </w:p>
        </w:tc>
        <w:tc>
          <w:tcPr>
            <w:tcW w:w="851" w:type="dxa"/>
          </w:tcPr>
          <w:p w:rsidR="007C6459" w:rsidRPr="00A20A11" w:rsidRDefault="007C6459" w:rsidP="00B252EB">
            <w:pPr>
              <w:spacing w:before="40" w:after="40"/>
              <w:rPr>
                <w:sz w:val="22"/>
                <w:szCs w:val="22"/>
              </w:rPr>
            </w:pPr>
            <w:r w:rsidRPr="00A20A11">
              <w:rPr>
                <w:szCs w:val="22"/>
              </w:rPr>
              <w:t>/5</w:t>
            </w:r>
          </w:p>
        </w:tc>
        <w:tc>
          <w:tcPr>
            <w:tcW w:w="4961" w:type="dxa"/>
          </w:tcPr>
          <w:p w:rsidR="007C6459" w:rsidRPr="00A20A11" w:rsidRDefault="007C6459" w:rsidP="00B252EB">
            <w:pPr>
              <w:spacing w:before="40" w:after="40"/>
              <w:jc w:val="left"/>
              <w:rPr>
                <w:sz w:val="22"/>
                <w:szCs w:val="22"/>
              </w:rPr>
            </w:pPr>
            <w:r w:rsidRPr="00A20A11">
              <w:rPr>
                <w:szCs w:val="22"/>
              </w:rPr>
              <w:t>List of UPOV/INF-EXN Documents and Latest Issue Dates</w:t>
            </w:r>
          </w:p>
        </w:tc>
        <w:tc>
          <w:tcPr>
            <w:tcW w:w="1843" w:type="dxa"/>
          </w:tcPr>
          <w:p w:rsidR="007C6459" w:rsidRPr="00A20A11" w:rsidRDefault="007C6459" w:rsidP="00B252EB">
            <w:pPr>
              <w:spacing w:before="40" w:after="40"/>
              <w:jc w:val="left"/>
              <w:rPr>
                <w:szCs w:val="22"/>
              </w:rPr>
            </w:pPr>
            <w:r w:rsidRPr="00A20A11">
              <w:rPr>
                <w:szCs w:val="22"/>
              </w:rPr>
              <w:t>October 24, 2013</w:t>
            </w:r>
          </w:p>
        </w:tc>
      </w:tr>
      <w:tr w:rsidR="007C6459" w:rsidRPr="00A20A11" w:rsidTr="00A9076F">
        <w:trPr>
          <w:cantSplit/>
        </w:trPr>
        <w:tc>
          <w:tcPr>
            <w:tcW w:w="1985" w:type="dxa"/>
          </w:tcPr>
          <w:p w:rsidR="007C6459" w:rsidRPr="00A20A11" w:rsidRDefault="007C6459" w:rsidP="00B252EB">
            <w:pPr>
              <w:spacing w:before="40" w:after="40"/>
              <w:rPr>
                <w:sz w:val="22"/>
                <w:szCs w:val="22"/>
              </w:rPr>
            </w:pPr>
            <w:r w:rsidRPr="00A20A11">
              <w:rPr>
                <w:szCs w:val="22"/>
              </w:rPr>
              <w:t>UPOV/INF/4</w:t>
            </w:r>
          </w:p>
        </w:tc>
        <w:tc>
          <w:tcPr>
            <w:tcW w:w="851" w:type="dxa"/>
          </w:tcPr>
          <w:p w:rsidR="007C6459" w:rsidRPr="00A20A11" w:rsidRDefault="007C6459" w:rsidP="00B252EB">
            <w:pPr>
              <w:spacing w:before="40" w:after="40"/>
              <w:rPr>
                <w:sz w:val="22"/>
                <w:szCs w:val="22"/>
              </w:rPr>
            </w:pPr>
            <w:r w:rsidRPr="00A20A11">
              <w:rPr>
                <w:szCs w:val="22"/>
              </w:rPr>
              <w:t>/3</w:t>
            </w:r>
          </w:p>
        </w:tc>
        <w:tc>
          <w:tcPr>
            <w:tcW w:w="4961" w:type="dxa"/>
          </w:tcPr>
          <w:p w:rsidR="007C6459" w:rsidRPr="00A20A11" w:rsidRDefault="007C6459" w:rsidP="00B252EB">
            <w:pPr>
              <w:spacing w:before="40" w:after="40"/>
              <w:jc w:val="left"/>
              <w:rPr>
                <w:sz w:val="22"/>
                <w:szCs w:val="22"/>
              </w:rPr>
            </w:pPr>
            <w:r w:rsidRPr="00A20A11">
              <w:rPr>
                <w:szCs w:val="22"/>
              </w:rPr>
              <w:t>Financial Regulations and Rules of UPOV</w:t>
            </w:r>
          </w:p>
        </w:tc>
        <w:tc>
          <w:tcPr>
            <w:tcW w:w="1843" w:type="dxa"/>
          </w:tcPr>
          <w:p w:rsidR="007C6459" w:rsidRPr="00A20A11" w:rsidRDefault="007C6459" w:rsidP="00B252EB">
            <w:pPr>
              <w:spacing w:before="40" w:after="40"/>
              <w:jc w:val="left"/>
              <w:rPr>
                <w:szCs w:val="22"/>
              </w:rPr>
            </w:pPr>
            <w:r w:rsidRPr="00A20A11">
              <w:rPr>
                <w:szCs w:val="22"/>
              </w:rPr>
              <w:t>March 22, 2013</w:t>
            </w:r>
          </w:p>
        </w:tc>
      </w:tr>
      <w:tr w:rsidR="007C6459" w:rsidRPr="00A20A11" w:rsidTr="00A9076F">
        <w:trPr>
          <w:cantSplit/>
        </w:trPr>
        <w:tc>
          <w:tcPr>
            <w:tcW w:w="1985" w:type="dxa"/>
          </w:tcPr>
          <w:p w:rsidR="007C6459" w:rsidRPr="00A20A11" w:rsidRDefault="007C6459" w:rsidP="00B252EB">
            <w:pPr>
              <w:spacing w:before="40" w:after="40"/>
              <w:rPr>
                <w:sz w:val="22"/>
                <w:szCs w:val="22"/>
              </w:rPr>
            </w:pPr>
            <w:r w:rsidRPr="00A20A11">
              <w:rPr>
                <w:szCs w:val="22"/>
              </w:rPr>
              <w:t>UPOV/INF/6</w:t>
            </w:r>
          </w:p>
        </w:tc>
        <w:tc>
          <w:tcPr>
            <w:tcW w:w="851" w:type="dxa"/>
          </w:tcPr>
          <w:p w:rsidR="007C6459" w:rsidRPr="00A20A11" w:rsidRDefault="007C6459" w:rsidP="00B252EB">
            <w:pPr>
              <w:spacing w:before="40" w:after="40"/>
              <w:rPr>
                <w:sz w:val="22"/>
                <w:szCs w:val="22"/>
              </w:rPr>
            </w:pPr>
            <w:r w:rsidRPr="00A20A11">
              <w:rPr>
                <w:szCs w:val="22"/>
              </w:rPr>
              <w:t>/3</w:t>
            </w:r>
          </w:p>
        </w:tc>
        <w:tc>
          <w:tcPr>
            <w:tcW w:w="4961" w:type="dxa"/>
          </w:tcPr>
          <w:p w:rsidR="007C6459" w:rsidRPr="00A20A11" w:rsidRDefault="007C6459" w:rsidP="00B252EB">
            <w:pPr>
              <w:spacing w:before="40" w:after="40"/>
              <w:jc w:val="left"/>
              <w:rPr>
                <w:sz w:val="22"/>
                <w:szCs w:val="22"/>
              </w:rPr>
            </w:pPr>
            <w:r w:rsidRPr="00A20A11">
              <w:rPr>
                <w:szCs w:val="22"/>
              </w:rPr>
              <w:t>Guidance for the preparation of laws based on the 1991 Act of the UPOV Convention</w:t>
            </w:r>
          </w:p>
        </w:tc>
        <w:tc>
          <w:tcPr>
            <w:tcW w:w="1843" w:type="dxa"/>
          </w:tcPr>
          <w:p w:rsidR="007C6459" w:rsidRPr="00A20A11" w:rsidRDefault="007C6459" w:rsidP="00B252EB">
            <w:pPr>
              <w:spacing w:before="40" w:after="40"/>
              <w:jc w:val="left"/>
              <w:rPr>
                <w:szCs w:val="22"/>
              </w:rPr>
            </w:pPr>
            <w:r w:rsidRPr="00A20A11">
              <w:rPr>
                <w:szCs w:val="22"/>
              </w:rPr>
              <w:t>October 24, 2013</w:t>
            </w:r>
          </w:p>
        </w:tc>
      </w:tr>
      <w:tr w:rsidR="007C6459" w:rsidRPr="00A20A11" w:rsidTr="00A9076F">
        <w:trPr>
          <w:cantSplit/>
        </w:trPr>
        <w:tc>
          <w:tcPr>
            <w:tcW w:w="1985" w:type="dxa"/>
          </w:tcPr>
          <w:p w:rsidR="007C6459" w:rsidRPr="00A20A11" w:rsidRDefault="007C6459" w:rsidP="00B252EB">
            <w:pPr>
              <w:spacing w:before="40" w:after="40"/>
              <w:rPr>
                <w:sz w:val="22"/>
                <w:szCs w:val="22"/>
              </w:rPr>
            </w:pPr>
            <w:r w:rsidRPr="00A20A11">
              <w:rPr>
                <w:szCs w:val="22"/>
              </w:rPr>
              <w:t>UPOV/INF/15</w:t>
            </w:r>
          </w:p>
        </w:tc>
        <w:tc>
          <w:tcPr>
            <w:tcW w:w="851" w:type="dxa"/>
          </w:tcPr>
          <w:p w:rsidR="007C6459" w:rsidRPr="00A20A11" w:rsidRDefault="007C6459" w:rsidP="00B252EB">
            <w:pPr>
              <w:spacing w:before="40" w:after="40"/>
              <w:rPr>
                <w:sz w:val="22"/>
                <w:szCs w:val="22"/>
              </w:rPr>
            </w:pPr>
            <w:r w:rsidRPr="00A20A11">
              <w:rPr>
                <w:szCs w:val="22"/>
              </w:rPr>
              <w:t>/2</w:t>
            </w:r>
          </w:p>
        </w:tc>
        <w:tc>
          <w:tcPr>
            <w:tcW w:w="4961" w:type="dxa"/>
          </w:tcPr>
          <w:p w:rsidR="007C6459" w:rsidRPr="00A20A11" w:rsidRDefault="007C6459" w:rsidP="00B252EB">
            <w:pPr>
              <w:spacing w:before="40" w:after="40"/>
              <w:jc w:val="left"/>
              <w:rPr>
                <w:sz w:val="22"/>
                <w:szCs w:val="22"/>
              </w:rPr>
            </w:pPr>
            <w:r w:rsidRPr="00A20A11">
              <w:rPr>
                <w:szCs w:val="22"/>
              </w:rPr>
              <w:t>Guidance for members of UPOV on ongoing obligations and related notifications and on the provision of information to facilitate cooperation</w:t>
            </w:r>
          </w:p>
        </w:tc>
        <w:tc>
          <w:tcPr>
            <w:tcW w:w="1843" w:type="dxa"/>
          </w:tcPr>
          <w:p w:rsidR="007C6459" w:rsidRPr="00A20A11" w:rsidRDefault="007C6459" w:rsidP="00B252EB">
            <w:pPr>
              <w:spacing w:before="40" w:after="40"/>
              <w:jc w:val="left"/>
              <w:rPr>
                <w:szCs w:val="22"/>
              </w:rPr>
            </w:pPr>
            <w:r w:rsidRPr="00A20A11">
              <w:rPr>
                <w:szCs w:val="22"/>
              </w:rPr>
              <w:t>March 22, 2013</w:t>
            </w:r>
          </w:p>
        </w:tc>
      </w:tr>
      <w:tr w:rsidR="007C6459" w:rsidRPr="00A20A11" w:rsidTr="00A9076F">
        <w:trPr>
          <w:cantSplit/>
        </w:trPr>
        <w:tc>
          <w:tcPr>
            <w:tcW w:w="1985" w:type="dxa"/>
          </w:tcPr>
          <w:p w:rsidR="007C6459" w:rsidRPr="00A20A11" w:rsidRDefault="007C6459" w:rsidP="00B252EB">
            <w:pPr>
              <w:spacing w:before="40" w:after="40"/>
              <w:rPr>
                <w:sz w:val="22"/>
                <w:szCs w:val="22"/>
              </w:rPr>
            </w:pPr>
            <w:r w:rsidRPr="00A20A11">
              <w:rPr>
                <w:szCs w:val="22"/>
              </w:rPr>
              <w:t>UPOV/INF/16</w:t>
            </w:r>
          </w:p>
        </w:tc>
        <w:tc>
          <w:tcPr>
            <w:tcW w:w="851" w:type="dxa"/>
          </w:tcPr>
          <w:p w:rsidR="007C6459" w:rsidRPr="00A20A11" w:rsidRDefault="007C6459" w:rsidP="00B252EB">
            <w:pPr>
              <w:spacing w:before="40" w:after="40"/>
              <w:rPr>
                <w:sz w:val="22"/>
                <w:szCs w:val="22"/>
              </w:rPr>
            </w:pPr>
            <w:r w:rsidRPr="00A20A11">
              <w:rPr>
                <w:szCs w:val="22"/>
              </w:rPr>
              <w:t>/3</w:t>
            </w:r>
          </w:p>
        </w:tc>
        <w:tc>
          <w:tcPr>
            <w:tcW w:w="4961" w:type="dxa"/>
          </w:tcPr>
          <w:p w:rsidR="007C6459" w:rsidRPr="00A20A11" w:rsidRDefault="007C6459" w:rsidP="00B252EB">
            <w:pPr>
              <w:spacing w:before="40" w:after="40"/>
              <w:jc w:val="left"/>
              <w:rPr>
                <w:sz w:val="22"/>
                <w:szCs w:val="22"/>
              </w:rPr>
            </w:pPr>
            <w:r w:rsidRPr="00A20A11">
              <w:rPr>
                <w:szCs w:val="22"/>
              </w:rPr>
              <w:t>Exchangeable Software</w:t>
            </w:r>
          </w:p>
        </w:tc>
        <w:tc>
          <w:tcPr>
            <w:tcW w:w="1843" w:type="dxa"/>
          </w:tcPr>
          <w:p w:rsidR="007C6459" w:rsidRPr="00A20A11" w:rsidRDefault="007C6459" w:rsidP="00B252EB">
            <w:pPr>
              <w:spacing w:before="40" w:after="40"/>
              <w:jc w:val="left"/>
              <w:rPr>
                <w:szCs w:val="22"/>
              </w:rPr>
            </w:pPr>
            <w:r w:rsidRPr="00A20A11">
              <w:rPr>
                <w:szCs w:val="22"/>
              </w:rPr>
              <w:t>October 24, 2013</w:t>
            </w:r>
          </w:p>
        </w:tc>
      </w:tr>
    </w:tbl>
    <w:p w:rsidR="007C6459" w:rsidRPr="00A20A11" w:rsidRDefault="007C6459" w:rsidP="00F81AF1">
      <w:pPr>
        <w:spacing w:line="360" w:lineRule="auto"/>
        <w:rPr>
          <w:snapToGrid w:val="0"/>
        </w:rPr>
      </w:pPr>
    </w:p>
    <w:p w:rsidR="007C6459" w:rsidRPr="00A20A11" w:rsidRDefault="007C6459" w:rsidP="00CA449D">
      <w:pPr>
        <w:pStyle w:val="Heading3"/>
        <w:rPr>
          <w:snapToGrid w:val="0"/>
        </w:rPr>
      </w:pPr>
      <w:bookmarkStart w:id="22" w:name="_Toc381174868"/>
      <w:r w:rsidRPr="00A20A11">
        <w:rPr>
          <w:snapToGrid w:val="0"/>
        </w:rPr>
        <w:t>Explanatory notes on the UPOV Convention</w:t>
      </w:r>
      <w:bookmarkEnd w:id="22"/>
    </w:p>
    <w:p w:rsidR="007C6459" w:rsidRPr="00A20A11" w:rsidRDefault="007C6459" w:rsidP="007C6459">
      <w:pPr>
        <w:keepNext/>
        <w:rPr>
          <w:snapToGrid w:val="0"/>
          <w:szCs w:val="24"/>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4"/>
        <w:gridCol w:w="851"/>
        <w:gridCol w:w="4962"/>
        <w:gridCol w:w="1843"/>
      </w:tblGrid>
      <w:tr w:rsidR="007C6459" w:rsidRPr="00A20A11" w:rsidTr="00A9076F">
        <w:tc>
          <w:tcPr>
            <w:tcW w:w="1984" w:type="dxa"/>
            <w:shd w:val="pct10" w:color="auto" w:fill="auto"/>
          </w:tcPr>
          <w:p w:rsidR="007C6459" w:rsidRPr="00A20A11" w:rsidRDefault="007C6459" w:rsidP="00B252EB">
            <w:pPr>
              <w:spacing w:before="60" w:after="60"/>
              <w:rPr>
                <w:b/>
                <w:sz w:val="22"/>
                <w:szCs w:val="22"/>
              </w:rPr>
            </w:pPr>
            <w:r w:rsidRPr="00A20A11">
              <w:rPr>
                <w:b/>
                <w:szCs w:val="22"/>
              </w:rPr>
              <w:t>Document reference</w:t>
            </w:r>
          </w:p>
        </w:tc>
        <w:tc>
          <w:tcPr>
            <w:tcW w:w="851" w:type="dxa"/>
            <w:shd w:val="pct10" w:color="auto" w:fill="auto"/>
          </w:tcPr>
          <w:p w:rsidR="007C6459" w:rsidRPr="00A20A11" w:rsidRDefault="007C6459" w:rsidP="00B252EB">
            <w:pPr>
              <w:spacing w:before="60" w:after="60"/>
              <w:rPr>
                <w:b/>
                <w:sz w:val="22"/>
                <w:szCs w:val="22"/>
              </w:rPr>
            </w:pPr>
            <w:r w:rsidRPr="00A20A11">
              <w:rPr>
                <w:b/>
                <w:szCs w:val="22"/>
              </w:rPr>
              <w:t>Issue</w:t>
            </w:r>
          </w:p>
        </w:tc>
        <w:tc>
          <w:tcPr>
            <w:tcW w:w="4962" w:type="dxa"/>
            <w:shd w:val="pct10" w:color="auto" w:fill="auto"/>
          </w:tcPr>
          <w:p w:rsidR="007C6459" w:rsidRPr="00A20A11" w:rsidRDefault="007C6459" w:rsidP="00B252EB">
            <w:pPr>
              <w:spacing w:before="60" w:after="60"/>
              <w:jc w:val="left"/>
              <w:rPr>
                <w:b/>
                <w:sz w:val="22"/>
                <w:szCs w:val="22"/>
              </w:rPr>
            </w:pPr>
            <w:r w:rsidRPr="00A20A11">
              <w:rPr>
                <w:b/>
                <w:szCs w:val="22"/>
              </w:rPr>
              <w:t>Title</w:t>
            </w:r>
          </w:p>
        </w:tc>
        <w:tc>
          <w:tcPr>
            <w:tcW w:w="1843" w:type="dxa"/>
            <w:shd w:val="pct10" w:color="auto" w:fill="auto"/>
          </w:tcPr>
          <w:p w:rsidR="007C6459" w:rsidRPr="00A20A11" w:rsidRDefault="007C6459" w:rsidP="00B252EB">
            <w:pPr>
              <w:spacing w:before="60" w:after="60"/>
              <w:rPr>
                <w:b/>
                <w:szCs w:val="22"/>
              </w:rPr>
            </w:pPr>
            <w:r w:rsidRPr="00A20A11">
              <w:rPr>
                <w:b/>
                <w:szCs w:val="22"/>
              </w:rPr>
              <w:t>Issue date</w:t>
            </w:r>
          </w:p>
        </w:tc>
      </w:tr>
      <w:tr w:rsidR="00B252EB" w:rsidRPr="00A20A11" w:rsidTr="00A9076F">
        <w:trPr>
          <w:cantSplit/>
        </w:trPr>
        <w:tc>
          <w:tcPr>
            <w:tcW w:w="1984" w:type="dxa"/>
          </w:tcPr>
          <w:p w:rsidR="00B252EB" w:rsidRPr="00A20A11" w:rsidRDefault="00B252EB" w:rsidP="00C75FF4">
            <w:pPr>
              <w:spacing w:before="40" w:after="40"/>
              <w:rPr>
                <w:sz w:val="22"/>
                <w:szCs w:val="22"/>
              </w:rPr>
            </w:pPr>
            <w:r w:rsidRPr="00A20A11">
              <w:rPr>
                <w:szCs w:val="22"/>
              </w:rPr>
              <w:t>UPOV/EXN/BRD</w:t>
            </w:r>
          </w:p>
        </w:tc>
        <w:tc>
          <w:tcPr>
            <w:tcW w:w="851" w:type="dxa"/>
          </w:tcPr>
          <w:p w:rsidR="00B252EB" w:rsidRPr="00A20A11" w:rsidRDefault="00B252EB" w:rsidP="00C75FF4">
            <w:pPr>
              <w:spacing w:before="40" w:after="40"/>
              <w:rPr>
                <w:sz w:val="22"/>
                <w:szCs w:val="22"/>
              </w:rPr>
            </w:pPr>
            <w:r>
              <w:rPr>
                <w:szCs w:val="22"/>
              </w:rPr>
              <w:t>/1</w:t>
            </w:r>
          </w:p>
        </w:tc>
        <w:tc>
          <w:tcPr>
            <w:tcW w:w="4962" w:type="dxa"/>
          </w:tcPr>
          <w:p w:rsidR="00B252EB" w:rsidRPr="00A20A11" w:rsidRDefault="00B252EB" w:rsidP="00C75FF4">
            <w:pPr>
              <w:spacing w:before="40" w:after="40"/>
              <w:jc w:val="left"/>
              <w:rPr>
                <w:sz w:val="22"/>
                <w:szCs w:val="22"/>
              </w:rPr>
            </w:pPr>
            <w:r w:rsidRPr="00A20A11">
              <w:rPr>
                <w:szCs w:val="22"/>
              </w:rPr>
              <w:t>Explanatory Notes on the Definition of Breeder under the 1991 Act of the UPOV Convention</w:t>
            </w:r>
          </w:p>
        </w:tc>
        <w:tc>
          <w:tcPr>
            <w:tcW w:w="1843" w:type="dxa"/>
          </w:tcPr>
          <w:p w:rsidR="00B252EB" w:rsidRPr="00A20A11" w:rsidRDefault="00B252EB" w:rsidP="00C75FF4">
            <w:pPr>
              <w:spacing w:before="40" w:after="40"/>
              <w:jc w:val="left"/>
              <w:rPr>
                <w:szCs w:val="22"/>
              </w:rPr>
            </w:pPr>
            <w:r w:rsidRPr="00A20A11">
              <w:rPr>
                <w:szCs w:val="22"/>
              </w:rPr>
              <w:t>October 24, 2013</w:t>
            </w:r>
          </w:p>
        </w:tc>
      </w:tr>
      <w:tr w:rsidR="00B252EB" w:rsidRPr="00A20A11" w:rsidTr="00A9076F">
        <w:trPr>
          <w:cantSplit/>
        </w:trPr>
        <w:tc>
          <w:tcPr>
            <w:tcW w:w="1984" w:type="dxa"/>
          </w:tcPr>
          <w:p w:rsidR="00B252EB" w:rsidRPr="00A20A11" w:rsidRDefault="00B252EB" w:rsidP="00C75FF4">
            <w:pPr>
              <w:spacing w:before="40" w:after="40"/>
              <w:rPr>
                <w:color w:val="000000"/>
                <w:szCs w:val="22"/>
              </w:rPr>
            </w:pPr>
            <w:r w:rsidRPr="00A20A11">
              <w:rPr>
                <w:color w:val="000000"/>
                <w:szCs w:val="22"/>
              </w:rPr>
              <w:t>UPOV/EXN/HRV</w:t>
            </w:r>
          </w:p>
        </w:tc>
        <w:tc>
          <w:tcPr>
            <w:tcW w:w="851" w:type="dxa"/>
          </w:tcPr>
          <w:p w:rsidR="00B252EB" w:rsidRPr="00A20A11" w:rsidRDefault="00B252EB" w:rsidP="00C75FF4">
            <w:pPr>
              <w:spacing w:before="40" w:after="40"/>
              <w:rPr>
                <w:szCs w:val="22"/>
              </w:rPr>
            </w:pPr>
            <w:r w:rsidRPr="00A20A11">
              <w:rPr>
                <w:szCs w:val="22"/>
              </w:rPr>
              <w:t>/1</w:t>
            </w:r>
          </w:p>
        </w:tc>
        <w:tc>
          <w:tcPr>
            <w:tcW w:w="4962" w:type="dxa"/>
          </w:tcPr>
          <w:p w:rsidR="00B252EB" w:rsidRPr="00A20A11" w:rsidRDefault="00B252EB" w:rsidP="00C75FF4">
            <w:pPr>
              <w:spacing w:before="40" w:after="40"/>
              <w:jc w:val="left"/>
              <w:rPr>
                <w:color w:val="000000"/>
                <w:szCs w:val="22"/>
              </w:rPr>
            </w:pPr>
            <w:r w:rsidRPr="00A20A11">
              <w:rPr>
                <w:color w:val="000000"/>
                <w:szCs w:val="22"/>
              </w:rPr>
              <w:t>Explanatory Notes on Acts in Respect of Harvested Material under the 1991 Act of the UPOV Convention</w:t>
            </w:r>
          </w:p>
        </w:tc>
        <w:tc>
          <w:tcPr>
            <w:tcW w:w="1843" w:type="dxa"/>
          </w:tcPr>
          <w:p w:rsidR="00B252EB" w:rsidRPr="00A20A11" w:rsidRDefault="00B252EB" w:rsidP="00C75FF4">
            <w:pPr>
              <w:spacing w:before="40" w:after="40"/>
              <w:rPr>
                <w:szCs w:val="22"/>
              </w:rPr>
            </w:pPr>
            <w:r w:rsidRPr="00A20A11">
              <w:rPr>
                <w:szCs w:val="22"/>
              </w:rPr>
              <w:t>October 24, 2013</w:t>
            </w:r>
          </w:p>
        </w:tc>
      </w:tr>
    </w:tbl>
    <w:p w:rsidR="007C6459" w:rsidRPr="00A20A11" w:rsidRDefault="007C6459" w:rsidP="007C6459">
      <w:pPr>
        <w:rPr>
          <w:snapToGrid w:val="0"/>
          <w:szCs w:val="24"/>
        </w:rPr>
      </w:pPr>
    </w:p>
    <w:p w:rsidR="007C6459" w:rsidRPr="00A20A11" w:rsidRDefault="007C6459" w:rsidP="00CA449D">
      <w:pPr>
        <w:pStyle w:val="Heading3"/>
        <w:rPr>
          <w:snapToGrid w:val="0"/>
        </w:rPr>
      </w:pPr>
      <w:bookmarkStart w:id="23" w:name="_Toc381174869"/>
      <w:r w:rsidRPr="00A20A11">
        <w:rPr>
          <w:snapToGrid w:val="0"/>
        </w:rPr>
        <w:t>TGP documents</w:t>
      </w:r>
      <w:bookmarkEnd w:id="23"/>
    </w:p>
    <w:p w:rsidR="007C6459" w:rsidRPr="00A20A11" w:rsidRDefault="007C6459" w:rsidP="007C6459">
      <w:pPr>
        <w:keepNext/>
        <w:ind w:left="567" w:hanging="567"/>
        <w:rPr>
          <w:snapToGrid w:val="0"/>
          <w:szCs w:val="24"/>
        </w:rPr>
      </w:pPr>
    </w:p>
    <w:tbl>
      <w:tblPr>
        <w:tblW w:w="9640"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1985"/>
        <w:gridCol w:w="851"/>
        <w:gridCol w:w="4961"/>
        <w:gridCol w:w="1843"/>
      </w:tblGrid>
      <w:tr w:rsidR="007C6459" w:rsidRPr="00A20A11" w:rsidTr="00A9076F">
        <w:trPr>
          <w:cantSplit/>
          <w:tblHeader/>
        </w:trPr>
        <w:tc>
          <w:tcPr>
            <w:tcW w:w="1985" w:type="dxa"/>
            <w:shd w:val="pct5" w:color="auto" w:fill="FFFFFF"/>
          </w:tcPr>
          <w:p w:rsidR="007C6459" w:rsidRPr="00A20A11" w:rsidRDefault="007C6459" w:rsidP="00CF57D7">
            <w:pPr>
              <w:keepNext/>
              <w:spacing w:before="60" w:after="60"/>
              <w:rPr>
                <w:b/>
                <w:sz w:val="22"/>
                <w:szCs w:val="22"/>
              </w:rPr>
            </w:pPr>
            <w:r w:rsidRPr="00A20A11">
              <w:rPr>
                <w:b/>
                <w:szCs w:val="22"/>
              </w:rPr>
              <w:t>Document reference</w:t>
            </w:r>
          </w:p>
        </w:tc>
        <w:tc>
          <w:tcPr>
            <w:tcW w:w="851" w:type="dxa"/>
            <w:shd w:val="pct5" w:color="auto" w:fill="FFFFFF"/>
          </w:tcPr>
          <w:p w:rsidR="007C6459" w:rsidRPr="00A20A11" w:rsidRDefault="007C6459" w:rsidP="00CF57D7">
            <w:pPr>
              <w:keepNext/>
              <w:spacing w:before="60" w:after="60"/>
              <w:rPr>
                <w:b/>
                <w:sz w:val="22"/>
                <w:szCs w:val="22"/>
              </w:rPr>
            </w:pPr>
            <w:r w:rsidRPr="00A20A11">
              <w:rPr>
                <w:b/>
                <w:szCs w:val="22"/>
              </w:rPr>
              <w:t>Issue</w:t>
            </w:r>
          </w:p>
        </w:tc>
        <w:tc>
          <w:tcPr>
            <w:tcW w:w="4961" w:type="dxa"/>
            <w:shd w:val="pct5" w:color="auto" w:fill="FFFFFF"/>
          </w:tcPr>
          <w:p w:rsidR="007C6459" w:rsidRPr="00A20A11" w:rsidRDefault="007C6459" w:rsidP="00CF57D7">
            <w:pPr>
              <w:keepNext/>
              <w:spacing w:before="60" w:after="60"/>
              <w:rPr>
                <w:b/>
                <w:sz w:val="22"/>
                <w:szCs w:val="22"/>
              </w:rPr>
            </w:pPr>
            <w:r w:rsidRPr="00A20A11">
              <w:rPr>
                <w:b/>
                <w:szCs w:val="22"/>
              </w:rPr>
              <w:t>Title</w:t>
            </w:r>
          </w:p>
        </w:tc>
        <w:tc>
          <w:tcPr>
            <w:tcW w:w="1843" w:type="dxa"/>
            <w:shd w:val="pct5" w:color="auto" w:fill="FFFFFF"/>
          </w:tcPr>
          <w:p w:rsidR="007C6459" w:rsidRPr="00A20A11" w:rsidRDefault="007C6459" w:rsidP="00CF57D7">
            <w:pPr>
              <w:keepNext/>
              <w:spacing w:before="60" w:after="60"/>
              <w:rPr>
                <w:b/>
                <w:sz w:val="22"/>
                <w:szCs w:val="22"/>
              </w:rPr>
            </w:pPr>
            <w:r w:rsidRPr="00A20A11">
              <w:rPr>
                <w:b/>
                <w:szCs w:val="22"/>
              </w:rPr>
              <w:t>Issue date</w:t>
            </w:r>
          </w:p>
        </w:tc>
      </w:tr>
      <w:tr w:rsidR="007C6459" w:rsidRPr="00A20A11" w:rsidTr="00A9076F">
        <w:trPr>
          <w:cantSplit/>
        </w:trPr>
        <w:tc>
          <w:tcPr>
            <w:tcW w:w="1985" w:type="dxa"/>
          </w:tcPr>
          <w:p w:rsidR="007C6459" w:rsidRPr="00A20A11" w:rsidRDefault="007C6459" w:rsidP="00CF57D7">
            <w:pPr>
              <w:keepNext/>
              <w:spacing w:before="40" w:after="40"/>
              <w:rPr>
                <w:rFonts w:cs="Arial"/>
              </w:rPr>
            </w:pPr>
            <w:r w:rsidRPr="00A20A11">
              <w:rPr>
                <w:rFonts w:cs="Arial"/>
              </w:rPr>
              <w:t>TGP/0</w:t>
            </w:r>
          </w:p>
        </w:tc>
        <w:tc>
          <w:tcPr>
            <w:tcW w:w="851" w:type="dxa"/>
          </w:tcPr>
          <w:p w:rsidR="007C6459" w:rsidRPr="00A20A11" w:rsidRDefault="007C6459" w:rsidP="00CF57D7">
            <w:pPr>
              <w:keepNext/>
              <w:spacing w:before="40" w:after="40"/>
              <w:rPr>
                <w:rFonts w:cs="Arial"/>
              </w:rPr>
            </w:pPr>
            <w:r w:rsidRPr="00A20A11">
              <w:rPr>
                <w:rFonts w:cs="Arial"/>
              </w:rPr>
              <w:t>/6</w:t>
            </w:r>
          </w:p>
        </w:tc>
        <w:tc>
          <w:tcPr>
            <w:tcW w:w="4961" w:type="dxa"/>
          </w:tcPr>
          <w:p w:rsidR="007C6459" w:rsidRPr="00A20A11" w:rsidRDefault="007C6459" w:rsidP="00CF57D7">
            <w:pPr>
              <w:keepNext/>
              <w:spacing w:before="40" w:after="40"/>
              <w:jc w:val="left"/>
              <w:rPr>
                <w:rFonts w:cs="Arial"/>
              </w:rPr>
            </w:pPr>
            <w:r w:rsidRPr="00A20A11">
              <w:rPr>
                <w:rFonts w:cs="Arial"/>
              </w:rPr>
              <w:t>List of TGP Documents and Latest Issue Dates</w:t>
            </w:r>
          </w:p>
        </w:tc>
        <w:tc>
          <w:tcPr>
            <w:tcW w:w="1843" w:type="dxa"/>
          </w:tcPr>
          <w:p w:rsidR="007C6459" w:rsidRPr="00A20A11" w:rsidRDefault="007C6459" w:rsidP="00CF57D7">
            <w:pPr>
              <w:keepNext/>
              <w:spacing w:before="40" w:after="40"/>
              <w:jc w:val="left"/>
              <w:rPr>
                <w:rFonts w:cs="Arial"/>
              </w:rPr>
            </w:pPr>
            <w:r w:rsidRPr="00A20A11">
              <w:rPr>
                <w:rFonts w:cs="Arial"/>
              </w:rPr>
              <w:t>October 24, 2013</w:t>
            </w:r>
          </w:p>
        </w:tc>
      </w:tr>
      <w:tr w:rsidR="007C6459" w:rsidRPr="00A20A11" w:rsidTr="00A9076F">
        <w:trPr>
          <w:cantSplit/>
          <w:trHeight w:val="173"/>
        </w:trPr>
        <w:tc>
          <w:tcPr>
            <w:tcW w:w="1985" w:type="dxa"/>
            <w:vMerge w:val="restart"/>
          </w:tcPr>
          <w:p w:rsidR="007C6459" w:rsidRPr="00A20A11" w:rsidRDefault="007C6459" w:rsidP="00CF57D7">
            <w:pPr>
              <w:keepNext/>
              <w:spacing w:before="40" w:after="40"/>
              <w:rPr>
                <w:sz w:val="22"/>
                <w:szCs w:val="22"/>
              </w:rPr>
            </w:pPr>
            <w:r w:rsidRPr="00A20A11">
              <w:rPr>
                <w:szCs w:val="22"/>
              </w:rPr>
              <w:t>TGP/14</w:t>
            </w:r>
          </w:p>
        </w:tc>
        <w:tc>
          <w:tcPr>
            <w:tcW w:w="851" w:type="dxa"/>
            <w:vMerge w:val="restart"/>
          </w:tcPr>
          <w:p w:rsidR="007C6459" w:rsidRPr="00A20A11" w:rsidRDefault="007C6459" w:rsidP="00CF57D7">
            <w:pPr>
              <w:keepNext/>
              <w:spacing w:before="40" w:after="40"/>
              <w:rPr>
                <w:sz w:val="22"/>
                <w:szCs w:val="22"/>
              </w:rPr>
            </w:pPr>
            <w:r w:rsidRPr="00A20A11">
              <w:rPr>
                <w:szCs w:val="22"/>
              </w:rPr>
              <w:t>/2</w:t>
            </w:r>
          </w:p>
        </w:tc>
        <w:tc>
          <w:tcPr>
            <w:tcW w:w="4961" w:type="dxa"/>
          </w:tcPr>
          <w:p w:rsidR="007C6459" w:rsidRPr="00A20A11" w:rsidRDefault="007C6459" w:rsidP="00CF57D7">
            <w:pPr>
              <w:keepNext/>
              <w:spacing w:before="40" w:after="40"/>
              <w:jc w:val="left"/>
              <w:rPr>
                <w:sz w:val="22"/>
                <w:szCs w:val="22"/>
              </w:rPr>
            </w:pPr>
            <w:r w:rsidRPr="00A20A11">
              <w:rPr>
                <w:szCs w:val="22"/>
              </w:rPr>
              <w:t>Glossary of Terms Used in UPOV Documents</w:t>
            </w:r>
          </w:p>
        </w:tc>
        <w:tc>
          <w:tcPr>
            <w:tcW w:w="1843" w:type="dxa"/>
            <w:vMerge w:val="restart"/>
          </w:tcPr>
          <w:p w:rsidR="007C6459" w:rsidRPr="00A20A11" w:rsidRDefault="007C6459" w:rsidP="00CF57D7">
            <w:pPr>
              <w:keepNext/>
              <w:spacing w:before="40" w:after="40"/>
              <w:rPr>
                <w:sz w:val="22"/>
                <w:szCs w:val="22"/>
              </w:rPr>
            </w:pPr>
            <w:r w:rsidRPr="00A20A11">
              <w:rPr>
                <w:szCs w:val="22"/>
              </w:rPr>
              <w:t>October 24, 2013</w:t>
            </w:r>
          </w:p>
        </w:tc>
      </w:tr>
      <w:tr w:rsidR="007C6459" w:rsidRPr="00A20A11" w:rsidTr="00A9076F">
        <w:trPr>
          <w:cantSplit/>
          <w:trHeight w:val="172"/>
        </w:trPr>
        <w:tc>
          <w:tcPr>
            <w:tcW w:w="1985" w:type="dxa"/>
            <w:vMerge/>
          </w:tcPr>
          <w:p w:rsidR="007C6459" w:rsidRPr="00A20A11" w:rsidRDefault="007C6459" w:rsidP="00B252EB">
            <w:pPr>
              <w:spacing w:before="40" w:after="40"/>
              <w:rPr>
                <w:szCs w:val="22"/>
              </w:rPr>
            </w:pPr>
          </w:p>
        </w:tc>
        <w:tc>
          <w:tcPr>
            <w:tcW w:w="851" w:type="dxa"/>
            <w:vMerge/>
          </w:tcPr>
          <w:p w:rsidR="007C6459" w:rsidRPr="00A20A11" w:rsidRDefault="007C6459" w:rsidP="00B252EB">
            <w:pPr>
              <w:spacing w:before="40" w:after="40"/>
              <w:rPr>
                <w:szCs w:val="22"/>
              </w:rPr>
            </w:pPr>
          </w:p>
        </w:tc>
        <w:tc>
          <w:tcPr>
            <w:tcW w:w="4961" w:type="dxa"/>
          </w:tcPr>
          <w:p w:rsidR="007C6459" w:rsidRPr="00A20A11" w:rsidRDefault="007C6459" w:rsidP="00B252EB">
            <w:pPr>
              <w:spacing w:before="40" w:after="40"/>
              <w:jc w:val="left"/>
              <w:rPr>
                <w:szCs w:val="22"/>
              </w:rPr>
            </w:pPr>
            <w:r w:rsidRPr="00A20A11">
              <w:rPr>
                <w:szCs w:val="22"/>
              </w:rPr>
              <w:t>Supplementary document to TGP/14 “Glossary of Terms Used in UPOV Documents”</w:t>
            </w:r>
          </w:p>
        </w:tc>
        <w:tc>
          <w:tcPr>
            <w:tcW w:w="1843" w:type="dxa"/>
            <w:vMerge/>
          </w:tcPr>
          <w:p w:rsidR="007C6459" w:rsidRPr="00A20A11" w:rsidRDefault="007C6459" w:rsidP="00B252EB">
            <w:pPr>
              <w:spacing w:before="40" w:after="40"/>
              <w:rPr>
                <w:szCs w:val="22"/>
              </w:rPr>
            </w:pPr>
          </w:p>
        </w:tc>
      </w:tr>
      <w:tr w:rsidR="007C6459" w:rsidRPr="00A20A11" w:rsidTr="00A9076F">
        <w:trPr>
          <w:cantSplit/>
        </w:trPr>
        <w:tc>
          <w:tcPr>
            <w:tcW w:w="1985" w:type="dxa"/>
          </w:tcPr>
          <w:p w:rsidR="007C6459" w:rsidRPr="00A20A11" w:rsidRDefault="007C6459" w:rsidP="00B252EB">
            <w:pPr>
              <w:spacing w:before="40" w:after="40"/>
              <w:rPr>
                <w:sz w:val="22"/>
                <w:szCs w:val="22"/>
              </w:rPr>
            </w:pPr>
            <w:r w:rsidRPr="00A20A11">
              <w:rPr>
                <w:szCs w:val="22"/>
              </w:rPr>
              <w:t>TGP/15</w:t>
            </w:r>
          </w:p>
        </w:tc>
        <w:tc>
          <w:tcPr>
            <w:tcW w:w="851" w:type="dxa"/>
          </w:tcPr>
          <w:p w:rsidR="007C6459" w:rsidRPr="00A20A11" w:rsidRDefault="007C6459" w:rsidP="00B252EB">
            <w:pPr>
              <w:spacing w:before="40" w:after="40"/>
              <w:rPr>
                <w:sz w:val="22"/>
                <w:szCs w:val="22"/>
              </w:rPr>
            </w:pPr>
            <w:r w:rsidRPr="00A20A11">
              <w:rPr>
                <w:sz w:val="22"/>
                <w:szCs w:val="22"/>
              </w:rPr>
              <w:t>/1</w:t>
            </w:r>
          </w:p>
        </w:tc>
        <w:tc>
          <w:tcPr>
            <w:tcW w:w="4961" w:type="dxa"/>
          </w:tcPr>
          <w:p w:rsidR="007C6459" w:rsidRPr="00A20A11" w:rsidRDefault="007C6459" w:rsidP="00B252EB">
            <w:pPr>
              <w:spacing w:before="40" w:after="40"/>
              <w:jc w:val="left"/>
              <w:rPr>
                <w:sz w:val="22"/>
                <w:szCs w:val="22"/>
              </w:rPr>
            </w:pPr>
            <w:r w:rsidRPr="00A20A11">
              <w:rPr>
                <w:szCs w:val="22"/>
              </w:rPr>
              <w:t>Guidance on the Use of Biochemical and Molecular Markers in the Examination of Distinctness, Uniformity and Stability (DUS)</w:t>
            </w:r>
          </w:p>
        </w:tc>
        <w:tc>
          <w:tcPr>
            <w:tcW w:w="1843" w:type="dxa"/>
          </w:tcPr>
          <w:p w:rsidR="007C6459" w:rsidRPr="00A20A11" w:rsidRDefault="007C6459" w:rsidP="00B252EB">
            <w:pPr>
              <w:spacing w:before="40" w:after="40"/>
              <w:rPr>
                <w:szCs w:val="22"/>
              </w:rPr>
            </w:pPr>
            <w:r w:rsidRPr="00A20A11">
              <w:rPr>
                <w:szCs w:val="22"/>
              </w:rPr>
              <w:t>October 24, 2013</w:t>
            </w:r>
          </w:p>
        </w:tc>
      </w:tr>
    </w:tbl>
    <w:p w:rsidR="00CF57D7" w:rsidRDefault="00CF57D7" w:rsidP="00CF57D7"/>
    <w:p w:rsidR="00CF57D7" w:rsidRDefault="00CF57D7" w:rsidP="00CF57D7"/>
    <w:p w:rsidR="00CA449D" w:rsidRDefault="00CA449D" w:rsidP="006A4A4E">
      <w:pPr>
        <w:pStyle w:val="Heading2"/>
      </w:pPr>
      <w:bookmarkStart w:id="24" w:name="_Toc381174870"/>
      <w:r>
        <w:t xml:space="preserve">Program for Development of </w:t>
      </w:r>
      <w:r w:rsidRPr="00CA449D">
        <w:t>Explanatory notes on the UPOV Convention</w:t>
      </w:r>
      <w:bookmarkEnd w:id="24"/>
    </w:p>
    <w:p w:rsidR="00CA449D" w:rsidRDefault="00CA449D" w:rsidP="006A4A4E">
      <w:pPr>
        <w:pStyle w:val="Heading2"/>
      </w:pPr>
    </w:p>
    <w:p w:rsidR="00CA449D" w:rsidRDefault="00CA449D" w:rsidP="00CA449D">
      <w:r>
        <w:fldChar w:fldCharType="begin"/>
      </w:r>
      <w:r>
        <w:instrText xml:space="preserve"> AUTONUM  </w:instrText>
      </w:r>
      <w:r>
        <w:fldChar w:fldCharType="end"/>
      </w:r>
      <w:r>
        <w:tab/>
        <w:t>Subject to approval by the Administrative and Legal Committee (CAJ) at its sixty-ninth session, to be held on April 10, 201</w:t>
      </w:r>
      <w:r w:rsidR="00B81DB7">
        <w:t>4</w:t>
      </w:r>
      <w:r>
        <w:t>, the CAJ-AG plans to consider the following</w:t>
      </w:r>
      <w:r w:rsidR="00524050">
        <w:t xml:space="preserve"> items</w:t>
      </w:r>
      <w:r>
        <w:t xml:space="preserve"> at its ninth session, to be held in October 2014:</w:t>
      </w:r>
    </w:p>
    <w:p w:rsidR="00CA449D" w:rsidRDefault="00CA449D" w:rsidP="00CA449D"/>
    <w:p w:rsidR="00340861" w:rsidRDefault="00CA449D" w:rsidP="00CA449D">
      <w:pPr>
        <w:pStyle w:val="ListParagraph"/>
        <w:numPr>
          <w:ilvl w:val="0"/>
          <w:numId w:val="3"/>
        </w:numPr>
        <w:ind w:left="567"/>
      </w:pPr>
      <w:r>
        <w:t>Explanatory Notes on Essentially Derived Varieties under the 1991 Act of the UPOV Convention</w:t>
      </w:r>
      <w:r w:rsidR="00340861">
        <w:t xml:space="preserve"> (Revision)</w:t>
      </w:r>
    </w:p>
    <w:p w:rsidR="00340861" w:rsidRDefault="00CA449D" w:rsidP="00CA449D">
      <w:pPr>
        <w:pStyle w:val="ListParagraph"/>
        <w:numPr>
          <w:ilvl w:val="0"/>
          <w:numId w:val="3"/>
        </w:numPr>
        <w:ind w:left="567"/>
      </w:pPr>
      <w:r>
        <w:t xml:space="preserve">Explanatory Notes on Propagation and Propagating Material </w:t>
      </w:r>
      <w:r w:rsidR="00261FE9">
        <w:t>under the UPOV Convention</w:t>
      </w:r>
    </w:p>
    <w:p w:rsidR="00340861" w:rsidRDefault="00CA449D" w:rsidP="00CA449D">
      <w:pPr>
        <w:pStyle w:val="ListParagraph"/>
        <w:numPr>
          <w:ilvl w:val="0"/>
          <w:numId w:val="3"/>
        </w:numPr>
        <w:ind w:left="567"/>
      </w:pPr>
      <w:r>
        <w:t>Explanatory Notes on Acts in Respect of Harvested Material</w:t>
      </w:r>
      <w:r w:rsidR="00261FE9">
        <w:t xml:space="preserve"> under the 1991 Act of the UPOV </w:t>
      </w:r>
      <w:r>
        <w:t>Convention</w:t>
      </w:r>
      <w:r w:rsidR="00340861">
        <w:t xml:space="preserve"> (Revision)</w:t>
      </w:r>
    </w:p>
    <w:p w:rsidR="00340861" w:rsidRDefault="00261FE9" w:rsidP="00CA449D">
      <w:pPr>
        <w:pStyle w:val="ListParagraph"/>
        <w:numPr>
          <w:ilvl w:val="0"/>
          <w:numId w:val="3"/>
        </w:numPr>
        <w:ind w:left="567"/>
      </w:pPr>
      <w:r>
        <w:t xml:space="preserve">Explanatory Notes on Cancellation </w:t>
      </w:r>
      <w:r w:rsidR="00CA449D">
        <w:t xml:space="preserve">of the </w:t>
      </w:r>
      <w:r>
        <w:t>Breeder's Right under the UPOV Convention (Revision)</w:t>
      </w:r>
    </w:p>
    <w:p w:rsidR="00340861" w:rsidRDefault="00261FE9" w:rsidP="00CA449D">
      <w:pPr>
        <w:pStyle w:val="ListParagraph"/>
        <w:numPr>
          <w:ilvl w:val="0"/>
          <w:numId w:val="3"/>
        </w:numPr>
        <w:ind w:left="567"/>
      </w:pPr>
      <w:r>
        <w:t xml:space="preserve">Explanatory Notes on Nullity </w:t>
      </w:r>
      <w:r w:rsidR="00CA449D">
        <w:t xml:space="preserve">of the </w:t>
      </w:r>
      <w:r>
        <w:t>Breeder's Right</w:t>
      </w:r>
      <w:r w:rsidRPr="00261FE9">
        <w:t xml:space="preserve"> </w:t>
      </w:r>
      <w:r>
        <w:t>under the UPOV Convention (Revision)</w:t>
      </w:r>
    </w:p>
    <w:p w:rsidR="00340861" w:rsidRDefault="00261FE9" w:rsidP="00CA449D">
      <w:pPr>
        <w:pStyle w:val="ListParagraph"/>
        <w:numPr>
          <w:ilvl w:val="0"/>
          <w:numId w:val="3"/>
        </w:numPr>
        <w:ind w:left="567"/>
      </w:pPr>
      <w:r>
        <w:t>Explanatory Notes on Variety Denominations</w:t>
      </w:r>
      <w:r w:rsidRPr="00261FE9">
        <w:t xml:space="preserve"> </w:t>
      </w:r>
      <w:r>
        <w:t>under the UPOV Convention (Revision)</w:t>
      </w:r>
    </w:p>
    <w:p w:rsidR="00261FE9" w:rsidRDefault="00261FE9" w:rsidP="00261FE9">
      <w:pPr>
        <w:pStyle w:val="ListParagraph"/>
        <w:numPr>
          <w:ilvl w:val="0"/>
          <w:numId w:val="3"/>
        </w:numPr>
        <w:ind w:left="567"/>
      </w:pPr>
      <w:r>
        <w:t>Explanatory Notes on Provisional Protection</w:t>
      </w:r>
      <w:r w:rsidRPr="00261FE9">
        <w:t xml:space="preserve"> </w:t>
      </w:r>
      <w:r>
        <w:t>under the UPOV Convention (Revision)</w:t>
      </w:r>
    </w:p>
    <w:p w:rsidR="00340861" w:rsidRDefault="00CA449D" w:rsidP="00CA449D">
      <w:pPr>
        <w:pStyle w:val="ListParagraph"/>
        <w:numPr>
          <w:ilvl w:val="0"/>
          <w:numId w:val="3"/>
        </w:numPr>
        <w:ind w:left="567"/>
      </w:pPr>
      <w:r>
        <w:t>Matters concerning variety descriptions</w:t>
      </w:r>
    </w:p>
    <w:p w:rsidR="00CA449D" w:rsidRDefault="00340861" w:rsidP="00340861">
      <w:pPr>
        <w:pStyle w:val="ListParagraph"/>
        <w:numPr>
          <w:ilvl w:val="0"/>
          <w:numId w:val="3"/>
        </w:numPr>
        <w:ind w:left="567"/>
      </w:pPr>
      <w:r>
        <w:t>P</w:t>
      </w:r>
      <w:r w:rsidR="00CA449D">
        <w:t xml:space="preserve">ossible alternative dispute settlement mechanisms for </w:t>
      </w:r>
      <w:r w:rsidR="00261FE9">
        <w:t>essentially derived varieties</w:t>
      </w:r>
    </w:p>
    <w:p w:rsidR="00CA449D" w:rsidRDefault="00CA449D" w:rsidP="00340861"/>
    <w:p w:rsidR="00340861" w:rsidRPr="00CA449D" w:rsidRDefault="00340861" w:rsidP="00340861"/>
    <w:p w:rsidR="00F27C33" w:rsidRDefault="00F27C33" w:rsidP="006A4A4E">
      <w:pPr>
        <w:pStyle w:val="Heading2"/>
      </w:pPr>
      <w:bookmarkStart w:id="25" w:name="_Toc381174871"/>
      <w:r>
        <w:t xml:space="preserve">UPOV </w:t>
      </w:r>
      <w:proofErr w:type="spellStart"/>
      <w:r>
        <w:t>Lex</w:t>
      </w:r>
      <w:bookmarkEnd w:id="25"/>
      <w:proofErr w:type="spellEnd"/>
    </w:p>
    <w:p w:rsidR="00F27C33" w:rsidRDefault="00F27C33" w:rsidP="00F27C33"/>
    <w:p w:rsidR="008E734A" w:rsidRDefault="00F27C33" w:rsidP="00505A73">
      <w:r w:rsidRPr="009B0042">
        <w:fldChar w:fldCharType="begin"/>
      </w:r>
      <w:r w:rsidRPr="009B0042">
        <w:instrText xml:space="preserve"> AUTONUM  </w:instrText>
      </w:r>
      <w:r w:rsidRPr="009B0042">
        <w:fldChar w:fldCharType="end"/>
      </w:r>
      <w:r w:rsidRPr="009B0042">
        <w:tab/>
        <w:t xml:space="preserve">UPOV </w:t>
      </w:r>
      <w:proofErr w:type="spellStart"/>
      <w:r w:rsidRPr="009B0042">
        <w:t>Lex</w:t>
      </w:r>
      <w:proofErr w:type="spellEnd"/>
      <w:r w:rsidRPr="009B0042">
        <w:t xml:space="preserve"> contains the legislation of members of the Union that has been notified in accordance with the UPOV Convention, the UPOV Convention notifications concerning individual members of the Union (e.g. accessions, ratifications) and the text of the UPOV Convention and its Acts.  UPOV </w:t>
      </w:r>
      <w:proofErr w:type="spellStart"/>
      <w:r w:rsidRPr="009B0042">
        <w:t>Lex</w:t>
      </w:r>
      <w:proofErr w:type="spellEnd"/>
      <w:r w:rsidRPr="009B0042">
        <w:t xml:space="preserve"> </w:t>
      </w:r>
      <w:r w:rsidR="00AE7054" w:rsidRPr="009B0042">
        <w:t xml:space="preserve">has been </w:t>
      </w:r>
      <w:r w:rsidRPr="009B0042">
        <w:t xml:space="preserve">modified in order to include notifications by members of the Union on the plant genera and species for which plant variety protection </w:t>
      </w:r>
      <w:r w:rsidR="00D23C7A" w:rsidRPr="005A142C">
        <w:rPr>
          <w:highlight w:val="yellow"/>
        </w:rPr>
        <w:t>i</w:t>
      </w:r>
      <w:r w:rsidRPr="005A142C">
        <w:rPr>
          <w:highlight w:val="yellow"/>
        </w:rPr>
        <w:t>s</w:t>
      </w:r>
      <w:r w:rsidRPr="009B0042">
        <w:t xml:space="preserve"> applicable in their territories</w:t>
      </w:r>
      <w:r w:rsidR="00607DB2" w:rsidRPr="009B0042">
        <w:t xml:space="preserve"> (see document C/47/15 Rev.</w:t>
      </w:r>
      <w:r w:rsidR="00505A73" w:rsidRPr="009B0042">
        <w:t xml:space="preserve"> “Report by the President on the work of the eighty-sixth session of the Consultative Committee; adoption of recommendations, if any, prepared by that Committee”</w:t>
      </w:r>
      <w:r w:rsidR="00607DB2" w:rsidRPr="009B0042">
        <w:t>, paragraph 30)</w:t>
      </w:r>
      <w:r w:rsidRPr="009B0042">
        <w:t>.</w:t>
      </w:r>
    </w:p>
    <w:p w:rsidR="00F27C33" w:rsidRDefault="00F27C33" w:rsidP="008E734A"/>
    <w:p w:rsidR="00F27C33" w:rsidRDefault="00F27C33" w:rsidP="008E734A"/>
    <w:p w:rsidR="00CF57D7" w:rsidRDefault="00CF57D7" w:rsidP="008E734A"/>
    <w:p w:rsidR="007C6459" w:rsidRDefault="00CE767B" w:rsidP="00D135ED">
      <w:pPr>
        <w:pStyle w:val="Heading1"/>
      </w:pPr>
      <w:bookmarkStart w:id="26" w:name="_Toc381174872"/>
      <w:r>
        <w:t xml:space="preserve">PUBLICATIONS, </w:t>
      </w:r>
      <w:r w:rsidR="007C6459">
        <w:t>activities</w:t>
      </w:r>
      <w:r w:rsidR="003D2768">
        <w:t xml:space="preserve"> &amp; training</w:t>
      </w:r>
      <w:bookmarkEnd w:id="26"/>
    </w:p>
    <w:p w:rsidR="007C6459" w:rsidRDefault="007C6459" w:rsidP="008E734A"/>
    <w:p w:rsidR="001F4113" w:rsidRDefault="001F4113" w:rsidP="006A4A4E">
      <w:pPr>
        <w:pStyle w:val="Heading2"/>
      </w:pPr>
      <w:bookmarkStart w:id="27" w:name="_Toc381174873"/>
      <w:r>
        <w:t>Communication strategy</w:t>
      </w:r>
      <w:bookmarkEnd w:id="27"/>
    </w:p>
    <w:p w:rsidR="001F4113" w:rsidRDefault="001F4113" w:rsidP="001F4113"/>
    <w:p w:rsidR="001F4113" w:rsidRPr="0041648C" w:rsidRDefault="001F4113" w:rsidP="001F4113">
      <w:r w:rsidRPr="0041648C">
        <w:fldChar w:fldCharType="begin"/>
      </w:r>
      <w:r w:rsidRPr="0041648C">
        <w:instrText xml:space="preserve"> AUTONUM  </w:instrText>
      </w:r>
      <w:r w:rsidRPr="0041648C">
        <w:fldChar w:fldCharType="end"/>
      </w:r>
      <w:r w:rsidRPr="0041648C">
        <w:tab/>
        <w:t xml:space="preserve">The Consultative Committee approved a communication strategy, including answers to </w:t>
      </w:r>
      <w:r>
        <w:t>frequent</w:t>
      </w:r>
      <w:r w:rsidR="00524050">
        <w:t>ly asked questions (FAQs) that</w:t>
      </w:r>
      <w:r>
        <w:t xml:space="preserve"> will be made available on the UPOV website (see also document TC/50/13 </w:t>
      </w:r>
      <w:r w:rsidRPr="009B0042">
        <w:t>“Molecular techniques”</w:t>
      </w:r>
      <w:r w:rsidR="00F62E56" w:rsidRPr="009B0042">
        <w:t>, paragraphs 24 to 26</w:t>
      </w:r>
      <w:r w:rsidRPr="009B0042">
        <w:t>).</w:t>
      </w:r>
    </w:p>
    <w:p w:rsidR="001F4113" w:rsidRDefault="001F4113" w:rsidP="001F4113"/>
    <w:p w:rsidR="001648DC" w:rsidRDefault="001648DC" w:rsidP="001F4113"/>
    <w:p w:rsidR="00CE767B" w:rsidRDefault="00CE767B" w:rsidP="006A4A4E">
      <w:pPr>
        <w:pStyle w:val="Heading2"/>
      </w:pPr>
      <w:bookmarkStart w:id="28" w:name="_Toc381174874"/>
      <w:r>
        <w:t>Trilogy Publication</w:t>
      </w:r>
      <w:bookmarkEnd w:id="28"/>
    </w:p>
    <w:p w:rsidR="00CE767B" w:rsidRDefault="00CE767B" w:rsidP="00DB2E18">
      <w:pPr>
        <w:keepNext/>
      </w:pPr>
    </w:p>
    <w:p w:rsidR="00CE767B" w:rsidRDefault="00CE767B" w:rsidP="00CE767B">
      <w:r>
        <w:fldChar w:fldCharType="begin"/>
      </w:r>
      <w:r>
        <w:instrText xml:space="preserve"> AUTONUM  </w:instrText>
      </w:r>
      <w:r>
        <w:fldChar w:fldCharType="end"/>
      </w:r>
      <w:r>
        <w:tab/>
        <w:t>The “Trilogy” is a p</w:t>
      </w:r>
      <w:r w:rsidRPr="00E9274B">
        <w:t>ublication combining the proceedings of the “UPOV Seminar on Plant Variety Protection and Technology Transfer: the Benefits of Public-Private Partnership”, the “Symposium on Plant Breeding for the Future” and the “Symposium on the benefits of plant variety protection for farmers and growers”.</w:t>
      </w:r>
      <w:r>
        <w:t xml:space="preserve">  An Executive Summary has also been produced.  </w:t>
      </w:r>
    </w:p>
    <w:p w:rsidR="00CE767B" w:rsidRDefault="00CE767B" w:rsidP="00CE767B"/>
    <w:p w:rsidR="00CE767B" w:rsidRDefault="00CE767B" w:rsidP="00CE767B">
      <w:r>
        <w:fldChar w:fldCharType="begin"/>
      </w:r>
      <w:r>
        <w:instrText xml:space="preserve"> AUTONUM  </w:instrText>
      </w:r>
      <w:r>
        <w:fldChar w:fldCharType="end"/>
      </w:r>
      <w:r>
        <w:tab/>
        <w:t xml:space="preserve">The Trilogy is available at </w:t>
      </w:r>
      <w:hyperlink r:id="rId10" w:history="1">
        <w:r w:rsidRPr="00170F94">
          <w:rPr>
            <w:rStyle w:val="Hyperlink"/>
          </w:rPr>
          <w:t>http://www.upov.int/about/en/benefits_upov_system.html</w:t>
        </w:r>
      </w:hyperlink>
      <w:r>
        <w:t xml:space="preserve"> and box sets of paper copies are available</w:t>
      </w:r>
      <w:r w:rsidR="004B017A">
        <w:t xml:space="preserve"> at the </w:t>
      </w:r>
      <w:r w:rsidR="004B017A" w:rsidRPr="004B017A">
        <w:t>WIPO Information Center</w:t>
      </w:r>
      <w:r w:rsidR="004B017A">
        <w:t xml:space="preserve"> and</w:t>
      </w:r>
      <w:r>
        <w:t xml:space="preserve"> on request.</w:t>
      </w:r>
    </w:p>
    <w:p w:rsidR="00CE767B" w:rsidRDefault="00CE767B" w:rsidP="00CE767B"/>
    <w:p w:rsidR="001648DC" w:rsidRDefault="001648DC" w:rsidP="00CE767B"/>
    <w:p w:rsidR="005F3FA7" w:rsidRPr="00B522F6" w:rsidRDefault="005F3FA7" w:rsidP="006A4A4E">
      <w:pPr>
        <w:pStyle w:val="Heading2"/>
      </w:pPr>
      <w:bookmarkStart w:id="29" w:name="_Toc381174875"/>
      <w:r w:rsidRPr="00B522F6">
        <w:t>Seminar on Essentially Derived Varieties</w:t>
      </w:r>
      <w:r w:rsidR="00CE767B">
        <w:t xml:space="preserve"> (EDVs)</w:t>
      </w:r>
      <w:bookmarkEnd w:id="29"/>
    </w:p>
    <w:p w:rsidR="00CE767B" w:rsidRDefault="00CE767B" w:rsidP="00CE767B">
      <w:pPr>
        <w:rPr>
          <w:rFonts w:cs="Arial"/>
          <w:highlight w:val="yellow"/>
        </w:rPr>
      </w:pPr>
      <w:bookmarkStart w:id="30" w:name="OLE_LINK1"/>
    </w:p>
    <w:p w:rsidR="00CE767B" w:rsidRDefault="00CE767B" w:rsidP="00CE767B">
      <w:pPr>
        <w:rPr>
          <w:rFonts w:cs="Arial"/>
          <w:snapToGrid w:val="0"/>
        </w:rPr>
      </w:pPr>
      <w:r w:rsidRPr="00CE767B">
        <w:rPr>
          <w:rFonts w:cs="Arial"/>
        </w:rPr>
        <w:fldChar w:fldCharType="begin"/>
      </w:r>
      <w:r w:rsidRPr="00CE767B">
        <w:rPr>
          <w:rFonts w:cs="Arial"/>
        </w:rPr>
        <w:instrText xml:space="preserve"> AUTONUM  </w:instrText>
      </w:r>
      <w:r w:rsidRPr="00CE767B">
        <w:rPr>
          <w:rFonts w:cs="Arial"/>
        </w:rPr>
        <w:fldChar w:fldCharType="end"/>
      </w:r>
      <w:r w:rsidRPr="00CE767B">
        <w:rPr>
          <w:rFonts w:cs="Arial"/>
        </w:rPr>
        <w:tab/>
      </w:r>
      <w:bookmarkEnd w:id="30"/>
      <w:r w:rsidRPr="00CE767B">
        <w:rPr>
          <w:rFonts w:cs="Arial"/>
        </w:rPr>
        <w:t>On</w:t>
      </w:r>
      <w:r w:rsidRPr="00CE767B">
        <w:rPr>
          <w:rFonts w:cs="Arial"/>
          <w:snapToGrid w:val="0"/>
        </w:rPr>
        <w:t xml:space="preserve"> October 22, 2013, UPOV organized a seminar </w:t>
      </w:r>
      <w:r w:rsidRPr="00CE767B">
        <w:rPr>
          <w:rFonts w:cs="Arial"/>
          <w:lang w:val="en-GB"/>
        </w:rPr>
        <w:t>to consider technical and legal views on</w:t>
      </w:r>
      <w:r w:rsidRPr="00CE767B">
        <w:rPr>
          <w:lang w:val="en-GB"/>
        </w:rPr>
        <w:t xml:space="preserve"> </w:t>
      </w:r>
      <w:r w:rsidRPr="00CE767B">
        <w:rPr>
          <w:rFonts w:cs="Arial"/>
          <w:lang w:val="en-GB"/>
        </w:rPr>
        <w:t>EDVs</w:t>
      </w:r>
      <w:r w:rsidRPr="00CE767B">
        <w:rPr>
          <w:lang w:val="en-GB"/>
        </w:rPr>
        <w:t xml:space="preserve"> </w:t>
      </w:r>
      <w:r w:rsidRPr="00CE767B">
        <w:rPr>
          <w:rFonts w:cs="Arial"/>
          <w:lang w:val="en-GB"/>
        </w:rPr>
        <w:t xml:space="preserve">and the possible impact on breeding </w:t>
      </w:r>
      <w:r w:rsidRPr="00CE767B">
        <w:rPr>
          <w:rFonts w:cs="Arial"/>
        </w:rPr>
        <w:t>and agriculture</w:t>
      </w:r>
      <w:proofErr w:type="gramStart"/>
      <w:r w:rsidRPr="00CE767B">
        <w:rPr>
          <w:rFonts w:cs="Arial"/>
          <w:lang w:val="en-GB"/>
        </w:rPr>
        <w:t>,  existing</w:t>
      </w:r>
      <w:proofErr w:type="gramEnd"/>
      <w:r w:rsidRPr="00CE767B">
        <w:rPr>
          <w:rFonts w:cs="Arial"/>
          <w:lang w:val="en-GB"/>
        </w:rPr>
        <w:t xml:space="preserve"> experience in relation to EDVs,  and the possible role of future UPOV guidance on EDVs in cases before the courts.  </w:t>
      </w:r>
    </w:p>
    <w:p w:rsidR="00CE767B" w:rsidRDefault="00CE767B" w:rsidP="00CE767B">
      <w:pPr>
        <w:rPr>
          <w:rFonts w:cs="Arial"/>
          <w:snapToGrid w:val="0"/>
        </w:rPr>
      </w:pPr>
    </w:p>
    <w:p w:rsidR="00CE767B" w:rsidRDefault="00CE767B" w:rsidP="00CE767B">
      <w:pPr>
        <w:rPr>
          <w:rFonts w:cs="Arial"/>
          <w:snapToGrid w:val="0"/>
        </w:rPr>
      </w:pPr>
      <w:r>
        <w:rPr>
          <w:rFonts w:cs="Arial"/>
          <w:snapToGrid w:val="0"/>
        </w:rPr>
        <w:fldChar w:fldCharType="begin"/>
      </w:r>
      <w:r>
        <w:rPr>
          <w:rFonts w:cs="Arial"/>
          <w:snapToGrid w:val="0"/>
        </w:rPr>
        <w:instrText xml:space="preserve"> AUTONUM  </w:instrText>
      </w:r>
      <w:r>
        <w:rPr>
          <w:rFonts w:cs="Arial"/>
          <w:snapToGrid w:val="0"/>
        </w:rPr>
        <w:fldChar w:fldCharType="end"/>
      </w:r>
      <w:r>
        <w:rPr>
          <w:rFonts w:cs="Arial"/>
          <w:snapToGrid w:val="0"/>
        </w:rPr>
        <w:tab/>
        <w:t>A copy of</w:t>
      </w:r>
      <w:r w:rsidRPr="00CE767B">
        <w:rPr>
          <w:rFonts w:cs="Arial"/>
          <w:snapToGrid w:val="0"/>
        </w:rPr>
        <w:t xml:space="preserve"> the presentations and a video of the Seminar are available on the UPOV website at</w:t>
      </w:r>
      <w:r>
        <w:rPr>
          <w:rFonts w:cs="Arial"/>
          <w:snapToGrid w:val="0"/>
        </w:rPr>
        <w:t xml:space="preserve"> </w:t>
      </w:r>
      <w:hyperlink r:id="rId11" w:history="1">
        <w:r w:rsidR="004B017A" w:rsidRPr="00EE5EF5">
          <w:rPr>
            <w:rStyle w:val="Hyperlink"/>
            <w:rFonts w:cs="Arial"/>
            <w:snapToGrid w:val="0"/>
          </w:rPr>
          <w:t>http://www.upov.int/meetings/en/details.jsp?meeting_id=29782</w:t>
        </w:r>
      </w:hyperlink>
      <w:r>
        <w:rPr>
          <w:rFonts w:cs="Arial"/>
          <w:snapToGrid w:val="0"/>
        </w:rPr>
        <w:t>.</w:t>
      </w:r>
      <w:r w:rsidR="004B017A">
        <w:rPr>
          <w:rFonts w:cs="Arial"/>
          <w:snapToGrid w:val="0"/>
        </w:rPr>
        <w:t xml:space="preserve">  </w:t>
      </w:r>
      <w:r>
        <w:rPr>
          <w:rFonts w:cs="Arial"/>
          <w:snapToGrid w:val="0"/>
        </w:rPr>
        <w:t xml:space="preserve"> </w:t>
      </w:r>
    </w:p>
    <w:p w:rsidR="00CE767B" w:rsidRDefault="00CE767B" w:rsidP="00CE767B"/>
    <w:p w:rsidR="00FC4145" w:rsidRDefault="00FC4145">
      <w:pPr>
        <w:jc w:val="left"/>
        <w:rPr>
          <w:u w:val="single"/>
        </w:rPr>
      </w:pPr>
    </w:p>
    <w:p w:rsidR="003D2768" w:rsidRDefault="003D2768" w:rsidP="006A4A4E">
      <w:pPr>
        <w:pStyle w:val="Heading2"/>
      </w:pPr>
      <w:bookmarkStart w:id="31" w:name="_Toc381174876"/>
      <w:r w:rsidRPr="00557635">
        <w:t xml:space="preserve">Distance </w:t>
      </w:r>
      <w:r w:rsidR="00CE767B" w:rsidRPr="00557635">
        <w:t>Learning Courses</w:t>
      </w:r>
      <w:bookmarkEnd w:id="31"/>
    </w:p>
    <w:p w:rsidR="003D2768" w:rsidRDefault="003D2768" w:rsidP="004E4FAC">
      <w:pPr>
        <w:keepNext/>
      </w:pPr>
    </w:p>
    <w:p w:rsidR="005902E4" w:rsidRDefault="005902E4" w:rsidP="004E4FAC">
      <w:pPr>
        <w:keepNext/>
      </w:pPr>
      <w:r>
        <w:fldChar w:fldCharType="begin"/>
      </w:r>
      <w:r>
        <w:instrText xml:space="preserve"> AUTONUM  </w:instrText>
      </w:r>
      <w:r>
        <w:fldChar w:fldCharType="end"/>
      </w:r>
      <w:r>
        <w:tab/>
        <w:t>A first session of the DL­305</w:t>
      </w:r>
      <w:r w:rsidR="005B50EC">
        <w:t xml:space="preserve"> course </w:t>
      </w:r>
      <w:r w:rsidR="005B50EC" w:rsidRPr="005B50EC">
        <w:t>“Examination of Applications for Plant Breeders’ Rights” (DL-305)</w:t>
      </w:r>
      <w:r>
        <w:t xml:space="preserve"> in English will take place as follows:</w:t>
      </w:r>
    </w:p>
    <w:p w:rsidR="005902E4" w:rsidRDefault="005902E4" w:rsidP="005902E4"/>
    <w:p w:rsidR="005902E4" w:rsidRDefault="005902E4" w:rsidP="005902E4">
      <w:pPr>
        <w:ind w:left="567"/>
        <w:rPr>
          <w:rFonts w:cs="Arial"/>
        </w:rPr>
      </w:pPr>
      <w:r>
        <w:rPr>
          <w:rFonts w:cs="Arial"/>
        </w:rPr>
        <w:t>Course dates:  March 31 to May 11, 2014</w:t>
      </w:r>
    </w:p>
    <w:p w:rsidR="005902E4" w:rsidRDefault="005902E4" w:rsidP="005902E4">
      <w:pPr>
        <w:ind w:left="567"/>
        <w:rPr>
          <w:rFonts w:cs="Arial"/>
        </w:rPr>
      </w:pPr>
      <w:r>
        <w:rPr>
          <w:rFonts w:cs="Arial"/>
        </w:rPr>
        <w:t>Final exam:  May 5 to 11, 2014</w:t>
      </w:r>
    </w:p>
    <w:p w:rsidR="005902E4" w:rsidRDefault="005902E4" w:rsidP="005902E4"/>
    <w:p w:rsidR="005902E4" w:rsidRDefault="005902E4" w:rsidP="005902E4">
      <w:r>
        <w:fldChar w:fldCharType="begin"/>
      </w:r>
      <w:r>
        <w:instrText xml:space="preserve"> AUTONUM  </w:instrText>
      </w:r>
      <w:r>
        <w:fldChar w:fldCharType="end"/>
      </w:r>
      <w:r>
        <w:tab/>
      </w:r>
      <w:r w:rsidRPr="00F729CC">
        <w:t xml:space="preserve">The first </w:t>
      </w:r>
      <w:r>
        <w:t>session</w:t>
      </w:r>
      <w:r w:rsidRPr="00F729CC">
        <w:t xml:space="preserve"> of the DL-305 course has been made available only to </w:t>
      </w:r>
      <w:r>
        <w:t xml:space="preserve">officials of </w:t>
      </w:r>
      <w:r w:rsidRPr="00F729CC">
        <w:t>mem</w:t>
      </w:r>
      <w:r>
        <w:rPr>
          <w:rFonts w:cs="Arial"/>
          <w:snapToGrid w:val="0"/>
        </w:rPr>
        <w:t>bers of the </w:t>
      </w:r>
      <w:r w:rsidRPr="00F729CC">
        <w:rPr>
          <w:rFonts w:cs="Arial"/>
          <w:snapToGrid w:val="0"/>
        </w:rPr>
        <w:t>Union</w:t>
      </w:r>
      <w:r>
        <w:rPr>
          <w:rFonts w:cs="Arial"/>
          <w:snapToGrid w:val="0"/>
        </w:rPr>
        <w:t xml:space="preserve"> that have successfully completed the DL-205 course</w:t>
      </w:r>
      <w:r w:rsidR="005B50EC">
        <w:rPr>
          <w:rFonts w:cs="Arial"/>
          <w:snapToGrid w:val="0"/>
        </w:rPr>
        <w:t xml:space="preserve"> </w:t>
      </w:r>
      <w:r w:rsidR="005B50EC" w:rsidRPr="00F729CC">
        <w:rPr>
          <w:snapToGrid w:val="0"/>
        </w:rPr>
        <w:t xml:space="preserve">“Introduction to the UPOV System of Plant Variety Protection </w:t>
      </w:r>
      <w:r w:rsidR="005B50EC">
        <w:rPr>
          <w:snapToGrid w:val="0"/>
        </w:rPr>
        <w:t>U</w:t>
      </w:r>
      <w:r w:rsidR="005B50EC" w:rsidRPr="00F729CC">
        <w:rPr>
          <w:snapToGrid w:val="0"/>
        </w:rPr>
        <w:t>nder the UPOV Convention”</w:t>
      </w:r>
      <w:r w:rsidR="005B50EC">
        <w:rPr>
          <w:snapToGrid w:val="0"/>
        </w:rPr>
        <w:t xml:space="preserve"> (DL-205)</w:t>
      </w:r>
      <w:r>
        <w:rPr>
          <w:rFonts w:cs="Arial"/>
          <w:snapToGrid w:val="0"/>
        </w:rPr>
        <w:t xml:space="preserve"> </w:t>
      </w:r>
      <w:r w:rsidRPr="00F729CC">
        <w:rPr>
          <w:rFonts w:cs="Arial"/>
          <w:snapToGrid w:val="0"/>
        </w:rPr>
        <w:t xml:space="preserve">with an explanation </w:t>
      </w:r>
      <w:r w:rsidRPr="00F729CC">
        <w:t xml:space="preserve">that consideration will be </w:t>
      </w:r>
      <w:r w:rsidRPr="000A3A07">
        <w:t>given to the splitting of DL-305 into two separate courses in the future.</w:t>
      </w:r>
    </w:p>
    <w:p w:rsidR="005902E4" w:rsidRDefault="005902E4" w:rsidP="005902E4"/>
    <w:p w:rsidR="005B50EC" w:rsidRDefault="005B50EC" w:rsidP="005B50EC">
      <w:pPr>
        <w:rPr>
          <w:snapToGrid w:val="0"/>
        </w:rPr>
      </w:pPr>
      <w:r>
        <w:fldChar w:fldCharType="begin"/>
      </w:r>
      <w:r>
        <w:instrText xml:space="preserve"> AUTONUM  </w:instrText>
      </w:r>
      <w:r>
        <w:fldChar w:fldCharType="end"/>
      </w:r>
      <w:r>
        <w:tab/>
        <w:t>On the basis of</w:t>
      </w:r>
      <w:r>
        <w:rPr>
          <w:snapToGrid w:val="0"/>
        </w:rPr>
        <w:t xml:space="preserve"> the comments received during a trial run of the DL-305 course, the </w:t>
      </w:r>
      <w:r w:rsidRPr="005B50EC">
        <w:rPr>
          <w:snapToGrid w:val="0"/>
        </w:rPr>
        <w:t>Consultative Committee</w:t>
      </w:r>
      <w:r>
        <w:rPr>
          <w:snapToGrid w:val="0"/>
        </w:rPr>
        <w:t xml:space="preserve"> at its </w:t>
      </w:r>
      <w:r w:rsidRPr="005B50EC">
        <w:rPr>
          <w:snapToGrid w:val="0"/>
        </w:rPr>
        <w:t>eighty-seventh session</w:t>
      </w:r>
      <w:r>
        <w:rPr>
          <w:snapToGrid w:val="0"/>
        </w:rPr>
        <w:t>, to be held in Geneva on</w:t>
      </w:r>
      <w:r w:rsidRPr="005B50EC">
        <w:rPr>
          <w:snapToGrid w:val="0"/>
        </w:rPr>
        <w:t xml:space="preserve"> April 11, 2014</w:t>
      </w:r>
      <w:r>
        <w:rPr>
          <w:snapToGrid w:val="0"/>
        </w:rPr>
        <w:t xml:space="preserve">, will be invited to </w:t>
      </w:r>
      <w:r w:rsidRPr="00F729CC">
        <w:rPr>
          <w:snapToGrid w:val="0"/>
        </w:rPr>
        <w:t xml:space="preserve">consider splitting the DL-305 course into two separate courses in the future.  The aim of the split would be to enable participants to study the courses at different times, according to their expertise and experience, and would also provide courses with a similar study </w:t>
      </w:r>
      <w:r>
        <w:rPr>
          <w:snapToGrid w:val="0"/>
        </w:rPr>
        <w:t>time</w:t>
      </w:r>
      <w:r w:rsidRPr="00F729CC">
        <w:rPr>
          <w:snapToGrid w:val="0"/>
        </w:rPr>
        <w:t xml:space="preserve"> to the DL­205</w:t>
      </w:r>
      <w:r>
        <w:rPr>
          <w:snapToGrid w:val="0"/>
        </w:rPr>
        <w:t xml:space="preserve"> course</w:t>
      </w:r>
      <w:r w:rsidRPr="00F729CC">
        <w:rPr>
          <w:snapToGrid w:val="0"/>
        </w:rPr>
        <w:t xml:space="preserve"> (3</w:t>
      </w:r>
      <w:r>
        <w:rPr>
          <w:snapToGrid w:val="0"/>
        </w:rPr>
        <w:t>6</w:t>
      </w:r>
      <w:r w:rsidRPr="00F729CC">
        <w:rPr>
          <w:snapToGrid w:val="0"/>
        </w:rPr>
        <w:t xml:space="preserve"> hours)</w:t>
      </w:r>
      <w:r>
        <w:rPr>
          <w:snapToGrid w:val="0"/>
        </w:rPr>
        <w:t>, instead of the 70 </w:t>
      </w:r>
      <w:r w:rsidRPr="00F729CC">
        <w:rPr>
          <w:snapToGrid w:val="0"/>
        </w:rPr>
        <w:t>hours indicated for the single course.  One course would cover the administration of plant breeders’ rights</w:t>
      </w:r>
      <w:r>
        <w:rPr>
          <w:snapToGrid w:val="0"/>
        </w:rPr>
        <w:t xml:space="preserve"> and</w:t>
      </w:r>
      <w:r w:rsidRPr="00F729CC">
        <w:rPr>
          <w:snapToGrid w:val="0"/>
        </w:rPr>
        <w:t xml:space="preserve"> the examination of novelty and denomination; the </w:t>
      </w:r>
      <w:r>
        <w:rPr>
          <w:snapToGrid w:val="0"/>
        </w:rPr>
        <w:t>other</w:t>
      </w:r>
      <w:r w:rsidRPr="00F729CC">
        <w:rPr>
          <w:snapToGrid w:val="0"/>
        </w:rPr>
        <w:t xml:space="preserve"> course would cover the examination of distinctness, uniformity and stability (“DUS”).  It would be possible to study </w:t>
      </w:r>
      <w:r>
        <w:rPr>
          <w:snapToGrid w:val="0"/>
        </w:rPr>
        <w:t>one or both courses and the two </w:t>
      </w:r>
      <w:r w:rsidRPr="00F729CC">
        <w:rPr>
          <w:snapToGrid w:val="0"/>
        </w:rPr>
        <w:t>courses would be run consecutively to allow those students wishing to follow both to do so; one immediately after the other.</w:t>
      </w:r>
    </w:p>
    <w:p w:rsidR="005B50EC" w:rsidRDefault="005B50EC" w:rsidP="005902E4">
      <w:pPr>
        <w:rPr>
          <w:rFonts w:cs="Arial"/>
          <w:snapToGrid w:val="0"/>
        </w:rPr>
      </w:pPr>
    </w:p>
    <w:p w:rsidR="005B50EC" w:rsidRDefault="005B50EC" w:rsidP="005B50EC">
      <w:pPr>
        <w:shd w:val="clear" w:color="auto" w:fill="FFFFFF" w:themeFill="background1"/>
        <w:rPr>
          <w:rFonts w:cs="Arial"/>
        </w:rPr>
      </w:pPr>
      <w:r>
        <w:rPr>
          <w:rFonts w:cs="Arial"/>
        </w:rPr>
        <w:fldChar w:fldCharType="begin"/>
      </w:r>
      <w:r>
        <w:rPr>
          <w:rFonts w:cs="Arial"/>
        </w:rPr>
        <w:instrText xml:space="preserve"> AUTONUM  </w:instrText>
      </w:r>
      <w:r>
        <w:rPr>
          <w:rFonts w:cs="Arial"/>
        </w:rPr>
        <w:fldChar w:fldCharType="end"/>
      </w:r>
      <w:r>
        <w:rPr>
          <w:rFonts w:cs="Arial"/>
        </w:rPr>
        <w:tab/>
        <w:t xml:space="preserve">The successful operation of UPOV distance learning courses relies on experts </w:t>
      </w:r>
      <w:r w:rsidRPr="00531C45">
        <w:rPr>
          <w:rFonts w:cs="Arial"/>
        </w:rPr>
        <w:t>from m</w:t>
      </w:r>
      <w:r w:rsidRPr="001C5786">
        <w:rPr>
          <w:rFonts w:cs="Arial"/>
        </w:rPr>
        <w:t xml:space="preserve">embers </w:t>
      </w:r>
      <w:r>
        <w:rPr>
          <w:rFonts w:cs="Arial"/>
        </w:rPr>
        <w:t>of the </w:t>
      </w:r>
      <w:r w:rsidRPr="001C5786">
        <w:rPr>
          <w:rFonts w:cs="Arial"/>
        </w:rPr>
        <w:t>Union</w:t>
      </w:r>
      <w:r>
        <w:rPr>
          <w:rFonts w:cs="Arial"/>
        </w:rPr>
        <w:t xml:space="preserve"> acting as tutors for students in Category 1: </w:t>
      </w:r>
      <w:r w:rsidRPr="001C5786">
        <w:rPr>
          <w:rFonts w:cs="Arial"/>
        </w:rPr>
        <w:t>Officials of members of the Union</w:t>
      </w:r>
      <w:r>
        <w:rPr>
          <w:rFonts w:cs="Arial"/>
        </w:rPr>
        <w:t xml:space="preserve">.  Therefore, an important factor for the frequency of </w:t>
      </w:r>
      <w:r w:rsidRPr="00AB6856">
        <w:rPr>
          <w:rFonts w:cs="Arial"/>
        </w:rPr>
        <w:t>distance learning course</w:t>
      </w:r>
      <w:r>
        <w:rPr>
          <w:rFonts w:cs="Arial"/>
        </w:rPr>
        <w:t xml:space="preserve">s is the availability of such </w:t>
      </w:r>
      <w:r w:rsidR="004B017A">
        <w:rPr>
          <w:rFonts w:cs="Arial"/>
        </w:rPr>
        <w:t>tutors</w:t>
      </w:r>
      <w:r>
        <w:rPr>
          <w:rFonts w:cs="Arial"/>
        </w:rPr>
        <w:t xml:space="preserve">.  In that regard, it is anticipated that the same tutors will be used for the </w:t>
      </w:r>
      <w:r w:rsidRPr="00AB6856">
        <w:rPr>
          <w:rFonts w:cs="Arial"/>
        </w:rPr>
        <w:t>DL-205</w:t>
      </w:r>
      <w:r>
        <w:rPr>
          <w:rFonts w:cs="Arial"/>
        </w:rPr>
        <w:t xml:space="preserve"> and DL-305 courses.  Currently, the DL-205 course is run twice per year.  In order to have sufficient tutoring capacity, at least in the first instance, it is proposed to replace one of the sessions of the DL-205 course with the DL-305 course(s).  On that basis, the following program is proposed for distance learning courses in 2014-2015:</w:t>
      </w:r>
    </w:p>
    <w:p w:rsidR="005B50EC" w:rsidRDefault="005B50EC" w:rsidP="005B50EC">
      <w:pPr>
        <w:shd w:val="clear" w:color="auto" w:fill="FFFFFF" w:themeFill="background1"/>
        <w:rPr>
          <w:rFonts w:cs="Arial"/>
        </w:rPr>
      </w:pPr>
    </w:p>
    <w:p w:rsidR="005B50EC" w:rsidRDefault="005B50EC" w:rsidP="005B50EC">
      <w:pPr>
        <w:shd w:val="clear" w:color="auto" w:fill="FFFFFF" w:themeFill="background1"/>
        <w:ind w:left="567"/>
        <w:rPr>
          <w:rFonts w:cs="Arial"/>
        </w:rPr>
      </w:pPr>
      <w:r>
        <w:rPr>
          <w:rFonts w:cs="Arial"/>
        </w:rPr>
        <w:t>March 31 to May 11, 2014</w:t>
      </w:r>
      <w:r>
        <w:rPr>
          <w:rFonts w:cs="Arial"/>
        </w:rPr>
        <w:tab/>
      </w:r>
      <w:r>
        <w:rPr>
          <w:rFonts w:cs="Arial"/>
        </w:rPr>
        <w:tab/>
        <w:t>DL-305 single course (English only)</w:t>
      </w:r>
    </w:p>
    <w:p w:rsidR="005B50EC" w:rsidRDefault="005B50EC" w:rsidP="005B50EC">
      <w:pPr>
        <w:shd w:val="clear" w:color="auto" w:fill="FFFFFF" w:themeFill="background1"/>
        <w:ind w:left="567"/>
        <w:rPr>
          <w:rFonts w:cs="Arial"/>
        </w:rPr>
      </w:pPr>
      <w:r>
        <w:rPr>
          <w:rFonts w:cs="Arial"/>
        </w:rPr>
        <w:t>May 5 to June 8, 2014</w:t>
      </w:r>
      <w:r>
        <w:rPr>
          <w:rFonts w:cs="Arial"/>
        </w:rPr>
        <w:tab/>
      </w:r>
      <w:r>
        <w:rPr>
          <w:rFonts w:cs="Arial"/>
        </w:rPr>
        <w:tab/>
      </w:r>
      <w:r>
        <w:rPr>
          <w:rFonts w:cs="Arial"/>
        </w:rPr>
        <w:tab/>
        <w:t>DL-205 (E, F, G, S)</w:t>
      </w:r>
    </w:p>
    <w:p w:rsidR="005B50EC" w:rsidRDefault="005B50EC" w:rsidP="005B50EC">
      <w:pPr>
        <w:shd w:val="clear" w:color="auto" w:fill="FFFFFF" w:themeFill="background1"/>
        <w:ind w:left="567"/>
        <w:rPr>
          <w:rFonts w:cs="Arial"/>
        </w:rPr>
      </w:pPr>
      <w:r>
        <w:rPr>
          <w:rFonts w:cs="Arial"/>
        </w:rPr>
        <w:t>October 6 to November 9, 2014</w:t>
      </w:r>
      <w:r>
        <w:rPr>
          <w:rFonts w:cs="Arial"/>
        </w:rPr>
        <w:tab/>
      </w:r>
      <w:r>
        <w:rPr>
          <w:rFonts w:cs="Arial"/>
        </w:rPr>
        <w:tab/>
        <w:t>DL-205 (E, F, G, S)</w:t>
      </w:r>
    </w:p>
    <w:p w:rsidR="005B50EC" w:rsidRDefault="005B50EC" w:rsidP="005B50EC">
      <w:pPr>
        <w:shd w:val="clear" w:color="auto" w:fill="FFFFFF" w:themeFill="background1"/>
        <w:ind w:left="567"/>
        <w:rPr>
          <w:rFonts w:cs="Arial"/>
        </w:rPr>
      </w:pPr>
    </w:p>
    <w:p w:rsidR="005B50EC" w:rsidRDefault="005B50EC" w:rsidP="005B50EC">
      <w:pPr>
        <w:shd w:val="clear" w:color="auto" w:fill="FFFFFF" w:themeFill="background1"/>
        <w:ind w:left="567"/>
        <w:rPr>
          <w:rFonts w:cs="Arial"/>
        </w:rPr>
      </w:pPr>
      <w:r>
        <w:rPr>
          <w:rFonts w:cs="Arial"/>
        </w:rPr>
        <w:t>February/March 2015</w:t>
      </w:r>
      <w:r>
        <w:rPr>
          <w:rFonts w:cs="Arial"/>
        </w:rPr>
        <w:tab/>
      </w:r>
      <w:r>
        <w:rPr>
          <w:rFonts w:cs="Arial"/>
        </w:rPr>
        <w:tab/>
      </w:r>
      <w:r>
        <w:rPr>
          <w:rFonts w:cs="Arial"/>
        </w:rPr>
        <w:tab/>
        <w:t xml:space="preserve">DL-305 single </w:t>
      </w:r>
      <w:proofErr w:type="gramStart"/>
      <w:r>
        <w:rPr>
          <w:rFonts w:cs="Arial"/>
        </w:rPr>
        <w:t>course</w:t>
      </w:r>
      <w:proofErr w:type="gramEnd"/>
      <w:r>
        <w:rPr>
          <w:rFonts w:cs="Arial"/>
        </w:rPr>
        <w:t xml:space="preserve"> (E, F, S) or DL-305-1 (E, F, S)</w:t>
      </w:r>
    </w:p>
    <w:p w:rsidR="005B50EC" w:rsidRDefault="005B50EC" w:rsidP="005B50EC">
      <w:pPr>
        <w:shd w:val="clear" w:color="auto" w:fill="FFFFFF" w:themeFill="background1"/>
        <w:ind w:left="567"/>
        <w:rPr>
          <w:rFonts w:cs="Arial"/>
        </w:rPr>
      </w:pPr>
      <w:r>
        <w:rPr>
          <w:rFonts w:cs="Arial"/>
        </w:rPr>
        <w:t>April/May 2015</w:t>
      </w:r>
      <w:r>
        <w:rPr>
          <w:rFonts w:cs="Arial"/>
        </w:rPr>
        <w:tab/>
      </w:r>
      <w:r>
        <w:rPr>
          <w:rFonts w:cs="Arial"/>
        </w:rPr>
        <w:tab/>
      </w:r>
      <w:r>
        <w:rPr>
          <w:rFonts w:cs="Arial"/>
        </w:rPr>
        <w:tab/>
      </w:r>
      <w:r>
        <w:rPr>
          <w:rFonts w:cs="Arial"/>
        </w:rPr>
        <w:tab/>
        <w:t>DL-305-2 (E, F, S)</w:t>
      </w:r>
    </w:p>
    <w:p w:rsidR="005B50EC" w:rsidRDefault="005B50EC" w:rsidP="005B50EC">
      <w:pPr>
        <w:shd w:val="clear" w:color="auto" w:fill="FFFFFF" w:themeFill="background1"/>
        <w:ind w:left="567"/>
        <w:rPr>
          <w:rFonts w:cs="Arial"/>
        </w:rPr>
      </w:pPr>
    </w:p>
    <w:p w:rsidR="005B50EC" w:rsidRDefault="005B50EC" w:rsidP="005B50EC">
      <w:pPr>
        <w:shd w:val="clear" w:color="auto" w:fill="FFFFFF" w:themeFill="background1"/>
        <w:ind w:left="567"/>
        <w:rPr>
          <w:rFonts w:cs="Arial"/>
        </w:rPr>
      </w:pPr>
      <w:r>
        <w:rPr>
          <w:rFonts w:cs="Arial"/>
        </w:rPr>
        <w:t>October/November 2015</w:t>
      </w:r>
      <w:r>
        <w:rPr>
          <w:rFonts w:cs="Arial"/>
        </w:rPr>
        <w:tab/>
      </w:r>
      <w:r>
        <w:rPr>
          <w:rFonts w:cs="Arial"/>
        </w:rPr>
        <w:tab/>
      </w:r>
      <w:r>
        <w:rPr>
          <w:rFonts w:cs="Arial"/>
        </w:rPr>
        <w:tab/>
        <w:t>DL-205 (E, F, G, S)</w:t>
      </w:r>
    </w:p>
    <w:p w:rsidR="005B50EC" w:rsidRDefault="005B50EC" w:rsidP="005B50EC">
      <w:pPr>
        <w:shd w:val="clear" w:color="auto" w:fill="FFFFFF" w:themeFill="background1"/>
        <w:rPr>
          <w:rFonts w:cs="Arial"/>
        </w:rPr>
      </w:pPr>
    </w:p>
    <w:p w:rsidR="005B50EC" w:rsidRDefault="005B50EC" w:rsidP="005B50EC">
      <w:pPr>
        <w:shd w:val="clear" w:color="auto" w:fill="FFFFFF" w:themeFill="background1"/>
        <w:rPr>
          <w:rFonts w:cs="Arial"/>
        </w:rPr>
      </w:pPr>
      <w:r>
        <w:rPr>
          <w:rFonts w:cs="Arial"/>
        </w:rPr>
        <w:fldChar w:fldCharType="begin"/>
      </w:r>
      <w:r>
        <w:rPr>
          <w:rFonts w:cs="Arial"/>
        </w:rPr>
        <w:instrText xml:space="preserve"> AUTONUM  </w:instrText>
      </w:r>
      <w:r>
        <w:rPr>
          <w:rFonts w:cs="Arial"/>
        </w:rPr>
        <w:fldChar w:fldCharType="end"/>
      </w:r>
      <w:r>
        <w:rPr>
          <w:rFonts w:cs="Arial"/>
        </w:rPr>
        <w:tab/>
        <w:t>The German version of DL-305 would be launched in 2016.</w:t>
      </w:r>
    </w:p>
    <w:p w:rsidR="005B50EC" w:rsidRDefault="005B50EC" w:rsidP="005902E4">
      <w:pPr>
        <w:rPr>
          <w:rFonts w:cs="Arial"/>
          <w:snapToGrid w:val="0"/>
        </w:rPr>
      </w:pPr>
    </w:p>
    <w:p w:rsidR="001F4113" w:rsidRDefault="001F4113" w:rsidP="001648DC">
      <w:pPr>
        <w:rPr>
          <w:snapToGrid w:val="0"/>
        </w:rPr>
      </w:pPr>
    </w:p>
    <w:p w:rsidR="001648DC" w:rsidRDefault="001648DC" w:rsidP="001648DC">
      <w:pPr>
        <w:rPr>
          <w:snapToGrid w:val="0"/>
        </w:rPr>
      </w:pPr>
    </w:p>
    <w:p w:rsidR="001F4113" w:rsidRPr="009C6E8F" w:rsidRDefault="001F4113" w:rsidP="00D135ED">
      <w:pPr>
        <w:pStyle w:val="Heading1"/>
        <w:rPr>
          <w:snapToGrid w:val="0"/>
        </w:rPr>
      </w:pPr>
      <w:bookmarkStart w:id="32" w:name="_Toc381174877"/>
      <w:r w:rsidRPr="009C6E8F">
        <w:rPr>
          <w:snapToGrid w:val="0"/>
        </w:rPr>
        <w:t>Developments of relevance to UPOV in other international fora</w:t>
      </w:r>
      <w:bookmarkEnd w:id="32"/>
    </w:p>
    <w:p w:rsidR="001F4113" w:rsidRDefault="001F4113" w:rsidP="009678DE">
      <w:pPr>
        <w:keepNext/>
        <w:rPr>
          <w:snapToGrid w:val="0"/>
        </w:rPr>
      </w:pPr>
    </w:p>
    <w:p w:rsidR="001F4113" w:rsidRPr="008239F1" w:rsidRDefault="001F4113" w:rsidP="006A4A4E">
      <w:pPr>
        <w:pStyle w:val="Heading2"/>
      </w:pPr>
      <w:bookmarkStart w:id="33" w:name="_Toc381174878"/>
      <w:r w:rsidRPr="008239F1">
        <w:t>International Treaty on Plant Genetic Resources for Food and Agriculture (ITPGRFA)</w:t>
      </w:r>
      <w:bookmarkEnd w:id="33"/>
    </w:p>
    <w:p w:rsidR="001F4113" w:rsidRDefault="001F4113" w:rsidP="009678DE">
      <w:pPr>
        <w:keepNext/>
        <w:rPr>
          <w:snapToGrid w:val="0"/>
        </w:rPr>
      </w:pPr>
    </w:p>
    <w:p w:rsidR="001F4113" w:rsidRPr="008239F1" w:rsidRDefault="001F4113" w:rsidP="009678DE">
      <w:pPr>
        <w:pStyle w:val="Heading3"/>
      </w:pPr>
      <w:bookmarkStart w:id="34" w:name="_Toc381174879"/>
      <w:r>
        <w:rPr>
          <w:snapToGrid w:val="0"/>
        </w:rPr>
        <w:t xml:space="preserve">ITPGRFA </w:t>
      </w:r>
      <w:r w:rsidRPr="008239F1">
        <w:rPr>
          <w:snapToGrid w:val="0"/>
        </w:rPr>
        <w:t xml:space="preserve">Platform for the </w:t>
      </w:r>
      <w:proofErr w:type="spellStart"/>
      <w:r w:rsidRPr="008239F1">
        <w:rPr>
          <w:snapToGrid w:val="0"/>
        </w:rPr>
        <w:t>Co­Development</w:t>
      </w:r>
      <w:proofErr w:type="spellEnd"/>
      <w:r w:rsidRPr="008239F1">
        <w:rPr>
          <w:snapToGrid w:val="0"/>
        </w:rPr>
        <w:t xml:space="preserve"> and Transfer of Technologies</w:t>
      </w:r>
      <w:bookmarkEnd w:id="34"/>
    </w:p>
    <w:p w:rsidR="001F4113" w:rsidRDefault="001F4113" w:rsidP="009678DE">
      <w:pPr>
        <w:keepNext/>
        <w:rPr>
          <w:snapToGrid w:val="0"/>
        </w:rPr>
      </w:pPr>
    </w:p>
    <w:p w:rsidR="001F4113" w:rsidRDefault="001F4113" w:rsidP="001F4113">
      <w:pPr>
        <w:rPr>
          <w:snapToGrid w:val="0"/>
        </w:rPr>
      </w:pPr>
      <w:r>
        <w:rPr>
          <w:snapToGrid w:val="0"/>
        </w:rPr>
        <w:fldChar w:fldCharType="begin"/>
      </w:r>
      <w:r>
        <w:rPr>
          <w:snapToGrid w:val="0"/>
        </w:rPr>
        <w:instrText xml:space="preserve"> AUTONUM  </w:instrText>
      </w:r>
      <w:r>
        <w:rPr>
          <w:snapToGrid w:val="0"/>
        </w:rPr>
        <w:fldChar w:fldCharType="end"/>
      </w:r>
      <w:r>
        <w:rPr>
          <w:snapToGrid w:val="0"/>
        </w:rPr>
        <w:tab/>
        <w:t>In 2012, m</w:t>
      </w:r>
      <w:r w:rsidRPr="008239F1">
        <w:rPr>
          <w:snapToGrid w:val="0"/>
        </w:rPr>
        <w:t xml:space="preserve">embers of the Union approved the participation of the Office of the Union in the International Treaty on Plant Genetic Resources for Food and Agriculture (ITPGRFA) Platform for the </w:t>
      </w:r>
      <w:proofErr w:type="spellStart"/>
      <w:r w:rsidRPr="008239F1">
        <w:rPr>
          <w:snapToGrid w:val="0"/>
        </w:rPr>
        <w:t>Co­Development</w:t>
      </w:r>
      <w:proofErr w:type="spellEnd"/>
      <w:r w:rsidRPr="008239F1">
        <w:rPr>
          <w:snapToGrid w:val="0"/>
        </w:rPr>
        <w:t xml:space="preserve"> and Transfer of Technologies</w:t>
      </w:r>
      <w:r>
        <w:rPr>
          <w:snapToGrid w:val="0"/>
        </w:rPr>
        <w:t xml:space="preserve"> (see document C/46/19 “Report”, Annex </w:t>
      </w:r>
      <w:r w:rsidR="00CB138C">
        <w:rPr>
          <w:snapToGrid w:val="0"/>
        </w:rPr>
        <w:t>I</w:t>
      </w:r>
      <w:r>
        <w:rPr>
          <w:snapToGrid w:val="0"/>
        </w:rPr>
        <w:t>II “Press Release”)</w:t>
      </w:r>
      <w:r w:rsidRPr="008239F1">
        <w:rPr>
          <w:snapToGrid w:val="0"/>
        </w:rPr>
        <w:t>.</w:t>
      </w:r>
    </w:p>
    <w:p w:rsidR="001F4113" w:rsidRDefault="001F4113" w:rsidP="00CF57D7">
      <w:pPr>
        <w:spacing w:line="360" w:lineRule="auto"/>
        <w:rPr>
          <w:snapToGrid w:val="0"/>
        </w:rPr>
      </w:pPr>
    </w:p>
    <w:p w:rsidR="001F4113" w:rsidRDefault="001F4113" w:rsidP="001F4113">
      <w:pPr>
        <w:pStyle w:val="Heading3"/>
        <w:rPr>
          <w:snapToGrid w:val="0"/>
        </w:rPr>
      </w:pPr>
      <w:bookmarkStart w:id="35" w:name="_Toc381174880"/>
      <w:r w:rsidRPr="008239F1">
        <w:rPr>
          <w:snapToGrid w:val="0"/>
        </w:rPr>
        <w:t>Public-Private Partnerships in Pre-breeding</w:t>
      </w:r>
      <w:bookmarkEnd w:id="35"/>
    </w:p>
    <w:p w:rsidR="001F4113" w:rsidRDefault="001F4113" w:rsidP="001F4113">
      <w:pPr>
        <w:rPr>
          <w:snapToGrid w:val="0"/>
        </w:rPr>
      </w:pPr>
    </w:p>
    <w:p w:rsidR="001F4113" w:rsidRPr="008239F1" w:rsidRDefault="001F4113" w:rsidP="001F4113">
      <w:pPr>
        <w:rPr>
          <w:snapToGrid w:val="0"/>
        </w:rPr>
      </w:pPr>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t xml:space="preserve">Following a request from the Plant Genetic Resources and Seeds Team of the Food and Agriculture Organization of the United Nations (FAO) and a number of other functional units, especially the International Treaty on Plant Genetic Resources for Food and Agriculture, UPOV members agreed to the UPOV Office working as part of a multi-stakeholder team on the “definition of mechanisms for enhancing public-private partnerships in pre-breeding” (see document </w:t>
      </w:r>
      <w:proofErr w:type="gramStart"/>
      <w:r w:rsidRPr="008239F1">
        <w:rPr>
          <w:snapToGrid w:val="0"/>
        </w:rPr>
        <w:t>C(</w:t>
      </w:r>
      <w:proofErr w:type="spellStart"/>
      <w:proofErr w:type="gramEnd"/>
      <w:r w:rsidRPr="008239F1">
        <w:rPr>
          <w:snapToGrid w:val="0"/>
        </w:rPr>
        <w:t>Extr</w:t>
      </w:r>
      <w:proofErr w:type="spellEnd"/>
      <w:r w:rsidRPr="008239F1">
        <w:rPr>
          <w:snapToGrid w:val="0"/>
        </w:rPr>
        <w:t>.)/30/</w:t>
      </w:r>
      <w:r>
        <w:rPr>
          <w:snapToGrid w:val="0"/>
        </w:rPr>
        <w:t>8</w:t>
      </w:r>
      <w:r w:rsidRPr="008239F1">
        <w:rPr>
          <w:snapToGrid w:val="0"/>
        </w:rPr>
        <w:t xml:space="preserve"> “Report”, </w:t>
      </w:r>
      <w:r>
        <w:rPr>
          <w:snapToGrid w:val="0"/>
        </w:rPr>
        <w:t>Annex III “Press Release”</w:t>
      </w:r>
      <w:r w:rsidRPr="008239F1">
        <w:rPr>
          <w:snapToGrid w:val="0"/>
        </w:rPr>
        <w:t>).</w:t>
      </w:r>
    </w:p>
    <w:p w:rsidR="001F4113" w:rsidRDefault="001F4113" w:rsidP="00CF57D7">
      <w:pPr>
        <w:spacing w:line="360" w:lineRule="auto"/>
        <w:rPr>
          <w:snapToGrid w:val="0"/>
        </w:rPr>
      </w:pPr>
    </w:p>
    <w:p w:rsidR="001F4113" w:rsidRDefault="001F4113" w:rsidP="001F4113">
      <w:pPr>
        <w:pStyle w:val="Heading3"/>
        <w:rPr>
          <w:snapToGrid w:val="0"/>
        </w:rPr>
      </w:pPr>
      <w:bookmarkStart w:id="36" w:name="_Toc381174881"/>
      <w:r>
        <w:rPr>
          <w:snapToGrid w:val="0"/>
        </w:rPr>
        <w:t>Interrelations between ITPGRFA, UPOV and WIPO</w:t>
      </w:r>
      <w:bookmarkEnd w:id="36"/>
    </w:p>
    <w:p w:rsidR="001F4113" w:rsidRPr="008239F1" w:rsidRDefault="001F4113" w:rsidP="001648DC">
      <w:pPr>
        <w:keepNext/>
        <w:rPr>
          <w:snapToGrid w:val="0"/>
        </w:rPr>
      </w:pPr>
    </w:p>
    <w:p w:rsidR="001F4113" w:rsidRPr="008239F1" w:rsidRDefault="001F4113" w:rsidP="001F4113">
      <w:pPr>
        <w:rPr>
          <w:rFonts w:eastAsia="SimSun" w:cs="Arial"/>
          <w:iCs/>
          <w:lang w:eastAsia="zh-CN"/>
        </w:rPr>
      </w:pPr>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t>The fifth session of the Governing Body of the ITPGRFA (GB), held in Muscat, Oman, f</w:t>
      </w:r>
      <w:r w:rsidR="009678DE">
        <w:rPr>
          <w:snapToGrid w:val="0"/>
        </w:rPr>
        <w:t>rom September </w:t>
      </w:r>
      <w:r w:rsidRPr="008239F1">
        <w:rPr>
          <w:snapToGrid w:val="0"/>
        </w:rPr>
        <w:t xml:space="preserve">24 to 28, 2013, </w:t>
      </w:r>
      <w:r w:rsidRPr="008239F1">
        <w:rPr>
          <w:rFonts w:eastAsia="SimSun" w:cs="Arial"/>
          <w:lang w:eastAsia="zh-CN"/>
        </w:rPr>
        <w:t>adopted the following resolution under the item “</w:t>
      </w:r>
      <w:r w:rsidRPr="008239F1">
        <w:rPr>
          <w:rFonts w:eastAsia="SimSun" w:cs="Arial"/>
          <w:iCs/>
          <w:lang w:eastAsia="zh-CN"/>
        </w:rPr>
        <w:t>Implementation of Article 9, Farmers’ Rights”:</w:t>
      </w:r>
    </w:p>
    <w:p w:rsidR="001F4113" w:rsidRPr="008239F1" w:rsidRDefault="001F4113" w:rsidP="001F4113">
      <w:pPr>
        <w:rPr>
          <w:rFonts w:eastAsia="SimSun" w:cs="Arial"/>
          <w:lang w:eastAsia="zh-CN"/>
        </w:rPr>
      </w:pPr>
    </w:p>
    <w:p w:rsidR="001F4113" w:rsidRPr="008239F1" w:rsidRDefault="001F4113" w:rsidP="001F4113">
      <w:pPr>
        <w:keepNext/>
        <w:spacing w:after="120"/>
        <w:ind w:left="567" w:right="567"/>
        <w:outlineLvl w:val="3"/>
        <w:rPr>
          <w:rFonts w:eastAsia="SimSun" w:cs="Arial"/>
          <w:bCs/>
          <w:i/>
          <w:iCs/>
          <w:sz w:val="18"/>
          <w:lang w:eastAsia="zh-CN"/>
        </w:rPr>
      </w:pPr>
      <w:r w:rsidRPr="008239F1">
        <w:rPr>
          <w:rFonts w:eastAsia="SimSun" w:cs="Arial"/>
          <w:bCs/>
          <w:i/>
          <w:iCs/>
          <w:sz w:val="18"/>
          <w:lang w:eastAsia="zh-CN"/>
        </w:rPr>
        <w:t>“Resolution: Implementation of Article 9, Farmers’ Rights</w:t>
      </w:r>
    </w:p>
    <w:p w:rsidR="001F4113" w:rsidRPr="008239F1" w:rsidRDefault="001F4113" w:rsidP="001F4113">
      <w:pPr>
        <w:spacing w:after="120"/>
        <w:ind w:left="567" w:right="567"/>
        <w:rPr>
          <w:rFonts w:cs="Arial"/>
          <w:sz w:val="18"/>
          <w:lang w:eastAsia="zh-CN"/>
        </w:rPr>
      </w:pPr>
      <w:r w:rsidRPr="008239F1">
        <w:rPr>
          <w:rFonts w:cs="Arial"/>
          <w:sz w:val="18"/>
          <w:lang w:eastAsia="zh-CN"/>
        </w:rPr>
        <w:t>“3</w:t>
      </w:r>
      <w:proofErr w:type="gramStart"/>
      <w:r w:rsidRPr="008239F1">
        <w:rPr>
          <w:rFonts w:cs="Arial"/>
          <w:sz w:val="18"/>
          <w:lang w:eastAsia="zh-CN"/>
        </w:rPr>
        <w:t>.  Requests</w:t>
      </w:r>
      <w:proofErr w:type="gramEnd"/>
      <w:r w:rsidRPr="008239F1">
        <w:rPr>
          <w:rFonts w:cs="Arial"/>
          <w:sz w:val="18"/>
          <w:lang w:eastAsia="zh-CN"/>
        </w:rPr>
        <w:t xml:space="preserve"> the Secretary to invite UPOV and WIPO to jointly identify possible areas of interrelations among their respective international instruments;”</w:t>
      </w:r>
    </w:p>
    <w:p w:rsidR="001F4113" w:rsidRDefault="001F4113" w:rsidP="001F4113">
      <w:pPr>
        <w:keepNext/>
      </w:pPr>
      <w:r w:rsidRPr="008239F1">
        <w:t>(</w:t>
      </w:r>
      <w:proofErr w:type="gramStart"/>
      <w:r>
        <w:t>see</w:t>
      </w:r>
      <w:proofErr w:type="gramEnd"/>
      <w:r>
        <w:t xml:space="preserve"> </w:t>
      </w:r>
      <w:r w:rsidRPr="008239F1">
        <w:t>doc</w:t>
      </w:r>
      <w:r>
        <w:t xml:space="preserve">ument C/47/15 Rev. “Report by the President on the work of the eighty-sixth session of the Consultative Committee; adoption of recommendations, if any, prepared by that Committee”, </w:t>
      </w:r>
      <w:r w:rsidRPr="008239F1">
        <w:t>paragraph 54).</w:t>
      </w:r>
    </w:p>
    <w:p w:rsidR="00260FDA" w:rsidRDefault="00260FDA" w:rsidP="00260FDA">
      <w:pPr>
        <w:pStyle w:val="DecisionParagraphs"/>
        <w:rPr>
          <w:snapToGrid w:val="0"/>
        </w:rPr>
      </w:pPr>
    </w:p>
    <w:p w:rsidR="001F4113" w:rsidRDefault="00260FDA" w:rsidP="00260FDA">
      <w:pPr>
        <w:pStyle w:val="DecisionParagraphs"/>
        <w:rPr>
          <w:snapToGrid w:val="0"/>
        </w:rPr>
      </w:pPr>
      <w:r w:rsidRPr="008239F1">
        <w:rPr>
          <w:snapToGrid w:val="0"/>
        </w:rPr>
        <w:fldChar w:fldCharType="begin"/>
      </w:r>
      <w:r w:rsidRPr="008239F1">
        <w:rPr>
          <w:snapToGrid w:val="0"/>
        </w:rPr>
        <w:instrText xml:space="preserve"> AUTONUM  </w:instrText>
      </w:r>
      <w:r w:rsidRPr="008239F1">
        <w:rPr>
          <w:snapToGrid w:val="0"/>
        </w:rPr>
        <w:fldChar w:fldCharType="end"/>
      </w:r>
      <w:r w:rsidR="000F6067">
        <w:rPr>
          <w:snapToGrid w:val="0"/>
        </w:rPr>
        <w:tab/>
      </w:r>
      <w:r w:rsidR="000F6067" w:rsidRPr="000F6067">
        <w:rPr>
          <w:snapToGrid w:val="0"/>
          <w:highlight w:val="yellow"/>
        </w:rPr>
        <w:t xml:space="preserve">The TC is invited to note </w:t>
      </w:r>
      <w:r>
        <w:rPr>
          <w:snapToGrid w:val="0"/>
          <w:highlight w:val="yellow"/>
        </w:rPr>
        <w:t xml:space="preserve">the developments in UPOV </w:t>
      </w:r>
      <w:r w:rsidR="000F6067" w:rsidRPr="000F6067">
        <w:rPr>
          <w:snapToGrid w:val="0"/>
          <w:highlight w:val="yellow"/>
        </w:rPr>
        <w:t>including relevant matters discussed in the last sessions of the Administrative and Legal Committee, the Consultative Committee and the Council, as set</w:t>
      </w:r>
      <w:r w:rsidR="006212FF">
        <w:rPr>
          <w:snapToGrid w:val="0"/>
          <w:highlight w:val="yellow"/>
        </w:rPr>
        <w:t xml:space="preserve"> out in paragraphs </w:t>
      </w:r>
      <w:r w:rsidR="000F6067" w:rsidRPr="000F6067">
        <w:rPr>
          <w:snapToGrid w:val="0"/>
          <w:highlight w:val="yellow"/>
        </w:rPr>
        <w:t>4 to 35 of this document.</w:t>
      </w:r>
      <w:bookmarkStart w:id="37" w:name="_GoBack"/>
      <w:bookmarkEnd w:id="37"/>
    </w:p>
    <w:p w:rsidR="00557635" w:rsidRDefault="00557635" w:rsidP="008E734A"/>
    <w:p w:rsidR="00260FDA" w:rsidRDefault="00260FDA" w:rsidP="008E734A"/>
    <w:p w:rsidR="001C553C" w:rsidRPr="008B494D" w:rsidRDefault="001F4113" w:rsidP="00D135ED">
      <w:pPr>
        <w:pStyle w:val="Heading1"/>
        <w:rPr>
          <w:rStyle w:val="BookTitle"/>
          <w:b/>
        </w:rPr>
      </w:pPr>
      <w:bookmarkStart w:id="38" w:name="_Toc381174882"/>
      <w:r w:rsidRPr="008B494D">
        <w:rPr>
          <w:rStyle w:val="BookTitle"/>
          <w:b/>
        </w:rPr>
        <w:t>II.</w:t>
      </w:r>
      <w:r w:rsidRPr="008B494D">
        <w:rPr>
          <w:rStyle w:val="BookTitle"/>
          <w:b/>
        </w:rPr>
        <w:tab/>
      </w:r>
      <w:r w:rsidR="001C553C" w:rsidRPr="008B494D">
        <w:rPr>
          <w:rStyle w:val="BookTitle"/>
          <w:b/>
        </w:rPr>
        <w:t xml:space="preserve">Matters </w:t>
      </w:r>
      <w:r w:rsidRPr="008B494D">
        <w:rPr>
          <w:rStyle w:val="BookTitle"/>
          <w:b/>
        </w:rPr>
        <w:t>for consideration by</w:t>
      </w:r>
      <w:r w:rsidR="001C553C" w:rsidRPr="008B494D">
        <w:rPr>
          <w:rStyle w:val="BookTitle"/>
          <w:b/>
        </w:rPr>
        <w:t xml:space="preserve"> the Technical Committee</w:t>
      </w:r>
      <w:bookmarkEnd w:id="38"/>
    </w:p>
    <w:p w:rsidR="001C553C" w:rsidRDefault="001C553C" w:rsidP="001648DC">
      <w:pPr>
        <w:keepNext/>
      </w:pPr>
    </w:p>
    <w:p w:rsidR="00340861" w:rsidRPr="00482F75" w:rsidRDefault="00615E39" w:rsidP="00D135ED">
      <w:pPr>
        <w:pStyle w:val="Heading1"/>
      </w:pPr>
      <w:bookmarkStart w:id="39" w:name="_Toc381174883"/>
      <w:r>
        <w:t>variety descriptions</w:t>
      </w:r>
      <w:bookmarkEnd w:id="39"/>
    </w:p>
    <w:p w:rsidR="00340861" w:rsidRDefault="00340861" w:rsidP="00340861">
      <w:pPr>
        <w:keepNext/>
      </w:pPr>
    </w:p>
    <w:p w:rsidR="00B94604" w:rsidRDefault="00260FDA" w:rsidP="00340861">
      <w:pPr>
        <w:rPr>
          <w:rFonts w:cs="Arial"/>
        </w:rPr>
      </w:pPr>
      <w:r w:rsidRPr="008239F1">
        <w:rPr>
          <w:snapToGrid w:val="0"/>
        </w:rPr>
        <w:fldChar w:fldCharType="begin"/>
      </w:r>
      <w:r w:rsidRPr="008239F1">
        <w:rPr>
          <w:snapToGrid w:val="0"/>
        </w:rPr>
        <w:instrText xml:space="preserve"> AUTONUM  </w:instrText>
      </w:r>
      <w:r w:rsidRPr="008239F1">
        <w:rPr>
          <w:snapToGrid w:val="0"/>
        </w:rPr>
        <w:fldChar w:fldCharType="end"/>
      </w:r>
      <w:r w:rsidR="00B94604">
        <w:rPr>
          <w:rFonts w:cs="Arial"/>
        </w:rPr>
        <w:tab/>
      </w:r>
      <w:r w:rsidR="00B94604" w:rsidRPr="00B94604">
        <w:rPr>
          <w:rFonts w:cs="Arial"/>
        </w:rPr>
        <w:t xml:space="preserve">At its </w:t>
      </w:r>
      <w:r w:rsidR="00F81AF1">
        <w:rPr>
          <w:rFonts w:cs="Arial"/>
        </w:rPr>
        <w:t xml:space="preserve">seventh </w:t>
      </w:r>
      <w:r w:rsidR="00B94604" w:rsidRPr="00B94604">
        <w:rPr>
          <w:rFonts w:cs="Arial"/>
        </w:rPr>
        <w:t xml:space="preserve">session, held in Geneva on October </w:t>
      </w:r>
      <w:r w:rsidR="00F81AF1">
        <w:rPr>
          <w:rFonts w:cs="Arial"/>
        </w:rPr>
        <w:t>29 and 30, 2012</w:t>
      </w:r>
      <w:r w:rsidR="00B94604" w:rsidRPr="00B94604">
        <w:rPr>
          <w:rFonts w:cs="Arial"/>
        </w:rPr>
        <w:t>, the Administrative and Legal Committee Advisory Group (CAJ-AG) considered that it would be appropriate to develop further guidance on variety descriptions (see CAJ­AG/1</w:t>
      </w:r>
      <w:r w:rsidR="00F81AF1">
        <w:rPr>
          <w:rFonts w:cs="Arial"/>
        </w:rPr>
        <w:t>2</w:t>
      </w:r>
      <w:r w:rsidR="00B94604" w:rsidRPr="00B94604">
        <w:rPr>
          <w:rFonts w:cs="Arial"/>
        </w:rPr>
        <w:t>/</w:t>
      </w:r>
      <w:r w:rsidR="00F81AF1">
        <w:rPr>
          <w:rFonts w:cs="Arial"/>
        </w:rPr>
        <w:t>7/</w:t>
      </w:r>
      <w:r w:rsidR="00B94604" w:rsidRPr="00B94604">
        <w:rPr>
          <w:rFonts w:cs="Arial"/>
        </w:rPr>
        <w:t xml:space="preserve">7 “Report”, paragraph </w:t>
      </w:r>
      <w:r w:rsidR="00F81AF1">
        <w:rPr>
          <w:rFonts w:cs="Arial"/>
        </w:rPr>
        <w:t>90</w:t>
      </w:r>
      <w:r w:rsidR="00B94604" w:rsidRPr="00B94604">
        <w:rPr>
          <w:rFonts w:cs="Arial"/>
        </w:rPr>
        <w:t>).</w:t>
      </w:r>
    </w:p>
    <w:p w:rsidR="00B94604" w:rsidRDefault="00B94604" w:rsidP="00340861">
      <w:pPr>
        <w:rPr>
          <w:rFonts w:cs="Arial"/>
        </w:rPr>
      </w:pPr>
    </w:p>
    <w:p w:rsidR="00340861" w:rsidRPr="00482F75" w:rsidRDefault="00260FDA" w:rsidP="00340861">
      <w:pPr>
        <w:rPr>
          <w:rFonts w:cs="Arial"/>
        </w:rPr>
      </w:pPr>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340861" w:rsidRPr="00482F75">
        <w:rPr>
          <w:rFonts w:cs="Arial"/>
        </w:rPr>
        <w:t>The</w:t>
      </w:r>
      <w:r w:rsidR="00340861">
        <w:rPr>
          <w:rFonts w:cs="Arial"/>
        </w:rPr>
        <w:t xml:space="preserve"> </w:t>
      </w:r>
      <w:r w:rsidR="00340861" w:rsidRPr="00340861">
        <w:rPr>
          <w:rFonts w:cs="Arial"/>
        </w:rPr>
        <w:t>Administrative and Legal Committee Advisory Group</w:t>
      </w:r>
      <w:r w:rsidR="00340861" w:rsidRPr="00482F75">
        <w:rPr>
          <w:rFonts w:cs="Arial"/>
        </w:rPr>
        <w:t xml:space="preserve"> </w:t>
      </w:r>
      <w:r w:rsidR="00340861">
        <w:rPr>
          <w:rFonts w:cs="Arial"/>
        </w:rPr>
        <w:t>(</w:t>
      </w:r>
      <w:r w:rsidR="00340861" w:rsidRPr="00482F75">
        <w:rPr>
          <w:rFonts w:cs="Arial"/>
        </w:rPr>
        <w:t>CAJ-AG</w:t>
      </w:r>
      <w:r w:rsidR="00340861">
        <w:rPr>
          <w:rFonts w:cs="Arial"/>
        </w:rPr>
        <w:t xml:space="preserve">), at its </w:t>
      </w:r>
      <w:r w:rsidR="00340861" w:rsidRPr="00340861">
        <w:rPr>
          <w:rFonts w:cs="Arial"/>
        </w:rPr>
        <w:t>eighth session</w:t>
      </w:r>
      <w:r w:rsidR="00340861">
        <w:rPr>
          <w:rFonts w:cs="Arial"/>
        </w:rPr>
        <w:t>, held in Geneva on</w:t>
      </w:r>
      <w:r w:rsidR="00340861" w:rsidRPr="00340861">
        <w:rPr>
          <w:rFonts w:cs="Arial"/>
        </w:rPr>
        <w:t xml:space="preserve"> October 25, 2013</w:t>
      </w:r>
      <w:r w:rsidR="00340861">
        <w:rPr>
          <w:rFonts w:cs="Arial"/>
        </w:rPr>
        <w:t>,</w:t>
      </w:r>
      <w:r w:rsidR="00340861" w:rsidRPr="00482F75">
        <w:rPr>
          <w:rFonts w:cs="Arial"/>
        </w:rPr>
        <w:t xml:space="preserve"> agreed that the following matters in document CAJ-AG/13/8/7</w:t>
      </w:r>
      <w:r w:rsidR="00340861">
        <w:rPr>
          <w:rFonts w:cs="Arial"/>
        </w:rPr>
        <w:t xml:space="preserve"> “</w:t>
      </w:r>
      <w:r w:rsidR="00340861" w:rsidRPr="00340861">
        <w:rPr>
          <w:rFonts w:cs="Arial"/>
        </w:rPr>
        <w:t>Matters concerning Variety Descriptions</w:t>
      </w:r>
      <w:r w:rsidR="00340861">
        <w:rPr>
          <w:rFonts w:cs="Arial"/>
        </w:rPr>
        <w:t>”</w:t>
      </w:r>
      <w:r w:rsidR="00340861" w:rsidRPr="00482F75">
        <w:rPr>
          <w:rFonts w:cs="Arial"/>
        </w:rPr>
        <w:t>, paragraph 4, should be considered by the CAJ-AG in the first instance:</w:t>
      </w:r>
    </w:p>
    <w:p w:rsidR="00340861" w:rsidRPr="00482F75" w:rsidRDefault="00340861" w:rsidP="00340861">
      <w:pPr>
        <w:rPr>
          <w:rFonts w:cs="Arial"/>
        </w:rPr>
      </w:pPr>
    </w:p>
    <w:p w:rsidR="00340861" w:rsidRPr="00230328" w:rsidRDefault="00230328" w:rsidP="00230328">
      <w:pPr>
        <w:ind w:left="567" w:right="567"/>
        <w:rPr>
          <w:sz w:val="18"/>
          <w:szCs w:val="18"/>
        </w:rPr>
      </w:pPr>
      <w:r>
        <w:rPr>
          <w:sz w:val="18"/>
          <w:szCs w:val="18"/>
        </w:rPr>
        <w:t>“</w:t>
      </w:r>
      <w:r w:rsidRPr="00230328">
        <w:rPr>
          <w:sz w:val="18"/>
          <w:szCs w:val="18"/>
        </w:rPr>
        <w:t>(a)</w:t>
      </w:r>
      <w:r w:rsidRPr="00230328">
        <w:rPr>
          <w:sz w:val="18"/>
          <w:szCs w:val="18"/>
        </w:rPr>
        <w:tab/>
      </w:r>
      <w:r w:rsidR="00340861" w:rsidRPr="00230328">
        <w:rPr>
          <w:sz w:val="18"/>
          <w:szCs w:val="18"/>
        </w:rPr>
        <w:t>the purpose(s) of the variety description developed at the time of grant of the right (original variety description);</w:t>
      </w:r>
    </w:p>
    <w:p w:rsidR="00340861" w:rsidRPr="00230328" w:rsidRDefault="00340861" w:rsidP="00230328">
      <w:pPr>
        <w:ind w:left="567" w:right="567"/>
        <w:rPr>
          <w:sz w:val="18"/>
          <w:szCs w:val="18"/>
        </w:rPr>
      </w:pPr>
    </w:p>
    <w:p w:rsidR="00340861" w:rsidRPr="00230328" w:rsidRDefault="00230328" w:rsidP="00230328">
      <w:pPr>
        <w:ind w:left="567" w:right="567"/>
        <w:rPr>
          <w:sz w:val="18"/>
          <w:szCs w:val="18"/>
        </w:rPr>
      </w:pPr>
      <w:r>
        <w:rPr>
          <w:sz w:val="18"/>
          <w:szCs w:val="18"/>
        </w:rPr>
        <w:t>“</w:t>
      </w:r>
      <w:r w:rsidRPr="00230328">
        <w:rPr>
          <w:sz w:val="18"/>
          <w:szCs w:val="18"/>
        </w:rPr>
        <w:t>(b)</w:t>
      </w:r>
      <w:r w:rsidRPr="00230328">
        <w:rPr>
          <w:sz w:val="18"/>
          <w:szCs w:val="18"/>
        </w:rPr>
        <w:tab/>
      </w:r>
      <w:proofErr w:type="gramStart"/>
      <w:r w:rsidR="00340861" w:rsidRPr="00230328">
        <w:rPr>
          <w:sz w:val="18"/>
          <w:szCs w:val="18"/>
        </w:rPr>
        <w:t>the</w:t>
      </w:r>
      <w:proofErr w:type="gramEnd"/>
      <w:r w:rsidR="00340861" w:rsidRPr="00230328">
        <w:rPr>
          <w:sz w:val="18"/>
          <w:szCs w:val="18"/>
        </w:rPr>
        <w:t xml:space="preserve"> status of the original variety description in relation to the verification of the conformity of plant material to a protected variety for the purposes of:</w:t>
      </w:r>
    </w:p>
    <w:p w:rsidR="00230328" w:rsidRPr="00230328" w:rsidRDefault="00230328" w:rsidP="00230328">
      <w:pPr>
        <w:ind w:left="567" w:right="567"/>
        <w:rPr>
          <w:sz w:val="18"/>
          <w:szCs w:val="18"/>
        </w:rPr>
      </w:pPr>
    </w:p>
    <w:p w:rsidR="00340861" w:rsidRPr="00230328" w:rsidRDefault="00230328" w:rsidP="00230328">
      <w:pPr>
        <w:ind w:left="567" w:right="567" w:firstLine="567"/>
        <w:rPr>
          <w:sz w:val="18"/>
          <w:szCs w:val="18"/>
        </w:rPr>
      </w:pPr>
      <w:r>
        <w:rPr>
          <w:sz w:val="18"/>
          <w:szCs w:val="18"/>
        </w:rPr>
        <w:t>“</w:t>
      </w:r>
      <w:r w:rsidR="00340861" w:rsidRPr="00230328">
        <w:rPr>
          <w:sz w:val="18"/>
          <w:szCs w:val="18"/>
        </w:rPr>
        <w:t>[…]</w:t>
      </w:r>
    </w:p>
    <w:p w:rsidR="00340861" w:rsidRPr="00230328" w:rsidRDefault="00230328" w:rsidP="00230328">
      <w:pPr>
        <w:ind w:left="567" w:right="567" w:firstLine="567"/>
        <w:rPr>
          <w:sz w:val="18"/>
          <w:szCs w:val="18"/>
        </w:rPr>
      </w:pPr>
      <w:r>
        <w:rPr>
          <w:sz w:val="18"/>
          <w:szCs w:val="18"/>
        </w:rPr>
        <w:t>“</w:t>
      </w:r>
      <w:r w:rsidR="00340861" w:rsidRPr="00230328">
        <w:rPr>
          <w:sz w:val="18"/>
          <w:szCs w:val="18"/>
        </w:rPr>
        <w:t>(iii)</w:t>
      </w:r>
      <w:r w:rsidR="00340861" w:rsidRPr="00230328">
        <w:rPr>
          <w:sz w:val="18"/>
          <w:szCs w:val="18"/>
        </w:rPr>
        <w:tab/>
      </w:r>
      <w:proofErr w:type="gramStart"/>
      <w:r w:rsidR="00340861" w:rsidRPr="00230328">
        <w:rPr>
          <w:sz w:val="18"/>
          <w:szCs w:val="18"/>
        </w:rPr>
        <w:t>the</w:t>
      </w:r>
      <w:proofErr w:type="gramEnd"/>
      <w:r w:rsidR="00340861" w:rsidRPr="00230328">
        <w:rPr>
          <w:sz w:val="18"/>
          <w:szCs w:val="18"/>
        </w:rPr>
        <w:t xml:space="preserve"> enforcement of the right.</w:t>
      </w:r>
      <w:r>
        <w:rPr>
          <w:sz w:val="18"/>
          <w:szCs w:val="18"/>
        </w:rPr>
        <w:t>”</w:t>
      </w:r>
    </w:p>
    <w:p w:rsidR="00340861" w:rsidRPr="00230328" w:rsidRDefault="00340861" w:rsidP="00230328"/>
    <w:p w:rsidR="00340861" w:rsidRPr="00482F75" w:rsidRDefault="00260FDA" w:rsidP="00340861">
      <w:pPr>
        <w:rPr>
          <w:rFonts w:cs="Arial"/>
        </w:rPr>
      </w:pPr>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340861" w:rsidRPr="00482F75">
        <w:rPr>
          <w:rFonts w:cs="Arial"/>
        </w:rPr>
        <w:t>The CAJ-AG agreed to the development of guidance on the following, which it proposed that the CAJ should invite the Technical Committee (TC) to consider in the first instance:</w:t>
      </w:r>
    </w:p>
    <w:p w:rsidR="00340861" w:rsidRPr="00482F75" w:rsidRDefault="00340861" w:rsidP="00340861">
      <w:pPr>
        <w:rPr>
          <w:rFonts w:cs="Arial"/>
        </w:rPr>
      </w:pPr>
    </w:p>
    <w:p w:rsidR="00340861" w:rsidRPr="00482F75" w:rsidRDefault="00340861" w:rsidP="00340861">
      <w:pPr>
        <w:rPr>
          <w:rFonts w:cs="Arial"/>
        </w:rPr>
      </w:pPr>
      <w:r w:rsidRPr="00482F75">
        <w:rPr>
          <w:rFonts w:cs="Arial"/>
        </w:rPr>
        <w:tab/>
        <w:t>(a)</w:t>
      </w:r>
      <w:r w:rsidRPr="00482F75">
        <w:rPr>
          <w:rFonts w:cs="Arial"/>
        </w:rPr>
        <w:tab/>
        <w:t>use of information, documents or material provided by the breeder for verifying the maintenance of the variety, as set out in paragraph 15 of document CAJ-AG/13/8/4</w:t>
      </w:r>
      <w:r w:rsidR="006A4A4E">
        <w:rPr>
          <w:rFonts w:cs="Arial"/>
        </w:rPr>
        <w:t xml:space="preserve"> “</w:t>
      </w:r>
      <w:r w:rsidR="006A4A4E" w:rsidRPr="006A4A4E">
        <w:rPr>
          <w:rFonts w:cs="Arial"/>
        </w:rPr>
        <w:t>Matters concerning cancellation of the breeder's right</w:t>
      </w:r>
      <w:r w:rsidR="006A4A4E">
        <w:rPr>
          <w:rFonts w:cs="Arial"/>
        </w:rPr>
        <w:t>”</w:t>
      </w:r>
      <w:r w:rsidRPr="00482F75">
        <w:rPr>
          <w:rFonts w:cs="Arial"/>
        </w:rPr>
        <w:t>, with an explanation that the information, documents or material could be maintained in a different country;  and</w:t>
      </w:r>
    </w:p>
    <w:p w:rsidR="00340861" w:rsidRPr="00482F75" w:rsidRDefault="00340861" w:rsidP="00340861">
      <w:pPr>
        <w:tabs>
          <w:tab w:val="left" w:pos="7500"/>
        </w:tabs>
        <w:rPr>
          <w:rFonts w:cs="Arial"/>
        </w:rPr>
      </w:pPr>
    </w:p>
    <w:p w:rsidR="00340861" w:rsidRPr="00482F75" w:rsidRDefault="00340861" w:rsidP="00340861">
      <w:pPr>
        <w:rPr>
          <w:rFonts w:cs="Arial"/>
        </w:rPr>
      </w:pPr>
      <w:r w:rsidRPr="00482F75">
        <w:rPr>
          <w:rFonts w:cs="Arial"/>
        </w:rPr>
        <w:tab/>
        <w:t>(b)</w:t>
      </w:r>
      <w:r w:rsidRPr="00482F75">
        <w:rPr>
          <w:rFonts w:cs="Arial"/>
        </w:rPr>
        <w:tab/>
        <w:t>use of Test Guidelines for verifying the maintenance of the variety that were different from the Test Guidelines used for the examination of Distinctness, Uniformity and Stability (“DUS”).</w:t>
      </w:r>
    </w:p>
    <w:p w:rsidR="00340861" w:rsidRPr="00482F75" w:rsidRDefault="00340861" w:rsidP="00340861"/>
    <w:p w:rsidR="00340861" w:rsidRPr="00482F75" w:rsidRDefault="00260FDA" w:rsidP="00340861">
      <w:pPr>
        <w:rPr>
          <w:rFonts w:cs="Arial"/>
        </w:rPr>
      </w:pPr>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340861" w:rsidRPr="00482F75">
        <w:rPr>
          <w:rFonts w:cs="Arial"/>
        </w:rPr>
        <w:t xml:space="preserve">The CAJ-AG agreed to propose to the CAJ that the following matters in document CAJ-AG/13/8/7, paragraph 4, should be considered by </w:t>
      </w:r>
      <w:r w:rsidR="00340861">
        <w:rPr>
          <w:rFonts w:cs="Arial"/>
        </w:rPr>
        <w:t>the TC</w:t>
      </w:r>
      <w:r w:rsidR="00340861" w:rsidRPr="00482F75">
        <w:rPr>
          <w:rFonts w:cs="Arial"/>
        </w:rPr>
        <w:t xml:space="preserve"> in the first instance:</w:t>
      </w:r>
    </w:p>
    <w:p w:rsidR="00340861" w:rsidRPr="00482F75" w:rsidRDefault="00340861" w:rsidP="00340861">
      <w:pPr>
        <w:rPr>
          <w:rFonts w:cs="Arial"/>
        </w:rPr>
      </w:pPr>
    </w:p>
    <w:p w:rsidR="00340861" w:rsidRPr="00230328" w:rsidRDefault="00230328" w:rsidP="00230328">
      <w:pPr>
        <w:ind w:left="567" w:right="567"/>
        <w:rPr>
          <w:sz w:val="18"/>
          <w:szCs w:val="18"/>
        </w:rPr>
      </w:pPr>
      <w:r>
        <w:rPr>
          <w:sz w:val="18"/>
          <w:szCs w:val="18"/>
        </w:rPr>
        <w:t>“</w:t>
      </w:r>
      <w:r w:rsidR="00340861" w:rsidRPr="00230328">
        <w:rPr>
          <w:sz w:val="18"/>
          <w:szCs w:val="18"/>
        </w:rPr>
        <w:t>[…]</w:t>
      </w:r>
    </w:p>
    <w:p w:rsidR="00340861" w:rsidRPr="00230328" w:rsidRDefault="00340861" w:rsidP="00230328">
      <w:pPr>
        <w:ind w:left="567" w:right="567"/>
        <w:rPr>
          <w:sz w:val="18"/>
          <w:szCs w:val="18"/>
        </w:rPr>
      </w:pPr>
    </w:p>
    <w:p w:rsidR="00340861" w:rsidRPr="00230328" w:rsidRDefault="00230328" w:rsidP="00230328">
      <w:pPr>
        <w:ind w:left="567" w:right="567"/>
        <w:rPr>
          <w:sz w:val="18"/>
          <w:szCs w:val="18"/>
        </w:rPr>
      </w:pPr>
      <w:r>
        <w:rPr>
          <w:sz w:val="18"/>
          <w:szCs w:val="18"/>
        </w:rPr>
        <w:t>“</w:t>
      </w:r>
      <w:r w:rsidR="00340861" w:rsidRPr="00230328">
        <w:rPr>
          <w:sz w:val="18"/>
          <w:szCs w:val="18"/>
        </w:rPr>
        <w:t>(b)</w:t>
      </w:r>
      <w:r w:rsidR="00340861" w:rsidRPr="00230328">
        <w:rPr>
          <w:sz w:val="18"/>
          <w:szCs w:val="18"/>
        </w:rPr>
        <w:tab/>
      </w:r>
      <w:proofErr w:type="gramStart"/>
      <w:r w:rsidR="00340861" w:rsidRPr="00230328">
        <w:rPr>
          <w:sz w:val="18"/>
          <w:szCs w:val="18"/>
        </w:rPr>
        <w:t>the</w:t>
      </w:r>
      <w:proofErr w:type="gramEnd"/>
      <w:r w:rsidR="00340861" w:rsidRPr="00230328">
        <w:rPr>
          <w:sz w:val="18"/>
          <w:szCs w:val="18"/>
        </w:rPr>
        <w:t xml:space="preserve"> status of the original variety description in relation to the verification of the conformity of plant material to a protected variety for the purposes of:</w:t>
      </w:r>
    </w:p>
    <w:p w:rsidR="00340861" w:rsidRPr="00230328" w:rsidRDefault="00340861" w:rsidP="00230328">
      <w:pPr>
        <w:ind w:left="567" w:right="567"/>
        <w:rPr>
          <w:sz w:val="18"/>
          <w:szCs w:val="18"/>
        </w:rPr>
      </w:pPr>
    </w:p>
    <w:p w:rsidR="00340861" w:rsidRPr="00230328" w:rsidRDefault="00230328" w:rsidP="00230328">
      <w:pPr>
        <w:ind w:left="1134" w:right="567"/>
        <w:rPr>
          <w:sz w:val="18"/>
          <w:szCs w:val="18"/>
        </w:rPr>
      </w:pPr>
      <w:r>
        <w:rPr>
          <w:sz w:val="18"/>
          <w:szCs w:val="18"/>
        </w:rPr>
        <w:t>“</w:t>
      </w:r>
      <w:r w:rsidR="00340861" w:rsidRPr="00230328">
        <w:rPr>
          <w:sz w:val="18"/>
          <w:szCs w:val="18"/>
        </w:rPr>
        <w:t>(</w:t>
      </w:r>
      <w:proofErr w:type="spellStart"/>
      <w:proofErr w:type="gramStart"/>
      <w:r w:rsidR="00340861" w:rsidRPr="00230328">
        <w:rPr>
          <w:sz w:val="18"/>
          <w:szCs w:val="18"/>
        </w:rPr>
        <w:t>i</w:t>
      </w:r>
      <w:proofErr w:type="spellEnd"/>
      <w:proofErr w:type="gramEnd"/>
      <w:r w:rsidR="00340861" w:rsidRPr="00230328">
        <w:rPr>
          <w:sz w:val="18"/>
          <w:szCs w:val="18"/>
        </w:rPr>
        <w:t>)</w:t>
      </w:r>
      <w:r w:rsidR="00340861" w:rsidRPr="00230328">
        <w:rPr>
          <w:sz w:val="18"/>
          <w:szCs w:val="18"/>
        </w:rPr>
        <w:tab/>
        <w:t>verifying the maintenance of the variety (Article 22 of the 1</w:t>
      </w:r>
      <w:r>
        <w:rPr>
          <w:sz w:val="18"/>
          <w:szCs w:val="18"/>
        </w:rPr>
        <w:t>991 Act, Article 10 of the 1978 </w:t>
      </w:r>
      <w:r w:rsidR="00340861" w:rsidRPr="00230328">
        <w:rPr>
          <w:sz w:val="18"/>
          <w:szCs w:val="18"/>
        </w:rPr>
        <w:t>Act);</w:t>
      </w:r>
    </w:p>
    <w:p w:rsidR="00340861" w:rsidRPr="00230328" w:rsidRDefault="00340861" w:rsidP="00230328">
      <w:pPr>
        <w:ind w:left="1134" w:right="567"/>
        <w:rPr>
          <w:sz w:val="18"/>
          <w:szCs w:val="18"/>
        </w:rPr>
      </w:pPr>
    </w:p>
    <w:p w:rsidR="00340861" w:rsidRPr="00230328" w:rsidRDefault="00230328" w:rsidP="00230328">
      <w:pPr>
        <w:ind w:left="1134" w:right="567"/>
        <w:rPr>
          <w:sz w:val="18"/>
          <w:szCs w:val="18"/>
        </w:rPr>
      </w:pPr>
      <w:r>
        <w:rPr>
          <w:sz w:val="18"/>
          <w:szCs w:val="18"/>
        </w:rPr>
        <w:t>“</w:t>
      </w:r>
      <w:r w:rsidR="00340861" w:rsidRPr="00230328">
        <w:rPr>
          <w:sz w:val="18"/>
          <w:szCs w:val="18"/>
        </w:rPr>
        <w:t>(ii)</w:t>
      </w:r>
      <w:r w:rsidR="00340861" w:rsidRPr="00230328">
        <w:rPr>
          <w:sz w:val="18"/>
          <w:szCs w:val="18"/>
        </w:rPr>
        <w:tab/>
      </w:r>
      <w:proofErr w:type="gramStart"/>
      <w:r w:rsidR="00340861" w:rsidRPr="00230328">
        <w:rPr>
          <w:sz w:val="18"/>
          <w:szCs w:val="18"/>
        </w:rPr>
        <w:t>the</w:t>
      </w:r>
      <w:proofErr w:type="gramEnd"/>
      <w:r w:rsidR="00340861" w:rsidRPr="00230328">
        <w:rPr>
          <w:sz w:val="18"/>
          <w:szCs w:val="18"/>
        </w:rPr>
        <w:t xml:space="preserve"> examination of distinctness, uniformity and stability (“DUS”) of candidate varieties;  and</w:t>
      </w:r>
    </w:p>
    <w:p w:rsidR="00340861" w:rsidRPr="00230328" w:rsidRDefault="00340861" w:rsidP="00230328">
      <w:pPr>
        <w:ind w:left="567" w:right="567"/>
        <w:rPr>
          <w:sz w:val="18"/>
          <w:szCs w:val="18"/>
        </w:rPr>
      </w:pPr>
    </w:p>
    <w:p w:rsidR="00340861" w:rsidRPr="00230328" w:rsidRDefault="00230328" w:rsidP="00230328">
      <w:pPr>
        <w:spacing w:after="240"/>
        <w:ind w:left="567" w:right="567" w:firstLine="567"/>
        <w:rPr>
          <w:sz w:val="18"/>
          <w:szCs w:val="18"/>
        </w:rPr>
      </w:pPr>
      <w:r>
        <w:rPr>
          <w:sz w:val="18"/>
          <w:szCs w:val="18"/>
        </w:rPr>
        <w:t>“</w:t>
      </w:r>
      <w:r w:rsidR="00340861" w:rsidRPr="00230328">
        <w:rPr>
          <w:sz w:val="18"/>
          <w:szCs w:val="18"/>
        </w:rPr>
        <w:t>[…]</w:t>
      </w:r>
    </w:p>
    <w:p w:rsidR="00340861" w:rsidRPr="00230328" w:rsidRDefault="00230328" w:rsidP="00230328">
      <w:pPr>
        <w:ind w:left="567" w:right="567"/>
        <w:rPr>
          <w:sz w:val="18"/>
          <w:szCs w:val="18"/>
        </w:rPr>
      </w:pPr>
      <w:r>
        <w:rPr>
          <w:sz w:val="18"/>
          <w:szCs w:val="18"/>
        </w:rPr>
        <w:t>“</w:t>
      </w:r>
      <w:r w:rsidR="00340861" w:rsidRPr="00230328">
        <w:rPr>
          <w:sz w:val="18"/>
          <w:szCs w:val="18"/>
        </w:rPr>
        <w:t>(c)</w:t>
      </w:r>
      <w:r w:rsidR="00340861" w:rsidRPr="00230328">
        <w:rPr>
          <w:sz w:val="18"/>
          <w:szCs w:val="18"/>
        </w:rPr>
        <w:tab/>
        <w:t>the status of a modified variety description in relation to (a) and (b) above produced, for example, as a result of:</w:t>
      </w:r>
    </w:p>
    <w:p w:rsidR="00340861" w:rsidRPr="00230328" w:rsidRDefault="00340861" w:rsidP="00230328">
      <w:pPr>
        <w:ind w:left="567" w:right="567"/>
        <w:rPr>
          <w:sz w:val="18"/>
          <w:szCs w:val="18"/>
        </w:rPr>
      </w:pPr>
    </w:p>
    <w:p w:rsidR="00340861" w:rsidRPr="00230328" w:rsidRDefault="00230328" w:rsidP="00230328">
      <w:pPr>
        <w:spacing w:after="60"/>
        <w:ind w:left="1701" w:right="567" w:hanging="567"/>
        <w:rPr>
          <w:sz w:val="18"/>
          <w:szCs w:val="18"/>
        </w:rPr>
      </w:pPr>
      <w:r>
        <w:rPr>
          <w:sz w:val="18"/>
          <w:szCs w:val="18"/>
        </w:rPr>
        <w:t>“</w:t>
      </w:r>
      <w:r w:rsidR="00340861" w:rsidRPr="00230328">
        <w:rPr>
          <w:sz w:val="18"/>
          <w:szCs w:val="18"/>
        </w:rPr>
        <w:t>(</w:t>
      </w:r>
      <w:proofErr w:type="spellStart"/>
      <w:r w:rsidR="00340861" w:rsidRPr="00230328">
        <w:rPr>
          <w:sz w:val="18"/>
          <w:szCs w:val="18"/>
        </w:rPr>
        <w:t>i</w:t>
      </w:r>
      <w:proofErr w:type="spellEnd"/>
      <w:r w:rsidR="00340861" w:rsidRPr="00230328">
        <w:rPr>
          <w:sz w:val="18"/>
          <w:szCs w:val="18"/>
        </w:rPr>
        <w:t>)</w:t>
      </w:r>
      <w:r w:rsidR="00340861" w:rsidRPr="00230328">
        <w:rPr>
          <w:sz w:val="18"/>
          <w:szCs w:val="18"/>
        </w:rPr>
        <w:tab/>
        <w:t>a recalibration of the scale in the Test Guidelines (particularly for non</w:t>
      </w:r>
      <w:r w:rsidR="00340861" w:rsidRPr="00230328">
        <w:rPr>
          <w:sz w:val="18"/>
          <w:szCs w:val="18"/>
        </w:rPr>
        <w:noBreakHyphen/>
        <w:t>asterisked characteristics</w:t>
      </w:r>
      <w:r w:rsidR="00340861" w:rsidRPr="00230328">
        <w:rPr>
          <w:rStyle w:val="FootnoteReference"/>
          <w:sz w:val="18"/>
          <w:szCs w:val="18"/>
        </w:rPr>
        <w:footnoteReference w:id="2"/>
      </w:r>
      <w:r w:rsidR="00340861" w:rsidRPr="00230328">
        <w:rPr>
          <w:sz w:val="18"/>
          <w:szCs w:val="18"/>
        </w:rPr>
        <w:t>);</w:t>
      </w:r>
    </w:p>
    <w:p w:rsidR="00340861" w:rsidRPr="00230328" w:rsidRDefault="00230328" w:rsidP="00230328">
      <w:pPr>
        <w:spacing w:after="60"/>
        <w:ind w:left="1701" w:right="567" w:hanging="567"/>
        <w:rPr>
          <w:sz w:val="18"/>
          <w:szCs w:val="18"/>
        </w:rPr>
      </w:pPr>
      <w:r>
        <w:rPr>
          <w:sz w:val="18"/>
          <w:szCs w:val="18"/>
        </w:rPr>
        <w:t>“</w:t>
      </w:r>
      <w:r w:rsidR="00340861" w:rsidRPr="00230328">
        <w:rPr>
          <w:sz w:val="18"/>
          <w:szCs w:val="18"/>
        </w:rPr>
        <w:t>(ii)</w:t>
      </w:r>
      <w:r w:rsidR="00340861" w:rsidRPr="00230328">
        <w:rPr>
          <w:sz w:val="18"/>
          <w:szCs w:val="18"/>
        </w:rPr>
        <w:tab/>
      </w:r>
      <w:proofErr w:type="gramStart"/>
      <w:r w:rsidR="00340861" w:rsidRPr="00230328">
        <w:rPr>
          <w:sz w:val="18"/>
          <w:szCs w:val="18"/>
        </w:rPr>
        <w:t>variation</w:t>
      </w:r>
      <w:proofErr w:type="gramEnd"/>
      <w:r w:rsidR="00340861" w:rsidRPr="00230328">
        <w:rPr>
          <w:sz w:val="18"/>
          <w:szCs w:val="18"/>
        </w:rPr>
        <w:t xml:space="preserve"> due to the environmental conditions of the years of testing for characteristics that are influenced by the environment;</w:t>
      </w:r>
    </w:p>
    <w:p w:rsidR="00340861" w:rsidRPr="00230328" w:rsidRDefault="00230328" w:rsidP="00230328">
      <w:pPr>
        <w:spacing w:after="60"/>
        <w:ind w:left="1701" w:right="567" w:hanging="567"/>
        <w:rPr>
          <w:sz w:val="18"/>
          <w:szCs w:val="18"/>
        </w:rPr>
      </w:pPr>
      <w:r>
        <w:rPr>
          <w:sz w:val="18"/>
          <w:szCs w:val="18"/>
        </w:rPr>
        <w:t>“</w:t>
      </w:r>
      <w:r w:rsidR="00340861" w:rsidRPr="00230328">
        <w:rPr>
          <w:sz w:val="18"/>
          <w:szCs w:val="18"/>
        </w:rPr>
        <w:t>(iii)</w:t>
      </w:r>
      <w:r w:rsidR="00340861" w:rsidRPr="00230328">
        <w:rPr>
          <w:sz w:val="18"/>
          <w:szCs w:val="18"/>
        </w:rPr>
        <w:tab/>
      </w:r>
      <w:proofErr w:type="gramStart"/>
      <w:r w:rsidR="00340861" w:rsidRPr="00230328">
        <w:rPr>
          <w:sz w:val="18"/>
          <w:szCs w:val="18"/>
        </w:rPr>
        <w:t>variation</w:t>
      </w:r>
      <w:proofErr w:type="gramEnd"/>
      <w:r w:rsidR="00340861" w:rsidRPr="00230328">
        <w:rPr>
          <w:sz w:val="18"/>
          <w:szCs w:val="18"/>
        </w:rPr>
        <w:t xml:space="preserve"> due to observation by different experts;  or</w:t>
      </w:r>
    </w:p>
    <w:p w:rsidR="00340861" w:rsidRPr="00230328" w:rsidRDefault="00230328" w:rsidP="00230328">
      <w:pPr>
        <w:ind w:left="1701" w:right="567" w:hanging="567"/>
        <w:rPr>
          <w:sz w:val="18"/>
          <w:szCs w:val="18"/>
        </w:rPr>
      </w:pPr>
      <w:r>
        <w:rPr>
          <w:sz w:val="18"/>
          <w:szCs w:val="18"/>
        </w:rPr>
        <w:t>“</w:t>
      </w:r>
      <w:r w:rsidR="00340861" w:rsidRPr="00230328">
        <w:rPr>
          <w:sz w:val="18"/>
          <w:szCs w:val="18"/>
        </w:rPr>
        <w:t>(iv)</w:t>
      </w:r>
      <w:r w:rsidR="00340861" w:rsidRPr="00230328">
        <w:rPr>
          <w:sz w:val="18"/>
          <w:szCs w:val="18"/>
        </w:rPr>
        <w:tab/>
      </w:r>
      <w:proofErr w:type="gramStart"/>
      <w:r w:rsidR="00340861" w:rsidRPr="00230328">
        <w:rPr>
          <w:sz w:val="18"/>
          <w:szCs w:val="18"/>
        </w:rPr>
        <w:t>the</w:t>
      </w:r>
      <w:proofErr w:type="gramEnd"/>
      <w:r w:rsidR="00340861" w:rsidRPr="00230328">
        <w:rPr>
          <w:sz w:val="18"/>
          <w:szCs w:val="18"/>
        </w:rPr>
        <w:t xml:space="preserve"> use of different versions of scales (e.g. different versions of the RHS Color Chart).</w:t>
      </w:r>
    </w:p>
    <w:p w:rsidR="00340861" w:rsidRPr="00230328" w:rsidRDefault="00340861" w:rsidP="00230328">
      <w:pPr>
        <w:ind w:left="567" w:right="567"/>
        <w:rPr>
          <w:sz w:val="18"/>
          <w:szCs w:val="18"/>
        </w:rPr>
      </w:pPr>
    </w:p>
    <w:p w:rsidR="00340861" w:rsidRPr="00230328" w:rsidRDefault="00230328" w:rsidP="00230328">
      <w:pPr>
        <w:ind w:left="567" w:right="567"/>
        <w:rPr>
          <w:sz w:val="18"/>
          <w:szCs w:val="18"/>
        </w:rPr>
      </w:pPr>
      <w:r>
        <w:rPr>
          <w:sz w:val="18"/>
          <w:szCs w:val="18"/>
        </w:rPr>
        <w:t>“</w:t>
      </w:r>
      <w:r w:rsidR="00340861" w:rsidRPr="00230328">
        <w:rPr>
          <w:sz w:val="18"/>
          <w:szCs w:val="18"/>
        </w:rPr>
        <w:t>(d)</w:t>
      </w:r>
      <w:r w:rsidR="00340861" w:rsidRPr="00230328">
        <w:rPr>
          <w:sz w:val="18"/>
          <w:szCs w:val="18"/>
        </w:rPr>
        <w:tab/>
      </w:r>
      <w:proofErr w:type="gramStart"/>
      <w:r w:rsidR="00340861" w:rsidRPr="00230328">
        <w:rPr>
          <w:sz w:val="18"/>
          <w:szCs w:val="18"/>
        </w:rPr>
        <w:t>situations</w:t>
      </w:r>
      <w:proofErr w:type="gramEnd"/>
      <w:r w:rsidR="00340861" w:rsidRPr="00230328">
        <w:rPr>
          <w:sz w:val="18"/>
          <w:szCs w:val="18"/>
        </w:rPr>
        <w:t xml:space="preserve"> where an error is subsequently discovered in the initial variety description.</w:t>
      </w:r>
      <w:r>
        <w:rPr>
          <w:sz w:val="18"/>
          <w:szCs w:val="18"/>
        </w:rPr>
        <w:t>”</w:t>
      </w:r>
    </w:p>
    <w:p w:rsidR="00F27C33" w:rsidRDefault="00F27C33" w:rsidP="001C553C"/>
    <w:p w:rsidR="00505A73" w:rsidRDefault="00260FDA" w:rsidP="001C553C">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B27EAD">
        <w:t>The CAJ will consider the proposal of the CAJ-AG at its sixty-ninth session, to be held in Geneva on April 10, 2014.</w:t>
      </w:r>
    </w:p>
    <w:p w:rsidR="00B94604" w:rsidRDefault="00B94604" w:rsidP="001C553C"/>
    <w:p w:rsidR="001F4113" w:rsidRDefault="00260FDA" w:rsidP="001F4113">
      <w:pPr>
        <w:pStyle w:val="DecisionParagraphs"/>
      </w:pPr>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B27EAD" w:rsidRPr="00FC4145">
        <w:t>The TC is invited to note that the CAJ</w:t>
      </w:r>
      <w:r w:rsidR="000A60E8" w:rsidRPr="00FC4145">
        <w:t>, at its sixty-ninth session,</w:t>
      </w:r>
      <w:r w:rsidR="00B27EAD" w:rsidRPr="00FC4145">
        <w:t xml:space="preserve"> will consider the </w:t>
      </w:r>
      <w:r w:rsidR="000A60E8" w:rsidRPr="00FC4145">
        <w:t xml:space="preserve">proposal of the CAJ-AG to invite the TC to </w:t>
      </w:r>
      <w:r w:rsidR="00B27EAD" w:rsidRPr="00FC4145">
        <w:t xml:space="preserve">develop further guidance on </w:t>
      </w:r>
      <w:r w:rsidR="000A60E8" w:rsidRPr="00FC4145">
        <w:t xml:space="preserve">certain matters concerning </w:t>
      </w:r>
      <w:r w:rsidR="00B27EAD" w:rsidRPr="00FC4145">
        <w:t>variety descriptions</w:t>
      </w:r>
      <w:r w:rsidR="000A60E8" w:rsidRPr="00FC4145">
        <w:t xml:space="preserve">, as set out in paragraphs </w:t>
      </w:r>
      <w:r w:rsidR="0028178C">
        <w:t>3</w:t>
      </w:r>
      <w:r w:rsidR="00D23C7A">
        <w:t>7 to 41</w:t>
      </w:r>
      <w:r w:rsidR="000A60E8" w:rsidRPr="00FC4145">
        <w:t>.</w:t>
      </w:r>
    </w:p>
    <w:p w:rsidR="001F4113" w:rsidRDefault="001F4113" w:rsidP="001C553C"/>
    <w:p w:rsidR="001648DC" w:rsidRDefault="001648DC" w:rsidP="001C553C"/>
    <w:p w:rsidR="009678DE" w:rsidRDefault="009678DE" w:rsidP="001C553C"/>
    <w:p w:rsidR="00505A73" w:rsidRPr="00656E7E" w:rsidRDefault="00505A73" w:rsidP="00D135ED">
      <w:pPr>
        <w:pStyle w:val="Heading1"/>
      </w:pPr>
      <w:bookmarkStart w:id="40" w:name="_Toc381174884"/>
      <w:r w:rsidRPr="007F0AA5">
        <w:t>Matters raised by the International Seed Federation (ISF)</w:t>
      </w:r>
      <w:bookmarkEnd w:id="40"/>
    </w:p>
    <w:p w:rsidR="001F4113" w:rsidRDefault="001F4113" w:rsidP="00505A73">
      <w:pPr>
        <w:rPr>
          <w:snapToGrid w:val="0"/>
        </w:rPr>
      </w:pPr>
    </w:p>
    <w:p w:rsidR="00505A73" w:rsidRPr="001F4113" w:rsidRDefault="00505A73" w:rsidP="00505A73">
      <w:pPr>
        <w:rPr>
          <w:i/>
          <w:snapToGrid w:val="0"/>
        </w:rPr>
      </w:pPr>
      <w:r w:rsidRPr="001F4113">
        <w:rPr>
          <w:i/>
          <w:snapToGrid w:val="0"/>
        </w:rPr>
        <w:t>(</w:t>
      </w:r>
      <w:proofErr w:type="gramStart"/>
      <w:r w:rsidRPr="001F4113">
        <w:rPr>
          <w:i/>
        </w:rPr>
        <w:t>see</w:t>
      </w:r>
      <w:proofErr w:type="gramEnd"/>
      <w:r w:rsidRPr="001F4113">
        <w:rPr>
          <w:i/>
        </w:rPr>
        <w:t xml:space="preserve"> document C/47/15 Rev. “Report by the President on the work of the eighty-sixth session of the Consultative Committee; adoption of recommendations, if any, prepared by that Committee”, </w:t>
      </w:r>
      <w:r w:rsidRPr="001F4113">
        <w:rPr>
          <w:i/>
          <w:snapToGrid w:val="0"/>
        </w:rPr>
        <w:t>paragraphs 62 to 66)</w:t>
      </w:r>
    </w:p>
    <w:p w:rsidR="00505A73" w:rsidRDefault="00505A73" w:rsidP="00505A73">
      <w:pPr>
        <w:rPr>
          <w:snapToGrid w:val="0"/>
        </w:rPr>
      </w:pPr>
    </w:p>
    <w:p w:rsidR="00505A73" w:rsidRDefault="00260FDA" w:rsidP="00505A73">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505A73">
        <w:t>T</w:t>
      </w:r>
      <w:r w:rsidR="00505A73" w:rsidRPr="00505A73">
        <w:t>he Consultative Committee</w:t>
      </w:r>
      <w:r w:rsidR="00505A73">
        <w:t>,</w:t>
      </w:r>
      <w:r w:rsidR="00505A73" w:rsidRPr="00505A73">
        <w:t xml:space="preserve"> </w:t>
      </w:r>
      <w:r w:rsidR="00505A73">
        <w:t>at</w:t>
      </w:r>
      <w:r w:rsidR="00505A73" w:rsidRPr="00505A73">
        <w:t xml:space="preserve"> its eighty-sixth session, held in Geneva on October 23</w:t>
      </w:r>
      <w:r w:rsidR="00505A73">
        <w:t xml:space="preserve"> and 24</w:t>
      </w:r>
      <w:r w:rsidR="00505A73" w:rsidRPr="00505A73">
        <w:t>, 2013, discuss</w:t>
      </w:r>
      <w:r w:rsidR="00505A73">
        <w:t>ed</w:t>
      </w:r>
      <w:r w:rsidR="00505A73" w:rsidRPr="00505A73">
        <w:t xml:space="preserve"> the letter of the International Seed Federation (ISF) of January 21, 2013, on the subject “Application, examination and granting aspects of PBR applications” and invite</w:t>
      </w:r>
      <w:r w:rsidR="00505A73">
        <w:t>d</w:t>
      </w:r>
      <w:r w:rsidR="00505A73" w:rsidRPr="00505A73">
        <w:t xml:space="preserve"> ISF to present its views at the relevant part of that item</w:t>
      </w:r>
      <w:r w:rsidR="006A4A4E">
        <w:t>.</w:t>
      </w:r>
    </w:p>
    <w:p w:rsidR="00505A73" w:rsidRDefault="00505A73" w:rsidP="00505A73"/>
    <w:p w:rsidR="00505A73" w:rsidRPr="00C36437" w:rsidRDefault="00260FDA" w:rsidP="00505A73">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505A73" w:rsidRPr="00C36437">
        <w:t>The Consultative Committee agreed to the development of document UPOV/INF/15</w:t>
      </w:r>
      <w:r w:rsidR="00505A73">
        <w:t xml:space="preserve"> “</w:t>
      </w:r>
      <w:r w:rsidR="00505A73" w:rsidRPr="007F0CED">
        <w:t>Guidance for Members of UPOV on Ongoing Obligations and Related Notifications and on the Provision of Information to Facilitate Cooperation</w:t>
      </w:r>
      <w:r w:rsidR="00505A73">
        <w:t>”</w:t>
      </w:r>
      <w:r w:rsidR="00505A73" w:rsidRPr="00C36437">
        <w:t xml:space="preserve"> into an umbrella document that would identify key issues for the operation of a plant variety protection system and which would provide links to</w:t>
      </w:r>
      <w:r w:rsidR="00764373">
        <w:t xml:space="preserve"> detailed information materials.</w:t>
      </w:r>
    </w:p>
    <w:p w:rsidR="00505A73" w:rsidRDefault="00505A73" w:rsidP="00505A73"/>
    <w:p w:rsidR="001648DC" w:rsidRDefault="001648DC" w:rsidP="00505A73"/>
    <w:p w:rsidR="00842EE6" w:rsidRPr="00842EE6" w:rsidRDefault="00842EE6" w:rsidP="006A4A4E">
      <w:pPr>
        <w:pStyle w:val="Heading2"/>
      </w:pPr>
      <w:bookmarkStart w:id="41" w:name="_Toc381174885"/>
      <w:r w:rsidRPr="00842EE6">
        <w:t>Matters which the TC is invited to consider</w:t>
      </w:r>
      <w:bookmarkEnd w:id="41"/>
    </w:p>
    <w:p w:rsidR="00842EE6" w:rsidRPr="00C36437" w:rsidRDefault="00842EE6" w:rsidP="00505A73"/>
    <w:p w:rsidR="00505A73" w:rsidRDefault="00260FDA" w:rsidP="00505A73">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505A73" w:rsidRPr="00C36437">
        <w:t>The Consultative Committee agreed to invite the CAJ and TC to consider the ISF recommendations in relation to existing and possible future information materials</w:t>
      </w:r>
      <w:r w:rsidR="00505A73">
        <w:t xml:space="preserve">, </w:t>
      </w:r>
      <w:r w:rsidR="00505A73" w:rsidRPr="00C36437">
        <w:t>in parallel with the development of document UPOV/INF/15 into an umbrella document.</w:t>
      </w:r>
    </w:p>
    <w:p w:rsidR="00842EE6" w:rsidRDefault="00842EE6" w:rsidP="00505A73"/>
    <w:p w:rsidR="00842EE6" w:rsidRDefault="00260FDA" w:rsidP="00505A73">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D61804">
        <w:t xml:space="preserve">The following were matters </w:t>
      </w:r>
      <w:r w:rsidR="00727189">
        <w:t xml:space="preserve">raised by ISF </w:t>
      </w:r>
      <w:r w:rsidR="00D61804">
        <w:t>that the Consultative Committee agreed to invite the TC to consider:</w:t>
      </w:r>
    </w:p>
    <w:p w:rsidR="00557635" w:rsidRDefault="00557635" w:rsidP="00CF57D7">
      <w:pPr>
        <w:spacing w:line="360" w:lineRule="auto"/>
      </w:pPr>
    </w:p>
    <w:p w:rsidR="00230328" w:rsidRDefault="00230328" w:rsidP="00230328">
      <w:pPr>
        <w:pStyle w:val="Heading3"/>
      </w:pPr>
      <w:bookmarkStart w:id="42" w:name="_Toc381174886"/>
      <w:r>
        <w:t>(a)</w:t>
      </w:r>
      <w:r>
        <w:tab/>
      </w:r>
      <w:r w:rsidRPr="00D61804">
        <w:t>Photographs</w:t>
      </w:r>
      <w:bookmarkEnd w:id="42"/>
    </w:p>
    <w:p w:rsidR="00230328" w:rsidRDefault="00230328" w:rsidP="00505A73"/>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D61804" w:rsidRPr="00230328" w:rsidTr="00230328">
        <w:tc>
          <w:tcPr>
            <w:tcW w:w="8646" w:type="dxa"/>
          </w:tcPr>
          <w:p w:rsidR="00727189" w:rsidRDefault="00727189" w:rsidP="00230328">
            <w:pPr>
              <w:rPr>
                <w:sz w:val="18"/>
                <w:szCs w:val="18"/>
              </w:rPr>
            </w:pPr>
            <w:r>
              <w:rPr>
                <w:sz w:val="18"/>
                <w:szCs w:val="18"/>
              </w:rPr>
              <w:t>[Extract from ISF letter</w:t>
            </w:r>
            <w:r w:rsidR="00B61B03">
              <w:rPr>
                <w:sz w:val="18"/>
                <w:szCs w:val="18"/>
              </w:rPr>
              <w:t xml:space="preserve"> – (English)</w:t>
            </w:r>
            <w:r>
              <w:rPr>
                <w:sz w:val="18"/>
                <w:szCs w:val="18"/>
              </w:rPr>
              <w:t>]</w:t>
            </w:r>
          </w:p>
          <w:p w:rsidR="00230328" w:rsidRPr="00230328" w:rsidRDefault="00230328" w:rsidP="00727189">
            <w:pPr>
              <w:rPr>
                <w:sz w:val="18"/>
                <w:szCs w:val="18"/>
              </w:rPr>
            </w:pPr>
            <w:r>
              <w:rPr>
                <w:sz w:val="18"/>
                <w:szCs w:val="18"/>
              </w:rPr>
              <w:t>“</w:t>
            </w:r>
            <w:r w:rsidRPr="00230328">
              <w:rPr>
                <w:sz w:val="18"/>
                <w:szCs w:val="18"/>
                <w:u w:val="single"/>
              </w:rPr>
              <w:t>Photograph</w:t>
            </w:r>
            <w:r w:rsidRPr="00230328">
              <w:rPr>
                <w:sz w:val="18"/>
                <w:szCs w:val="18"/>
              </w:rPr>
              <w:t xml:space="preserve">: </w:t>
            </w:r>
            <w:r>
              <w:rPr>
                <w:sz w:val="18"/>
                <w:szCs w:val="18"/>
              </w:rPr>
              <w:t xml:space="preserve"> </w:t>
            </w:r>
            <w:r w:rsidRPr="00230328">
              <w:rPr>
                <w:sz w:val="18"/>
                <w:szCs w:val="18"/>
              </w:rPr>
              <w:t>In certain countries examination office require a detailed photograph, in some other</w:t>
            </w:r>
            <w:r>
              <w:rPr>
                <w:sz w:val="18"/>
                <w:szCs w:val="18"/>
              </w:rPr>
              <w:t xml:space="preserve"> </w:t>
            </w:r>
            <w:r w:rsidRPr="00230328">
              <w:rPr>
                <w:sz w:val="18"/>
                <w:szCs w:val="18"/>
              </w:rPr>
              <w:t>countries the comparison varieties need to be in the picture as well, and in yet other countries</w:t>
            </w:r>
            <w:r>
              <w:rPr>
                <w:sz w:val="18"/>
                <w:szCs w:val="18"/>
              </w:rPr>
              <w:t xml:space="preserve"> </w:t>
            </w:r>
            <w:r w:rsidRPr="00230328">
              <w:rPr>
                <w:sz w:val="18"/>
                <w:szCs w:val="18"/>
              </w:rPr>
              <w:t xml:space="preserve">photographs are required and made in the country itself. </w:t>
            </w:r>
            <w:r>
              <w:rPr>
                <w:sz w:val="18"/>
                <w:szCs w:val="18"/>
              </w:rPr>
              <w:t xml:space="preserve"> </w:t>
            </w:r>
            <w:r w:rsidRPr="00230328">
              <w:rPr>
                <w:sz w:val="18"/>
                <w:szCs w:val="18"/>
              </w:rPr>
              <w:t>This is a problem when the time of the</w:t>
            </w:r>
            <w:r>
              <w:rPr>
                <w:sz w:val="18"/>
                <w:szCs w:val="18"/>
              </w:rPr>
              <w:t xml:space="preserve"> PBR </w:t>
            </w:r>
            <w:r w:rsidRPr="00230328">
              <w:rPr>
                <w:sz w:val="18"/>
                <w:szCs w:val="18"/>
              </w:rPr>
              <w:t>application is not during the growing season of the variety, thereby precluding obtaining the</w:t>
            </w:r>
            <w:r>
              <w:rPr>
                <w:sz w:val="18"/>
                <w:szCs w:val="18"/>
              </w:rPr>
              <w:t xml:space="preserve"> </w:t>
            </w:r>
            <w:r w:rsidRPr="00230328">
              <w:rPr>
                <w:sz w:val="18"/>
                <w:szCs w:val="18"/>
              </w:rPr>
              <w:t xml:space="preserve">photograph. </w:t>
            </w:r>
            <w:r>
              <w:rPr>
                <w:sz w:val="18"/>
                <w:szCs w:val="18"/>
              </w:rPr>
              <w:t xml:space="preserve"> </w:t>
            </w:r>
            <w:r w:rsidRPr="00230328">
              <w:rPr>
                <w:sz w:val="18"/>
                <w:szCs w:val="18"/>
              </w:rPr>
              <w:t xml:space="preserve">Therefore, having to provide pictures can delay the application. </w:t>
            </w:r>
            <w:r>
              <w:rPr>
                <w:sz w:val="18"/>
                <w:szCs w:val="18"/>
              </w:rPr>
              <w:t xml:space="preserve"> </w:t>
            </w:r>
            <w:r w:rsidRPr="00230328">
              <w:rPr>
                <w:sz w:val="18"/>
                <w:szCs w:val="18"/>
              </w:rPr>
              <w:t>Also it should be stated that different environments can lead to different morphologies and so the resultant</w:t>
            </w:r>
            <w:r>
              <w:rPr>
                <w:sz w:val="18"/>
                <w:szCs w:val="18"/>
              </w:rPr>
              <w:t xml:space="preserve"> </w:t>
            </w:r>
            <w:r w:rsidRPr="00230328">
              <w:rPr>
                <w:sz w:val="18"/>
                <w:szCs w:val="18"/>
              </w:rPr>
              <w:t xml:space="preserve">photographs can be misleading. </w:t>
            </w:r>
            <w:r>
              <w:rPr>
                <w:sz w:val="18"/>
                <w:szCs w:val="18"/>
              </w:rPr>
              <w:t xml:space="preserve"> </w:t>
            </w:r>
            <w:r w:rsidRPr="00230328">
              <w:rPr>
                <w:sz w:val="18"/>
                <w:szCs w:val="18"/>
              </w:rPr>
              <w:t>In general photographs should not be necessary for agricultural,</w:t>
            </w:r>
            <w:r>
              <w:rPr>
                <w:sz w:val="18"/>
                <w:szCs w:val="18"/>
              </w:rPr>
              <w:t xml:space="preserve"> </w:t>
            </w:r>
            <w:r w:rsidRPr="00230328">
              <w:rPr>
                <w:sz w:val="18"/>
                <w:szCs w:val="18"/>
              </w:rPr>
              <w:t xml:space="preserve">forage or cross-pollinating species. </w:t>
            </w:r>
            <w:r>
              <w:rPr>
                <w:sz w:val="18"/>
                <w:szCs w:val="18"/>
              </w:rPr>
              <w:t xml:space="preserve"> </w:t>
            </w:r>
            <w:r w:rsidRPr="00230328">
              <w:rPr>
                <w:sz w:val="18"/>
                <w:szCs w:val="18"/>
              </w:rPr>
              <w:t>In other crops photographs should only be necessary where it</w:t>
            </w:r>
            <w:r>
              <w:rPr>
                <w:sz w:val="18"/>
                <w:szCs w:val="18"/>
              </w:rPr>
              <w:t xml:space="preserve"> </w:t>
            </w:r>
            <w:r w:rsidRPr="00230328">
              <w:rPr>
                <w:sz w:val="18"/>
                <w:szCs w:val="18"/>
              </w:rPr>
              <w:t xml:space="preserve">is considered relevant, in other words: </w:t>
            </w:r>
            <w:r>
              <w:rPr>
                <w:sz w:val="18"/>
                <w:szCs w:val="18"/>
              </w:rPr>
              <w:t xml:space="preserve"> </w:t>
            </w:r>
            <w:r w:rsidRPr="00230328">
              <w:rPr>
                <w:sz w:val="18"/>
                <w:szCs w:val="18"/>
              </w:rPr>
              <w:t>where they add something useful to information that is</w:t>
            </w:r>
            <w:r>
              <w:rPr>
                <w:sz w:val="18"/>
                <w:szCs w:val="18"/>
              </w:rPr>
              <w:t xml:space="preserve"> </w:t>
            </w:r>
            <w:r w:rsidRPr="00230328">
              <w:rPr>
                <w:sz w:val="18"/>
                <w:szCs w:val="18"/>
              </w:rPr>
              <w:t xml:space="preserve">already provided in the Technical Questionnaire (TQ). </w:t>
            </w:r>
            <w:r>
              <w:rPr>
                <w:sz w:val="18"/>
                <w:szCs w:val="18"/>
              </w:rPr>
              <w:t xml:space="preserve"> </w:t>
            </w:r>
            <w:r w:rsidRPr="00230328">
              <w:rPr>
                <w:sz w:val="18"/>
                <w:szCs w:val="18"/>
              </w:rPr>
              <w:t>In addition, it should not be necessary to</w:t>
            </w:r>
            <w:r>
              <w:rPr>
                <w:sz w:val="18"/>
                <w:szCs w:val="18"/>
              </w:rPr>
              <w:t xml:space="preserve"> </w:t>
            </w:r>
            <w:r w:rsidRPr="00230328">
              <w:rPr>
                <w:sz w:val="18"/>
                <w:szCs w:val="18"/>
              </w:rPr>
              <w:t>provide a photograph of the comparative variety.</w:t>
            </w:r>
            <w:r>
              <w:rPr>
                <w:sz w:val="18"/>
                <w:szCs w:val="18"/>
              </w:rPr>
              <w:t>”</w:t>
            </w:r>
          </w:p>
        </w:tc>
      </w:tr>
      <w:tr w:rsidR="00D61804" w:rsidTr="00230328">
        <w:tc>
          <w:tcPr>
            <w:tcW w:w="8646" w:type="dxa"/>
          </w:tcPr>
          <w:p w:rsidR="00D61804" w:rsidRDefault="00D61804" w:rsidP="00505A73">
            <w:pPr>
              <w:rPr>
                <w:i/>
              </w:rPr>
            </w:pPr>
            <w:r w:rsidRPr="00D61804">
              <w:rPr>
                <w:i/>
              </w:rPr>
              <w:t>Relevant UPOV Materials:</w:t>
            </w:r>
          </w:p>
          <w:p w:rsidR="00A34B37" w:rsidRPr="00D61804" w:rsidRDefault="00A34B37" w:rsidP="00505A73">
            <w:pPr>
              <w:rPr>
                <w:i/>
              </w:rPr>
            </w:pPr>
          </w:p>
          <w:p w:rsidR="00D61804" w:rsidRPr="00D61804" w:rsidRDefault="00D61804" w:rsidP="00D61804">
            <w:pPr>
              <w:pStyle w:val="ListParagraph"/>
              <w:numPr>
                <w:ilvl w:val="0"/>
                <w:numId w:val="5"/>
              </w:numPr>
              <w:tabs>
                <w:tab w:val="left" w:pos="290"/>
                <w:tab w:val="left" w:pos="574"/>
              </w:tabs>
              <w:ind w:left="574" w:hanging="284"/>
              <w:rPr>
                <w:i/>
                <w:snapToGrid w:val="0"/>
              </w:rPr>
            </w:pPr>
            <w:r w:rsidRPr="00D61804">
              <w:rPr>
                <w:i/>
                <w:snapToGrid w:val="0"/>
              </w:rPr>
              <w:t>TGP/9 “Examining Distinctness”, Section 2.5 “Photographs”</w:t>
            </w:r>
          </w:p>
          <w:p w:rsidR="00D61804" w:rsidRPr="00D61804" w:rsidRDefault="00D61804" w:rsidP="00D61804">
            <w:pPr>
              <w:pStyle w:val="ListParagraph"/>
              <w:numPr>
                <w:ilvl w:val="0"/>
                <w:numId w:val="5"/>
              </w:numPr>
              <w:tabs>
                <w:tab w:val="left" w:pos="290"/>
                <w:tab w:val="left" w:pos="574"/>
              </w:tabs>
              <w:ind w:left="574" w:hanging="284"/>
              <w:rPr>
                <w:i/>
                <w:snapToGrid w:val="0"/>
              </w:rPr>
            </w:pPr>
            <w:r w:rsidRPr="00D61804">
              <w:rPr>
                <w:i/>
                <w:snapToGrid w:val="0"/>
              </w:rPr>
              <w:t xml:space="preserve">TGP/7 “Development of Test Guidelines” </w:t>
            </w:r>
          </w:p>
          <w:p w:rsidR="00A34B37" w:rsidRDefault="00A34B37" w:rsidP="00D61804">
            <w:pPr>
              <w:rPr>
                <w:i/>
                <w:snapToGrid w:val="0"/>
              </w:rPr>
            </w:pPr>
          </w:p>
          <w:p w:rsidR="00D61804" w:rsidRDefault="00D61804" w:rsidP="00A34B37">
            <w:r w:rsidRPr="00D61804">
              <w:rPr>
                <w:i/>
                <w:snapToGrid w:val="0"/>
              </w:rPr>
              <w:t>The TC has agreed to the new Additional Standard Wording (ASW) and Guidance Note (GN) for “providing photographs with the Technical Questionnaire”, on the basis of the Annex to document TC/49/20, for inclusion in a future revision of document TGP/7.  The TC has also agreed that the “Guidance for Providing Photographs with the Technical Questionnaire” should be provided to members of the Union by means of a link to the relevant part of the UPOV</w:t>
            </w:r>
            <w:r w:rsidR="00A34B37">
              <w:rPr>
                <w:i/>
                <w:snapToGrid w:val="0"/>
              </w:rPr>
              <w:t> </w:t>
            </w:r>
            <w:r w:rsidRPr="00D61804">
              <w:rPr>
                <w:i/>
                <w:snapToGrid w:val="0"/>
              </w:rPr>
              <w:t>website (see document TC/49/41 “Report on the Conclusi</w:t>
            </w:r>
            <w:r w:rsidR="00A34B37">
              <w:rPr>
                <w:i/>
                <w:snapToGrid w:val="0"/>
              </w:rPr>
              <w:t>ons”, paragraphs 45 to 47).</w:t>
            </w:r>
          </w:p>
        </w:tc>
      </w:tr>
    </w:tbl>
    <w:p w:rsidR="00A34B37" w:rsidRDefault="00A34B37" w:rsidP="00CF57D7">
      <w:pPr>
        <w:spacing w:line="360" w:lineRule="auto"/>
      </w:pPr>
    </w:p>
    <w:p w:rsidR="00A34B37" w:rsidRDefault="00A34B37" w:rsidP="00A34B37">
      <w:pPr>
        <w:pStyle w:val="Heading3"/>
      </w:pPr>
      <w:bookmarkStart w:id="43" w:name="_Toc381174887"/>
      <w:r>
        <w:rPr>
          <w:snapToGrid w:val="0"/>
        </w:rPr>
        <w:t>(b)</w:t>
      </w:r>
      <w:r>
        <w:rPr>
          <w:snapToGrid w:val="0"/>
        </w:rPr>
        <w:tab/>
      </w:r>
      <w:r w:rsidRPr="00D61804">
        <w:rPr>
          <w:snapToGrid w:val="0"/>
        </w:rPr>
        <w:t>Minimum sample size</w:t>
      </w:r>
      <w:bookmarkEnd w:id="43"/>
    </w:p>
    <w:p w:rsidR="00A34B37" w:rsidRDefault="00A34B37"/>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D61804" w:rsidRPr="00A34B37" w:rsidTr="00230328">
        <w:tc>
          <w:tcPr>
            <w:tcW w:w="8646" w:type="dxa"/>
          </w:tcPr>
          <w:p w:rsidR="00727189" w:rsidRDefault="00727189" w:rsidP="00727189">
            <w:pPr>
              <w:rPr>
                <w:sz w:val="18"/>
                <w:szCs w:val="18"/>
              </w:rPr>
            </w:pPr>
            <w:r>
              <w:rPr>
                <w:sz w:val="18"/>
                <w:szCs w:val="18"/>
              </w:rPr>
              <w:t>[Extract from ISF letter]</w:t>
            </w:r>
          </w:p>
          <w:p w:rsidR="00D61804" w:rsidRDefault="00A34B37" w:rsidP="00727189">
            <w:pPr>
              <w:rPr>
                <w:sz w:val="18"/>
                <w:szCs w:val="18"/>
              </w:rPr>
            </w:pPr>
            <w:r>
              <w:rPr>
                <w:sz w:val="18"/>
                <w:szCs w:val="18"/>
              </w:rPr>
              <w:t>“</w:t>
            </w:r>
            <w:r w:rsidRPr="00A34B37">
              <w:rPr>
                <w:sz w:val="18"/>
                <w:szCs w:val="18"/>
                <w:u w:val="single"/>
              </w:rPr>
              <w:t>Minimum sample size</w:t>
            </w:r>
            <w:r w:rsidRPr="00A34B37">
              <w:rPr>
                <w:sz w:val="18"/>
                <w:szCs w:val="18"/>
              </w:rPr>
              <w:t>:</w:t>
            </w:r>
            <w:r>
              <w:rPr>
                <w:sz w:val="18"/>
                <w:szCs w:val="18"/>
              </w:rPr>
              <w:t xml:space="preserve"> </w:t>
            </w:r>
            <w:r w:rsidRPr="00A34B37">
              <w:rPr>
                <w:sz w:val="18"/>
                <w:szCs w:val="18"/>
              </w:rPr>
              <w:t xml:space="preserve"> In most countries there is a minimum seed sample size or number of plants</w:t>
            </w:r>
            <w:r>
              <w:rPr>
                <w:sz w:val="18"/>
                <w:szCs w:val="18"/>
              </w:rPr>
              <w:t xml:space="preserve"> </w:t>
            </w:r>
            <w:r w:rsidRPr="00A34B37">
              <w:rPr>
                <w:sz w:val="18"/>
                <w:szCs w:val="18"/>
              </w:rPr>
              <w:t xml:space="preserve">required. </w:t>
            </w:r>
            <w:r>
              <w:rPr>
                <w:sz w:val="18"/>
                <w:szCs w:val="18"/>
              </w:rPr>
              <w:t xml:space="preserve"> </w:t>
            </w:r>
            <w:r w:rsidRPr="00A34B37">
              <w:rPr>
                <w:sz w:val="18"/>
                <w:szCs w:val="18"/>
              </w:rPr>
              <w:t xml:space="preserve">However, in some countries the requested sample sizes can be exceptionally high. </w:t>
            </w:r>
            <w:r>
              <w:rPr>
                <w:sz w:val="18"/>
                <w:szCs w:val="18"/>
              </w:rPr>
              <w:t xml:space="preserve"> </w:t>
            </w:r>
            <w:r w:rsidRPr="00A34B37">
              <w:rPr>
                <w:sz w:val="18"/>
                <w:szCs w:val="18"/>
              </w:rPr>
              <w:t xml:space="preserve">It is especially the case for parent-lines where high requirements can be problematic. </w:t>
            </w:r>
            <w:r>
              <w:rPr>
                <w:sz w:val="18"/>
                <w:szCs w:val="18"/>
              </w:rPr>
              <w:t xml:space="preserve"> </w:t>
            </w:r>
            <w:r w:rsidRPr="00A34B37">
              <w:rPr>
                <w:sz w:val="18"/>
                <w:szCs w:val="18"/>
              </w:rPr>
              <w:t>Seed quantities</w:t>
            </w:r>
            <w:r>
              <w:rPr>
                <w:sz w:val="18"/>
                <w:szCs w:val="18"/>
              </w:rPr>
              <w:t xml:space="preserve"> </w:t>
            </w:r>
            <w:r w:rsidRPr="00A34B37">
              <w:rPr>
                <w:sz w:val="18"/>
                <w:szCs w:val="18"/>
              </w:rPr>
              <w:t xml:space="preserve">should be reasonable, and optimally as low as possible. </w:t>
            </w:r>
            <w:r>
              <w:rPr>
                <w:sz w:val="18"/>
                <w:szCs w:val="18"/>
              </w:rPr>
              <w:t xml:space="preserve"> </w:t>
            </w:r>
            <w:r w:rsidRPr="00A34B37">
              <w:rPr>
                <w:sz w:val="18"/>
                <w:szCs w:val="18"/>
              </w:rPr>
              <w:t>PBR authorities are encouraged to only</w:t>
            </w:r>
            <w:r>
              <w:rPr>
                <w:sz w:val="18"/>
                <w:szCs w:val="18"/>
              </w:rPr>
              <w:t xml:space="preserve"> </w:t>
            </w:r>
            <w:r w:rsidRPr="00A34B37">
              <w:rPr>
                <w:sz w:val="18"/>
                <w:szCs w:val="18"/>
              </w:rPr>
              <w:t xml:space="preserve">request what seed that is actually needed and those amounts should be harmonized worldwide. </w:t>
            </w:r>
            <w:r>
              <w:rPr>
                <w:sz w:val="18"/>
                <w:szCs w:val="18"/>
              </w:rPr>
              <w:t xml:space="preserve"> </w:t>
            </w:r>
            <w:r w:rsidRPr="00A34B37">
              <w:rPr>
                <w:sz w:val="18"/>
                <w:szCs w:val="18"/>
              </w:rPr>
              <w:t>In</w:t>
            </w:r>
            <w:r>
              <w:rPr>
                <w:sz w:val="18"/>
                <w:szCs w:val="18"/>
              </w:rPr>
              <w:t xml:space="preserve"> </w:t>
            </w:r>
            <w:r w:rsidRPr="00A34B37">
              <w:rPr>
                <w:sz w:val="18"/>
                <w:szCs w:val="18"/>
              </w:rPr>
              <w:t>general it is better to request seeds by the criterion of number rather than by weight.</w:t>
            </w:r>
            <w:r>
              <w:rPr>
                <w:sz w:val="18"/>
                <w:szCs w:val="18"/>
              </w:rPr>
              <w:t>”</w:t>
            </w:r>
          </w:p>
          <w:p w:rsidR="00A34B37" w:rsidRPr="00A34B37" w:rsidRDefault="00A34B37" w:rsidP="00A34B37">
            <w:pPr>
              <w:rPr>
                <w:sz w:val="18"/>
                <w:szCs w:val="18"/>
              </w:rPr>
            </w:pPr>
          </w:p>
        </w:tc>
      </w:tr>
      <w:tr w:rsidR="00D61804" w:rsidRPr="005C3E02" w:rsidTr="00230328">
        <w:tc>
          <w:tcPr>
            <w:tcW w:w="8646" w:type="dxa"/>
          </w:tcPr>
          <w:p w:rsidR="00D61804" w:rsidRDefault="00D61804" w:rsidP="00D61804">
            <w:pPr>
              <w:rPr>
                <w:i/>
              </w:rPr>
            </w:pPr>
            <w:r w:rsidRPr="005C3E02">
              <w:rPr>
                <w:i/>
              </w:rPr>
              <w:t>Relevant UPOV Materials:</w:t>
            </w:r>
          </w:p>
          <w:p w:rsidR="00A34B37" w:rsidRPr="005C3E02" w:rsidRDefault="00A34B37" w:rsidP="00D61804">
            <w:pPr>
              <w:rPr>
                <w:i/>
              </w:rPr>
            </w:pPr>
          </w:p>
          <w:p w:rsidR="00D61804" w:rsidRPr="005C3E02" w:rsidRDefault="005C3E02" w:rsidP="005C3E02">
            <w:pPr>
              <w:pStyle w:val="ListParagraph"/>
              <w:numPr>
                <w:ilvl w:val="0"/>
                <w:numId w:val="7"/>
              </w:numPr>
              <w:rPr>
                <w:i/>
              </w:rPr>
            </w:pPr>
            <w:r w:rsidRPr="005C3E02">
              <w:rPr>
                <w:i/>
              </w:rPr>
              <w:t>TGP/7, Section 4 “Development of Individua</w:t>
            </w:r>
            <w:r w:rsidR="00A34B37">
              <w:rPr>
                <w:i/>
              </w:rPr>
              <w:t>l Authorities’ Test Guidelines”</w:t>
            </w:r>
          </w:p>
        </w:tc>
      </w:tr>
    </w:tbl>
    <w:p w:rsidR="00A34B37" w:rsidRDefault="00A34B37" w:rsidP="00CF57D7">
      <w:pPr>
        <w:spacing w:line="360" w:lineRule="auto"/>
      </w:pPr>
    </w:p>
    <w:p w:rsidR="00A34B37" w:rsidRDefault="00A34B37" w:rsidP="00A34B37">
      <w:pPr>
        <w:pStyle w:val="Heading3"/>
      </w:pPr>
      <w:bookmarkStart w:id="44" w:name="_Toc381174888"/>
      <w:r w:rsidRPr="005C3E02">
        <w:t>(c)</w:t>
      </w:r>
      <w:r w:rsidRPr="005C3E02">
        <w:tab/>
      </w:r>
      <w:r w:rsidRPr="005C3E02">
        <w:rPr>
          <w:snapToGrid w:val="0"/>
        </w:rPr>
        <w:t>Reference collections</w:t>
      </w:r>
      <w:bookmarkEnd w:id="44"/>
    </w:p>
    <w:p w:rsidR="00A34B37" w:rsidRDefault="00A34B37"/>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A34B37" w:rsidTr="00230328">
        <w:tc>
          <w:tcPr>
            <w:tcW w:w="8646" w:type="dxa"/>
          </w:tcPr>
          <w:p w:rsidR="00727189" w:rsidRDefault="00727189" w:rsidP="00727189">
            <w:pPr>
              <w:rPr>
                <w:sz w:val="18"/>
                <w:szCs w:val="18"/>
              </w:rPr>
            </w:pPr>
            <w:r>
              <w:rPr>
                <w:sz w:val="18"/>
                <w:szCs w:val="18"/>
              </w:rPr>
              <w:t>[Extract from ISF letter]</w:t>
            </w:r>
          </w:p>
          <w:p w:rsidR="00A34B37" w:rsidRDefault="005379E7" w:rsidP="00727189">
            <w:pPr>
              <w:rPr>
                <w:sz w:val="18"/>
                <w:szCs w:val="18"/>
              </w:rPr>
            </w:pPr>
            <w:r>
              <w:rPr>
                <w:sz w:val="18"/>
                <w:szCs w:val="18"/>
              </w:rPr>
              <w:t>“</w:t>
            </w:r>
            <w:r w:rsidR="00A34B37" w:rsidRPr="00A34B37">
              <w:rPr>
                <w:sz w:val="18"/>
                <w:szCs w:val="18"/>
                <w:u w:val="single"/>
              </w:rPr>
              <w:t>Reference collections</w:t>
            </w:r>
            <w:r w:rsidR="00A34B37" w:rsidRPr="00A34B37">
              <w:rPr>
                <w:sz w:val="18"/>
                <w:szCs w:val="18"/>
              </w:rPr>
              <w:t xml:space="preserve">: </w:t>
            </w:r>
            <w:r w:rsidR="00A34B37">
              <w:rPr>
                <w:sz w:val="18"/>
                <w:szCs w:val="18"/>
              </w:rPr>
              <w:t xml:space="preserve"> </w:t>
            </w:r>
            <w:r w:rsidR="00A34B37" w:rsidRPr="00A34B37">
              <w:rPr>
                <w:sz w:val="18"/>
                <w:szCs w:val="18"/>
              </w:rPr>
              <w:t>In certain countries it is known that the examining office is not using the</w:t>
            </w:r>
            <w:r w:rsidR="00A34B37">
              <w:rPr>
                <w:sz w:val="18"/>
                <w:szCs w:val="18"/>
              </w:rPr>
              <w:t xml:space="preserve"> </w:t>
            </w:r>
            <w:r w:rsidR="00A34B37" w:rsidRPr="00A34B37">
              <w:rPr>
                <w:sz w:val="18"/>
                <w:szCs w:val="18"/>
              </w:rPr>
              <w:t>proper comparison varieties, and this is often due to an incomplete reference collection.</w:t>
            </w:r>
          </w:p>
          <w:p w:rsidR="00A34B37" w:rsidRPr="00A34B37" w:rsidRDefault="00A34B37" w:rsidP="00A34B37">
            <w:pPr>
              <w:rPr>
                <w:sz w:val="18"/>
                <w:szCs w:val="18"/>
              </w:rPr>
            </w:pPr>
          </w:p>
          <w:p w:rsidR="00A34B37" w:rsidRDefault="00D51088" w:rsidP="00A34B37">
            <w:pPr>
              <w:rPr>
                <w:sz w:val="18"/>
                <w:szCs w:val="18"/>
              </w:rPr>
            </w:pPr>
            <w:r>
              <w:rPr>
                <w:sz w:val="18"/>
                <w:szCs w:val="18"/>
              </w:rPr>
              <w:t>“</w:t>
            </w:r>
            <w:r w:rsidR="00A34B37" w:rsidRPr="00A34B37">
              <w:rPr>
                <w:sz w:val="18"/>
                <w:szCs w:val="18"/>
              </w:rPr>
              <w:t>ISF members feel that an insufficient reference collection weakens protection as varieties which</w:t>
            </w:r>
            <w:r w:rsidR="00A34B37">
              <w:rPr>
                <w:sz w:val="18"/>
                <w:szCs w:val="18"/>
              </w:rPr>
              <w:t xml:space="preserve"> </w:t>
            </w:r>
            <w:r w:rsidR="00A34B37" w:rsidRPr="00A34B37">
              <w:rPr>
                <w:sz w:val="18"/>
                <w:szCs w:val="18"/>
              </w:rPr>
              <w:t xml:space="preserve">are too similar receive protection. </w:t>
            </w:r>
            <w:r w:rsidR="00A34B37">
              <w:rPr>
                <w:sz w:val="18"/>
                <w:szCs w:val="18"/>
              </w:rPr>
              <w:t xml:space="preserve"> </w:t>
            </w:r>
            <w:r w:rsidR="00A34B37" w:rsidRPr="00A34B37">
              <w:rPr>
                <w:sz w:val="18"/>
                <w:szCs w:val="18"/>
              </w:rPr>
              <w:t>The reference collection needs to be as complete as possible.</w:t>
            </w:r>
          </w:p>
          <w:p w:rsidR="00A34B37" w:rsidRPr="00A34B37" w:rsidRDefault="00A34B37" w:rsidP="00A34B37">
            <w:pPr>
              <w:rPr>
                <w:sz w:val="18"/>
                <w:szCs w:val="18"/>
              </w:rPr>
            </w:pPr>
          </w:p>
          <w:p w:rsidR="00A34B37" w:rsidRPr="00A34B37" w:rsidRDefault="00D51088" w:rsidP="00A34B37">
            <w:pPr>
              <w:rPr>
                <w:sz w:val="18"/>
                <w:szCs w:val="18"/>
              </w:rPr>
            </w:pPr>
            <w:r>
              <w:rPr>
                <w:sz w:val="18"/>
                <w:szCs w:val="18"/>
              </w:rPr>
              <w:t>“</w:t>
            </w:r>
            <w:r w:rsidR="00A34B37" w:rsidRPr="00A34B37">
              <w:rPr>
                <w:sz w:val="18"/>
                <w:szCs w:val="18"/>
              </w:rPr>
              <w:t>Another problem is that in several countries the applicant has to provide seeds of the most similar</w:t>
            </w:r>
            <w:r w:rsidR="00A34B37">
              <w:rPr>
                <w:sz w:val="18"/>
                <w:szCs w:val="18"/>
              </w:rPr>
              <w:t xml:space="preserve"> </w:t>
            </w:r>
            <w:r w:rsidR="00A34B37" w:rsidRPr="00A34B37">
              <w:rPr>
                <w:sz w:val="18"/>
                <w:szCs w:val="18"/>
              </w:rPr>
              <w:t>comparison varieties even if these are of a competitor variety.</w:t>
            </w:r>
          </w:p>
          <w:p w:rsidR="00A34B37" w:rsidRDefault="00A34B37" w:rsidP="00A34B37">
            <w:pPr>
              <w:rPr>
                <w:sz w:val="18"/>
                <w:szCs w:val="18"/>
              </w:rPr>
            </w:pPr>
          </w:p>
          <w:p w:rsidR="00A34B37" w:rsidRDefault="00D51088" w:rsidP="00A34B37">
            <w:pPr>
              <w:rPr>
                <w:sz w:val="18"/>
                <w:szCs w:val="18"/>
              </w:rPr>
            </w:pPr>
            <w:r>
              <w:rPr>
                <w:sz w:val="18"/>
                <w:szCs w:val="18"/>
              </w:rPr>
              <w:t>“</w:t>
            </w:r>
            <w:r w:rsidR="00A34B37" w:rsidRPr="00A34B37">
              <w:rPr>
                <w:sz w:val="18"/>
                <w:szCs w:val="18"/>
              </w:rPr>
              <w:t>Luckily the above problems are recognized by PBR offices in several countries and they are</w:t>
            </w:r>
            <w:r w:rsidR="00A34B37">
              <w:rPr>
                <w:sz w:val="18"/>
                <w:szCs w:val="18"/>
              </w:rPr>
              <w:t xml:space="preserve"> </w:t>
            </w:r>
            <w:r w:rsidR="00A34B37" w:rsidRPr="00A34B37">
              <w:rPr>
                <w:sz w:val="18"/>
                <w:szCs w:val="18"/>
              </w:rPr>
              <w:t>working with the seed industry to overcome these problems.</w:t>
            </w:r>
          </w:p>
          <w:p w:rsidR="00A34B37" w:rsidRPr="00A34B37" w:rsidRDefault="00A34B37" w:rsidP="00A34B37">
            <w:pPr>
              <w:rPr>
                <w:sz w:val="18"/>
                <w:szCs w:val="18"/>
              </w:rPr>
            </w:pPr>
          </w:p>
          <w:p w:rsidR="005C3E02" w:rsidRDefault="00D51088" w:rsidP="005379E7">
            <w:pPr>
              <w:rPr>
                <w:sz w:val="18"/>
                <w:szCs w:val="18"/>
              </w:rPr>
            </w:pPr>
            <w:r>
              <w:rPr>
                <w:sz w:val="18"/>
                <w:szCs w:val="18"/>
              </w:rPr>
              <w:t>“</w:t>
            </w:r>
            <w:r w:rsidR="00A34B37" w:rsidRPr="00A34B37">
              <w:rPr>
                <w:sz w:val="18"/>
                <w:szCs w:val="18"/>
              </w:rPr>
              <w:t>As a general point ISF would like the quality of examinations to be brought to a higher level, and in</w:t>
            </w:r>
            <w:r w:rsidR="00A34B37">
              <w:rPr>
                <w:sz w:val="18"/>
                <w:szCs w:val="18"/>
              </w:rPr>
              <w:t xml:space="preserve"> </w:t>
            </w:r>
            <w:r w:rsidR="00A34B37" w:rsidRPr="00A34B37">
              <w:rPr>
                <w:sz w:val="18"/>
                <w:szCs w:val="18"/>
              </w:rPr>
              <w:t>this respect would like to propose UPOV to consider a quality assurance program for PBR offices</w:t>
            </w:r>
            <w:r w:rsidR="00A34B37">
              <w:rPr>
                <w:sz w:val="18"/>
                <w:szCs w:val="18"/>
              </w:rPr>
              <w:t xml:space="preserve"> </w:t>
            </w:r>
            <w:r w:rsidR="00A20023">
              <w:rPr>
                <w:sz w:val="18"/>
                <w:szCs w:val="18"/>
              </w:rPr>
              <w:t>with an audit system</w:t>
            </w:r>
            <w:r w:rsidR="00A34B37" w:rsidRPr="00A34B37">
              <w:rPr>
                <w:sz w:val="18"/>
                <w:szCs w:val="18"/>
              </w:rPr>
              <w:t xml:space="preserve">, similar to those performed by the ISTA. </w:t>
            </w:r>
            <w:r w:rsidR="005379E7">
              <w:rPr>
                <w:sz w:val="18"/>
                <w:szCs w:val="18"/>
              </w:rPr>
              <w:t xml:space="preserve"> </w:t>
            </w:r>
            <w:r w:rsidR="00A34B37" w:rsidRPr="00A34B37">
              <w:rPr>
                <w:sz w:val="18"/>
                <w:szCs w:val="18"/>
              </w:rPr>
              <w:t>ISF would be happy to further</w:t>
            </w:r>
            <w:r w:rsidR="005379E7">
              <w:rPr>
                <w:sz w:val="18"/>
                <w:szCs w:val="18"/>
              </w:rPr>
              <w:t xml:space="preserve"> </w:t>
            </w:r>
            <w:r w:rsidR="00A34B37" w:rsidRPr="00A34B37">
              <w:rPr>
                <w:sz w:val="18"/>
                <w:szCs w:val="18"/>
              </w:rPr>
              <w:t xml:space="preserve">discuss the possible benefits of this proposal. </w:t>
            </w:r>
            <w:r w:rsidR="005379E7">
              <w:rPr>
                <w:sz w:val="18"/>
                <w:szCs w:val="18"/>
              </w:rPr>
              <w:t xml:space="preserve"> </w:t>
            </w:r>
            <w:r w:rsidR="00A34B37" w:rsidRPr="00A34B37">
              <w:rPr>
                <w:sz w:val="18"/>
                <w:szCs w:val="18"/>
              </w:rPr>
              <w:t>Alternatively, UPOV could consider providing</w:t>
            </w:r>
            <w:r w:rsidR="005379E7">
              <w:rPr>
                <w:sz w:val="18"/>
                <w:szCs w:val="18"/>
              </w:rPr>
              <w:t xml:space="preserve"> </w:t>
            </w:r>
            <w:r w:rsidR="00A34B37" w:rsidRPr="00A34B37">
              <w:rPr>
                <w:sz w:val="18"/>
                <w:szCs w:val="18"/>
              </w:rPr>
              <w:t xml:space="preserve">guidelines to PBR examination offices on best practices for conducting their examinations. </w:t>
            </w:r>
            <w:r w:rsidR="005379E7">
              <w:rPr>
                <w:sz w:val="18"/>
                <w:szCs w:val="18"/>
              </w:rPr>
              <w:t xml:space="preserve"> </w:t>
            </w:r>
            <w:r w:rsidR="00A34B37" w:rsidRPr="00A34B37">
              <w:rPr>
                <w:sz w:val="18"/>
                <w:szCs w:val="18"/>
              </w:rPr>
              <w:t>The</w:t>
            </w:r>
            <w:r w:rsidR="005379E7">
              <w:rPr>
                <w:sz w:val="18"/>
                <w:szCs w:val="18"/>
              </w:rPr>
              <w:t xml:space="preserve"> </w:t>
            </w:r>
            <w:r w:rsidR="00A34B37" w:rsidRPr="00A34B37">
              <w:rPr>
                <w:sz w:val="18"/>
                <w:szCs w:val="18"/>
              </w:rPr>
              <w:t>UPOV Distance Learning Course on DUS testing and calibration books are already excellent</w:t>
            </w:r>
            <w:r w:rsidR="005379E7">
              <w:rPr>
                <w:sz w:val="18"/>
                <w:szCs w:val="18"/>
              </w:rPr>
              <w:t xml:space="preserve"> </w:t>
            </w:r>
            <w:r w:rsidR="00A34B37" w:rsidRPr="00A34B37">
              <w:rPr>
                <w:sz w:val="18"/>
                <w:szCs w:val="18"/>
              </w:rPr>
              <w:t xml:space="preserve">examples of good progress in this area. </w:t>
            </w:r>
            <w:r w:rsidR="005379E7">
              <w:rPr>
                <w:sz w:val="18"/>
                <w:szCs w:val="18"/>
              </w:rPr>
              <w:t xml:space="preserve"> </w:t>
            </w:r>
            <w:r w:rsidR="00A34B37" w:rsidRPr="00A34B37">
              <w:rPr>
                <w:sz w:val="18"/>
                <w:szCs w:val="18"/>
              </w:rPr>
              <w:t>The seed industry has a keen interest in having good</w:t>
            </w:r>
            <w:r w:rsidR="005379E7">
              <w:rPr>
                <w:sz w:val="18"/>
                <w:szCs w:val="18"/>
              </w:rPr>
              <w:t xml:space="preserve"> </w:t>
            </w:r>
            <w:r w:rsidR="00A34B37" w:rsidRPr="00A34B37">
              <w:rPr>
                <w:sz w:val="18"/>
                <w:szCs w:val="18"/>
              </w:rPr>
              <w:t>quality variety descriptions and consequently, a high quality PBR certificate.</w:t>
            </w:r>
            <w:r w:rsidR="005379E7">
              <w:rPr>
                <w:sz w:val="18"/>
                <w:szCs w:val="18"/>
              </w:rPr>
              <w:t>”</w:t>
            </w:r>
          </w:p>
          <w:p w:rsidR="005379E7" w:rsidRPr="00A34B37" w:rsidRDefault="005379E7" w:rsidP="005379E7">
            <w:pPr>
              <w:rPr>
                <w:sz w:val="18"/>
                <w:szCs w:val="18"/>
              </w:rPr>
            </w:pPr>
          </w:p>
        </w:tc>
      </w:tr>
      <w:tr w:rsidR="005C3E02" w:rsidRPr="005C3E02" w:rsidTr="00D51088">
        <w:trPr>
          <w:cantSplit/>
        </w:trPr>
        <w:tc>
          <w:tcPr>
            <w:tcW w:w="8646" w:type="dxa"/>
          </w:tcPr>
          <w:p w:rsidR="005C3E02" w:rsidRPr="00FC4145" w:rsidRDefault="005C3E02" w:rsidP="005C3E02">
            <w:pPr>
              <w:rPr>
                <w:i/>
              </w:rPr>
            </w:pPr>
            <w:r w:rsidRPr="00FC4145">
              <w:rPr>
                <w:i/>
              </w:rPr>
              <w:t>Relevant UPOV Materials:</w:t>
            </w:r>
          </w:p>
          <w:p w:rsidR="005379E7" w:rsidRPr="00FC4145" w:rsidRDefault="005379E7" w:rsidP="005C3E02">
            <w:pPr>
              <w:rPr>
                <w:i/>
              </w:rPr>
            </w:pPr>
          </w:p>
          <w:p w:rsidR="005C3E02" w:rsidRPr="00FC4145" w:rsidRDefault="005C3E02" w:rsidP="005C3E02">
            <w:pPr>
              <w:pStyle w:val="ListParagraph"/>
              <w:numPr>
                <w:ilvl w:val="0"/>
                <w:numId w:val="5"/>
              </w:numPr>
              <w:tabs>
                <w:tab w:val="left" w:pos="290"/>
                <w:tab w:val="left" w:pos="574"/>
              </w:tabs>
              <w:ind w:left="574" w:hanging="284"/>
              <w:rPr>
                <w:i/>
                <w:snapToGrid w:val="0"/>
              </w:rPr>
            </w:pPr>
            <w:r w:rsidRPr="00FC4145">
              <w:rPr>
                <w:i/>
                <w:snapToGrid w:val="0"/>
              </w:rPr>
              <w:t>TG/1/3 “General Introduction to the Examination of Distinctness, Uniformity and Stability and the Development of Harmonized Descriptions of New Varieties of Plants” and TGP documents</w:t>
            </w:r>
          </w:p>
          <w:p w:rsidR="005C3E02" w:rsidRPr="00FC4145" w:rsidRDefault="005C3E02" w:rsidP="00D61804">
            <w:pPr>
              <w:pStyle w:val="ListParagraph"/>
              <w:numPr>
                <w:ilvl w:val="0"/>
                <w:numId w:val="5"/>
              </w:numPr>
              <w:tabs>
                <w:tab w:val="left" w:pos="290"/>
                <w:tab w:val="left" w:pos="574"/>
              </w:tabs>
              <w:ind w:left="574" w:hanging="284"/>
              <w:rPr>
                <w:i/>
                <w:snapToGrid w:val="0"/>
              </w:rPr>
            </w:pPr>
            <w:r w:rsidRPr="00FC4145">
              <w:rPr>
                <w:i/>
                <w:snapToGrid w:val="0"/>
              </w:rPr>
              <w:t>Future information material:  Distance Learning Course DL</w:t>
            </w:r>
            <w:r w:rsidR="00D51088" w:rsidRPr="00FC4145">
              <w:rPr>
                <w:i/>
                <w:snapToGrid w:val="0"/>
              </w:rPr>
              <w:t>-</w:t>
            </w:r>
            <w:r w:rsidRPr="00FC4145">
              <w:rPr>
                <w:i/>
                <w:snapToGrid w:val="0"/>
              </w:rPr>
              <w:t>305</w:t>
            </w:r>
          </w:p>
          <w:p w:rsidR="005379E7" w:rsidRPr="00FC4145" w:rsidRDefault="005379E7" w:rsidP="005379E7"/>
          <w:p w:rsidR="005379E7" w:rsidRPr="005379E7" w:rsidRDefault="005379E7" w:rsidP="005379E7">
            <w:r w:rsidRPr="00FC4145">
              <w:rPr>
                <w:i/>
              </w:rPr>
              <w:t>The Consultative Committee will consider any matters concerning a UPOV quality ass</w:t>
            </w:r>
            <w:r w:rsidR="00D23C7A">
              <w:rPr>
                <w:i/>
              </w:rPr>
              <w:t>urance program (see paragraph 46</w:t>
            </w:r>
            <w:r w:rsidRPr="00FC4145">
              <w:rPr>
                <w:i/>
              </w:rPr>
              <w:t xml:space="preserve"> below).</w:t>
            </w:r>
          </w:p>
        </w:tc>
      </w:tr>
    </w:tbl>
    <w:p w:rsidR="005379E7" w:rsidRDefault="005379E7" w:rsidP="00CF57D7">
      <w:pPr>
        <w:spacing w:line="360" w:lineRule="auto"/>
      </w:pPr>
    </w:p>
    <w:p w:rsidR="005379E7" w:rsidRDefault="005379E7" w:rsidP="00727189">
      <w:pPr>
        <w:pStyle w:val="Heading3"/>
      </w:pPr>
      <w:bookmarkStart w:id="45" w:name="_Toc381174889"/>
      <w:r w:rsidRPr="005C3E02">
        <w:t>(d)</w:t>
      </w:r>
      <w:r w:rsidRPr="005C3E02">
        <w:tab/>
        <w:t>Length of examination</w:t>
      </w:r>
      <w:bookmarkEnd w:id="45"/>
    </w:p>
    <w:p w:rsidR="005379E7" w:rsidRDefault="005379E7" w:rsidP="00727189">
      <w:pPr>
        <w:keepNext/>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D51088" w:rsidTr="00727189">
        <w:trPr>
          <w:cantSplit/>
        </w:trPr>
        <w:tc>
          <w:tcPr>
            <w:tcW w:w="8646" w:type="dxa"/>
          </w:tcPr>
          <w:p w:rsidR="00727189" w:rsidRDefault="00727189" w:rsidP="00727189">
            <w:pPr>
              <w:rPr>
                <w:sz w:val="18"/>
                <w:szCs w:val="18"/>
              </w:rPr>
            </w:pPr>
            <w:r>
              <w:rPr>
                <w:sz w:val="18"/>
                <w:szCs w:val="18"/>
              </w:rPr>
              <w:t>[Extract from ISF letter]</w:t>
            </w:r>
          </w:p>
          <w:p w:rsidR="005C3E02" w:rsidRPr="00D51088" w:rsidRDefault="00D51088" w:rsidP="00727189">
            <w:pPr>
              <w:rPr>
                <w:sz w:val="18"/>
                <w:szCs w:val="18"/>
              </w:rPr>
            </w:pPr>
            <w:r>
              <w:rPr>
                <w:sz w:val="18"/>
                <w:szCs w:val="18"/>
              </w:rPr>
              <w:t>“</w:t>
            </w:r>
            <w:r w:rsidRPr="00D51088">
              <w:rPr>
                <w:sz w:val="18"/>
                <w:szCs w:val="18"/>
                <w:u w:val="single"/>
              </w:rPr>
              <w:t>Length of examination</w:t>
            </w:r>
            <w:r w:rsidRPr="00D51088">
              <w:rPr>
                <w:sz w:val="18"/>
                <w:szCs w:val="18"/>
              </w:rPr>
              <w:t xml:space="preserve">: </w:t>
            </w:r>
            <w:r>
              <w:rPr>
                <w:sz w:val="18"/>
                <w:szCs w:val="18"/>
              </w:rPr>
              <w:t xml:space="preserve"> </w:t>
            </w:r>
            <w:r w:rsidRPr="00D51088">
              <w:rPr>
                <w:sz w:val="18"/>
                <w:szCs w:val="18"/>
              </w:rPr>
              <w:t>Differences in efficiency between examination offices are large. Whereas in</w:t>
            </w:r>
            <w:r>
              <w:rPr>
                <w:sz w:val="18"/>
                <w:szCs w:val="18"/>
              </w:rPr>
              <w:t xml:space="preserve"> </w:t>
            </w:r>
            <w:r w:rsidRPr="00D51088">
              <w:rPr>
                <w:sz w:val="18"/>
                <w:szCs w:val="18"/>
              </w:rPr>
              <w:t>one country a PBR grant is provided in two growing seasons, in another country the granting</w:t>
            </w:r>
            <w:r>
              <w:rPr>
                <w:sz w:val="18"/>
                <w:szCs w:val="18"/>
              </w:rPr>
              <w:t xml:space="preserve"> </w:t>
            </w:r>
            <w:r w:rsidRPr="00D51088">
              <w:rPr>
                <w:sz w:val="18"/>
                <w:szCs w:val="18"/>
              </w:rPr>
              <w:t>process can easily take four years, and there are extreme examples of countries where</w:t>
            </w:r>
            <w:r>
              <w:rPr>
                <w:sz w:val="18"/>
                <w:szCs w:val="18"/>
              </w:rPr>
              <w:t xml:space="preserve"> examination took 10 to 12 </w:t>
            </w:r>
            <w:r w:rsidRPr="00D51088">
              <w:rPr>
                <w:sz w:val="18"/>
                <w:szCs w:val="18"/>
              </w:rPr>
              <w:t xml:space="preserve">years. </w:t>
            </w:r>
            <w:r>
              <w:rPr>
                <w:sz w:val="18"/>
                <w:szCs w:val="18"/>
              </w:rPr>
              <w:t xml:space="preserve"> </w:t>
            </w:r>
            <w:r w:rsidRPr="00D51088">
              <w:rPr>
                <w:sz w:val="18"/>
                <w:szCs w:val="18"/>
              </w:rPr>
              <w:t>ISF would like to submit that, as enforcement of pending</w:t>
            </w:r>
            <w:r>
              <w:rPr>
                <w:sz w:val="18"/>
                <w:szCs w:val="18"/>
              </w:rPr>
              <w:t xml:space="preserve"> </w:t>
            </w:r>
            <w:r w:rsidRPr="00D51088">
              <w:rPr>
                <w:sz w:val="18"/>
                <w:szCs w:val="18"/>
              </w:rPr>
              <w:t>applications is more difficult and sometimes only possible after granting, the examination process</w:t>
            </w:r>
            <w:r>
              <w:rPr>
                <w:sz w:val="18"/>
                <w:szCs w:val="18"/>
              </w:rPr>
              <w:t xml:space="preserve"> </w:t>
            </w:r>
            <w:r w:rsidRPr="00D51088">
              <w:rPr>
                <w:sz w:val="18"/>
                <w:szCs w:val="18"/>
              </w:rPr>
              <w:t>for regular applications should be as fast as possible and harmonized</w:t>
            </w:r>
            <w:proofErr w:type="gramStart"/>
            <w:r w:rsidRPr="00D51088">
              <w:rPr>
                <w:sz w:val="18"/>
                <w:szCs w:val="18"/>
              </w:rPr>
              <w:t xml:space="preserve">; </w:t>
            </w:r>
            <w:r>
              <w:rPr>
                <w:sz w:val="18"/>
                <w:szCs w:val="18"/>
              </w:rPr>
              <w:t xml:space="preserve"> </w:t>
            </w:r>
            <w:r w:rsidRPr="00D51088">
              <w:rPr>
                <w:sz w:val="18"/>
                <w:szCs w:val="18"/>
              </w:rPr>
              <w:t>a</w:t>
            </w:r>
            <w:proofErr w:type="gramEnd"/>
            <w:r w:rsidRPr="00D51088">
              <w:rPr>
                <w:sz w:val="18"/>
                <w:szCs w:val="18"/>
              </w:rPr>
              <w:t xml:space="preserve"> maximum period of two</w:t>
            </w:r>
            <w:r>
              <w:rPr>
                <w:sz w:val="18"/>
                <w:szCs w:val="18"/>
              </w:rPr>
              <w:t xml:space="preserve"> </w:t>
            </w:r>
            <w:r w:rsidRPr="00D51088">
              <w:rPr>
                <w:sz w:val="18"/>
                <w:szCs w:val="18"/>
              </w:rPr>
              <w:t xml:space="preserve">years should be prescribed. </w:t>
            </w:r>
            <w:r>
              <w:rPr>
                <w:sz w:val="18"/>
                <w:szCs w:val="18"/>
              </w:rPr>
              <w:t xml:space="preserve"> </w:t>
            </w:r>
            <w:r w:rsidRPr="00D51088">
              <w:rPr>
                <w:sz w:val="18"/>
                <w:szCs w:val="18"/>
              </w:rPr>
              <w:t>In some countries the examination process is completed in one year,</w:t>
            </w:r>
            <w:r>
              <w:rPr>
                <w:sz w:val="18"/>
                <w:szCs w:val="18"/>
              </w:rPr>
              <w:t xml:space="preserve"> </w:t>
            </w:r>
            <w:r w:rsidRPr="00D51088">
              <w:rPr>
                <w:sz w:val="18"/>
                <w:szCs w:val="18"/>
              </w:rPr>
              <w:t>with two cycles per year, which is very efficient.</w:t>
            </w:r>
          </w:p>
          <w:p w:rsidR="00D51088" w:rsidRPr="00D51088" w:rsidRDefault="00D51088" w:rsidP="00D51088">
            <w:pPr>
              <w:rPr>
                <w:sz w:val="18"/>
                <w:szCs w:val="18"/>
              </w:rPr>
            </w:pPr>
          </w:p>
          <w:p w:rsidR="00D51088" w:rsidRPr="00D51088" w:rsidRDefault="00D51088" w:rsidP="00D51088">
            <w:pPr>
              <w:rPr>
                <w:sz w:val="18"/>
                <w:szCs w:val="18"/>
              </w:rPr>
            </w:pPr>
            <w:r>
              <w:rPr>
                <w:sz w:val="18"/>
                <w:szCs w:val="18"/>
              </w:rPr>
              <w:t>“</w:t>
            </w:r>
            <w:r w:rsidRPr="00D51088">
              <w:rPr>
                <w:sz w:val="18"/>
                <w:szCs w:val="18"/>
              </w:rPr>
              <w:t>In the case of difficult to score characteristics, (e.g. disease or insect resistance) multilateral</w:t>
            </w:r>
            <w:r>
              <w:rPr>
                <w:sz w:val="18"/>
                <w:szCs w:val="18"/>
              </w:rPr>
              <w:t xml:space="preserve"> </w:t>
            </w:r>
            <w:r w:rsidRPr="00D51088">
              <w:rPr>
                <w:sz w:val="18"/>
                <w:szCs w:val="18"/>
              </w:rPr>
              <w:t>cooperative agreements could be considered where certain countries carry out tests for other</w:t>
            </w:r>
            <w:r>
              <w:rPr>
                <w:sz w:val="18"/>
                <w:szCs w:val="18"/>
              </w:rPr>
              <w:t xml:space="preserve"> </w:t>
            </w:r>
            <w:r w:rsidRPr="00D51088">
              <w:rPr>
                <w:sz w:val="18"/>
                <w:szCs w:val="18"/>
              </w:rPr>
              <w:t>countries.</w:t>
            </w:r>
          </w:p>
          <w:p w:rsidR="00D51088" w:rsidRDefault="00D51088" w:rsidP="00D51088">
            <w:pPr>
              <w:rPr>
                <w:sz w:val="18"/>
                <w:szCs w:val="18"/>
              </w:rPr>
            </w:pPr>
          </w:p>
          <w:p w:rsidR="00D51088" w:rsidRDefault="00D51088" w:rsidP="00D51088">
            <w:pPr>
              <w:rPr>
                <w:sz w:val="18"/>
                <w:szCs w:val="18"/>
              </w:rPr>
            </w:pPr>
            <w:r>
              <w:rPr>
                <w:sz w:val="18"/>
                <w:szCs w:val="18"/>
              </w:rPr>
              <w:t>“</w:t>
            </w:r>
            <w:r w:rsidRPr="00D51088">
              <w:rPr>
                <w:sz w:val="18"/>
                <w:szCs w:val="18"/>
              </w:rPr>
              <w:t>Also, take-over of the DUS reports from another country should be stimulated as much as possible,</w:t>
            </w:r>
            <w:r>
              <w:rPr>
                <w:sz w:val="18"/>
                <w:szCs w:val="18"/>
              </w:rPr>
              <w:t xml:space="preserve"> </w:t>
            </w:r>
            <w:r w:rsidRPr="00D51088">
              <w:rPr>
                <w:sz w:val="18"/>
                <w:szCs w:val="18"/>
              </w:rPr>
              <w:t>but only if examinations are based on quality and a system of quality assurance is in place.</w:t>
            </w:r>
          </w:p>
          <w:p w:rsidR="00D51088" w:rsidRPr="00D51088" w:rsidRDefault="00D51088" w:rsidP="00D51088">
            <w:pPr>
              <w:rPr>
                <w:sz w:val="18"/>
                <w:szCs w:val="18"/>
              </w:rPr>
            </w:pPr>
          </w:p>
          <w:p w:rsidR="00D51088" w:rsidRDefault="00D51088" w:rsidP="00D51088">
            <w:pPr>
              <w:rPr>
                <w:sz w:val="18"/>
                <w:szCs w:val="18"/>
              </w:rPr>
            </w:pPr>
            <w:r>
              <w:rPr>
                <w:sz w:val="18"/>
                <w:szCs w:val="18"/>
              </w:rPr>
              <w:t>“</w:t>
            </w:r>
            <w:r w:rsidRPr="00D51088">
              <w:rPr>
                <w:sz w:val="18"/>
                <w:szCs w:val="18"/>
              </w:rPr>
              <w:t>In cases where DUS examination has been paid for national listing, there should be no further</w:t>
            </w:r>
            <w:r>
              <w:rPr>
                <w:sz w:val="18"/>
                <w:szCs w:val="18"/>
              </w:rPr>
              <w:t xml:space="preserve"> </w:t>
            </w:r>
            <w:r w:rsidRPr="00D51088">
              <w:rPr>
                <w:sz w:val="18"/>
                <w:szCs w:val="18"/>
              </w:rPr>
              <w:t>examination costs for a PBR application of the same variety.</w:t>
            </w:r>
            <w:r>
              <w:rPr>
                <w:sz w:val="18"/>
                <w:szCs w:val="18"/>
              </w:rPr>
              <w:t>”</w:t>
            </w:r>
          </w:p>
          <w:p w:rsidR="00D51088" w:rsidRPr="00D51088" w:rsidRDefault="00D51088" w:rsidP="00D51088">
            <w:pPr>
              <w:rPr>
                <w:sz w:val="18"/>
                <w:szCs w:val="18"/>
              </w:rPr>
            </w:pPr>
          </w:p>
        </w:tc>
      </w:tr>
      <w:tr w:rsidR="005C3E02" w:rsidRPr="001000A7" w:rsidTr="00230328">
        <w:tc>
          <w:tcPr>
            <w:tcW w:w="8646" w:type="dxa"/>
          </w:tcPr>
          <w:p w:rsidR="001000A7" w:rsidRDefault="001000A7" w:rsidP="001000A7">
            <w:pPr>
              <w:rPr>
                <w:i/>
              </w:rPr>
            </w:pPr>
            <w:r w:rsidRPr="001000A7">
              <w:rPr>
                <w:i/>
              </w:rPr>
              <w:t>Relevant UPOV Materials:</w:t>
            </w:r>
          </w:p>
          <w:p w:rsidR="00D51088" w:rsidRPr="001000A7" w:rsidRDefault="00D51088" w:rsidP="001000A7">
            <w:pPr>
              <w:rPr>
                <w:i/>
              </w:rPr>
            </w:pPr>
          </w:p>
          <w:p w:rsidR="005C3E02" w:rsidRPr="001000A7" w:rsidRDefault="005C3E02" w:rsidP="005C3E02">
            <w:pPr>
              <w:pStyle w:val="ListParagraph"/>
              <w:numPr>
                <w:ilvl w:val="0"/>
                <w:numId w:val="5"/>
              </w:numPr>
              <w:tabs>
                <w:tab w:val="left" w:pos="290"/>
                <w:tab w:val="left" w:pos="574"/>
              </w:tabs>
              <w:ind w:left="574" w:hanging="284"/>
              <w:rPr>
                <w:i/>
                <w:snapToGrid w:val="0"/>
              </w:rPr>
            </w:pPr>
            <w:r w:rsidRPr="001000A7">
              <w:rPr>
                <w:i/>
                <w:snapToGrid w:val="0"/>
              </w:rPr>
              <w:t>TGP/5 “Experience and Cooperation in DUS Testing”, Introduction</w:t>
            </w:r>
          </w:p>
          <w:p w:rsidR="001000A7" w:rsidRPr="001000A7" w:rsidRDefault="005C3E02" w:rsidP="001000A7">
            <w:pPr>
              <w:pStyle w:val="ListParagraph"/>
              <w:numPr>
                <w:ilvl w:val="0"/>
                <w:numId w:val="5"/>
              </w:numPr>
              <w:tabs>
                <w:tab w:val="left" w:pos="290"/>
                <w:tab w:val="left" w:pos="574"/>
              </w:tabs>
              <w:ind w:left="574" w:hanging="284"/>
              <w:rPr>
                <w:i/>
              </w:rPr>
            </w:pPr>
            <w:r w:rsidRPr="001000A7">
              <w:rPr>
                <w:i/>
                <w:snapToGrid w:val="0"/>
              </w:rPr>
              <w:t>TGP/7 “Development of Test Guidelines”, Annex 1: TG Template, Chapter 3.1 “Number of Growing Cycles”</w:t>
            </w:r>
          </w:p>
          <w:p w:rsidR="005C3E02" w:rsidRPr="001000A7" w:rsidRDefault="005C3E02" w:rsidP="001000A7">
            <w:pPr>
              <w:pStyle w:val="ListParagraph"/>
              <w:numPr>
                <w:ilvl w:val="0"/>
                <w:numId w:val="5"/>
              </w:numPr>
              <w:tabs>
                <w:tab w:val="left" w:pos="290"/>
                <w:tab w:val="left" w:pos="574"/>
              </w:tabs>
              <w:ind w:left="574" w:hanging="284"/>
              <w:rPr>
                <w:i/>
              </w:rPr>
            </w:pPr>
            <w:r w:rsidRPr="001000A7">
              <w:rPr>
                <w:i/>
                <w:snapToGrid w:val="0"/>
              </w:rPr>
              <w:t>TGP/8 “Trial Design and Techniques Used in the Examination of Distinctness, Uniformity and Stability”, Part I: 1. DUS Trial Design, Section 1.3.1.1 (a) “Minimiz</w:t>
            </w:r>
            <w:r w:rsidR="00D51088">
              <w:rPr>
                <w:i/>
                <w:snapToGrid w:val="0"/>
              </w:rPr>
              <w:t>ing the overall testing period”</w:t>
            </w:r>
          </w:p>
        </w:tc>
      </w:tr>
    </w:tbl>
    <w:p w:rsidR="00D51088" w:rsidRDefault="00D51088" w:rsidP="00CF57D7">
      <w:pPr>
        <w:spacing w:line="360" w:lineRule="auto"/>
      </w:pPr>
    </w:p>
    <w:p w:rsidR="00D51088" w:rsidRDefault="00D51088" w:rsidP="00D51088">
      <w:pPr>
        <w:pStyle w:val="Heading3"/>
      </w:pPr>
      <w:bookmarkStart w:id="46" w:name="_Toc381174890"/>
      <w:r>
        <w:rPr>
          <w:snapToGrid w:val="0"/>
        </w:rPr>
        <w:t>(e)</w:t>
      </w:r>
      <w:r>
        <w:rPr>
          <w:snapToGrid w:val="0"/>
        </w:rPr>
        <w:tab/>
      </w:r>
      <w:r w:rsidRPr="001000A7">
        <w:rPr>
          <w:snapToGrid w:val="0"/>
        </w:rPr>
        <w:t>Variety description of most similar variety</w:t>
      </w:r>
      <w:bookmarkEnd w:id="46"/>
    </w:p>
    <w:p w:rsidR="00D51088" w:rsidRDefault="00D51088"/>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D51088" w:rsidTr="00230328">
        <w:tc>
          <w:tcPr>
            <w:tcW w:w="8646" w:type="dxa"/>
          </w:tcPr>
          <w:p w:rsidR="00727189" w:rsidRDefault="00727189" w:rsidP="00727189">
            <w:pPr>
              <w:rPr>
                <w:sz w:val="18"/>
                <w:szCs w:val="18"/>
              </w:rPr>
            </w:pPr>
            <w:r>
              <w:rPr>
                <w:sz w:val="18"/>
                <w:szCs w:val="18"/>
              </w:rPr>
              <w:t>[Extract from ISF letter]</w:t>
            </w:r>
          </w:p>
          <w:p w:rsidR="00D51088" w:rsidRDefault="00D51088" w:rsidP="00727189">
            <w:pPr>
              <w:rPr>
                <w:sz w:val="18"/>
                <w:szCs w:val="18"/>
              </w:rPr>
            </w:pPr>
            <w:r>
              <w:rPr>
                <w:sz w:val="18"/>
                <w:szCs w:val="18"/>
              </w:rPr>
              <w:t>“</w:t>
            </w:r>
            <w:r w:rsidRPr="00D51088">
              <w:rPr>
                <w:sz w:val="18"/>
                <w:szCs w:val="18"/>
                <w:u w:val="single"/>
              </w:rPr>
              <w:t>Variety description of most similar variety</w:t>
            </w:r>
            <w:r w:rsidRPr="00D51088">
              <w:rPr>
                <w:sz w:val="18"/>
                <w:szCs w:val="18"/>
              </w:rPr>
              <w:t xml:space="preserve">: </w:t>
            </w:r>
            <w:r>
              <w:rPr>
                <w:sz w:val="18"/>
                <w:szCs w:val="18"/>
              </w:rPr>
              <w:t xml:space="preserve"> </w:t>
            </w:r>
            <w:r w:rsidRPr="00D51088">
              <w:rPr>
                <w:sz w:val="18"/>
                <w:szCs w:val="18"/>
              </w:rPr>
              <w:t>In some countries the applicant is requested to provide</w:t>
            </w:r>
            <w:r>
              <w:rPr>
                <w:sz w:val="18"/>
                <w:szCs w:val="18"/>
              </w:rPr>
              <w:t xml:space="preserve"> </w:t>
            </w:r>
            <w:r w:rsidRPr="00D51088">
              <w:rPr>
                <w:sz w:val="18"/>
                <w:szCs w:val="18"/>
              </w:rPr>
              <w:t xml:space="preserve">the full variety description of the most similar </w:t>
            </w:r>
            <w:proofErr w:type="gramStart"/>
            <w:r w:rsidRPr="00D51088">
              <w:rPr>
                <w:sz w:val="18"/>
                <w:szCs w:val="18"/>
              </w:rPr>
              <w:t>variety(</w:t>
            </w:r>
            <w:proofErr w:type="spellStart"/>
            <w:proofErr w:type="gramEnd"/>
            <w:r w:rsidRPr="00D51088">
              <w:rPr>
                <w:sz w:val="18"/>
                <w:szCs w:val="18"/>
              </w:rPr>
              <w:t>ies</w:t>
            </w:r>
            <w:proofErr w:type="spellEnd"/>
            <w:r w:rsidRPr="00D51088">
              <w:rPr>
                <w:sz w:val="18"/>
                <w:szCs w:val="18"/>
              </w:rPr>
              <w:t>), whereas in the spirit of UPOV only the</w:t>
            </w:r>
            <w:r>
              <w:rPr>
                <w:sz w:val="18"/>
                <w:szCs w:val="18"/>
              </w:rPr>
              <w:t xml:space="preserve"> </w:t>
            </w:r>
            <w:r w:rsidRPr="00D51088">
              <w:rPr>
                <w:sz w:val="18"/>
                <w:szCs w:val="18"/>
              </w:rPr>
              <w:t xml:space="preserve">differences between the candidate variety and the most similar variety need to be provided. </w:t>
            </w:r>
            <w:r>
              <w:rPr>
                <w:sz w:val="18"/>
                <w:szCs w:val="18"/>
              </w:rPr>
              <w:t xml:space="preserve"> </w:t>
            </w:r>
            <w:r w:rsidRPr="00D51088">
              <w:rPr>
                <w:sz w:val="18"/>
                <w:szCs w:val="18"/>
              </w:rPr>
              <w:t>ISF</w:t>
            </w:r>
            <w:r>
              <w:rPr>
                <w:sz w:val="18"/>
                <w:szCs w:val="18"/>
              </w:rPr>
              <w:t xml:space="preserve"> </w:t>
            </w:r>
            <w:r w:rsidRPr="00D51088">
              <w:rPr>
                <w:sz w:val="18"/>
                <w:szCs w:val="18"/>
              </w:rPr>
              <w:t>members in general feel that providing a full description of the candidate and the comparison</w:t>
            </w:r>
            <w:r>
              <w:rPr>
                <w:sz w:val="18"/>
                <w:szCs w:val="18"/>
              </w:rPr>
              <w:t xml:space="preserve"> </w:t>
            </w:r>
            <w:r w:rsidRPr="00D51088">
              <w:rPr>
                <w:sz w:val="18"/>
                <w:szCs w:val="18"/>
              </w:rPr>
              <w:t xml:space="preserve">varieties is overly burdensome for the applicant. </w:t>
            </w:r>
            <w:r>
              <w:rPr>
                <w:sz w:val="18"/>
                <w:szCs w:val="18"/>
              </w:rPr>
              <w:t xml:space="preserve"> </w:t>
            </w:r>
            <w:r w:rsidRPr="00D51088">
              <w:rPr>
                <w:sz w:val="18"/>
                <w:szCs w:val="18"/>
              </w:rPr>
              <w:t>It is time consuming and causes delays in the</w:t>
            </w:r>
            <w:r>
              <w:rPr>
                <w:sz w:val="18"/>
                <w:szCs w:val="18"/>
              </w:rPr>
              <w:t xml:space="preserve"> </w:t>
            </w:r>
            <w:r w:rsidRPr="00D51088">
              <w:rPr>
                <w:sz w:val="18"/>
                <w:szCs w:val="18"/>
              </w:rPr>
              <w:t xml:space="preserve">application process. </w:t>
            </w:r>
            <w:r>
              <w:rPr>
                <w:sz w:val="18"/>
                <w:szCs w:val="18"/>
              </w:rPr>
              <w:t xml:space="preserve"> </w:t>
            </w:r>
            <w:r w:rsidRPr="00D51088">
              <w:rPr>
                <w:sz w:val="18"/>
                <w:szCs w:val="18"/>
              </w:rPr>
              <w:t>In most cases a special observational trial has to be set up to make such</w:t>
            </w:r>
            <w:r>
              <w:rPr>
                <w:sz w:val="18"/>
                <w:szCs w:val="18"/>
              </w:rPr>
              <w:t xml:space="preserve"> </w:t>
            </w:r>
            <w:r w:rsidRPr="00D51088">
              <w:rPr>
                <w:sz w:val="18"/>
                <w:szCs w:val="18"/>
              </w:rPr>
              <w:t xml:space="preserve">variety descriptions. </w:t>
            </w:r>
            <w:r>
              <w:rPr>
                <w:sz w:val="18"/>
                <w:szCs w:val="18"/>
              </w:rPr>
              <w:t xml:space="preserve"> </w:t>
            </w:r>
            <w:r w:rsidRPr="00D51088">
              <w:rPr>
                <w:sz w:val="18"/>
                <w:szCs w:val="18"/>
              </w:rPr>
              <w:t>In case of a priority claim this can be a big disadvantage for the applicant.</w:t>
            </w:r>
            <w:r>
              <w:rPr>
                <w:sz w:val="18"/>
                <w:szCs w:val="18"/>
              </w:rPr>
              <w:t xml:space="preserve">  </w:t>
            </w:r>
            <w:r w:rsidRPr="00D51088">
              <w:rPr>
                <w:sz w:val="18"/>
                <w:szCs w:val="18"/>
              </w:rPr>
              <w:t>Providing a full variety description of the most similar varieties is an even larger problem if these</w:t>
            </w:r>
            <w:r>
              <w:rPr>
                <w:sz w:val="18"/>
                <w:szCs w:val="18"/>
              </w:rPr>
              <w:t xml:space="preserve"> </w:t>
            </w:r>
            <w:r w:rsidRPr="00D51088">
              <w:rPr>
                <w:sz w:val="18"/>
                <w:szCs w:val="18"/>
              </w:rPr>
              <w:t>are competitor varieties.</w:t>
            </w:r>
          </w:p>
          <w:p w:rsidR="00D51088" w:rsidRPr="00D51088" w:rsidRDefault="00D51088" w:rsidP="00D51088">
            <w:pPr>
              <w:rPr>
                <w:sz w:val="18"/>
                <w:szCs w:val="18"/>
              </w:rPr>
            </w:pPr>
          </w:p>
          <w:p w:rsidR="00D51088" w:rsidRPr="00D51088" w:rsidRDefault="00D51088" w:rsidP="00D51088">
            <w:pPr>
              <w:rPr>
                <w:sz w:val="18"/>
                <w:szCs w:val="18"/>
              </w:rPr>
            </w:pPr>
            <w:r>
              <w:rPr>
                <w:sz w:val="18"/>
                <w:szCs w:val="18"/>
              </w:rPr>
              <w:t>“</w:t>
            </w:r>
            <w:r w:rsidRPr="00D51088">
              <w:rPr>
                <w:sz w:val="18"/>
                <w:szCs w:val="18"/>
              </w:rPr>
              <w:t>The applicant should only be requested to provide the differences between the candidate and the</w:t>
            </w:r>
            <w:r>
              <w:rPr>
                <w:sz w:val="18"/>
                <w:szCs w:val="18"/>
              </w:rPr>
              <w:t xml:space="preserve"> </w:t>
            </w:r>
            <w:r w:rsidRPr="00D51088">
              <w:rPr>
                <w:sz w:val="18"/>
                <w:szCs w:val="18"/>
              </w:rPr>
              <w:t xml:space="preserve">most similar varieties. </w:t>
            </w:r>
            <w:r>
              <w:rPr>
                <w:sz w:val="18"/>
                <w:szCs w:val="18"/>
              </w:rPr>
              <w:t xml:space="preserve"> </w:t>
            </w:r>
            <w:r w:rsidRPr="00D51088">
              <w:rPr>
                <w:sz w:val="18"/>
                <w:szCs w:val="18"/>
              </w:rPr>
              <w:t>In other words only the TQ as set up by UPOV should have to be filled out.</w:t>
            </w:r>
          </w:p>
          <w:p w:rsidR="00D51088" w:rsidRDefault="00D51088" w:rsidP="00D51088">
            <w:pPr>
              <w:rPr>
                <w:sz w:val="18"/>
                <w:szCs w:val="18"/>
              </w:rPr>
            </w:pPr>
          </w:p>
          <w:p w:rsidR="005C3E02" w:rsidRDefault="00D51088" w:rsidP="00D51088">
            <w:pPr>
              <w:rPr>
                <w:sz w:val="18"/>
                <w:szCs w:val="18"/>
              </w:rPr>
            </w:pPr>
            <w:r>
              <w:rPr>
                <w:sz w:val="18"/>
                <w:szCs w:val="18"/>
              </w:rPr>
              <w:t>“</w:t>
            </w:r>
            <w:r w:rsidRPr="00D51088">
              <w:rPr>
                <w:sz w:val="18"/>
                <w:szCs w:val="18"/>
              </w:rPr>
              <w:t xml:space="preserve">Breeding techniques change fast and so do varieties. </w:t>
            </w:r>
            <w:r>
              <w:rPr>
                <w:sz w:val="18"/>
                <w:szCs w:val="18"/>
              </w:rPr>
              <w:t xml:space="preserve"> </w:t>
            </w:r>
            <w:r w:rsidRPr="00D51088">
              <w:rPr>
                <w:sz w:val="18"/>
                <w:szCs w:val="18"/>
              </w:rPr>
              <w:t>New characteristics are being added to the</w:t>
            </w:r>
            <w:r>
              <w:rPr>
                <w:sz w:val="18"/>
                <w:szCs w:val="18"/>
              </w:rPr>
              <w:t xml:space="preserve"> </w:t>
            </w:r>
            <w:r w:rsidRPr="00D51088">
              <w:rPr>
                <w:sz w:val="18"/>
                <w:szCs w:val="18"/>
              </w:rPr>
              <w:t xml:space="preserve">current list all the time. </w:t>
            </w:r>
            <w:r>
              <w:rPr>
                <w:sz w:val="18"/>
                <w:szCs w:val="18"/>
              </w:rPr>
              <w:t xml:space="preserve"> </w:t>
            </w:r>
            <w:r w:rsidRPr="00D51088">
              <w:rPr>
                <w:sz w:val="18"/>
                <w:szCs w:val="18"/>
              </w:rPr>
              <w:t>So there is a need for timely introduction of new characteristics into T</w:t>
            </w:r>
            <w:r>
              <w:rPr>
                <w:sz w:val="18"/>
                <w:szCs w:val="18"/>
              </w:rPr>
              <w:t>Q</w:t>
            </w:r>
            <w:r w:rsidRPr="00D51088">
              <w:rPr>
                <w:sz w:val="18"/>
                <w:szCs w:val="18"/>
              </w:rPr>
              <w:t>'s</w:t>
            </w:r>
            <w:r>
              <w:rPr>
                <w:sz w:val="18"/>
                <w:szCs w:val="18"/>
              </w:rPr>
              <w:t xml:space="preserve"> </w:t>
            </w:r>
            <w:r w:rsidRPr="00D51088">
              <w:rPr>
                <w:sz w:val="18"/>
                <w:szCs w:val="18"/>
              </w:rPr>
              <w:t>and variety descriptions, to ensure enough distinguishing power between varieties.</w:t>
            </w:r>
            <w:r>
              <w:rPr>
                <w:sz w:val="18"/>
                <w:szCs w:val="18"/>
              </w:rPr>
              <w:t>”</w:t>
            </w:r>
          </w:p>
          <w:p w:rsidR="00D51088" w:rsidRPr="00D51088" w:rsidRDefault="00D51088" w:rsidP="00D51088">
            <w:pPr>
              <w:rPr>
                <w:sz w:val="18"/>
                <w:szCs w:val="18"/>
              </w:rPr>
            </w:pPr>
          </w:p>
        </w:tc>
      </w:tr>
      <w:tr w:rsidR="005F3D0F" w:rsidRPr="001000A7" w:rsidTr="00230328">
        <w:tc>
          <w:tcPr>
            <w:tcW w:w="8646" w:type="dxa"/>
          </w:tcPr>
          <w:p w:rsidR="005F3D0F" w:rsidRDefault="005F3D0F" w:rsidP="00557635">
            <w:pPr>
              <w:rPr>
                <w:i/>
              </w:rPr>
            </w:pPr>
            <w:r w:rsidRPr="001000A7">
              <w:rPr>
                <w:i/>
              </w:rPr>
              <w:t>Relevant UPOV Materials:</w:t>
            </w:r>
          </w:p>
          <w:p w:rsidR="00D51088" w:rsidRPr="001000A7" w:rsidRDefault="00D51088" w:rsidP="00557635">
            <w:pPr>
              <w:rPr>
                <w:i/>
              </w:rPr>
            </w:pPr>
          </w:p>
          <w:p w:rsidR="005F3D0F" w:rsidRPr="00D51088" w:rsidRDefault="005F3D0F" w:rsidP="005F3D0F">
            <w:pPr>
              <w:pStyle w:val="ListParagraph"/>
              <w:numPr>
                <w:ilvl w:val="0"/>
                <w:numId w:val="5"/>
              </w:numPr>
              <w:tabs>
                <w:tab w:val="left" w:pos="290"/>
                <w:tab w:val="left" w:pos="574"/>
              </w:tabs>
              <w:ind w:left="574" w:hanging="284"/>
              <w:rPr>
                <w:i/>
                <w:snapToGrid w:val="0"/>
              </w:rPr>
            </w:pPr>
            <w:r w:rsidRPr="00D51088">
              <w:rPr>
                <w:i/>
                <w:snapToGrid w:val="0"/>
              </w:rPr>
              <w:t>TGP/7, Section 4 “Development of Individual Authorities’ Test Guidelines”</w:t>
            </w:r>
          </w:p>
          <w:p w:rsidR="005F3D0F" w:rsidRPr="001000A7" w:rsidRDefault="005F3D0F" w:rsidP="005F3D0F">
            <w:pPr>
              <w:pStyle w:val="ListParagraph"/>
              <w:numPr>
                <w:ilvl w:val="0"/>
                <w:numId w:val="5"/>
              </w:numPr>
              <w:tabs>
                <w:tab w:val="left" w:pos="290"/>
                <w:tab w:val="left" w:pos="574"/>
              </w:tabs>
              <w:ind w:left="574" w:hanging="284"/>
              <w:rPr>
                <w:i/>
              </w:rPr>
            </w:pPr>
            <w:r w:rsidRPr="00D51088">
              <w:rPr>
                <w:i/>
                <w:snapToGrid w:val="0"/>
              </w:rPr>
              <w:t>TGP/7 “Development of Test Guidelines”, Section 2 “Procedure for the Introduction and Re</w:t>
            </w:r>
            <w:r w:rsidR="00D51088">
              <w:rPr>
                <w:i/>
                <w:snapToGrid w:val="0"/>
              </w:rPr>
              <w:t>vision of UPOV Test Guidelines”</w:t>
            </w:r>
          </w:p>
        </w:tc>
      </w:tr>
    </w:tbl>
    <w:p w:rsidR="00A07942" w:rsidRDefault="00A07942" w:rsidP="00CF57D7">
      <w:pPr>
        <w:spacing w:line="360" w:lineRule="auto"/>
      </w:pPr>
    </w:p>
    <w:p w:rsidR="00A07942" w:rsidRDefault="00A07942" w:rsidP="00A07942">
      <w:pPr>
        <w:pStyle w:val="Heading3"/>
      </w:pPr>
      <w:bookmarkStart w:id="47" w:name="_Toc381174891"/>
      <w:r>
        <w:t>(f)</w:t>
      </w:r>
      <w:r>
        <w:tab/>
      </w:r>
      <w:r w:rsidRPr="005F3D0F">
        <w:t>Variety description by applicant</w:t>
      </w:r>
      <w:bookmarkEnd w:id="47"/>
    </w:p>
    <w:p w:rsidR="00A07942" w:rsidRDefault="00A07942" w:rsidP="00A07942">
      <w:pPr>
        <w:keepNext/>
      </w:pPr>
    </w:p>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5C3E02" w:rsidRPr="001362DE" w:rsidTr="00A07942">
        <w:trPr>
          <w:cantSplit/>
        </w:trPr>
        <w:tc>
          <w:tcPr>
            <w:tcW w:w="8646" w:type="dxa"/>
          </w:tcPr>
          <w:p w:rsidR="00727189" w:rsidRDefault="00727189" w:rsidP="00727189">
            <w:pPr>
              <w:rPr>
                <w:sz w:val="18"/>
                <w:szCs w:val="18"/>
              </w:rPr>
            </w:pPr>
            <w:r>
              <w:rPr>
                <w:sz w:val="18"/>
                <w:szCs w:val="18"/>
              </w:rPr>
              <w:t>[Extract from ISF letter]</w:t>
            </w:r>
          </w:p>
          <w:p w:rsidR="00A07942" w:rsidRPr="001362DE" w:rsidRDefault="001362DE" w:rsidP="00727189">
            <w:pPr>
              <w:rPr>
                <w:sz w:val="18"/>
                <w:szCs w:val="18"/>
              </w:rPr>
            </w:pPr>
            <w:r>
              <w:rPr>
                <w:sz w:val="18"/>
                <w:szCs w:val="18"/>
              </w:rPr>
              <w:t>“</w:t>
            </w:r>
            <w:r w:rsidR="00A07942" w:rsidRPr="001362DE">
              <w:rPr>
                <w:sz w:val="18"/>
                <w:szCs w:val="18"/>
                <w:u w:val="single"/>
              </w:rPr>
              <w:t>Variety description by applicant</w:t>
            </w:r>
            <w:r w:rsidR="00A07942" w:rsidRPr="001362DE">
              <w:rPr>
                <w:sz w:val="18"/>
                <w:szCs w:val="18"/>
              </w:rPr>
              <w:t xml:space="preserve">:  In certain countries varieties are described entirely by the applicant.  This means that the same variety as a result of different influential factors (sowing period, growth environment and applicant-examiner) may be described entirely differently.  In those cases where the applicant makes the variety description there need to be more </w:t>
            </w:r>
            <w:proofErr w:type="gramStart"/>
            <w:r w:rsidR="00A07942" w:rsidRPr="001362DE">
              <w:rPr>
                <w:sz w:val="18"/>
                <w:szCs w:val="18"/>
              </w:rPr>
              <w:t>harmonized</w:t>
            </w:r>
            <w:proofErr w:type="gramEnd"/>
            <w:r w:rsidR="00A07942" w:rsidRPr="001362DE">
              <w:rPr>
                <w:sz w:val="18"/>
                <w:szCs w:val="18"/>
              </w:rPr>
              <w:t xml:space="preserve"> rules and supervision by the PBR authorities.  Proper calibration according to UPOV standards is a way to overcome the problems.  As a general rule it can be stated that having a central testing office allows for a better and more complete reference collection and provides for a better examination of</w:t>
            </w:r>
            <w:r w:rsidRPr="001362DE">
              <w:rPr>
                <w:sz w:val="18"/>
                <w:szCs w:val="18"/>
              </w:rPr>
              <w:t xml:space="preserve"> </w:t>
            </w:r>
            <w:r w:rsidR="00A07942" w:rsidRPr="001362DE">
              <w:rPr>
                <w:sz w:val="18"/>
                <w:szCs w:val="18"/>
              </w:rPr>
              <w:t>the candidate varieties.</w:t>
            </w:r>
          </w:p>
          <w:p w:rsidR="001362DE" w:rsidRPr="001362DE" w:rsidRDefault="001362DE" w:rsidP="00A07942">
            <w:pPr>
              <w:rPr>
                <w:sz w:val="18"/>
                <w:szCs w:val="18"/>
              </w:rPr>
            </w:pPr>
          </w:p>
          <w:p w:rsidR="005C3E02" w:rsidRDefault="001362DE" w:rsidP="001362DE">
            <w:pPr>
              <w:rPr>
                <w:sz w:val="18"/>
                <w:szCs w:val="18"/>
              </w:rPr>
            </w:pPr>
            <w:r>
              <w:rPr>
                <w:sz w:val="18"/>
                <w:szCs w:val="18"/>
              </w:rPr>
              <w:t>“</w:t>
            </w:r>
            <w:r w:rsidR="00A07942" w:rsidRPr="001362DE">
              <w:rPr>
                <w:sz w:val="18"/>
                <w:szCs w:val="18"/>
              </w:rPr>
              <w:t>Creating a variety description including statistical data is a heavy burden on the applicant which is</w:t>
            </w:r>
            <w:r w:rsidRPr="001362DE">
              <w:rPr>
                <w:sz w:val="18"/>
                <w:szCs w:val="18"/>
              </w:rPr>
              <w:t xml:space="preserve"> </w:t>
            </w:r>
            <w:r w:rsidR="00A07942" w:rsidRPr="001362DE">
              <w:rPr>
                <w:sz w:val="18"/>
                <w:szCs w:val="18"/>
              </w:rPr>
              <w:t xml:space="preserve">a reason for seed companies not to apply for PBR in that country. </w:t>
            </w:r>
            <w:r w:rsidRPr="001362DE">
              <w:rPr>
                <w:sz w:val="18"/>
                <w:szCs w:val="18"/>
              </w:rPr>
              <w:t xml:space="preserve"> </w:t>
            </w:r>
            <w:r w:rsidR="00A07942" w:rsidRPr="001362DE">
              <w:rPr>
                <w:sz w:val="18"/>
                <w:szCs w:val="18"/>
              </w:rPr>
              <w:t>Example: the same corn</w:t>
            </w:r>
            <w:r w:rsidRPr="001362DE">
              <w:rPr>
                <w:sz w:val="18"/>
                <w:szCs w:val="18"/>
              </w:rPr>
              <w:t xml:space="preserve"> </w:t>
            </w:r>
            <w:r w:rsidR="00A07942" w:rsidRPr="001362DE">
              <w:rPr>
                <w:sz w:val="18"/>
                <w:szCs w:val="18"/>
              </w:rPr>
              <w:t>varieties have been described in so many different ways that a number of characteristics can no</w:t>
            </w:r>
            <w:r w:rsidRPr="001362DE">
              <w:rPr>
                <w:sz w:val="18"/>
                <w:szCs w:val="18"/>
              </w:rPr>
              <w:t xml:space="preserve"> </w:t>
            </w:r>
            <w:r w:rsidR="00A07942" w:rsidRPr="001362DE">
              <w:rPr>
                <w:sz w:val="18"/>
                <w:szCs w:val="18"/>
              </w:rPr>
              <w:t>longer be used to distinguish the varieties.</w:t>
            </w:r>
            <w:r>
              <w:rPr>
                <w:sz w:val="18"/>
                <w:szCs w:val="18"/>
              </w:rPr>
              <w:t>”</w:t>
            </w:r>
          </w:p>
          <w:p w:rsidR="001362DE" w:rsidRPr="001362DE" w:rsidRDefault="001362DE" w:rsidP="001362DE">
            <w:pPr>
              <w:rPr>
                <w:sz w:val="18"/>
                <w:szCs w:val="18"/>
              </w:rPr>
            </w:pPr>
          </w:p>
        </w:tc>
      </w:tr>
      <w:tr w:rsidR="005F3D0F" w:rsidRPr="001362DE" w:rsidTr="00230328">
        <w:tc>
          <w:tcPr>
            <w:tcW w:w="8646" w:type="dxa"/>
          </w:tcPr>
          <w:p w:rsidR="005F3D0F" w:rsidRPr="001362DE" w:rsidRDefault="005F3D0F" w:rsidP="00557635">
            <w:pPr>
              <w:rPr>
                <w:i/>
              </w:rPr>
            </w:pPr>
            <w:r w:rsidRPr="001362DE">
              <w:rPr>
                <w:i/>
              </w:rPr>
              <w:t>Relevant UPOV Materials:</w:t>
            </w:r>
          </w:p>
          <w:p w:rsidR="001362DE" w:rsidRPr="001362DE" w:rsidRDefault="001362DE" w:rsidP="00557635">
            <w:pPr>
              <w:rPr>
                <w:i/>
              </w:rPr>
            </w:pPr>
          </w:p>
          <w:p w:rsidR="005F3D0F" w:rsidRPr="001362DE" w:rsidRDefault="005F3D0F" w:rsidP="00557635">
            <w:pPr>
              <w:pStyle w:val="ListParagraph"/>
              <w:numPr>
                <w:ilvl w:val="0"/>
                <w:numId w:val="5"/>
              </w:numPr>
              <w:tabs>
                <w:tab w:val="left" w:pos="290"/>
                <w:tab w:val="left" w:pos="574"/>
              </w:tabs>
              <w:ind w:left="574" w:hanging="284"/>
              <w:rPr>
                <w:i/>
              </w:rPr>
            </w:pPr>
            <w:r w:rsidRPr="001362DE">
              <w:rPr>
                <w:i/>
                <w:snapToGrid w:val="0"/>
                <w:color w:val="000000"/>
              </w:rPr>
              <w:t xml:space="preserve">TGP/6 “Arrangements for DUS Testing”, Section 3 “Declaration on the Conditions for the Examination of a Variety Based Upon Trials Carried out </w:t>
            </w:r>
            <w:r w:rsidR="001362DE">
              <w:rPr>
                <w:i/>
                <w:snapToGrid w:val="0"/>
                <w:color w:val="000000"/>
              </w:rPr>
              <w:t>by or on Behalf of the Breeder”</w:t>
            </w:r>
          </w:p>
        </w:tc>
      </w:tr>
    </w:tbl>
    <w:p w:rsidR="001362DE" w:rsidRDefault="001362DE" w:rsidP="00CF57D7">
      <w:pPr>
        <w:spacing w:line="360" w:lineRule="auto"/>
      </w:pPr>
    </w:p>
    <w:p w:rsidR="001362DE" w:rsidRDefault="001362DE" w:rsidP="001362DE">
      <w:pPr>
        <w:pStyle w:val="Heading3"/>
      </w:pPr>
      <w:bookmarkStart w:id="48" w:name="_Toc381174892"/>
      <w:r>
        <w:rPr>
          <w:noProof/>
        </w:rPr>
        <w:t>(g)</w:t>
      </w:r>
      <w:r>
        <w:rPr>
          <w:noProof/>
        </w:rPr>
        <w:tab/>
        <w:t>Variety description databases</w:t>
      </w:r>
      <w:bookmarkEnd w:id="48"/>
    </w:p>
    <w:p w:rsidR="001362DE" w:rsidRDefault="001362DE"/>
    <w:tbl>
      <w:tblPr>
        <w:tblStyle w:val="TableGrid"/>
        <w:tblW w:w="0" w:type="auto"/>
        <w:tblInd w:w="5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646"/>
      </w:tblGrid>
      <w:tr w:rsidR="00F0027E" w:rsidRPr="001362DE" w:rsidTr="00230328">
        <w:tc>
          <w:tcPr>
            <w:tcW w:w="8646" w:type="dxa"/>
          </w:tcPr>
          <w:p w:rsidR="00727189" w:rsidRDefault="00727189" w:rsidP="00727189">
            <w:pPr>
              <w:rPr>
                <w:sz w:val="18"/>
                <w:szCs w:val="18"/>
              </w:rPr>
            </w:pPr>
            <w:r>
              <w:rPr>
                <w:sz w:val="18"/>
                <w:szCs w:val="18"/>
              </w:rPr>
              <w:t>[Extract from ISF letter]</w:t>
            </w:r>
          </w:p>
          <w:p w:rsidR="00F0027E" w:rsidRDefault="001362DE" w:rsidP="00727189">
            <w:pPr>
              <w:rPr>
                <w:sz w:val="18"/>
                <w:szCs w:val="18"/>
              </w:rPr>
            </w:pPr>
            <w:r>
              <w:rPr>
                <w:sz w:val="18"/>
                <w:szCs w:val="18"/>
              </w:rPr>
              <w:t>“</w:t>
            </w:r>
            <w:r w:rsidRPr="001362DE">
              <w:rPr>
                <w:sz w:val="18"/>
                <w:szCs w:val="18"/>
                <w:u w:val="single"/>
              </w:rPr>
              <w:t>Variety description database</w:t>
            </w:r>
            <w:r w:rsidRPr="001362DE">
              <w:rPr>
                <w:sz w:val="18"/>
                <w:szCs w:val="18"/>
              </w:rPr>
              <w:t xml:space="preserve">: </w:t>
            </w:r>
            <w:r>
              <w:rPr>
                <w:sz w:val="18"/>
                <w:szCs w:val="18"/>
              </w:rPr>
              <w:t xml:space="preserve"> </w:t>
            </w:r>
            <w:r w:rsidRPr="001362DE">
              <w:rPr>
                <w:sz w:val="18"/>
                <w:szCs w:val="18"/>
              </w:rPr>
              <w:t>A variety descr</w:t>
            </w:r>
            <w:r>
              <w:rPr>
                <w:sz w:val="18"/>
                <w:szCs w:val="18"/>
              </w:rPr>
              <w:t>iption database including the TQ</w:t>
            </w:r>
            <w:r w:rsidRPr="001362DE">
              <w:rPr>
                <w:sz w:val="18"/>
                <w:szCs w:val="18"/>
              </w:rPr>
              <w:t xml:space="preserve"> information should</w:t>
            </w:r>
            <w:r>
              <w:rPr>
                <w:sz w:val="18"/>
                <w:szCs w:val="18"/>
              </w:rPr>
              <w:t xml:space="preserve"> </w:t>
            </w:r>
            <w:r w:rsidRPr="001362DE">
              <w:rPr>
                <w:sz w:val="18"/>
                <w:szCs w:val="18"/>
              </w:rPr>
              <w:t xml:space="preserve">be available to all interested parties. </w:t>
            </w:r>
            <w:r>
              <w:rPr>
                <w:sz w:val="18"/>
                <w:szCs w:val="18"/>
              </w:rPr>
              <w:t xml:space="preserve"> </w:t>
            </w:r>
            <w:r w:rsidRPr="001362DE">
              <w:rPr>
                <w:sz w:val="18"/>
                <w:szCs w:val="18"/>
              </w:rPr>
              <w:t>This would improve the management of reference collections</w:t>
            </w:r>
            <w:r>
              <w:rPr>
                <w:sz w:val="18"/>
                <w:szCs w:val="18"/>
              </w:rPr>
              <w:t xml:space="preserve"> </w:t>
            </w:r>
            <w:r w:rsidRPr="001362DE">
              <w:rPr>
                <w:sz w:val="18"/>
                <w:szCs w:val="18"/>
              </w:rPr>
              <w:t>and would allow for a better basis of selection of the comparison varieties.</w:t>
            </w:r>
            <w:r>
              <w:rPr>
                <w:sz w:val="18"/>
                <w:szCs w:val="18"/>
              </w:rPr>
              <w:t>”</w:t>
            </w:r>
          </w:p>
          <w:p w:rsidR="001362DE" w:rsidRPr="001362DE" w:rsidRDefault="001362DE" w:rsidP="001362DE">
            <w:pPr>
              <w:rPr>
                <w:sz w:val="18"/>
                <w:szCs w:val="18"/>
              </w:rPr>
            </w:pPr>
          </w:p>
        </w:tc>
      </w:tr>
      <w:tr w:rsidR="00F0027E" w:rsidRPr="001000A7" w:rsidTr="00230328">
        <w:tc>
          <w:tcPr>
            <w:tcW w:w="8646" w:type="dxa"/>
          </w:tcPr>
          <w:p w:rsidR="00F0027E" w:rsidRPr="00F0027E" w:rsidRDefault="00F0027E" w:rsidP="00557635">
            <w:pPr>
              <w:rPr>
                <w:i/>
                <w:noProof/>
              </w:rPr>
            </w:pPr>
            <w:r w:rsidRPr="00F0027E">
              <w:rPr>
                <w:i/>
                <w:noProof/>
              </w:rPr>
              <w:t>see below</w:t>
            </w:r>
          </w:p>
        </w:tc>
      </w:tr>
    </w:tbl>
    <w:p w:rsidR="00505A73" w:rsidRDefault="00505A73" w:rsidP="00505A73"/>
    <w:p w:rsidR="00505A73" w:rsidRDefault="00260FDA" w:rsidP="00505A73">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505A73" w:rsidRPr="00390671">
        <w:t>The Consultative Committee requested the Office of the Union and ISF to elaborate the problems faced and possible solutions in relation to ISF’s ideas concerning</w:t>
      </w:r>
      <w:r w:rsidR="00505A73">
        <w:t>:</w:t>
      </w:r>
      <w:r w:rsidR="00505A73" w:rsidRPr="00390671">
        <w:t xml:space="preserve"> </w:t>
      </w:r>
      <w:r w:rsidR="00505A73">
        <w:t xml:space="preserve"> </w:t>
      </w:r>
      <w:r w:rsidR="00505A73" w:rsidRPr="00390671">
        <w:t>an international filing system</w:t>
      </w:r>
      <w:r w:rsidR="00505A73">
        <w:t>;</w:t>
      </w:r>
      <w:r w:rsidR="00505A73" w:rsidRPr="00390671">
        <w:t xml:space="preserve"> a UPOV quality assurance program</w:t>
      </w:r>
      <w:r w:rsidR="00505A73">
        <w:t>;</w:t>
      </w:r>
      <w:r w:rsidR="00505A73" w:rsidRPr="00390671">
        <w:t xml:space="preserve"> and a central examination system for variety denominations</w:t>
      </w:r>
      <w:r w:rsidR="00505A73">
        <w:t>,</w:t>
      </w:r>
      <w:r w:rsidR="00505A73" w:rsidRPr="00390671">
        <w:t xml:space="preserve"> for consideration by the Consultative Committee at its eighty-seventh session.</w:t>
      </w:r>
    </w:p>
    <w:p w:rsidR="00CE1419" w:rsidRDefault="00CE1419" w:rsidP="00505A73"/>
    <w:p w:rsidR="00CE1419" w:rsidRDefault="00260FDA" w:rsidP="00505A73">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FA5BBD">
        <w:t>As a first step to considering the issues referred to the TC by the Consultative Committee</w:t>
      </w:r>
      <w:r w:rsidR="009628A1">
        <w:t xml:space="preserve"> in items (a) to (f) above</w:t>
      </w:r>
      <w:r w:rsidR="00FA5BBD">
        <w:t xml:space="preserve">, the TC may wish to </w:t>
      </w:r>
      <w:r w:rsidR="009628A1">
        <w:t>invite ISF to consider the indicated relevant UPOV materials and to explain where it considers that further guidance might be developed.</w:t>
      </w:r>
    </w:p>
    <w:p w:rsidR="00FA5BBD" w:rsidRDefault="00FA5BBD" w:rsidP="00505A73"/>
    <w:p w:rsidR="009628A1" w:rsidRDefault="00260FDA" w:rsidP="009628A1">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9628A1">
        <w:t>In relation to a request by ISF to develop a variety description database including the TQ information that would be available to all interested parties (see (g) above), t</w:t>
      </w:r>
      <w:r w:rsidR="009628A1" w:rsidRPr="00390671">
        <w:t xml:space="preserve">he Consultative Committee agreed to invite ISF to express its views to the TC with regard to </w:t>
      </w:r>
      <w:r w:rsidR="009628A1">
        <w:t xml:space="preserve">databases of variety descriptions and the </w:t>
      </w:r>
      <w:r w:rsidR="009628A1" w:rsidRPr="00390671">
        <w:t>criteria identified by the TC for the publication of variety descriptions, as set out in document TC/45/9 “Publication of Variety Descriptions”.</w:t>
      </w:r>
      <w:r w:rsidR="009628A1">
        <w:t xml:space="preserve">  </w:t>
      </w:r>
      <w:r w:rsidR="009628A1" w:rsidRPr="00842EE6">
        <w:t>Document TC/45/9</w:t>
      </w:r>
      <w:r w:rsidR="009628A1">
        <w:t xml:space="preserve"> states the following:</w:t>
      </w:r>
    </w:p>
    <w:p w:rsidR="009628A1" w:rsidRDefault="009628A1" w:rsidP="009628A1"/>
    <w:p w:rsidR="009628A1" w:rsidRPr="00842EE6" w:rsidRDefault="009628A1" w:rsidP="00467D0A">
      <w:pPr>
        <w:ind w:left="567" w:right="567"/>
        <w:rPr>
          <w:sz w:val="18"/>
          <w:szCs w:val="18"/>
        </w:rPr>
      </w:pPr>
      <w:r>
        <w:rPr>
          <w:sz w:val="18"/>
          <w:szCs w:val="18"/>
        </w:rPr>
        <w:t>“</w:t>
      </w:r>
      <w:r w:rsidRPr="00842EE6">
        <w:rPr>
          <w:sz w:val="18"/>
          <w:szCs w:val="18"/>
        </w:rPr>
        <w:t>1.</w:t>
      </w:r>
      <w:r w:rsidRPr="00842EE6">
        <w:rPr>
          <w:sz w:val="18"/>
          <w:szCs w:val="18"/>
        </w:rPr>
        <w:tab/>
        <w:t>It is recalled that the aim of the project to consider the publication of variety descriptions (see document TC/38/10, Annex) was:</w:t>
      </w:r>
    </w:p>
    <w:p w:rsidR="009628A1" w:rsidRPr="00842EE6" w:rsidRDefault="009628A1" w:rsidP="00467D0A">
      <w:pPr>
        <w:ind w:left="567" w:right="567"/>
        <w:rPr>
          <w:sz w:val="18"/>
          <w:szCs w:val="18"/>
        </w:rPr>
      </w:pPr>
    </w:p>
    <w:p w:rsidR="009628A1" w:rsidRPr="00842EE6" w:rsidRDefault="009628A1" w:rsidP="00467D0A">
      <w:pPr>
        <w:ind w:left="1134" w:right="567"/>
        <w:rPr>
          <w:sz w:val="18"/>
          <w:szCs w:val="18"/>
        </w:rPr>
      </w:pPr>
      <w:r>
        <w:rPr>
          <w:sz w:val="18"/>
          <w:szCs w:val="18"/>
        </w:rPr>
        <w:t>“</w:t>
      </w:r>
      <w:r w:rsidRPr="00842EE6">
        <w:rPr>
          <w:sz w:val="18"/>
          <w:szCs w:val="18"/>
        </w:rPr>
        <w:t>(a)</w:t>
      </w:r>
      <w:r w:rsidRPr="00842EE6">
        <w:rPr>
          <w:sz w:val="18"/>
          <w:szCs w:val="18"/>
        </w:rPr>
        <w:tab/>
        <w:t>to increase the availability of variety description information to interested parties (i.e. DUS examiners, breeders and maintainers of varieties of common knowledge) and thereby to maximize the effectiveness of the examination of distinctness</w:t>
      </w:r>
      <w:proofErr w:type="gramStart"/>
      <w:r w:rsidRPr="00842EE6">
        <w:rPr>
          <w:sz w:val="18"/>
          <w:szCs w:val="18"/>
        </w:rPr>
        <w:t>;  and</w:t>
      </w:r>
      <w:proofErr w:type="gramEnd"/>
    </w:p>
    <w:p w:rsidR="009628A1" w:rsidRPr="00842EE6" w:rsidRDefault="009628A1" w:rsidP="00467D0A">
      <w:pPr>
        <w:ind w:left="1134" w:right="567"/>
        <w:rPr>
          <w:sz w:val="18"/>
          <w:szCs w:val="18"/>
        </w:rPr>
      </w:pPr>
    </w:p>
    <w:p w:rsidR="009628A1" w:rsidRPr="00842EE6" w:rsidRDefault="009628A1" w:rsidP="00467D0A">
      <w:pPr>
        <w:ind w:left="1134" w:right="567"/>
        <w:rPr>
          <w:sz w:val="18"/>
          <w:szCs w:val="18"/>
        </w:rPr>
      </w:pPr>
      <w:r>
        <w:rPr>
          <w:sz w:val="18"/>
          <w:szCs w:val="18"/>
        </w:rPr>
        <w:t>“</w:t>
      </w:r>
      <w:r w:rsidRPr="00842EE6">
        <w:rPr>
          <w:sz w:val="18"/>
          <w:szCs w:val="18"/>
        </w:rPr>
        <w:t>(b)</w:t>
      </w:r>
      <w:r w:rsidRPr="00842EE6">
        <w:rPr>
          <w:sz w:val="18"/>
          <w:szCs w:val="18"/>
        </w:rPr>
        <w:tab/>
        <w:t>to use appropriate elements of the variety description, in the process of examining distinctness, to eliminate varieties which do not require further comparison and to identify those varieties against which a further comparison is required,</w:t>
      </w:r>
    </w:p>
    <w:p w:rsidR="009628A1" w:rsidRPr="00842EE6" w:rsidRDefault="009628A1" w:rsidP="00467D0A">
      <w:pPr>
        <w:ind w:left="567" w:right="567"/>
        <w:rPr>
          <w:sz w:val="18"/>
          <w:szCs w:val="18"/>
        </w:rPr>
      </w:pPr>
    </w:p>
    <w:p w:rsidR="009628A1" w:rsidRPr="00842EE6" w:rsidRDefault="009628A1" w:rsidP="00467D0A">
      <w:pPr>
        <w:ind w:left="567" w:right="567"/>
        <w:rPr>
          <w:sz w:val="18"/>
          <w:szCs w:val="18"/>
        </w:rPr>
      </w:pPr>
      <w:r>
        <w:rPr>
          <w:sz w:val="18"/>
          <w:szCs w:val="18"/>
        </w:rPr>
        <w:t>“</w:t>
      </w:r>
      <w:r w:rsidRPr="00842EE6">
        <w:rPr>
          <w:sz w:val="18"/>
          <w:szCs w:val="18"/>
        </w:rPr>
        <w:t>2.</w:t>
      </w:r>
      <w:r w:rsidRPr="00842EE6">
        <w:rPr>
          <w:sz w:val="18"/>
          <w:szCs w:val="18"/>
        </w:rPr>
        <w:tab/>
      </w:r>
      <w:proofErr w:type="gramStart"/>
      <w:r w:rsidRPr="00842EE6">
        <w:rPr>
          <w:sz w:val="18"/>
          <w:szCs w:val="18"/>
        </w:rPr>
        <w:t>At</w:t>
      </w:r>
      <w:proofErr w:type="gramEnd"/>
      <w:r w:rsidRPr="00842EE6">
        <w:rPr>
          <w:sz w:val="18"/>
          <w:szCs w:val="18"/>
        </w:rPr>
        <w:t xml:space="preserve"> its meeting in Geneva, on March 31, 2004, the </w:t>
      </w:r>
      <w:r w:rsidRPr="00842EE6">
        <w:rPr>
          <w:i/>
          <w:sz w:val="18"/>
          <w:szCs w:val="18"/>
        </w:rPr>
        <w:t>Ad hoc</w:t>
      </w:r>
      <w:r w:rsidRPr="00842EE6">
        <w:rPr>
          <w:sz w:val="18"/>
          <w:szCs w:val="18"/>
        </w:rPr>
        <w:t xml:space="preserve"> Working Group on the Publication of Variety Descriptions (WG-PVD) clarified that, with respect to the UPOV Plant Variety Database, the intention was not to develop an “on-line” DUS examination.  </w:t>
      </w:r>
    </w:p>
    <w:p w:rsidR="009628A1" w:rsidRPr="00842EE6" w:rsidRDefault="009628A1" w:rsidP="00467D0A">
      <w:pPr>
        <w:ind w:left="567" w:right="567"/>
        <w:rPr>
          <w:sz w:val="18"/>
          <w:szCs w:val="18"/>
        </w:rPr>
      </w:pPr>
    </w:p>
    <w:p w:rsidR="009628A1" w:rsidRPr="00842EE6" w:rsidRDefault="009628A1" w:rsidP="00467D0A">
      <w:pPr>
        <w:ind w:left="567" w:right="567"/>
        <w:rPr>
          <w:sz w:val="18"/>
          <w:szCs w:val="18"/>
        </w:rPr>
      </w:pPr>
      <w:r>
        <w:rPr>
          <w:sz w:val="18"/>
          <w:szCs w:val="18"/>
        </w:rPr>
        <w:t>“</w:t>
      </w:r>
      <w:r w:rsidRPr="00842EE6">
        <w:rPr>
          <w:sz w:val="18"/>
          <w:szCs w:val="18"/>
        </w:rPr>
        <w:t>3.</w:t>
      </w:r>
      <w:r w:rsidRPr="00842EE6">
        <w:rPr>
          <w:sz w:val="18"/>
          <w:szCs w:val="18"/>
        </w:rPr>
        <w:tab/>
        <w:t>At its forty third session, held in Geneva, from March 26 to 28, 2007, the Technical Committee (TC) agreed the list of criteria for consideration by the Technical Working Parties (TWPs) for the use of descriptions obtained from different locations and sources as follows:</w:t>
      </w:r>
    </w:p>
    <w:p w:rsidR="009628A1" w:rsidRPr="00842EE6" w:rsidRDefault="009628A1" w:rsidP="00467D0A">
      <w:pPr>
        <w:ind w:left="567" w:right="567"/>
        <w:rPr>
          <w:sz w:val="18"/>
          <w:szCs w:val="18"/>
        </w:rPr>
      </w:pPr>
    </w:p>
    <w:p w:rsidR="009628A1" w:rsidRPr="00842EE6" w:rsidRDefault="009628A1" w:rsidP="00467D0A">
      <w:pPr>
        <w:ind w:left="1710" w:right="567" w:hanging="576"/>
        <w:rPr>
          <w:sz w:val="18"/>
          <w:szCs w:val="18"/>
        </w:rPr>
      </w:pPr>
      <w:r>
        <w:rPr>
          <w:sz w:val="18"/>
          <w:szCs w:val="18"/>
        </w:rPr>
        <w:t>“</w:t>
      </w:r>
      <w:r w:rsidRPr="00842EE6">
        <w:rPr>
          <w:sz w:val="18"/>
          <w:szCs w:val="18"/>
        </w:rPr>
        <w:t>(</w:t>
      </w:r>
      <w:proofErr w:type="gramStart"/>
      <w:r w:rsidRPr="00842EE6">
        <w:rPr>
          <w:sz w:val="18"/>
          <w:szCs w:val="18"/>
        </w:rPr>
        <w:t>a</w:t>
      </w:r>
      <w:proofErr w:type="gramEnd"/>
      <w:r w:rsidRPr="00842EE6">
        <w:rPr>
          <w:sz w:val="18"/>
          <w:szCs w:val="18"/>
        </w:rPr>
        <w:t>)</w:t>
      </w:r>
      <w:r w:rsidRPr="00842EE6">
        <w:rPr>
          <w:sz w:val="18"/>
          <w:szCs w:val="18"/>
        </w:rPr>
        <w:tab/>
        <w:t>to consider the species for which they see a real interest in creating an international database with variety descriptions;</w:t>
      </w:r>
    </w:p>
    <w:p w:rsidR="009628A1" w:rsidRPr="00842EE6" w:rsidRDefault="009628A1" w:rsidP="00467D0A">
      <w:pPr>
        <w:ind w:left="1710" w:right="567" w:hanging="576"/>
        <w:rPr>
          <w:sz w:val="18"/>
          <w:szCs w:val="18"/>
        </w:rPr>
      </w:pPr>
      <w:r>
        <w:rPr>
          <w:sz w:val="18"/>
          <w:szCs w:val="18"/>
        </w:rPr>
        <w:t>“</w:t>
      </w:r>
      <w:r w:rsidRPr="00842EE6">
        <w:rPr>
          <w:sz w:val="18"/>
          <w:szCs w:val="18"/>
        </w:rPr>
        <w:t>(b)</w:t>
      </w:r>
      <w:r w:rsidRPr="00842EE6">
        <w:rPr>
          <w:sz w:val="18"/>
          <w:szCs w:val="18"/>
        </w:rPr>
        <w:tab/>
      </w:r>
      <w:proofErr w:type="gramStart"/>
      <w:r w:rsidRPr="00842EE6">
        <w:rPr>
          <w:sz w:val="18"/>
          <w:szCs w:val="18"/>
        </w:rPr>
        <w:t>to</w:t>
      </w:r>
      <w:proofErr w:type="gramEnd"/>
      <w:r w:rsidRPr="00842EE6">
        <w:rPr>
          <w:sz w:val="18"/>
          <w:szCs w:val="18"/>
        </w:rPr>
        <w:t xml:space="preserve"> specify the aim and benefits expected;</w:t>
      </w:r>
    </w:p>
    <w:p w:rsidR="009628A1" w:rsidRPr="00842EE6" w:rsidRDefault="009628A1" w:rsidP="00467D0A">
      <w:pPr>
        <w:ind w:left="1710" w:right="567" w:hanging="576"/>
        <w:rPr>
          <w:sz w:val="18"/>
          <w:szCs w:val="18"/>
        </w:rPr>
      </w:pPr>
      <w:r>
        <w:rPr>
          <w:sz w:val="18"/>
          <w:szCs w:val="18"/>
        </w:rPr>
        <w:t>“</w:t>
      </w:r>
      <w:r w:rsidRPr="00842EE6">
        <w:rPr>
          <w:sz w:val="18"/>
          <w:szCs w:val="18"/>
        </w:rPr>
        <w:t>(c)</w:t>
      </w:r>
      <w:r w:rsidRPr="00842EE6">
        <w:rPr>
          <w:sz w:val="18"/>
          <w:szCs w:val="18"/>
        </w:rPr>
        <w:tab/>
      </w:r>
      <w:proofErr w:type="gramStart"/>
      <w:r w:rsidRPr="00842EE6">
        <w:rPr>
          <w:sz w:val="18"/>
          <w:szCs w:val="18"/>
        </w:rPr>
        <w:t>to</w:t>
      </w:r>
      <w:proofErr w:type="gramEnd"/>
      <w:r w:rsidRPr="00842EE6">
        <w:rPr>
          <w:sz w:val="18"/>
          <w:szCs w:val="18"/>
        </w:rPr>
        <w:t xml:space="preserve"> select the characteristics for which descriptions should be published; </w:t>
      </w:r>
    </w:p>
    <w:p w:rsidR="009628A1" w:rsidRPr="00842EE6" w:rsidRDefault="009628A1" w:rsidP="00467D0A">
      <w:pPr>
        <w:ind w:left="1710" w:right="567" w:hanging="576"/>
        <w:rPr>
          <w:sz w:val="18"/>
          <w:szCs w:val="18"/>
        </w:rPr>
      </w:pPr>
      <w:r>
        <w:rPr>
          <w:sz w:val="18"/>
          <w:szCs w:val="18"/>
        </w:rPr>
        <w:t>“</w:t>
      </w:r>
      <w:r w:rsidRPr="00842EE6">
        <w:rPr>
          <w:sz w:val="18"/>
          <w:szCs w:val="18"/>
        </w:rPr>
        <w:t>(d)</w:t>
      </w:r>
      <w:r w:rsidRPr="00842EE6">
        <w:rPr>
          <w:sz w:val="18"/>
          <w:szCs w:val="18"/>
        </w:rPr>
        <w:tab/>
      </w:r>
      <w:proofErr w:type="gramStart"/>
      <w:r w:rsidRPr="00842EE6">
        <w:rPr>
          <w:sz w:val="18"/>
          <w:szCs w:val="18"/>
        </w:rPr>
        <w:t>to</w:t>
      </w:r>
      <w:proofErr w:type="gramEnd"/>
      <w:r w:rsidRPr="00842EE6">
        <w:rPr>
          <w:sz w:val="18"/>
          <w:szCs w:val="18"/>
        </w:rPr>
        <w:t xml:space="preserve"> specify for each characteristic the degree of harmonization already achieved or aimed at (in the latter case, to specify if actions should be planned in order to improve the level of harmonization: ring tests, revision of the description of the way of observation in the guideline, …);</w:t>
      </w:r>
    </w:p>
    <w:p w:rsidR="009628A1" w:rsidRPr="00842EE6" w:rsidRDefault="009628A1" w:rsidP="00467D0A">
      <w:pPr>
        <w:ind w:left="1710" w:right="567" w:hanging="576"/>
        <w:rPr>
          <w:sz w:val="18"/>
          <w:szCs w:val="18"/>
        </w:rPr>
      </w:pPr>
      <w:r>
        <w:rPr>
          <w:sz w:val="18"/>
          <w:szCs w:val="18"/>
        </w:rPr>
        <w:t>“</w:t>
      </w:r>
      <w:r w:rsidRPr="00842EE6">
        <w:rPr>
          <w:sz w:val="18"/>
          <w:szCs w:val="18"/>
        </w:rPr>
        <w:t>(e)</w:t>
      </w:r>
      <w:r w:rsidRPr="00842EE6">
        <w:rPr>
          <w:sz w:val="18"/>
          <w:szCs w:val="18"/>
        </w:rPr>
        <w:tab/>
        <w:t>to study the pertinence of a “regional approach”, rather than an “international approach” (to consider groups of countries and to compare descriptions within those groups only);</w:t>
      </w:r>
    </w:p>
    <w:p w:rsidR="009628A1" w:rsidRPr="00842EE6" w:rsidRDefault="009628A1" w:rsidP="00467D0A">
      <w:pPr>
        <w:ind w:left="1710" w:right="567" w:hanging="576"/>
        <w:rPr>
          <w:sz w:val="18"/>
          <w:szCs w:val="18"/>
        </w:rPr>
      </w:pPr>
      <w:r>
        <w:rPr>
          <w:sz w:val="18"/>
          <w:szCs w:val="18"/>
        </w:rPr>
        <w:t>“</w:t>
      </w:r>
      <w:r w:rsidRPr="00842EE6">
        <w:rPr>
          <w:sz w:val="18"/>
          <w:szCs w:val="18"/>
        </w:rPr>
        <w:t>(f)</w:t>
      </w:r>
      <w:r w:rsidRPr="00842EE6">
        <w:rPr>
          <w:sz w:val="18"/>
          <w:szCs w:val="18"/>
        </w:rPr>
        <w:tab/>
      </w:r>
      <w:proofErr w:type="gramStart"/>
      <w:r w:rsidRPr="00842EE6">
        <w:rPr>
          <w:sz w:val="18"/>
          <w:szCs w:val="18"/>
        </w:rPr>
        <w:t>to</w:t>
      </w:r>
      <w:proofErr w:type="gramEnd"/>
      <w:r w:rsidRPr="00842EE6">
        <w:rPr>
          <w:sz w:val="18"/>
          <w:szCs w:val="18"/>
        </w:rPr>
        <w:t xml:space="preserve"> propose minimum distances when making comparisons of data, for the relevant characteristics;</w:t>
      </w:r>
    </w:p>
    <w:p w:rsidR="009628A1" w:rsidRPr="00842EE6" w:rsidRDefault="009628A1" w:rsidP="00467D0A">
      <w:pPr>
        <w:ind w:left="1710" w:right="567" w:hanging="576"/>
        <w:rPr>
          <w:sz w:val="18"/>
          <w:szCs w:val="18"/>
        </w:rPr>
      </w:pPr>
      <w:r>
        <w:rPr>
          <w:sz w:val="18"/>
          <w:szCs w:val="18"/>
        </w:rPr>
        <w:t>“</w:t>
      </w:r>
      <w:r w:rsidRPr="00842EE6">
        <w:rPr>
          <w:sz w:val="18"/>
          <w:szCs w:val="18"/>
        </w:rPr>
        <w:t>(g)</w:t>
      </w:r>
      <w:r w:rsidRPr="00842EE6">
        <w:rPr>
          <w:sz w:val="18"/>
          <w:szCs w:val="18"/>
        </w:rPr>
        <w:tab/>
      </w:r>
      <w:proofErr w:type="gramStart"/>
      <w:r w:rsidRPr="00842EE6">
        <w:rPr>
          <w:sz w:val="18"/>
          <w:szCs w:val="18"/>
        </w:rPr>
        <w:t>to</w:t>
      </w:r>
      <w:proofErr w:type="gramEnd"/>
      <w:r w:rsidRPr="00842EE6">
        <w:rPr>
          <w:sz w:val="18"/>
          <w:szCs w:val="18"/>
        </w:rPr>
        <w:t xml:space="preserve"> list the countries which would contribute to the publication;  </w:t>
      </w:r>
    </w:p>
    <w:p w:rsidR="009628A1" w:rsidRPr="00842EE6" w:rsidRDefault="009628A1" w:rsidP="00467D0A">
      <w:pPr>
        <w:ind w:left="1710" w:right="567" w:hanging="576"/>
        <w:rPr>
          <w:sz w:val="18"/>
          <w:szCs w:val="18"/>
        </w:rPr>
      </w:pPr>
      <w:r>
        <w:rPr>
          <w:sz w:val="18"/>
          <w:szCs w:val="18"/>
        </w:rPr>
        <w:t>“</w:t>
      </w:r>
      <w:r w:rsidRPr="00842EE6">
        <w:rPr>
          <w:sz w:val="18"/>
          <w:szCs w:val="18"/>
        </w:rPr>
        <w:t>(h)</w:t>
      </w:r>
      <w:r w:rsidRPr="00842EE6">
        <w:rPr>
          <w:sz w:val="18"/>
          <w:szCs w:val="18"/>
        </w:rPr>
        <w:tab/>
      </w:r>
      <w:proofErr w:type="gramStart"/>
      <w:r w:rsidRPr="00842EE6">
        <w:rPr>
          <w:sz w:val="18"/>
          <w:szCs w:val="18"/>
        </w:rPr>
        <w:t>to</w:t>
      </w:r>
      <w:proofErr w:type="gramEnd"/>
      <w:r w:rsidRPr="00842EE6">
        <w:rPr>
          <w:sz w:val="18"/>
          <w:szCs w:val="18"/>
        </w:rPr>
        <w:t xml:space="preserve"> consider the type of access (free or restricted to the contributors);  and</w:t>
      </w:r>
    </w:p>
    <w:p w:rsidR="009628A1" w:rsidRPr="00842EE6" w:rsidRDefault="009628A1" w:rsidP="00467D0A">
      <w:pPr>
        <w:ind w:left="1710" w:right="567" w:hanging="576"/>
        <w:rPr>
          <w:sz w:val="18"/>
          <w:szCs w:val="18"/>
        </w:rPr>
      </w:pPr>
      <w:r>
        <w:rPr>
          <w:sz w:val="18"/>
          <w:szCs w:val="18"/>
        </w:rPr>
        <w:t>“</w:t>
      </w:r>
      <w:r w:rsidRPr="00842EE6">
        <w:rPr>
          <w:sz w:val="18"/>
          <w:szCs w:val="18"/>
        </w:rPr>
        <w:t>(</w:t>
      </w:r>
      <w:proofErr w:type="spellStart"/>
      <w:proofErr w:type="gramStart"/>
      <w:r w:rsidRPr="00842EE6">
        <w:rPr>
          <w:sz w:val="18"/>
          <w:szCs w:val="18"/>
        </w:rPr>
        <w:t>i</w:t>
      </w:r>
      <w:proofErr w:type="spellEnd"/>
      <w:proofErr w:type="gramEnd"/>
      <w:r w:rsidRPr="00842EE6">
        <w:rPr>
          <w:sz w:val="18"/>
          <w:szCs w:val="18"/>
        </w:rPr>
        <w:t>)</w:t>
      </w:r>
      <w:r w:rsidRPr="00842EE6">
        <w:rPr>
          <w:sz w:val="18"/>
          <w:szCs w:val="18"/>
        </w:rPr>
        <w:tab/>
        <w:t>to consider the cost of any project.</w:t>
      </w:r>
    </w:p>
    <w:p w:rsidR="009628A1" w:rsidRPr="00842EE6" w:rsidRDefault="009628A1" w:rsidP="00467D0A">
      <w:pPr>
        <w:ind w:left="567" w:right="567"/>
        <w:rPr>
          <w:sz w:val="18"/>
          <w:szCs w:val="18"/>
        </w:rPr>
      </w:pPr>
    </w:p>
    <w:p w:rsidR="009628A1" w:rsidRDefault="009628A1" w:rsidP="00467D0A">
      <w:pPr>
        <w:ind w:left="567" w:right="567"/>
        <w:rPr>
          <w:sz w:val="18"/>
          <w:szCs w:val="18"/>
        </w:rPr>
      </w:pPr>
      <w:r>
        <w:rPr>
          <w:sz w:val="18"/>
          <w:szCs w:val="18"/>
        </w:rPr>
        <w:t>“</w:t>
      </w:r>
      <w:r w:rsidRPr="00842EE6">
        <w:rPr>
          <w:sz w:val="18"/>
          <w:szCs w:val="18"/>
        </w:rPr>
        <w:t>4.</w:t>
      </w:r>
      <w:r w:rsidRPr="00842EE6">
        <w:rPr>
          <w:sz w:val="18"/>
          <w:szCs w:val="18"/>
        </w:rPr>
        <w:tab/>
        <w:t>The TC agreed that no further meeting of the WG-PVD should be arranged unless or until specific proposals were developed for the consideration of the WG-PVD by the TC or by a TWP.</w:t>
      </w:r>
    </w:p>
    <w:p w:rsidR="009628A1" w:rsidRDefault="009628A1" w:rsidP="00467D0A">
      <w:pPr>
        <w:ind w:left="567" w:right="567"/>
        <w:rPr>
          <w:sz w:val="18"/>
          <w:szCs w:val="18"/>
        </w:rPr>
      </w:pPr>
    </w:p>
    <w:p w:rsidR="009628A1" w:rsidRPr="00390671" w:rsidRDefault="009628A1" w:rsidP="00467D0A">
      <w:pPr>
        <w:ind w:left="567" w:right="567"/>
      </w:pPr>
      <w:r>
        <w:rPr>
          <w:sz w:val="18"/>
          <w:szCs w:val="18"/>
        </w:rPr>
        <w:t>[…]”</w:t>
      </w:r>
    </w:p>
    <w:p w:rsidR="00FA5BBD" w:rsidRPr="007F0AA5" w:rsidRDefault="00FA5BBD" w:rsidP="00505A73"/>
    <w:p w:rsidR="00F0027E" w:rsidRPr="00FC4145" w:rsidRDefault="00260FDA" w:rsidP="00467D0A">
      <w:pPr>
        <w:pStyle w:val="DecisionParagraphs"/>
        <w:tabs>
          <w:tab w:val="left" w:pos="5954"/>
        </w:tabs>
      </w:pPr>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F0027E" w:rsidRPr="00FC4145">
        <w:t>The TC is invited to:</w:t>
      </w:r>
    </w:p>
    <w:p w:rsidR="00F0027E" w:rsidRPr="00FC4145" w:rsidRDefault="00F0027E" w:rsidP="00467D0A">
      <w:pPr>
        <w:pStyle w:val="DecisionParagraphs"/>
        <w:tabs>
          <w:tab w:val="left" w:pos="5954"/>
        </w:tabs>
      </w:pPr>
    </w:p>
    <w:p w:rsidR="00CE1419" w:rsidRPr="00FC4145" w:rsidRDefault="00F0027E" w:rsidP="00467D0A">
      <w:pPr>
        <w:pStyle w:val="DecisionParagraphs"/>
        <w:tabs>
          <w:tab w:val="left" w:pos="5954"/>
        </w:tabs>
      </w:pPr>
      <w:r w:rsidRPr="00FC4145">
        <w:tab/>
        <w:t>(a)</w:t>
      </w:r>
      <w:r w:rsidRPr="00FC4145">
        <w:tab/>
      </w:r>
      <w:r w:rsidR="00CE1419" w:rsidRPr="00FC4145">
        <w:t>note that the Consultative Committee has agreed to the development of document UPOV/INF/15 “Guidance for Members of UPOV on Ongoing Obligations and Related Notifications and on the Provision of Information to Facilitate Cooperation” into an umbrella document that would identify key issues for the operation of a plant variety protection system, as set out in paragraphs 4</w:t>
      </w:r>
      <w:r w:rsidR="00D23C7A">
        <w:t>4</w:t>
      </w:r>
      <w:r w:rsidR="00CE1419" w:rsidRPr="00FC4145">
        <w:t xml:space="preserve"> and 4</w:t>
      </w:r>
      <w:r w:rsidR="00D23C7A">
        <w:t>5</w:t>
      </w:r>
      <w:r w:rsidR="00CE1419" w:rsidRPr="00FC4145">
        <w:t>;</w:t>
      </w:r>
    </w:p>
    <w:p w:rsidR="00CE1419" w:rsidRPr="00FC4145" w:rsidRDefault="00CE1419" w:rsidP="00467D0A">
      <w:pPr>
        <w:pStyle w:val="DecisionParagraphs"/>
        <w:tabs>
          <w:tab w:val="left" w:pos="5954"/>
        </w:tabs>
      </w:pPr>
    </w:p>
    <w:p w:rsidR="00AE0E09" w:rsidRDefault="00CE1419" w:rsidP="00467D0A">
      <w:pPr>
        <w:pStyle w:val="DecisionParagraphs"/>
        <w:tabs>
          <w:tab w:val="left" w:pos="5954"/>
        </w:tabs>
      </w:pPr>
      <w:r w:rsidRPr="00FC4145">
        <w:tab/>
        <w:t>(b)</w:t>
      </w:r>
      <w:r w:rsidRPr="00FC4145">
        <w:tab/>
      </w:r>
      <w:r w:rsidR="00AE0E09" w:rsidRPr="00FC4145">
        <w:t>in relation to the matters in items (a) to (f) in paragraph 4</w:t>
      </w:r>
      <w:r w:rsidR="0028178C">
        <w:t>5</w:t>
      </w:r>
      <w:r w:rsidR="00AE0E09" w:rsidRPr="00FC4145">
        <w:t>, invite ISF to consider the indicated</w:t>
      </w:r>
      <w:r w:rsidR="00AE0E09" w:rsidRPr="00AE0E09">
        <w:t xml:space="preserve"> relevant UPOV materials and to explain where </w:t>
      </w:r>
      <w:r w:rsidR="00467D0A">
        <w:br/>
      </w:r>
      <w:r w:rsidR="00AE0E09" w:rsidRPr="00AE0E09">
        <w:t>it considers that further guidance might be developed</w:t>
      </w:r>
      <w:r w:rsidR="00AE0E09">
        <w:t>;  and</w:t>
      </w:r>
    </w:p>
    <w:p w:rsidR="00AE0E09" w:rsidRDefault="00AE0E09" w:rsidP="00467D0A">
      <w:pPr>
        <w:pStyle w:val="DecisionParagraphs"/>
        <w:tabs>
          <w:tab w:val="left" w:pos="5954"/>
        </w:tabs>
      </w:pPr>
    </w:p>
    <w:p w:rsidR="001F4113" w:rsidRPr="00467D0A" w:rsidRDefault="00AE0E09" w:rsidP="00467D0A">
      <w:pPr>
        <w:pStyle w:val="DecisionParagraphs"/>
        <w:tabs>
          <w:tab w:val="left" w:pos="5954"/>
        </w:tabs>
        <w:rPr>
          <w:spacing w:val="-2"/>
        </w:rPr>
      </w:pPr>
      <w:r>
        <w:tab/>
        <w:t>(c)</w:t>
      </w:r>
      <w:r>
        <w:tab/>
      </w:r>
      <w:proofErr w:type="gramStart"/>
      <w:r>
        <w:t>note</w:t>
      </w:r>
      <w:proofErr w:type="gramEnd"/>
      <w:r>
        <w:t xml:space="preserve"> that </w:t>
      </w:r>
      <w:r w:rsidRPr="00AE0E09">
        <w:t xml:space="preserve">ISF </w:t>
      </w:r>
      <w:r>
        <w:t xml:space="preserve">has been invited </w:t>
      </w:r>
      <w:r w:rsidRPr="00AE0E09">
        <w:t xml:space="preserve">to express its views to the TC with regard to databases of variety descriptions and the criteria identified by the TC for the publication of variety descriptions, as set out in </w:t>
      </w:r>
      <w:r w:rsidRPr="00467D0A">
        <w:rPr>
          <w:spacing w:val="-2"/>
        </w:rPr>
        <w:t>document TC/45/9 “Publication of Variety Descriptions”.</w:t>
      </w:r>
    </w:p>
    <w:p w:rsidR="001F4113" w:rsidRDefault="001F4113" w:rsidP="00467D0A"/>
    <w:p w:rsidR="00CF57D7" w:rsidRPr="00467D0A" w:rsidRDefault="00CF57D7" w:rsidP="00467D0A"/>
    <w:p w:rsidR="001D6D97" w:rsidRPr="00467D0A" w:rsidRDefault="001D6D97" w:rsidP="00467D0A"/>
    <w:p w:rsidR="001D6D97" w:rsidRDefault="001D6D97" w:rsidP="00D135ED">
      <w:pPr>
        <w:pStyle w:val="Heading1"/>
      </w:pPr>
      <w:bookmarkStart w:id="49" w:name="_Toc348535867"/>
      <w:bookmarkStart w:id="50" w:name="_Toc381174893"/>
      <w:r w:rsidRPr="00CF0F95">
        <w:t>Web-based TG Te</w:t>
      </w:r>
      <w:r w:rsidRPr="00B64109">
        <w:t>mplate</w:t>
      </w:r>
      <w:bookmarkEnd w:id="49"/>
      <w:bookmarkEnd w:id="50"/>
    </w:p>
    <w:p w:rsidR="00761761" w:rsidRDefault="00761761" w:rsidP="00761761"/>
    <w:p w:rsidR="00761761" w:rsidRPr="002F6EFE" w:rsidRDefault="00260FDA" w:rsidP="00761761">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761761">
        <w:t xml:space="preserve">The TC, at its forty-ninth session, held in Geneva from </w:t>
      </w:r>
      <w:r w:rsidR="00761761" w:rsidRPr="007930E0">
        <w:t>March 18 to March 20, 2013</w:t>
      </w:r>
      <w:r w:rsidR="00761761">
        <w:t xml:space="preserve">, </w:t>
      </w:r>
      <w:r w:rsidR="00761761" w:rsidRPr="002F6EFE">
        <w:t>received a presentation on the project for the development of a web-based TG Template by the Office of the Union and an expert from Australia and noted that a copy of the presentation would be provided in an addendum to document TC/49/3</w:t>
      </w:r>
      <w:r w:rsidR="009A0C94">
        <w:t xml:space="preserve"> “</w:t>
      </w:r>
      <w:r w:rsidR="009A0C94" w:rsidRPr="009A0C94">
        <w:t>Matters arising from the Technical Working Parties</w:t>
      </w:r>
      <w:r w:rsidR="009A0C94">
        <w:t>”</w:t>
      </w:r>
      <w:r w:rsidR="00761761" w:rsidRPr="002F6EFE">
        <w:t>.  The Vice Secretary</w:t>
      </w:r>
      <w:r w:rsidR="00761761" w:rsidRPr="002F6EFE">
        <w:noBreakHyphen/>
        <w:t>General reported that it was planned to develop a prototype for testing by interested experts by the end of 2013.</w:t>
      </w:r>
    </w:p>
    <w:p w:rsidR="00761761" w:rsidRPr="002F6EFE" w:rsidRDefault="00761761" w:rsidP="00761761"/>
    <w:p w:rsidR="00761761" w:rsidRDefault="00260FDA" w:rsidP="009A0C94">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761761" w:rsidRPr="002F6EFE">
        <w:t xml:space="preserve">The TC expressed its support for the project, noting that the </w:t>
      </w:r>
      <w:r w:rsidR="00761761">
        <w:t>template</w:t>
      </w:r>
      <w:r w:rsidR="00761761" w:rsidRPr="002F6EFE">
        <w:t xml:space="preserve"> would provide sufficient flexibility for drafters of Test Guidelines to introduce proposals that were not covered by</w:t>
      </w:r>
      <w:r w:rsidR="009C3347">
        <w:t xml:space="preserve"> existing standard wording.  It </w:t>
      </w:r>
      <w:r w:rsidR="00761761" w:rsidRPr="002F6EFE">
        <w:t>noted the comments of the TWPs at their sessions in 2012 on the project and noted the need to retain flexibility in the structure for further development of Test Guidelines by UPOV members</w:t>
      </w:r>
      <w:r w:rsidR="009A0C94">
        <w:t xml:space="preserve"> (see document TC/49/41 “Report on the Conclusions”, paragraphs 13 and 14)</w:t>
      </w:r>
      <w:r w:rsidR="00761761" w:rsidRPr="002F6EFE">
        <w:t>.</w:t>
      </w:r>
    </w:p>
    <w:p w:rsidR="009A0C94" w:rsidRDefault="009A0C94" w:rsidP="009A0C94"/>
    <w:p w:rsidR="00974E05" w:rsidRDefault="00260FDA" w:rsidP="00974E05">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974E05">
        <w:t xml:space="preserve">The </w:t>
      </w:r>
      <w:r w:rsidR="00974E05" w:rsidRPr="002F6EFE">
        <w:t>web-based TG Template</w:t>
      </w:r>
      <w:r w:rsidR="00974E05">
        <w:t xml:space="preserve"> will be developed in two separate phases</w:t>
      </w:r>
      <w:r w:rsidR="009C3347">
        <w:t xml:space="preserve"> in the form of Versions 1 and </w:t>
      </w:r>
      <w:r w:rsidR="007F6BE3">
        <w:t>2</w:t>
      </w:r>
      <w:r w:rsidR="00974E05">
        <w:t>.</w:t>
      </w:r>
    </w:p>
    <w:p w:rsidR="00974E05" w:rsidRDefault="00974E05" w:rsidP="00974E05"/>
    <w:p w:rsidR="001648DC" w:rsidRDefault="001648DC" w:rsidP="00974E05"/>
    <w:p w:rsidR="00974E05" w:rsidRDefault="007F6BE3" w:rsidP="006A4A4E">
      <w:pPr>
        <w:pStyle w:val="Heading2"/>
      </w:pPr>
      <w:bookmarkStart w:id="51" w:name="_Toc381174894"/>
      <w:r>
        <w:t>Version</w:t>
      </w:r>
      <w:r w:rsidR="00974E05">
        <w:t xml:space="preserve"> 1</w:t>
      </w:r>
      <w:bookmarkEnd w:id="51"/>
    </w:p>
    <w:p w:rsidR="00974E05" w:rsidRDefault="00974E05" w:rsidP="001648DC">
      <w:pPr>
        <w:keepNext/>
      </w:pPr>
    </w:p>
    <w:p w:rsidR="009A0C94" w:rsidRDefault="00260FDA" w:rsidP="00974E05">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7F6BE3">
        <w:t>Version 1</w:t>
      </w:r>
      <w:r w:rsidR="00974E05">
        <w:t xml:space="preserve"> </w:t>
      </w:r>
      <w:r w:rsidR="007F6BE3">
        <w:t xml:space="preserve">of the </w:t>
      </w:r>
      <w:r w:rsidR="00974E05" w:rsidRPr="002F6EFE">
        <w:t>web-based TG Template</w:t>
      </w:r>
      <w:r w:rsidR="00974E05">
        <w:t xml:space="preserve"> </w:t>
      </w:r>
      <w:r w:rsidR="007F6BE3">
        <w:t xml:space="preserve">will be fully functional </w:t>
      </w:r>
      <w:r w:rsidR="00974E05">
        <w:t>for the development of UPOV Test Guidelines</w:t>
      </w:r>
      <w:r w:rsidR="007F6BE3">
        <w:t xml:space="preserve"> by </w:t>
      </w:r>
      <w:r w:rsidR="007F6BE3" w:rsidRPr="00160D90">
        <w:rPr>
          <w:iCs/>
          <w:snapToGrid w:val="0"/>
          <w:color w:val="000000"/>
        </w:rPr>
        <w:t>Leading Expert</w:t>
      </w:r>
      <w:r w:rsidR="007F6BE3">
        <w:t xml:space="preserve">s and </w:t>
      </w:r>
      <w:r w:rsidR="00E4080D">
        <w:t>will enable Interested Experts to provide</w:t>
      </w:r>
      <w:r w:rsidR="007F6BE3">
        <w:t xml:space="preserve"> comments</w:t>
      </w:r>
      <w:r w:rsidR="00E4080D">
        <w:t xml:space="preserve">.  Version 1 of the </w:t>
      </w:r>
      <w:r w:rsidR="00E4080D" w:rsidRPr="002F6EFE">
        <w:t>web-based TG Template</w:t>
      </w:r>
      <w:r w:rsidR="00E4080D">
        <w:t xml:space="preserve"> w</w:t>
      </w:r>
      <w:r w:rsidR="00974E05">
        <w:t>ill be completed in early 2014</w:t>
      </w:r>
      <w:r w:rsidR="00E4080D">
        <w:t xml:space="preserve"> and a </w:t>
      </w:r>
      <w:r w:rsidR="00974E05">
        <w:t>demonstrati</w:t>
      </w:r>
      <w:r w:rsidR="009C3347">
        <w:t>on will be made at the fiftieth </w:t>
      </w:r>
      <w:r w:rsidR="00974E05">
        <w:t>session</w:t>
      </w:r>
      <w:r w:rsidR="00974E05" w:rsidRPr="00974E05">
        <w:t xml:space="preserve"> </w:t>
      </w:r>
      <w:r w:rsidR="00974E05">
        <w:t>of the TC.</w:t>
      </w:r>
      <w:r w:rsidR="007F6BE3">
        <w:t xml:space="preserve">  </w:t>
      </w:r>
    </w:p>
    <w:p w:rsidR="000D1DAA" w:rsidRDefault="000D1DAA" w:rsidP="000D1DAA">
      <w:pPr>
        <w:spacing w:line="360" w:lineRule="auto"/>
      </w:pPr>
    </w:p>
    <w:p w:rsidR="00B94A4D" w:rsidRDefault="00B94A4D" w:rsidP="00B94A4D">
      <w:pPr>
        <w:pStyle w:val="Heading3"/>
      </w:pPr>
      <w:bookmarkStart w:id="52" w:name="_Toc381174895"/>
      <w:r>
        <w:t>Features</w:t>
      </w:r>
      <w:bookmarkEnd w:id="52"/>
    </w:p>
    <w:p w:rsidR="00B94A4D" w:rsidRDefault="00B94A4D" w:rsidP="00727189">
      <w:pPr>
        <w:keepNext/>
      </w:pPr>
    </w:p>
    <w:p w:rsidR="00E4080D" w:rsidRDefault="00260FDA" w:rsidP="00974E05">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E4080D">
        <w:t>The main features of Version 1 are as follows:</w:t>
      </w:r>
    </w:p>
    <w:p w:rsidR="00E4080D" w:rsidRDefault="00E4080D" w:rsidP="00974E05"/>
    <w:p w:rsidR="001F065E" w:rsidRDefault="001F065E" w:rsidP="009C3347">
      <w:pPr>
        <w:pStyle w:val="ListParagraph"/>
        <w:numPr>
          <w:ilvl w:val="0"/>
          <w:numId w:val="5"/>
        </w:numPr>
        <w:spacing w:after="40"/>
        <w:ind w:left="714" w:hanging="357"/>
        <w:contextualSpacing w:val="0"/>
      </w:pPr>
      <w:r>
        <w:t xml:space="preserve">Draft Test Guidelines will be prepared by </w:t>
      </w:r>
      <w:r w:rsidRPr="00160D90">
        <w:rPr>
          <w:iCs/>
          <w:snapToGrid w:val="0"/>
          <w:color w:val="000000"/>
        </w:rPr>
        <w:t>Leading Expert</w:t>
      </w:r>
      <w:r>
        <w:rPr>
          <w:iCs/>
          <w:snapToGrid w:val="0"/>
          <w:color w:val="000000"/>
        </w:rPr>
        <w:t>s</w:t>
      </w:r>
      <w:r>
        <w:t xml:space="preserve"> online via the </w:t>
      </w:r>
      <w:r w:rsidRPr="002F6EFE">
        <w:t>web-based TG Template</w:t>
      </w:r>
    </w:p>
    <w:p w:rsidR="00E4080D" w:rsidRDefault="00E4080D" w:rsidP="009C3347">
      <w:pPr>
        <w:pStyle w:val="ListParagraph"/>
        <w:numPr>
          <w:ilvl w:val="0"/>
          <w:numId w:val="5"/>
        </w:numPr>
        <w:spacing w:after="40"/>
        <w:ind w:left="714" w:hanging="357"/>
        <w:contextualSpacing w:val="0"/>
      </w:pPr>
      <w:r>
        <w:t>Fixed template containing all</w:t>
      </w:r>
      <w:r w:rsidRPr="00E4080D">
        <w:t xml:space="preserve"> </w:t>
      </w:r>
      <w:r>
        <w:t xml:space="preserve">universal standard wording which is appropriate for all Test Guidelines (see </w:t>
      </w:r>
      <w:r w:rsidR="005D6A9B">
        <w:t xml:space="preserve">document </w:t>
      </w:r>
      <w:r>
        <w:t>TGP/7</w:t>
      </w:r>
      <w:r w:rsidR="005D6A9B">
        <w:t>/3</w:t>
      </w:r>
      <w:r>
        <w:t xml:space="preserve"> “Development of Test Guidelines”, Section 3.1 “</w:t>
      </w:r>
      <w:r w:rsidRPr="00E4080D">
        <w:t>The TG Template</w:t>
      </w:r>
      <w:r>
        <w:t>”)</w:t>
      </w:r>
    </w:p>
    <w:p w:rsidR="00E4080D" w:rsidRDefault="00E4080D" w:rsidP="009C3347">
      <w:pPr>
        <w:pStyle w:val="ListParagraph"/>
        <w:numPr>
          <w:ilvl w:val="0"/>
          <w:numId w:val="5"/>
        </w:numPr>
        <w:spacing w:after="40"/>
        <w:ind w:left="714" w:hanging="357"/>
        <w:contextualSpacing w:val="0"/>
      </w:pPr>
      <w:r>
        <w:t xml:space="preserve">Options to add </w:t>
      </w:r>
      <w:r w:rsidRPr="00E4080D">
        <w:t>Additional Standard Wording (ASW)</w:t>
      </w:r>
      <w:r>
        <w:t xml:space="preserve"> (see </w:t>
      </w:r>
      <w:r w:rsidR="005D6A9B">
        <w:t xml:space="preserve">document </w:t>
      </w:r>
      <w:r>
        <w:t>TGP/7</w:t>
      </w:r>
      <w:r w:rsidR="005D6A9B">
        <w:t>/3</w:t>
      </w:r>
      <w:r>
        <w:t xml:space="preserve">, Section </w:t>
      </w:r>
      <w:r w:rsidRPr="00E4080D">
        <w:t xml:space="preserve">3.2 </w:t>
      </w:r>
      <w:r>
        <w:t>“</w:t>
      </w:r>
      <w:r w:rsidRPr="00E4080D">
        <w:t>Additional Standard Wording (ASW) for the TG Template</w:t>
      </w:r>
      <w:r>
        <w:t>”)</w:t>
      </w:r>
    </w:p>
    <w:p w:rsidR="00E4080D" w:rsidRDefault="00E4080D" w:rsidP="009C3347">
      <w:pPr>
        <w:pStyle w:val="ListParagraph"/>
        <w:numPr>
          <w:ilvl w:val="0"/>
          <w:numId w:val="5"/>
        </w:numPr>
        <w:spacing w:after="40"/>
        <w:ind w:left="714" w:hanging="357"/>
        <w:contextualSpacing w:val="0"/>
      </w:pPr>
      <w:r>
        <w:t xml:space="preserve">Links to </w:t>
      </w:r>
      <w:r w:rsidRPr="00E4080D">
        <w:t xml:space="preserve">Guidance Notes (GN) </w:t>
      </w:r>
      <w:r>
        <w:t xml:space="preserve">(see </w:t>
      </w:r>
      <w:r w:rsidR="005D6A9B">
        <w:t xml:space="preserve">document </w:t>
      </w:r>
      <w:r>
        <w:t>TGP/7</w:t>
      </w:r>
      <w:r w:rsidR="005D6A9B">
        <w:t>/3</w:t>
      </w:r>
      <w:r>
        <w:t xml:space="preserve">, Section </w:t>
      </w:r>
      <w:r w:rsidRPr="00E4080D">
        <w:t xml:space="preserve">3.3 </w:t>
      </w:r>
      <w:r w:rsidR="005D6A9B">
        <w:t>“</w:t>
      </w:r>
      <w:r w:rsidRPr="00E4080D">
        <w:t>Guidance Notes (GN) for the TG Template</w:t>
      </w:r>
      <w:r w:rsidR="005D6A9B">
        <w:t>”)</w:t>
      </w:r>
    </w:p>
    <w:p w:rsidR="001D2E82" w:rsidRPr="001D2E82" w:rsidRDefault="005D6A9B" w:rsidP="005D6A9B">
      <w:pPr>
        <w:pStyle w:val="ListParagraph"/>
        <w:numPr>
          <w:ilvl w:val="0"/>
          <w:numId w:val="5"/>
        </w:numPr>
        <w:rPr>
          <w:i/>
          <w:snapToGrid w:val="0"/>
        </w:rPr>
      </w:pPr>
      <w:r>
        <w:t>A database of characteristics</w:t>
      </w:r>
      <w:r w:rsidR="00CA06CC">
        <w:t xml:space="preserve"> (in English, French, German and Spanish)</w:t>
      </w:r>
      <w:r>
        <w:t xml:space="preserve"> from Test Guidelines adopted after the adoption of document TGP/7/1 “Development of Test Guidelines” the Collection of Approved Characteristics (adopted in 2004) (see document TGP/7/3, </w:t>
      </w:r>
      <w:r w:rsidRPr="005D6A9B">
        <w:t>Annex 4</w:t>
      </w:r>
      <w:r>
        <w:t xml:space="preserve"> “</w:t>
      </w:r>
      <w:r w:rsidRPr="005D6A9B">
        <w:t>Collection of Approved Characteristics</w:t>
      </w:r>
      <w:r>
        <w:t>”).</w:t>
      </w:r>
    </w:p>
    <w:p w:rsidR="00F23E20" w:rsidRDefault="00AA731D" w:rsidP="001D2E82">
      <w:pPr>
        <w:ind w:left="720"/>
        <w:rPr>
          <w:i/>
          <w:snapToGrid w:val="0"/>
        </w:rPr>
      </w:pPr>
      <w:r>
        <w:br/>
      </w:r>
      <w:r w:rsidR="005D6A9B" w:rsidRPr="001D2E82">
        <w:rPr>
          <w:i/>
        </w:rPr>
        <w:t xml:space="preserve">The database </w:t>
      </w:r>
      <w:r w:rsidR="001C4B8F">
        <w:rPr>
          <w:i/>
        </w:rPr>
        <w:t xml:space="preserve">will </w:t>
      </w:r>
      <w:r w:rsidR="005D6A9B" w:rsidRPr="001D2E82">
        <w:rPr>
          <w:i/>
        </w:rPr>
        <w:t xml:space="preserve">contain all information from the </w:t>
      </w:r>
      <w:r w:rsidR="005D6A9B" w:rsidRPr="001D2E82">
        <w:rPr>
          <w:i/>
          <w:color w:val="000000"/>
          <w:lang w:val="nl-NL"/>
        </w:rPr>
        <w:t xml:space="preserve">Table of Characteristics, including </w:t>
      </w:r>
      <w:r w:rsidR="005D6A9B" w:rsidRPr="001D2E82">
        <w:rPr>
          <w:i/>
        </w:rPr>
        <w:t xml:space="preserve">states of expression, notes, example varieties, etc.  The database can be searched for </w:t>
      </w:r>
      <w:r w:rsidR="00F23E20" w:rsidRPr="001D2E82">
        <w:rPr>
          <w:i/>
        </w:rPr>
        <w:t>relevant characteristics</w:t>
      </w:r>
      <w:r w:rsidR="005D6A9B" w:rsidRPr="001D2E82">
        <w:rPr>
          <w:i/>
        </w:rPr>
        <w:t xml:space="preserve"> and a relevant </w:t>
      </w:r>
      <w:r w:rsidR="005D6A9B" w:rsidRPr="001D2E82">
        <w:rPr>
          <w:i/>
          <w:snapToGrid w:val="0"/>
        </w:rPr>
        <w:t>characteristic uploaded into draft Test Guidelines</w:t>
      </w:r>
      <w:r w:rsidR="00F23E20" w:rsidRPr="001D2E82">
        <w:rPr>
          <w:i/>
          <w:snapToGrid w:val="0"/>
        </w:rPr>
        <w:t xml:space="preserve"> with subsequent modification as required.</w:t>
      </w:r>
    </w:p>
    <w:p w:rsidR="001D2E82" w:rsidRPr="001D2E82" w:rsidRDefault="001D2E82" w:rsidP="001D2E82">
      <w:pPr>
        <w:ind w:left="360"/>
        <w:rPr>
          <w:i/>
          <w:snapToGrid w:val="0"/>
        </w:rPr>
      </w:pPr>
    </w:p>
    <w:p w:rsidR="00AA731D" w:rsidRDefault="00AA731D" w:rsidP="009C3347">
      <w:pPr>
        <w:pStyle w:val="ListParagraph"/>
        <w:numPr>
          <w:ilvl w:val="0"/>
          <w:numId w:val="5"/>
        </w:numPr>
        <w:spacing w:after="40"/>
        <w:ind w:left="714" w:hanging="357"/>
        <w:contextualSpacing w:val="0"/>
        <w:rPr>
          <w:snapToGrid w:val="0"/>
        </w:rPr>
      </w:pPr>
      <w:r>
        <w:rPr>
          <w:snapToGrid w:val="0"/>
        </w:rPr>
        <w:t>Comments boxes for Interested Experts</w:t>
      </w:r>
      <w:r w:rsidR="001D2E82">
        <w:rPr>
          <w:snapToGrid w:val="0"/>
        </w:rPr>
        <w:t xml:space="preserve"> to complete online</w:t>
      </w:r>
      <w:r w:rsidR="004E4FAC">
        <w:rPr>
          <w:snapToGrid w:val="0"/>
        </w:rPr>
        <w:t xml:space="preserve"> with a facility to view all comments</w:t>
      </w:r>
    </w:p>
    <w:p w:rsidR="001D2E82" w:rsidRDefault="009628A1" w:rsidP="009C3347">
      <w:pPr>
        <w:pStyle w:val="ListParagraph"/>
        <w:numPr>
          <w:ilvl w:val="0"/>
          <w:numId w:val="5"/>
        </w:numPr>
        <w:spacing w:after="40"/>
        <w:ind w:left="714" w:hanging="357"/>
        <w:contextualSpacing w:val="0"/>
        <w:rPr>
          <w:snapToGrid w:val="0"/>
        </w:rPr>
      </w:pPr>
      <w:r w:rsidRPr="009628A1">
        <w:rPr>
          <w:snapToGrid w:val="0"/>
        </w:rPr>
        <w:t>Options to produce output in HTML, PDF or Word format.</w:t>
      </w:r>
      <w:r w:rsidR="001D2E82">
        <w:rPr>
          <w:snapToGrid w:val="0"/>
        </w:rPr>
        <w:t xml:space="preserve"> </w:t>
      </w:r>
    </w:p>
    <w:p w:rsidR="001D2E82" w:rsidRDefault="001D2E82" w:rsidP="009C3347">
      <w:pPr>
        <w:pStyle w:val="ListParagraph"/>
        <w:numPr>
          <w:ilvl w:val="0"/>
          <w:numId w:val="5"/>
        </w:numPr>
        <w:spacing w:after="40"/>
        <w:ind w:left="714" w:hanging="357"/>
        <w:contextualSpacing w:val="0"/>
        <w:rPr>
          <w:snapToGrid w:val="0"/>
        </w:rPr>
      </w:pPr>
      <w:r>
        <w:rPr>
          <w:snapToGrid w:val="0"/>
        </w:rPr>
        <w:t>English only version</w:t>
      </w:r>
    </w:p>
    <w:p w:rsidR="001D2E82" w:rsidRPr="001D2E82" w:rsidRDefault="001D2E82" w:rsidP="001D2E82">
      <w:pPr>
        <w:pStyle w:val="ListParagraph"/>
        <w:numPr>
          <w:ilvl w:val="0"/>
          <w:numId w:val="5"/>
        </w:numPr>
        <w:rPr>
          <w:snapToGrid w:val="0"/>
        </w:rPr>
      </w:pPr>
      <w:r>
        <w:rPr>
          <w:snapToGrid w:val="0"/>
        </w:rPr>
        <w:t xml:space="preserve">Translators’ facility for the </w:t>
      </w:r>
      <w:r>
        <w:rPr>
          <w:snapToGrid w:val="0"/>
          <w:color w:val="000000"/>
          <w:lang w:val="nl-NL"/>
        </w:rPr>
        <w:t xml:space="preserve">Table of </w:t>
      </w:r>
      <w:r w:rsidRPr="001D2E82">
        <w:rPr>
          <w:snapToGrid w:val="0"/>
          <w:color w:val="000000"/>
          <w:lang w:val="nl-NL"/>
        </w:rPr>
        <w:t>Characteristics</w:t>
      </w:r>
      <w:r w:rsidR="00744A9B">
        <w:rPr>
          <w:snapToGrid w:val="0"/>
          <w:color w:val="000000"/>
          <w:lang w:val="nl-NL"/>
        </w:rPr>
        <w:t xml:space="preserve"> (Chapter 7)</w:t>
      </w:r>
    </w:p>
    <w:p w:rsidR="001D2E82" w:rsidRDefault="001D2E82" w:rsidP="001D2E82">
      <w:pPr>
        <w:ind w:left="720"/>
        <w:rPr>
          <w:i/>
          <w:snapToGrid w:val="0"/>
          <w:color w:val="000000"/>
          <w:lang w:val="nl-NL"/>
        </w:rPr>
      </w:pPr>
    </w:p>
    <w:p w:rsidR="001D2E82" w:rsidRDefault="001D2E82" w:rsidP="001D2E82">
      <w:pPr>
        <w:ind w:left="720"/>
        <w:rPr>
          <w:i/>
          <w:snapToGrid w:val="0"/>
          <w:color w:val="000000"/>
          <w:lang w:val="nl-NL"/>
        </w:rPr>
      </w:pPr>
      <w:r w:rsidRPr="001D2E82">
        <w:rPr>
          <w:i/>
          <w:snapToGrid w:val="0"/>
          <w:color w:val="000000"/>
          <w:lang w:val="nl-NL"/>
        </w:rPr>
        <w:t>Characteristics</w:t>
      </w:r>
      <w:r>
        <w:rPr>
          <w:i/>
          <w:snapToGrid w:val="0"/>
          <w:color w:val="000000"/>
          <w:lang w:val="nl-NL"/>
        </w:rPr>
        <w:t xml:space="preserve"> uploaded</w:t>
      </w:r>
      <w:r w:rsidR="00CA06CC">
        <w:rPr>
          <w:i/>
          <w:snapToGrid w:val="0"/>
          <w:color w:val="000000"/>
          <w:lang w:val="nl-NL"/>
        </w:rPr>
        <w:t>,</w:t>
      </w:r>
      <w:r>
        <w:rPr>
          <w:i/>
          <w:snapToGrid w:val="0"/>
          <w:color w:val="000000"/>
          <w:lang w:val="nl-NL"/>
        </w:rPr>
        <w:t xml:space="preserve"> unchanged</w:t>
      </w:r>
      <w:r w:rsidR="00CA06CC">
        <w:rPr>
          <w:i/>
          <w:snapToGrid w:val="0"/>
          <w:color w:val="000000"/>
          <w:lang w:val="nl-NL"/>
        </w:rPr>
        <w:t>,</w:t>
      </w:r>
      <w:r>
        <w:rPr>
          <w:i/>
          <w:snapToGrid w:val="0"/>
          <w:color w:val="000000"/>
          <w:lang w:val="nl-NL"/>
        </w:rPr>
        <w:t xml:space="preserve"> from the database</w:t>
      </w:r>
      <w:r w:rsidR="00CA06CC">
        <w:rPr>
          <w:i/>
          <w:snapToGrid w:val="0"/>
          <w:color w:val="000000"/>
          <w:lang w:val="nl-NL"/>
        </w:rPr>
        <w:t xml:space="preserve"> comprising the collection of approved </w:t>
      </w:r>
      <w:r w:rsidR="00CA06CC" w:rsidRPr="00CA06CC">
        <w:rPr>
          <w:i/>
          <w:snapToGrid w:val="0"/>
          <w:color w:val="000000"/>
          <w:lang w:val="nl-NL"/>
        </w:rPr>
        <w:t>characteristics</w:t>
      </w:r>
      <w:r w:rsidR="00CA06CC">
        <w:rPr>
          <w:i/>
          <w:snapToGrid w:val="0"/>
          <w:color w:val="000000"/>
          <w:lang w:val="nl-NL"/>
        </w:rPr>
        <w:t xml:space="preserve"> will be indicated as not requiring translation.  For other </w:t>
      </w:r>
      <w:r w:rsidR="00CA06CC" w:rsidRPr="00CA06CC">
        <w:rPr>
          <w:i/>
          <w:snapToGrid w:val="0"/>
          <w:color w:val="000000"/>
          <w:lang w:val="nl-NL"/>
        </w:rPr>
        <w:t>characteristics</w:t>
      </w:r>
      <w:r w:rsidR="00CA06CC">
        <w:rPr>
          <w:i/>
          <w:snapToGrid w:val="0"/>
          <w:color w:val="000000"/>
          <w:lang w:val="nl-NL"/>
        </w:rPr>
        <w:t xml:space="preserve">, translators will be able to search the database comprising the collection of approved </w:t>
      </w:r>
      <w:r w:rsidR="00CA06CC" w:rsidRPr="00CA06CC">
        <w:rPr>
          <w:i/>
          <w:snapToGrid w:val="0"/>
          <w:color w:val="000000"/>
          <w:lang w:val="nl-NL"/>
        </w:rPr>
        <w:t>characteristics</w:t>
      </w:r>
      <w:r w:rsidR="00CA06CC">
        <w:rPr>
          <w:i/>
          <w:snapToGrid w:val="0"/>
          <w:color w:val="000000"/>
          <w:lang w:val="nl-NL"/>
        </w:rPr>
        <w:t xml:space="preserve"> and input the required translations.  The translation of the other chapters of the </w:t>
      </w:r>
      <w:r w:rsidR="00CA06CC" w:rsidRPr="00CA06CC">
        <w:rPr>
          <w:i/>
          <w:snapToGrid w:val="0"/>
          <w:color w:val="000000"/>
          <w:lang w:val="nl-NL"/>
        </w:rPr>
        <w:t>Test Guidelines</w:t>
      </w:r>
      <w:r w:rsidR="00CA06CC">
        <w:rPr>
          <w:i/>
          <w:snapToGrid w:val="0"/>
          <w:color w:val="000000"/>
          <w:lang w:val="nl-NL"/>
        </w:rPr>
        <w:t xml:space="preserve"> will be provided separately for Version 1.</w:t>
      </w:r>
    </w:p>
    <w:p w:rsidR="00B94A4D" w:rsidRDefault="00B94A4D" w:rsidP="001648DC">
      <w:pPr>
        <w:spacing w:line="360" w:lineRule="auto"/>
        <w:rPr>
          <w:snapToGrid w:val="0"/>
          <w:lang w:val="nl-NL"/>
        </w:rPr>
      </w:pPr>
    </w:p>
    <w:p w:rsidR="00B94A4D" w:rsidRDefault="00B94A4D" w:rsidP="00B94A4D">
      <w:pPr>
        <w:pStyle w:val="Heading3"/>
        <w:rPr>
          <w:snapToGrid w:val="0"/>
          <w:lang w:val="nl-NL"/>
        </w:rPr>
      </w:pPr>
      <w:bookmarkStart w:id="53" w:name="_Toc381174896"/>
      <w:r>
        <w:rPr>
          <w:snapToGrid w:val="0"/>
          <w:lang w:val="nl-NL"/>
        </w:rPr>
        <w:t>Implementation</w:t>
      </w:r>
      <w:bookmarkEnd w:id="53"/>
    </w:p>
    <w:p w:rsidR="00FF721B" w:rsidRDefault="00FF721B" w:rsidP="00B94A4D">
      <w:pPr>
        <w:rPr>
          <w:snapToGrid w:val="0"/>
          <w:lang w:val="nl-NL"/>
        </w:rPr>
      </w:pPr>
    </w:p>
    <w:p w:rsidR="007F1560" w:rsidRDefault="00260FDA" w:rsidP="00B94A4D">
      <w:pPr>
        <w:rPr>
          <w:snapToGrid w:val="0"/>
        </w:rPr>
      </w:pPr>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7F1560">
        <w:rPr>
          <w:snapToGrid w:val="0"/>
        </w:rPr>
        <w:t xml:space="preserve">The timetable for the preparation of </w:t>
      </w:r>
      <w:r w:rsidR="007F1560" w:rsidRPr="007F1560">
        <w:rPr>
          <w:snapToGrid w:val="0"/>
        </w:rPr>
        <w:t>Test Guidelines</w:t>
      </w:r>
      <w:r w:rsidR="007F1560">
        <w:rPr>
          <w:snapToGrid w:val="0"/>
        </w:rPr>
        <w:t xml:space="preserve"> for the </w:t>
      </w:r>
      <w:r w:rsidR="007F1560" w:rsidRPr="007F1560">
        <w:rPr>
          <w:snapToGrid w:val="0"/>
        </w:rPr>
        <w:t>Technical Working Party</w:t>
      </w:r>
      <w:r w:rsidR="003367CB">
        <w:rPr>
          <w:snapToGrid w:val="0"/>
        </w:rPr>
        <w:t xml:space="preserve"> sessions in 2014</w:t>
      </w:r>
      <w:r w:rsidR="007F1560">
        <w:rPr>
          <w:snapToGrid w:val="0"/>
        </w:rPr>
        <w:t xml:space="preserve"> is as follows:</w:t>
      </w:r>
    </w:p>
    <w:p w:rsidR="007F1560" w:rsidRDefault="007F1560" w:rsidP="00B94A4D">
      <w:pPr>
        <w:rPr>
          <w:snapToGrid w:val="0"/>
        </w:rPr>
      </w:pPr>
    </w:p>
    <w:tbl>
      <w:tblPr>
        <w:tblStyle w:val="TableGrid"/>
        <w:tblW w:w="0" w:type="auto"/>
        <w:tblInd w:w="19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9" w:type="dxa"/>
          <w:left w:w="115" w:type="dxa"/>
          <w:bottom w:w="29" w:type="dxa"/>
          <w:right w:w="115" w:type="dxa"/>
        </w:tblCellMar>
        <w:tblLook w:val="04A0" w:firstRow="1" w:lastRow="0" w:firstColumn="1" w:lastColumn="0" w:noHBand="0" w:noVBand="1"/>
      </w:tblPr>
      <w:tblGrid>
        <w:gridCol w:w="3787"/>
        <w:gridCol w:w="1410"/>
        <w:gridCol w:w="1410"/>
        <w:gridCol w:w="1410"/>
        <w:gridCol w:w="1640"/>
      </w:tblGrid>
      <w:tr w:rsidR="007F1560" w:rsidRPr="003367CB" w:rsidTr="004E4FAC">
        <w:trPr>
          <w:cantSplit/>
        </w:trPr>
        <w:tc>
          <w:tcPr>
            <w:tcW w:w="3787" w:type="dxa"/>
          </w:tcPr>
          <w:p w:rsidR="007F1560" w:rsidRPr="003367CB" w:rsidRDefault="004E4FAC" w:rsidP="004E4FAC">
            <w:pPr>
              <w:keepNext/>
              <w:rPr>
                <w:snapToGrid w:val="0"/>
                <w:sz w:val="18"/>
                <w:szCs w:val="18"/>
              </w:rPr>
            </w:pPr>
            <w:r>
              <w:rPr>
                <w:snapToGrid w:val="0"/>
                <w:sz w:val="18"/>
                <w:szCs w:val="18"/>
              </w:rPr>
              <w:t>Technical Working Party for:</w:t>
            </w:r>
          </w:p>
        </w:tc>
        <w:tc>
          <w:tcPr>
            <w:tcW w:w="1410" w:type="dxa"/>
          </w:tcPr>
          <w:p w:rsidR="007F1560" w:rsidRPr="003367CB" w:rsidRDefault="007F1560" w:rsidP="004E4FAC">
            <w:pPr>
              <w:keepNext/>
              <w:jc w:val="left"/>
              <w:rPr>
                <w:snapToGrid w:val="0"/>
                <w:sz w:val="18"/>
                <w:szCs w:val="18"/>
              </w:rPr>
            </w:pPr>
            <w:r w:rsidRPr="003367CB">
              <w:rPr>
                <w:snapToGrid w:val="0"/>
                <w:sz w:val="18"/>
                <w:szCs w:val="18"/>
              </w:rPr>
              <w:t>Subgroup draft</w:t>
            </w:r>
          </w:p>
        </w:tc>
        <w:tc>
          <w:tcPr>
            <w:tcW w:w="1410" w:type="dxa"/>
          </w:tcPr>
          <w:p w:rsidR="007F1560" w:rsidRPr="003367CB" w:rsidRDefault="007F1560" w:rsidP="004E4FAC">
            <w:pPr>
              <w:keepNext/>
              <w:jc w:val="left"/>
              <w:rPr>
                <w:snapToGrid w:val="0"/>
                <w:sz w:val="18"/>
                <w:szCs w:val="18"/>
              </w:rPr>
            </w:pPr>
            <w:r w:rsidRPr="003367CB">
              <w:rPr>
                <w:snapToGrid w:val="0"/>
                <w:sz w:val="18"/>
                <w:szCs w:val="18"/>
              </w:rPr>
              <w:t xml:space="preserve">Interested Experts’ comments </w:t>
            </w:r>
          </w:p>
        </w:tc>
        <w:tc>
          <w:tcPr>
            <w:tcW w:w="1410" w:type="dxa"/>
          </w:tcPr>
          <w:p w:rsidR="007F1560" w:rsidRPr="003367CB" w:rsidRDefault="007F1560" w:rsidP="004E4FAC">
            <w:pPr>
              <w:keepNext/>
              <w:jc w:val="left"/>
              <w:rPr>
                <w:snapToGrid w:val="0"/>
                <w:sz w:val="18"/>
                <w:szCs w:val="18"/>
              </w:rPr>
            </w:pPr>
            <w:r w:rsidRPr="003367CB">
              <w:rPr>
                <w:snapToGrid w:val="0"/>
                <w:sz w:val="18"/>
                <w:szCs w:val="18"/>
              </w:rPr>
              <w:t>Technical Working Party draft</w:t>
            </w:r>
          </w:p>
        </w:tc>
        <w:tc>
          <w:tcPr>
            <w:tcW w:w="1640" w:type="dxa"/>
          </w:tcPr>
          <w:p w:rsidR="007F1560" w:rsidRPr="003367CB" w:rsidRDefault="007F1560" w:rsidP="004E4FAC">
            <w:pPr>
              <w:keepNext/>
              <w:jc w:val="left"/>
              <w:rPr>
                <w:snapToGrid w:val="0"/>
                <w:sz w:val="18"/>
                <w:szCs w:val="18"/>
              </w:rPr>
            </w:pPr>
            <w:r w:rsidRPr="003367CB">
              <w:rPr>
                <w:snapToGrid w:val="0"/>
                <w:sz w:val="18"/>
                <w:szCs w:val="18"/>
              </w:rPr>
              <w:t>Technical Working Party session</w:t>
            </w:r>
          </w:p>
        </w:tc>
      </w:tr>
      <w:tr w:rsidR="007F1560" w:rsidRPr="003367CB" w:rsidTr="004E4FAC">
        <w:trPr>
          <w:cantSplit/>
        </w:trPr>
        <w:tc>
          <w:tcPr>
            <w:tcW w:w="3787" w:type="dxa"/>
          </w:tcPr>
          <w:p w:rsidR="007F1560" w:rsidRPr="003367CB" w:rsidRDefault="007F1560" w:rsidP="004E4FAC">
            <w:pPr>
              <w:keepNext/>
              <w:rPr>
                <w:snapToGrid w:val="0"/>
                <w:sz w:val="18"/>
                <w:szCs w:val="18"/>
              </w:rPr>
            </w:pPr>
            <w:r w:rsidRPr="003367CB">
              <w:rPr>
                <w:snapToGrid w:val="0"/>
                <w:sz w:val="18"/>
                <w:szCs w:val="18"/>
              </w:rPr>
              <w:t>Ornamental Plants and Forest Trees (TWO)</w:t>
            </w:r>
          </w:p>
        </w:tc>
        <w:tc>
          <w:tcPr>
            <w:tcW w:w="1410" w:type="dxa"/>
          </w:tcPr>
          <w:p w:rsidR="007F1560" w:rsidRPr="003367CB" w:rsidRDefault="007F1560" w:rsidP="004E4FAC">
            <w:pPr>
              <w:keepNext/>
              <w:rPr>
                <w:snapToGrid w:val="0"/>
                <w:sz w:val="18"/>
                <w:szCs w:val="18"/>
              </w:rPr>
            </w:pPr>
            <w:r w:rsidRPr="003367CB">
              <w:rPr>
                <w:snapToGrid w:val="0"/>
                <w:sz w:val="18"/>
                <w:szCs w:val="18"/>
              </w:rPr>
              <w:t>February 8</w:t>
            </w:r>
          </w:p>
        </w:tc>
        <w:tc>
          <w:tcPr>
            <w:tcW w:w="1410" w:type="dxa"/>
          </w:tcPr>
          <w:p w:rsidR="007F1560" w:rsidRPr="003367CB" w:rsidRDefault="007F1560" w:rsidP="004E4FAC">
            <w:pPr>
              <w:keepNext/>
              <w:rPr>
                <w:snapToGrid w:val="0"/>
                <w:sz w:val="18"/>
                <w:szCs w:val="18"/>
              </w:rPr>
            </w:pPr>
            <w:r w:rsidRPr="003367CB">
              <w:rPr>
                <w:snapToGrid w:val="0"/>
                <w:sz w:val="18"/>
                <w:szCs w:val="18"/>
              </w:rPr>
              <w:t>March 8</w:t>
            </w:r>
          </w:p>
        </w:tc>
        <w:tc>
          <w:tcPr>
            <w:tcW w:w="1410" w:type="dxa"/>
          </w:tcPr>
          <w:p w:rsidR="007F1560" w:rsidRPr="003367CB" w:rsidRDefault="007F1560" w:rsidP="004E4FAC">
            <w:pPr>
              <w:keepNext/>
              <w:rPr>
                <w:snapToGrid w:val="0"/>
                <w:sz w:val="18"/>
                <w:szCs w:val="18"/>
              </w:rPr>
            </w:pPr>
            <w:r w:rsidRPr="003367CB">
              <w:rPr>
                <w:snapToGrid w:val="0"/>
                <w:sz w:val="18"/>
                <w:szCs w:val="18"/>
              </w:rPr>
              <w:t>April 5</w:t>
            </w:r>
          </w:p>
        </w:tc>
        <w:tc>
          <w:tcPr>
            <w:tcW w:w="1640" w:type="dxa"/>
          </w:tcPr>
          <w:p w:rsidR="007F1560" w:rsidRPr="003367CB" w:rsidRDefault="007F1560" w:rsidP="004E4FAC">
            <w:pPr>
              <w:keepNext/>
              <w:rPr>
                <w:snapToGrid w:val="0"/>
                <w:sz w:val="18"/>
                <w:szCs w:val="18"/>
              </w:rPr>
            </w:pPr>
            <w:r w:rsidRPr="003367CB">
              <w:rPr>
                <w:snapToGrid w:val="0"/>
                <w:sz w:val="18"/>
                <w:szCs w:val="18"/>
              </w:rPr>
              <w:t>May 19-23</w:t>
            </w:r>
          </w:p>
        </w:tc>
      </w:tr>
      <w:tr w:rsidR="007F1560" w:rsidRPr="003367CB" w:rsidTr="004E4FAC">
        <w:trPr>
          <w:cantSplit/>
        </w:trPr>
        <w:tc>
          <w:tcPr>
            <w:tcW w:w="3787" w:type="dxa"/>
          </w:tcPr>
          <w:p w:rsidR="007F1560" w:rsidRPr="003367CB" w:rsidRDefault="007F1560" w:rsidP="004E4FAC">
            <w:pPr>
              <w:keepNext/>
              <w:rPr>
                <w:snapToGrid w:val="0"/>
                <w:sz w:val="18"/>
                <w:szCs w:val="18"/>
              </w:rPr>
            </w:pPr>
            <w:r w:rsidRPr="003367CB">
              <w:rPr>
                <w:snapToGrid w:val="0"/>
                <w:sz w:val="18"/>
                <w:szCs w:val="18"/>
              </w:rPr>
              <w:t>Fruit Crops (TWF)</w:t>
            </w:r>
          </w:p>
        </w:tc>
        <w:tc>
          <w:tcPr>
            <w:tcW w:w="1410" w:type="dxa"/>
          </w:tcPr>
          <w:p w:rsidR="007F1560" w:rsidRPr="003367CB" w:rsidRDefault="007F1560" w:rsidP="004E4FAC">
            <w:pPr>
              <w:keepNext/>
              <w:rPr>
                <w:snapToGrid w:val="0"/>
                <w:sz w:val="18"/>
                <w:szCs w:val="18"/>
              </w:rPr>
            </w:pPr>
            <w:r w:rsidRPr="003367CB">
              <w:rPr>
                <w:snapToGrid w:val="0"/>
                <w:sz w:val="18"/>
                <w:szCs w:val="18"/>
              </w:rPr>
              <w:t>February 14</w:t>
            </w:r>
          </w:p>
        </w:tc>
        <w:tc>
          <w:tcPr>
            <w:tcW w:w="1410" w:type="dxa"/>
          </w:tcPr>
          <w:p w:rsidR="007F1560" w:rsidRPr="003367CB" w:rsidRDefault="007F1560" w:rsidP="004E4FAC">
            <w:pPr>
              <w:keepNext/>
              <w:rPr>
                <w:snapToGrid w:val="0"/>
                <w:sz w:val="18"/>
                <w:szCs w:val="18"/>
              </w:rPr>
            </w:pPr>
            <w:r w:rsidRPr="003367CB">
              <w:rPr>
                <w:snapToGrid w:val="0"/>
                <w:sz w:val="18"/>
                <w:szCs w:val="18"/>
              </w:rPr>
              <w:t>March 14</w:t>
            </w:r>
          </w:p>
        </w:tc>
        <w:tc>
          <w:tcPr>
            <w:tcW w:w="1410" w:type="dxa"/>
          </w:tcPr>
          <w:p w:rsidR="007F1560" w:rsidRPr="003367CB" w:rsidRDefault="007F1560" w:rsidP="004E4FAC">
            <w:pPr>
              <w:keepNext/>
              <w:rPr>
                <w:snapToGrid w:val="0"/>
                <w:sz w:val="18"/>
                <w:szCs w:val="18"/>
              </w:rPr>
            </w:pPr>
            <w:r w:rsidRPr="003367CB">
              <w:rPr>
                <w:snapToGrid w:val="0"/>
                <w:sz w:val="18"/>
                <w:szCs w:val="18"/>
              </w:rPr>
              <w:t>April 11</w:t>
            </w:r>
          </w:p>
        </w:tc>
        <w:tc>
          <w:tcPr>
            <w:tcW w:w="1640" w:type="dxa"/>
          </w:tcPr>
          <w:p w:rsidR="007F1560" w:rsidRPr="003367CB" w:rsidRDefault="007F1560" w:rsidP="004E4FAC">
            <w:pPr>
              <w:keepNext/>
              <w:rPr>
                <w:snapToGrid w:val="0"/>
                <w:sz w:val="18"/>
                <w:szCs w:val="18"/>
              </w:rPr>
            </w:pPr>
            <w:r w:rsidRPr="003367CB">
              <w:rPr>
                <w:snapToGrid w:val="0"/>
                <w:sz w:val="18"/>
                <w:szCs w:val="18"/>
              </w:rPr>
              <w:t>May 26-30</w:t>
            </w:r>
          </w:p>
        </w:tc>
      </w:tr>
      <w:tr w:rsidR="003367CB" w:rsidRPr="003367CB" w:rsidTr="004E4FAC">
        <w:trPr>
          <w:cantSplit/>
        </w:trPr>
        <w:tc>
          <w:tcPr>
            <w:tcW w:w="3787" w:type="dxa"/>
          </w:tcPr>
          <w:p w:rsidR="003367CB" w:rsidRPr="003367CB" w:rsidRDefault="003367CB" w:rsidP="004E4FAC">
            <w:pPr>
              <w:keepNext/>
              <w:rPr>
                <w:snapToGrid w:val="0"/>
                <w:sz w:val="18"/>
                <w:szCs w:val="18"/>
              </w:rPr>
            </w:pPr>
            <w:r w:rsidRPr="003367CB">
              <w:rPr>
                <w:snapToGrid w:val="0"/>
                <w:sz w:val="18"/>
                <w:szCs w:val="18"/>
              </w:rPr>
              <w:t>Vegetables (TWV)</w:t>
            </w:r>
          </w:p>
        </w:tc>
        <w:tc>
          <w:tcPr>
            <w:tcW w:w="1410" w:type="dxa"/>
          </w:tcPr>
          <w:p w:rsidR="003367CB" w:rsidRPr="003367CB" w:rsidRDefault="003367CB" w:rsidP="004E4FAC">
            <w:pPr>
              <w:keepNext/>
              <w:rPr>
                <w:snapToGrid w:val="0"/>
                <w:sz w:val="18"/>
                <w:szCs w:val="18"/>
              </w:rPr>
            </w:pPr>
            <w:r w:rsidRPr="003367CB">
              <w:rPr>
                <w:snapToGrid w:val="0"/>
                <w:sz w:val="18"/>
                <w:szCs w:val="18"/>
              </w:rPr>
              <w:t>March 14</w:t>
            </w:r>
          </w:p>
        </w:tc>
        <w:tc>
          <w:tcPr>
            <w:tcW w:w="1410" w:type="dxa"/>
          </w:tcPr>
          <w:p w:rsidR="003367CB" w:rsidRPr="003367CB" w:rsidRDefault="003367CB" w:rsidP="004E4FAC">
            <w:pPr>
              <w:keepNext/>
              <w:rPr>
                <w:snapToGrid w:val="0"/>
                <w:sz w:val="18"/>
                <w:szCs w:val="18"/>
              </w:rPr>
            </w:pPr>
            <w:r w:rsidRPr="003367CB">
              <w:rPr>
                <w:snapToGrid w:val="0"/>
                <w:sz w:val="18"/>
                <w:szCs w:val="18"/>
              </w:rPr>
              <w:t>April 11</w:t>
            </w:r>
          </w:p>
        </w:tc>
        <w:tc>
          <w:tcPr>
            <w:tcW w:w="1410" w:type="dxa"/>
          </w:tcPr>
          <w:p w:rsidR="003367CB" w:rsidRPr="003367CB" w:rsidRDefault="003367CB" w:rsidP="004E4FAC">
            <w:pPr>
              <w:keepNext/>
              <w:rPr>
                <w:snapToGrid w:val="0"/>
                <w:sz w:val="18"/>
                <w:szCs w:val="18"/>
              </w:rPr>
            </w:pPr>
            <w:r w:rsidRPr="003367CB">
              <w:rPr>
                <w:snapToGrid w:val="0"/>
                <w:sz w:val="18"/>
                <w:szCs w:val="18"/>
              </w:rPr>
              <w:t>May 9</w:t>
            </w:r>
          </w:p>
        </w:tc>
        <w:tc>
          <w:tcPr>
            <w:tcW w:w="1640" w:type="dxa"/>
          </w:tcPr>
          <w:p w:rsidR="003367CB" w:rsidRPr="003367CB" w:rsidRDefault="003367CB" w:rsidP="004E4FAC">
            <w:pPr>
              <w:keepNext/>
              <w:rPr>
                <w:snapToGrid w:val="0"/>
                <w:sz w:val="18"/>
                <w:szCs w:val="18"/>
              </w:rPr>
            </w:pPr>
            <w:r w:rsidRPr="003367CB">
              <w:rPr>
                <w:snapToGrid w:val="0"/>
                <w:sz w:val="18"/>
                <w:szCs w:val="18"/>
              </w:rPr>
              <w:t>June 23-27</w:t>
            </w:r>
          </w:p>
        </w:tc>
      </w:tr>
      <w:tr w:rsidR="003367CB" w:rsidRPr="003367CB" w:rsidTr="004E4FAC">
        <w:trPr>
          <w:cantSplit/>
        </w:trPr>
        <w:tc>
          <w:tcPr>
            <w:tcW w:w="3787" w:type="dxa"/>
          </w:tcPr>
          <w:p w:rsidR="003367CB" w:rsidRPr="003367CB" w:rsidRDefault="003367CB" w:rsidP="004E4FAC">
            <w:pPr>
              <w:keepNext/>
              <w:rPr>
                <w:snapToGrid w:val="0"/>
                <w:sz w:val="18"/>
                <w:szCs w:val="18"/>
              </w:rPr>
            </w:pPr>
            <w:r w:rsidRPr="003367CB">
              <w:rPr>
                <w:snapToGrid w:val="0"/>
                <w:color w:val="000000"/>
                <w:sz w:val="18"/>
                <w:szCs w:val="18"/>
              </w:rPr>
              <w:t>Agricultural Crops (TWA)</w:t>
            </w:r>
          </w:p>
        </w:tc>
        <w:tc>
          <w:tcPr>
            <w:tcW w:w="1410" w:type="dxa"/>
          </w:tcPr>
          <w:p w:rsidR="003367CB" w:rsidRPr="003367CB" w:rsidRDefault="003367CB" w:rsidP="004E4FAC">
            <w:pPr>
              <w:keepNext/>
              <w:rPr>
                <w:snapToGrid w:val="0"/>
                <w:sz w:val="18"/>
                <w:szCs w:val="18"/>
              </w:rPr>
            </w:pPr>
            <w:r w:rsidRPr="003367CB">
              <w:rPr>
                <w:snapToGrid w:val="0"/>
                <w:sz w:val="18"/>
                <w:szCs w:val="18"/>
              </w:rPr>
              <w:t>August 8</w:t>
            </w:r>
          </w:p>
        </w:tc>
        <w:tc>
          <w:tcPr>
            <w:tcW w:w="1410" w:type="dxa"/>
          </w:tcPr>
          <w:p w:rsidR="003367CB" w:rsidRPr="003367CB" w:rsidRDefault="003367CB" w:rsidP="004E4FAC">
            <w:pPr>
              <w:keepNext/>
              <w:rPr>
                <w:snapToGrid w:val="0"/>
                <w:sz w:val="18"/>
                <w:szCs w:val="18"/>
              </w:rPr>
            </w:pPr>
            <w:r w:rsidRPr="003367CB">
              <w:rPr>
                <w:snapToGrid w:val="0"/>
                <w:sz w:val="18"/>
                <w:szCs w:val="18"/>
              </w:rPr>
              <w:t>September 15</w:t>
            </w:r>
          </w:p>
        </w:tc>
        <w:tc>
          <w:tcPr>
            <w:tcW w:w="1410" w:type="dxa"/>
          </w:tcPr>
          <w:p w:rsidR="003367CB" w:rsidRPr="003367CB" w:rsidRDefault="003367CB" w:rsidP="004E4FAC">
            <w:pPr>
              <w:keepNext/>
              <w:rPr>
                <w:snapToGrid w:val="0"/>
                <w:sz w:val="18"/>
                <w:szCs w:val="18"/>
              </w:rPr>
            </w:pPr>
            <w:r w:rsidRPr="003367CB">
              <w:rPr>
                <w:snapToGrid w:val="0"/>
                <w:sz w:val="18"/>
                <w:szCs w:val="18"/>
              </w:rPr>
              <w:t>October 3</w:t>
            </w:r>
          </w:p>
        </w:tc>
        <w:tc>
          <w:tcPr>
            <w:tcW w:w="1640" w:type="dxa"/>
          </w:tcPr>
          <w:p w:rsidR="003367CB" w:rsidRPr="003367CB" w:rsidRDefault="003367CB" w:rsidP="004E4FAC">
            <w:pPr>
              <w:keepNext/>
              <w:rPr>
                <w:snapToGrid w:val="0"/>
                <w:sz w:val="18"/>
                <w:szCs w:val="18"/>
              </w:rPr>
            </w:pPr>
            <w:r w:rsidRPr="003367CB">
              <w:rPr>
                <w:snapToGrid w:val="0"/>
                <w:sz w:val="18"/>
                <w:szCs w:val="18"/>
              </w:rPr>
              <w:t>November 17-21</w:t>
            </w:r>
          </w:p>
        </w:tc>
      </w:tr>
    </w:tbl>
    <w:p w:rsidR="00260FDA" w:rsidRDefault="00260FDA" w:rsidP="00B94A4D">
      <w:pPr>
        <w:rPr>
          <w:snapToGrid w:val="0"/>
        </w:rPr>
      </w:pPr>
    </w:p>
    <w:p w:rsidR="003367CB" w:rsidRDefault="00260FDA" w:rsidP="00B94A4D">
      <w:pPr>
        <w:rPr>
          <w:snapToGrid w:val="0"/>
          <w:color w:val="000000"/>
        </w:rPr>
      </w:pPr>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803CC0">
        <w:rPr>
          <w:snapToGrid w:val="0"/>
        </w:rPr>
        <w:t xml:space="preserve">A mock-up of Version 1 of the </w:t>
      </w:r>
      <w:r w:rsidR="00803CC0" w:rsidRPr="00803CC0">
        <w:rPr>
          <w:snapToGrid w:val="0"/>
        </w:rPr>
        <w:t xml:space="preserve">web-based TG Template </w:t>
      </w:r>
      <w:r w:rsidR="00803CC0">
        <w:rPr>
          <w:snapToGrid w:val="0"/>
        </w:rPr>
        <w:t xml:space="preserve">was developed and tested at the end of 2013, in conjunction with experts </w:t>
      </w:r>
      <w:r w:rsidR="00803CC0" w:rsidRPr="00803CC0">
        <w:rPr>
          <w:snapToGrid w:val="0"/>
        </w:rPr>
        <w:t>from Australia</w:t>
      </w:r>
      <w:r w:rsidR="00803CC0">
        <w:rPr>
          <w:snapToGrid w:val="0"/>
        </w:rPr>
        <w:t xml:space="preserve"> and the </w:t>
      </w:r>
      <w:r w:rsidR="00803CC0" w:rsidRPr="00803CC0">
        <w:rPr>
          <w:rFonts w:cs="Arial"/>
          <w:snapToGrid w:val="0"/>
          <w:color w:val="000000"/>
        </w:rPr>
        <w:t>Netherlands</w:t>
      </w:r>
      <w:r w:rsidR="00803CC0">
        <w:rPr>
          <w:rFonts w:cs="Arial"/>
          <w:snapToGrid w:val="0"/>
          <w:color w:val="000000"/>
        </w:rPr>
        <w:t>, and</w:t>
      </w:r>
      <w:r w:rsidR="004E4FAC">
        <w:rPr>
          <w:rFonts w:cs="Arial"/>
          <w:snapToGrid w:val="0"/>
          <w:color w:val="000000"/>
        </w:rPr>
        <w:t xml:space="preserve"> the fully-functioning software</w:t>
      </w:r>
      <w:r w:rsidR="00803CC0">
        <w:rPr>
          <w:rFonts w:cs="Arial"/>
          <w:snapToGrid w:val="0"/>
          <w:color w:val="000000"/>
        </w:rPr>
        <w:t xml:space="preserve"> </w:t>
      </w:r>
      <w:r w:rsidR="009B0042">
        <w:rPr>
          <w:rFonts w:cs="Arial"/>
          <w:snapToGrid w:val="0"/>
          <w:color w:val="000000"/>
        </w:rPr>
        <w:t xml:space="preserve">will be </w:t>
      </w:r>
      <w:r w:rsidR="00803CC0" w:rsidRPr="009B0042">
        <w:rPr>
          <w:rFonts w:cs="Arial"/>
          <w:snapToGrid w:val="0"/>
          <w:color w:val="000000"/>
        </w:rPr>
        <w:t>tested by the same experts in March 2014.</w:t>
      </w:r>
      <w:r w:rsidR="00803CC0" w:rsidRPr="009B0042">
        <w:rPr>
          <w:snapToGrid w:val="0"/>
        </w:rPr>
        <w:t xml:space="preserve">  </w:t>
      </w:r>
      <w:r w:rsidR="003367CB" w:rsidRPr="009B0042">
        <w:rPr>
          <w:snapToGrid w:val="0"/>
          <w:color w:val="000000"/>
        </w:rPr>
        <w:t xml:space="preserve">The Office of the Union </w:t>
      </w:r>
      <w:r w:rsidR="009B0042" w:rsidRPr="009B0042">
        <w:rPr>
          <w:snapToGrid w:val="0"/>
          <w:color w:val="000000"/>
        </w:rPr>
        <w:t>will inform</w:t>
      </w:r>
      <w:r w:rsidR="003367CB" w:rsidRPr="009B0042">
        <w:rPr>
          <w:snapToGrid w:val="0"/>
          <w:color w:val="000000"/>
        </w:rPr>
        <w:t xml:space="preserve"> all </w:t>
      </w:r>
      <w:r w:rsidR="003367CB" w:rsidRPr="009B0042">
        <w:rPr>
          <w:iCs/>
          <w:snapToGrid w:val="0"/>
          <w:color w:val="000000"/>
        </w:rPr>
        <w:t>Leading Expert</w:t>
      </w:r>
      <w:r w:rsidR="003367CB" w:rsidRPr="009B0042">
        <w:rPr>
          <w:snapToGrid w:val="0"/>
          <w:color w:val="000000"/>
        </w:rPr>
        <w:t>s of the development of the w</w:t>
      </w:r>
      <w:r w:rsidR="009B0042" w:rsidRPr="009B0042">
        <w:rPr>
          <w:snapToGrid w:val="0"/>
          <w:color w:val="000000"/>
        </w:rPr>
        <w:t>eb-based TG Template and invite</w:t>
      </w:r>
      <w:r w:rsidR="003367CB" w:rsidRPr="009B0042">
        <w:rPr>
          <w:snapToGrid w:val="0"/>
          <w:color w:val="000000"/>
        </w:rPr>
        <w:t xml:space="preserve"> volunteers to </w:t>
      </w:r>
      <w:r w:rsidR="009B0042" w:rsidRPr="009B0042">
        <w:rPr>
          <w:snapToGrid w:val="0"/>
          <w:color w:val="000000"/>
        </w:rPr>
        <w:t xml:space="preserve">test </w:t>
      </w:r>
      <w:r w:rsidR="003367CB" w:rsidRPr="009B0042">
        <w:rPr>
          <w:snapToGrid w:val="0"/>
          <w:color w:val="000000"/>
        </w:rPr>
        <w:t>it for the development of Test</w:t>
      </w:r>
      <w:r w:rsidR="009B0042" w:rsidRPr="009B0042">
        <w:rPr>
          <w:snapToGrid w:val="0"/>
          <w:color w:val="000000"/>
        </w:rPr>
        <w:t> </w:t>
      </w:r>
      <w:r w:rsidR="003367CB" w:rsidRPr="009B0042">
        <w:rPr>
          <w:snapToGrid w:val="0"/>
          <w:color w:val="000000"/>
        </w:rPr>
        <w:t xml:space="preserve">Guidelines in 2014.  </w:t>
      </w:r>
      <w:r w:rsidR="009B0042" w:rsidRPr="009B0042">
        <w:rPr>
          <w:snapToGrid w:val="0"/>
        </w:rPr>
        <w:t xml:space="preserve">In the case of the </w:t>
      </w:r>
      <w:r w:rsidR="009B0042" w:rsidRPr="009B0042">
        <w:rPr>
          <w:snapToGrid w:val="0"/>
          <w:color w:val="000000"/>
        </w:rPr>
        <w:t>Technical Working Party for Agricultural Crops (TWA), the web-</w:t>
      </w:r>
      <w:r w:rsidR="009B0042" w:rsidRPr="007F1560">
        <w:rPr>
          <w:snapToGrid w:val="0"/>
          <w:color w:val="000000"/>
        </w:rPr>
        <w:t xml:space="preserve">based TG Template </w:t>
      </w:r>
      <w:r w:rsidR="009B0042">
        <w:rPr>
          <w:snapToGrid w:val="0"/>
          <w:color w:val="000000"/>
        </w:rPr>
        <w:t xml:space="preserve">can be used to prepare the Subgroup drafts.  </w:t>
      </w:r>
    </w:p>
    <w:p w:rsidR="003367CB" w:rsidRDefault="003367CB" w:rsidP="00B94A4D">
      <w:pPr>
        <w:rPr>
          <w:snapToGrid w:val="0"/>
          <w:color w:val="000000"/>
        </w:rPr>
      </w:pPr>
    </w:p>
    <w:p w:rsidR="003367CB" w:rsidRDefault="00260FDA" w:rsidP="003367CB">
      <w:pPr>
        <w:rPr>
          <w:snapToGrid w:val="0"/>
        </w:rPr>
      </w:pPr>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3367CB">
        <w:rPr>
          <w:snapToGrid w:val="0"/>
        </w:rPr>
        <w:t xml:space="preserve">In order to achieve the benefits of the </w:t>
      </w:r>
      <w:r w:rsidR="003367CB" w:rsidRPr="00B94A4D">
        <w:rPr>
          <w:snapToGrid w:val="0"/>
        </w:rPr>
        <w:t>web-based TG Template</w:t>
      </w:r>
      <w:r w:rsidR="003367CB">
        <w:rPr>
          <w:snapToGrid w:val="0"/>
        </w:rPr>
        <w:t xml:space="preserve">, it will be necessary for all </w:t>
      </w:r>
      <w:r w:rsidR="003367CB" w:rsidRPr="00B94A4D">
        <w:rPr>
          <w:iCs/>
          <w:snapToGrid w:val="0"/>
          <w:color w:val="000000"/>
        </w:rPr>
        <w:t>Leading Expert</w:t>
      </w:r>
      <w:r w:rsidR="003367CB">
        <w:rPr>
          <w:snapToGrid w:val="0"/>
        </w:rPr>
        <w:t xml:space="preserve">s and Interested Experts to use the </w:t>
      </w:r>
      <w:r w:rsidR="003367CB" w:rsidRPr="00B94A4D">
        <w:rPr>
          <w:snapToGrid w:val="0"/>
        </w:rPr>
        <w:t xml:space="preserve">web-based TG Template </w:t>
      </w:r>
      <w:r w:rsidR="003367CB">
        <w:rPr>
          <w:snapToGrid w:val="0"/>
        </w:rPr>
        <w:t xml:space="preserve">exclusively for the preparation of </w:t>
      </w:r>
      <w:r w:rsidR="003367CB" w:rsidRPr="00B94A4D">
        <w:rPr>
          <w:snapToGrid w:val="0"/>
        </w:rPr>
        <w:t>Test Guidelines</w:t>
      </w:r>
      <w:r w:rsidR="003367CB">
        <w:rPr>
          <w:snapToGrid w:val="0"/>
        </w:rPr>
        <w:t xml:space="preserve"> for the </w:t>
      </w:r>
      <w:r w:rsidR="003367CB" w:rsidRPr="00B94A4D">
        <w:rPr>
          <w:snapToGrid w:val="0"/>
        </w:rPr>
        <w:t>Technical Working Parties</w:t>
      </w:r>
      <w:r w:rsidR="003367CB">
        <w:rPr>
          <w:snapToGrid w:val="0"/>
        </w:rPr>
        <w:t xml:space="preserve">.  Therefore, the use of the </w:t>
      </w:r>
      <w:r w:rsidR="003367CB" w:rsidRPr="003367CB">
        <w:rPr>
          <w:snapToGrid w:val="0"/>
        </w:rPr>
        <w:t>web-based TG Template</w:t>
      </w:r>
      <w:r w:rsidR="003367CB">
        <w:rPr>
          <w:snapToGrid w:val="0"/>
        </w:rPr>
        <w:t xml:space="preserve"> will be required for the preparation of all </w:t>
      </w:r>
      <w:r w:rsidR="003367CB" w:rsidRPr="003367CB">
        <w:rPr>
          <w:snapToGrid w:val="0"/>
        </w:rPr>
        <w:t>Test Guidelines</w:t>
      </w:r>
      <w:r w:rsidR="003367CB">
        <w:rPr>
          <w:snapToGrid w:val="0"/>
        </w:rPr>
        <w:t xml:space="preserve"> from 2015.</w:t>
      </w:r>
      <w:r w:rsidR="00AF7303">
        <w:rPr>
          <w:snapToGrid w:val="0"/>
        </w:rPr>
        <w:t xml:space="preserve">  Training on the use of the </w:t>
      </w:r>
      <w:r w:rsidR="00AF7303" w:rsidRPr="00AF7303">
        <w:rPr>
          <w:snapToGrid w:val="0"/>
        </w:rPr>
        <w:t>web-based TG Template</w:t>
      </w:r>
      <w:r w:rsidR="00AF7303">
        <w:rPr>
          <w:snapToGrid w:val="0"/>
        </w:rPr>
        <w:t xml:space="preserve"> will initially be provided at the </w:t>
      </w:r>
      <w:r w:rsidR="00AF7303" w:rsidRPr="00AF7303">
        <w:rPr>
          <w:snapToGrid w:val="0"/>
        </w:rPr>
        <w:t>Technical Working Party</w:t>
      </w:r>
      <w:r w:rsidR="00AF7303">
        <w:rPr>
          <w:snapToGrid w:val="0"/>
        </w:rPr>
        <w:t xml:space="preserve"> ses</w:t>
      </w:r>
      <w:r w:rsidR="006A4A4E">
        <w:rPr>
          <w:snapToGrid w:val="0"/>
        </w:rPr>
        <w:t>sions in 2014 and by means of e</w:t>
      </w:r>
      <w:r w:rsidR="006A4A4E">
        <w:rPr>
          <w:snapToGrid w:val="0"/>
        </w:rPr>
        <w:noBreakHyphen/>
      </w:r>
      <w:r w:rsidR="00AF7303">
        <w:rPr>
          <w:snapToGrid w:val="0"/>
        </w:rPr>
        <w:t>workshops (see document TC/50/3 “</w:t>
      </w:r>
      <w:r w:rsidR="00AF7303" w:rsidRPr="00AF7303">
        <w:rPr>
          <w:snapToGrid w:val="0"/>
        </w:rPr>
        <w:t>Matters arising from the Technical Working Parties</w:t>
      </w:r>
      <w:r w:rsidR="00AF7303">
        <w:rPr>
          <w:snapToGrid w:val="0"/>
        </w:rPr>
        <w:t xml:space="preserve">”). </w:t>
      </w:r>
      <w:r w:rsidR="00AF7303" w:rsidRPr="00AF7303">
        <w:rPr>
          <w:snapToGrid w:val="0"/>
        </w:rPr>
        <w:t xml:space="preserve"> </w:t>
      </w:r>
    </w:p>
    <w:p w:rsidR="00CF57D7" w:rsidRDefault="00CF57D7" w:rsidP="003367CB">
      <w:pPr>
        <w:rPr>
          <w:snapToGrid w:val="0"/>
        </w:rPr>
      </w:pPr>
    </w:p>
    <w:p w:rsidR="00CF57D7" w:rsidRDefault="00CF57D7" w:rsidP="003367CB">
      <w:pPr>
        <w:rPr>
          <w:snapToGrid w:val="0"/>
        </w:rPr>
      </w:pPr>
    </w:p>
    <w:p w:rsidR="00744A9B" w:rsidRDefault="00744A9B" w:rsidP="006A4A4E">
      <w:pPr>
        <w:pStyle w:val="Heading2"/>
      </w:pPr>
      <w:bookmarkStart w:id="54" w:name="_Toc381174897"/>
      <w:r>
        <w:t>Version 2</w:t>
      </w:r>
      <w:bookmarkEnd w:id="54"/>
    </w:p>
    <w:p w:rsidR="00AA731D" w:rsidRPr="00FF721B" w:rsidRDefault="00AA731D" w:rsidP="00FF721B"/>
    <w:p w:rsidR="00744A9B" w:rsidRDefault="00752495" w:rsidP="00D24E8D">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744A9B">
        <w:t xml:space="preserve">Version 2 of the </w:t>
      </w:r>
      <w:r w:rsidR="00744A9B" w:rsidRPr="002F6EFE">
        <w:t>web-based TG Template</w:t>
      </w:r>
      <w:r w:rsidR="00744A9B">
        <w:t xml:space="preserve"> will provide the two following additional features:</w:t>
      </w:r>
    </w:p>
    <w:p w:rsidR="00744A9B" w:rsidRDefault="00744A9B" w:rsidP="001648DC">
      <w:pPr>
        <w:spacing w:line="360" w:lineRule="auto"/>
      </w:pPr>
    </w:p>
    <w:p w:rsidR="00744A9B" w:rsidRDefault="00744A9B" w:rsidP="001648DC">
      <w:pPr>
        <w:pStyle w:val="Heading3"/>
      </w:pPr>
      <w:bookmarkStart w:id="55" w:name="_Toc381174898"/>
      <w:r>
        <w:t>Concurrent translation</w:t>
      </w:r>
      <w:bookmarkEnd w:id="55"/>
      <w:r>
        <w:t xml:space="preserve"> </w:t>
      </w:r>
    </w:p>
    <w:p w:rsidR="00744A9B" w:rsidRDefault="00744A9B" w:rsidP="001648DC">
      <w:pPr>
        <w:keepNext/>
      </w:pPr>
    </w:p>
    <w:p w:rsidR="00744A9B" w:rsidRPr="00744A9B" w:rsidRDefault="00752495" w:rsidP="00D24E8D">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744A9B">
        <w:t xml:space="preserve">In version 2 of the </w:t>
      </w:r>
      <w:r w:rsidR="00744A9B" w:rsidRPr="002F6EFE">
        <w:t>web-based TG Template</w:t>
      </w:r>
      <w:r w:rsidR="00744A9B">
        <w:t xml:space="preserve">, the French, German and Spanish language versions of the Test Guidelines will be automatically developed concurrently with the English draft for the standard wording, </w:t>
      </w:r>
      <w:r w:rsidR="00744A9B" w:rsidRPr="00744A9B">
        <w:rPr>
          <w:snapToGrid w:val="0"/>
          <w:color w:val="000000"/>
        </w:rPr>
        <w:t>Additional Standard Wording (ASW)</w:t>
      </w:r>
      <w:r w:rsidR="00744A9B">
        <w:rPr>
          <w:snapToGrid w:val="0"/>
          <w:color w:val="000000"/>
        </w:rPr>
        <w:t xml:space="preserve"> and c</w:t>
      </w:r>
      <w:r w:rsidR="00744A9B" w:rsidRPr="00744A9B">
        <w:t>haracteristics uploaded, unchanged, from the database comprising the collection of approve</w:t>
      </w:r>
      <w:r w:rsidR="00744A9B">
        <w:t>d characteristics.  Text that has not been automatically translated will be indicated for translation in the language concerned.</w:t>
      </w:r>
    </w:p>
    <w:p w:rsidR="00744A9B" w:rsidRDefault="00744A9B" w:rsidP="001648DC">
      <w:pPr>
        <w:spacing w:line="360" w:lineRule="auto"/>
      </w:pPr>
    </w:p>
    <w:p w:rsidR="00744A9B" w:rsidRDefault="00744A9B" w:rsidP="001648DC">
      <w:pPr>
        <w:pStyle w:val="Heading3"/>
      </w:pPr>
      <w:bookmarkStart w:id="56" w:name="_Toc381174899"/>
      <w:r>
        <w:t>I</w:t>
      </w:r>
      <w:r w:rsidRPr="00424A6D">
        <w:t>ndividual authorities’ test guidelines</w:t>
      </w:r>
      <w:bookmarkEnd w:id="56"/>
    </w:p>
    <w:p w:rsidR="00744A9B" w:rsidRDefault="00744A9B" w:rsidP="001648DC">
      <w:pPr>
        <w:keepNext/>
      </w:pPr>
    </w:p>
    <w:p w:rsidR="0012327C" w:rsidRDefault="00752495" w:rsidP="00D24E8D">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4E4FAC">
        <w:t xml:space="preserve">Version 1 of the </w:t>
      </w:r>
      <w:r w:rsidR="00B34C30" w:rsidRPr="002F6EFE">
        <w:t>web-based TG Template</w:t>
      </w:r>
      <w:r w:rsidR="00B34C30">
        <w:t xml:space="preserve"> has been designed </w:t>
      </w:r>
      <w:r w:rsidR="0012327C">
        <w:t>for</w:t>
      </w:r>
      <w:r w:rsidR="00B34C30">
        <w:t xml:space="preserve"> the development of Test Guidelines for UPOV.  However, it has also been designed</w:t>
      </w:r>
      <w:r w:rsidR="00DA0863">
        <w:t xml:space="preserve"> such that Version 2</w:t>
      </w:r>
      <w:r w:rsidR="00B34C30">
        <w:t xml:space="preserve"> </w:t>
      </w:r>
      <w:r w:rsidR="00DA0863">
        <w:t xml:space="preserve">will </w:t>
      </w:r>
      <w:r w:rsidR="00B34C30">
        <w:t>enable members of the Union to</w:t>
      </w:r>
      <w:r w:rsidR="0012327C">
        <w:t xml:space="preserve"> use:</w:t>
      </w:r>
    </w:p>
    <w:p w:rsidR="0012327C" w:rsidRDefault="0012327C" w:rsidP="00D24E8D"/>
    <w:p w:rsidR="0012327C" w:rsidRPr="00FF721B" w:rsidRDefault="00FF721B" w:rsidP="00FF721B">
      <w:r>
        <w:tab/>
      </w:r>
      <w:r w:rsidR="0012327C" w:rsidRPr="00FF721B">
        <w:t>(a)</w:t>
      </w:r>
      <w:r w:rsidR="0012327C" w:rsidRPr="00FF721B">
        <w:tab/>
      </w:r>
      <w:proofErr w:type="gramStart"/>
      <w:r w:rsidR="0012327C" w:rsidRPr="00FF721B">
        <w:t>adopted</w:t>
      </w:r>
      <w:proofErr w:type="gramEnd"/>
      <w:r w:rsidR="0012327C" w:rsidRPr="00FF721B">
        <w:t xml:space="preserve"> UPOV </w:t>
      </w:r>
      <w:r w:rsidR="00B34C30" w:rsidRPr="00FF721B">
        <w:t>Test Guidelines as a basis for the developm</w:t>
      </w:r>
      <w:r w:rsidR="00DA0863" w:rsidRPr="00FF721B">
        <w:t>ent of individual authorities’ test guidelines</w:t>
      </w:r>
      <w:r w:rsidR="0012327C" w:rsidRPr="00FF721B">
        <w:t>;</w:t>
      </w:r>
    </w:p>
    <w:p w:rsidR="0012327C" w:rsidRPr="00FF721B" w:rsidRDefault="0012327C" w:rsidP="00FF721B"/>
    <w:p w:rsidR="0012327C" w:rsidRPr="00FF721B" w:rsidRDefault="00FF721B" w:rsidP="00FF721B">
      <w:r>
        <w:tab/>
      </w:r>
      <w:r w:rsidR="0012327C" w:rsidRPr="00FF721B">
        <w:t>(b)</w:t>
      </w:r>
      <w:r w:rsidR="0012327C" w:rsidRPr="00FF721B">
        <w:tab/>
        <w:t>the web-based TG Template and database of characteristics to develop</w:t>
      </w:r>
      <w:r w:rsidR="00DA0863" w:rsidRPr="00FF721B">
        <w:t xml:space="preserve"> </w:t>
      </w:r>
      <w:r w:rsidR="0012327C" w:rsidRPr="00FF721B">
        <w:t xml:space="preserve"> individual authorities’ test guidelines for which there are no UPOV Test Guidelines;  and</w:t>
      </w:r>
    </w:p>
    <w:p w:rsidR="0012327C" w:rsidRPr="00FF721B" w:rsidRDefault="0012327C" w:rsidP="00FF721B"/>
    <w:p w:rsidR="0012327C" w:rsidRPr="00FF721B" w:rsidRDefault="00FF721B" w:rsidP="00FF721B">
      <w:r>
        <w:tab/>
      </w:r>
      <w:r w:rsidR="0012327C" w:rsidRPr="00FF721B">
        <w:t>(</w:t>
      </w:r>
      <w:proofErr w:type="gramStart"/>
      <w:r w:rsidR="0012327C" w:rsidRPr="00FF721B">
        <w:t>c</w:t>
      </w:r>
      <w:proofErr w:type="gramEnd"/>
      <w:r w:rsidR="0012327C" w:rsidRPr="00FF721B">
        <w:t>)</w:t>
      </w:r>
      <w:r w:rsidR="0012327C" w:rsidRPr="00FF721B">
        <w:tab/>
        <w:t>use individual authorities’ test guidelines, developed using the web-based TG Template, as the basis for draft UPOV Test Guidelines</w:t>
      </w:r>
      <w:r w:rsidR="006A4A4E">
        <w:t>.</w:t>
      </w:r>
    </w:p>
    <w:p w:rsidR="0012327C" w:rsidRDefault="0012327C" w:rsidP="0012327C">
      <w:pPr>
        <w:ind w:left="567"/>
      </w:pPr>
    </w:p>
    <w:p w:rsidR="00744A9B" w:rsidRDefault="00752495" w:rsidP="0012327C">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DA0863">
        <w:t xml:space="preserve">Version 2 will have a feature </w:t>
      </w:r>
      <w:r w:rsidR="00AF7303">
        <w:t xml:space="preserve">for </w:t>
      </w:r>
      <w:r w:rsidR="00AF7303" w:rsidRPr="00424A6D">
        <w:t>individ</w:t>
      </w:r>
      <w:r w:rsidR="00AF7303">
        <w:t xml:space="preserve">ual authorities to modify the template wording, within the same structure, to act as a template for their own test guidelines and a feature </w:t>
      </w:r>
      <w:r w:rsidR="00DA0863">
        <w:t xml:space="preserve">to allow </w:t>
      </w:r>
      <w:r w:rsidR="00DA0863" w:rsidRPr="00424A6D">
        <w:t>individ</w:t>
      </w:r>
      <w:r w:rsidR="00DA0863">
        <w:t xml:space="preserve">ual authorities to convert UPOV Test Guidelines into </w:t>
      </w:r>
      <w:r w:rsidR="00DA0863" w:rsidRPr="00424A6D">
        <w:t>individual authorities’ test guidelines</w:t>
      </w:r>
      <w:r w:rsidR="00DA0863">
        <w:t>, with necessary modifications</w:t>
      </w:r>
      <w:r w:rsidR="00AF7303">
        <w:t>.</w:t>
      </w:r>
    </w:p>
    <w:p w:rsidR="00AF7303" w:rsidRDefault="00AF7303" w:rsidP="0012327C"/>
    <w:p w:rsidR="00AF7303" w:rsidRDefault="00752495" w:rsidP="00D24E8D">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AF7303">
        <w:t xml:space="preserve">Subject to successful implementation of Version 1 of the </w:t>
      </w:r>
      <w:r w:rsidR="00AF7303" w:rsidRPr="002F6EFE">
        <w:t>web-based TG Template</w:t>
      </w:r>
      <w:r w:rsidR="00AF7303">
        <w:t xml:space="preserve"> in 2014,</w:t>
      </w:r>
      <w:r w:rsidR="00803CC0">
        <w:t xml:space="preserve"> the development of Version 2 is planned for 2015.</w:t>
      </w:r>
    </w:p>
    <w:p w:rsidR="00744A9B" w:rsidRDefault="00744A9B" w:rsidP="00D24E8D"/>
    <w:p w:rsidR="00D24E8D" w:rsidRPr="00FF721B" w:rsidRDefault="00752495" w:rsidP="00FF721B">
      <w:pPr>
        <w:pStyle w:val="DecisionParagraphs"/>
        <w:tabs>
          <w:tab w:val="left" w:pos="5954"/>
        </w:tabs>
      </w:pPr>
      <w:r w:rsidRPr="008239F1">
        <w:rPr>
          <w:snapToGrid w:val="0"/>
        </w:rPr>
        <w:fldChar w:fldCharType="begin"/>
      </w:r>
      <w:r w:rsidRPr="008239F1">
        <w:rPr>
          <w:snapToGrid w:val="0"/>
        </w:rPr>
        <w:instrText xml:space="preserve"> AUTONUM  </w:instrText>
      </w:r>
      <w:r w:rsidRPr="008239F1">
        <w:rPr>
          <w:snapToGrid w:val="0"/>
        </w:rPr>
        <w:fldChar w:fldCharType="end"/>
      </w:r>
      <w:r w:rsidRPr="008239F1">
        <w:rPr>
          <w:snapToGrid w:val="0"/>
        </w:rPr>
        <w:tab/>
      </w:r>
      <w:r w:rsidR="00D24E8D" w:rsidRPr="00FF721B">
        <w:t>The TC is invited to:</w:t>
      </w:r>
    </w:p>
    <w:p w:rsidR="00D24E8D" w:rsidRPr="00FF721B" w:rsidRDefault="00D24E8D" w:rsidP="00FF721B">
      <w:pPr>
        <w:pStyle w:val="DecisionParagraphs"/>
        <w:tabs>
          <w:tab w:val="left" w:pos="5954"/>
        </w:tabs>
      </w:pPr>
    </w:p>
    <w:p w:rsidR="00D24E8D" w:rsidRPr="00FC4145" w:rsidRDefault="00FF721B" w:rsidP="00FF721B">
      <w:pPr>
        <w:pStyle w:val="DecisionParagraphs"/>
        <w:tabs>
          <w:tab w:val="left" w:pos="5954"/>
        </w:tabs>
      </w:pPr>
      <w:r>
        <w:tab/>
      </w:r>
      <w:r w:rsidRPr="00FC4145">
        <w:t>(a)</w:t>
      </w:r>
      <w:r w:rsidRPr="00FC4145">
        <w:tab/>
      </w:r>
      <w:proofErr w:type="gramStart"/>
      <w:r w:rsidR="00D24E8D" w:rsidRPr="00FC4145">
        <w:t>note</w:t>
      </w:r>
      <w:proofErr w:type="gramEnd"/>
      <w:r w:rsidR="00D24E8D" w:rsidRPr="00FC4145">
        <w:t xml:space="preserve"> the features of Version 1 of the </w:t>
      </w:r>
      <w:r w:rsidRPr="00FC4145">
        <w:t>web</w:t>
      </w:r>
      <w:r w:rsidRPr="00FC4145">
        <w:noBreakHyphen/>
      </w:r>
      <w:r w:rsidR="00D24E8D" w:rsidRPr="00FC4145">
        <w:t xml:space="preserve">based TG Template, as set out in paragraph </w:t>
      </w:r>
      <w:r w:rsidR="00D23C7A">
        <w:t>55</w:t>
      </w:r>
      <w:r w:rsidR="00D24E8D" w:rsidRPr="00FC4145">
        <w:t>;</w:t>
      </w:r>
    </w:p>
    <w:p w:rsidR="00D24E8D" w:rsidRPr="00FC4145" w:rsidRDefault="00D24E8D" w:rsidP="00FF721B">
      <w:pPr>
        <w:pStyle w:val="DecisionParagraphs"/>
        <w:tabs>
          <w:tab w:val="left" w:pos="5954"/>
        </w:tabs>
      </w:pPr>
    </w:p>
    <w:p w:rsidR="00D24E8D" w:rsidRPr="00FC4145" w:rsidRDefault="00FF721B" w:rsidP="00FF721B">
      <w:pPr>
        <w:pStyle w:val="DecisionParagraphs"/>
        <w:tabs>
          <w:tab w:val="left" w:pos="5954"/>
        </w:tabs>
      </w:pPr>
      <w:r w:rsidRPr="00FC4145">
        <w:tab/>
      </w:r>
      <w:r w:rsidR="00D24E8D" w:rsidRPr="00FC4145">
        <w:t>(b)</w:t>
      </w:r>
      <w:r w:rsidR="00D24E8D" w:rsidRPr="00FC4145">
        <w:tab/>
      </w:r>
      <w:proofErr w:type="gramStart"/>
      <w:r w:rsidR="00D24E8D" w:rsidRPr="00FC4145">
        <w:t>approve</w:t>
      </w:r>
      <w:proofErr w:type="gramEnd"/>
      <w:r w:rsidR="00D24E8D" w:rsidRPr="00FC4145">
        <w:t xml:space="preserve"> the plans for the implementation of web-based TG Template, including the need for exclusive use of the web-based TG Template for the development of all Test Guidelines from 2015, as set out in paragraph</w:t>
      </w:r>
      <w:r w:rsidRPr="00FC4145">
        <w:t>s</w:t>
      </w:r>
      <w:r w:rsidR="00D24E8D" w:rsidRPr="00FC4145">
        <w:t xml:space="preserve"> </w:t>
      </w:r>
      <w:r w:rsidR="00D23C7A">
        <w:t>56</w:t>
      </w:r>
      <w:r w:rsidR="00D24E8D" w:rsidRPr="00FC4145">
        <w:t xml:space="preserve"> to </w:t>
      </w:r>
      <w:r w:rsidR="00D23C7A">
        <w:t>58</w:t>
      </w:r>
      <w:r w:rsidR="00D24E8D" w:rsidRPr="00FC4145">
        <w:t>;</w:t>
      </w:r>
    </w:p>
    <w:p w:rsidR="00D24E8D" w:rsidRPr="00FC4145" w:rsidRDefault="00D24E8D" w:rsidP="00FF721B">
      <w:pPr>
        <w:pStyle w:val="DecisionParagraphs"/>
        <w:tabs>
          <w:tab w:val="left" w:pos="5954"/>
        </w:tabs>
      </w:pPr>
    </w:p>
    <w:p w:rsidR="00D24E8D" w:rsidRPr="00897EDD" w:rsidRDefault="00FF721B" w:rsidP="00FF721B">
      <w:pPr>
        <w:pStyle w:val="DecisionParagraphs"/>
        <w:tabs>
          <w:tab w:val="left" w:pos="5954"/>
        </w:tabs>
      </w:pPr>
      <w:r w:rsidRPr="00FC4145">
        <w:tab/>
      </w:r>
      <w:r w:rsidR="00D24E8D" w:rsidRPr="00FC4145">
        <w:t>(c)</w:t>
      </w:r>
      <w:r w:rsidR="00D24E8D" w:rsidRPr="00FC4145">
        <w:tab/>
      </w:r>
      <w:proofErr w:type="gramStart"/>
      <w:r w:rsidR="00D24E8D" w:rsidRPr="00FC4145">
        <w:t>note</w:t>
      </w:r>
      <w:proofErr w:type="gramEnd"/>
      <w:r w:rsidR="00D24E8D" w:rsidRPr="00FC4145">
        <w:t xml:space="preserve"> the features and timetable for development of Version 2 of the </w:t>
      </w:r>
      <w:r w:rsidRPr="00FC4145">
        <w:t>web-based TG </w:t>
      </w:r>
      <w:r w:rsidR="00D24E8D" w:rsidRPr="00FC4145">
        <w:t xml:space="preserve">Template, as set out in paragraphs </w:t>
      </w:r>
      <w:r w:rsidR="00D23C7A">
        <w:t>59</w:t>
      </w:r>
      <w:r w:rsidR="00D24E8D" w:rsidRPr="00FC4145">
        <w:t xml:space="preserve"> to </w:t>
      </w:r>
      <w:r w:rsidR="00D23C7A">
        <w:t>63</w:t>
      </w:r>
      <w:r w:rsidR="00D24E8D" w:rsidRPr="00FC4145">
        <w:t>.</w:t>
      </w:r>
      <w:r>
        <w:t xml:space="preserve"> </w:t>
      </w:r>
    </w:p>
    <w:p w:rsidR="001D6D97" w:rsidRDefault="001D6D97" w:rsidP="009A0C94"/>
    <w:p w:rsidR="000D1DAA" w:rsidRDefault="000D1DAA" w:rsidP="009A0C94"/>
    <w:p w:rsidR="000D1DAA" w:rsidRPr="009929A5" w:rsidRDefault="000D1DAA" w:rsidP="000D1DAA">
      <w:pPr>
        <w:ind w:right="53"/>
        <w:jc w:val="right"/>
        <w:rPr>
          <w:rFonts w:cs="Arial"/>
        </w:rPr>
      </w:pPr>
      <w:r w:rsidRPr="009929A5">
        <w:rPr>
          <w:rFonts w:cs="Arial"/>
        </w:rPr>
        <w:t>[</w:t>
      </w:r>
      <w:r>
        <w:t>Annex follows</w:t>
      </w:r>
      <w:r w:rsidRPr="009929A5">
        <w:rPr>
          <w:rFonts w:cs="Arial"/>
        </w:rPr>
        <w:t>]</w:t>
      </w:r>
    </w:p>
    <w:p w:rsidR="005C06B0" w:rsidRDefault="005C06B0" w:rsidP="009A0C94">
      <w:pPr>
        <w:sectPr w:rsidR="005C06B0" w:rsidSect="002E3428">
          <w:headerReference w:type="default" r:id="rId12"/>
          <w:pgSz w:w="11907" w:h="16840" w:code="9"/>
          <w:pgMar w:top="510" w:right="1134" w:bottom="993" w:left="1134" w:header="510" w:footer="680" w:gutter="0"/>
          <w:cols w:space="720"/>
          <w:titlePg/>
        </w:sectPr>
      </w:pPr>
    </w:p>
    <w:p w:rsidR="000D1DAA" w:rsidRDefault="005C06B0" w:rsidP="005C06B0">
      <w:pPr>
        <w:jc w:val="center"/>
      </w:pPr>
      <w:r>
        <w:t>TC/50/10</w:t>
      </w:r>
    </w:p>
    <w:p w:rsidR="005C06B0" w:rsidRDefault="005C06B0" w:rsidP="005C06B0">
      <w:pPr>
        <w:jc w:val="center"/>
      </w:pPr>
    </w:p>
    <w:p w:rsidR="005C06B0" w:rsidRDefault="005C06B0" w:rsidP="005C06B0">
      <w:pPr>
        <w:jc w:val="center"/>
      </w:pPr>
      <w:r>
        <w:t>ANNEX</w:t>
      </w:r>
    </w:p>
    <w:p w:rsidR="005C06B0" w:rsidRDefault="005C06B0" w:rsidP="005C06B0">
      <w:pPr>
        <w:jc w:val="center"/>
      </w:pPr>
    </w:p>
    <w:p w:rsidR="005C06B0" w:rsidRDefault="005C06B0" w:rsidP="005C06B0">
      <w:pPr>
        <w:jc w:val="center"/>
      </w:pPr>
      <w:r>
        <w:t>(</w:t>
      </w:r>
      <w:proofErr w:type="gramStart"/>
      <w:r>
        <w:t>in</w:t>
      </w:r>
      <w:proofErr w:type="gramEnd"/>
      <w:r>
        <w:t xml:space="preserve"> English only)</w:t>
      </w:r>
    </w:p>
    <w:p w:rsidR="005C06B0" w:rsidRDefault="005C06B0" w:rsidP="005C06B0"/>
    <w:p w:rsidR="005C06B0" w:rsidRDefault="005C06B0" w:rsidP="005C06B0"/>
    <w:p w:rsidR="005C06B0" w:rsidRDefault="005C06B0" w:rsidP="005C06B0"/>
    <w:p w:rsidR="005C06B0" w:rsidRDefault="005C06B0" w:rsidP="005C06B0">
      <w:r>
        <w:t>[</w:t>
      </w:r>
      <w:proofErr w:type="gramStart"/>
      <w:r>
        <w:t>see</w:t>
      </w:r>
      <w:proofErr w:type="gramEnd"/>
      <w:r>
        <w:t xml:space="preserve"> </w:t>
      </w:r>
      <w:proofErr w:type="spellStart"/>
      <w:r>
        <w:t>pdf</w:t>
      </w:r>
      <w:proofErr w:type="spellEnd"/>
      <w:r>
        <w:t xml:space="preserve"> version of document]</w:t>
      </w:r>
    </w:p>
    <w:p w:rsidR="005C06B0" w:rsidRDefault="005C06B0" w:rsidP="005C06B0"/>
    <w:p w:rsidR="005C06B0" w:rsidRDefault="005C06B0" w:rsidP="005C06B0"/>
    <w:p w:rsidR="00027D7A" w:rsidRDefault="00027D7A" w:rsidP="005C06B0"/>
    <w:p w:rsidR="005C06B0" w:rsidRDefault="005C06B0" w:rsidP="005C06B0">
      <w:pPr>
        <w:jc w:val="right"/>
      </w:pPr>
      <w:r>
        <w:t>[End of Annex and of document]</w:t>
      </w:r>
    </w:p>
    <w:sectPr w:rsidR="005C06B0" w:rsidSect="002E3428">
      <w:pgSz w:w="11907" w:h="16840" w:code="9"/>
      <w:pgMar w:top="510" w:right="1134" w:bottom="993"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3C7A" w:rsidRDefault="00D23C7A" w:rsidP="006655D3">
      <w:r>
        <w:separator/>
      </w:r>
    </w:p>
    <w:p w:rsidR="00D23C7A" w:rsidRDefault="00D23C7A" w:rsidP="006655D3"/>
    <w:p w:rsidR="00D23C7A" w:rsidRDefault="00D23C7A" w:rsidP="006655D3"/>
  </w:endnote>
  <w:endnote w:type="continuationSeparator" w:id="0">
    <w:p w:rsidR="00D23C7A" w:rsidRDefault="00D23C7A" w:rsidP="006655D3">
      <w:r>
        <w:separator/>
      </w:r>
    </w:p>
    <w:p w:rsidR="00D23C7A" w:rsidRPr="008C7B58" w:rsidRDefault="00D23C7A">
      <w:pPr>
        <w:pStyle w:val="Footer"/>
        <w:spacing w:after="60"/>
        <w:rPr>
          <w:sz w:val="18"/>
          <w:lang w:val="fr-CH"/>
        </w:rPr>
      </w:pPr>
      <w:r w:rsidRPr="008C7B58">
        <w:rPr>
          <w:sz w:val="18"/>
          <w:lang w:val="fr-CH"/>
        </w:rPr>
        <w:t>[Suite de la note de la page précédente]</w:t>
      </w:r>
    </w:p>
    <w:p w:rsidR="00D23C7A" w:rsidRPr="008C7B58" w:rsidRDefault="00D23C7A" w:rsidP="006655D3">
      <w:pPr>
        <w:rPr>
          <w:lang w:val="fr-CH"/>
        </w:rPr>
      </w:pPr>
    </w:p>
    <w:p w:rsidR="00D23C7A" w:rsidRPr="008C7B58" w:rsidRDefault="00D23C7A" w:rsidP="006655D3">
      <w:pPr>
        <w:rPr>
          <w:lang w:val="fr-CH"/>
        </w:rPr>
      </w:pPr>
    </w:p>
  </w:endnote>
  <w:endnote w:type="continuationNotice" w:id="1">
    <w:p w:rsidR="00D23C7A" w:rsidRPr="008C7B58" w:rsidRDefault="00D23C7A" w:rsidP="006655D3">
      <w:pPr>
        <w:rPr>
          <w:lang w:val="fr-CH"/>
        </w:rPr>
      </w:pPr>
      <w:r w:rsidRPr="008C7B58">
        <w:rPr>
          <w:lang w:val="fr-CH"/>
        </w:rPr>
        <w:t>[Suite de la note page suivante]</w:t>
      </w:r>
    </w:p>
    <w:p w:rsidR="00D23C7A" w:rsidRPr="008C7B58" w:rsidRDefault="00D23C7A" w:rsidP="006655D3">
      <w:pPr>
        <w:rPr>
          <w:lang w:val="fr-CH"/>
        </w:rPr>
      </w:pPr>
    </w:p>
    <w:p w:rsidR="00D23C7A" w:rsidRPr="008C7B58" w:rsidRDefault="00D23C7A"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3C7A" w:rsidRDefault="00D23C7A" w:rsidP="006655D3">
      <w:r>
        <w:separator/>
      </w:r>
    </w:p>
  </w:footnote>
  <w:footnote w:type="continuationSeparator" w:id="0">
    <w:p w:rsidR="00D23C7A" w:rsidRDefault="00D23C7A" w:rsidP="006655D3">
      <w:r>
        <w:separator/>
      </w:r>
    </w:p>
  </w:footnote>
  <w:footnote w:type="continuationNotice" w:id="1">
    <w:p w:rsidR="00D23C7A" w:rsidRPr="00AB530F" w:rsidRDefault="00D23C7A" w:rsidP="00AB530F">
      <w:pPr>
        <w:pStyle w:val="Footer"/>
      </w:pPr>
    </w:p>
  </w:footnote>
  <w:footnote w:id="2">
    <w:p w:rsidR="00D23C7A" w:rsidRPr="0097065B" w:rsidRDefault="00D23C7A" w:rsidP="009678DE">
      <w:pPr>
        <w:pStyle w:val="FootnoteText"/>
      </w:pPr>
      <w:r w:rsidRPr="0097065B">
        <w:rPr>
          <w:rStyle w:val="FootnoteReference"/>
        </w:rPr>
        <w:footnoteRef/>
      </w:r>
      <w:r>
        <w:tab/>
      </w:r>
      <w:r w:rsidRPr="0097065B">
        <w:t>“[I]f a characteristic is important for the international harmonization of variety descriptions (asterisked characteristics) and is influenced by the environment (most quantitative and pseudo</w:t>
      </w:r>
      <w:r w:rsidRPr="0097065B">
        <w:noBreakHyphen/>
        <w:t xml:space="preserve">qualitative </w:t>
      </w:r>
      <w:r w:rsidRPr="0097065B">
        <w:rPr>
          <w:lang w:val="en-GB"/>
        </w:rPr>
        <w:t>characteristics</w:t>
      </w:r>
      <w:r w:rsidRPr="0097065B">
        <w:t xml:space="preserve">) […..] </w:t>
      </w:r>
      <w:proofErr w:type="gramStart"/>
      <w:r w:rsidRPr="0097065B">
        <w:t>it</w:t>
      </w:r>
      <w:proofErr w:type="gramEnd"/>
      <w:r w:rsidRPr="0097065B">
        <w:t xml:space="preserve"> is necessary to provide example varieties” in the Test Guidelines (see document TGP/7, Annex 3, Guidance Note GN 28 “Example varieties”, section 3.3 (iii))</w:t>
      </w:r>
      <w:r>
        <w:t>.</w:t>
      </w:r>
    </w:p>
    <w:p w:rsidR="00D23C7A" w:rsidRPr="0097065B" w:rsidRDefault="00D23C7A" w:rsidP="009678DE">
      <w:pPr>
        <w:pStyle w:val="FootnoteText"/>
      </w:pPr>
      <w:r>
        <w:tab/>
      </w:r>
      <w:r w:rsidRPr="0097065B">
        <w:t>“1.2.3</w:t>
      </w:r>
      <w:r w:rsidRPr="0097065B">
        <w:tab/>
        <w:t xml:space="preserve">Example varieties are important to adjust the description of the </w:t>
      </w:r>
      <w:r w:rsidRPr="0097065B">
        <w:rPr>
          <w:snapToGrid w:val="0"/>
        </w:rPr>
        <w:t xml:space="preserve">characteristics </w:t>
      </w:r>
      <w:r w:rsidRPr="0097065B">
        <w:t>for the year and location effects, as far as possible</w:t>
      </w:r>
      <w:r>
        <w:t xml:space="preserve">.  </w:t>
      </w:r>
      <w:r w:rsidRPr="0097065B">
        <w:t>[…] ” (see document TGP/7, Annex 3, Guidance Note GN 28 “Example varieties”, section 1.2.3)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C7A" w:rsidRPr="00C5280D" w:rsidRDefault="00D23C7A" w:rsidP="00EB048E">
    <w:pPr>
      <w:pStyle w:val="Header"/>
      <w:rPr>
        <w:rStyle w:val="PageNumber"/>
        <w:lang w:val="en-US"/>
      </w:rPr>
    </w:pPr>
    <w:r>
      <w:rPr>
        <w:rStyle w:val="PageNumber"/>
        <w:lang w:val="en-US"/>
      </w:rPr>
      <w:t>TC/50/10</w:t>
    </w:r>
  </w:p>
  <w:p w:rsidR="00D23C7A" w:rsidRPr="00C5280D" w:rsidRDefault="00D23C7A"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12FF">
      <w:rPr>
        <w:rStyle w:val="PageNumber"/>
        <w:noProof/>
        <w:lang w:val="en-US"/>
      </w:rPr>
      <w:t>8</w:t>
    </w:r>
    <w:r w:rsidRPr="00C5280D">
      <w:rPr>
        <w:rStyle w:val="PageNumber"/>
        <w:lang w:val="en-US"/>
      </w:rPr>
      <w:fldChar w:fldCharType="end"/>
    </w:r>
  </w:p>
  <w:p w:rsidR="00D23C7A" w:rsidRPr="00C5280D" w:rsidRDefault="00D23C7A"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44B7D"/>
    <w:multiLevelType w:val="hybridMultilevel"/>
    <w:tmpl w:val="88DCDD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C46AFE"/>
    <w:multiLevelType w:val="hybridMultilevel"/>
    <w:tmpl w:val="AD669FDA"/>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nsid w:val="15C8453D"/>
    <w:multiLevelType w:val="hybridMultilevel"/>
    <w:tmpl w:val="C41E4350"/>
    <w:lvl w:ilvl="0" w:tplc="9EC42AF8">
      <w:start w:val="1"/>
      <w:numFmt w:val="lowerLetter"/>
      <w:lvlText w:val="(%1)"/>
      <w:lvlJc w:val="left"/>
      <w:pPr>
        <w:ind w:left="1137" w:hanging="5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1A3D5BEC"/>
    <w:multiLevelType w:val="hybridMultilevel"/>
    <w:tmpl w:val="700C0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B517AB"/>
    <w:multiLevelType w:val="hybridMultilevel"/>
    <w:tmpl w:val="3D0C5BA0"/>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4C731A68"/>
    <w:multiLevelType w:val="hybridMultilevel"/>
    <w:tmpl w:val="48D0A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0266848"/>
    <w:multiLevelType w:val="hybridMultilevel"/>
    <w:tmpl w:val="B120A2C2"/>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7">
    <w:nsid w:val="7F595D9F"/>
    <w:multiLevelType w:val="hybridMultilevel"/>
    <w:tmpl w:val="F9BC4AAA"/>
    <w:lvl w:ilvl="0" w:tplc="8826A950">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abstractNumId w:val="1"/>
  </w:num>
  <w:num w:numId="2">
    <w:abstractNumId w:val="6"/>
  </w:num>
  <w:num w:numId="3">
    <w:abstractNumId w:val="4"/>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2B43"/>
    <w:rsid w:val="00010CF3"/>
    <w:rsid w:val="00011E27"/>
    <w:rsid w:val="000126EB"/>
    <w:rsid w:val="000148BC"/>
    <w:rsid w:val="000152EF"/>
    <w:rsid w:val="00024AB8"/>
    <w:rsid w:val="00027D7A"/>
    <w:rsid w:val="00030854"/>
    <w:rsid w:val="00036028"/>
    <w:rsid w:val="00044642"/>
    <w:rsid w:val="000446B9"/>
    <w:rsid w:val="00047E21"/>
    <w:rsid w:val="00050E16"/>
    <w:rsid w:val="000536A6"/>
    <w:rsid w:val="00085505"/>
    <w:rsid w:val="000A49AC"/>
    <w:rsid w:val="000A60E8"/>
    <w:rsid w:val="000C7021"/>
    <w:rsid w:val="000D1DAA"/>
    <w:rsid w:val="000D2119"/>
    <w:rsid w:val="000D680A"/>
    <w:rsid w:val="000D6BBC"/>
    <w:rsid w:val="000D7780"/>
    <w:rsid w:val="000E0359"/>
    <w:rsid w:val="000F2F11"/>
    <w:rsid w:val="000F6067"/>
    <w:rsid w:val="001000A7"/>
    <w:rsid w:val="00105929"/>
    <w:rsid w:val="00113080"/>
    <w:rsid w:val="001131D5"/>
    <w:rsid w:val="0012327C"/>
    <w:rsid w:val="001362DE"/>
    <w:rsid w:val="00141DB8"/>
    <w:rsid w:val="001648DC"/>
    <w:rsid w:val="0017474A"/>
    <w:rsid w:val="001758C6"/>
    <w:rsid w:val="00182B99"/>
    <w:rsid w:val="001C4B8F"/>
    <w:rsid w:val="001C553C"/>
    <w:rsid w:val="001C56C7"/>
    <w:rsid w:val="001D2E82"/>
    <w:rsid w:val="001D4FC8"/>
    <w:rsid w:val="001D6D97"/>
    <w:rsid w:val="001E3188"/>
    <w:rsid w:val="001F065E"/>
    <w:rsid w:val="001F4113"/>
    <w:rsid w:val="0021332C"/>
    <w:rsid w:val="00213982"/>
    <w:rsid w:val="00230328"/>
    <w:rsid w:val="00231086"/>
    <w:rsid w:val="0024416D"/>
    <w:rsid w:val="00245FD1"/>
    <w:rsid w:val="002509B3"/>
    <w:rsid w:val="00260FDA"/>
    <w:rsid w:val="00261FE9"/>
    <w:rsid w:val="00271911"/>
    <w:rsid w:val="002800A0"/>
    <w:rsid w:val="002801B3"/>
    <w:rsid w:val="00281060"/>
    <w:rsid w:val="0028178C"/>
    <w:rsid w:val="002940E8"/>
    <w:rsid w:val="002A6E50"/>
    <w:rsid w:val="002B6C3B"/>
    <w:rsid w:val="002C256A"/>
    <w:rsid w:val="002D1075"/>
    <w:rsid w:val="002E3428"/>
    <w:rsid w:val="00305A7F"/>
    <w:rsid w:val="003152FE"/>
    <w:rsid w:val="00327436"/>
    <w:rsid w:val="003367CB"/>
    <w:rsid w:val="00337B8E"/>
    <w:rsid w:val="00340861"/>
    <w:rsid w:val="00344BD6"/>
    <w:rsid w:val="0035528D"/>
    <w:rsid w:val="00361821"/>
    <w:rsid w:val="003D227C"/>
    <w:rsid w:val="003D2768"/>
    <w:rsid w:val="003D2B4D"/>
    <w:rsid w:val="00444A88"/>
    <w:rsid w:val="00465430"/>
    <w:rsid w:val="00467D0A"/>
    <w:rsid w:val="00474DA4"/>
    <w:rsid w:val="00476B4D"/>
    <w:rsid w:val="004805FA"/>
    <w:rsid w:val="004808FC"/>
    <w:rsid w:val="004816A1"/>
    <w:rsid w:val="004B017A"/>
    <w:rsid w:val="004D047D"/>
    <w:rsid w:val="004D6E10"/>
    <w:rsid w:val="004E4FAC"/>
    <w:rsid w:val="004E7E98"/>
    <w:rsid w:val="004F305A"/>
    <w:rsid w:val="00505A73"/>
    <w:rsid w:val="00512164"/>
    <w:rsid w:val="00520297"/>
    <w:rsid w:val="00524050"/>
    <w:rsid w:val="0052617C"/>
    <w:rsid w:val="005338F9"/>
    <w:rsid w:val="005379E7"/>
    <w:rsid w:val="0054281C"/>
    <w:rsid w:val="005517E6"/>
    <w:rsid w:val="0055268D"/>
    <w:rsid w:val="00557635"/>
    <w:rsid w:val="00574BC4"/>
    <w:rsid w:val="00576BE4"/>
    <w:rsid w:val="00581540"/>
    <w:rsid w:val="005902E4"/>
    <w:rsid w:val="005A142C"/>
    <w:rsid w:val="005A400A"/>
    <w:rsid w:val="005B50EC"/>
    <w:rsid w:val="005C06B0"/>
    <w:rsid w:val="005C3E02"/>
    <w:rsid w:val="005C4236"/>
    <w:rsid w:val="005D4EF4"/>
    <w:rsid w:val="005D6A9B"/>
    <w:rsid w:val="005E24DF"/>
    <w:rsid w:val="005F3D0F"/>
    <w:rsid w:val="005F3FA7"/>
    <w:rsid w:val="00607DB2"/>
    <w:rsid w:val="00610D9E"/>
    <w:rsid w:val="00612379"/>
    <w:rsid w:val="00613AD4"/>
    <w:rsid w:val="0061555F"/>
    <w:rsid w:val="00615E39"/>
    <w:rsid w:val="006212FF"/>
    <w:rsid w:val="006270D4"/>
    <w:rsid w:val="00641200"/>
    <w:rsid w:val="006518C7"/>
    <w:rsid w:val="006655D3"/>
    <w:rsid w:val="00667404"/>
    <w:rsid w:val="00687EB4"/>
    <w:rsid w:val="006A4A4E"/>
    <w:rsid w:val="006B17D2"/>
    <w:rsid w:val="006C224E"/>
    <w:rsid w:val="006D780A"/>
    <w:rsid w:val="006E3F4B"/>
    <w:rsid w:val="00704A4B"/>
    <w:rsid w:val="0070699B"/>
    <w:rsid w:val="00727189"/>
    <w:rsid w:val="00731C8F"/>
    <w:rsid w:val="00732DEC"/>
    <w:rsid w:val="00735BD5"/>
    <w:rsid w:val="00744A9B"/>
    <w:rsid w:val="00752495"/>
    <w:rsid w:val="007556F6"/>
    <w:rsid w:val="00760EEF"/>
    <w:rsid w:val="00761761"/>
    <w:rsid w:val="00763992"/>
    <w:rsid w:val="00764373"/>
    <w:rsid w:val="007723E0"/>
    <w:rsid w:val="00777EE5"/>
    <w:rsid w:val="00784836"/>
    <w:rsid w:val="0079023E"/>
    <w:rsid w:val="007930E0"/>
    <w:rsid w:val="007A2854"/>
    <w:rsid w:val="007C6459"/>
    <w:rsid w:val="007D0B9D"/>
    <w:rsid w:val="007D19B0"/>
    <w:rsid w:val="007D7752"/>
    <w:rsid w:val="007F1560"/>
    <w:rsid w:val="007F498F"/>
    <w:rsid w:val="007F6BE3"/>
    <w:rsid w:val="00803CC0"/>
    <w:rsid w:val="0080679D"/>
    <w:rsid w:val="00807F07"/>
    <w:rsid w:val="008102D1"/>
    <w:rsid w:val="008108B0"/>
    <w:rsid w:val="00811B20"/>
    <w:rsid w:val="0081734A"/>
    <w:rsid w:val="0082296E"/>
    <w:rsid w:val="00823721"/>
    <w:rsid w:val="008239F1"/>
    <w:rsid w:val="00824099"/>
    <w:rsid w:val="008334D4"/>
    <w:rsid w:val="00842EE6"/>
    <w:rsid w:val="00846F0F"/>
    <w:rsid w:val="00867AC1"/>
    <w:rsid w:val="008A743F"/>
    <w:rsid w:val="008B494D"/>
    <w:rsid w:val="008C0970"/>
    <w:rsid w:val="008C7B58"/>
    <w:rsid w:val="008D2CF7"/>
    <w:rsid w:val="008E734A"/>
    <w:rsid w:val="008F343B"/>
    <w:rsid w:val="00900C26"/>
    <w:rsid w:val="0090197F"/>
    <w:rsid w:val="00906DDC"/>
    <w:rsid w:val="00916B7C"/>
    <w:rsid w:val="00932B5A"/>
    <w:rsid w:val="00934E09"/>
    <w:rsid w:val="00936253"/>
    <w:rsid w:val="00941413"/>
    <w:rsid w:val="00952DD4"/>
    <w:rsid w:val="009628A1"/>
    <w:rsid w:val="009678DE"/>
    <w:rsid w:val="00970FED"/>
    <w:rsid w:val="00974E05"/>
    <w:rsid w:val="00992D82"/>
    <w:rsid w:val="0099668A"/>
    <w:rsid w:val="00997029"/>
    <w:rsid w:val="009A0C94"/>
    <w:rsid w:val="009B0042"/>
    <w:rsid w:val="009B49B7"/>
    <w:rsid w:val="009C3347"/>
    <w:rsid w:val="009D690D"/>
    <w:rsid w:val="009E65B6"/>
    <w:rsid w:val="009F57BC"/>
    <w:rsid w:val="00A07942"/>
    <w:rsid w:val="00A20023"/>
    <w:rsid w:val="00A24C10"/>
    <w:rsid w:val="00A30E3C"/>
    <w:rsid w:val="00A34B37"/>
    <w:rsid w:val="00A42274"/>
    <w:rsid w:val="00A42AC3"/>
    <w:rsid w:val="00A430CF"/>
    <w:rsid w:val="00A54309"/>
    <w:rsid w:val="00A9076F"/>
    <w:rsid w:val="00AA731D"/>
    <w:rsid w:val="00AB2B93"/>
    <w:rsid w:val="00AB530F"/>
    <w:rsid w:val="00AB7E5B"/>
    <w:rsid w:val="00AE0E09"/>
    <w:rsid w:val="00AE0EF1"/>
    <w:rsid w:val="00AE2937"/>
    <w:rsid w:val="00AE7054"/>
    <w:rsid w:val="00AF7303"/>
    <w:rsid w:val="00B07301"/>
    <w:rsid w:val="00B07425"/>
    <w:rsid w:val="00B224DE"/>
    <w:rsid w:val="00B252EB"/>
    <w:rsid w:val="00B27EAD"/>
    <w:rsid w:val="00B34C30"/>
    <w:rsid w:val="00B36443"/>
    <w:rsid w:val="00B46575"/>
    <w:rsid w:val="00B61B03"/>
    <w:rsid w:val="00B70BC1"/>
    <w:rsid w:val="00B81DB7"/>
    <w:rsid w:val="00B84BBD"/>
    <w:rsid w:val="00B945DE"/>
    <w:rsid w:val="00B94604"/>
    <w:rsid w:val="00B94A4D"/>
    <w:rsid w:val="00BA1947"/>
    <w:rsid w:val="00BA43FB"/>
    <w:rsid w:val="00BC09A1"/>
    <w:rsid w:val="00BC127D"/>
    <w:rsid w:val="00BC1FE6"/>
    <w:rsid w:val="00BD1A54"/>
    <w:rsid w:val="00BF3941"/>
    <w:rsid w:val="00BF697B"/>
    <w:rsid w:val="00C061B6"/>
    <w:rsid w:val="00C2446C"/>
    <w:rsid w:val="00C36AE5"/>
    <w:rsid w:val="00C41F17"/>
    <w:rsid w:val="00C5280D"/>
    <w:rsid w:val="00C5791C"/>
    <w:rsid w:val="00C66290"/>
    <w:rsid w:val="00C72B7A"/>
    <w:rsid w:val="00C75FF4"/>
    <w:rsid w:val="00C973F2"/>
    <w:rsid w:val="00CA06CC"/>
    <w:rsid w:val="00CA304C"/>
    <w:rsid w:val="00CA449D"/>
    <w:rsid w:val="00CA774A"/>
    <w:rsid w:val="00CB138C"/>
    <w:rsid w:val="00CC11B0"/>
    <w:rsid w:val="00CC4EA0"/>
    <w:rsid w:val="00CD366F"/>
    <w:rsid w:val="00CE1419"/>
    <w:rsid w:val="00CE767B"/>
    <w:rsid w:val="00CF57D7"/>
    <w:rsid w:val="00CF7E36"/>
    <w:rsid w:val="00D0002A"/>
    <w:rsid w:val="00D070FD"/>
    <w:rsid w:val="00D135ED"/>
    <w:rsid w:val="00D23C7A"/>
    <w:rsid w:val="00D24E8D"/>
    <w:rsid w:val="00D3708D"/>
    <w:rsid w:val="00D40426"/>
    <w:rsid w:val="00D41A77"/>
    <w:rsid w:val="00D51088"/>
    <w:rsid w:val="00D57C96"/>
    <w:rsid w:val="00D61804"/>
    <w:rsid w:val="00D91203"/>
    <w:rsid w:val="00D95174"/>
    <w:rsid w:val="00D9733D"/>
    <w:rsid w:val="00DA0863"/>
    <w:rsid w:val="00DA6F36"/>
    <w:rsid w:val="00DB2E18"/>
    <w:rsid w:val="00DB596E"/>
    <w:rsid w:val="00DB7773"/>
    <w:rsid w:val="00DC00EA"/>
    <w:rsid w:val="00E32F7E"/>
    <w:rsid w:val="00E4080D"/>
    <w:rsid w:val="00E5369D"/>
    <w:rsid w:val="00E72D49"/>
    <w:rsid w:val="00E7593C"/>
    <w:rsid w:val="00E7678A"/>
    <w:rsid w:val="00E9274B"/>
    <w:rsid w:val="00E935F1"/>
    <w:rsid w:val="00E94A81"/>
    <w:rsid w:val="00EA1FFB"/>
    <w:rsid w:val="00EB048E"/>
    <w:rsid w:val="00ED14A6"/>
    <w:rsid w:val="00EE34DF"/>
    <w:rsid w:val="00EF2F89"/>
    <w:rsid w:val="00F0027E"/>
    <w:rsid w:val="00F1237A"/>
    <w:rsid w:val="00F22CBD"/>
    <w:rsid w:val="00F23E20"/>
    <w:rsid w:val="00F27C33"/>
    <w:rsid w:val="00F45372"/>
    <w:rsid w:val="00F50671"/>
    <w:rsid w:val="00F560F7"/>
    <w:rsid w:val="00F62E56"/>
    <w:rsid w:val="00F6334D"/>
    <w:rsid w:val="00F70FE9"/>
    <w:rsid w:val="00F81AF1"/>
    <w:rsid w:val="00FA49AB"/>
    <w:rsid w:val="00FA5BBD"/>
    <w:rsid w:val="00FC105B"/>
    <w:rsid w:val="00FC4145"/>
    <w:rsid w:val="00FD2B43"/>
    <w:rsid w:val="00FE39C7"/>
    <w:rsid w:val="00FF7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135ED"/>
    <w:pPr>
      <w:keepNext/>
      <w:outlineLvl w:val="0"/>
    </w:pPr>
    <w:rPr>
      <w:rFonts w:ascii="Arial" w:hAnsi="Arial"/>
      <w:caps/>
    </w:rPr>
  </w:style>
  <w:style w:type="paragraph" w:styleId="Heading2">
    <w:name w:val="heading 2"/>
    <w:next w:val="Normal"/>
    <w:link w:val="Heading2Char"/>
    <w:autoRedefine/>
    <w:qFormat/>
    <w:rsid w:val="006A4A4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7C64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678DE"/>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4816A1"/>
    <w:pPr>
      <w:tabs>
        <w:tab w:val="right" w:leader="dot" w:pos="9639"/>
      </w:tabs>
      <w:spacing w:before="120"/>
      <w:ind w:left="568" w:right="851" w:hanging="284"/>
      <w:contextualSpacing/>
    </w:pPr>
    <w:rPr>
      <w:rFonts w:ascii="Arial" w:hAnsi="Arial"/>
      <w:smallCaps/>
    </w:rPr>
  </w:style>
  <w:style w:type="paragraph" w:styleId="TOC3">
    <w:name w:val="toc 3"/>
    <w:next w:val="Normal"/>
    <w:autoRedefine/>
    <w:uiPriority w:val="39"/>
    <w:rsid w:val="004816A1"/>
    <w:pPr>
      <w:tabs>
        <w:tab w:val="right" w:leader="dot" w:pos="9639"/>
      </w:tabs>
      <w:spacing w:before="120"/>
      <w:ind w:left="964" w:right="851" w:hanging="396"/>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816A1"/>
    <w:pPr>
      <w:tabs>
        <w:tab w:val="left" w:pos="454"/>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link w:val="FootnoteText"/>
    <w:rsid w:val="009678DE"/>
    <w:rPr>
      <w:rFonts w:ascii="Arial" w:hAnsi="Arial"/>
      <w:sz w:val="16"/>
    </w:rPr>
  </w:style>
  <w:style w:type="paragraph" w:styleId="CommentText">
    <w:name w:val="annotation text"/>
    <w:basedOn w:val="Normal"/>
    <w:link w:val="CommentTextChar"/>
    <w:unhideWhenUsed/>
    <w:rsid w:val="007930E0"/>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7930E0"/>
    <w:rPr>
      <w:sz w:val="22"/>
      <w:szCs w:val="22"/>
      <w:lang w:eastAsia="ja-JP"/>
    </w:rPr>
  </w:style>
  <w:style w:type="character" w:customStyle="1" w:styleId="Heading7Char">
    <w:name w:val="Heading 7 Char"/>
    <w:basedOn w:val="DefaultParagraphFont"/>
    <w:link w:val="Heading7"/>
    <w:semiHidden/>
    <w:rsid w:val="007C6459"/>
    <w:rPr>
      <w:rFonts w:asciiTheme="majorHAnsi" w:eastAsiaTheme="majorEastAsia" w:hAnsiTheme="majorHAnsi" w:cstheme="majorBidi"/>
      <w:i/>
      <w:iCs/>
      <w:color w:val="404040" w:themeColor="text1" w:themeTint="BF"/>
    </w:rPr>
  </w:style>
  <w:style w:type="character" w:customStyle="1" w:styleId="DecisionParagraphsChar">
    <w:name w:val="DecisionParagraphs Char"/>
    <w:basedOn w:val="DefaultParagraphFont"/>
    <w:link w:val="DecisionParagraphs"/>
    <w:rsid w:val="001C553C"/>
    <w:rPr>
      <w:rFonts w:ascii="Arial" w:hAnsi="Arial"/>
      <w:i/>
    </w:rPr>
  </w:style>
  <w:style w:type="paragraph" w:styleId="ListParagraph">
    <w:name w:val="List Paragraph"/>
    <w:basedOn w:val="Normal"/>
    <w:uiPriority w:val="34"/>
    <w:qFormat/>
    <w:rsid w:val="00337B8E"/>
    <w:pPr>
      <w:ind w:left="720"/>
      <w:contextualSpacing/>
    </w:pPr>
  </w:style>
  <w:style w:type="paragraph" w:styleId="TOCHeading">
    <w:name w:val="TOC Heading"/>
    <w:basedOn w:val="Heading1"/>
    <w:next w:val="Normal"/>
    <w:uiPriority w:val="39"/>
    <w:unhideWhenUsed/>
    <w:qFormat/>
    <w:rsid w:val="00574BC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6A4A4E"/>
    <w:rPr>
      <w:rFonts w:ascii="Arial" w:hAnsi="Arial"/>
      <w:u w:val="single"/>
    </w:rPr>
  </w:style>
  <w:style w:type="table" w:styleId="TableGrid">
    <w:name w:val="Table Grid"/>
    <w:basedOn w:val="TableNormal"/>
    <w:rsid w:val="00842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4D6E10"/>
    <w:rPr>
      <w:b w:val="0"/>
      <w:bCs/>
      <w:smallCaps/>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D135ED"/>
    <w:pPr>
      <w:keepNext/>
      <w:outlineLvl w:val="0"/>
    </w:pPr>
    <w:rPr>
      <w:rFonts w:ascii="Arial" w:hAnsi="Arial"/>
      <w:caps/>
    </w:rPr>
  </w:style>
  <w:style w:type="paragraph" w:styleId="Heading2">
    <w:name w:val="heading 2"/>
    <w:next w:val="Normal"/>
    <w:link w:val="Heading2Char"/>
    <w:autoRedefine/>
    <w:qFormat/>
    <w:rsid w:val="006A4A4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7">
    <w:name w:val="heading 7"/>
    <w:basedOn w:val="Normal"/>
    <w:next w:val="Normal"/>
    <w:link w:val="Heading7Char"/>
    <w:semiHidden/>
    <w:unhideWhenUsed/>
    <w:qFormat/>
    <w:rsid w:val="007C6459"/>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link w:val="FootnoteTextChar"/>
    <w:autoRedefine/>
    <w:rsid w:val="009678DE"/>
    <w:pPr>
      <w:spacing w:before="60"/>
      <w:ind w:left="284" w:hanging="284"/>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4816A1"/>
    <w:pPr>
      <w:tabs>
        <w:tab w:val="right" w:leader="dot" w:pos="9639"/>
      </w:tabs>
      <w:spacing w:before="120"/>
      <w:ind w:left="568" w:right="851" w:hanging="284"/>
      <w:contextualSpacing/>
    </w:pPr>
    <w:rPr>
      <w:rFonts w:ascii="Arial" w:hAnsi="Arial"/>
      <w:smallCaps/>
    </w:rPr>
  </w:style>
  <w:style w:type="paragraph" w:styleId="TOC3">
    <w:name w:val="toc 3"/>
    <w:next w:val="Normal"/>
    <w:autoRedefine/>
    <w:uiPriority w:val="39"/>
    <w:rsid w:val="004816A1"/>
    <w:pPr>
      <w:tabs>
        <w:tab w:val="right" w:leader="dot" w:pos="9639"/>
      </w:tabs>
      <w:spacing w:before="120"/>
      <w:ind w:left="964" w:right="851" w:hanging="396"/>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4816A1"/>
    <w:pPr>
      <w:tabs>
        <w:tab w:val="left" w:pos="454"/>
        <w:tab w:val="right" w:leader="dot" w:pos="9639"/>
      </w:tabs>
      <w:spacing w:before="120"/>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FootnoteTextChar">
    <w:name w:val="Footnote Text Char"/>
    <w:link w:val="FootnoteText"/>
    <w:rsid w:val="009678DE"/>
    <w:rPr>
      <w:rFonts w:ascii="Arial" w:hAnsi="Arial"/>
      <w:sz w:val="16"/>
    </w:rPr>
  </w:style>
  <w:style w:type="paragraph" w:styleId="CommentText">
    <w:name w:val="annotation text"/>
    <w:basedOn w:val="Normal"/>
    <w:link w:val="CommentTextChar"/>
    <w:unhideWhenUsed/>
    <w:rsid w:val="007930E0"/>
    <w:pPr>
      <w:jc w:val="left"/>
    </w:pPr>
    <w:rPr>
      <w:rFonts w:ascii="Times New Roman" w:hAnsi="Times New Roman"/>
      <w:sz w:val="22"/>
      <w:szCs w:val="22"/>
      <w:lang w:eastAsia="ja-JP"/>
    </w:rPr>
  </w:style>
  <w:style w:type="character" w:customStyle="1" w:styleId="CommentTextChar">
    <w:name w:val="Comment Text Char"/>
    <w:basedOn w:val="DefaultParagraphFont"/>
    <w:link w:val="CommentText"/>
    <w:rsid w:val="007930E0"/>
    <w:rPr>
      <w:sz w:val="22"/>
      <w:szCs w:val="22"/>
      <w:lang w:eastAsia="ja-JP"/>
    </w:rPr>
  </w:style>
  <w:style w:type="character" w:customStyle="1" w:styleId="Heading7Char">
    <w:name w:val="Heading 7 Char"/>
    <w:basedOn w:val="DefaultParagraphFont"/>
    <w:link w:val="Heading7"/>
    <w:semiHidden/>
    <w:rsid w:val="007C6459"/>
    <w:rPr>
      <w:rFonts w:asciiTheme="majorHAnsi" w:eastAsiaTheme="majorEastAsia" w:hAnsiTheme="majorHAnsi" w:cstheme="majorBidi"/>
      <w:i/>
      <w:iCs/>
      <w:color w:val="404040" w:themeColor="text1" w:themeTint="BF"/>
    </w:rPr>
  </w:style>
  <w:style w:type="character" w:customStyle="1" w:styleId="DecisionParagraphsChar">
    <w:name w:val="DecisionParagraphs Char"/>
    <w:basedOn w:val="DefaultParagraphFont"/>
    <w:link w:val="DecisionParagraphs"/>
    <w:rsid w:val="001C553C"/>
    <w:rPr>
      <w:rFonts w:ascii="Arial" w:hAnsi="Arial"/>
      <w:i/>
    </w:rPr>
  </w:style>
  <w:style w:type="paragraph" w:styleId="ListParagraph">
    <w:name w:val="List Paragraph"/>
    <w:basedOn w:val="Normal"/>
    <w:uiPriority w:val="34"/>
    <w:qFormat/>
    <w:rsid w:val="00337B8E"/>
    <w:pPr>
      <w:ind w:left="720"/>
      <w:contextualSpacing/>
    </w:pPr>
  </w:style>
  <w:style w:type="paragraph" w:styleId="TOCHeading">
    <w:name w:val="TOC Heading"/>
    <w:basedOn w:val="Heading1"/>
    <w:next w:val="Normal"/>
    <w:uiPriority w:val="39"/>
    <w:unhideWhenUsed/>
    <w:qFormat/>
    <w:rsid w:val="00574BC4"/>
    <w:pPr>
      <w:keepLines/>
      <w:spacing w:before="480" w:line="276" w:lineRule="auto"/>
      <w:outlineLvl w:val="9"/>
    </w:pPr>
    <w:rPr>
      <w:rFonts w:asciiTheme="majorHAnsi" w:eastAsiaTheme="majorEastAsia" w:hAnsiTheme="majorHAnsi" w:cstheme="majorBidi"/>
      <w:b/>
      <w:bCs/>
      <w:caps w:val="0"/>
      <w:color w:val="365F91" w:themeColor="accent1" w:themeShade="BF"/>
      <w:sz w:val="28"/>
      <w:szCs w:val="28"/>
      <w:lang w:eastAsia="ja-JP"/>
    </w:rPr>
  </w:style>
  <w:style w:type="character" w:customStyle="1" w:styleId="Heading2Char">
    <w:name w:val="Heading 2 Char"/>
    <w:link w:val="Heading2"/>
    <w:rsid w:val="006A4A4E"/>
    <w:rPr>
      <w:rFonts w:ascii="Arial" w:hAnsi="Arial"/>
      <w:u w:val="single"/>
    </w:rPr>
  </w:style>
  <w:style w:type="table" w:styleId="TableGrid">
    <w:name w:val="Table Grid"/>
    <w:basedOn w:val="TableNormal"/>
    <w:rsid w:val="00842EE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BookTitle">
    <w:name w:val="Book Title"/>
    <w:basedOn w:val="DefaultParagraphFont"/>
    <w:uiPriority w:val="33"/>
    <w:qFormat/>
    <w:rsid w:val="004D6E10"/>
    <w:rPr>
      <w:b w:val="0"/>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pov.int/meetings/en/details.jsp?meeting_id=29782" TargetMode="External"/><Relationship Id="rId5" Type="http://schemas.openxmlformats.org/officeDocument/2006/relationships/settings" Target="settings.xml"/><Relationship Id="rId10" Type="http://schemas.openxmlformats.org/officeDocument/2006/relationships/hyperlink" Target="http://www.upov.int/about/en/benefits_upov_system.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74BD09-0902-42EA-88BB-EB17C32CD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tc_50_EN.dotx</Template>
  <TotalTime>2142</TotalTime>
  <Pages>17</Pages>
  <Words>7119</Words>
  <Characters>41115</Characters>
  <Application>Microsoft Office Word</Application>
  <DocSecurity>0</DocSecurity>
  <Lines>342</Lines>
  <Paragraphs>96</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48138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SANCHEZ-VIZCAINO GOMEZ Rosa Maria</cp:lastModifiedBy>
  <cp:revision>108</cp:revision>
  <cp:lastPrinted>2014-02-26T09:46:00Z</cp:lastPrinted>
  <dcterms:created xsi:type="dcterms:W3CDTF">2013-11-18T14:51:00Z</dcterms:created>
  <dcterms:modified xsi:type="dcterms:W3CDTF">2014-03-03T15:07:00Z</dcterms:modified>
</cp:coreProperties>
</file>