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46F10" w:rsidRPr="00275D77" w14:paraId="17D601DB" w14:textId="77777777" w:rsidTr="00B61103">
        <w:tc>
          <w:tcPr>
            <w:tcW w:w="6522" w:type="dxa"/>
          </w:tcPr>
          <w:p w14:paraId="21693C1A" w14:textId="77777777" w:rsidR="00546F10" w:rsidRPr="00275D77" w:rsidRDefault="00546F10" w:rsidP="00B61103">
            <w:bookmarkStart w:id="0" w:name="_GoBack"/>
            <w:bookmarkEnd w:id="0"/>
            <w:r w:rsidRPr="00275D77">
              <w:rPr>
                <w:noProof/>
              </w:rPr>
              <w:drawing>
                <wp:inline distT="0" distB="0" distL="0" distR="0" wp14:anchorId="62A76B7D" wp14:editId="4BD386A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D3365D2" w14:textId="77777777" w:rsidR="00546F10" w:rsidRPr="00275D77" w:rsidRDefault="00546F10" w:rsidP="00B61103">
            <w:pPr>
              <w:pStyle w:val="Lettrine"/>
            </w:pPr>
            <w:r w:rsidRPr="00275D77">
              <w:t>E</w:t>
            </w:r>
          </w:p>
        </w:tc>
      </w:tr>
      <w:tr w:rsidR="00546F10" w:rsidRPr="00275D77" w14:paraId="67EEBFCC" w14:textId="77777777" w:rsidTr="00B61103">
        <w:trPr>
          <w:trHeight w:val="219"/>
        </w:trPr>
        <w:tc>
          <w:tcPr>
            <w:tcW w:w="6522" w:type="dxa"/>
          </w:tcPr>
          <w:p w14:paraId="0811FCDD" w14:textId="77777777" w:rsidR="00546F10" w:rsidRPr="00786B8C" w:rsidRDefault="00546F10" w:rsidP="00B61103">
            <w:pPr>
              <w:pStyle w:val="upove"/>
              <w:rPr>
                <w:lang w:val="en-US"/>
              </w:rPr>
            </w:pPr>
            <w:r w:rsidRPr="00786B8C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14:paraId="351E56A5" w14:textId="77777777" w:rsidR="00546F10" w:rsidRPr="00275D77" w:rsidRDefault="00546F10" w:rsidP="00B61103"/>
        </w:tc>
      </w:tr>
    </w:tbl>
    <w:p w14:paraId="4D40D65E" w14:textId="77777777" w:rsidR="00546F10" w:rsidRPr="00275D77" w:rsidRDefault="00546F10" w:rsidP="00546F10"/>
    <w:p w14:paraId="4B6CA525" w14:textId="77777777" w:rsidR="00546F10" w:rsidRPr="00275D77" w:rsidRDefault="00546F10" w:rsidP="00546F1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46F10" w:rsidRPr="00275D77" w14:paraId="6C183B1F" w14:textId="77777777" w:rsidTr="00B61103">
        <w:tc>
          <w:tcPr>
            <w:tcW w:w="6512" w:type="dxa"/>
          </w:tcPr>
          <w:p w14:paraId="220863D8" w14:textId="77777777" w:rsidR="00546F10" w:rsidRPr="00786B8C" w:rsidRDefault="00546F10" w:rsidP="00B61103">
            <w:pPr>
              <w:pStyle w:val="Sessiontc"/>
              <w:spacing w:line="240" w:lineRule="auto"/>
              <w:rPr>
                <w:lang w:val="en-US"/>
              </w:rPr>
            </w:pPr>
            <w:r w:rsidRPr="00786B8C">
              <w:rPr>
                <w:lang w:val="en-US"/>
              </w:rPr>
              <w:t>M</w:t>
            </w:r>
            <w:r w:rsidRPr="00786B8C">
              <w:rPr>
                <w:kern w:val="0"/>
                <w:lang w:val="en-US"/>
              </w:rPr>
              <w:t>eeting on Electronic Applicat</w:t>
            </w:r>
            <w:r w:rsidRPr="00786B8C">
              <w:rPr>
                <w:lang w:val="en-US"/>
              </w:rPr>
              <w:t>ions</w:t>
            </w:r>
          </w:p>
          <w:p w14:paraId="36EB226C" w14:textId="77777777" w:rsidR="00546F10" w:rsidRPr="00786B8C" w:rsidRDefault="00546F10" w:rsidP="00B61103">
            <w:pPr>
              <w:pStyle w:val="Sessiontcplacedate"/>
              <w:contextualSpacing w:val="0"/>
              <w:rPr>
                <w:lang w:val="en-US"/>
              </w:rPr>
            </w:pPr>
            <w:r w:rsidRPr="00786B8C">
              <w:rPr>
                <w:lang w:val="en-US"/>
              </w:rPr>
              <w:t>Third meeting</w:t>
            </w:r>
          </w:p>
          <w:p w14:paraId="7594519D" w14:textId="77777777" w:rsidR="00546F10" w:rsidRPr="00275D77" w:rsidRDefault="00546F10" w:rsidP="00B61103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275D77">
              <w:t xml:space="preserve">Geneva, </w:t>
            </w:r>
            <w:r>
              <w:t>March 18</w:t>
            </w:r>
            <w:r w:rsidRPr="00275D77">
              <w:t>, 202</w:t>
            </w:r>
            <w:r>
              <w:t>4</w:t>
            </w:r>
          </w:p>
        </w:tc>
        <w:tc>
          <w:tcPr>
            <w:tcW w:w="3127" w:type="dxa"/>
          </w:tcPr>
          <w:p w14:paraId="560BDFB5" w14:textId="77777777" w:rsidR="00546F10" w:rsidRPr="00275D77" w:rsidRDefault="00546F10" w:rsidP="00B61103">
            <w:pPr>
              <w:pStyle w:val="Doccode"/>
              <w:spacing w:line="240" w:lineRule="exact"/>
            </w:pPr>
            <w:r w:rsidRPr="00275D77">
              <w:t>EAM/</w:t>
            </w:r>
            <w:r>
              <w:t>3</w:t>
            </w:r>
            <w:r w:rsidRPr="00275D77">
              <w:t>/3</w:t>
            </w:r>
          </w:p>
          <w:p w14:paraId="2091FD58" w14:textId="77777777" w:rsidR="00546F10" w:rsidRPr="00786B8C" w:rsidRDefault="00546F10" w:rsidP="00B61103">
            <w:pPr>
              <w:pStyle w:val="Docoriginal"/>
              <w:rPr>
                <w:lang w:val="en-US"/>
              </w:rPr>
            </w:pPr>
            <w:r w:rsidRPr="00786B8C">
              <w:rPr>
                <w:lang w:val="en-US"/>
              </w:rPr>
              <w:t>Original:</w:t>
            </w:r>
            <w:r w:rsidRPr="00786B8C">
              <w:rPr>
                <w:b w:val="0"/>
                <w:spacing w:val="0"/>
                <w:lang w:val="en-US"/>
              </w:rPr>
              <w:t xml:space="preserve">  English</w:t>
            </w:r>
          </w:p>
          <w:p w14:paraId="1BB0E39A" w14:textId="77777777" w:rsidR="00546F10" w:rsidRPr="00786B8C" w:rsidRDefault="00546F10" w:rsidP="00B61103">
            <w:pPr>
              <w:pStyle w:val="Docoriginal"/>
              <w:rPr>
                <w:lang w:val="en-US"/>
              </w:rPr>
            </w:pPr>
            <w:r w:rsidRPr="00786B8C">
              <w:rPr>
                <w:lang w:val="en-US"/>
              </w:rPr>
              <w:t>Date:</w:t>
            </w:r>
            <w:r w:rsidRPr="00786B8C">
              <w:rPr>
                <w:b w:val="0"/>
                <w:spacing w:val="0"/>
                <w:lang w:val="en-US"/>
              </w:rPr>
              <w:t xml:space="preserve">  </w:t>
            </w:r>
            <w:r w:rsidRPr="0091698F">
              <w:rPr>
                <w:b w:val="0"/>
                <w:spacing w:val="0"/>
                <w:lang w:val="en-US"/>
              </w:rPr>
              <w:t>March 1</w:t>
            </w:r>
            <w:r>
              <w:rPr>
                <w:b w:val="0"/>
                <w:spacing w:val="0"/>
                <w:lang w:val="en-US"/>
              </w:rPr>
              <w:t>2</w:t>
            </w:r>
            <w:r w:rsidRPr="0091698F">
              <w:rPr>
                <w:b w:val="0"/>
                <w:spacing w:val="0"/>
                <w:lang w:val="en-US"/>
              </w:rPr>
              <w:t>, 2024</w:t>
            </w:r>
          </w:p>
        </w:tc>
      </w:tr>
    </w:tbl>
    <w:p w14:paraId="78A10C98" w14:textId="77777777" w:rsidR="00546F10" w:rsidRPr="00786B8C" w:rsidRDefault="00546F10" w:rsidP="00546F10">
      <w:pPr>
        <w:pStyle w:val="Titleofdoc0"/>
        <w:rPr>
          <w:lang w:val="en-US"/>
        </w:rPr>
      </w:pPr>
      <w:r w:rsidRPr="00786B8C">
        <w:rPr>
          <w:lang w:val="en-US"/>
        </w:rPr>
        <w:t>UPOV PRISMA</w:t>
      </w:r>
    </w:p>
    <w:p w14:paraId="556D18A1" w14:textId="77777777" w:rsidR="00546F10" w:rsidRPr="00275D77" w:rsidRDefault="00546F10" w:rsidP="00546F10">
      <w:pPr>
        <w:pStyle w:val="preparedby1"/>
        <w:jc w:val="left"/>
        <w:rPr>
          <w:rFonts w:ascii="Arial" w:hAnsi="Arial" w:cs="Arial"/>
          <w:sz w:val="20"/>
          <w:szCs w:val="20"/>
        </w:rPr>
      </w:pPr>
      <w:r w:rsidRPr="00275D77">
        <w:rPr>
          <w:rFonts w:ascii="Arial" w:hAnsi="Arial" w:cs="Arial"/>
          <w:sz w:val="20"/>
          <w:szCs w:val="20"/>
        </w:rPr>
        <w:t>Document prepared by the Office of the Union</w:t>
      </w:r>
    </w:p>
    <w:p w14:paraId="5556CA9A" w14:textId="77777777" w:rsidR="00546F10" w:rsidRPr="00275D77" w:rsidRDefault="00546F10" w:rsidP="00546F10">
      <w:pPr>
        <w:pStyle w:val="Disclaimer"/>
        <w:rPr>
          <w:rFonts w:cs="Arial"/>
        </w:rPr>
      </w:pPr>
      <w:r w:rsidRPr="00275D77">
        <w:rPr>
          <w:rFonts w:cs="Arial"/>
        </w:rPr>
        <w:t>Disclaimer:  this document does not represent UPOV policies or guidance</w:t>
      </w:r>
    </w:p>
    <w:p w14:paraId="7DA76848" w14:textId="77777777" w:rsidR="00546F10" w:rsidRPr="00275D77" w:rsidRDefault="00546F10" w:rsidP="00546F10">
      <w:pPr>
        <w:pStyle w:val="Heading1"/>
      </w:pPr>
      <w:bookmarkStart w:id="1" w:name="_Toc475955714"/>
      <w:bookmarkStart w:id="2" w:name="_Toc477186291"/>
      <w:bookmarkStart w:id="3" w:name="_Toc161136467"/>
      <w:r w:rsidRPr="00275D77">
        <w:t>EXECUTIVE SUMMARY</w:t>
      </w:r>
      <w:bookmarkEnd w:id="1"/>
      <w:bookmarkEnd w:id="2"/>
      <w:bookmarkEnd w:id="3"/>
    </w:p>
    <w:p w14:paraId="1A589968" w14:textId="77777777" w:rsidR="00546F10" w:rsidRPr="00275D77" w:rsidRDefault="00546F10" w:rsidP="00546F10">
      <w:pPr>
        <w:rPr>
          <w:rFonts w:cs="Arial"/>
          <w:color w:val="000000"/>
        </w:rPr>
      </w:pPr>
    </w:p>
    <w:p w14:paraId="5401D903" w14:textId="77777777" w:rsidR="00546F10" w:rsidRDefault="00546F10" w:rsidP="00546F10">
      <w:pPr>
        <w:rPr>
          <w:color w:val="000000"/>
        </w:rPr>
      </w:pPr>
      <w:r w:rsidRPr="00773EDC">
        <w:rPr>
          <w:color w:val="000000"/>
        </w:rPr>
        <w:fldChar w:fldCharType="begin"/>
      </w:r>
      <w:r w:rsidRPr="00275D77">
        <w:rPr>
          <w:color w:val="000000"/>
        </w:rPr>
        <w:instrText xml:space="preserve"> AUTONUM  </w:instrText>
      </w:r>
      <w:r w:rsidRPr="00773EDC">
        <w:rPr>
          <w:color w:val="000000"/>
        </w:rPr>
        <w:fldChar w:fldCharType="end"/>
      </w:r>
      <w:r w:rsidRPr="00275D77">
        <w:rPr>
          <w:rFonts w:cs="Arial"/>
          <w:color w:val="000000"/>
        </w:rPr>
        <w:tab/>
      </w:r>
      <w:bookmarkStart w:id="4" w:name="_Hlk160453979"/>
      <w:r w:rsidRPr="00275D77">
        <w:rPr>
          <w:color w:val="000000"/>
        </w:rPr>
        <w:t>The purpose of this document is to report on the following developments and plans concerning UPOV PRISMA</w:t>
      </w:r>
      <w:r>
        <w:rPr>
          <w:color w:val="000000"/>
        </w:rPr>
        <w:t xml:space="preserve">. </w:t>
      </w:r>
      <w:r>
        <w:rPr>
          <w:rFonts w:cs="Arial"/>
          <w:color w:val="000000"/>
        </w:rPr>
        <w:t xml:space="preserve"> </w:t>
      </w:r>
      <w:r w:rsidRPr="007264E9">
        <w:rPr>
          <w:color w:val="000000"/>
        </w:rPr>
        <w:t>In 2023, the volume of application data transferred via UPOV PRISMA amounted to 1,87</w:t>
      </w:r>
      <w:r>
        <w:rPr>
          <w:color w:val="000000"/>
        </w:rPr>
        <w:t>3</w:t>
      </w:r>
      <w:r w:rsidRPr="007264E9">
        <w:rPr>
          <w:color w:val="000000"/>
        </w:rPr>
        <w:t>, marking a 1.</w:t>
      </w:r>
      <w:r>
        <w:rPr>
          <w:color w:val="000000"/>
        </w:rPr>
        <w:t>78</w:t>
      </w:r>
      <w:r w:rsidRPr="007264E9">
        <w:rPr>
          <w:color w:val="000000"/>
        </w:rPr>
        <w:t xml:space="preserve">% decrease compared to 2022. </w:t>
      </w:r>
      <w:r>
        <w:rPr>
          <w:rFonts w:cs="Arial"/>
          <w:color w:val="000000"/>
        </w:rPr>
        <w:t xml:space="preserve"> </w:t>
      </w:r>
      <w:r w:rsidRPr="007264E9">
        <w:rPr>
          <w:color w:val="000000"/>
        </w:rPr>
        <w:t xml:space="preserve">Notably, the United Kingdom </w:t>
      </w:r>
      <w:r>
        <w:rPr>
          <w:color w:val="000000"/>
        </w:rPr>
        <w:t>received the highest number</w:t>
      </w:r>
      <w:r w:rsidRPr="007264E9">
        <w:rPr>
          <w:color w:val="000000"/>
        </w:rPr>
        <w:t xml:space="preserve"> of application</w:t>
      </w:r>
      <w:r>
        <w:rPr>
          <w:color w:val="000000"/>
        </w:rPr>
        <w:t>s</w:t>
      </w:r>
      <w:r w:rsidRPr="007264E9">
        <w:rPr>
          <w:color w:val="000000"/>
        </w:rPr>
        <w:t>, with 1,562 applications received in 2023 and 1,557 in 2022.</w:t>
      </w:r>
    </w:p>
    <w:p w14:paraId="65EF24B3" w14:textId="77777777" w:rsidR="00546F10" w:rsidRPr="007264E9" w:rsidRDefault="00546F10" w:rsidP="00546F10">
      <w:pPr>
        <w:rPr>
          <w:rFonts w:cs="Arial"/>
          <w:color w:val="000000"/>
        </w:rPr>
      </w:pPr>
    </w:p>
    <w:p w14:paraId="225FD45A" w14:textId="77777777" w:rsidR="00546F10" w:rsidRPr="00275D77" w:rsidRDefault="00546F10" w:rsidP="00546F10">
      <w:pPr>
        <w:rPr>
          <w:color w:val="000000"/>
        </w:rPr>
      </w:pPr>
      <w:r w:rsidRPr="00773EDC">
        <w:rPr>
          <w:color w:val="000000"/>
        </w:rPr>
        <w:fldChar w:fldCharType="begin"/>
      </w:r>
      <w:r w:rsidRPr="00275D77">
        <w:rPr>
          <w:color w:val="000000"/>
        </w:rPr>
        <w:instrText xml:space="preserve"> AUTONUM  </w:instrText>
      </w:r>
      <w:r w:rsidRPr="00773EDC">
        <w:rPr>
          <w:color w:val="000000"/>
        </w:rPr>
        <w:fldChar w:fldCharType="end"/>
      </w:r>
      <w:r w:rsidRPr="00275D77">
        <w:rPr>
          <w:rFonts w:cs="Arial"/>
          <w:color w:val="000000"/>
        </w:rPr>
        <w:tab/>
      </w:r>
      <w:r w:rsidRPr="007264E9">
        <w:rPr>
          <w:color w:val="000000"/>
        </w:rPr>
        <w:t xml:space="preserve">Scheduled for April 2024, Version 2.10 is set </w:t>
      </w:r>
      <w:r>
        <w:rPr>
          <w:color w:val="000000"/>
        </w:rPr>
        <w:t>for release</w:t>
      </w:r>
      <w:r w:rsidRPr="007264E9">
        <w:rPr>
          <w:color w:val="000000"/>
        </w:rPr>
        <w:t>, featuring the addition of two new authorities</w:t>
      </w:r>
      <w:r>
        <w:rPr>
          <w:rFonts w:cs="Arial"/>
          <w:color w:val="000000"/>
        </w:rPr>
        <w:t xml:space="preserve">:  </w:t>
      </w:r>
      <w:r w:rsidRPr="007264E9">
        <w:rPr>
          <w:color w:val="000000"/>
        </w:rPr>
        <w:t>Ghana and the Republic of Tanzania</w:t>
      </w:r>
      <w:r>
        <w:rPr>
          <w:rFonts w:cs="Arial"/>
          <w:color w:val="000000"/>
        </w:rPr>
        <w:t xml:space="preserve">, </w:t>
      </w:r>
      <w:r w:rsidRPr="007264E9">
        <w:rPr>
          <w:color w:val="000000"/>
        </w:rPr>
        <w:t xml:space="preserve">and the </w:t>
      </w:r>
      <w:r>
        <w:rPr>
          <w:rFonts w:cs="Arial"/>
          <w:color w:val="000000"/>
        </w:rPr>
        <w:t>extension</w:t>
      </w:r>
      <w:r w:rsidRPr="007264E9">
        <w:rPr>
          <w:color w:val="000000"/>
        </w:rPr>
        <w:t xml:space="preserve"> of crop coverage for four authorities: China, Morocco, Serbia and United States of America</w:t>
      </w:r>
      <w:r w:rsidRPr="007264E9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 </w:t>
      </w:r>
      <w:r w:rsidRPr="007264E9">
        <w:rPr>
          <w:rFonts w:cs="Arial"/>
          <w:color w:val="000000"/>
        </w:rPr>
        <w:t>Responding to user feedback from the UPOV</w:t>
      </w:r>
      <w:r>
        <w:rPr>
          <w:rFonts w:cs="Arial"/>
          <w:color w:val="000000"/>
        </w:rPr>
        <w:t> </w:t>
      </w:r>
      <w:r w:rsidRPr="007264E9">
        <w:rPr>
          <w:rFonts w:cs="Arial"/>
          <w:color w:val="000000"/>
        </w:rPr>
        <w:t>PRISMA Task Force, development is underway for Version 3.0, slated for release in 2025</w:t>
      </w:r>
      <w:r>
        <w:rPr>
          <w:color w:val="000000"/>
        </w:rPr>
        <w:t>.</w:t>
      </w:r>
    </w:p>
    <w:bookmarkEnd w:id="4"/>
    <w:p w14:paraId="516234B2" w14:textId="77777777" w:rsidR="00546F10" w:rsidRPr="00275D77" w:rsidRDefault="00546F10" w:rsidP="00546F10">
      <w:pPr>
        <w:rPr>
          <w:color w:val="000000"/>
        </w:rPr>
      </w:pPr>
    </w:p>
    <w:p w14:paraId="3F8C6CC0" w14:textId="77777777" w:rsidR="00546F10" w:rsidRPr="00275D77" w:rsidRDefault="00546F10" w:rsidP="00546F10">
      <w:pPr>
        <w:spacing w:after="240"/>
        <w:rPr>
          <w:color w:val="000000"/>
        </w:rPr>
      </w:pPr>
      <w:r w:rsidRPr="00773EDC">
        <w:rPr>
          <w:color w:val="000000"/>
        </w:rPr>
        <w:fldChar w:fldCharType="begin"/>
      </w:r>
      <w:r w:rsidRPr="00275D77">
        <w:rPr>
          <w:color w:val="000000"/>
        </w:rPr>
        <w:instrText xml:space="preserve"> AUTONUM  </w:instrText>
      </w:r>
      <w:r w:rsidRPr="00773EDC">
        <w:rPr>
          <w:color w:val="000000"/>
        </w:rPr>
        <w:fldChar w:fldCharType="end"/>
      </w:r>
      <w:r w:rsidRPr="00275D77">
        <w:rPr>
          <w:color w:val="000000"/>
        </w:rPr>
        <w:tab/>
        <w:t>The structure of this document is as follows:</w:t>
      </w:r>
    </w:p>
    <w:p w14:paraId="0934E4A9" w14:textId="77777777" w:rsidR="00546F10" w:rsidRDefault="00546F10" w:rsidP="00546F1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 w:rsidRPr="00786B8C">
        <w:rPr>
          <w:highlight w:val="yellow"/>
        </w:rPr>
        <w:fldChar w:fldCharType="begin"/>
      </w:r>
      <w:r w:rsidRPr="00275D77">
        <w:rPr>
          <w:highlight w:val="yellow"/>
        </w:rPr>
        <w:instrText xml:space="preserve"> TOC \o "1-3" \u </w:instrText>
      </w:r>
      <w:r w:rsidRPr="00786B8C">
        <w:rPr>
          <w:highlight w:val="yellow"/>
        </w:rPr>
        <w:fldChar w:fldCharType="separate"/>
      </w:r>
      <w:r>
        <w:t>EXECUTIVE SUMMARY</w:t>
      </w:r>
      <w:r>
        <w:tab/>
      </w:r>
      <w:r>
        <w:fldChar w:fldCharType="begin"/>
      </w:r>
      <w:r>
        <w:instrText xml:space="preserve"> PAGEREF _Toc161136467 \h </w:instrText>
      </w:r>
      <w:r>
        <w:fldChar w:fldCharType="separate"/>
      </w:r>
      <w:r>
        <w:t>1</w:t>
      </w:r>
      <w:r>
        <w:fldChar w:fldCharType="end"/>
      </w:r>
    </w:p>
    <w:p w14:paraId="4D34D1E1" w14:textId="77777777" w:rsidR="00546F10" w:rsidRDefault="00546F10" w:rsidP="00546F1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Use of UPOV PRISMA (as of February 29, 2024)</w:t>
      </w:r>
      <w:r>
        <w:tab/>
      </w:r>
      <w:r>
        <w:fldChar w:fldCharType="begin"/>
      </w:r>
      <w:r>
        <w:instrText xml:space="preserve"> PAGEREF _Toc161136468 \h </w:instrText>
      </w:r>
      <w:r>
        <w:fldChar w:fldCharType="separate"/>
      </w:r>
      <w:r>
        <w:t>1</w:t>
      </w:r>
      <w:r>
        <w:fldChar w:fldCharType="end"/>
      </w:r>
    </w:p>
    <w:p w14:paraId="7E647E33" w14:textId="77777777" w:rsidR="00546F10" w:rsidRPr="00546F10" w:rsidRDefault="00546F10" w:rsidP="00546F10">
      <w:pPr>
        <w:pStyle w:val="TOC2"/>
        <w:rPr>
          <w:rFonts w:asciiTheme="minorHAnsi" w:eastAsiaTheme="minorEastAsia" w:hAnsiTheme="minorHAnsi" w:cstheme="minorBidi"/>
          <w:kern w:val="2"/>
          <w:sz w:val="20"/>
          <w:szCs w:val="20"/>
          <w14:ligatures w14:val="standardContextual"/>
        </w:rPr>
      </w:pPr>
      <w:r w:rsidRPr="00546F10">
        <w:t>Number of submissions via UPOV PRISMA</w:t>
      </w:r>
      <w:r w:rsidRPr="00546F10">
        <w:tab/>
      </w:r>
      <w:r w:rsidRPr="00546F10">
        <w:fldChar w:fldCharType="begin"/>
      </w:r>
      <w:r w:rsidRPr="00546F10">
        <w:instrText xml:space="preserve"> PAGEREF _Toc161136469 \h </w:instrText>
      </w:r>
      <w:r w:rsidRPr="00546F10">
        <w:fldChar w:fldCharType="separate"/>
      </w:r>
      <w:r w:rsidRPr="00546F10">
        <w:t>1</w:t>
      </w:r>
      <w:r w:rsidRPr="00546F10">
        <w:fldChar w:fldCharType="end"/>
      </w:r>
    </w:p>
    <w:p w14:paraId="704A6615" w14:textId="77777777" w:rsidR="00546F10" w:rsidRPr="00546F10" w:rsidRDefault="00546F10" w:rsidP="00546F10">
      <w:pPr>
        <w:pStyle w:val="TOC2"/>
        <w:rPr>
          <w:rFonts w:asciiTheme="minorHAnsi" w:eastAsiaTheme="minorEastAsia" w:hAnsiTheme="minorHAnsi" w:cstheme="minorBidi"/>
          <w:kern w:val="2"/>
          <w:sz w:val="20"/>
          <w:szCs w:val="20"/>
          <w14:ligatures w14:val="standardContextual"/>
        </w:rPr>
      </w:pPr>
      <w:r w:rsidRPr="00546F10">
        <w:t>Number of submissions by participating Authority in UPOV PRISMA</w:t>
      </w:r>
      <w:r w:rsidRPr="00546F10">
        <w:tab/>
      </w:r>
      <w:r w:rsidRPr="00546F10">
        <w:fldChar w:fldCharType="begin"/>
      </w:r>
      <w:r w:rsidRPr="00546F10">
        <w:instrText xml:space="preserve"> PAGEREF _Toc161136470 \h </w:instrText>
      </w:r>
      <w:r w:rsidRPr="00546F10">
        <w:fldChar w:fldCharType="separate"/>
      </w:r>
      <w:r w:rsidRPr="00546F10">
        <w:t>2</w:t>
      </w:r>
      <w:r w:rsidRPr="00546F10">
        <w:fldChar w:fldCharType="end"/>
      </w:r>
    </w:p>
    <w:p w14:paraId="713B21B2" w14:textId="77777777" w:rsidR="00546F10" w:rsidRDefault="00546F10" w:rsidP="00546F1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Launch of Version 2.10 (April 2024)</w:t>
      </w:r>
      <w:r>
        <w:tab/>
      </w:r>
      <w:r>
        <w:fldChar w:fldCharType="begin"/>
      </w:r>
      <w:r>
        <w:instrText xml:space="preserve"> PAGEREF _Toc161136471 \h </w:instrText>
      </w:r>
      <w:r>
        <w:fldChar w:fldCharType="separate"/>
      </w:r>
      <w:r>
        <w:t>3</w:t>
      </w:r>
      <w:r>
        <w:fldChar w:fldCharType="end"/>
      </w:r>
    </w:p>
    <w:p w14:paraId="0488A36D" w14:textId="77777777" w:rsidR="00546F10" w:rsidRDefault="00546F10" w:rsidP="00546F1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Crop coverage</w:t>
      </w:r>
      <w:r>
        <w:tab/>
      </w:r>
      <w:r>
        <w:fldChar w:fldCharType="begin"/>
      </w:r>
      <w:r>
        <w:instrText xml:space="preserve"> PAGEREF _Toc161136472 \h </w:instrText>
      </w:r>
      <w:r>
        <w:fldChar w:fldCharType="separate"/>
      </w:r>
      <w:r>
        <w:t>3</w:t>
      </w:r>
      <w:r>
        <w:fldChar w:fldCharType="end"/>
      </w:r>
    </w:p>
    <w:p w14:paraId="08F24685" w14:textId="77777777" w:rsidR="00546F10" w:rsidRDefault="00546F10" w:rsidP="00546F1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Functionalities</w:t>
      </w:r>
      <w:r>
        <w:tab/>
      </w:r>
      <w:r>
        <w:fldChar w:fldCharType="begin"/>
      </w:r>
      <w:r>
        <w:instrText xml:space="preserve"> PAGEREF _Toc161136473 \h </w:instrText>
      </w:r>
      <w:r>
        <w:fldChar w:fldCharType="separate"/>
      </w:r>
      <w:r>
        <w:t>5</w:t>
      </w:r>
      <w:r>
        <w:fldChar w:fldCharType="end"/>
      </w:r>
    </w:p>
    <w:p w14:paraId="51881F74" w14:textId="77777777" w:rsidR="00546F10" w:rsidRDefault="00546F10" w:rsidP="00546F1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Other developments</w:t>
      </w:r>
      <w:r>
        <w:tab/>
      </w:r>
      <w:r>
        <w:fldChar w:fldCharType="begin"/>
      </w:r>
      <w:r>
        <w:instrText xml:space="preserve"> PAGEREF _Toc161136474 \h </w:instrText>
      </w:r>
      <w:r>
        <w:fldChar w:fldCharType="separate"/>
      </w:r>
      <w:r>
        <w:t>5</w:t>
      </w:r>
      <w:r>
        <w:fldChar w:fldCharType="end"/>
      </w:r>
    </w:p>
    <w:p w14:paraId="6E2B7563" w14:textId="77777777" w:rsidR="00546F10" w:rsidRDefault="00546F10" w:rsidP="00546F1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IT Quality Software Audit</w:t>
      </w:r>
      <w:r>
        <w:tab/>
      </w:r>
      <w:r>
        <w:fldChar w:fldCharType="begin"/>
      </w:r>
      <w:r>
        <w:instrText xml:space="preserve"> PAGEREF _Toc161136475 \h </w:instrText>
      </w:r>
      <w:r>
        <w:fldChar w:fldCharType="separate"/>
      </w:r>
      <w:r>
        <w:t>5</w:t>
      </w:r>
      <w:r>
        <w:fldChar w:fldCharType="end"/>
      </w:r>
    </w:p>
    <w:p w14:paraId="1443456A" w14:textId="77777777" w:rsidR="00546F10" w:rsidRDefault="00546F10" w:rsidP="00546F1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Improvement of user-friendliness of UPOV PRISMA</w:t>
      </w:r>
      <w:r>
        <w:tab/>
      </w:r>
      <w:r>
        <w:fldChar w:fldCharType="begin"/>
      </w:r>
      <w:r>
        <w:instrText xml:space="preserve"> PAGEREF _Toc161136476 \h </w:instrText>
      </w:r>
      <w:r>
        <w:fldChar w:fldCharType="separate"/>
      </w:r>
      <w:r>
        <w:t>5</w:t>
      </w:r>
      <w:r>
        <w:fldChar w:fldCharType="end"/>
      </w:r>
    </w:p>
    <w:p w14:paraId="73CA9D17" w14:textId="77777777" w:rsidR="00546F10" w:rsidRDefault="00546F10" w:rsidP="00546F1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CPVO Synchronization</w:t>
      </w:r>
      <w:r>
        <w:tab/>
      </w:r>
      <w:r>
        <w:fldChar w:fldCharType="begin"/>
      </w:r>
      <w:r>
        <w:instrText xml:space="preserve"> PAGEREF _Toc161136477 \h </w:instrText>
      </w:r>
      <w:r>
        <w:fldChar w:fldCharType="separate"/>
      </w:r>
      <w:r>
        <w:t>6</w:t>
      </w:r>
      <w:r>
        <w:fldChar w:fldCharType="end"/>
      </w:r>
    </w:p>
    <w:p w14:paraId="3EF9744A" w14:textId="77777777" w:rsidR="00546F10" w:rsidRDefault="00546F10" w:rsidP="00546F1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Plans for Version 3.0</w:t>
      </w:r>
      <w:r>
        <w:tab/>
      </w:r>
      <w:r>
        <w:fldChar w:fldCharType="begin"/>
      </w:r>
      <w:r>
        <w:instrText xml:space="preserve"> PAGEREF _Toc161136478 \h </w:instrText>
      </w:r>
      <w:r>
        <w:fldChar w:fldCharType="separate"/>
      </w:r>
      <w:r>
        <w:t>6</w:t>
      </w:r>
      <w:r>
        <w:fldChar w:fldCharType="end"/>
      </w:r>
    </w:p>
    <w:p w14:paraId="02EF1B52" w14:textId="77777777" w:rsidR="00546F10" w:rsidRDefault="00546F10" w:rsidP="00546F1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Release of Version 3.0</w:t>
      </w:r>
      <w:r>
        <w:tab/>
      </w:r>
      <w:r>
        <w:fldChar w:fldCharType="begin"/>
      </w:r>
      <w:r>
        <w:instrText xml:space="preserve"> PAGEREF _Toc161136479 \h </w:instrText>
      </w:r>
      <w:r>
        <w:fldChar w:fldCharType="separate"/>
      </w:r>
      <w:r>
        <w:t>6</w:t>
      </w:r>
      <w:r>
        <w:fldChar w:fldCharType="end"/>
      </w:r>
    </w:p>
    <w:p w14:paraId="29F7C380" w14:textId="77777777" w:rsidR="00546F10" w:rsidRDefault="00546F10" w:rsidP="00546F1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Crop Coverage</w:t>
      </w:r>
      <w:r>
        <w:tab/>
      </w:r>
      <w:r>
        <w:fldChar w:fldCharType="begin"/>
      </w:r>
      <w:r>
        <w:instrText xml:space="preserve"> PAGEREF _Toc161136480 \h </w:instrText>
      </w:r>
      <w:r>
        <w:fldChar w:fldCharType="separate"/>
      </w:r>
      <w:r>
        <w:t>6</w:t>
      </w:r>
      <w:r>
        <w:fldChar w:fldCharType="end"/>
      </w:r>
    </w:p>
    <w:p w14:paraId="2113CD83" w14:textId="77777777" w:rsidR="00546F10" w:rsidRDefault="00546F10" w:rsidP="00546F1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Functionalities</w:t>
      </w:r>
      <w:r>
        <w:tab/>
      </w:r>
      <w:r>
        <w:fldChar w:fldCharType="begin"/>
      </w:r>
      <w:r>
        <w:instrText xml:space="preserve"> PAGEREF _Toc161136481 \h </w:instrText>
      </w:r>
      <w:r>
        <w:fldChar w:fldCharType="separate"/>
      </w:r>
      <w:r>
        <w:t>6</w:t>
      </w:r>
      <w:r>
        <w:fldChar w:fldCharType="end"/>
      </w:r>
    </w:p>
    <w:p w14:paraId="0FBFD410" w14:textId="77777777" w:rsidR="00546F10" w:rsidRDefault="00546F10" w:rsidP="00546F1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Possible FUTURE developments</w:t>
      </w:r>
      <w:r>
        <w:tab/>
      </w:r>
      <w:r>
        <w:fldChar w:fldCharType="begin"/>
      </w:r>
      <w:r>
        <w:instrText xml:space="preserve"> PAGEREF _Toc161136482 \h </w:instrText>
      </w:r>
      <w:r>
        <w:fldChar w:fldCharType="separate"/>
      </w:r>
      <w:r>
        <w:t>7</w:t>
      </w:r>
      <w:r>
        <w:fldChar w:fldCharType="end"/>
      </w:r>
    </w:p>
    <w:p w14:paraId="4D372980" w14:textId="77777777" w:rsidR="00546F10" w:rsidRDefault="00546F10" w:rsidP="00546F1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User-friendliness of the tool</w:t>
      </w:r>
      <w:r>
        <w:tab/>
      </w:r>
      <w:r>
        <w:fldChar w:fldCharType="begin"/>
      </w:r>
      <w:r>
        <w:instrText xml:space="preserve"> PAGEREF _Toc161136483 \h </w:instrText>
      </w:r>
      <w:r>
        <w:fldChar w:fldCharType="separate"/>
      </w:r>
      <w:r>
        <w:t>7</w:t>
      </w:r>
      <w:r>
        <w:fldChar w:fldCharType="end"/>
      </w:r>
    </w:p>
    <w:p w14:paraId="583FFC79" w14:textId="77777777" w:rsidR="00546F10" w:rsidRDefault="00546F10" w:rsidP="00546F1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New functionalities</w:t>
      </w:r>
      <w:r>
        <w:tab/>
      </w:r>
      <w:r>
        <w:fldChar w:fldCharType="begin"/>
      </w:r>
      <w:r>
        <w:instrText xml:space="preserve"> PAGEREF _Toc161136484 \h </w:instrText>
      </w:r>
      <w:r>
        <w:fldChar w:fldCharType="separate"/>
      </w:r>
      <w:r>
        <w:t>7</w:t>
      </w:r>
      <w:r>
        <w:fldChar w:fldCharType="end"/>
      </w:r>
    </w:p>
    <w:p w14:paraId="29C59A28" w14:textId="5B53B45B" w:rsidR="00546F10" w:rsidRPr="00275D77" w:rsidRDefault="00546F10" w:rsidP="00546F10">
      <w:pPr>
        <w:pStyle w:val="Heading1"/>
      </w:pPr>
      <w:r w:rsidRPr="00786B8C">
        <w:rPr>
          <w:highlight w:val="yellow"/>
        </w:rPr>
        <w:fldChar w:fldCharType="end"/>
      </w:r>
      <w:bookmarkStart w:id="5" w:name="_Toc12956118"/>
      <w:bookmarkStart w:id="6" w:name="_Toc84968135"/>
      <w:bookmarkStart w:id="7" w:name="_Toc108791951"/>
      <w:bookmarkStart w:id="8" w:name="_Toc108792136"/>
      <w:bookmarkStart w:id="9" w:name="_Toc108792252"/>
      <w:bookmarkStart w:id="10" w:name="_Toc108792327"/>
      <w:bookmarkStart w:id="11" w:name="_Toc109028293"/>
      <w:bookmarkStart w:id="12" w:name="_Toc161136468"/>
      <w:r w:rsidRPr="00275D77">
        <w:t>Use of UPOV </w:t>
      </w:r>
      <w:r w:rsidRPr="00E13DD4">
        <w:t>PRISMA</w:t>
      </w:r>
      <w:bookmarkEnd w:id="5"/>
      <w:r w:rsidRPr="00E13DD4">
        <w:t xml:space="preserve"> (as of</w:t>
      </w:r>
      <w:r w:rsidRPr="00786B8C">
        <w:t xml:space="preserve"> February 29</w:t>
      </w:r>
      <w:r w:rsidRPr="00E13DD4">
        <w:t>, 202</w:t>
      </w:r>
      <w:r>
        <w:t>4</w:t>
      </w:r>
      <w:r w:rsidRPr="00E13DD4">
        <w:t>)</w:t>
      </w:r>
      <w:bookmarkEnd w:id="6"/>
      <w:bookmarkEnd w:id="7"/>
      <w:bookmarkEnd w:id="8"/>
      <w:bookmarkEnd w:id="9"/>
      <w:bookmarkEnd w:id="10"/>
      <w:bookmarkEnd w:id="11"/>
      <w:bookmarkEnd w:id="12"/>
    </w:p>
    <w:p w14:paraId="1CB7AF19" w14:textId="77777777" w:rsidR="00546F10" w:rsidRPr="00275D77" w:rsidRDefault="00546F10" w:rsidP="00546F10">
      <w:pPr>
        <w:rPr>
          <w:rFonts w:cs="Arial"/>
        </w:rPr>
      </w:pPr>
    </w:p>
    <w:p w14:paraId="4DC51F42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Information on the use of UPOV PRISMA is provided below:</w:t>
      </w:r>
    </w:p>
    <w:p w14:paraId="1E4D0444" w14:textId="77777777" w:rsidR="00546F10" w:rsidRPr="00275D77" w:rsidRDefault="00546F10" w:rsidP="00546F10">
      <w:pPr>
        <w:rPr>
          <w:rFonts w:cs="Arial"/>
        </w:rPr>
      </w:pPr>
    </w:p>
    <w:p w14:paraId="0BA95DA7" w14:textId="77777777" w:rsidR="00546F10" w:rsidRPr="00275D77" w:rsidRDefault="00546F10" w:rsidP="00546F10">
      <w:pPr>
        <w:pStyle w:val="Heading2"/>
      </w:pPr>
      <w:bookmarkStart w:id="13" w:name="_Toc84968136"/>
      <w:bookmarkStart w:id="14" w:name="_Toc108791952"/>
      <w:bookmarkStart w:id="15" w:name="_Toc108792137"/>
      <w:bookmarkStart w:id="16" w:name="_Toc108792253"/>
      <w:bookmarkStart w:id="17" w:name="_Toc108792328"/>
      <w:bookmarkStart w:id="18" w:name="_Toc109028294"/>
      <w:bookmarkStart w:id="19" w:name="_Toc161136469"/>
      <w:r w:rsidRPr="00275D77">
        <w:t>Number of submissions via UPOV PRISMA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7B7A84F0" w14:textId="77777777" w:rsidR="00546F10" w:rsidRPr="00275D77" w:rsidRDefault="00546F10" w:rsidP="00546F10">
      <w:pPr>
        <w:keepNext/>
        <w:rPr>
          <w:rFonts w:cs="Arial"/>
        </w:rPr>
      </w:pPr>
    </w:p>
    <w:tbl>
      <w:tblPr>
        <w:tblStyle w:val="TableGrid"/>
        <w:tblW w:w="0" w:type="auto"/>
        <w:tblInd w:w="56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86"/>
        <w:gridCol w:w="737"/>
        <w:gridCol w:w="737"/>
        <w:gridCol w:w="737"/>
        <w:gridCol w:w="737"/>
        <w:gridCol w:w="737"/>
        <w:gridCol w:w="737"/>
        <w:gridCol w:w="737"/>
      </w:tblGrid>
      <w:tr w:rsidR="00546F10" w:rsidRPr="009A1B0C" w14:paraId="6C7411D9" w14:textId="77777777" w:rsidTr="00B61103">
        <w:trPr>
          <w:cantSplit/>
          <w:tblHeader/>
        </w:trPr>
        <w:tc>
          <w:tcPr>
            <w:tcW w:w="1050" w:type="dxa"/>
            <w:shd w:val="clear" w:color="auto" w:fill="F2F2F2" w:themeFill="background1" w:themeFillShade="F2"/>
          </w:tcPr>
          <w:p w14:paraId="264AF103" w14:textId="77777777" w:rsidR="00546F10" w:rsidRPr="00786B8C" w:rsidRDefault="00546F10" w:rsidP="00B61103">
            <w:pPr>
              <w:jc w:val="left"/>
              <w:rPr>
                <w:sz w:val="18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</w:tcPr>
          <w:p w14:paraId="240CC374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trike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2017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14:paraId="18B2F7EF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2018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14:paraId="24DE478B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2019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14:paraId="7E6B706A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2020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14:paraId="7AC4994D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2021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14:paraId="633A167B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2022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14:paraId="467D6219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2023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14:paraId="532924C2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2024</w:t>
            </w:r>
          </w:p>
        </w:tc>
      </w:tr>
      <w:tr w:rsidR="00546F10" w:rsidRPr="009A1B0C" w14:paraId="608BAA7F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3BDD96D6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t>January</w:t>
            </w:r>
          </w:p>
        </w:tc>
        <w:tc>
          <w:tcPr>
            <w:tcW w:w="686" w:type="dxa"/>
          </w:tcPr>
          <w:p w14:paraId="3EF063E3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1</w:t>
            </w:r>
          </w:p>
        </w:tc>
        <w:tc>
          <w:tcPr>
            <w:tcW w:w="737" w:type="dxa"/>
          </w:tcPr>
          <w:p w14:paraId="2734D4A2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-</w:t>
            </w:r>
          </w:p>
        </w:tc>
        <w:tc>
          <w:tcPr>
            <w:tcW w:w="737" w:type="dxa"/>
          </w:tcPr>
          <w:p w14:paraId="30CE042C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7</w:t>
            </w:r>
          </w:p>
        </w:tc>
        <w:tc>
          <w:tcPr>
            <w:tcW w:w="737" w:type="dxa"/>
          </w:tcPr>
          <w:p w14:paraId="6A82E419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18</w:t>
            </w:r>
          </w:p>
        </w:tc>
        <w:tc>
          <w:tcPr>
            <w:tcW w:w="737" w:type="dxa"/>
          </w:tcPr>
          <w:p w14:paraId="3A75844D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107</w:t>
            </w:r>
          </w:p>
        </w:tc>
        <w:tc>
          <w:tcPr>
            <w:tcW w:w="737" w:type="dxa"/>
          </w:tcPr>
          <w:p w14:paraId="4961430E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232</w:t>
            </w:r>
          </w:p>
        </w:tc>
        <w:tc>
          <w:tcPr>
            <w:tcW w:w="737" w:type="dxa"/>
          </w:tcPr>
          <w:p w14:paraId="33565C0F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206</w:t>
            </w:r>
          </w:p>
        </w:tc>
        <w:tc>
          <w:tcPr>
            <w:tcW w:w="737" w:type="dxa"/>
          </w:tcPr>
          <w:p w14:paraId="13167B7A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235</w:t>
            </w:r>
          </w:p>
        </w:tc>
      </w:tr>
      <w:tr w:rsidR="00546F10" w:rsidRPr="009A1B0C" w14:paraId="295E987C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6918A64C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t>February</w:t>
            </w:r>
          </w:p>
        </w:tc>
        <w:tc>
          <w:tcPr>
            <w:tcW w:w="686" w:type="dxa"/>
          </w:tcPr>
          <w:p w14:paraId="71B09B7B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-</w:t>
            </w:r>
          </w:p>
        </w:tc>
        <w:tc>
          <w:tcPr>
            <w:tcW w:w="737" w:type="dxa"/>
          </w:tcPr>
          <w:p w14:paraId="1F49B0C7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3</w:t>
            </w:r>
          </w:p>
        </w:tc>
        <w:tc>
          <w:tcPr>
            <w:tcW w:w="737" w:type="dxa"/>
          </w:tcPr>
          <w:p w14:paraId="690F75C4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9</w:t>
            </w:r>
          </w:p>
        </w:tc>
        <w:tc>
          <w:tcPr>
            <w:tcW w:w="737" w:type="dxa"/>
          </w:tcPr>
          <w:p w14:paraId="1125D83E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5</w:t>
            </w:r>
          </w:p>
        </w:tc>
        <w:tc>
          <w:tcPr>
            <w:tcW w:w="737" w:type="dxa"/>
          </w:tcPr>
          <w:p w14:paraId="73E5758C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107</w:t>
            </w:r>
          </w:p>
        </w:tc>
        <w:tc>
          <w:tcPr>
            <w:tcW w:w="737" w:type="dxa"/>
          </w:tcPr>
          <w:p w14:paraId="44DB7073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95</w:t>
            </w:r>
          </w:p>
        </w:tc>
        <w:tc>
          <w:tcPr>
            <w:tcW w:w="737" w:type="dxa"/>
          </w:tcPr>
          <w:p w14:paraId="3175B788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107</w:t>
            </w:r>
          </w:p>
        </w:tc>
        <w:tc>
          <w:tcPr>
            <w:tcW w:w="737" w:type="dxa"/>
          </w:tcPr>
          <w:p w14:paraId="0C0EA863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122</w:t>
            </w:r>
          </w:p>
        </w:tc>
      </w:tr>
      <w:tr w:rsidR="00546F10" w:rsidRPr="009A1B0C" w14:paraId="1F6DE3C4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2D0CA191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t>March</w:t>
            </w:r>
          </w:p>
        </w:tc>
        <w:tc>
          <w:tcPr>
            <w:tcW w:w="686" w:type="dxa"/>
          </w:tcPr>
          <w:p w14:paraId="589F0D51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2</w:t>
            </w:r>
          </w:p>
        </w:tc>
        <w:tc>
          <w:tcPr>
            <w:tcW w:w="737" w:type="dxa"/>
          </w:tcPr>
          <w:p w14:paraId="68CECDDD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3</w:t>
            </w:r>
          </w:p>
        </w:tc>
        <w:tc>
          <w:tcPr>
            <w:tcW w:w="737" w:type="dxa"/>
          </w:tcPr>
          <w:p w14:paraId="60BC97A3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6</w:t>
            </w:r>
          </w:p>
        </w:tc>
        <w:tc>
          <w:tcPr>
            <w:tcW w:w="737" w:type="dxa"/>
          </w:tcPr>
          <w:p w14:paraId="3E1227D3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21</w:t>
            </w:r>
          </w:p>
        </w:tc>
        <w:tc>
          <w:tcPr>
            <w:tcW w:w="737" w:type="dxa"/>
          </w:tcPr>
          <w:p w14:paraId="598E9ACC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67</w:t>
            </w:r>
          </w:p>
        </w:tc>
        <w:tc>
          <w:tcPr>
            <w:tcW w:w="737" w:type="dxa"/>
          </w:tcPr>
          <w:p w14:paraId="4ED57972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121</w:t>
            </w:r>
          </w:p>
        </w:tc>
        <w:tc>
          <w:tcPr>
            <w:tcW w:w="737" w:type="dxa"/>
          </w:tcPr>
          <w:p w14:paraId="6EA0F57C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54</w:t>
            </w:r>
          </w:p>
        </w:tc>
        <w:tc>
          <w:tcPr>
            <w:tcW w:w="737" w:type="dxa"/>
          </w:tcPr>
          <w:p w14:paraId="2FF6858B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</w:p>
        </w:tc>
      </w:tr>
      <w:tr w:rsidR="00546F10" w:rsidRPr="009A1B0C" w14:paraId="655FB4D9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55C78781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lastRenderedPageBreak/>
              <w:t>April</w:t>
            </w:r>
          </w:p>
        </w:tc>
        <w:tc>
          <w:tcPr>
            <w:tcW w:w="686" w:type="dxa"/>
          </w:tcPr>
          <w:p w14:paraId="62A64DA2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-</w:t>
            </w:r>
          </w:p>
        </w:tc>
        <w:tc>
          <w:tcPr>
            <w:tcW w:w="737" w:type="dxa"/>
          </w:tcPr>
          <w:p w14:paraId="20FD1DAA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3</w:t>
            </w:r>
          </w:p>
        </w:tc>
        <w:tc>
          <w:tcPr>
            <w:tcW w:w="737" w:type="dxa"/>
          </w:tcPr>
          <w:p w14:paraId="2967C61F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22</w:t>
            </w:r>
          </w:p>
        </w:tc>
        <w:tc>
          <w:tcPr>
            <w:tcW w:w="737" w:type="dxa"/>
          </w:tcPr>
          <w:p w14:paraId="0D28520E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11</w:t>
            </w:r>
          </w:p>
        </w:tc>
        <w:tc>
          <w:tcPr>
            <w:tcW w:w="737" w:type="dxa"/>
          </w:tcPr>
          <w:p w14:paraId="5EE09ECD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105</w:t>
            </w:r>
          </w:p>
        </w:tc>
        <w:tc>
          <w:tcPr>
            <w:tcW w:w="737" w:type="dxa"/>
          </w:tcPr>
          <w:p w14:paraId="6A3915C2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96</w:t>
            </w:r>
          </w:p>
        </w:tc>
        <w:tc>
          <w:tcPr>
            <w:tcW w:w="737" w:type="dxa"/>
          </w:tcPr>
          <w:p w14:paraId="2B0493E9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102</w:t>
            </w:r>
          </w:p>
        </w:tc>
        <w:tc>
          <w:tcPr>
            <w:tcW w:w="737" w:type="dxa"/>
          </w:tcPr>
          <w:p w14:paraId="69AB22B7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</w:p>
        </w:tc>
      </w:tr>
      <w:tr w:rsidR="00546F10" w:rsidRPr="009A1B0C" w14:paraId="79AF2626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23A9D807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t>May</w:t>
            </w:r>
          </w:p>
        </w:tc>
        <w:tc>
          <w:tcPr>
            <w:tcW w:w="686" w:type="dxa"/>
          </w:tcPr>
          <w:p w14:paraId="45D14D4C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1</w:t>
            </w:r>
          </w:p>
        </w:tc>
        <w:tc>
          <w:tcPr>
            <w:tcW w:w="737" w:type="dxa"/>
          </w:tcPr>
          <w:p w14:paraId="098F44C3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1</w:t>
            </w:r>
          </w:p>
        </w:tc>
        <w:tc>
          <w:tcPr>
            <w:tcW w:w="737" w:type="dxa"/>
          </w:tcPr>
          <w:p w14:paraId="584DB2BF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33</w:t>
            </w:r>
          </w:p>
        </w:tc>
        <w:tc>
          <w:tcPr>
            <w:tcW w:w="737" w:type="dxa"/>
          </w:tcPr>
          <w:p w14:paraId="37CF3549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11</w:t>
            </w:r>
          </w:p>
        </w:tc>
        <w:tc>
          <w:tcPr>
            <w:tcW w:w="737" w:type="dxa"/>
          </w:tcPr>
          <w:p w14:paraId="233BFA94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65</w:t>
            </w:r>
          </w:p>
        </w:tc>
        <w:tc>
          <w:tcPr>
            <w:tcW w:w="737" w:type="dxa"/>
          </w:tcPr>
          <w:p w14:paraId="4F08B710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67</w:t>
            </w:r>
          </w:p>
        </w:tc>
        <w:tc>
          <w:tcPr>
            <w:tcW w:w="737" w:type="dxa"/>
          </w:tcPr>
          <w:p w14:paraId="1C63BC9A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123</w:t>
            </w:r>
          </w:p>
        </w:tc>
        <w:tc>
          <w:tcPr>
            <w:tcW w:w="737" w:type="dxa"/>
          </w:tcPr>
          <w:p w14:paraId="394726FA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</w:p>
        </w:tc>
      </w:tr>
      <w:tr w:rsidR="00546F10" w:rsidRPr="009A1B0C" w14:paraId="76941FA4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4F577E22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t>June</w:t>
            </w:r>
          </w:p>
        </w:tc>
        <w:tc>
          <w:tcPr>
            <w:tcW w:w="686" w:type="dxa"/>
          </w:tcPr>
          <w:p w14:paraId="6A8EC1C7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-</w:t>
            </w:r>
          </w:p>
        </w:tc>
        <w:tc>
          <w:tcPr>
            <w:tcW w:w="737" w:type="dxa"/>
          </w:tcPr>
          <w:p w14:paraId="01ACF0EC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7</w:t>
            </w:r>
          </w:p>
        </w:tc>
        <w:tc>
          <w:tcPr>
            <w:tcW w:w="737" w:type="dxa"/>
          </w:tcPr>
          <w:p w14:paraId="62A34A59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10</w:t>
            </w:r>
          </w:p>
        </w:tc>
        <w:tc>
          <w:tcPr>
            <w:tcW w:w="737" w:type="dxa"/>
          </w:tcPr>
          <w:p w14:paraId="2D683684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18</w:t>
            </w:r>
          </w:p>
        </w:tc>
        <w:tc>
          <w:tcPr>
            <w:tcW w:w="737" w:type="dxa"/>
          </w:tcPr>
          <w:p w14:paraId="12002BF0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819</w:t>
            </w:r>
          </w:p>
        </w:tc>
        <w:tc>
          <w:tcPr>
            <w:tcW w:w="737" w:type="dxa"/>
          </w:tcPr>
          <w:p w14:paraId="2BA262B1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78</w:t>
            </w:r>
          </w:p>
        </w:tc>
        <w:tc>
          <w:tcPr>
            <w:tcW w:w="737" w:type="dxa"/>
          </w:tcPr>
          <w:p w14:paraId="0FB0E53D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59</w:t>
            </w:r>
          </w:p>
        </w:tc>
        <w:tc>
          <w:tcPr>
            <w:tcW w:w="737" w:type="dxa"/>
          </w:tcPr>
          <w:p w14:paraId="10570CD6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</w:p>
        </w:tc>
      </w:tr>
      <w:tr w:rsidR="00546F10" w:rsidRPr="009A1B0C" w14:paraId="27250DDE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2B8ED5BC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t>July</w:t>
            </w:r>
          </w:p>
        </w:tc>
        <w:tc>
          <w:tcPr>
            <w:tcW w:w="686" w:type="dxa"/>
          </w:tcPr>
          <w:p w14:paraId="21AA4A37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-</w:t>
            </w:r>
          </w:p>
        </w:tc>
        <w:tc>
          <w:tcPr>
            <w:tcW w:w="737" w:type="dxa"/>
          </w:tcPr>
          <w:p w14:paraId="1CEDED4F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7</w:t>
            </w:r>
          </w:p>
        </w:tc>
        <w:tc>
          <w:tcPr>
            <w:tcW w:w="737" w:type="dxa"/>
          </w:tcPr>
          <w:p w14:paraId="6EB5B48E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3</w:t>
            </w:r>
          </w:p>
        </w:tc>
        <w:tc>
          <w:tcPr>
            <w:tcW w:w="737" w:type="dxa"/>
          </w:tcPr>
          <w:p w14:paraId="4BDCA904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9</w:t>
            </w:r>
          </w:p>
        </w:tc>
        <w:tc>
          <w:tcPr>
            <w:tcW w:w="737" w:type="dxa"/>
          </w:tcPr>
          <w:p w14:paraId="6B4CDAFD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58</w:t>
            </w:r>
          </w:p>
        </w:tc>
        <w:tc>
          <w:tcPr>
            <w:tcW w:w="737" w:type="dxa"/>
            <w:shd w:val="clear" w:color="auto" w:fill="auto"/>
          </w:tcPr>
          <w:p w14:paraId="7E7A0242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83</w:t>
            </w:r>
          </w:p>
        </w:tc>
        <w:tc>
          <w:tcPr>
            <w:tcW w:w="737" w:type="dxa"/>
          </w:tcPr>
          <w:p w14:paraId="29B5A2FA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57</w:t>
            </w:r>
          </w:p>
        </w:tc>
        <w:tc>
          <w:tcPr>
            <w:tcW w:w="737" w:type="dxa"/>
          </w:tcPr>
          <w:p w14:paraId="383A142F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</w:p>
        </w:tc>
      </w:tr>
      <w:tr w:rsidR="00546F10" w:rsidRPr="009A1B0C" w14:paraId="7A3EAD98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5391B95E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t>August</w:t>
            </w:r>
          </w:p>
        </w:tc>
        <w:tc>
          <w:tcPr>
            <w:tcW w:w="686" w:type="dxa"/>
          </w:tcPr>
          <w:p w14:paraId="18811C13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-</w:t>
            </w:r>
          </w:p>
        </w:tc>
        <w:tc>
          <w:tcPr>
            <w:tcW w:w="737" w:type="dxa"/>
          </w:tcPr>
          <w:p w14:paraId="2C1EBEF9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1</w:t>
            </w:r>
          </w:p>
        </w:tc>
        <w:tc>
          <w:tcPr>
            <w:tcW w:w="737" w:type="dxa"/>
          </w:tcPr>
          <w:p w14:paraId="32912788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7</w:t>
            </w:r>
          </w:p>
        </w:tc>
        <w:tc>
          <w:tcPr>
            <w:tcW w:w="737" w:type="dxa"/>
          </w:tcPr>
          <w:p w14:paraId="05A6546B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11</w:t>
            </w:r>
          </w:p>
        </w:tc>
        <w:tc>
          <w:tcPr>
            <w:tcW w:w="737" w:type="dxa"/>
          </w:tcPr>
          <w:p w14:paraId="59012F56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379</w:t>
            </w:r>
          </w:p>
        </w:tc>
        <w:tc>
          <w:tcPr>
            <w:tcW w:w="737" w:type="dxa"/>
            <w:shd w:val="clear" w:color="auto" w:fill="auto"/>
          </w:tcPr>
          <w:p w14:paraId="1D81E55D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435</w:t>
            </w:r>
          </w:p>
        </w:tc>
        <w:tc>
          <w:tcPr>
            <w:tcW w:w="737" w:type="dxa"/>
          </w:tcPr>
          <w:p w14:paraId="1B48E293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442</w:t>
            </w:r>
          </w:p>
        </w:tc>
        <w:tc>
          <w:tcPr>
            <w:tcW w:w="737" w:type="dxa"/>
          </w:tcPr>
          <w:p w14:paraId="5628E74F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</w:p>
        </w:tc>
      </w:tr>
      <w:tr w:rsidR="00546F10" w:rsidRPr="009A1B0C" w14:paraId="70E514EB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51968FA3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t>September</w:t>
            </w:r>
          </w:p>
        </w:tc>
        <w:tc>
          <w:tcPr>
            <w:tcW w:w="686" w:type="dxa"/>
          </w:tcPr>
          <w:p w14:paraId="18113DF4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3</w:t>
            </w:r>
          </w:p>
        </w:tc>
        <w:tc>
          <w:tcPr>
            <w:tcW w:w="737" w:type="dxa"/>
          </w:tcPr>
          <w:p w14:paraId="68827608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8</w:t>
            </w:r>
          </w:p>
        </w:tc>
        <w:tc>
          <w:tcPr>
            <w:tcW w:w="737" w:type="dxa"/>
          </w:tcPr>
          <w:p w14:paraId="6FF6FA2E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16</w:t>
            </w:r>
          </w:p>
        </w:tc>
        <w:tc>
          <w:tcPr>
            <w:tcW w:w="737" w:type="dxa"/>
          </w:tcPr>
          <w:p w14:paraId="70E8986A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29</w:t>
            </w:r>
          </w:p>
        </w:tc>
        <w:tc>
          <w:tcPr>
            <w:tcW w:w="737" w:type="dxa"/>
          </w:tcPr>
          <w:p w14:paraId="262C1551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154</w:t>
            </w:r>
          </w:p>
        </w:tc>
        <w:tc>
          <w:tcPr>
            <w:tcW w:w="737" w:type="dxa"/>
          </w:tcPr>
          <w:p w14:paraId="043A932E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91</w:t>
            </w:r>
          </w:p>
        </w:tc>
        <w:tc>
          <w:tcPr>
            <w:tcW w:w="737" w:type="dxa"/>
          </w:tcPr>
          <w:p w14:paraId="562CFB84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104</w:t>
            </w:r>
          </w:p>
        </w:tc>
        <w:tc>
          <w:tcPr>
            <w:tcW w:w="737" w:type="dxa"/>
          </w:tcPr>
          <w:p w14:paraId="16B9CC73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</w:p>
        </w:tc>
      </w:tr>
      <w:tr w:rsidR="00546F10" w:rsidRPr="009A1B0C" w14:paraId="49C507E2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1F605D9B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t>October</w:t>
            </w:r>
          </w:p>
        </w:tc>
        <w:tc>
          <w:tcPr>
            <w:tcW w:w="686" w:type="dxa"/>
          </w:tcPr>
          <w:p w14:paraId="4EF3BBE1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1</w:t>
            </w:r>
          </w:p>
        </w:tc>
        <w:tc>
          <w:tcPr>
            <w:tcW w:w="737" w:type="dxa"/>
          </w:tcPr>
          <w:p w14:paraId="777B85E5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19</w:t>
            </w:r>
          </w:p>
        </w:tc>
        <w:tc>
          <w:tcPr>
            <w:tcW w:w="737" w:type="dxa"/>
          </w:tcPr>
          <w:p w14:paraId="58CC9641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29</w:t>
            </w:r>
          </w:p>
        </w:tc>
        <w:tc>
          <w:tcPr>
            <w:tcW w:w="737" w:type="dxa"/>
          </w:tcPr>
          <w:p w14:paraId="3BAD2364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16</w:t>
            </w:r>
          </w:p>
        </w:tc>
        <w:tc>
          <w:tcPr>
            <w:tcW w:w="737" w:type="dxa"/>
          </w:tcPr>
          <w:p w14:paraId="7C337CC1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68</w:t>
            </w:r>
          </w:p>
        </w:tc>
        <w:tc>
          <w:tcPr>
            <w:tcW w:w="737" w:type="dxa"/>
          </w:tcPr>
          <w:p w14:paraId="5E45F89D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53</w:t>
            </w:r>
          </w:p>
        </w:tc>
        <w:tc>
          <w:tcPr>
            <w:tcW w:w="737" w:type="dxa"/>
          </w:tcPr>
          <w:p w14:paraId="3D5F8CA8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58</w:t>
            </w:r>
          </w:p>
        </w:tc>
        <w:tc>
          <w:tcPr>
            <w:tcW w:w="737" w:type="dxa"/>
          </w:tcPr>
          <w:p w14:paraId="15A3D8E8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</w:p>
        </w:tc>
      </w:tr>
      <w:tr w:rsidR="00546F10" w:rsidRPr="009A1B0C" w14:paraId="34CEB59B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26CC4D82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t>November</w:t>
            </w:r>
          </w:p>
        </w:tc>
        <w:tc>
          <w:tcPr>
            <w:tcW w:w="686" w:type="dxa"/>
          </w:tcPr>
          <w:p w14:paraId="06C636FE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3</w:t>
            </w:r>
          </w:p>
        </w:tc>
        <w:tc>
          <w:tcPr>
            <w:tcW w:w="737" w:type="dxa"/>
          </w:tcPr>
          <w:p w14:paraId="7D385BAD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16</w:t>
            </w:r>
          </w:p>
        </w:tc>
        <w:tc>
          <w:tcPr>
            <w:tcW w:w="737" w:type="dxa"/>
          </w:tcPr>
          <w:p w14:paraId="7621FEE5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26</w:t>
            </w:r>
          </w:p>
        </w:tc>
        <w:tc>
          <w:tcPr>
            <w:tcW w:w="737" w:type="dxa"/>
          </w:tcPr>
          <w:p w14:paraId="113C8B8F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41</w:t>
            </w:r>
          </w:p>
        </w:tc>
        <w:tc>
          <w:tcPr>
            <w:tcW w:w="737" w:type="dxa"/>
          </w:tcPr>
          <w:p w14:paraId="5AC2A3DF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407</w:t>
            </w:r>
          </w:p>
        </w:tc>
        <w:tc>
          <w:tcPr>
            <w:tcW w:w="737" w:type="dxa"/>
          </w:tcPr>
          <w:p w14:paraId="78158151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353</w:t>
            </w:r>
          </w:p>
        </w:tc>
        <w:tc>
          <w:tcPr>
            <w:tcW w:w="737" w:type="dxa"/>
          </w:tcPr>
          <w:p w14:paraId="6C0F026D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341</w:t>
            </w:r>
          </w:p>
        </w:tc>
        <w:tc>
          <w:tcPr>
            <w:tcW w:w="737" w:type="dxa"/>
          </w:tcPr>
          <w:p w14:paraId="16DCEF22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</w:p>
        </w:tc>
      </w:tr>
      <w:tr w:rsidR="00546F10" w:rsidRPr="009A1B0C" w14:paraId="5326AA9B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7919D55F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t>December</w:t>
            </w:r>
          </w:p>
        </w:tc>
        <w:tc>
          <w:tcPr>
            <w:tcW w:w="686" w:type="dxa"/>
          </w:tcPr>
          <w:p w14:paraId="6F1B8416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3</w:t>
            </w:r>
          </w:p>
        </w:tc>
        <w:tc>
          <w:tcPr>
            <w:tcW w:w="737" w:type="dxa"/>
          </w:tcPr>
          <w:p w14:paraId="0DA73376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  <w:r w:rsidRPr="00786B8C">
              <w:rPr>
                <w:sz w:val="18"/>
              </w:rPr>
              <w:t>9</w:t>
            </w:r>
          </w:p>
        </w:tc>
        <w:tc>
          <w:tcPr>
            <w:tcW w:w="737" w:type="dxa"/>
          </w:tcPr>
          <w:p w14:paraId="626DE5E5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51</w:t>
            </w:r>
          </w:p>
        </w:tc>
        <w:tc>
          <w:tcPr>
            <w:tcW w:w="737" w:type="dxa"/>
          </w:tcPr>
          <w:p w14:paraId="2D196C97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32</w:t>
            </w:r>
          </w:p>
        </w:tc>
        <w:tc>
          <w:tcPr>
            <w:tcW w:w="737" w:type="dxa"/>
          </w:tcPr>
          <w:p w14:paraId="4367B3FF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174</w:t>
            </w:r>
          </w:p>
        </w:tc>
        <w:tc>
          <w:tcPr>
            <w:tcW w:w="737" w:type="dxa"/>
          </w:tcPr>
          <w:p w14:paraId="7C7120FD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204</w:t>
            </w:r>
          </w:p>
        </w:tc>
        <w:tc>
          <w:tcPr>
            <w:tcW w:w="737" w:type="dxa"/>
          </w:tcPr>
          <w:p w14:paraId="1B0B8492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786B8C">
              <w:rPr>
                <w:sz w:val="18"/>
              </w:rPr>
              <w:t>220</w:t>
            </w:r>
          </w:p>
        </w:tc>
        <w:tc>
          <w:tcPr>
            <w:tcW w:w="737" w:type="dxa"/>
          </w:tcPr>
          <w:p w14:paraId="23E995DB" w14:textId="77777777" w:rsidR="00546F10" w:rsidRPr="00786B8C" w:rsidRDefault="00546F10" w:rsidP="00B61103">
            <w:pPr>
              <w:ind w:right="113"/>
              <w:jc w:val="right"/>
              <w:rPr>
                <w:sz w:val="18"/>
              </w:rPr>
            </w:pPr>
          </w:p>
        </w:tc>
      </w:tr>
      <w:tr w:rsidR="00546F10" w:rsidRPr="009A1B0C" w14:paraId="7DC3C500" w14:textId="77777777" w:rsidTr="00B61103">
        <w:trPr>
          <w:cantSplit/>
        </w:trPr>
        <w:tc>
          <w:tcPr>
            <w:tcW w:w="1050" w:type="dxa"/>
            <w:shd w:val="clear" w:color="auto" w:fill="F2F2F2" w:themeFill="background1" w:themeFillShade="F2"/>
          </w:tcPr>
          <w:p w14:paraId="0D6BD10E" w14:textId="77777777" w:rsidR="00546F10" w:rsidRPr="00786B8C" w:rsidRDefault="00546F10" w:rsidP="00B61103">
            <w:pPr>
              <w:jc w:val="left"/>
              <w:rPr>
                <w:sz w:val="18"/>
              </w:rPr>
            </w:pPr>
            <w:r w:rsidRPr="00786B8C">
              <w:rPr>
                <w:sz w:val="18"/>
              </w:rPr>
              <w:t>Total</w:t>
            </w:r>
          </w:p>
        </w:tc>
        <w:tc>
          <w:tcPr>
            <w:tcW w:w="686" w:type="dxa"/>
            <w:shd w:val="clear" w:color="auto" w:fill="auto"/>
          </w:tcPr>
          <w:p w14:paraId="7C3FCA44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786B8C">
              <w:rPr>
                <w:b/>
                <w:sz w:val="18"/>
              </w:rPr>
              <w:t>14</w:t>
            </w:r>
          </w:p>
        </w:tc>
        <w:tc>
          <w:tcPr>
            <w:tcW w:w="737" w:type="dxa"/>
            <w:shd w:val="clear" w:color="auto" w:fill="auto"/>
          </w:tcPr>
          <w:p w14:paraId="363F9E25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786B8C">
              <w:rPr>
                <w:b/>
                <w:sz w:val="18"/>
              </w:rPr>
              <w:t>77</w:t>
            </w:r>
          </w:p>
        </w:tc>
        <w:tc>
          <w:tcPr>
            <w:tcW w:w="737" w:type="dxa"/>
            <w:shd w:val="clear" w:color="auto" w:fill="auto"/>
          </w:tcPr>
          <w:p w14:paraId="41A2CCA1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786B8C">
              <w:rPr>
                <w:b/>
                <w:sz w:val="18"/>
              </w:rPr>
              <w:t>219</w:t>
            </w:r>
          </w:p>
        </w:tc>
        <w:tc>
          <w:tcPr>
            <w:tcW w:w="737" w:type="dxa"/>
            <w:shd w:val="clear" w:color="auto" w:fill="auto"/>
          </w:tcPr>
          <w:p w14:paraId="1D911881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786B8C">
              <w:rPr>
                <w:b/>
                <w:sz w:val="18"/>
              </w:rPr>
              <w:t>222</w:t>
            </w:r>
          </w:p>
        </w:tc>
        <w:tc>
          <w:tcPr>
            <w:tcW w:w="737" w:type="dxa"/>
            <w:shd w:val="clear" w:color="auto" w:fill="auto"/>
          </w:tcPr>
          <w:p w14:paraId="6265C26F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786B8C">
              <w:rPr>
                <w:b/>
                <w:sz w:val="18"/>
              </w:rPr>
              <w:t>2,509</w:t>
            </w:r>
          </w:p>
        </w:tc>
        <w:tc>
          <w:tcPr>
            <w:tcW w:w="737" w:type="dxa"/>
            <w:shd w:val="clear" w:color="auto" w:fill="auto"/>
          </w:tcPr>
          <w:p w14:paraId="74E117A7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786B8C">
              <w:rPr>
                <w:b/>
                <w:sz w:val="18"/>
              </w:rPr>
              <w:t>1,907</w:t>
            </w:r>
          </w:p>
        </w:tc>
        <w:tc>
          <w:tcPr>
            <w:tcW w:w="737" w:type="dxa"/>
          </w:tcPr>
          <w:p w14:paraId="7A55611E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786B8C">
              <w:rPr>
                <w:b/>
                <w:sz w:val="18"/>
              </w:rPr>
              <w:t>1,873</w:t>
            </w:r>
          </w:p>
        </w:tc>
        <w:tc>
          <w:tcPr>
            <w:tcW w:w="737" w:type="dxa"/>
          </w:tcPr>
          <w:p w14:paraId="387BBB0D" w14:textId="77777777" w:rsidR="00546F10" w:rsidRPr="00786B8C" w:rsidRDefault="00546F10" w:rsidP="00B61103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786B8C">
              <w:rPr>
                <w:b/>
                <w:sz w:val="18"/>
              </w:rPr>
              <w:t>(357)</w:t>
            </w:r>
          </w:p>
        </w:tc>
      </w:tr>
    </w:tbl>
    <w:p w14:paraId="5A6984B0" w14:textId="77777777" w:rsidR="00546F10" w:rsidRPr="00275D77" w:rsidRDefault="00546F10" w:rsidP="00546F10">
      <w:bookmarkStart w:id="20" w:name="_Toc84968138"/>
      <w:bookmarkStart w:id="21" w:name="_Toc108791953"/>
      <w:bookmarkStart w:id="22" w:name="_Toc108792138"/>
      <w:bookmarkStart w:id="23" w:name="_Toc108792254"/>
      <w:bookmarkStart w:id="24" w:name="_Toc108792329"/>
      <w:bookmarkStart w:id="25" w:name="_Toc109028295"/>
    </w:p>
    <w:p w14:paraId="1D143F2A" w14:textId="77777777" w:rsidR="00546F10" w:rsidRPr="00275D77" w:rsidRDefault="00546F10" w:rsidP="00546F10">
      <w:pPr>
        <w:pStyle w:val="Heading2"/>
      </w:pPr>
      <w:bookmarkStart w:id="26" w:name="_Toc161136470"/>
      <w:r w:rsidRPr="00275D77">
        <w:t>Number of submissions by participating Authority in UPOV PRISMA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2CC7DEF6" w14:textId="77777777" w:rsidR="00546F10" w:rsidRPr="00275D77" w:rsidRDefault="00546F10" w:rsidP="00546F10">
      <w:pPr>
        <w:keepNext/>
        <w:rPr>
          <w:rFonts w:cs="Arial"/>
          <w:highlight w:val="cyan"/>
        </w:rPr>
      </w:pPr>
    </w:p>
    <w:tbl>
      <w:tblPr>
        <w:tblStyle w:val="TableGrid10"/>
        <w:tblW w:w="8784" w:type="dxa"/>
        <w:tblInd w:w="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426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546F10" w:rsidRPr="00275D77" w14:paraId="4F2E5483" w14:textId="77777777" w:rsidTr="00B61103">
        <w:trPr>
          <w:cantSplit/>
          <w:trHeight w:val="265"/>
          <w:tblHeader/>
        </w:trPr>
        <w:tc>
          <w:tcPr>
            <w:tcW w:w="268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AC15FC2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Authority</w:t>
            </w:r>
          </w:p>
        </w:tc>
        <w:tc>
          <w:tcPr>
            <w:tcW w:w="3969" w:type="dxa"/>
            <w:gridSpan w:val="7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7834788" w14:textId="77777777" w:rsidR="00546F10" w:rsidRPr="00275D77" w:rsidRDefault="00546F10" w:rsidP="00B61103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275D77">
              <w:rPr>
                <w:rFonts w:cs="Arial"/>
                <w:bCs/>
                <w:color w:val="000000"/>
                <w:sz w:val="16"/>
              </w:rPr>
              <w:t>Number of submissions in UPOV PRISMA in: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25BECC5" w14:textId="77777777" w:rsidR="00546F10" w:rsidRPr="00275D77" w:rsidRDefault="00546F10" w:rsidP="00B61103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275D77">
              <w:rPr>
                <w:rFonts w:cs="Arial"/>
                <w:bCs/>
                <w:color w:val="000000"/>
                <w:sz w:val="16"/>
              </w:rPr>
              <w:t>Total number of submissions in UPOV PRISMA</w:t>
            </w:r>
          </w:p>
          <w:p w14:paraId="5B971C87" w14:textId="77777777" w:rsidR="00546F10" w:rsidRPr="00275D77" w:rsidRDefault="00546F10" w:rsidP="00B61103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275D77">
              <w:rPr>
                <w:rFonts w:cs="Arial"/>
                <w:bCs/>
                <w:color w:val="000000"/>
                <w:sz w:val="16"/>
              </w:rPr>
              <w:t>(as of end 202</w:t>
            </w:r>
            <w:r>
              <w:rPr>
                <w:rFonts w:cs="Arial"/>
                <w:bCs/>
                <w:color w:val="000000"/>
                <w:sz w:val="16"/>
              </w:rPr>
              <w:t>3</w:t>
            </w:r>
            <w:r w:rsidRPr="00275D77">
              <w:rPr>
                <w:rFonts w:cs="Arial"/>
                <w:bCs/>
                <w:color w:val="000000"/>
                <w:sz w:val="16"/>
              </w:rPr>
              <w:t>)</w:t>
            </w:r>
          </w:p>
        </w:tc>
      </w:tr>
      <w:tr w:rsidR="00546F10" w:rsidRPr="00275D77" w14:paraId="3955DF0D" w14:textId="77777777" w:rsidTr="00B61103">
        <w:trPr>
          <w:cantSplit/>
          <w:trHeight w:val="144"/>
          <w:tblHeader/>
        </w:trPr>
        <w:tc>
          <w:tcPr>
            <w:tcW w:w="268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6D0DE4" w14:textId="77777777" w:rsidR="00546F10" w:rsidRPr="00275D77" w:rsidRDefault="00546F10" w:rsidP="00B61103">
            <w:pPr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55BAB7AC" w14:textId="77777777" w:rsidR="00546F10" w:rsidRPr="00275D77" w:rsidRDefault="00546F10" w:rsidP="00B61103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275D77">
              <w:rPr>
                <w:rFonts w:cs="Arial"/>
                <w:bCs/>
                <w:color w:val="000000"/>
                <w:sz w:val="16"/>
              </w:rPr>
              <w:t>2017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77252523" w14:textId="77777777" w:rsidR="00546F10" w:rsidRPr="00275D77" w:rsidRDefault="00546F10" w:rsidP="00B61103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275D77">
              <w:rPr>
                <w:rFonts w:cs="Arial"/>
                <w:bCs/>
                <w:color w:val="000000"/>
                <w:sz w:val="16"/>
              </w:rPr>
              <w:t>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670E9FE1" w14:textId="77777777" w:rsidR="00546F10" w:rsidRPr="00275D77" w:rsidRDefault="00546F10" w:rsidP="00B61103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275D77">
              <w:rPr>
                <w:rFonts w:cs="Arial"/>
                <w:bCs/>
                <w:color w:val="000000"/>
                <w:sz w:val="16"/>
              </w:rPr>
              <w:t>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371877CB" w14:textId="77777777" w:rsidR="00546F10" w:rsidRPr="00275D77" w:rsidRDefault="00546F10" w:rsidP="00B61103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275D77">
              <w:rPr>
                <w:rFonts w:cs="Arial"/>
                <w:bCs/>
                <w:color w:val="000000"/>
                <w:sz w:val="16"/>
              </w:rPr>
              <w:t>2020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40B886A8" w14:textId="77777777" w:rsidR="00546F10" w:rsidRPr="00275D77" w:rsidRDefault="00546F10" w:rsidP="00B61103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275D77">
              <w:rPr>
                <w:rFonts w:cs="Arial"/>
                <w:bCs/>
                <w:color w:val="000000"/>
                <w:sz w:val="16"/>
              </w:rPr>
              <w:t>2021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0212A1B1" w14:textId="77777777" w:rsidR="00546F10" w:rsidRPr="00275D77" w:rsidRDefault="00546F10" w:rsidP="00B61103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275D77">
              <w:rPr>
                <w:rFonts w:cs="Arial"/>
                <w:bCs/>
                <w:color w:val="000000"/>
                <w:sz w:val="16"/>
              </w:rPr>
              <w:t>2022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FD1C1CB" w14:textId="77777777" w:rsidR="00546F10" w:rsidRPr="00275D77" w:rsidRDefault="00546F10" w:rsidP="00B61103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>
              <w:rPr>
                <w:rFonts w:cs="Arial"/>
                <w:bCs/>
                <w:color w:val="000000"/>
                <w:sz w:val="16"/>
              </w:rPr>
              <w:t>2023</w:t>
            </w:r>
          </w:p>
        </w:tc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D044EF5" w14:textId="77777777" w:rsidR="00546F10" w:rsidRPr="00275D77" w:rsidRDefault="00546F10" w:rsidP="00B61103">
            <w:pPr>
              <w:jc w:val="right"/>
              <w:rPr>
                <w:rFonts w:cs="Arial"/>
                <w:bCs/>
                <w:color w:val="000000"/>
                <w:sz w:val="16"/>
              </w:rPr>
            </w:pPr>
          </w:p>
        </w:tc>
      </w:tr>
      <w:tr w:rsidR="00546F10" w:rsidRPr="00275D77" w14:paraId="22CC6F51" w14:textId="77777777" w:rsidTr="00B61103">
        <w:trPr>
          <w:cantSplit/>
          <w:trHeight w:val="368"/>
        </w:trPr>
        <w:tc>
          <w:tcPr>
            <w:tcW w:w="2263" w:type="dxa"/>
            <w:tcBorders>
              <w:right w:val="dotted" w:sz="4" w:space="0" w:color="auto"/>
            </w:tcBorders>
          </w:tcPr>
          <w:p w14:paraId="2E5ACB98" w14:textId="77777777" w:rsidR="00546F10" w:rsidRPr="00275D77" w:rsidRDefault="00546F10" w:rsidP="00B61103">
            <w:pPr>
              <w:keepNext/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 xml:space="preserve">African Intellectual Property Organization (OAPI) 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6C413FD6" w14:textId="77777777" w:rsidR="00546F10" w:rsidRPr="00275D77" w:rsidRDefault="00546F10" w:rsidP="00B61103">
            <w:pPr>
              <w:keepNext/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OA</w:t>
            </w:r>
          </w:p>
        </w:tc>
        <w:tc>
          <w:tcPr>
            <w:tcW w:w="567" w:type="dxa"/>
          </w:tcPr>
          <w:p w14:paraId="1E3AE8B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54FF2EAA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5CAE1CB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1E90034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15DA852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7B31D74A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21D3AB4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661D8F0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6</w:t>
            </w:r>
          </w:p>
        </w:tc>
      </w:tr>
      <w:tr w:rsidR="00546F10" w:rsidRPr="00275D77" w14:paraId="29663980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17D74148" w14:textId="77777777" w:rsidR="00546F10" w:rsidRPr="00275D77" w:rsidRDefault="00546F10" w:rsidP="00B61103">
            <w:pPr>
              <w:keepNext/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Argentina*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37F02C3E" w14:textId="77777777" w:rsidR="00546F10" w:rsidRPr="00275D77" w:rsidRDefault="00546F10" w:rsidP="00B61103">
            <w:pPr>
              <w:keepNext/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AR</w:t>
            </w:r>
          </w:p>
        </w:tc>
        <w:tc>
          <w:tcPr>
            <w:tcW w:w="567" w:type="dxa"/>
          </w:tcPr>
          <w:p w14:paraId="13DE0C23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4884446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153FF06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50F6EEA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2C2EFFF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221FA65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33E17A0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01D26CB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0</w:t>
            </w:r>
          </w:p>
        </w:tc>
      </w:tr>
      <w:tr w:rsidR="00546F10" w:rsidRPr="00275D77" w14:paraId="48334DC7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51B8B1CD" w14:textId="77777777" w:rsidR="00546F10" w:rsidRPr="00275D77" w:rsidRDefault="00546F10" w:rsidP="00B61103">
            <w:pPr>
              <w:keepNext/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Australia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3589D832" w14:textId="77777777" w:rsidR="00546F10" w:rsidRPr="00275D77" w:rsidRDefault="00546F10" w:rsidP="00B61103">
            <w:pPr>
              <w:keepNext/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AU</w:t>
            </w:r>
          </w:p>
        </w:tc>
        <w:tc>
          <w:tcPr>
            <w:tcW w:w="567" w:type="dxa"/>
          </w:tcPr>
          <w:p w14:paraId="0437BE06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color w:val="000000" w:themeColor="text1"/>
                <w:sz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981A71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color w:val="000000" w:themeColor="text1"/>
                <w:sz w:val="16"/>
              </w:rPr>
              <w:t>10</w:t>
            </w:r>
          </w:p>
        </w:tc>
        <w:tc>
          <w:tcPr>
            <w:tcW w:w="567" w:type="dxa"/>
          </w:tcPr>
          <w:p w14:paraId="2DF354E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color w:val="000000" w:themeColor="text1"/>
                <w:sz w:val="16"/>
              </w:rPr>
              <w:t>17</w:t>
            </w:r>
          </w:p>
        </w:tc>
        <w:tc>
          <w:tcPr>
            <w:tcW w:w="567" w:type="dxa"/>
          </w:tcPr>
          <w:p w14:paraId="6B0CE2F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color w:val="000000" w:themeColor="text1"/>
                <w:sz w:val="16"/>
              </w:rPr>
              <w:t>36</w:t>
            </w:r>
          </w:p>
        </w:tc>
        <w:tc>
          <w:tcPr>
            <w:tcW w:w="567" w:type="dxa"/>
          </w:tcPr>
          <w:p w14:paraId="686B9DF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14:paraId="0397887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75AE324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17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4C8D8D6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1</w:t>
            </w:r>
            <w:r>
              <w:rPr>
                <w:rFonts w:cs="Arial"/>
                <w:color w:val="000000"/>
                <w:sz w:val="16"/>
              </w:rPr>
              <w:t>24</w:t>
            </w:r>
          </w:p>
        </w:tc>
      </w:tr>
      <w:tr w:rsidR="00546F10" w:rsidRPr="00275D77" w14:paraId="0DF0D611" w14:textId="77777777" w:rsidTr="00B61103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733BA26F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Bolivia (</w:t>
            </w:r>
            <w:proofErr w:type="spellStart"/>
            <w:r w:rsidRPr="00275D77">
              <w:rPr>
                <w:rFonts w:cs="Arial"/>
                <w:color w:val="000000"/>
                <w:sz w:val="16"/>
              </w:rPr>
              <w:t>Plurinational</w:t>
            </w:r>
            <w:proofErr w:type="spellEnd"/>
            <w:r w:rsidRPr="00275D77">
              <w:rPr>
                <w:rFonts w:cs="Arial"/>
                <w:color w:val="000000"/>
                <w:sz w:val="16"/>
              </w:rPr>
              <w:t xml:space="preserve"> State of)* 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51D35FAE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BO</w:t>
            </w:r>
          </w:p>
        </w:tc>
        <w:tc>
          <w:tcPr>
            <w:tcW w:w="567" w:type="dxa"/>
          </w:tcPr>
          <w:p w14:paraId="350A6AA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color w:val="000000" w:themeColor="text1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6BAA7DB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color w:val="000000" w:themeColor="text1"/>
                <w:sz w:val="16"/>
              </w:rPr>
              <w:t> </w:t>
            </w:r>
          </w:p>
        </w:tc>
        <w:tc>
          <w:tcPr>
            <w:tcW w:w="567" w:type="dxa"/>
          </w:tcPr>
          <w:p w14:paraId="06A557F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color w:val="000000" w:themeColor="text1"/>
                <w:sz w:val="16"/>
              </w:rPr>
              <w:t>2</w:t>
            </w:r>
          </w:p>
        </w:tc>
        <w:tc>
          <w:tcPr>
            <w:tcW w:w="567" w:type="dxa"/>
          </w:tcPr>
          <w:p w14:paraId="102C055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color w:val="000000" w:themeColor="text1"/>
                <w:sz w:val="16"/>
              </w:rPr>
              <w:t> </w:t>
            </w:r>
          </w:p>
        </w:tc>
        <w:tc>
          <w:tcPr>
            <w:tcW w:w="567" w:type="dxa"/>
          </w:tcPr>
          <w:p w14:paraId="03D5519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29A8D5A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D19CE99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2179660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2</w:t>
            </w:r>
          </w:p>
        </w:tc>
      </w:tr>
      <w:tr w:rsidR="00546F10" w:rsidRPr="00275D77" w14:paraId="2EA24167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6B5100F2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Canada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1D9E3BA7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CA</w:t>
            </w:r>
          </w:p>
        </w:tc>
        <w:tc>
          <w:tcPr>
            <w:tcW w:w="567" w:type="dxa"/>
          </w:tcPr>
          <w:p w14:paraId="5A63335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color w:val="000000" w:themeColor="text1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2AB5308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color w:val="000000" w:themeColor="text1"/>
                <w:sz w:val="16"/>
              </w:rPr>
              <w:t>6</w:t>
            </w:r>
          </w:p>
        </w:tc>
        <w:tc>
          <w:tcPr>
            <w:tcW w:w="567" w:type="dxa"/>
          </w:tcPr>
          <w:p w14:paraId="04136D0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color w:val="000000" w:themeColor="text1"/>
                <w:sz w:val="16"/>
              </w:rPr>
              <w:t>27</w:t>
            </w:r>
          </w:p>
        </w:tc>
        <w:tc>
          <w:tcPr>
            <w:tcW w:w="567" w:type="dxa"/>
          </w:tcPr>
          <w:p w14:paraId="784B8CE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color w:val="000000" w:themeColor="text1"/>
                <w:sz w:val="16"/>
              </w:rPr>
              <w:t>17</w:t>
            </w:r>
          </w:p>
        </w:tc>
        <w:tc>
          <w:tcPr>
            <w:tcW w:w="567" w:type="dxa"/>
          </w:tcPr>
          <w:p w14:paraId="0569331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14:paraId="2FD9C39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03211BC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56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BDF3FE0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1</w:t>
            </w:r>
            <w:r>
              <w:rPr>
                <w:rFonts w:cs="Arial"/>
                <w:color w:val="000000"/>
                <w:sz w:val="16"/>
              </w:rPr>
              <w:t>76</w:t>
            </w:r>
          </w:p>
        </w:tc>
      </w:tr>
      <w:tr w:rsidR="00546F10" w:rsidRPr="00275D77" w14:paraId="755A63C8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21B3DBC5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Chile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0C02D5C2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CL</w:t>
            </w:r>
          </w:p>
        </w:tc>
        <w:tc>
          <w:tcPr>
            <w:tcW w:w="567" w:type="dxa"/>
          </w:tcPr>
          <w:p w14:paraId="63CF280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D3E6E8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7F2210E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58F0013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0A6B0F3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9</w:t>
            </w:r>
          </w:p>
        </w:tc>
        <w:tc>
          <w:tcPr>
            <w:tcW w:w="567" w:type="dxa"/>
          </w:tcPr>
          <w:p w14:paraId="48339D5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F276C04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667C0C1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19</w:t>
            </w:r>
          </w:p>
        </w:tc>
      </w:tr>
      <w:tr w:rsidR="00546F10" w:rsidRPr="00275D77" w14:paraId="5DADC47D" w14:textId="77777777" w:rsidTr="00B61103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27B2EE49" w14:textId="77777777" w:rsidR="00546F10" w:rsidRPr="00275D77" w:rsidRDefault="00546F10" w:rsidP="00B61103">
            <w:pPr>
              <w:jc w:val="lef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China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166C3F76" w14:textId="77777777" w:rsidR="00546F10" w:rsidRPr="00275D77" w:rsidRDefault="00546F10" w:rsidP="00B61103">
            <w:pPr>
              <w:jc w:val="center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CN</w:t>
            </w:r>
          </w:p>
        </w:tc>
        <w:tc>
          <w:tcPr>
            <w:tcW w:w="567" w:type="dxa"/>
          </w:tcPr>
          <w:p w14:paraId="51CB5CA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01AE0A6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CD29AF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68FC563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54940E4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4EF52BB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E99ED15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622918EA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0</w:t>
            </w:r>
          </w:p>
        </w:tc>
      </w:tr>
      <w:tr w:rsidR="00546F10" w:rsidRPr="00275D77" w14:paraId="4ADD1312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6E57D66F" w14:textId="77777777" w:rsidR="00546F10" w:rsidRPr="00275D77" w:rsidRDefault="00546F10" w:rsidP="00B61103">
            <w:pPr>
              <w:jc w:val="lef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Colombia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3ACA5729" w14:textId="77777777" w:rsidR="00546F10" w:rsidRPr="00275D77" w:rsidRDefault="00546F10" w:rsidP="00B61103">
            <w:pPr>
              <w:jc w:val="center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CO</w:t>
            </w:r>
          </w:p>
        </w:tc>
        <w:tc>
          <w:tcPr>
            <w:tcW w:w="567" w:type="dxa"/>
          </w:tcPr>
          <w:p w14:paraId="7F7E9D0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375B0D4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B1940D3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4</w:t>
            </w:r>
          </w:p>
        </w:tc>
        <w:tc>
          <w:tcPr>
            <w:tcW w:w="567" w:type="dxa"/>
          </w:tcPr>
          <w:p w14:paraId="52D8A4E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5C3C4D33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4</w:t>
            </w:r>
          </w:p>
        </w:tc>
        <w:tc>
          <w:tcPr>
            <w:tcW w:w="567" w:type="dxa"/>
          </w:tcPr>
          <w:p w14:paraId="106A785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F978123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2420C42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11</w:t>
            </w:r>
          </w:p>
        </w:tc>
      </w:tr>
      <w:tr w:rsidR="00546F10" w:rsidRPr="00275D77" w14:paraId="0D5E0502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1E31843D" w14:textId="77777777" w:rsidR="00546F10" w:rsidRPr="00275D77" w:rsidRDefault="00546F10" w:rsidP="00B61103">
            <w:pPr>
              <w:jc w:val="lef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Costa Rica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6CAAE4CF" w14:textId="77777777" w:rsidR="00546F10" w:rsidRPr="00275D77" w:rsidRDefault="00546F10" w:rsidP="00B61103">
            <w:pPr>
              <w:jc w:val="center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CR</w:t>
            </w:r>
          </w:p>
        </w:tc>
        <w:tc>
          <w:tcPr>
            <w:tcW w:w="567" w:type="dxa"/>
          </w:tcPr>
          <w:p w14:paraId="7318D26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A4DC24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42291B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4</w:t>
            </w:r>
          </w:p>
        </w:tc>
        <w:tc>
          <w:tcPr>
            <w:tcW w:w="567" w:type="dxa"/>
          </w:tcPr>
          <w:p w14:paraId="2D3D836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2BE709C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2</w:t>
            </w:r>
          </w:p>
        </w:tc>
        <w:tc>
          <w:tcPr>
            <w:tcW w:w="567" w:type="dxa"/>
          </w:tcPr>
          <w:p w14:paraId="596E8E0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14A8220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26EBD39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7</w:t>
            </w:r>
          </w:p>
        </w:tc>
      </w:tr>
      <w:tr w:rsidR="00546F10" w:rsidRPr="00275D77" w14:paraId="28F6CBDE" w14:textId="77777777" w:rsidTr="00B61103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6AF2DFC6" w14:textId="77777777" w:rsidR="00546F10" w:rsidRPr="00275D77" w:rsidRDefault="00546F10" w:rsidP="00B61103">
            <w:pPr>
              <w:jc w:val="lef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Dominican Republic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027FA06A" w14:textId="77777777" w:rsidR="00546F10" w:rsidRPr="00275D77" w:rsidRDefault="00546F10" w:rsidP="00B61103">
            <w:pPr>
              <w:jc w:val="center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DO</w:t>
            </w:r>
          </w:p>
        </w:tc>
        <w:tc>
          <w:tcPr>
            <w:tcW w:w="567" w:type="dxa"/>
          </w:tcPr>
          <w:p w14:paraId="7539A68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3FB730D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71DA5D5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613B77E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41745DE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4</w:t>
            </w:r>
          </w:p>
        </w:tc>
        <w:tc>
          <w:tcPr>
            <w:tcW w:w="567" w:type="dxa"/>
          </w:tcPr>
          <w:p w14:paraId="2842E6C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99BDF78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BD8D882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11</w:t>
            </w:r>
          </w:p>
        </w:tc>
      </w:tr>
      <w:tr w:rsidR="00546F10" w:rsidRPr="00275D77" w14:paraId="4BCCFE9F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1EF7D8EB" w14:textId="77777777" w:rsidR="00546F10" w:rsidRPr="00275D77" w:rsidRDefault="00546F10" w:rsidP="00B61103">
            <w:pPr>
              <w:jc w:val="lef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Ecuador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25497DF9" w14:textId="77777777" w:rsidR="00546F10" w:rsidRPr="00275D77" w:rsidRDefault="00546F10" w:rsidP="00B61103">
            <w:pPr>
              <w:jc w:val="center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EC</w:t>
            </w:r>
          </w:p>
        </w:tc>
        <w:tc>
          <w:tcPr>
            <w:tcW w:w="567" w:type="dxa"/>
          </w:tcPr>
          <w:p w14:paraId="0F7281B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36E61AA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49A1B3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1713DC7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6FFC700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4</w:t>
            </w:r>
          </w:p>
        </w:tc>
        <w:tc>
          <w:tcPr>
            <w:tcW w:w="567" w:type="dxa"/>
          </w:tcPr>
          <w:p w14:paraId="4262B75A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020C671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6469D994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8</w:t>
            </w:r>
          </w:p>
        </w:tc>
      </w:tr>
      <w:tr w:rsidR="00546F10" w:rsidRPr="00275D77" w14:paraId="37FADD33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1250FD45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European Union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4810FBEF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QZ</w:t>
            </w:r>
          </w:p>
        </w:tc>
        <w:tc>
          <w:tcPr>
            <w:tcW w:w="567" w:type="dxa"/>
          </w:tcPr>
          <w:p w14:paraId="4E9DDEA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974B7C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8</w:t>
            </w:r>
          </w:p>
        </w:tc>
        <w:tc>
          <w:tcPr>
            <w:tcW w:w="567" w:type="dxa"/>
          </w:tcPr>
          <w:p w14:paraId="2DBAAC0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38</w:t>
            </w:r>
          </w:p>
        </w:tc>
        <w:tc>
          <w:tcPr>
            <w:tcW w:w="567" w:type="dxa"/>
          </w:tcPr>
          <w:p w14:paraId="6D66498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13</w:t>
            </w:r>
          </w:p>
        </w:tc>
        <w:tc>
          <w:tcPr>
            <w:tcW w:w="567" w:type="dxa"/>
          </w:tcPr>
          <w:p w14:paraId="081EC63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123</w:t>
            </w:r>
          </w:p>
        </w:tc>
        <w:tc>
          <w:tcPr>
            <w:tcW w:w="567" w:type="dxa"/>
          </w:tcPr>
          <w:p w14:paraId="1FA6D24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89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DDD73F0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78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3B593FC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349</w:t>
            </w:r>
          </w:p>
        </w:tc>
      </w:tr>
      <w:tr w:rsidR="00546F10" w:rsidRPr="00275D77" w14:paraId="4DFDBDBA" w14:textId="77777777" w:rsidTr="00B61103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2E04BF47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France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072AC0CB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FR</w:t>
            </w:r>
          </w:p>
        </w:tc>
        <w:tc>
          <w:tcPr>
            <w:tcW w:w="567" w:type="dxa"/>
          </w:tcPr>
          <w:p w14:paraId="0E32CF7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E4EBA89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D57089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20</w:t>
            </w:r>
          </w:p>
        </w:tc>
        <w:tc>
          <w:tcPr>
            <w:tcW w:w="567" w:type="dxa"/>
          </w:tcPr>
          <w:p w14:paraId="4EF1552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-</w:t>
            </w:r>
          </w:p>
        </w:tc>
        <w:tc>
          <w:tcPr>
            <w:tcW w:w="567" w:type="dxa"/>
          </w:tcPr>
          <w:p w14:paraId="1B5BCFB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4</w:t>
            </w:r>
          </w:p>
        </w:tc>
        <w:tc>
          <w:tcPr>
            <w:tcW w:w="567" w:type="dxa"/>
          </w:tcPr>
          <w:p w14:paraId="2C3D966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1C08460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61A33A3A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2</w:t>
            </w:r>
            <w:r>
              <w:rPr>
                <w:rFonts w:cs="Arial"/>
                <w:color w:val="000000"/>
                <w:sz w:val="16"/>
              </w:rPr>
              <w:t>9</w:t>
            </w:r>
          </w:p>
        </w:tc>
      </w:tr>
      <w:tr w:rsidR="00546F10" w:rsidRPr="00275D77" w14:paraId="17B2B45D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1A646FAD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Georgia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1A1CF0EE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GE</w:t>
            </w:r>
          </w:p>
        </w:tc>
        <w:tc>
          <w:tcPr>
            <w:tcW w:w="567" w:type="dxa"/>
          </w:tcPr>
          <w:p w14:paraId="63538CF6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753A38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7EB5CDB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1FA26EA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357BCFEA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567" w:type="dxa"/>
          </w:tcPr>
          <w:p w14:paraId="69E4164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E378C90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64186A4B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10</w:t>
            </w:r>
          </w:p>
        </w:tc>
      </w:tr>
      <w:tr w:rsidR="00546F10" w:rsidRPr="00275D77" w14:paraId="55395AD4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3DBE0397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Kenya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3D9C8D59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KE</w:t>
            </w:r>
          </w:p>
        </w:tc>
        <w:tc>
          <w:tcPr>
            <w:tcW w:w="567" w:type="dxa"/>
          </w:tcPr>
          <w:p w14:paraId="39E772D6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F2D5DF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13</w:t>
            </w:r>
          </w:p>
        </w:tc>
        <w:tc>
          <w:tcPr>
            <w:tcW w:w="567" w:type="dxa"/>
          </w:tcPr>
          <w:p w14:paraId="0A7AF85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6</w:t>
            </w:r>
          </w:p>
        </w:tc>
        <w:tc>
          <w:tcPr>
            <w:tcW w:w="567" w:type="dxa"/>
          </w:tcPr>
          <w:p w14:paraId="2A9513C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14</w:t>
            </w:r>
          </w:p>
        </w:tc>
        <w:tc>
          <w:tcPr>
            <w:tcW w:w="567" w:type="dxa"/>
          </w:tcPr>
          <w:p w14:paraId="342425F6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14</w:t>
            </w:r>
          </w:p>
        </w:tc>
        <w:tc>
          <w:tcPr>
            <w:tcW w:w="567" w:type="dxa"/>
          </w:tcPr>
          <w:p w14:paraId="69D12D73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26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8C981E0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23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058833D6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96</w:t>
            </w:r>
          </w:p>
        </w:tc>
      </w:tr>
      <w:tr w:rsidR="00546F10" w:rsidRPr="00275D77" w14:paraId="223F9FCF" w14:textId="77777777" w:rsidTr="00B61103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145E58CD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Morocco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02816587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MA</w:t>
            </w:r>
          </w:p>
        </w:tc>
        <w:tc>
          <w:tcPr>
            <w:tcW w:w="567" w:type="dxa"/>
          </w:tcPr>
          <w:p w14:paraId="3920903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314A1D6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355B29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9B1D02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58A6A7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7</w:t>
            </w:r>
          </w:p>
        </w:tc>
        <w:tc>
          <w:tcPr>
            <w:tcW w:w="567" w:type="dxa"/>
          </w:tcPr>
          <w:p w14:paraId="2A222C7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C10D301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C7BBE48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11</w:t>
            </w:r>
          </w:p>
        </w:tc>
      </w:tr>
      <w:tr w:rsidR="00546F10" w:rsidRPr="00275D77" w14:paraId="0CB1C1DB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7DE27EE5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Mexico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752B07F5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MX</w:t>
            </w:r>
          </w:p>
        </w:tc>
        <w:tc>
          <w:tcPr>
            <w:tcW w:w="567" w:type="dxa"/>
          </w:tcPr>
          <w:p w14:paraId="0EDD2A1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55A426A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7</w:t>
            </w:r>
          </w:p>
        </w:tc>
        <w:tc>
          <w:tcPr>
            <w:tcW w:w="567" w:type="dxa"/>
          </w:tcPr>
          <w:p w14:paraId="156B589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7</w:t>
            </w:r>
          </w:p>
        </w:tc>
        <w:tc>
          <w:tcPr>
            <w:tcW w:w="567" w:type="dxa"/>
          </w:tcPr>
          <w:p w14:paraId="5231773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13</w:t>
            </w:r>
          </w:p>
        </w:tc>
        <w:tc>
          <w:tcPr>
            <w:tcW w:w="567" w:type="dxa"/>
          </w:tcPr>
          <w:p w14:paraId="4EB81A5A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13</w:t>
            </w:r>
          </w:p>
        </w:tc>
        <w:tc>
          <w:tcPr>
            <w:tcW w:w="567" w:type="dxa"/>
          </w:tcPr>
          <w:p w14:paraId="07D7DB9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25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F0F2097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17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026235AC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82</w:t>
            </w:r>
          </w:p>
        </w:tc>
      </w:tr>
      <w:tr w:rsidR="00546F10" w:rsidRPr="00275D77" w14:paraId="61B623AC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1A66B525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Netherlands</w:t>
            </w:r>
            <w:r>
              <w:rPr>
                <w:rFonts w:cs="Arial"/>
                <w:color w:val="000000"/>
                <w:sz w:val="16"/>
              </w:rPr>
              <w:t xml:space="preserve"> (Kingdom of the)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71401AF4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NL</w:t>
            </w:r>
          </w:p>
        </w:tc>
        <w:tc>
          <w:tcPr>
            <w:tcW w:w="567" w:type="dxa"/>
          </w:tcPr>
          <w:p w14:paraId="4357016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BDCDCB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8</w:t>
            </w:r>
          </w:p>
        </w:tc>
        <w:tc>
          <w:tcPr>
            <w:tcW w:w="567" w:type="dxa"/>
          </w:tcPr>
          <w:p w14:paraId="630B9F8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12</w:t>
            </w:r>
          </w:p>
        </w:tc>
        <w:tc>
          <w:tcPr>
            <w:tcW w:w="567" w:type="dxa"/>
          </w:tcPr>
          <w:p w14:paraId="4FF422C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6</w:t>
            </w:r>
          </w:p>
        </w:tc>
        <w:tc>
          <w:tcPr>
            <w:tcW w:w="567" w:type="dxa"/>
          </w:tcPr>
          <w:p w14:paraId="63E8497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567" w:type="dxa"/>
          </w:tcPr>
          <w:p w14:paraId="615689F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FF84DC8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03CCC535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30</w:t>
            </w:r>
          </w:p>
        </w:tc>
      </w:tr>
      <w:tr w:rsidR="00546F10" w:rsidRPr="00275D77" w14:paraId="03239E50" w14:textId="77777777" w:rsidTr="00B61103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238357C6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New Zealand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00CB1C0D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NZ</w:t>
            </w:r>
          </w:p>
        </w:tc>
        <w:tc>
          <w:tcPr>
            <w:tcW w:w="567" w:type="dxa"/>
          </w:tcPr>
          <w:p w14:paraId="0AFFDF6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529A97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7A56162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8</w:t>
            </w:r>
          </w:p>
        </w:tc>
        <w:tc>
          <w:tcPr>
            <w:tcW w:w="567" w:type="dxa"/>
          </w:tcPr>
          <w:p w14:paraId="539D8E6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5</w:t>
            </w:r>
          </w:p>
        </w:tc>
        <w:tc>
          <w:tcPr>
            <w:tcW w:w="567" w:type="dxa"/>
          </w:tcPr>
          <w:p w14:paraId="5E6DFE8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18</w:t>
            </w:r>
          </w:p>
        </w:tc>
        <w:tc>
          <w:tcPr>
            <w:tcW w:w="567" w:type="dxa"/>
          </w:tcPr>
          <w:p w14:paraId="3CCA88D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7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0EF727F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7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D08514C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53</w:t>
            </w:r>
          </w:p>
        </w:tc>
      </w:tr>
      <w:tr w:rsidR="00546F10" w:rsidRPr="00275D77" w14:paraId="1897EFF1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087D2467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Norway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43EA45E2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NO</w:t>
            </w:r>
          </w:p>
        </w:tc>
        <w:tc>
          <w:tcPr>
            <w:tcW w:w="567" w:type="dxa"/>
          </w:tcPr>
          <w:p w14:paraId="0D87BDF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B908E1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63A7F9D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5</w:t>
            </w:r>
          </w:p>
        </w:tc>
        <w:tc>
          <w:tcPr>
            <w:tcW w:w="567" w:type="dxa"/>
          </w:tcPr>
          <w:p w14:paraId="3E29C0F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7</w:t>
            </w:r>
          </w:p>
        </w:tc>
        <w:tc>
          <w:tcPr>
            <w:tcW w:w="567" w:type="dxa"/>
          </w:tcPr>
          <w:p w14:paraId="62DCC59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6</w:t>
            </w:r>
          </w:p>
        </w:tc>
        <w:tc>
          <w:tcPr>
            <w:tcW w:w="567" w:type="dxa"/>
          </w:tcPr>
          <w:p w14:paraId="4A94B6A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62FF01F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81BABBB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2</w:t>
            </w:r>
            <w:r>
              <w:rPr>
                <w:rFonts w:cs="Arial"/>
                <w:color w:val="000000"/>
                <w:sz w:val="16"/>
              </w:rPr>
              <w:t>6</w:t>
            </w:r>
          </w:p>
        </w:tc>
      </w:tr>
      <w:tr w:rsidR="00546F10" w:rsidRPr="00275D77" w14:paraId="0BBC9327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17DC9D36" w14:textId="77777777" w:rsidR="00546F10" w:rsidRPr="00275D77" w:rsidRDefault="00546F10" w:rsidP="00B61103">
            <w:pPr>
              <w:jc w:val="lef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 xml:space="preserve">Paraguay* 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0587DDFD" w14:textId="77777777" w:rsidR="00546F10" w:rsidRPr="00275D77" w:rsidRDefault="00546F10" w:rsidP="00B61103">
            <w:pPr>
              <w:jc w:val="center"/>
              <w:rPr>
                <w:rFonts w:cs="Arial"/>
                <w:sz w:val="16"/>
              </w:rPr>
            </w:pPr>
            <w:proofErr w:type="spellStart"/>
            <w:r w:rsidRPr="00275D77">
              <w:rPr>
                <w:rFonts w:cs="Arial"/>
                <w:sz w:val="16"/>
              </w:rPr>
              <w:t>PY</w:t>
            </w:r>
            <w:proofErr w:type="spellEnd"/>
          </w:p>
        </w:tc>
        <w:tc>
          <w:tcPr>
            <w:tcW w:w="567" w:type="dxa"/>
          </w:tcPr>
          <w:p w14:paraId="485BDD5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0746654A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2A87AD6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47D2B0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50E76ED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599552FA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09D2539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7A9E4D5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0</w:t>
            </w:r>
          </w:p>
        </w:tc>
      </w:tr>
      <w:tr w:rsidR="00546F10" w:rsidRPr="00275D77" w14:paraId="1974F0FE" w14:textId="77777777" w:rsidTr="00B61103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5C65F57D" w14:textId="77777777" w:rsidR="00546F10" w:rsidRPr="00275D77" w:rsidRDefault="00546F10" w:rsidP="00B61103">
            <w:pPr>
              <w:jc w:val="lef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Peru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4E87B0B3" w14:textId="77777777" w:rsidR="00546F10" w:rsidRPr="00275D77" w:rsidRDefault="00546F10" w:rsidP="00B61103">
            <w:pPr>
              <w:jc w:val="center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PE</w:t>
            </w:r>
          </w:p>
        </w:tc>
        <w:tc>
          <w:tcPr>
            <w:tcW w:w="567" w:type="dxa"/>
          </w:tcPr>
          <w:p w14:paraId="4692994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010EC88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2F2FC26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5642B23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57BB5BB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567" w:type="dxa"/>
          </w:tcPr>
          <w:p w14:paraId="49BAE73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244A0AA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DD46D61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6</w:t>
            </w:r>
          </w:p>
        </w:tc>
      </w:tr>
      <w:tr w:rsidR="00546F10" w:rsidRPr="00275D77" w14:paraId="1A277B4A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364DF014" w14:textId="77777777" w:rsidR="00546F10" w:rsidRPr="00275D77" w:rsidRDefault="00546F10" w:rsidP="00B61103">
            <w:pPr>
              <w:jc w:val="lef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Republic of Moldova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670004C2" w14:textId="77777777" w:rsidR="00546F10" w:rsidRPr="00275D77" w:rsidRDefault="00546F10" w:rsidP="00B61103">
            <w:pPr>
              <w:jc w:val="center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MD</w:t>
            </w:r>
          </w:p>
        </w:tc>
        <w:tc>
          <w:tcPr>
            <w:tcW w:w="567" w:type="dxa"/>
          </w:tcPr>
          <w:p w14:paraId="06C369F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1C5A46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6641555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7374CF56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63430E6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1E8D52E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EB31415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7163622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2</w:t>
            </w:r>
          </w:p>
        </w:tc>
      </w:tr>
      <w:tr w:rsidR="00546F10" w:rsidRPr="00275D77" w14:paraId="4C45566F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77B17D8D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sz w:val="16"/>
              </w:rPr>
              <w:t>Republic of Korea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6F2A88D9" w14:textId="77777777" w:rsidR="00546F10" w:rsidRPr="00275D77" w:rsidRDefault="00546F10" w:rsidP="00B61103">
            <w:pPr>
              <w:jc w:val="center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KR</w:t>
            </w:r>
          </w:p>
        </w:tc>
        <w:tc>
          <w:tcPr>
            <w:tcW w:w="567" w:type="dxa"/>
          </w:tcPr>
          <w:p w14:paraId="4DD0EC2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62FFC59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94B372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258E8C3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68A6A9D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5CCDB6D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AEBBF2D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1120B39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2</w:t>
            </w:r>
          </w:p>
        </w:tc>
      </w:tr>
      <w:tr w:rsidR="00546F10" w:rsidRPr="00275D77" w14:paraId="598E8410" w14:textId="77777777" w:rsidTr="00B61103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1B11BA2A" w14:textId="77777777" w:rsidR="00546F10" w:rsidRPr="00275D77" w:rsidRDefault="00546F10" w:rsidP="00B61103">
            <w:pPr>
              <w:jc w:val="lef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Saint Vincent and the Grenadines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121FAEEF" w14:textId="77777777" w:rsidR="00546F10" w:rsidRPr="00275D77" w:rsidRDefault="00546F10" w:rsidP="00B61103">
            <w:pPr>
              <w:jc w:val="center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VC</w:t>
            </w:r>
          </w:p>
        </w:tc>
        <w:tc>
          <w:tcPr>
            <w:tcW w:w="567" w:type="dxa"/>
          </w:tcPr>
          <w:p w14:paraId="6486B9D9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F94AE6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</w:p>
        </w:tc>
        <w:tc>
          <w:tcPr>
            <w:tcW w:w="567" w:type="dxa"/>
          </w:tcPr>
          <w:p w14:paraId="25F430F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</w:p>
        </w:tc>
        <w:tc>
          <w:tcPr>
            <w:tcW w:w="567" w:type="dxa"/>
          </w:tcPr>
          <w:p w14:paraId="240825E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</w:p>
        </w:tc>
        <w:tc>
          <w:tcPr>
            <w:tcW w:w="567" w:type="dxa"/>
          </w:tcPr>
          <w:p w14:paraId="67A2565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59D768DA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7DE48D7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659D2B2F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0</w:t>
            </w:r>
          </w:p>
        </w:tc>
      </w:tr>
      <w:tr w:rsidR="00546F10" w:rsidRPr="00275D77" w14:paraId="4B0EC4CF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4B6D396C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Serbia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3840B562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sz w:val="16"/>
              </w:rPr>
              <w:t>RS</w:t>
            </w:r>
          </w:p>
        </w:tc>
        <w:tc>
          <w:tcPr>
            <w:tcW w:w="567" w:type="dxa"/>
          </w:tcPr>
          <w:p w14:paraId="257B3F9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0442D57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1304727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2CA78A6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32758F73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567" w:type="dxa"/>
          </w:tcPr>
          <w:p w14:paraId="630CF62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34D46E3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46A535D3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6</w:t>
            </w:r>
          </w:p>
        </w:tc>
      </w:tr>
      <w:tr w:rsidR="00546F10" w:rsidRPr="00275D77" w14:paraId="7BA8905A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10A10BEC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South Africa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0D532498" w14:textId="77777777" w:rsidR="00546F10" w:rsidRPr="00275D77" w:rsidRDefault="00546F10" w:rsidP="00B61103">
            <w:pPr>
              <w:jc w:val="center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ZA</w:t>
            </w:r>
          </w:p>
        </w:tc>
        <w:tc>
          <w:tcPr>
            <w:tcW w:w="567" w:type="dxa"/>
          </w:tcPr>
          <w:p w14:paraId="49AF961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01EA78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630DF3C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294F192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5A84B58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12</w:t>
            </w:r>
          </w:p>
        </w:tc>
        <w:tc>
          <w:tcPr>
            <w:tcW w:w="567" w:type="dxa"/>
          </w:tcPr>
          <w:p w14:paraId="3035A78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17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568E6EC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24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46FAF64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60</w:t>
            </w:r>
          </w:p>
        </w:tc>
      </w:tr>
      <w:tr w:rsidR="00546F10" w:rsidRPr="00275D77" w14:paraId="44DDE6FC" w14:textId="77777777" w:rsidTr="00B61103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0CB6C4CF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Sweden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5AA8F344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sz w:val="16"/>
              </w:rPr>
              <w:t>SE</w:t>
            </w:r>
          </w:p>
        </w:tc>
        <w:tc>
          <w:tcPr>
            <w:tcW w:w="567" w:type="dxa"/>
          </w:tcPr>
          <w:p w14:paraId="1E896F2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9798016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653394D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06E12B69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74B1CE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67A1C2B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3B86BD5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50D9370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1</w:t>
            </w:r>
          </w:p>
        </w:tc>
      </w:tr>
      <w:tr w:rsidR="00546F10" w:rsidRPr="00275D77" w14:paraId="079DC69A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0FF32D56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Switzerland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7F1F0345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CH</w:t>
            </w:r>
          </w:p>
        </w:tc>
        <w:tc>
          <w:tcPr>
            <w:tcW w:w="567" w:type="dxa"/>
          </w:tcPr>
          <w:p w14:paraId="63CD75C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C2B91E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0E884EF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4</w:t>
            </w:r>
          </w:p>
        </w:tc>
        <w:tc>
          <w:tcPr>
            <w:tcW w:w="567" w:type="dxa"/>
          </w:tcPr>
          <w:p w14:paraId="1E4B091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16</w:t>
            </w:r>
          </w:p>
        </w:tc>
        <w:tc>
          <w:tcPr>
            <w:tcW w:w="567" w:type="dxa"/>
          </w:tcPr>
          <w:p w14:paraId="3FA9892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13</w:t>
            </w:r>
          </w:p>
        </w:tc>
        <w:tc>
          <w:tcPr>
            <w:tcW w:w="567" w:type="dxa"/>
          </w:tcPr>
          <w:p w14:paraId="65FEB0E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9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6D52F55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6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6B85D087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53</w:t>
            </w:r>
          </w:p>
        </w:tc>
      </w:tr>
      <w:tr w:rsidR="00546F10" w:rsidRPr="00275D77" w14:paraId="59B39C15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4AD8C9A7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Trinidad and Tobago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79BCDEFC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TT</w:t>
            </w:r>
          </w:p>
        </w:tc>
        <w:tc>
          <w:tcPr>
            <w:tcW w:w="567" w:type="dxa"/>
          </w:tcPr>
          <w:p w14:paraId="5DC36926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2CA5BD8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6D64E55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52C0349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2AF79C6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10DF7BB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89B078E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E7DC321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0</w:t>
            </w:r>
          </w:p>
        </w:tc>
      </w:tr>
      <w:tr w:rsidR="00546F10" w:rsidRPr="00275D77" w14:paraId="1ADCC171" w14:textId="77777777" w:rsidTr="00B61103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5A77BC53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Tunisia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3E80AF2B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TN</w:t>
            </w:r>
          </w:p>
        </w:tc>
        <w:tc>
          <w:tcPr>
            <w:tcW w:w="567" w:type="dxa"/>
          </w:tcPr>
          <w:p w14:paraId="69CCD77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273D29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6061DDB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4</w:t>
            </w:r>
          </w:p>
        </w:tc>
        <w:tc>
          <w:tcPr>
            <w:tcW w:w="567" w:type="dxa"/>
          </w:tcPr>
          <w:p w14:paraId="2582A10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1F6929B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567" w:type="dxa"/>
          </w:tcPr>
          <w:p w14:paraId="207241F3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A58D367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CB3053D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7</w:t>
            </w:r>
          </w:p>
        </w:tc>
      </w:tr>
      <w:tr w:rsidR="00546F10" w:rsidRPr="00275D77" w14:paraId="0839ACED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21F5BC15" w14:textId="77777777" w:rsidR="00546F10" w:rsidRPr="00275D77" w:rsidRDefault="00546F10" w:rsidP="00B61103">
            <w:pPr>
              <w:keepNext/>
              <w:jc w:val="lef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Türkiye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6B3D35A9" w14:textId="77777777" w:rsidR="00546F10" w:rsidRPr="00275D77" w:rsidRDefault="00546F10" w:rsidP="00B61103">
            <w:pPr>
              <w:keepNext/>
              <w:jc w:val="center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TR</w:t>
            </w:r>
          </w:p>
        </w:tc>
        <w:tc>
          <w:tcPr>
            <w:tcW w:w="567" w:type="dxa"/>
          </w:tcPr>
          <w:p w14:paraId="264091E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62A07F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6</w:t>
            </w:r>
          </w:p>
        </w:tc>
        <w:tc>
          <w:tcPr>
            <w:tcW w:w="567" w:type="dxa"/>
          </w:tcPr>
          <w:p w14:paraId="658129C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23</w:t>
            </w:r>
          </w:p>
        </w:tc>
        <w:tc>
          <w:tcPr>
            <w:tcW w:w="567" w:type="dxa"/>
          </w:tcPr>
          <w:p w14:paraId="272DCD2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54</w:t>
            </w:r>
          </w:p>
        </w:tc>
        <w:tc>
          <w:tcPr>
            <w:tcW w:w="567" w:type="dxa"/>
          </w:tcPr>
          <w:p w14:paraId="2325358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65</w:t>
            </w:r>
          </w:p>
        </w:tc>
        <w:tc>
          <w:tcPr>
            <w:tcW w:w="567" w:type="dxa"/>
          </w:tcPr>
          <w:p w14:paraId="6583516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63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9D61888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57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57803E2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2</w:t>
            </w:r>
            <w:r>
              <w:rPr>
                <w:rFonts w:cs="Arial"/>
                <w:color w:val="000000"/>
                <w:sz w:val="16"/>
              </w:rPr>
              <w:t>68</w:t>
            </w:r>
          </w:p>
        </w:tc>
      </w:tr>
      <w:tr w:rsidR="00546F10" w:rsidRPr="00275D77" w14:paraId="2FC74890" w14:textId="77777777" w:rsidTr="00B61103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27ABBFF0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United Kingdom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02EF2ABD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GB</w:t>
            </w:r>
          </w:p>
        </w:tc>
        <w:tc>
          <w:tcPr>
            <w:tcW w:w="567" w:type="dxa"/>
          </w:tcPr>
          <w:p w14:paraId="2C47524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72B46E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624CF59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18</w:t>
            </w:r>
          </w:p>
        </w:tc>
        <w:tc>
          <w:tcPr>
            <w:tcW w:w="567" w:type="dxa"/>
          </w:tcPr>
          <w:p w14:paraId="3D76BFF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22</w:t>
            </w:r>
          </w:p>
        </w:tc>
        <w:tc>
          <w:tcPr>
            <w:tcW w:w="567" w:type="dxa"/>
          </w:tcPr>
          <w:p w14:paraId="0FAED786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2,138</w:t>
            </w:r>
          </w:p>
        </w:tc>
        <w:tc>
          <w:tcPr>
            <w:tcW w:w="567" w:type="dxa"/>
          </w:tcPr>
          <w:p w14:paraId="418EE807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1,557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2681ECD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1,562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0F72522D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5,300</w:t>
            </w:r>
          </w:p>
        </w:tc>
      </w:tr>
      <w:tr w:rsidR="00546F10" w:rsidRPr="00275D77" w14:paraId="28F1CBA1" w14:textId="77777777" w:rsidTr="00B61103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0B378958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United States of America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6C9C9DF4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US</w:t>
            </w:r>
          </w:p>
        </w:tc>
        <w:tc>
          <w:tcPr>
            <w:tcW w:w="567" w:type="dxa"/>
          </w:tcPr>
          <w:p w14:paraId="4F64813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5DBD0FD6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6</w:t>
            </w:r>
          </w:p>
        </w:tc>
        <w:tc>
          <w:tcPr>
            <w:tcW w:w="567" w:type="dxa"/>
          </w:tcPr>
          <w:p w14:paraId="3915792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07D6BDE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543FA80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5</w:t>
            </w:r>
          </w:p>
        </w:tc>
        <w:tc>
          <w:tcPr>
            <w:tcW w:w="567" w:type="dxa"/>
          </w:tcPr>
          <w:p w14:paraId="291EB47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26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9FF2157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18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6BAEB8BB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59</w:t>
            </w:r>
          </w:p>
        </w:tc>
      </w:tr>
      <w:tr w:rsidR="00546F10" w:rsidRPr="00275D77" w14:paraId="0C99220C" w14:textId="77777777" w:rsidTr="00B61103">
        <w:trPr>
          <w:cantSplit/>
          <w:trHeight w:val="43"/>
        </w:trPr>
        <w:tc>
          <w:tcPr>
            <w:tcW w:w="2263" w:type="dxa"/>
            <w:tcBorders>
              <w:right w:val="dotted" w:sz="4" w:space="0" w:color="auto"/>
            </w:tcBorders>
          </w:tcPr>
          <w:p w14:paraId="5F1DB654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Uruguay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11E8A25D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UY</w:t>
            </w:r>
          </w:p>
        </w:tc>
        <w:tc>
          <w:tcPr>
            <w:tcW w:w="567" w:type="dxa"/>
          </w:tcPr>
          <w:p w14:paraId="24A9883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6DAF222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6887C184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B17C383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19B45B46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6</w:t>
            </w:r>
          </w:p>
        </w:tc>
        <w:tc>
          <w:tcPr>
            <w:tcW w:w="567" w:type="dxa"/>
          </w:tcPr>
          <w:p w14:paraId="371E486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FCB4A57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4EFBFAD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797107">
              <w:rPr>
                <w:rFonts w:cs="Arial"/>
                <w:color w:val="000000"/>
                <w:sz w:val="16"/>
              </w:rPr>
              <w:t>6</w:t>
            </w:r>
          </w:p>
        </w:tc>
      </w:tr>
      <w:tr w:rsidR="00546F10" w:rsidRPr="00275D77" w14:paraId="3933036D" w14:textId="77777777" w:rsidTr="00B61103">
        <w:trPr>
          <w:cantSplit/>
          <w:trHeight w:val="120"/>
        </w:trPr>
        <w:tc>
          <w:tcPr>
            <w:tcW w:w="2263" w:type="dxa"/>
            <w:tcBorders>
              <w:bottom w:val="single" w:sz="4" w:space="0" w:color="auto"/>
              <w:right w:val="dotted" w:sz="4" w:space="0" w:color="auto"/>
            </w:tcBorders>
          </w:tcPr>
          <w:p w14:paraId="69BBE3CC" w14:textId="77777777" w:rsidR="00546F10" w:rsidRPr="00275D77" w:rsidRDefault="00546F10" w:rsidP="00B61103">
            <w:pPr>
              <w:jc w:val="left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color w:val="000000"/>
                <w:sz w:val="16"/>
              </w:rPr>
              <w:t>Viet Nam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  <w:noWrap/>
          </w:tcPr>
          <w:p w14:paraId="681F0736" w14:textId="77777777" w:rsidR="00546F10" w:rsidRPr="00275D77" w:rsidRDefault="00546F10" w:rsidP="00B61103">
            <w:pPr>
              <w:jc w:val="center"/>
              <w:rPr>
                <w:rFonts w:cs="Arial"/>
                <w:color w:val="000000"/>
                <w:sz w:val="16"/>
              </w:rPr>
            </w:pPr>
            <w:r w:rsidRPr="00275D77">
              <w:rPr>
                <w:rFonts w:cs="Arial"/>
                <w:sz w:val="16"/>
              </w:rPr>
              <w:t>VN</w:t>
            </w:r>
          </w:p>
        </w:tc>
        <w:tc>
          <w:tcPr>
            <w:tcW w:w="567" w:type="dxa"/>
          </w:tcPr>
          <w:p w14:paraId="0964975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30F57BF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2EA6247D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6D28AAE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sz w:val="16"/>
              </w:rPr>
            </w:pPr>
            <w:r w:rsidRPr="00275D77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461F02B0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2EB6ECBC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AA4B71F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C11FD65" w14:textId="77777777" w:rsidR="00546F10" w:rsidRPr="00797107" w:rsidRDefault="00546F10" w:rsidP="00B61103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1</w:t>
            </w:r>
          </w:p>
        </w:tc>
      </w:tr>
      <w:tr w:rsidR="00546F10" w:rsidRPr="00275D77" w14:paraId="626C1599" w14:textId="77777777" w:rsidTr="00B61103">
        <w:trPr>
          <w:cantSplit/>
          <w:trHeight w:val="188"/>
        </w:trPr>
        <w:tc>
          <w:tcPr>
            <w:tcW w:w="2263" w:type="dxa"/>
            <w:tcBorders>
              <w:right w:val="nil"/>
            </w:tcBorders>
          </w:tcPr>
          <w:p w14:paraId="75175079" w14:textId="77777777" w:rsidR="00546F10" w:rsidRPr="00275D77" w:rsidRDefault="00546F10" w:rsidP="00B61103">
            <w:pPr>
              <w:ind w:right="167"/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 w:rsidRPr="00275D77">
              <w:rPr>
                <w:rFonts w:cs="Arial"/>
                <w:b/>
                <w:bCs/>
                <w:color w:val="000000"/>
                <w:sz w:val="16"/>
              </w:rPr>
              <w:t>Total:</w:t>
            </w:r>
          </w:p>
        </w:tc>
        <w:tc>
          <w:tcPr>
            <w:tcW w:w="426" w:type="dxa"/>
            <w:tcBorders>
              <w:left w:val="nil"/>
            </w:tcBorders>
            <w:noWrap/>
            <w:hideMark/>
          </w:tcPr>
          <w:p w14:paraId="1A773708" w14:textId="77777777" w:rsidR="00546F10" w:rsidRPr="00275D77" w:rsidRDefault="00546F10" w:rsidP="00B61103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275D77">
              <w:rPr>
                <w:rFonts w:cs="Arial"/>
                <w:b/>
                <w:bCs/>
                <w:color w:val="000000"/>
                <w:sz w:val="16"/>
              </w:rPr>
              <w:t>36</w:t>
            </w:r>
          </w:p>
        </w:tc>
        <w:tc>
          <w:tcPr>
            <w:tcW w:w="567" w:type="dxa"/>
          </w:tcPr>
          <w:p w14:paraId="6A86F828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b/>
                <w:sz w:val="16"/>
              </w:rPr>
            </w:pPr>
            <w:r w:rsidRPr="00275D77">
              <w:rPr>
                <w:rFonts w:cs="Arial"/>
                <w:b/>
                <w:sz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56EB16F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b/>
                <w:sz w:val="16"/>
              </w:rPr>
            </w:pPr>
            <w:r w:rsidRPr="00275D77">
              <w:rPr>
                <w:rFonts w:cs="Arial"/>
                <w:b/>
                <w:sz w:val="16"/>
              </w:rPr>
              <w:t>77</w:t>
            </w:r>
          </w:p>
        </w:tc>
        <w:tc>
          <w:tcPr>
            <w:tcW w:w="567" w:type="dxa"/>
          </w:tcPr>
          <w:p w14:paraId="13DC9B95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b/>
                <w:sz w:val="16"/>
              </w:rPr>
            </w:pPr>
            <w:r w:rsidRPr="00275D77">
              <w:rPr>
                <w:rFonts w:cs="Arial"/>
                <w:b/>
                <w:sz w:val="16"/>
              </w:rPr>
              <w:t>219</w:t>
            </w:r>
          </w:p>
        </w:tc>
        <w:tc>
          <w:tcPr>
            <w:tcW w:w="567" w:type="dxa"/>
          </w:tcPr>
          <w:p w14:paraId="11497029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b/>
                <w:sz w:val="16"/>
              </w:rPr>
            </w:pPr>
            <w:r w:rsidRPr="00275D77">
              <w:rPr>
                <w:rFonts w:cs="Arial"/>
                <w:b/>
                <w:bCs/>
                <w:sz w:val="16"/>
              </w:rPr>
              <w:t>222</w:t>
            </w:r>
          </w:p>
        </w:tc>
        <w:tc>
          <w:tcPr>
            <w:tcW w:w="567" w:type="dxa"/>
          </w:tcPr>
          <w:p w14:paraId="49607DE1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b/>
                <w:color w:val="000000"/>
                <w:sz w:val="16"/>
              </w:rPr>
              <w:t>2,509</w:t>
            </w:r>
          </w:p>
        </w:tc>
        <w:tc>
          <w:tcPr>
            <w:tcW w:w="567" w:type="dxa"/>
          </w:tcPr>
          <w:p w14:paraId="15CA084B" w14:textId="77777777" w:rsidR="00546F10" w:rsidRPr="00275D77" w:rsidRDefault="00546F10" w:rsidP="00B61103">
            <w:pPr>
              <w:ind w:right="57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75D77">
              <w:rPr>
                <w:rFonts w:cs="Arial"/>
                <w:b/>
                <w:bCs/>
                <w:color w:val="000000"/>
                <w:sz w:val="16"/>
              </w:rPr>
              <w:t>1,90</w:t>
            </w:r>
            <w:r>
              <w:rPr>
                <w:rFonts w:cs="Arial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2ACD9C6" w14:textId="77777777" w:rsidR="00546F10" w:rsidRPr="00797107" w:rsidRDefault="00546F10" w:rsidP="00B61103">
            <w:pPr>
              <w:ind w:right="57"/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1,873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C2B4112" w14:textId="77777777" w:rsidR="00546F10" w:rsidRPr="000563F4" w:rsidRDefault="00546F10" w:rsidP="00B61103">
            <w:pPr>
              <w:ind w:right="851"/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 w:rsidRPr="000563F4">
              <w:rPr>
                <w:rFonts w:cs="Arial"/>
                <w:b/>
                <w:bCs/>
                <w:color w:val="000000"/>
                <w:sz w:val="16"/>
              </w:rPr>
              <w:t>6,821</w:t>
            </w:r>
          </w:p>
        </w:tc>
      </w:tr>
    </w:tbl>
    <w:p w14:paraId="6785790E" w14:textId="77777777" w:rsidR="00546F10" w:rsidRPr="00275D77" w:rsidRDefault="00546F10" w:rsidP="00546F10">
      <w:pPr>
        <w:spacing w:before="40"/>
        <w:ind w:left="567"/>
        <w:rPr>
          <w:i/>
          <w:sz w:val="16"/>
        </w:rPr>
      </w:pPr>
      <w:r w:rsidRPr="00275D77">
        <w:rPr>
          <w:i/>
          <w:sz w:val="16"/>
        </w:rPr>
        <w:t>*Until required information is provided, applicants will not be able to submit application data</w:t>
      </w:r>
    </w:p>
    <w:p w14:paraId="0681EC33" w14:textId="77777777" w:rsidR="00546F10" w:rsidRPr="00275D77" w:rsidRDefault="00546F10" w:rsidP="00546F10">
      <w:pPr>
        <w:pStyle w:val="Heading1"/>
      </w:pPr>
      <w:bookmarkStart w:id="27" w:name="_Toc84968139"/>
      <w:bookmarkStart w:id="28" w:name="_Toc108791958"/>
      <w:bookmarkStart w:id="29" w:name="_Toc108792143"/>
      <w:bookmarkStart w:id="30" w:name="_Toc108792259"/>
      <w:bookmarkStart w:id="31" w:name="_Toc108792334"/>
      <w:bookmarkStart w:id="32" w:name="_Toc109028300"/>
      <w:bookmarkStart w:id="33" w:name="_Toc161136471"/>
      <w:r w:rsidRPr="00275D77">
        <w:lastRenderedPageBreak/>
        <w:t>Launch of Version 2.</w:t>
      </w:r>
      <w:bookmarkEnd w:id="27"/>
      <w:r>
        <w:t>10</w:t>
      </w:r>
      <w:r w:rsidRPr="00275D77">
        <w:t xml:space="preserve"> (</w:t>
      </w:r>
      <w:r>
        <w:t>April</w:t>
      </w:r>
      <w:r w:rsidRPr="00275D77">
        <w:t xml:space="preserve"> 202</w:t>
      </w:r>
      <w:r>
        <w:t>4</w:t>
      </w:r>
      <w:r w:rsidRPr="00275D77">
        <w:t>)</w:t>
      </w:r>
      <w:bookmarkEnd w:id="28"/>
      <w:bookmarkEnd w:id="29"/>
      <w:bookmarkEnd w:id="30"/>
      <w:bookmarkEnd w:id="31"/>
      <w:bookmarkEnd w:id="32"/>
      <w:bookmarkEnd w:id="33"/>
    </w:p>
    <w:p w14:paraId="414F1966" w14:textId="77777777" w:rsidR="00546F10" w:rsidRPr="00275D77" w:rsidRDefault="00546F10" w:rsidP="00546F10">
      <w:pPr>
        <w:rPr>
          <w:rFonts w:cs="Arial"/>
        </w:rPr>
      </w:pPr>
    </w:p>
    <w:p w14:paraId="128E32BA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UPOV PRISMA Version 2.</w:t>
      </w:r>
      <w:r>
        <w:t>10</w:t>
      </w:r>
      <w:r w:rsidRPr="00275D77">
        <w:t xml:space="preserve">, incorporating the following developments, </w:t>
      </w:r>
      <w:r>
        <w:t>will be</w:t>
      </w:r>
      <w:r w:rsidRPr="00275D77">
        <w:t xml:space="preserve"> deployed</w:t>
      </w:r>
      <w:r>
        <w:t xml:space="preserve"> in April</w:t>
      </w:r>
      <w:r w:rsidRPr="00275D77">
        <w:t xml:space="preserve"> 202</w:t>
      </w:r>
      <w:r>
        <w:t>4</w:t>
      </w:r>
      <w:r w:rsidRPr="00275D77">
        <w:t>.</w:t>
      </w:r>
    </w:p>
    <w:p w14:paraId="743CC6C9" w14:textId="77777777" w:rsidR="00546F10" w:rsidRPr="00275D77" w:rsidRDefault="00546F10" w:rsidP="00546F10"/>
    <w:p w14:paraId="5AA2F638" w14:textId="77777777" w:rsidR="00546F10" w:rsidRPr="00275D77" w:rsidRDefault="00546F10" w:rsidP="00546F10">
      <w:pPr>
        <w:pStyle w:val="Heading2"/>
      </w:pPr>
      <w:bookmarkStart w:id="34" w:name="_Toc84968148"/>
      <w:bookmarkStart w:id="35" w:name="_Toc85055499"/>
      <w:bookmarkStart w:id="36" w:name="_Toc161136472"/>
      <w:r w:rsidRPr="00275D77">
        <w:t>Crop coverage</w:t>
      </w:r>
      <w:bookmarkEnd w:id="34"/>
      <w:bookmarkEnd w:id="35"/>
      <w:bookmarkEnd w:id="36"/>
    </w:p>
    <w:p w14:paraId="38CC9D15" w14:textId="77777777" w:rsidR="00546F10" w:rsidRPr="00275D77" w:rsidRDefault="00546F10" w:rsidP="00546F10"/>
    <w:p w14:paraId="1CB30732" w14:textId="77777777" w:rsidR="00546F10" w:rsidRPr="00275D77" w:rsidRDefault="00546F10" w:rsidP="00546F10">
      <w:pPr>
        <w:rPr>
          <w:color w:val="000000"/>
        </w:rPr>
      </w:pPr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In Version 2.10, t</w:t>
      </w:r>
      <w:r w:rsidRPr="00275D77">
        <w:rPr>
          <w:color w:val="000000"/>
        </w:rPr>
        <w:t>he following</w:t>
      </w:r>
      <w:r>
        <w:rPr>
          <w:color w:val="000000"/>
        </w:rPr>
        <w:t xml:space="preserve"> new</w:t>
      </w:r>
      <w:r w:rsidRPr="00275D77">
        <w:rPr>
          <w:color w:val="000000"/>
        </w:rPr>
        <w:t xml:space="preserve"> UPOV Technical Questionnaires </w:t>
      </w:r>
      <w:r>
        <w:rPr>
          <w:color w:val="000000"/>
        </w:rPr>
        <w:t>have been</w:t>
      </w:r>
      <w:r w:rsidRPr="00275D77">
        <w:rPr>
          <w:color w:val="000000"/>
        </w:rPr>
        <w:t xml:space="preserve"> added in UPOV</w:t>
      </w:r>
      <w:r>
        <w:rPr>
          <w:rFonts w:cs="Arial"/>
          <w:color w:val="000000"/>
        </w:rPr>
        <w:t> </w:t>
      </w:r>
      <w:r w:rsidRPr="00275D77">
        <w:rPr>
          <w:color w:val="000000"/>
        </w:rPr>
        <w:t xml:space="preserve">PRISMA and applied to those UPOV members using UPOV </w:t>
      </w:r>
      <w:proofErr w:type="spellStart"/>
      <w:r w:rsidRPr="00275D77">
        <w:rPr>
          <w:color w:val="000000"/>
        </w:rPr>
        <w:t>TQ</w:t>
      </w:r>
      <w:bookmarkStart w:id="37" w:name="_Ref147155192"/>
      <w:bookmarkStart w:id="38" w:name="_Hlk147155081"/>
      <w:proofErr w:type="spellEnd"/>
      <w:r w:rsidRPr="00275D77">
        <w:rPr>
          <w:rStyle w:val="FootnoteReference"/>
          <w:color w:val="000000"/>
        </w:rPr>
        <w:footnoteReference w:id="1"/>
      </w:r>
      <w:bookmarkEnd w:id="37"/>
      <w:r w:rsidRPr="00275D77">
        <w:rPr>
          <w:color w:val="000000"/>
        </w:rPr>
        <w:t xml:space="preserve"> </w:t>
      </w:r>
      <w:bookmarkEnd w:id="38"/>
      <w:r w:rsidRPr="00275D77">
        <w:rPr>
          <w:color w:val="000000"/>
        </w:rPr>
        <w:t>or UPOV TG characteristics</w:t>
      </w:r>
      <w:bookmarkStart w:id="39" w:name="_Ref147155510"/>
      <w:r w:rsidRPr="00275D77">
        <w:rPr>
          <w:rStyle w:val="FootnoteReference"/>
          <w:color w:val="000000"/>
        </w:rPr>
        <w:footnoteReference w:id="2"/>
      </w:r>
      <w:bookmarkEnd w:id="39"/>
      <w:r w:rsidRPr="00275D77">
        <w:rPr>
          <w:color w:val="000000"/>
        </w:rPr>
        <w:t>.</w:t>
      </w:r>
    </w:p>
    <w:p w14:paraId="1B27D777" w14:textId="77777777" w:rsidR="00546F10" w:rsidRPr="00275D77" w:rsidRDefault="00546F10" w:rsidP="00546F10">
      <w:pPr>
        <w:rPr>
          <w:color w:val="000000"/>
        </w:rPr>
      </w:pPr>
    </w:p>
    <w:tbl>
      <w:tblPr>
        <w:tblStyle w:val="TableGrid10"/>
        <w:tblW w:w="0" w:type="auto"/>
        <w:tblInd w:w="50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80"/>
        <w:gridCol w:w="2689"/>
      </w:tblGrid>
      <w:tr w:rsidR="00546F10" w:rsidRPr="00183760" w14:paraId="31383365" w14:textId="77777777" w:rsidTr="00B61103">
        <w:trPr>
          <w:cantSplit/>
        </w:trPr>
        <w:tc>
          <w:tcPr>
            <w:tcW w:w="3180" w:type="dxa"/>
            <w:shd w:val="clear" w:color="auto" w:fill="F2F2F2" w:themeFill="background1" w:themeFillShade="F2"/>
          </w:tcPr>
          <w:p w14:paraId="6281C2F3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Common Name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14:paraId="2720D280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UPOV TG</w:t>
            </w:r>
          </w:p>
        </w:tc>
      </w:tr>
      <w:tr w:rsidR="00546F10" w:rsidRPr="00183760" w14:paraId="6C326B8E" w14:textId="77777777" w:rsidTr="00B61103">
        <w:trPr>
          <w:cantSplit/>
        </w:trPr>
        <w:tc>
          <w:tcPr>
            <w:tcW w:w="3180" w:type="dxa"/>
          </w:tcPr>
          <w:p w14:paraId="54187AB0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Hardy Geranium, Crane's Bill</w:t>
            </w:r>
          </w:p>
        </w:tc>
        <w:tc>
          <w:tcPr>
            <w:tcW w:w="2689" w:type="dxa"/>
          </w:tcPr>
          <w:p w14:paraId="4A279957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TG/330/1</w:t>
            </w:r>
          </w:p>
        </w:tc>
      </w:tr>
      <w:tr w:rsidR="00546F10" w:rsidRPr="00183760" w14:paraId="47F882B1" w14:textId="77777777" w:rsidTr="00B61103">
        <w:trPr>
          <w:cantSplit/>
        </w:trPr>
        <w:tc>
          <w:tcPr>
            <w:tcW w:w="3180" w:type="dxa"/>
          </w:tcPr>
          <w:p w14:paraId="65551554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 xml:space="preserve">Calendula </w:t>
            </w:r>
          </w:p>
        </w:tc>
        <w:tc>
          <w:tcPr>
            <w:tcW w:w="2689" w:type="dxa"/>
          </w:tcPr>
          <w:p w14:paraId="0C202357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TG/331/1</w:t>
            </w:r>
          </w:p>
        </w:tc>
      </w:tr>
      <w:tr w:rsidR="00546F10" w:rsidRPr="00183760" w14:paraId="0527FF8E" w14:textId="77777777" w:rsidTr="00B61103">
        <w:trPr>
          <w:cantSplit/>
        </w:trPr>
        <w:tc>
          <w:tcPr>
            <w:tcW w:w="3180" w:type="dxa"/>
          </w:tcPr>
          <w:p w14:paraId="23BAA216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Black Walnut</w:t>
            </w:r>
          </w:p>
        </w:tc>
        <w:tc>
          <w:tcPr>
            <w:tcW w:w="2689" w:type="dxa"/>
          </w:tcPr>
          <w:p w14:paraId="49E8DB0B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TG/332/1 Corr.</w:t>
            </w:r>
          </w:p>
        </w:tc>
      </w:tr>
      <w:tr w:rsidR="00546F10" w:rsidRPr="00183760" w14:paraId="5D1ECC6A" w14:textId="77777777" w:rsidTr="00B61103">
        <w:trPr>
          <w:cantSplit/>
        </w:trPr>
        <w:tc>
          <w:tcPr>
            <w:tcW w:w="3180" w:type="dxa"/>
          </w:tcPr>
          <w:p w14:paraId="6A8393CB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Gazania</w:t>
            </w:r>
          </w:p>
        </w:tc>
        <w:tc>
          <w:tcPr>
            <w:tcW w:w="2689" w:type="dxa"/>
          </w:tcPr>
          <w:p w14:paraId="54C9CF33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TG/333/1</w:t>
            </w:r>
          </w:p>
        </w:tc>
      </w:tr>
      <w:tr w:rsidR="00546F10" w:rsidRPr="00183760" w14:paraId="616F3BA2" w14:textId="77777777" w:rsidTr="00B61103">
        <w:trPr>
          <w:cantSplit/>
        </w:trPr>
        <w:tc>
          <w:tcPr>
            <w:tcW w:w="3180" w:type="dxa"/>
          </w:tcPr>
          <w:p w14:paraId="0194E623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Ranunculus</w:t>
            </w:r>
          </w:p>
        </w:tc>
        <w:tc>
          <w:tcPr>
            <w:tcW w:w="2689" w:type="dxa"/>
          </w:tcPr>
          <w:p w14:paraId="484D8835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TG/334/1</w:t>
            </w:r>
          </w:p>
        </w:tc>
      </w:tr>
      <w:tr w:rsidR="00546F10" w:rsidRPr="00183760" w14:paraId="3A1CFB75" w14:textId="77777777" w:rsidTr="00B61103">
        <w:trPr>
          <w:cantSplit/>
        </w:trPr>
        <w:tc>
          <w:tcPr>
            <w:tcW w:w="3180" w:type="dxa"/>
          </w:tcPr>
          <w:p w14:paraId="034FAE1E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Brown Mustard</w:t>
            </w:r>
          </w:p>
        </w:tc>
        <w:tc>
          <w:tcPr>
            <w:tcW w:w="2689" w:type="dxa"/>
          </w:tcPr>
          <w:p w14:paraId="22D75678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TG/335/1</w:t>
            </w:r>
          </w:p>
        </w:tc>
      </w:tr>
      <w:tr w:rsidR="00546F10" w:rsidRPr="00183760" w14:paraId="07771052" w14:textId="77777777" w:rsidTr="00B61103">
        <w:trPr>
          <w:cantSplit/>
        </w:trPr>
        <w:tc>
          <w:tcPr>
            <w:tcW w:w="3180" w:type="dxa"/>
          </w:tcPr>
          <w:p w14:paraId="04E79B63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Coreopsis</w:t>
            </w:r>
          </w:p>
        </w:tc>
        <w:tc>
          <w:tcPr>
            <w:tcW w:w="2689" w:type="dxa"/>
          </w:tcPr>
          <w:p w14:paraId="4440DD50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TG/336/1</w:t>
            </w:r>
          </w:p>
        </w:tc>
      </w:tr>
      <w:tr w:rsidR="00546F10" w:rsidRPr="00183760" w14:paraId="7DD12902" w14:textId="77777777" w:rsidTr="00B61103">
        <w:trPr>
          <w:cantSplit/>
        </w:trPr>
        <w:tc>
          <w:tcPr>
            <w:tcW w:w="3180" w:type="dxa"/>
          </w:tcPr>
          <w:p w14:paraId="7DB9CD7C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Pistachio</w:t>
            </w:r>
          </w:p>
        </w:tc>
        <w:tc>
          <w:tcPr>
            <w:tcW w:w="2689" w:type="dxa"/>
          </w:tcPr>
          <w:p w14:paraId="5C0D1AFC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TG/337/1</w:t>
            </w:r>
          </w:p>
        </w:tc>
      </w:tr>
      <w:tr w:rsidR="00546F10" w:rsidRPr="00183760" w14:paraId="59D405E1" w14:textId="77777777" w:rsidTr="00B61103">
        <w:trPr>
          <w:cantSplit/>
        </w:trPr>
        <w:tc>
          <w:tcPr>
            <w:tcW w:w="3180" w:type="dxa"/>
          </w:tcPr>
          <w:p w14:paraId="5C1F2E68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Physic Nut</w:t>
            </w:r>
          </w:p>
        </w:tc>
        <w:tc>
          <w:tcPr>
            <w:tcW w:w="2689" w:type="dxa"/>
          </w:tcPr>
          <w:p w14:paraId="33442F36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TG/338/1</w:t>
            </w:r>
          </w:p>
        </w:tc>
      </w:tr>
      <w:tr w:rsidR="00546F10" w:rsidRPr="00183760" w14:paraId="21E5ADBD" w14:textId="77777777" w:rsidTr="00B61103">
        <w:trPr>
          <w:cantSplit/>
        </w:trPr>
        <w:tc>
          <w:tcPr>
            <w:tcW w:w="3180" w:type="dxa"/>
          </w:tcPr>
          <w:p w14:paraId="35F26BB8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Zinnia</w:t>
            </w:r>
          </w:p>
        </w:tc>
        <w:tc>
          <w:tcPr>
            <w:tcW w:w="2689" w:type="dxa"/>
          </w:tcPr>
          <w:p w14:paraId="301B49A9" w14:textId="77777777" w:rsidR="00546F10" w:rsidRPr="00183760" w:rsidRDefault="00546F10" w:rsidP="00B61103">
            <w:pPr>
              <w:jc w:val="left"/>
              <w:rPr>
                <w:color w:val="000000"/>
                <w:sz w:val="18"/>
                <w:szCs w:val="22"/>
              </w:rPr>
            </w:pPr>
            <w:r w:rsidRPr="00183760">
              <w:rPr>
                <w:color w:val="000000"/>
                <w:sz w:val="18"/>
                <w:szCs w:val="22"/>
              </w:rPr>
              <w:t>TG/339/1</w:t>
            </w:r>
          </w:p>
        </w:tc>
      </w:tr>
    </w:tbl>
    <w:p w14:paraId="0347013B" w14:textId="77777777" w:rsidR="00546F10" w:rsidRPr="00275D77" w:rsidRDefault="00546F10" w:rsidP="00546F10"/>
    <w:p w14:paraId="5606F88B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In Version 2.10, t</w:t>
      </w:r>
      <w:r w:rsidRPr="00275D77">
        <w:rPr>
          <w:color w:val="000000"/>
        </w:rPr>
        <w:t xml:space="preserve">he following UPOV Technical Questionnaires </w:t>
      </w:r>
      <w:r>
        <w:rPr>
          <w:color w:val="000000"/>
        </w:rPr>
        <w:t>have been</w:t>
      </w:r>
      <w:r w:rsidRPr="00275D77">
        <w:rPr>
          <w:color w:val="000000"/>
        </w:rPr>
        <w:t xml:space="preserve"> </w:t>
      </w:r>
      <w:r>
        <w:rPr>
          <w:color w:val="000000"/>
        </w:rPr>
        <w:t>revised</w:t>
      </w:r>
      <w:r w:rsidRPr="00275D77">
        <w:rPr>
          <w:color w:val="000000"/>
        </w:rPr>
        <w:t xml:space="preserve"> in UPOV PRISMA and applied to those UPOV members using UPOV TQ</w:t>
      </w:r>
      <w:r w:rsidRPr="00773EDC">
        <w:rPr>
          <w:color w:val="000000"/>
        </w:rPr>
        <w:fldChar w:fldCharType="begin"/>
      </w:r>
      <w:r w:rsidRPr="00275D77">
        <w:rPr>
          <w:rStyle w:val="FootnoteReference"/>
          <w:color w:val="000000"/>
        </w:rPr>
        <w:instrText xml:space="preserve"> NOTEREF _Ref147155192 \h </w:instrText>
      </w:r>
      <w:r w:rsidRPr="00773EDC">
        <w:rPr>
          <w:color w:val="000000"/>
        </w:rPr>
      </w:r>
      <w:r w:rsidRPr="00773EDC">
        <w:rPr>
          <w:color w:val="000000"/>
        </w:rPr>
        <w:fldChar w:fldCharType="separate"/>
      </w:r>
      <w:r>
        <w:rPr>
          <w:rStyle w:val="FootnoteReference"/>
          <w:color w:val="000000"/>
        </w:rPr>
        <w:t>1</w:t>
      </w:r>
      <w:r w:rsidRPr="00773EDC">
        <w:rPr>
          <w:color w:val="000000"/>
        </w:rPr>
        <w:fldChar w:fldCharType="end"/>
      </w:r>
      <w:r w:rsidRPr="00275D77">
        <w:rPr>
          <w:color w:val="000000"/>
        </w:rPr>
        <w:t xml:space="preserve"> or UPOV TG characteristics</w:t>
      </w:r>
      <w:r w:rsidRPr="00275D77">
        <w:rPr>
          <w:rStyle w:val="FootnoteReference"/>
        </w:rPr>
        <w:fldChar w:fldCharType="begin"/>
      </w:r>
      <w:r w:rsidRPr="00275D77">
        <w:rPr>
          <w:rStyle w:val="FootnoteReference"/>
          <w:color w:val="000000"/>
        </w:rPr>
        <w:instrText xml:space="preserve"> NOTEREF _Ref147155510 \f \h </w:instrText>
      </w:r>
      <w:r w:rsidRPr="00275D77">
        <w:rPr>
          <w:rStyle w:val="FootnoteReference"/>
        </w:rPr>
        <w:instrText xml:space="preserve"> \* MERGEFORMAT </w:instrText>
      </w:r>
      <w:r w:rsidRPr="00275D77">
        <w:rPr>
          <w:rStyle w:val="FootnoteReference"/>
        </w:rPr>
      </w:r>
      <w:r w:rsidRPr="00275D77">
        <w:rPr>
          <w:rStyle w:val="FootnoteReference"/>
        </w:rPr>
        <w:fldChar w:fldCharType="separate"/>
      </w:r>
      <w:r w:rsidRPr="0018666B">
        <w:rPr>
          <w:rStyle w:val="FootnoteReference"/>
          <w:color w:val="000000"/>
        </w:rPr>
        <w:t>2</w:t>
      </w:r>
      <w:r w:rsidRPr="00275D77">
        <w:rPr>
          <w:rStyle w:val="FootnoteReference"/>
        </w:rPr>
        <w:fldChar w:fldCharType="end"/>
      </w:r>
      <w:r w:rsidRPr="00275D77">
        <w:rPr>
          <w:color w:val="000000"/>
        </w:rPr>
        <w:t>.</w:t>
      </w:r>
    </w:p>
    <w:p w14:paraId="6479CA9B" w14:textId="77777777" w:rsidR="00546F10" w:rsidRPr="00275D77" w:rsidRDefault="00546F10" w:rsidP="00546F10"/>
    <w:tbl>
      <w:tblPr>
        <w:tblW w:w="5839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689"/>
      </w:tblGrid>
      <w:tr w:rsidR="00546F10" w:rsidRPr="00275D77" w14:paraId="6AD22345" w14:textId="77777777" w:rsidTr="00B61103">
        <w:trPr>
          <w:cantSplit/>
          <w:trHeight w:val="245"/>
          <w:tblHeader/>
        </w:trPr>
        <w:tc>
          <w:tcPr>
            <w:tcW w:w="3150" w:type="dxa"/>
            <w:shd w:val="clear" w:color="auto" w:fill="F2F2F2" w:themeFill="background1" w:themeFillShade="F2"/>
            <w:noWrap/>
            <w:hideMark/>
          </w:tcPr>
          <w:p w14:paraId="2F5E928C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Common Name</w:t>
            </w:r>
          </w:p>
        </w:tc>
        <w:tc>
          <w:tcPr>
            <w:tcW w:w="2689" w:type="dxa"/>
            <w:shd w:val="clear" w:color="auto" w:fill="F2F2F2" w:themeFill="background1" w:themeFillShade="F2"/>
            <w:noWrap/>
            <w:hideMark/>
          </w:tcPr>
          <w:p w14:paraId="5A28D076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UPOV TG</w:t>
            </w:r>
          </w:p>
        </w:tc>
      </w:tr>
      <w:tr w:rsidR="00546F10" w:rsidRPr="00275D77" w14:paraId="39CF2B99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1A9FF732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Wheat</w:t>
            </w:r>
          </w:p>
        </w:tc>
        <w:tc>
          <w:tcPr>
            <w:tcW w:w="2689" w:type="dxa"/>
            <w:shd w:val="clear" w:color="auto" w:fill="auto"/>
            <w:hideMark/>
          </w:tcPr>
          <w:p w14:paraId="05DAE6A6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TG/3/12</w:t>
            </w:r>
          </w:p>
        </w:tc>
      </w:tr>
      <w:tr w:rsidR="00546F10" w:rsidRPr="00275D77" w14:paraId="31822F12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5BC85663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 xml:space="preserve">Field Bean </w:t>
            </w:r>
          </w:p>
        </w:tc>
        <w:tc>
          <w:tcPr>
            <w:tcW w:w="2689" w:type="dxa"/>
            <w:shd w:val="clear" w:color="auto" w:fill="auto"/>
            <w:hideMark/>
          </w:tcPr>
          <w:p w14:paraId="2FA6EA95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TG/8/7</w:t>
            </w:r>
          </w:p>
        </w:tc>
      </w:tr>
      <w:tr w:rsidR="00546F10" w:rsidRPr="00275D77" w14:paraId="05062904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6A549051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Lettuce</w:t>
            </w:r>
          </w:p>
        </w:tc>
        <w:tc>
          <w:tcPr>
            <w:tcW w:w="2689" w:type="dxa"/>
            <w:shd w:val="clear" w:color="auto" w:fill="auto"/>
            <w:hideMark/>
          </w:tcPr>
          <w:p w14:paraId="493157E8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TG/13/11 Rev.</w:t>
            </w:r>
          </w:p>
        </w:tc>
      </w:tr>
      <w:tr w:rsidR="00546F10" w:rsidRPr="00275D77" w14:paraId="0F62359D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586027BD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 xml:space="preserve">Barley </w:t>
            </w:r>
          </w:p>
        </w:tc>
        <w:tc>
          <w:tcPr>
            <w:tcW w:w="2689" w:type="dxa"/>
            <w:shd w:val="clear" w:color="auto" w:fill="auto"/>
            <w:hideMark/>
          </w:tcPr>
          <w:p w14:paraId="7BE15AB8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TG/19/11</w:t>
            </w:r>
          </w:p>
        </w:tc>
      </w:tr>
      <w:tr w:rsidR="00546F10" w:rsidRPr="00275D77" w14:paraId="28CBD4F5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45AF89BF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Oats</w:t>
            </w:r>
          </w:p>
        </w:tc>
        <w:tc>
          <w:tcPr>
            <w:tcW w:w="2689" w:type="dxa"/>
            <w:shd w:val="clear" w:color="auto" w:fill="auto"/>
            <w:hideMark/>
          </w:tcPr>
          <w:p w14:paraId="7A4449B0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TG/20/11</w:t>
            </w:r>
          </w:p>
        </w:tc>
      </w:tr>
      <w:tr w:rsidR="00546F10" w:rsidRPr="00275D77" w14:paraId="1FBB9366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2EB583C3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 xml:space="preserve">Freesia </w:t>
            </w:r>
          </w:p>
        </w:tc>
        <w:tc>
          <w:tcPr>
            <w:tcW w:w="2689" w:type="dxa"/>
            <w:shd w:val="clear" w:color="auto" w:fill="auto"/>
            <w:hideMark/>
          </w:tcPr>
          <w:p w14:paraId="048C91A1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TG/27/7</w:t>
            </w:r>
          </w:p>
        </w:tc>
      </w:tr>
      <w:tr w:rsidR="00546F10" w:rsidRPr="00275D77" w14:paraId="7C81CA60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7A127596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Alstroemeria</w:t>
            </w:r>
          </w:p>
        </w:tc>
        <w:tc>
          <w:tcPr>
            <w:tcW w:w="2689" w:type="dxa"/>
            <w:shd w:val="clear" w:color="auto" w:fill="auto"/>
            <w:hideMark/>
          </w:tcPr>
          <w:p w14:paraId="3135EAE9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TG/29/8</w:t>
            </w:r>
          </w:p>
        </w:tc>
      </w:tr>
      <w:tr w:rsidR="00546F10" w:rsidRPr="00275D77" w14:paraId="3B81064F" w14:textId="77777777" w:rsidTr="00B61103">
        <w:trPr>
          <w:trHeight w:val="233"/>
        </w:trPr>
        <w:tc>
          <w:tcPr>
            <w:tcW w:w="3150" w:type="dxa"/>
            <w:shd w:val="clear" w:color="auto" w:fill="auto"/>
            <w:hideMark/>
          </w:tcPr>
          <w:p w14:paraId="1A3DCDFF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Radish; Black Radish</w:t>
            </w:r>
          </w:p>
        </w:tc>
        <w:tc>
          <w:tcPr>
            <w:tcW w:w="2689" w:type="dxa"/>
            <w:shd w:val="clear" w:color="auto" w:fill="auto"/>
            <w:hideMark/>
          </w:tcPr>
          <w:p w14:paraId="501472B2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TG/63/7-TG/64/7</w:t>
            </w:r>
            <w:r w:rsidRPr="00275D77">
              <w:rPr>
                <w:color w:val="000000"/>
                <w:sz w:val="18"/>
              </w:rPr>
              <w:br/>
              <w:t>TG/63/7-TG/64/7 Rev. Corr.</w:t>
            </w:r>
          </w:p>
        </w:tc>
      </w:tr>
      <w:tr w:rsidR="00546F10" w:rsidRPr="00275D77" w14:paraId="41A8E120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5FDBD0E6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Pepper</w:t>
            </w:r>
          </w:p>
        </w:tc>
        <w:tc>
          <w:tcPr>
            <w:tcW w:w="2689" w:type="dxa"/>
            <w:shd w:val="clear" w:color="auto" w:fill="auto"/>
            <w:hideMark/>
          </w:tcPr>
          <w:p w14:paraId="0EE9FD58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TG/76/8 Rev. 2</w:t>
            </w:r>
          </w:p>
        </w:tc>
      </w:tr>
      <w:tr w:rsidR="00546F10" w:rsidRPr="00275D77" w14:paraId="666EC1CA" w14:textId="77777777" w:rsidTr="00B61103">
        <w:trPr>
          <w:trHeight w:val="56"/>
        </w:trPr>
        <w:tc>
          <w:tcPr>
            <w:tcW w:w="3150" w:type="dxa"/>
            <w:shd w:val="clear" w:color="auto" w:fill="auto"/>
            <w:hideMark/>
          </w:tcPr>
          <w:p w14:paraId="06D15F65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Japanese plum</w:t>
            </w:r>
          </w:p>
        </w:tc>
        <w:tc>
          <w:tcPr>
            <w:tcW w:w="2689" w:type="dxa"/>
            <w:shd w:val="clear" w:color="auto" w:fill="auto"/>
            <w:hideMark/>
          </w:tcPr>
          <w:p w14:paraId="29456635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TG/84/4 Corr. 2 Rev. 2</w:t>
            </w:r>
          </w:p>
        </w:tc>
      </w:tr>
      <w:tr w:rsidR="00546F10" w:rsidRPr="00275D77" w14:paraId="7D04CA01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420D479C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 xml:space="preserve">Cotton </w:t>
            </w:r>
          </w:p>
        </w:tc>
        <w:tc>
          <w:tcPr>
            <w:tcW w:w="2689" w:type="dxa"/>
            <w:shd w:val="clear" w:color="auto" w:fill="auto"/>
            <w:hideMark/>
          </w:tcPr>
          <w:p w14:paraId="128114B9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TG/88/7</w:t>
            </w:r>
          </w:p>
        </w:tc>
      </w:tr>
      <w:tr w:rsidR="00546F10" w:rsidRPr="00275D77" w14:paraId="204C4B8E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3BC68F89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Macadamia</w:t>
            </w:r>
          </w:p>
        </w:tc>
        <w:tc>
          <w:tcPr>
            <w:tcW w:w="2689" w:type="dxa"/>
            <w:shd w:val="clear" w:color="auto" w:fill="auto"/>
            <w:hideMark/>
          </w:tcPr>
          <w:p w14:paraId="4B7D4852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TG/111/4</w:t>
            </w:r>
          </w:p>
        </w:tc>
      </w:tr>
      <w:tr w:rsidR="00546F10" w:rsidRPr="00275D77" w14:paraId="71272D8A" w14:textId="77777777" w:rsidTr="00B61103">
        <w:trPr>
          <w:trHeight w:val="68"/>
        </w:trPr>
        <w:tc>
          <w:tcPr>
            <w:tcW w:w="3150" w:type="dxa"/>
            <w:shd w:val="clear" w:color="auto" w:fill="auto"/>
            <w:hideMark/>
          </w:tcPr>
          <w:p w14:paraId="29FB514B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Mango</w:t>
            </w:r>
          </w:p>
        </w:tc>
        <w:tc>
          <w:tcPr>
            <w:tcW w:w="2689" w:type="dxa"/>
            <w:shd w:val="clear" w:color="auto" w:fill="auto"/>
            <w:hideMark/>
          </w:tcPr>
          <w:p w14:paraId="296A6165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TG/112/4 Corr.</w:t>
            </w:r>
          </w:p>
        </w:tc>
      </w:tr>
      <w:tr w:rsidR="00546F10" w:rsidRPr="00275D77" w14:paraId="6C4F3A8D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070AFCC6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Chestnut</w:t>
            </w:r>
          </w:p>
        </w:tc>
        <w:tc>
          <w:tcPr>
            <w:tcW w:w="2689" w:type="dxa"/>
            <w:shd w:val="clear" w:color="auto" w:fill="auto"/>
            <w:hideMark/>
          </w:tcPr>
          <w:p w14:paraId="4B8FF24C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TG/124/4</w:t>
            </w:r>
          </w:p>
        </w:tc>
      </w:tr>
      <w:tr w:rsidR="00546F10" w:rsidRPr="00275D77" w14:paraId="7B5A9C6B" w14:textId="77777777" w:rsidTr="00B61103">
        <w:trPr>
          <w:trHeight w:val="235"/>
        </w:trPr>
        <w:tc>
          <w:tcPr>
            <w:tcW w:w="3150" w:type="dxa"/>
            <w:shd w:val="clear" w:color="auto" w:fill="auto"/>
            <w:hideMark/>
          </w:tcPr>
          <w:p w14:paraId="36863779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Broccoli, Calabrese, Sprouting Broccoli, Winter broccoli</w:t>
            </w:r>
          </w:p>
        </w:tc>
        <w:tc>
          <w:tcPr>
            <w:tcW w:w="2689" w:type="dxa"/>
            <w:shd w:val="clear" w:color="auto" w:fill="auto"/>
            <w:hideMark/>
          </w:tcPr>
          <w:p w14:paraId="560AE75C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TG/151/5</w:t>
            </w:r>
          </w:p>
        </w:tc>
      </w:tr>
      <w:tr w:rsidR="00546F10" w:rsidRPr="00275D77" w14:paraId="52A9711A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5E2FB991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Leaf Chicory</w:t>
            </w:r>
          </w:p>
        </w:tc>
        <w:tc>
          <w:tcPr>
            <w:tcW w:w="2689" w:type="dxa"/>
            <w:shd w:val="clear" w:color="auto" w:fill="auto"/>
            <w:hideMark/>
          </w:tcPr>
          <w:p w14:paraId="67EEE3E3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TG/154/4</w:t>
            </w:r>
          </w:p>
        </w:tc>
      </w:tr>
      <w:tr w:rsidR="00546F10" w:rsidRPr="00275D77" w14:paraId="7D031159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4964D307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Witloof, Chicory</w:t>
            </w:r>
          </w:p>
        </w:tc>
        <w:tc>
          <w:tcPr>
            <w:tcW w:w="2689" w:type="dxa"/>
            <w:shd w:val="clear" w:color="auto" w:fill="auto"/>
            <w:hideMark/>
          </w:tcPr>
          <w:p w14:paraId="3C00928D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 xml:space="preserve">TG/173/4 </w:t>
            </w:r>
          </w:p>
        </w:tc>
      </w:tr>
      <w:tr w:rsidR="00546F10" w:rsidRPr="00275D77" w14:paraId="2C49F5FC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79BD7346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proofErr w:type="spellStart"/>
            <w:r w:rsidRPr="00275D77">
              <w:rPr>
                <w:color w:val="000000"/>
                <w:sz w:val="18"/>
              </w:rPr>
              <w:t>Guzmania</w:t>
            </w:r>
            <w:proofErr w:type="spellEnd"/>
            <w:r w:rsidRPr="00275D7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  <w:hideMark/>
          </w:tcPr>
          <w:p w14:paraId="73FC2CA7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TG/182/4</w:t>
            </w:r>
          </w:p>
        </w:tc>
      </w:tr>
      <w:tr w:rsidR="00546F10" w:rsidRPr="00275D77" w14:paraId="0EAB08F9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2C6E8D01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Fennel</w:t>
            </w:r>
          </w:p>
        </w:tc>
        <w:tc>
          <w:tcPr>
            <w:tcW w:w="2689" w:type="dxa"/>
            <w:shd w:val="clear" w:color="auto" w:fill="auto"/>
            <w:hideMark/>
          </w:tcPr>
          <w:p w14:paraId="28242BA4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TG/183/4</w:t>
            </w:r>
          </w:p>
        </w:tc>
      </w:tr>
      <w:tr w:rsidR="00546F10" w:rsidRPr="00275D77" w14:paraId="69B2A85C" w14:textId="77777777" w:rsidTr="00B61103">
        <w:trPr>
          <w:trHeight w:val="171"/>
        </w:trPr>
        <w:tc>
          <w:tcPr>
            <w:tcW w:w="3150" w:type="dxa"/>
            <w:shd w:val="clear" w:color="auto" w:fill="auto"/>
            <w:hideMark/>
          </w:tcPr>
          <w:p w14:paraId="5283FC7E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 xml:space="preserve">Artichoke, Cardoon </w:t>
            </w:r>
          </w:p>
        </w:tc>
        <w:tc>
          <w:tcPr>
            <w:tcW w:w="2689" w:type="dxa"/>
            <w:shd w:val="clear" w:color="auto" w:fill="auto"/>
            <w:hideMark/>
          </w:tcPr>
          <w:p w14:paraId="2C7A44EB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TG/184/4 Rev.</w:t>
            </w:r>
          </w:p>
        </w:tc>
      </w:tr>
      <w:tr w:rsidR="00546F10" w:rsidRPr="00275D77" w14:paraId="2E7AA797" w14:textId="77777777" w:rsidTr="00B61103">
        <w:trPr>
          <w:trHeight w:val="89"/>
        </w:trPr>
        <w:tc>
          <w:tcPr>
            <w:tcW w:w="3150" w:type="dxa"/>
            <w:shd w:val="clear" w:color="auto" w:fill="auto"/>
            <w:hideMark/>
          </w:tcPr>
          <w:p w14:paraId="05F1CC15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proofErr w:type="spellStart"/>
            <w:r w:rsidRPr="00275D77">
              <w:rPr>
                <w:color w:val="000000"/>
                <w:sz w:val="18"/>
              </w:rPr>
              <w:t>Lavendula</w:t>
            </w:r>
            <w:proofErr w:type="spellEnd"/>
            <w:r w:rsidRPr="00275D77">
              <w:rPr>
                <w:color w:val="000000"/>
                <w:sz w:val="18"/>
              </w:rPr>
              <w:t xml:space="preserve">, </w:t>
            </w:r>
            <w:proofErr w:type="spellStart"/>
            <w:r w:rsidRPr="00275D77">
              <w:rPr>
                <w:color w:val="000000"/>
                <w:sz w:val="18"/>
              </w:rPr>
              <w:t>Lavendar</w:t>
            </w:r>
            <w:proofErr w:type="spellEnd"/>
          </w:p>
        </w:tc>
        <w:tc>
          <w:tcPr>
            <w:tcW w:w="2689" w:type="dxa"/>
            <w:shd w:val="clear" w:color="auto" w:fill="auto"/>
            <w:hideMark/>
          </w:tcPr>
          <w:p w14:paraId="282F025E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TG/194/1 Rev.</w:t>
            </w:r>
          </w:p>
        </w:tc>
      </w:tr>
      <w:tr w:rsidR="00546F10" w:rsidRPr="00275D77" w14:paraId="215D2F0E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327C24B9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Petunia</w:t>
            </w:r>
          </w:p>
        </w:tc>
        <w:tc>
          <w:tcPr>
            <w:tcW w:w="2689" w:type="dxa"/>
            <w:shd w:val="clear" w:color="auto" w:fill="auto"/>
            <w:hideMark/>
          </w:tcPr>
          <w:p w14:paraId="5F999104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TG/212/2</w:t>
            </w:r>
          </w:p>
        </w:tc>
      </w:tr>
      <w:tr w:rsidR="00546F10" w:rsidRPr="00275D77" w14:paraId="69C42D02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0EE2F572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Agaricus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33EEC339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TG/259/2</w:t>
            </w:r>
          </w:p>
        </w:tc>
      </w:tr>
      <w:tr w:rsidR="00546F10" w:rsidRPr="00275D77" w14:paraId="5A16FDFF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25FF949F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Papaya, Pawpaw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58F56B01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TG/264/2</w:t>
            </w:r>
          </w:p>
        </w:tc>
      </w:tr>
      <w:tr w:rsidR="00546F10" w:rsidRPr="00275D77" w14:paraId="2A60FAF4" w14:textId="77777777" w:rsidTr="00B61103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3F1B0A69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proofErr w:type="spellStart"/>
            <w:r w:rsidRPr="00275D77">
              <w:rPr>
                <w:color w:val="000000"/>
                <w:sz w:val="18"/>
              </w:rPr>
              <w:t>Urochloa</w:t>
            </w:r>
            <w:proofErr w:type="spellEnd"/>
          </w:p>
        </w:tc>
        <w:tc>
          <w:tcPr>
            <w:tcW w:w="2689" w:type="dxa"/>
            <w:shd w:val="clear" w:color="auto" w:fill="auto"/>
            <w:hideMark/>
          </w:tcPr>
          <w:p w14:paraId="0B6B31C5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TG/322/1 Corr.</w:t>
            </w:r>
          </w:p>
        </w:tc>
      </w:tr>
      <w:tr w:rsidR="00546F10" w:rsidRPr="00275D77" w14:paraId="0DBD93CF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658838CE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lastRenderedPageBreak/>
              <w:t>Blueberry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35F832B1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TG/137/5</w:t>
            </w:r>
          </w:p>
        </w:tc>
      </w:tr>
      <w:tr w:rsidR="00546F10" w:rsidRPr="00275D77" w14:paraId="63ED7875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3CDC2811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Portulaca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64F9F308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TG/242/2</w:t>
            </w:r>
          </w:p>
        </w:tc>
      </w:tr>
      <w:tr w:rsidR="00546F10" w:rsidRPr="00275D77" w14:paraId="7DBB99AF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283318B1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Triticale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4B46FF43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TG/121/4</w:t>
            </w:r>
          </w:p>
        </w:tc>
      </w:tr>
      <w:tr w:rsidR="00546F10" w:rsidRPr="00275D77" w14:paraId="0E011175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2103C171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Red Clover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2820D110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TG/5/8</w:t>
            </w:r>
          </w:p>
        </w:tc>
      </w:tr>
      <w:tr w:rsidR="00546F10" w:rsidRPr="00275D77" w14:paraId="7B84D941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5A076349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proofErr w:type="spellStart"/>
            <w:r w:rsidRPr="00275D77">
              <w:rPr>
                <w:color w:val="000000"/>
                <w:sz w:val="18"/>
              </w:rPr>
              <w:t>Thimoty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hideMark/>
          </w:tcPr>
          <w:p w14:paraId="6878C0AF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TG/34/7</w:t>
            </w:r>
          </w:p>
        </w:tc>
      </w:tr>
      <w:tr w:rsidR="00546F10" w:rsidRPr="00275D77" w14:paraId="3E8E9C7D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328F9118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Lagerstroemia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48BE1092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TG/95/4</w:t>
            </w:r>
          </w:p>
        </w:tc>
      </w:tr>
      <w:tr w:rsidR="00546F10" w:rsidRPr="00275D77" w14:paraId="75F659A5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00162D06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Hydrangea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6DC9E8D6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TG/133/5</w:t>
            </w:r>
          </w:p>
        </w:tc>
      </w:tr>
      <w:tr w:rsidR="00546F10" w:rsidRPr="00275D77" w14:paraId="5BDF5E60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06D9F8D2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Chickpea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732B36B9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TG/143/5</w:t>
            </w:r>
          </w:p>
        </w:tc>
      </w:tr>
      <w:tr w:rsidR="00546F10" w:rsidRPr="00275D77" w14:paraId="48181B82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23347CCB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Tea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2FA42B26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TG/238/2</w:t>
            </w:r>
          </w:p>
        </w:tc>
      </w:tr>
      <w:tr w:rsidR="00546F10" w:rsidRPr="00275D77" w14:paraId="67BEAFDD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5FE427BC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Turnip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4ED54B83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TG/37/11</w:t>
            </w:r>
          </w:p>
        </w:tc>
      </w:tr>
      <w:tr w:rsidR="00546F10" w:rsidRPr="00275D77" w14:paraId="5E2EA328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196D91DF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Berberis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1B81D0A9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TG/68/4</w:t>
            </w:r>
          </w:p>
        </w:tc>
      </w:tr>
      <w:tr w:rsidR="00546F10" w:rsidRPr="00275D77" w14:paraId="7DA4C735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3E362579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Apricot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3E487B08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TG/70/5</w:t>
            </w:r>
          </w:p>
        </w:tc>
      </w:tr>
      <w:tr w:rsidR="00546F10" w:rsidRPr="00275D77" w14:paraId="281DED3A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357B2C46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Eustoma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515E422F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TG/197/2</w:t>
            </w:r>
          </w:p>
        </w:tc>
      </w:tr>
      <w:tr w:rsidR="00546F10" w:rsidRPr="00275D77" w14:paraId="1DB73CE7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1F228FFB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Echinacea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0BFA55B8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TG/281/2</w:t>
            </w:r>
          </w:p>
        </w:tc>
      </w:tr>
      <w:tr w:rsidR="00546F10" w:rsidRPr="00275D77" w14:paraId="77E94A98" w14:textId="77777777" w:rsidTr="00B61103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19A82138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Banana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620F16C4" w14:textId="77777777" w:rsidR="00546F10" w:rsidRPr="00275D77" w:rsidRDefault="00546F10" w:rsidP="00B61103">
            <w:pPr>
              <w:jc w:val="left"/>
              <w:rPr>
                <w:color w:val="000000"/>
                <w:sz w:val="18"/>
              </w:rPr>
            </w:pPr>
            <w:r w:rsidRPr="00275D77">
              <w:rPr>
                <w:color w:val="000000"/>
                <w:sz w:val="18"/>
              </w:rPr>
              <w:t>TG/123/4</w:t>
            </w:r>
          </w:p>
        </w:tc>
      </w:tr>
    </w:tbl>
    <w:p w14:paraId="4BDFB0EA" w14:textId="77777777" w:rsidR="00546F10" w:rsidRPr="00275D77" w:rsidRDefault="00546F10" w:rsidP="00546F10"/>
    <w:p w14:paraId="5F92D90C" w14:textId="77777777" w:rsidR="00546F10" w:rsidRPr="00275D77" w:rsidRDefault="00546F10" w:rsidP="00546F10">
      <w:pPr>
        <w:ind w:left="567" w:hanging="567"/>
      </w:pPr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In Version 2.10</w:t>
      </w:r>
      <w:r>
        <w:t>, t</w:t>
      </w:r>
      <w:r w:rsidRPr="00275D77">
        <w:t xml:space="preserve">he coverage for China </w:t>
      </w:r>
      <w:r>
        <w:t>has been</w:t>
      </w:r>
      <w:r w:rsidRPr="00275D77">
        <w:t xml:space="preserve"> increased as follows:</w:t>
      </w:r>
    </w:p>
    <w:p w14:paraId="1F9D8B9C" w14:textId="77777777" w:rsidR="00546F10" w:rsidRPr="00275D77" w:rsidRDefault="00546F10" w:rsidP="00546F10">
      <w:pPr>
        <w:ind w:left="567"/>
      </w:pPr>
    </w:p>
    <w:tbl>
      <w:tblPr>
        <w:tblStyle w:val="TableGrid10"/>
        <w:tblW w:w="0" w:type="auto"/>
        <w:tblInd w:w="5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4482"/>
        <w:gridCol w:w="1704"/>
      </w:tblGrid>
      <w:tr w:rsidR="00546F10" w:rsidRPr="00275D77" w14:paraId="3FEFA625" w14:textId="77777777" w:rsidTr="00B61103">
        <w:trPr>
          <w:cantSplit/>
          <w:tblHeader/>
        </w:trPr>
        <w:tc>
          <w:tcPr>
            <w:tcW w:w="1668" w:type="dxa"/>
            <w:shd w:val="clear" w:color="auto" w:fill="F2F2F2" w:themeFill="background1" w:themeFillShade="F2"/>
          </w:tcPr>
          <w:p w14:paraId="7A01A8E0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2CB884F9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Botanical Name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14:paraId="3DD21801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UPOV TG</w:t>
            </w:r>
          </w:p>
        </w:tc>
      </w:tr>
      <w:tr w:rsidR="00546F10" w:rsidRPr="00275D77" w14:paraId="093BDD3A" w14:textId="77777777" w:rsidTr="00B61103">
        <w:trPr>
          <w:cantSplit/>
        </w:trPr>
        <w:tc>
          <w:tcPr>
            <w:tcW w:w="1668" w:type="dxa"/>
          </w:tcPr>
          <w:p w14:paraId="67C5B3BA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Soya bean</w:t>
            </w:r>
          </w:p>
        </w:tc>
        <w:tc>
          <w:tcPr>
            <w:tcW w:w="4482" w:type="dxa"/>
          </w:tcPr>
          <w:p w14:paraId="268CE20E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Glycine max (L.) Merrill</w:t>
            </w:r>
          </w:p>
        </w:tc>
        <w:tc>
          <w:tcPr>
            <w:tcW w:w="1704" w:type="dxa"/>
          </w:tcPr>
          <w:p w14:paraId="05C8F3C1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TG/80/6</w:t>
            </w:r>
          </w:p>
        </w:tc>
      </w:tr>
      <w:tr w:rsidR="00546F10" w:rsidRPr="00275D77" w14:paraId="4DD927ED" w14:textId="77777777" w:rsidTr="00B61103">
        <w:trPr>
          <w:cantSplit/>
        </w:trPr>
        <w:tc>
          <w:tcPr>
            <w:tcW w:w="1668" w:type="dxa"/>
            <w:hideMark/>
          </w:tcPr>
          <w:p w14:paraId="58A2B0B1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Kiwifruit</w:t>
            </w:r>
          </w:p>
        </w:tc>
        <w:tc>
          <w:tcPr>
            <w:tcW w:w="4482" w:type="dxa"/>
            <w:hideMark/>
          </w:tcPr>
          <w:p w14:paraId="74616019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 xml:space="preserve">Actinidia </w:t>
            </w:r>
            <w:proofErr w:type="spellStart"/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Lindl</w:t>
            </w:r>
            <w:proofErr w:type="spellEnd"/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4" w:type="dxa"/>
            <w:hideMark/>
          </w:tcPr>
          <w:p w14:paraId="56B08B34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TG/98/7</w:t>
            </w:r>
          </w:p>
        </w:tc>
      </w:tr>
      <w:tr w:rsidR="00546F10" w:rsidRPr="00275D77" w14:paraId="5C09D407" w14:textId="77777777" w:rsidTr="00B61103">
        <w:trPr>
          <w:cantSplit/>
        </w:trPr>
        <w:tc>
          <w:tcPr>
            <w:tcW w:w="1668" w:type="dxa"/>
            <w:hideMark/>
          </w:tcPr>
          <w:p w14:paraId="1EDD875E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Sunflower</w:t>
            </w:r>
          </w:p>
        </w:tc>
        <w:tc>
          <w:tcPr>
            <w:tcW w:w="4482" w:type="dxa"/>
            <w:hideMark/>
          </w:tcPr>
          <w:p w14:paraId="339ED394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Helianthus annuus L.</w:t>
            </w:r>
          </w:p>
        </w:tc>
        <w:tc>
          <w:tcPr>
            <w:tcW w:w="1704" w:type="dxa"/>
            <w:hideMark/>
          </w:tcPr>
          <w:p w14:paraId="6F27919B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TG/81/6</w:t>
            </w:r>
          </w:p>
        </w:tc>
      </w:tr>
      <w:tr w:rsidR="00546F10" w:rsidRPr="00275D77" w14:paraId="0261A78D" w14:textId="77777777" w:rsidTr="00B61103">
        <w:trPr>
          <w:cantSplit/>
        </w:trPr>
        <w:tc>
          <w:tcPr>
            <w:tcW w:w="1668" w:type="dxa"/>
            <w:hideMark/>
          </w:tcPr>
          <w:p w14:paraId="0017FFF7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Tomato</w:t>
            </w:r>
          </w:p>
        </w:tc>
        <w:tc>
          <w:tcPr>
            <w:tcW w:w="4482" w:type="dxa"/>
            <w:hideMark/>
          </w:tcPr>
          <w:p w14:paraId="33C35E07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 xml:space="preserve">Solanum </w:t>
            </w:r>
            <w:proofErr w:type="spellStart"/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lycopersicum</w:t>
            </w:r>
            <w:proofErr w:type="spellEnd"/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1704" w:type="dxa"/>
            <w:hideMark/>
          </w:tcPr>
          <w:p w14:paraId="68FB0E54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TG/44/11</w:t>
            </w:r>
          </w:p>
        </w:tc>
      </w:tr>
      <w:tr w:rsidR="00546F10" w:rsidRPr="00275D77" w14:paraId="4BABA4A0" w14:textId="77777777" w:rsidTr="00B61103">
        <w:trPr>
          <w:cantSplit/>
        </w:trPr>
        <w:tc>
          <w:tcPr>
            <w:tcW w:w="1668" w:type="dxa"/>
            <w:hideMark/>
          </w:tcPr>
          <w:p w14:paraId="77658970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Hot pepper</w:t>
            </w:r>
          </w:p>
        </w:tc>
        <w:tc>
          <w:tcPr>
            <w:tcW w:w="4482" w:type="dxa"/>
            <w:hideMark/>
          </w:tcPr>
          <w:p w14:paraId="0D5676E5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Capsicum annuum L</w:t>
            </w:r>
          </w:p>
        </w:tc>
        <w:tc>
          <w:tcPr>
            <w:tcW w:w="1704" w:type="dxa"/>
            <w:hideMark/>
          </w:tcPr>
          <w:p w14:paraId="491BD448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TG/76/8</w:t>
            </w:r>
          </w:p>
        </w:tc>
      </w:tr>
      <w:tr w:rsidR="00546F10" w:rsidRPr="00275D77" w14:paraId="352A3347" w14:textId="77777777" w:rsidTr="00B61103">
        <w:trPr>
          <w:cantSplit/>
        </w:trPr>
        <w:tc>
          <w:tcPr>
            <w:tcW w:w="1668" w:type="dxa"/>
            <w:hideMark/>
          </w:tcPr>
          <w:p w14:paraId="12D75922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Anthurium</w:t>
            </w:r>
          </w:p>
        </w:tc>
        <w:tc>
          <w:tcPr>
            <w:tcW w:w="4482" w:type="dxa"/>
            <w:hideMark/>
          </w:tcPr>
          <w:p w14:paraId="6A831A02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Anthurium Schott</w:t>
            </w:r>
          </w:p>
        </w:tc>
        <w:tc>
          <w:tcPr>
            <w:tcW w:w="1704" w:type="dxa"/>
            <w:hideMark/>
          </w:tcPr>
          <w:p w14:paraId="4289A275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TG/86/5</w:t>
            </w:r>
          </w:p>
        </w:tc>
      </w:tr>
      <w:tr w:rsidR="00546F10" w:rsidRPr="00275D77" w14:paraId="5B112EE4" w14:textId="77777777" w:rsidTr="00B61103">
        <w:trPr>
          <w:cantSplit/>
        </w:trPr>
        <w:tc>
          <w:tcPr>
            <w:tcW w:w="1668" w:type="dxa"/>
            <w:hideMark/>
          </w:tcPr>
          <w:p w14:paraId="2EFDFD4A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Guzmania</w:t>
            </w:r>
            <w:proofErr w:type="spellEnd"/>
          </w:p>
        </w:tc>
        <w:tc>
          <w:tcPr>
            <w:tcW w:w="4482" w:type="dxa"/>
            <w:hideMark/>
          </w:tcPr>
          <w:p w14:paraId="60EAD932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Guzmania</w:t>
            </w:r>
            <w:proofErr w:type="spellEnd"/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 xml:space="preserve"> Ruiz et Pav.</w:t>
            </w:r>
          </w:p>
        </w:tc>
        <w:tc>
          <w:tcPr>
            <w:tcW w:w="1704" w:type="dxa"/>
            <w:hideMark/>
          </w:tcPr>
          <w:p w14:paraId="2C9B40C9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TG/182/4</w:t>
            </w:r>
          </w:p>
        </w:tc>
      </w:tr>
      <w:tr w:rsidR="00546F10" w:rsidRPr="00275D77" w14:paraId="1F345A4F" w14:textId="77777777" w:rsidTr="00B61103">
        <w:trPr>
          <w:cantSplit/>
        </w:trPr>
        <w:tc>
          <w:tcPr>
            <w:tcW w:w="1668" w:type="dxa"/>
            <w:hideMark/>
          </w:tcPr>
          <w:p w14:paraId="3D40D2CB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Cucumber</w:t>
            </w:r>
          </w:p>
        </w:tc>
        <w:tc>
          <w:tcPr>
            <w:tcW w:w="4482" w:type="dxa"/>
            <w:hideMark/>
          </w:tcPr>
          <w:p w14:paraId="7AE39A26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Cucumis sativus L.</w:t>
            </w:r>
          </w:p>
        </w:tc>
        <w:tc>
          <w:tcPr>
            <w:tcW w:w="1704" w:type="dxa"/>
            <w:hideMark/>
          </w:tcPr>
          <w:p w14:paraId="089D8CEF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TG/61/7</w:t>
            </w:r>
          </w:p>
        </w:tc>
      </w:tr>
      <w:tr w:rsidR="00546F10" w:rsidRPr="00275D77" w14:paraId="02B29B0C" w14:textId="77777777" w:rsidTr="00B61103">
        <w:trPr>
          <w:cantSplit/>
        </w:trPr>
        <w:tc>
          <w:tcPr>
            <w:tcW w:w="1668" w:type="dxa"/>
            <w:hideMark/>
          </w:tcPr>
          <w:p w14:paraId="367945FE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Melon</w:t>
            </w:r>
          </w:p>
        </w:tc>
        <w:tc>
          <w:tcPr>
            <w:tcW w:w="4482" w:type="dxa"/>
            <w:hideMark/>
          </w:tcPr>
          <w:p w14:paraId="657EEB13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Cucumis melo L.</w:t>
            </w:r>
          </w:p>
        </w:tc>
        <w:tc>
          <w:tcPr>
            <w:tcW w:w="1704" w:type="dxa"/>
            <w:hideMark/>
          </w:tcPr>
          <w:p w14:paraId="510D34E2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TG/104/5</w:t>
            </w:r>
          </w:p>
        </w:tc>
      </w:tr>
    </w:tbl>
    <w:p w14:paraId="18F2BFC7" w14:textId="77777777" w:rsidR="00546F10" w:rsidRPr="00275D77" w:rsidRDefault="00546F10" w:rsidP="00546F10"/>
    <w:p w14:paraId="33B3F369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In Version 2.10</w:t>
      </w:r>
      <w:r>
        <w:t>, t</w:t>
      </w:r>
      <w:r w:rsidRPr="00275D77">
        <w:t>he coverage for Morocco will be increased as follows:</w:t>
      </w:r>
    </w:p>
    <w:p w14:paraId="198DE3E1" w14:textId="77777777" w:rsidR="00546F10" w:rsidRPr="00275D77" w:rsidRDefault="00546F10" w:rsidP="00546F10"/>
    <w:tbl>
      <w:tblPr>
        <w:tblStyle w:val="TableGrid10"/>
        <w:tblW w:w="0" w:type="auto"/>
        <w:tblInd w:w="5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4485"/>
        <w:gridCol w:w="1701"/>
      </w:tblGrid>
      <w:tr w:rsidR="00546F10" w:rsidRPr="00275D77" w14:paraId="305F6240" w14:textId="77777777" w:rsidTr="00B61103">
        <w:trPr>
          <w:cantSplit/>
        </w:trPr>
        <w:tc>
          <w:tcPr>
            <w:tcW w:w="1668" w:type="dxa"/>
            <w:shd w:val="clear" w:color="auto" w:fill="F2F2F2" w:themeFill="background1" w:themeFillShade="F2"/>
          </w:tcPr>
          <w:p w14:paraId="736BF551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4485" w:type="dxa"/>
            <w:shd w:val="clear" w:color="auto" w:fill="F2F2F2" w:themeFill="background1" w:themeFillShade="F2"/>
          </w:tcPr>
          <w:p w14:paraId="0FAF28AD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Botanical Name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DB83F40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UPOV TG</w:t>
            </w:r>
          </w:p>
        </w:tc>
      </w:tr>
      <w:tr w:rsidR="00546F10" w:rsidRPr="00275D77" w14:paraId="141C3738" w14:textId="77777777" w:rsidTr="00B61103">
        <w:trPr>
          <w:cantSplit/>
        </w:trPr>
        <w:tc>
          <w:tcPr>
            <w:tcW w:w="1668" w:type="dxa"/>
          </w:tcPr>
          <w:p w14:paraId="56490F95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French Bean</w:t>
            </w:r>
          </w:p>
        </w:tc>
        <w:tc>
          <w:tcPr>
            <w:tcW w:w="4485" w:type="dxa"/>
          </w:tcPr>
          <w:p w14:paraId="4BE7BB44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Phaseolus vulgaris L.</w:t>
            </w:r>
          </w:p>
        </w:tc>
        <w:tc>
          <w:tcPr>
            <w:tcW w:w="1701" w:type="dxa"/>
          </w:tcPr>
          <w:p w14:paraId="14080E60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TG/12/9 Rev.2</w:t>
            </w:r>
          </w:p>
        </w:tc>
      </w:tr>
      <w:tr w:rsidR="00546F10" w:rsidRPr="00275D77" w14:paraId="4A86B6AE" w14:textId="77777777" w:rsidTr="00B61103">
        <w:trPr>
          <w:cantSplit/>
        </w:trPr>
        <w:tc>
          <w:tcPr>
            <w:tcW w:w="1668" w:type="dxa"/>
          </w:tcPr>
          <w:p w14:paraId="197F179E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Hot pepper</w:t>
            </w:r>
          </w:p>
        </w:tc>
        <w:tc>
          <w:tcPr>
            <w:tcW w:w="4485" w:type="dxa"/>
          </w:tcPr>
          <w:p w14:paraId="3BB9CBAF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Capsicum annuum L</w:t>
            </w:r>
          </w:p>
        </w:tc>
        <w:tc>
          <w:tcPr>
            <w:tcW w:w="1701" w:type="dxa"/>
          </w:tcPr>
          <w:p w14:paraId="61C7D6C2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TG/76/8</w:t>
            </w:r>
          </w:p>
        </w:tc>
      </w:tr>
      <w:tr w:rsidR="00546F10" w:rsidRPr="00275D77" w14:paraId="7716C1B6" w14:textId="77777777" w:rsidTr="00B61103">
        <w:trPr>
          <w:cantSplit/>
        </w:trPr>
        <w:tc>
          <w:tcPr>
            <w:tcW w:w="1668" w:type="dxa"/>
            <w:hideMark/>
          </w:tcPr>
          <w:p w14:paraId="2D1B01C3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Lettuce</w:t>
            </w:r>
          </w:p>
        </w:tc>
        <w:tc>
          <w:tcPr>
            <w:tcW w:w="4485" w:type="dxa"/>
            <w:hideMark/>
          </w:tcPr>
          <w:p w14:paraId="001F536F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Lactuca</w:t>
            </w:r>
            <w:proofErr w:type="spellEnd"/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 xml:space="preserve"> sativa L.</w:t>
            </w:r>
          </w:p>
        </w:tc>
        <w:tc>
          <w:tcPr>
            <w:tcW w:w="1701" w:type="dxa"/>
            <w:hideMark/>
          </w:tcPr>
          <w:p w14:paraId="4CD088A3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TG/13/x</w:t>
            </w:r>
          </w:p>
        </w:tc>
      </w:tr>
      <w:tr w:rsidR="00546F10" w:rsidRPr="00275D77" w14:paraId="0CFBE6D5" w14:textId="77777777" w:rsidTr="00B61103">
        <w:trPr>
          <w:cantSplit/>
        </w:trPr>
        <w:tc>
          <w:tcPr>
            <w:tcW w:w="1668" w:type="dxa"/>
          </w:tcPr>
          <w:p w14:paraId="3F124BF1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sz w:val="18"/>
                <w:szCs w:val="18"/>
              </w:rPr>
              <w:t>Squash</w:t>
            </w:r>
          </w:p>
        </w:tc>
        <w:tc>
          <w:tcPr>
            <w:tcW w:w="4485" w:type="dxa"/>
          </w:tcPr>
          <w:p w14:paraId="3BF83AE3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sz w:val="18"/>
                <w:szCs w:val="18"/>
              </w:rPr>
              <w:t>Cucurbita pepo L.</w:t>
            </w:r>
          </w:p>
        </w:tc>
        <w:tc>
          <w:tcPr>
            <w:tcW w:w="1701" w:type="dxa"/>
          </w:tcPr>
          <w:p w14:paraId="3CF7E43E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TG/119/4 Corr.2</w:t>
            </w:r>
          </w:p>
        </w:tc>
      </w:tr>
      <w:tr w:rsidR="00546F10" w:rsidRPr="00275D77" w14:paraId="7E12A146" w14:textId="77777777" w:rsidTr="00B61103">
        <w:trPr>
          <w:cantSplit/>
        </w:trPr>
        <w:tc>
          <w:tcPr>
            <w:tcW w:w="1668" w:type="dxa"/>
          </w:tcPr>
          <w:p w14:paraId="36D337B8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Tomato</w:t>
            </w:r>
          </w:p>
        </w:tc>
        <w:tc>
          <w:tcPr>
            <w:tcW w:w="4485" w:type="dxa"/>
          </w:tcPr>
          <w:p w14:paraId="600D6C7A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 xml:space="preserve">Solanum </w:t>
            </w:r>
            <w:proofErr w:type="spellStart"/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lycopersicum</w:t>
            </w:r>
            <w:proofErr w:type="spellEnd"/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1701" w:type="dxa"/>
          </w:tcPr>
          <w:p w14:paraId="7E076DF7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TG/44/11</w:t>
            </w:r>
          </w:p>
        </w:tc>
      </w:tr>
      <w:tr w:rsidR="00546F10" w:rsidRPr="00275D77" w14:paraId="6F43F119" w14:textId="77777777" w:rsidTr="00B61103">
        <w:trPr>
          <w:cantSplit/>
        </w:trPr>
        <w:tc>
          <w:tcPr>
            <w:tcW w:w="1668" w:type="dxa"/>
          </w:tcPr>
          <w:p w14:paraId="2BC20712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Tomato Rootstocks</w:t>
            </w:r>
          </w:p>
        </w:tc>
        <w:tc>
          <w:tcPr>
            <w:tcW w:w="4485" w:type="dxa"/>
          </w:tcPr>
          <w:p w14:paraId="4D961521" w14:textId="77777777" w:rsidR="00546F10" w:rsidRPr="00720D23" w:rsidRDefault="00546F10" w:rsidP="00B61103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  <w:lang w:val="de-DE"/>
              </w:rPr>
            </w:pPr>
            <w:r w:rsidRPr="00720D23">
              <w:rPr>
                <w:rFonts w:cs="Arial"/>
                <w:bCs/>
                <w:color w:val="000000"/>
                <w:sz w:val="18"/>
                <w:szCs w:val="18"/>
                <w:lang w:val="de-DE"/>
              </w:rPr>
              <w:t>Solanum habrochaites S. Knapp &amp; D.M. Spooner;</w:t>
            </w:r>
          </w:p>
          <w:p w14:paraId="11B579CB" w14:textId="77777777" w:rsidR="00546F10" w:rsidRPr="00720D23" w:rsidRDefault="00546F10" w:rsidP="00B61103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  <w:lang w:val="de-DE"/>
              </w:rPr>
            </w:pPr>
            <w:r w:rsidRPr="00720D23">
              <w:rPr>
                <w:rFonts w:cs="Arial"/>
                <w:bCs/>
                <w:color w:val="000000"/>
                <w:sz w:val="18"/>
                <w:szCs w:val="18"/>
                <w:lang w:val="de-DE"/>
              </w:rPr>
              <w:t>Solanum lycopersicum L. x Solanum habrochaites S.</w:t>
            </w:r>
            <w:r>
              <w:rPr>
                <w:rFonts w:cs="Arial"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r w:rsidRPr="00720D23">
              <w:rPr>
                <w:rFonts w:cs="Arial"/>
                <w:bCs/>
                <w:color w:val="000000"/>
                <w:sz w:val="18"/>
                <w:szCs w:val="18"/>
                <w:lang w:val="de-DE"/>
              </w:rPr>
              <w:t>Knapp &amp; D.M. Spooner;</w:t>
            </w:r>
          </w:p>
          <w:p w14:paraId="7A0E1C50" w14:textId="77777777" w:rsidR="00546F10" w:rsidRPr="00720D23" w:rsidRDefault="00546F10" w:rsidP="00B61103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  <w:lang w:val="de-DE"/>
              </w:rPr>
            </w:pPr>
            <w:r w:rsidRPr="00720D23">
              <w:rPr>
                <w:rFonts w:cs="Arial"/>
                <w:bCs/>
                <w:color w:val="000000"/>
                <w:sz w:val="18"/>
                <w:szCs w:val="18"/>
                <w:lang w:val="de-DE"/>
              </w:rPr>
              <w:t>Solanum lycopersicum L. x</w:t>
            </w:r>
          </w:p>
          <w:p w14:paraId="0A61126A" w14:textId="77777777" w:rsidR="00546F10" w:rsidRPr="00720D23" w:rsidRDefault="00546F10" w:rsidP="00B61103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  <w:lang w:val="de-DE"/>
              </w:rPr>
            </w:pPr>
            <w:r w:rsidRPr="00720D23">
              <w:rPr>
                <w:rFonts w:cs="Arial"/>
                <w:bCs/>
                <w:color w:val="000000"/>
                <w:sz w:val="18"/>
                <w:szCs w:val="18"/>
                <w:lang w:val="de-DE"/>
              </w:rPr>
              <w:t>Solanum peruvianum (L.) Mill.;</w:t>
            </w:r>
          </w:p>
          <w:p w14:paraId="490C2EF8" w14:textId="77777777" w:rsidR="00546F10" w:rsidRPr="00D44FE2" w:rsidRDefault="00546F10" w:rsidP="00B61103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  <w:lang w:val="de-DE"/>
              </w:rPr>
            </w:pPr>
            <w:r w:rsidRPr="00D44FE2">
              <w:rPr>
                <w:rFonts w:cs="Arial"/>
                <w:bCs/>
                <w:color w:val="000000"/>
                <w:sz w:val="18"/>
                <w:szCs w:val="18"/>
                <w:lang w:val="de-DE"/>
              </w:rPr>
              <w:t>Solanum lycopersicum L. x</w:t>
            </w:r>
          </w:p>
          <w:p w14:paraId="7372BE5A" w14:textId="77777777" w:rsidR="00546F10" w:rsidRPr="00D44FE2" w:rsidRDefault="00546F10" w:rsidP="00B61103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  <w:lang w:val="de-DE"/>
              </w:rPr>
            </w:pPr>
            <w:r w:rsidRPr="00D44FE2">
              <w:rPr>
                <w:rFonts w:cs="Arial"/>
                <w:bCs/>
                <w:color w:val="000000"/>
                <w:sz w:val="18"/>
                <w:szCs w:val="18"/>
                <w:lang w:val="de-DE"/>
              </w:rPr>
              <w:t>Solanum cheesmaniae (L. Ridley) Fosberg;</w:t>
            </w:r>
          </w:p>
          <w:p w14:paraId="13FD6FDE" w14:textId="77777777" w:rsidR="00546F10" w:rsidRPr="00720D23" w:rsidRDefault="00546F10" w:rsidP="00B61103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  <w:lang w:val="de-DE"/>
              </w:rPr>
            </w:pPr>
            <w:r w:rsidRPr="00183760">
              <w:rPr>
                <w:rFonts w:cs="Arial"/>
                <w:bCs/>
                <w:color w:val="000000"/>
                <w:sz w:val="18"/>
                <w:szCs w:val="18"/>
                <w:lang w:val="de-DE"/>
              </w:rPr>
              <w:t xml:space="preserve">Solanum pimpinellifolium L. x Solanum habrochaites </w:t>
            </w:r>
            <w:r w:rsidRPr="00720D23">
              <w:rPr>
                <w:rFonts w:cs="Arial"/>
                <w:bCs/>
                <w:color w:val="000000"/>
                <w:sz w:val="18"/>
                <w:szCs w:val="18"/>
                <w:lang w:val="de-DE"/>
              </w:rPr>
              <w:t>S. Knapp &amp; D.M. Spooner</w:t>
            </w:r>
          </w:p>
        </w:tc>
        <w:tc>
          <w:tcPr>
            <w:tcW w:w="1701" w:type="dxa"/>
          </w:tcPr>
          <w:p w14:paraId="7CB96426" w14:textId="77777777" w:rsidR="00546F10" w:rsidRPr="00275D77" w:rsidRDefault="00546F10" w:rsidP="00B61103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75D77">
              <w:rPr>
                <w:rFonts w:cs="Arial"/>
                <w:bCs/>
                <w:color w:val="000000"/>
                <w:sz w:val="18"/>
                <w:szCs w:val="18"/>
              </w:rPr>
              <w:t>TG/294/1 Rev.3</w:t>
            </w:r>
          </w:p>
        </w:tc>
      </w:tr>
    </w:tbl>
    <w:p w14:paraId="1C85507C" w14:textId="77777777" w:rsidR="00546F10" w:rsidRPr="00275D77" w:rsidRDefault="00546F10" w:rsidP="00546F10"/>
    <w:p w14:paraId="416D5706" w14:textId="77777777" w:rsidR="00546F10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In Version 2.10</w:t>
      </w:r>
      <w:r>
        <w:t>, t</w:t>
      </w:r>
      <w:r w:rsidRPr="00275D77">
        <w:t xml:space="preserve">he coverage for Serbia </w:t>
      </w:r>
      <w:r>
        <w:t>has been</w:t>
      </w:r>
      <w:r w:rsidRPr="00275D77">
        <w:t xml:space="preserve"> increased to include lettuce (</w:t>
      </w:r>
      <w:proofErr w:type="spellStart"/>
      <w:r w:rsidRPr="00E13DD4">
        <w:t>Lactuca</w:t>
      </w:r>
      <w:proofErr w:type="spellEnd"/>
      <w:r w:rsidRPr="00E13DD4">
        <w:t xml:space="preserve"> sativa L.</w:t>
      </w:r>
      <w:r w:rsidRPr="00275D77">
        <w:t xml:space="preserve">) and potato </w:t>
      </w:r>
      <w:r w:rsidRPr="006560CD">
        <w:t>(</w:t>
      </w:r>
      <w:r w:rsidRPr="00D44FE2">
        <w:rPr>
          <w:shd w:val="clear" w:color="auto" w:fill="FFFFFF"/>
        </w:rPr>
        <w:t>Solanum tuberosum L.</w:t>
      </w:r>
      <w:r w:rsidRPr="006560CD">
        <w:t xml:space="preserve">). </w:t>
      </w:r>
    </w:p>
    <w:p w14:paraId="1AB060F1" w14:textId="77777777" w:rsidR="00546F10" w:rsidRDefault="00546F10" w:rsidP="00546F10"/>
    <w:p w14:paraId="7B83B645" w14:textId="77777777" w:rsidR="00546F10" w:rsidRPr="006560CD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In Version 2.10</w:t>
      </w:r>
      <w:r>
        <w:t>, t</w:t>
      </w:r>
      <w:r w:rsidRPr="00275D77">
        <w:t>he</w:t>
      </w:r>
      <w:r>
        <w:t xml:space="preserve"> coverage for United States of America has been increased to cover all crops</w:t>
      </w:r>
      <w:r>
        <w:rPr>
          <w:rFonts w:cs="Arial"/>
        </w:rPr>
        <w:t xml:space="preserve"> and species</w:t>
      </w:r>
      <w:r>
        <w:t>.</w:t>
      </w:r>
    </w:p>
    <w:p w14:paraId="06F4622A" w14:textId="77777777" w:rsidR="00546F10" w:rsidRPr="00275D77" w:rsidRDefault="00546F10" w:rsidP="00546F10"/>
    <w:p w14:paraId="6866AAB7" w14:textId="77777777" w:rsidR="00546F10" w:rsidRPr="00275D77" w:rsidRDefault="00546F10" w:rsidP="00546F10">
      <w:pPr>
        <w:pStyle w:val="Heading2"/>
      </w:pPr>
      <w:bookmarkStart w:id="40" w:name="_Toc84968149"/>
      <w:bookmarkStart w:id="41" w:name="_Toc85055500"/>
      <w:bookmarkStart w:id="42" w:name="_Toc161136473"/>
      <w:r w:rsidRPr="00275D77">
        <w:lastRenderedPageBreak/>
        <w:t>Functionalities</w:t>
      </w:r>
      <w:bookmarkEnd w:id="40"/>
      <w:bookmarkEnd w:id="41"/>
      <w:bookmarkEnd w:id="42"/>
    </w:p>
    <w:p w14:paraId="45B016EE" w14:textId="77777777" w:rsidR="00546F10" w:rsidRPr="00275D77" w:rsidRDefault="00546F10" w:rsidP="00546F10">
      <w:pPr>
        <w:keepNext/>
      </w:pPr>
    </w:p>
    <w:p w14:paraId="0F6C8A3F" w14:textId="77777777" w:rsidR="00546F10" w:rsidRPr="00275D77" w:rsidRDefault="00546F10" w:rsidP="00546F10">
      <w:pPr>
        <w:keepNext/>
      </w:pPr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The following functionalit</w:t>
      </w:r>
      <w:r>
        <w:t>y</w:t>
      </w:r>
      <w:r w:rsidRPr="00275D77">
        <w:t xml:space="preserve"> </w:t>
      </w:r>
      <w:r>
        <w:t>has been</w:t>
      </w:r>
      <w:r w:rsidRPr="00275D77">
        <w:t xml:space="preserve"> introduced in Version 2.10:</w:t>
      </w:r>
    </w:p>
    <w:p w14:paraId="520047EF" w14:textId="77777777" w:rsidR="00546F10" w:rsidRPr="00275D77" w:rsidRDefault="00546F10" w:rsidP="00546F10">
      <w:pPr>
        <w:keepNext/>
        <w:rPr>
          <w:sz w:val="18"/>
        </w:rPr>
      </w:pPr>
    </w:p>
    <w:p w14:paraId="6FD48CBD" w14:textId="77777777" w:rsidR="00546F10" w:rsidRPr="00275D77" w:rsidRDefault="00546F10" w:rsidP="00546F10">
      <w:pPr>
        <w:pStyle w:val="ListParagraph"/>
        <w:numPr>
          <w:ilvl w:val="0"/>
          <w:numId w:val="51"/>
        </w:numPr>
        <w:ind w:left="907" w:hanging="340"/>
        <w:contextualSpacing w:val="0"/>
      </w:pPr>
      <w:r w:rsidRPr="00275D77">
        <w:t xml:space="preserve">Restriction on the selection of crops for National listing according to the list provided by the authority: (United Kingdom and </w:t>
      </w:r>
      <w:r w:rsidRPr="00275D77">
        <w:rPr>
          <w:rFonts w:cs="Arial"/>
        </w:rPr>
        <w:t>Netherlands</w:t>
      </w:r>
      <w:r>
        <w:rPr>
          <w:rFonts w:cs="Arial"/>
        </w:rPr>
        <w:t xml:space="preserve"> (</w:t>
      </w:r>
      <w:r>
        <w:t>Kingdom of the</w:t>
      </w:r>
      <w:r w:rsidRPr="00275D77">
        <w:rPr>
          <w:rFonts w:cs="Arial"/>
        </w:rPr>
        <w:t>)</w:t>
      </w:r>
      <w:r>
        <w:rPr>
          <w:rFonts w:cs="Arial"/>
        </w:rPr>
        <w:t>).</w:t>
      </w:r>
    </w:p>
    <w:p w14:paraId="48282499" w14:textId="77777777" w:rsidR="00546F10" w:rsidRPr="00275D77" w:rsidRDefault="00546F10" w:rsidP="00546F10">
      <w:pPr>
        <w:pStyle w:val="Heading1"/>
      </w:pPr>
      <w:bookmarkStart w:id="43" w:name="_Toc84968143"/>
      <w:bookmarkStart w:id="44" w:name="_Toc108791962"/>
      <w:bookmarkStart w:id="45" w:name="_Toc108792147"/>
      <w:bookmarkStart w:id="46" w:name="_Toc108792263"/>
      <w:bookmarkStart w:id="47" w:name="_Toc108792338"/>
      <w:bookmarkStart w:id="48" w:name="_Toc109028304"/>
      <w:bookmarkStart w:id="49" w:name="_Toc161136474"/>
      <w:r w:rsidRPr="00275D77">
        <w:t>Other developments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4710D7D3" w14:textId="77777777" w:rsidR="00546F10" w:rsidRPr="00275D77" w:rsidRDefault="00546F10" w:rsidP="00546F10">
      <w:pPr>
        <w:keepNext/>
        <w:rPr>
          <w:rFonts w:cs="Arial"/>
        </w:rPr>
      </w:pPr>
    </w:p>
    <w:p w14:paraId="6C34961D" w14:textId="77777777" w:rsidR="00546F10" w:rsidRPr="00275D77" w:rsidRDefault="00546F10" w:rsidP="00546F10">
      <w:pPr>
        <w:pStyle w:val="Heading2"/>
      </w:pPr>
      <w:bookmarkStart w:id="50" w:name="_Toc108791963"/>
      <w:bookmarkStart w:id="51" w:name="_Toc108792148"/>
      <w:bookmarkStart w:id="52" w:name="_Toc108792264"/>
      <w:bookmarkStart w:id="53" w:name="_Toc108792339"/>
      <w:bookmarkStart w:id="54" w:name="_Toc109028305"/>
      <w:bookmarkStart w:id="55" w:name="_Toc161136475"/>
      <w:r w:rsidRPr="00275D77">
        <w:t>IT Quality Software Audit</w:t>
      </w:r>
      <w:bookmarkEnd w:id="50"/>
      <w:bookmarkEnd w:id="51"/>
      <w:bookmarkEnd w:id="52"/>
      <w:bookmarkEnd w:id="53"/>
      <w:bookmarkEnd w:id="54"/>
      <w:bookmarkEnd w:id="55"/>
    </w:p>
    <w:p w14:paraId="386FB5EB" w14:textId="77777777" w:rsidR="00546F10" w:rsidRPr="00275D77" w:rsidRDefault="00546F10" w:rsidP="00546F10">
      <w:pPr>
        <w:keepNext/>
        <w:rPr>
          <w:rFonts w:cs="Arial"/>
        </w:rPr>
      </w:pPr>
    </w:p>
    <w:p w14:paraId="30A2DB0E" w14:textId="77777777" w:rsidR="00546F10" w:rsidRPr="00275D77" w:rsidRDefault="00546F10" w:rsidP="00546F10">
      <w:pPr>
        <w:keepNext/>
      </w:pPr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rPr>
          <w:rFonts w:cs="Arial"/>
        </w:rPr>
        <w:tab/>
      </w:r>
      <w:r>
        <w:rPr>
          <w:rFonts w:cs="Arial"/>
        </w:rPr>
        <w:t>A code audit was organized to</w:t>
      </w:r>
      <w:r w:rsidRPr="00275D77">
        <w:t xml:space="preserve"> improve the quality of the UPOV PRISMA software</w:t>
      </w:r>
      <w:r>
        <w:t xml:space="preserve">, </w:t>
      </w:r>
      <w:r>
        <w:rPr>
          <w:rFonts w:cs="Arial"/>
        </w:rPr>
        <w:t xml:space="preserve">resulting in </w:t>
      </w:r>
      <w:r>
        <w:t xml:space="preserve">the following </w:t>
      </w:r>
      <w:r w:rsidRPr="00275D77">
        <w:t>recommendations:</w:t>
      </w:r>
    </w:p>
    <w:p w14:paraId="72BA6407" w14:textId="77777777" w:rsidR="00546F10" w:rsidRPr="00275D77" w:rsidRDefault="00546F10" w:rsidP="00546F10"/>
    <w:p w14:paraId="739C465E" w14:textId="77777777" w:rsidR="00546F10" w:rsidRPr="00C82EC7" w:rsidRDefault="00546F10" w:rsidP="00546F10">
      <w:pPr>
        <w:pStyle w:val="ListParagraph"/>
        <w:numPr>
          <w:ilvl w:val="0"/>
          <w:numId w:val="57"/>
        </w:numPr>
        <w:spacing w:after="120"/>
        <w:ind w:left="1134" w:hanging="567"/>
        <w:contextualSpacing w:val="0"/>
      </w:pPr>
      <w:r>
        <w:rPr>
          <w:rFonts w:cs="Arial"/>
        </w:rPr>
        <w:t xml:space="preserve">to </w:t>
      </w:r>
      <w:r w:rsidRPr="00C82EC7">
        <w:rPr>
          <w:rFonts w:cs="Arial"/>
        </w:rPr>
        <w:t>implement</w:t>
      </w:r>
      <w:r w:rsidRPr="00C82EC7">
        <w:t xml:space="preserve"> best practices in terms of coding </w:t>
      </w:r>
      <w:r>
        <w:t>t</w:t>
      </w:r>
      <w:r w:rsidRPr="00C82EC7">
        <w:t>o avoid concurrency and performance issues;</w:t>
      </w:r>
    </w:p>
    <w:p w14:paraId="4D447EA8" w14:textId="77777777" w:rsidR="00546F10" w:rsidRPr="00C82EC7" w:rsidRDefault="00546F10" w:rsidP="00546F10">
      <w:pPr>
        <w:pStyle w:val="ListParagraph"/>
        <w:numPr>
          <w:ilvl w:val="0"/>
          <w:numId w:val="57"/>
        </w:numPr>
        <w:spacing w:after="120"/>
        <w:ind w:left="1134" w:hanging="567"/>
        <w:contextualSpacing w:val="0"/>
      </w:pPr>
      <w:r>
        <w:rPr>
          <w:rFonts w:cs="Arial"/>
        </w:rPr>
        <w:t xml:space="preserve">to </w:t>
      </w:r>
      <w:r w:rsidRPr="00C82EC7">
        <w:rPr>
          <w:rFonts w:cs="Arial"/>
        </w:rPr>
        <w:t>move</w:t>
      </w:r>
      <w:r w:rsidRPr="00C82EC7">
        <w:t xml:space="preserve"> to the cloud for a better resource management at infrastructure level and keep following the highest security standards;</w:t>
      </w:r>
    </w:p>
    <w:p w14:paraId="57BBCC45" w14:textId="77777777" w:rsidR="00546F10" w:rsidRPr="00C82EC7" w:rsidRDefault="00546F10" w:rsidP="00546F10">
      <w:pPr>
        <w:pStyle w:val="ListParagraph"/>
        <w:numPr>
          <w:ilvl w:val="0"/>
          <w:numId w:val="57"/>
        </w:numPr>
        <w:ind w:left="1134" w:hanging="567"/>
        <w:contextualSpacing w:val="0"/>
      </w:pPr>
      <w:r>
        <w:rPr>
          <w:rFonts w:cs="Arial"/>
        </w:rPr>
        <w:t xml:space="preserve">to </w:t>
      </w:r>
      <w:r w:rsidRPr="00C82EC7">
        <w:rPr>
          <w:rFonts w:cs="Arial"/>
        </w:rPr>
        <w:t>develop</w:t>
      </w:r>
      <w:r w:rsidRPr="00C82EC7">
        <w:t xml:space="preserve"> a dedicated configuration interface for a controlled management of the forms.</w:t>
      </w:r>
    </w:p>
    <w:p w14:paraId="5A9859B8" w14:textId="77777777" w:rsidR="00546F10" w:rsidRPr="00275D77" w:rsidRDefault="00546F10" w:rsidP="00546F10"/>
    <w:p w14:paraId="21B6BBD7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 xml:space="preserve">Recommendation </w:t>
      </w:r>
      <w:r>
        <w:rPr>
          <w:rFonts w:cs="Arial"/>
        </w:rPr>
        <w:t>(a)</w:t>
      </w:r>
      <w:r w:rsidRPr="00275D77">
        <w:t xml:space="preserve"> </w:t>
      </w:r>
      <w:r>
        <w:t>(</w:t>
      </w:r>
      <w:r w:rsidRPr="00275D77">
        <w:t xml:space="preserve">best practices in terms of coding) was implemented in Version 2.8.  A new tool to assess security at code level </w:t>
      </w:r>
      <w:r>
        <w:rPr>
          <w:rFonts w:cs="Arial"/>
        </w:rPr>
        <w:t>is</w:t>
      </w:r>
      <w:r>
        <w:t xml:space="preserve"> </w:t>
      </w:r>
      <w:r w:rsidRPr="00275D77">
        <w:t xml:space="preserve">used since </w:t>
      </w:r>
      <w:r>
        <w:t>V</w:t>
      </w:r>
      <w:r w:rsidRPr="00275D77">
        <w:t>ersion 2.9.</w:t>
      </w:r>
    </w:p>
    <w:p w14:paraId="7A50F255" w14:textId="77777777" w:rsidR="00546F10" w:rsidRPr="00275D77" w:rsidRDefault="00546F10" w:rsidP="00546F10"/>
    <w:p w14:paraId="0E6D8ECF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</w:r>
      <w:r w:rsidRPr="00275D77">
        <w:rPr>
          <w:rFonts w:cs="Arial"/>
        </w:rPr>
        <w:t>Recommendation</w:t>
      </w:r>
      <w:r>
        <w:rPr>
          <w:rFonts w:cs="Arial"/>
        </w:rPr>
        <w:t>s</w:t>
      </w:r>
      <w:r w:rsidRPr="00275D77">
        <w:rPr>
          <w:rFonts w:cs="Arial"/>
        </w:rPr>
        <w:t xml:space="preserve"> </w:t>
      </w:r>
      <w:r>
        <w:rPr>
          <w:rFonts w:cs="Arial"/>
        </w:rPr>
        <w:t>(b)</w:t>
      </w:r>
      <w:r w:rsidRPr="00275D77">
        <w:rPr>
          <w:rFonts w:cs="Arial"/>
        </w:rPr>
        <w:t xml:space="preserve"> (</w:t>
      </w:r>
      <w:r>
        <w:rPr>
          <w:rFonts w:cs="Arial"/>
        </w:rPr>
        <w:t>m</w:t>
      </w:r>
      <w:r w:rsidRPr="00275D77">
        <w:rPr>
          <w:rFonts w:cs="Arial"/>
        </w:rPr>
        <w:t>igration</w:t>
      </w:r>
      <w:r w:rsidRPr="00275D77">
        <w:t xml:space="preserve"> to the cloud) and </w:t>
      </w:r>
      <w:r>
        <w:rPr>
          <w:rFonts w:cs="Arial"/>
        </w:rPr>
        <w:t>(c)</w:t>
      </w:r>
      <w:r w:rsidRPr="00275D77">
        <w:rPr>
          <w:rFonts w:cs="Arial"/>
        </w:rPr>
        <w:t xml:space="preserve"> (</w:t>
      </w:r>
      <w:r>
        <w:rPr>
          <w:rFonts w:cs="Arial"/>
        </w:rPr>
        <w:t>d</w:t>
      </w:r>
      <w:r w:rsidRPr="00275D77">
        <w:rPr>
          <w:rFonts w:cs="Arial"/>
        </w:rPr>
        <w:t>evelopment</w:t>
      </w:r>
      <w:r w:rsidRPr="00275D77">
        <w:t xml:space="preserve"> of a dedicated configuration interface) will be implemented in Version </w:t>
      </w:r>
      <w:r>
        <w:t>3.0</w:t>
      </w:r>
      <w:r w:rsidRPr="00275D77">
        <w:t>, subject to available resources.</w:t>
      </w:r>
    </w:p>
    <w:p w14:paraId="1C0C4C48" w14:textId="77777777" w:rsidR="00546F10" w:rsidRPr="00275D77" w:rsidRDefault="00546F10" w:rsidP="00546F10"/>
    <w:p w14:paraId="1ED718A9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 xml:space="preserve">After </w:t>
      </w:r>
      <w:r>
        <w:rPr>
          <w:rFonts w:cs="Arial"/>
        </w:rPr>
        <w:t xml:space="preserve">the </w:t>
      </w:r>
      <w:r w:rsidRPr="00275D77">
        <w:t xml:space="preserve">deployment of Version 2.8, </w:t>
      </w:r>
      <w:r w:rsidRPr="00275D77">
        <w:rPr>
          <w:rFonts w:cs="Arial"/>
        </w:rPr>
        <w:t>certain</w:t>
      </w:r>
      <w:r w:rsidRPr="00275D77">
        <w:t xml:space="preserve"> issues were reported by users.</w:t>
      </w:r>
      <w:r w:rsidRPr="00275D77">
        <w:rPr>
          <w:rFonts w:cs="Arial"/>
        </w:rPr>
        <w:t xml:space="preserve"> </w:t>
      </w:r>
      <w:r>
        <w:t xml:space="preserve"> </w:t>
      </w:r>
      <w:r w:rsidRPr="00275D77">
        <w:t xml:space="preserve">Those issues were not identified at the time of regression testing, mainly because the tests were </w:t>
      </w:r>
      <w:r>
        <w:rPr>
          <w:rFonts w:cs="Arial"/>
        </w:rPr>
        <w:t>made</w:t>
      </w:r>
      <w:r w:rsidRPr="00275D77">
        <w:t xml:space="preserve"> on </w:t>
      </w:r>
      <w:r w:rsidRPr="00275D77">
        <w:rPr>
          <w:rFonts w:cs="Arial"/>
        </w:rPr>
        <w:t>test</w:t>
      </w:r>
      <w:r w:rsidRPr="00275D77">
        <w:t xml:space="preserve"> data and not </w:t>
      </w:r>
      <w:r>
        <w:rPr>
          <w:rFonts w:cs="Arial"/>
        </w:rPr>
        <w:t xml:space="preserve">on </w:t>
      </w:r>
      <w:r w:rsidRPr="00275D77">
        <w:t>real data.</w:t>
      </w:r>
      <w:r w:rsidRPr="00275D77">
        <w:rPr>
          <w:rFonts w:cs="Arial"/>
        </w:rPr>
        <w:t xml:space="preserve"> </w:t>
      </w:r>
      <w:r>
        <w:t xml:space="preserve"> </w:t>
      </w:r>
      <w:r w:rsidRPr="00275D77">
        <w:t xml:space="preserve">In version 2.9, the automatic regression tests were performed on a copy of production data as agreed </w:t>
      </w:r>
      <w:r>
        <w:rPr>
          <w:rFonts w:cs="Arial"/>
        </w:rPr>
        <w:t>at the</w:t>
      </w:r>
      <w:r w:rsidRPr="00275D77">
        <w:t xml:space="preserve"> EAM/1</w:t>
      </w:r>
      <w:r>
        <w:rPr>
          <w:rFonts w:cs="Arial"/>
        </w:rPr>
        <w:t xml:space="preserve"> Meeting</w:t>
      </w:r>
      <w:r w:rsidRPr="00275D77">
        <w:t>.</w:t>
      </w:r>
    </w:p>
    <w:p w14:paraId="3CD9CF35" w14:textId="77777777" w:rsidR="00546F10" w:rsidRPr="00275D77" w:rsidRDefault="00546F10" w:rsidP="00546F10"/>
    <w:p w14:paraId="0AEEE67E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</w:r>
      <w:r>
        <w:t>Following the implementation of automated regression testing for form generation, it is planned to implement automated tests for all functionalities by the end of 2024 to expand the test coverage.</w:t>
      </w:r>
    </w:p>
    <w:p w14:paraId="0A0D3922" w14:textId="77777777" w:rsidR="00546F10" w:rsidRPr="00275D77" w:rsidRDefault="00546F10" w:rsidP="00546F10">
      <w:pPr>
        <w:rPr>
          <w:rFonts w:cs="Arial"/>
        </w:rPr>
      </w:pPr>
    </w:p>
    <w:p w14:paraId="38557A29" w14:textId="77777777" w:rsidR="00546F10" w:rsidRPr="00275D77" w:rsidRDefault="00546F10" w:rsidP="00546F10">
      <w:pPr>
        <w:pStyle w:val="Heading2"/>
      </w:pPr>
      <w:bookmarkStart w:id="56" w:name="_Toc108791964"/>
      <w:bookmarkStart w:id="57" w:name="_Toc108792149"/>
      <w:bookmarkStart w:id="58" w:name="_Toc108792265"/>
      <w:bookmarkStart w:id="59" w:name="_Toc108792340"/>
      <w:bookmarkStart w:id="60" w:name="_Toc109028306"/>
      <w:bookmarkStart w:id="61" w:name="_Toc161136476"/>
      <w:r w:rsidRPr="00275D77">
        <w:t>Improvement of user-friendliness of UPOV PRISMA</w:t>
      </w:r>
      <w:bookmarkEnd w:id="56"/>
      <w:bookmarkEnd w:id="57"/>
      <w:bookmarkEnd w:id="58"/>
      <w:bookmarkEnd w:id="59"/>
      <w:bookmarkEnd w:id="60"/>
      <w:bookmarkEnd w:id="61"/>
    </w:p>
    <w:p w14:paraId="423C4233" w14:textId="77777777" w:rsidR="00546F10" w:rsidRPr="00275D77" w:rsidRDefault="00546F10" w:rsidP="00546F10">
      <w:pPr>
        <w:rPr>
          <w:rFonts w:cs="Arial"/>
        </w:rPr>
      </w:pPr>
    </w:p>
    <w:p w14:paraId="1CC4670F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In order to improve the user-friendliness of UPOV PRISMA, consultations were organized with users to review certain current existing functionalities (copy functionality, assignment of roles) (see documents UPOV/EAF/17/3 “Report”, paragraph 22, and UPOV/EAF/18/3 “Report”, paragraphs 15 and 16).</w:t>
      </w:r>
    </w:p>
    <w:p w14:paraId="35B27DB2" w14:textId="77777777" w:rsidR="00546F10" w:rsidRPr="00275D77" w:rsidRDefault="00546F10" w:rsidP="00546F10"/>
    <w:p w14:paraId="1B8CE7F0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Participants in the UPOV PRISMA Task Force Group were consulted on the proposals made to improve the interface and the navigation through the system.</w:t>
      </w:r>
    </w:p>
    <w:p w14:paraId="07AAA69A" w14:textId="77777777" w:rsidR="00546F10" w:rsidRPr="00275D77" w:rsidRDefault="00546F10" w:rsidP="00546F10"/>
    <w:p w14:paraId="38C60F34" w14:textId="77777777" w:rsidR="00546F10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</w:r>
      <w:r>
        <w:t>In the UPOV</w:t>
      </w:r>
      <w:r>
        <w:rPr>
          <w:rFonts w:cs="Arial"/>
        </w:rPr>
        <w:t> PRISMA</w:t>
      </w:r>
      <w:r>
        <w:t xml:space="preserve"> </w:t>
      </w:r>
      <w:r w:rsidRPr="00275D77">
        <w:t xml:space="preserve">Task Force meeting </w:t>
      </w:r>
      <w:r>
        <w:rPr>
          <w:rFonts w:cs="Arial"/>
        </w:rPr>
        <w:t>of</w:t>
      </w:r>
      <w:r w:rsidRPr="00275D77">
        <w:t xml:space="preserve"> </w:t>
      </w:r>
      <w:r>
        <w:t>November</w:t>
      </w:r>
      <w:r w:rsidRPr="00275D77">
        <w:t xml:space="preserve"> 1</w:t>
      </w:r>
      <w:r>
        <w:t>4</w:t>
      </w:r>
      <w:r w:rsidRPr="00275D77">
        <w:t>, 2023, the</w:t>
      </w:r>
      <w:r>
        <w:t xml:space="preserve"> </w:t>
      </w:r>
      <w:r w:rsidRPr="00275D77">
        <w:t xml:space="preserve">Office of the Union </w:t>
      </w:r>
      <w:r>
        <w:t xml:space="preserve">presented </w:t>
      </w:r>
      <w:r w:rsidRPr="00275D77">
        <w:t>an overview of the following:</w:t>
      </w:r>
    </w:p>
    <w:p w14:paraId="21420CA4" w14:textId="77777777" w:rsidR="00546F10" w:rsidRPr="00275D77" w:rsidRDefault="00546F10" w:rsidP="00546F10"/>
    <w:p w14:paraId="7DEBC5BE" w14:textId="77777777" w:rsidR="00546F10" w:rsidRPr="00946DCA" w:rsidRDefault="00546F10" w:rsidP="00546F10">
      <w:pPr>
        <w:pStyle w:val="ListParagraph"/>
        <w:numPr>
          <w:ilvl w:val="1"/>
          <w:numId w:val="53"/>
        </w:numPr>
        <w:ind w:left="927"/>
        <w:contextualSpacing w:val="0"/>
      </w:pPr>
      <w:r>
        <w:t>N</w:t>
      </w:r>
      <w:r w:rsidRPr="00275D77">
        <w:t>umber of applications</w:t>
      </w:r>
      <w:r>
        <w:rPr>
          <w:rFonts w:cs="Arial"/>
        </w:rPr>
        <w:t>,</w:t>
      </w:r>
      <w:r w:rsidRPr="00275D77">
        <w:t xml:space="preserve"> and proportion</w:t>
      </w:r>
      <w:r>
        <w:t xml:space="preserve"> </w:t>
      </w:r>
      <w:r w:rsidRPr="00946DCA">
        <w:t xml:space="preserve">of applications </w:t>
      </w:r>
      <w:r>
        <w:rPr>
          <w:rFonts w:cs="Arial"/>
        </w:rPr>
        <w:t>filed via</w:t>
      </w:r>
      <w:r w:rsidRPr="00946DCA">
        <w:t xml:space="preserve"> UPOV</w:t>
      </w:r>
      <w:r>
        <w:rPr>
          <w:rFonts w:cs="Arial"/>
        </w:rPr>
        <w:t> </w:t>
      </w:r>
      <w:r w:rsidRPr="00946DCA">
        <w:t xml:space="preserve">PRISMA </w:t>
      </w:r>
      <w:r>
        <w:rPr>
          <w:rFonts w:cs="Arial"/>
        </w:rPr>
        <w:t>against those not filed via</w:t>
      </w:r>
      <w:r>
        <w:t xml:space="preserve"> </w:t>
      </w:r>
      <w:r w:rsidRPr="00946DCA">
        <w:t>UPOV</w:t>
      </w:r>
      <w:r>
        <w:rPr>
          <w:rFonts w:cs="Arial"/>
        </w:rPr>
        <w:t> </w:t>
      </w:r>
      <w:r w:rsidRPr="00946DCA">
        <w:t>PRISMA in each participating authority</w:t>
      </w:r>
      <w:r>
        <w:rPr>
          <w:rFonts w:cs="Arial"/>
        </w:rPr>
        <w:t>;</w:t>
      </w:r>
    </w:p>
    <w:p w14:paraId="590E05E1" w14:textId="77777777" w:rsidR="00546F10" w:rsidRPr="0045317F" w:rsidRDefault="00546F10" w:rsidP="00546F10">
      <w:pPr>
        <w:pStyle w:val="ListParagraph"/>
        <w:numPr>
          <w:ilvl w:val="1"/>
          <w:numId w:val="53"/>
        </w:numPr>
        <w:ind w:left="927"/>
        <w:contextualSpacing w:val="0"/>
      </w:pPr>
      <w:r>
        <w:t>N</w:t>
      </w:r>
      <w:r w:rsidRPr="00275D77">
        <w:t>eed for original documents</w:t>
      </w:r>
      <w:r>
        <w:t xml:space="preserve">: </w:t>
      </w:r>
      <w:r>
        <w:rPr>
          <w:rFonts w:cs="Arial"/>
        </w:rPr>
        <w:t xml:space="preserve"> it</w:t>
      </w:r>
      <w:r>
        <w:t xml:space="preserve"> is planned to </w:t>
      </w:r>
      <w:r w:rsidRPr="0045317F">
        <w:t>revise the PVP office procedure with participating authorities</w:t>
      </w:r>
      <w:r>
        <w:t xml:space="preserve"> to:</w:t>
      </w:r>
      <w:r w:rsidRPr="0045317F">
        <w:t xml:space="preserve"> </w:t>
      </w:r>
    </w:p>
    <w:p w14:paraId="0A046C52" w14:textId="77777777" w:rsidR="00546F10" w:rsidRPr="0045317F" w:rsidRDefault="00546F10" w:rsidP="00546F10">
      <w:pPr>
        <w:pStyle w:val="ListParagraph"/>
        <w:numPr>
          <w:ilvl w:val="2"/>
          <w:numId w:val="53"/>
        </w:numPr>
        <w:ind w:left="1276" w:hanging="352"/>
        <w:contextualSpacing w:val="0"/>
      </w:pPr>
      <w:r w:rsidRPr="0045317F">
        <w:rPr>
          <w:rFonts w:cs="Arial"/>
        </w:rPr>
        <w:t>clarify</w:t>
      </w:r>
      <w:r w:rsidRPr="0045317F">
        <w:t xml:space="preserve"> participating authorities’ requirements in terms of non-digital documents (original documents, paper submissions) and ink signatures</w:t>
      </w:r>
      <w:r>
        <w:t>, and</w:t>
      </w:r>
    </w:p>
    <w:p w14:paraId="66BC48A0" w14:textId="77777777" w:rsidR="00546F10" w:rsidRPr="0045317F" w:rsidRDefault="00546F10" w:rsidP="00546F10">
      <w:pPr>
        <w:pStyle w:val="ListParagraph"/>
        <w:numPr>
          <w:ilvl w:val="2"/>
          <w:numId w:val="53"/>
        </w:numPr>
        <w:ind w:left="1276" w:hanging="352"/>
        <w:contextualSpacing w:val="0"/>
      </w:pPr>
      <w:r w:rsidRPr="0045317F">
        <w:rPr>
          <w:rFonts w:cs="Arial"/>
        </w:rPr>
        <w:t>clarify</w:t>
      </w:r>
      <w:r w:rsidRPr="0045317F">
        <w:t xml:space="preserve"> any impact on the filing date if such requirements are not met when filing </w:t>
      </w:r>
      <w:r>
        <w:rPr>
          <w:rFonts w:cs="Arial"/>
        </w:rPr>
        <w:t>via</w:t>
      </w:r>
      <w:r w:rsidRPr="0045317F">
        <w:rPr>
          <w:rFonts w:cs="Arial"/>
        </w:rPr>
        <w:t xml:space="preserve"> </w:t>
      </w:r>
      <w:r>
        <w:rPr>
          <w:rFonts w:cs="Arial"/>
        </w:rPr>
        <w:t>UPOV </w:t>
      </w:r>
      <w:r w:rsidRPr="0045317F">
        <w:t>PRISMA</w:t>
      </w:r>
      <w:r>
        <w:t>;</w:t>
      </w:r>
    </w:p>
    <w:p w14:paraId="603AFCDD" w14:textId="77777777" w:rsidR="00546F10" w:rsidRDefault="00546F10" w:rsidP="00546F10">
      <w:pPr>
        <w:pStyle w:val="ListParagraph"/>
        <w:numPr>
          <w:ilvl w:val="1"/>
          <w:numId w:val="53"/>
        </w:numPr>
        <w:ind w:left="927"/>
        <w:contextualSpacing w:val="0"/>
      </w:pPr>
      <w:r>
        <w:t xml:space="preserve">The </w:t>
      </w:r>
      <w:r w:rsidRPr="00275D77">
        <w:t>PVP office procedure information in UPOV PRISMA</w:t>
      </w:r>
      <w:r>
        <w:t xml:space="preserve"> will be updated</w:t>
      </w:r>
      <w:r>
        <w:rPr>
          <w:rFonts w:cs="Arial"/>
        </w:rPr>
        <w:t xml:space="preserve"> along with the revision referred to above.</w:t>
      </w:r>
    </w:p>
    <w:p w14:paraId="520382DA" w14:textId="77777777" w:rsidR="00546F10" w:rsidRPr="0045317F" w:rsidRDefault="00546F10" w:rsidP="00546F10"/>
    <w:p w14:paraId="6BBFB37E" w14:textId="77777777" w:rsidR="00546F10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</w:r>
      <w:r>
        <w:t>Two design thinking workshops on User management were organized on December 4 and 7, 2023.</w:t>
      </w:r>
      <w:r>
        <w:rPr>
          <w:rFonts w:cs="Arial"/>
        </w:rPr>
        <w:t xml:space="preserve"> </w:t>
      </w:r>
      <w:r>
        <w:t xml:space="preserve"> After an online consultation, a final version was presented on January 30, 2024. </w:t>
      </w:r>
    </w:p>
    <w:p w14:paraId="3455E1DC" w14:textId="77777777" w:rsidR="00546F10" w:rsidRDefault="00546F10" w:rsidP="00546F10">
      <w:pPr>
        <w:rPr>
          <w:rFonts w:cs="Arial"/>
        </w:rPr>
      </w:pPr>
    </w:p>
    <w:p w14:paraId="5DC67CC7" w14:textId="77777777" w:rsidR="00546F10" w:rsidRDefault="00546F10" w:rsidP="00546F10">
      <w:pPr>
        <w:keepNext/>
      </w:pPr>
      <w:r w:rsidRPr="00773EDC">
        <w:lastRenderedPageBreak/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</w:r>
      <w:r>
        <w:t>It was agreed to split the user hierarchy into two dimensions:</w:t>
      </w:r>
    </w:p>
    <w:p w14:paraId="22ADBF8D" w14:textId="77777777" w:rsidR="00546F10" w:rsidRDefault="00546F10" w:rsidP="00546F10">
      <w:pPr>
        <w:keepNext/>
        <w:rPr>
          <w:rFonts w:cs="Arial"/>
        </w:rPr>
      </w:pPr>
    </w:p>
    <w:p w14:paraId="7E9A5537" w14:textId="77777777" w:rsidR="00546F10" w:rsidRPr="00A16B91" w:rsidRDefault="00546F10" w:rsidP="00546F10">
      <w:pPr>
        <w:pStyle w:val="ListParagraph"/>
        <w:numPr>
          <w:ilvl w:val="0"/>
          <w:numId w:val="51"/>
        </w:numPr>
        <w:ind w:left="851" w:hanging="284"/>
        <w:contextualSpacing w:val="0"/>
        <w:jc w:val="left"/>
      </w:pPr>
      <w:r>
        <w:t>U</w:t>
      </w:r>
      <w:r w:rsidRPr="00A16B91">
        <w:t xml:space="preserve">ser types: </w:t>
      </w:r>
      <w:r>
        <w:rPr>
          <w:rFonts w:cs="Arial"/>
        </w:rPr>
        <w:t xml:space="preserve"> a</w:t>
      </w:r>
      <w:r w:rsidRPr="00A16B91">
        <w:rPr>
          <w:rFonts w:cs="Arial"/>
        </w:rPr>
        <w:t>pplicant</w:t>
      </w:r>
      <w:r w:rsidRPr="00A16B91">
        <w:t xml:space="preserve"> and </w:t>
      </w:r>
      <w:r>
        <w:rPr>
          <w:rFonts w:cs="Arial"/>
        </w:rPr>
        <w:t>agent</w:t>
      </w:r>
    </w:p>
    <w:p w14:paraId="01C42CC0" w14:textId="77777777" w:rsidR="00546F10" w:rsidRPr="00946DCA" w:rsidRDefault="00546F10" w:rsidP="00546F10">
      <w:pPr>
        <w:pStyle w:val="ListParagraph"/>
        <w:numPr>
          <w:ilvl w:val="0"/>
          <w:numId w:val="51"/>
        </w:numPr>
        <w:ind w:left="851" w:hanging="284"/>
        <w:contextualSpacing w:val="0"/>
        <w:jc w:val="left"/>
      </w:pPr>
      <w:r w:rsidRPr="00946DCA">
        <w:t>User roles</w:t>
      </w:r>
      <w:r w:rsidRPr="00946DCA">
        <w:rPr>
          <w:rFonts w:cs="Arial"/>
        </w:rPr>
        <w:t>:</w:t>
      </w:r>
      <w:r>
        <w:rPr>
          <w:rFonts w:cs="Arial"/>
        </w:rPr>
        <w:t xml:space="preserve"> </w:t>
      </w:r>
      <w:r w:rsidRPr="00946DCA">
        <w:t xml:space="preserve"> the different actions that a user</w:t>
      </w:r>
      <w:r>
        <w:t xml:space="preserve"> type</w:t>
      </w:r>
      <w:r w:rsidRPr="00946DCA">
        <w:t xml:space="preserve"> </w:t>
      </w:r>
      <w:r>
        <w:t>is entitled to carry out</w:t>
      </w:r>
      <w:r>
        <w:rPr>
          <w:rFonts w:cs="Arial"/>
        </w:rPr>
        <w:t>.</w:t>
      </w:r>
      <w:r w:rsidRPr="00946DCA">
        <w:t> </w:t>
      </w:r>
    </w:p>
    <w:p w14:paraId="5DF56856" w14:textId="77777777" w:rsidR="00546F10" w:rsidRPr="00275D77" w:rsidRDefault="00546F10" w:rsidP="00546F10">
      <w:pPr>
        <w:rPr>
          <w:rFonts w:cs="Arial"/>
        </w:rPr>
      </w:pPr>
    </w:p>
    <w:p w14:paraId="2AB099FD" w14:textId="77777777" w:rsidR="00546F10" w:rsidRPr="00275D77" w:rsidRDefault="00546F10" w:rsidP="00546F10">
      <w:pPr>
        <w:pStyle w:val="Heading2"/>
      </w:pPr>
      <w:bookmarkStart w:id="62" w:name="_Toc108791965"/>
      <w:bookmarkStart w:id="63" w:name="_Toc108792150"/>
      <w:bookmarkStart w:id="64" w:name="_Toc108792266"/>
      <w:bookmarkStart w:id="65" w:name="_Toc108792341"/>
      <w:bookmarkStart w:id="66" w:name="_Toc109028307"/>
      <w:bookmarkStart w:id="67" w:name="_Toc161136477"/>
      <w:r w:rsidRPr="00275D77">
        <w:t>CPVO Synchronization</w:t>
      </w:r>
      <w:bookmarkEnd w:id="62"/>
      <w:bookmarkEnd w:id="63"/>
      <w:bookmarkEnd w:id="64"/>
      <w:bookmarkEnd w:id="65"/>
      <w:bookmarkEnd w:id="66"/>
      <w:bookmarkEnd w:id="67"/>
    </w:p>
    <w:p w14:paraId="54105B39" w14:textId="77777777" w:rsidR="00546F10" w:rsidRPr="00275D77" w:rsidRDefault="00546F10" w:rsidP="00546F10">
      <w:pPr>
        <w:rPr>
          <w:sz w:val="18"/>
        </w:rPr>
      </w:pPr>
    </w:p>
    <w:p w14:paraId="12886B28" w14:textId="77777777" w:rsidR="00546F10" w:rsidRPr="00275D77" w:rsidRDefault="00546F10" w:rsidP="00546F10">
      <w:pPr>
        <w:tabs>
          <w:tab w:val="left" w:pos="540"/>
          <w:tab w:val="left" w:pos="3240"/>
          <w:tab w:val="left" w:pos="6675"/>
        </w:tabs>
        <w:ind w:right="-81"/>
      </w:pPr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 xml:space="preserve">A meeting of the UPOV PRISMA Task Force Group was organized on </w:t>
      </w:r>
      <w:r>
        <w:t>November 14</w:t>
      </w:r>
      <w:r w:rsidRPr="00275D77">
        <w:t>, 2023 to report on CPVO participation in UPOV PRISMA.</w:t>
      </w:r>
    </w:p>
    <w:p w14:paraId="1683A205" w14:textId="77777777" w:rsidR="00546F10" w:rsidRPr="00275D77" w:rsidRDefault="00546F10" w:rsidP="00546F10">
      <w:pPr>
        <w:tabs>
          <w:tab w:val="left" w:pos="540"/>
          <w:tab w:val="left" w:pos="3240"/>
          <w:tab w:val="left" w:pos="6675"/>
        </w:tabs>
        <w:ind w:right="-81"/>
        <w:rPr>
          <w:sz w:val="18"/>
        </w:rPr>
      </w:pPr>
    </w:p>
    <w:p w14:paraId="52EB4E0A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 xml:space="preserve">In order to achieve and maintain synchronization of </w:t>
      </w:r>
      <w:proofErr w:type="spellStart"/>
      <w:r w:rsidRPr="00275D77">
        <w:t>TQs</w:t>
      </w:r>
      <w:proofErr w:type="spellEnd"/>
      <w:r w:rsidRPr="00275D77">
        <w:t xml:space="preserve"> between UPOV PRISMA and CPVO, the following projects have been agreed with CPVO:</w:t>
      </w:r>
    </w:p>
    <w:p w14:paraId="281DC6A0" w14:textId="77777777" w:rsidR="00546F10" w:rsidRPr="00275D77" w:rsidRDefault="00546F10" w:rsidP="00546F10">
      <w:pPr>
        <w:rPr>
          <w:highlight w:val="cyan"/>
        </w:rPr>
      </w:pPr>
    </w:p>
    <w:p w14:paraId="1959BEAB" w14:textId="77777777" w:rsidR="00546F10" w:rsidRPr="00275D77" w:rsidRDefault="00546F10" w:rsidP="00546F10">
      <w:pPr>
        <w:pStyle w:val="ListParagraph"/>
        <w:numPr>
          <w:ilvl w:val="0"/>
          <w:numId w:val="50"/>
        </w:numPr>
        <w:ind w:left="907" w:hanging="340"/>
      </w:pPr>
      <w:r w:rsidRPr="00275D77">
        <w:t>Project 1:  “Audit” (current issues/</w:t>
      </w:r>
      <w:r w:rsidRPr="00275D77">
        <w:rPr>
          <w:rFonts w:cs="Arial"/>
        </w:rPr>
        <w:t xml:space="preserve"> </w:t>
      </w:r>
      <w:r w:rsidRPr="00275D77">
        <w:t>states of affairs) for exchange of data between UPOV PRISMA and CPVO in both directions (Status: completed);</w:t>
      </w:r>
    </w:p>
    <w:p w14:paraId="22F47818" w14:textId="77777777" w:rsidR="00546F10" w:rsidRPr="00275D77" w:rsidRDefault="00546F10" w:rsidP="00546F10">
      <w:pPr>
        <w:pStyle w:val="ListParagraph"/>
        <w:numPr>
          <w:ilvl w:val="0"/>
          <w:numId w:val="50"/>
        </w:numPr>
        <w:ind w:left="907" w:hanging="340"/>
      </w:pPr>
      <w:r w:rsidRPr="00275D77">
        <w:t xml:space="preserve">Project 2:  Part A: </w:t>
      </w:r>
      <w:r w:rsidRPr="00275D77">
        <w:rPr>
          <w:rFonts w:cs="Arial"/>
        </w:rPr>
        <w:t>Resolving</w:t>
      </w:r>
      <w:r w:rsidRPr="00275D77">
        <w:t xml:space="preserve"> current issues;</w:t>
      </w:r>
      <w:r>
        <w:t xml:space="preserve"> </w:t>
      </w:r>
      <w:r w:rsidRPr="00275D77">
        <w:t>Part B</w:t>
      </w:r>
      <w:r w:rsidRPr="00275D77">
        <w:rPr>
          <w:rFonts w:cs="Arial"/>
        </w:rPr>
        <w:t xml:space="preserve"> : Synchronizing</w:t>
      </w:r>
      <w:r w:rsidRPr="00275D77">
        <w:t xml:space="preserve"> changes by UPOV/CPVO (Status: ongoing on the basis of information provided in Project 1);</w:t>
      </w:r>
    </w:p>
    <w:p w14:paraId="17AFFF9F" w14:textId="77777777" w:rsidR="00546F10" w:rsidRPr="00275D77" w:rsidRDefault="00546F10" w:rsidP="00546F10">
      <w:pPr>
        <w:pStyle w:val="ListParagraph"/>
        <w:numPr>
          <w:ilvl w:val="0"/>
          <w:numId w:val="50"/>
        </w:numPr>
        <w:ind w:left="907" w:hanging="340"/>
      </w:pPr>
      <w:r w:rsidRPr="00275D77">
        <w:t xml:space="preserve">Project 3:  Implementation of Project 2 outcome:  </w:t>
      </w:r>
      <w:r w:rsidRPr="00275D77">
        <w:rPr>
          <w:rFonts w:cs="Arial"/>
        </w:rPr>
        <w:t>Bi</w:t>
      </w:r>
      <w:r w:rsidRPr="00275D77">
        <w:t>-directional exchange of application data (</w:t>
      </w:r>
      <w:r w:rsidRPr="00275D77">
        <w:rPr>
          <w:rFonts w:cs="Arial"/>
        </w:rPr>
        <w:t>lettuce, tomato, rose</w:t>
      </w:r>
      <w:r w:rsidRPr="00275D77">
        <w:t>) (Status:</w:t>
      </w:r>
      <w:r>
        <w:t xml:space="preserve"> </w:t>
      </w:r>
      <w:r w:rsidRPr="00275D77">
        <w:t>ongoing on the basis of information provided in Project 1);</w:t>
      </w:r>
    </w:p>
    <w:p w14:paraId="55EE3480" w14:textId="77777777" w:rsidR="00546F10" w:rsidRPr="00275D77" w:rsidRDefault="00546F10" w:rsidP="00546F10">
      <w:pPr>
        <w:pStyle w:val="ListParagraph"/>
        <w:numPr>
          <w:ilvl w:val="0"/>
          <w:numId w:val="50"/>
        </w:numPr>
        <w:ind w:left="907" w:hanging="340"/>
      </w:pPr>
      <w:r w:rsidRPr="00275D77">
        <w:t>Project 4:  Bulk upload of Maize applications from UPOV to CPVO (Status:</w:t>
      </w:r>
      <w:r>
        <w:t xml:space="preserve"> </w:t>
      </w:r>
      <w:r w:rsidRPr="00275D77">
        <w:t>ongoing on the basis of information provided in Project 1); and</w:t>
      </w:r>
    </w:p>
    <w:p w14:paraId="2E61061E" w14:textId="77777777" w:rsidR="00546F10" w:rsidRPr="00275D77" w:rsidRDefault="00546F10" w:rsidP="00546F10">
      <w:pPr>
        <w:pStyle w:val="ListParagraph"/>
        <w:numPr>
          <w:ilvl w:val="0"/>
          <w:numId w:val="50"/>
        </w:numPr>
        <w:ind w:left="907" w:hanging="340"/>
      </w:pPr>
      <w:r w:rsidRPr="00275D77">
        <w:t xml:space="preserve">Project 5:  “Transitional arrangements”, to communicate to applicants </w:t>
      </w:r>
      <w:r w:rsidRPr="00275D77">
        <w:rPr>
          <w:rFonts w:cs="Arial"/>
        </w:rPr>
        <w:t>about</w:t>
      </w:r>
      <w:r>
        <w:t xml:space="preserve"> </w:t>
      </w:r>
      <w:r w:rsidRPr="00275D77">
        <w:t xml:space="preserve">the situations in which they can use UPOV PRISMA </w:t>
      </w:r>
      <w:r w:rsidRPr="00275D77">
        <w:rPr>
          <w:rFonts w:cs="Arial"/>
        </w:rPr>
        <w:t>for</w:t>
      </w:r>
      <w:r>
        <w:t xml:space="preserve"> </w:t>
      </w:r>
      <w:r w:rsidRPr="00275D77">
        <w:t xml:space="preserve">applications </w:t>
      </w:r>
      <w:r w:rsidRPr="00275D77">
        <w:rPr>
          <w:rFonts w:cs="Arial"/>
        </w:rPr>
        <w:t>at</w:t>
      </w:r>
      <w:r>
        <w:t xml:space="preserve"> </w:t>
      </w:r>
      <w:r w:rsidRPr="00275D77">
        <w:t xml:space="preserve">the CPVO and the measures that need </w:t>
      </w:r>
      <w:r w:rsidRPr="00275D77">
        <w:rPr>
          <w:rFonts w:cs="Arial"/>
        </w:rPr>
        <w:t xml:space="preserve">to </w:t>
      </w:r>
      <w:r w:rsidRPr="00275D77">
        <w:t>be taken until all issues have been resolved (Status:</w:t>
      </w:r>
      <w:r>
        <w:t xml:space="preserve"> </w:t>
      </w:r>
      <w:r w:rsidRPr="00275D77">
        <w:t>ongoing).</w:t>
      </w:r>
    </w:p>
    <w:p w14:paraId="5B346ACA" w14:textId="77777777" w:rsidR="00546F10" w:rsidRPr="00275D77" w:rsidRDefault="00546F10" w:rsidP="00546F10"/>
    <w:p w14:paraId="04F1A293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CPVO and UPOV</w:t>
      </w:r>
      <w:r>
        <w:t xml:space="preserve"> are discussing the timelines in relation to the </w:t>
      </w:r>
      <w:r>
        <w:rPr>
          <w:rFonts w:cs="Arial"/>
        </w:rPr>
        <w:t>above</w:t>
      </w:r>
      <w:r>
        <w:t xml:space="preserve"> projects taking into account the available resources. </w:t>
      </w:r>
      <w:r>
        <w:rPr>
          <w:rFonts w:cs="Arial"/>
        </w:rPr>
        <w:t xml:space="preserve"> </w:t>
      </w:r>
      <w:r>
        <w:t>The agreed timelines will be presented at the EAM/3</w:t>
      </w:r>
      <w:r>
        <w:rPr>
          <w:rFonts w:cs="Arial"/>
        </w:rPr>
        <w:t xml:space="preserve"> Meeting</w:t>
      </w:r>
      <w:r>
        <w:t xml:space="preserve">. </w:t>
      </w:r>
      <w:r w:rsidRPr="00275D77">
        <w:t xml:space="preserve"> </w:t>
      </w:r>
    </w:p>
    <w:p w14:paraId="44F6970D" w14:textId="77777777" w:rsidR="00546F10" w:rsidRPr="00275D77" w:rsidRDefault="00546F10" w:rsidP="00546F10"/>
    <w:p w14:paraId="430DA9A9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</w:r>
      <w:r>
        <w:t xml:space="preserve">To overcome technological limitations arising from the transition to the cloud, a decision was made to utilize the newly developed REST API for exporting application data from UPOV PRISMA to </w:t>
      </w:r>
      <w:r>
        <w:rPr>
          <w:rFonts w:cs="Arial"/>
        </w:rPr>
        <w:t xml:space="preserve">the </w:t>
      </w:r>
      <w:r>
        <w:t>CPVO online system.  Testing of retrieving application data from UPOV</w:t>
      </w:r>
      <w:r>
        <w:rPr>
          <w:rFonts w:cs="Arial"/>
        </w:rPr>
        <w:t> </w:t>
      </w:r>
      <w:r>
        <w:t>PRISMA by the CPVO online system has been completed.</w:t>
      </w:r>
      <w:r>
        <w:rPr>
          <w:rFonts w:cs="Arial"/>
        </w:rPr>
        <w:t xml:space="preserve"> </w:t>
      </w:r>
      <w:r>
        <w:t xml:space="preserve"> The new communication was deployed on February 20, 2024. </w:t>
      </w:r>
    </w:p>
    <w:p w14:paraId="7E328D5C" w14:textId="77777777" w:rsidR="00546F10" w:rsidRPr="00275D77" w:rsidRDefault="00546F10" w:rsidP="00546F10">
      <w:pPr>
        <w:pStyle w:val="Heading1"/>
      </w:pPr>
      <w:bookmarkStart w:id="68" w:name="_Toc161136478"/>
      <w:bookmarkStart w:id="69" w:name="_Toc84968151"/>
      <w:bookmarkStart w:id="70" w:name="_Toc85055502"/>
      <w:r w:rsidRPr="00275D77">
        <w:t>Plans for Version 3.0</w:t>
      </w:r>
      <w:bookmarkEnd w:id="68"/>
    </w:p>
    <w:p w14:paraId="746601DF" w14:textId="77777777" w:rsidR="00546F10" w:rsidRPr="00275D77" w:rsidRDefault="00546F10" w:rsidP="00546F10">
      <w:pPr>
        <w:keepNext/>
        <w:rPr>
          <w:u w:val="single"/>
        </w:rPr>
      </w:pPr>
    </w:p>
    <w:p w14:paraId="0862C72B" w14:textId="77777777" w:rsidR="00546F10" w:rsidRPr="00275D77" w:rsidRDefault="00546F10" w:rsidP="00546F10">
      <w:pPr>
        <w:pStyle w:val="Heading2"/>
        <w:rPr>
          <w:rStyle w:val="Heading2Char"/>
          <w:rFonts w:cs="Arial"/>
        </w:rPr>
      </w:pPr>
      <w:bookmarkStart w:id="71" w:name="_Toc161136479"/>
      <w:r w:rsidRPr="00275D77">
        <w:t>Release of Version 3.0</w:t>
      </w:r>
      <w:bookmarkEnd w:id="71"/>
    </w:p>
    <w:p w14:paraId="507F798A" w14:textId="77777777" w:rsidR="00546F10" w:rsidRPr="00275D77" w:rsidRDefault="00546F10" w:rsidP="00546F10">
      <w:pPr>
        <w:keepNext/>
      </w:pPr>
    </w:p>
    <w:p w14:paraId="45667075" w14:textId="77777777" w:rsidR="00546F10" w:rsidRPr="00275D77" w:rsidRDefault="00546F10" w:rsidP="00546F10"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 xml:space="preserve">It is planned to release Version 3.0 of UPOV PRISMA in </w:t>
      </w:r>
      <w:r>
        <w:t xml:space="preserve">March </w:t>
      </w:r>
      <w:r w:rsidRPr="00275D77">
        <w:t>202</w:t>
      </w:r>
      <w:r>
        <w:t>5.</w:t>
      </w:r>
    </w:p>
    <w:p w14:paraId="05F523BB" w14:textId="77777777" w:rsidR="00546F10" w:rsidRDefault="00546F10" w:rsidP="00546F10">
      <w:pPr>
        <w:rPr>
          <w:rFonts w:cs="Arial"/>
        </w:rPr>
      </w:pPr>
    </w:p>
    <w:p w14:paraId="28686DA4" w14:textId="77777777" w:rsidR="00546F10" w:rsidRPr="00652B36" w:rsidRDefault="00546F10" w:rsidP="00546F10">
      <w:pPr>
        <w:pStyle w:val="Heading2"/>
      </w:pPr>
      <w:bookmarkStart w:id="72" w:name="_Toc161136480"/>
      <w:r w:rsidRPr="00652B36">
        <w:t>Crop Coverage</w:t>
      </w:r>
      <w:bookmarkEnd w:id="72"/>
    </w:p>
    <w:p w14:paraId="4942E29A" w14:textId="77777777" w:rsidR="00546F10" w:rsidRPr="00652B36" w:rsidRDefault="00546F10" w:rsidP="00546F10"/>
    <w:p w14:paraId="25FC065D" w14:textId="77777777" w:rsidR="00546F10" w:rsidRPr="00652B36" w:rsidRDefault="00546F10" w:rsidP="00546F10">
      <w:pPr>
        <w:ind w:left="567"/>
      </w:pPr>
      <w:r w:rsidRPr="00652B36">
        <w:t>China:</w:t>
      </w:r>
    </w:p>
    <w:p w14:paraId="508CDE26" w14:textId="77777777" w:rsidR="00546F10" w:rsidRPr="00652B36" w:rsidRDefault="00546F10" w:rsidP="00546F10">
      <w:pPr>
        <w:keepNext/>
        <w:ind w:left="567"/>
        <w:rPr>
          <w:rFonts w:cs="Arial"/>
        </w:rPr>
      </w:pPr>
    </w:p>
    <w:tbl>
      <w:tblPr>
        <w:tblStyle w:val="TableGrid10"/>
        <w:tblW w:w="0" w:type="auto"/>
        <w:tblInd w:w="5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4482"/>
        <w:gridCol w:w="2160"/>
      </w:tblGrid>
      <w:tr w:rsidR="00546F10" w:rsidRPr="006045D3" w14:paraId="116DCEDE" w14:textId="77777777" w:rsidTr="00546F10">
        <w:trPr>
          <w:cantSplit/>
        </w:trPr>
        <w:tc>
          <w:tcPr>
            <w:tcW w:w="1668" w:type="dxa"/>
            <w:hideMark/>
          </w:tcPr>
          <w:p w14:paraId="473332C4" w14:textId="77777777" w:rsidR="00546F10" w:rsidRPr="00652B36" w:rsidRDefault="00546F10" w:rsidP="00B61103">
            <w:pPr>
              <w:jc w:val="left"/>
              <w:rPr>
                <w:color w:val="000000"/>
                <w:sz w:val="18"/>
              </w:rPr>
            </w:pPr>
            <w:proofErr w:type="spellStart"/>
            <w:r w:rsidRPr="00652B36">
              <w:rPr>
                <w:color w:val="000000"/>
                <w:sz w:val="18"/>
              </w:rPr>
              <w:t>Morchella</w:t>
            </w:r>
            <w:proofErr w:type="spellEnd"/>
          </w:p>
        </w:tc>
        <w:tc>
          <w:tcPr>
            <w:tcW w:w="4482" w:type="dxa"/>
            <w:hideMark/>
          </w:tcPr>
          <w:p w14:paraId="122F76AD" w14:textId="77777777" w:rsidR="00546F10" w:rsidRPr="00652B36" w:rsidRDefault="00546F10" w:rsidP="00B61103">
            <w:pPr>
              <w:jc w:val="left"/>
              <w:rPr>
                <w:color w:val="000000"/>
                <w:sz w:val="18"/>
              </w:rPr>
            </w:pPr>
            <w:proofErr w:type="spellStart"/>
            <w:r w:rsidRPr="00652B36">
              <w:rPr>
                <w:color w:val="000000"/>
                <w:sz w:val="18"/>
              </w:rPr>
              <w:t>Morchella</w:t>
            </w:r>
            <w:proofErr w:type="spellEnd"/>
            <w:r w:rsidRPr="00652B36">
              <w:rPr>
                <w:color w:val="000000"/>
                <w:sz w:val="18"/>
              </w:rPr>
              <w:t xml:space="preserve"> Dill. ex Pers.</w:t>
            </w:r>
          </w:p>
        </w:tc>
        <w:tc>
          <w:tcPr>
            <w:tcW w:w="2160" w:type="dxa"/>
            <w:hideMark/>
          </w:tcPr>
          <w:p w14:paraId="41E88CC9" w14:textId="77777777" w:rsidR="00546F10" w:rsidRPr="00652B36" w:rsidRDefault="00546F10" w:rsidP="00B61103">
            <w:pPr>
              <w:jc w:val="left"/>
              <w:rPr>
                <w:color w:val="000000"/>
                <w:sz w:val="18"/>
              </w:rPr>
            </w:pPr>
            <w:r w:rsidRPr="00652B36">
              <w:rPr>
                <w:color w:val="000000"/>
                <w:sz w:val="18"/>
              </w:rPr>
              <w:t>National TG</w:t>
            </w:r>
          </w:p>
        </w:tc>
      </w:tr>
    </w:tbl>
    <w:p w14:paraId="3CA5D7F1" w14:textId="77777777" w:rsidR="00546F10" w:rsidRPr="006045D3" w:rsidRDefault="00546F10" w:rsidP="00546F10">
      <w:pPr>
        <w:rPr>
          <w:rFonts w:cs="Arial"/>
        </w:rPr>
      </w:pPr>
    </w:p>
    <w:p w14:paraId="415A025B" w14:textId="77777777" w:rsidR="00546F10" w:rsidRPr="00275D77" w:rsidRDefault="00546F10" w:rsidP="00546F10">
      <w:pPr>
        <w:pStyle w:val="Heading2"/>
      </w:pPr>
      <w:bookmarkStart w:id="73" w:name="_Toc161136481"/>
      <w:r w:rsidRPr="006045D3">
        <w:t>Functionalities</w:t>
      </w:r>
      <w:bookmarkEnd w:id="73"/>
    </w:p>
    <w:p w14:paraId="351933AD" w14:textId="77777777" w:rsidR="00546F10" w:rsidRPr="00275D77" w:rsidRDefault="00546F10" w:rsidP="00546F10">
      <w:pPr>
        <w:keepNext/>
      </w:pPr>
    </w:p>
    <w:p w14:paraId="22E04CCA" w14:textId="77777777" w:rsidR="00546F10" w:rsidRPr="00275D77" w:rsidRDefault="00546F10" w:rsidP="00546F10">
      <w:pPr>
        <w:keepNext/>
      </w:pPr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 xml:space="preserve">The following functionalities are planned to </w:t>
      </w:r>
      <w:r w:rsidRPr="00275D77">
        <w:rPr>
          <w:rFonts w:cs="Arial"/>
        </w:rPr>
        <w:t>be</w:t>
      </w:r>
      <w:r>
        <w:rPr>
          <w:rFonts w:cs="Arial"/>
        </w:rPr>
        <w:t>ing</w:t>
      </w:r>
      <w:r w:rsidRPr="00275D77">
        <w:t xml:space="preserve"> introduced in Version 3.0:</w:t>
      </w:r>
    </w:p>
    <w:p w14:paraId="11EEAC2A" w14:textId="77777777" w:rsidR="00546F10" w:rsidRPr="00275D77" w:rsidRDefault="00546F10" w:rsidP="00546F10"/>
    <w:p w14:paraId="0C4F8560" w14:textId="77777777" w:rsidR="00546F10" w:rsidRDefault="00546F10" w:rsidP="00546F10">
      <w:pPr>
        <w:pStyle w:val="ListParagraph"/>
        <w:numPr>
          <w:ilvl w:val="0"/>
          <w:numId w:val="58"/>
        </w:numPr>
        <w:ind w:left="1134" w:hanging="567"/>
        <w:contextualSpacing w:val="0"/>
      </w:pPr>
      <w:r w:rsidRPr="00275D77">
        <w:rPr>
          <w:rFonts w:cs="Arial"/>
        </w:rPr>
        <w:t>Migrat</w:t>
      </w:r>
      <w:r>
        <w:rPr>
          <w:rFonts w:cs="Arial"/>
        </w:rPr>
        <w:t>ion of</w:t>
      </w:r>
      <w:r w:rsidRPr="00275D77">
        <w:t xml:space="preserve"> UPOV PRISMA to the cloud; </w:t>
      </w:r>
    </w:p>
    <w:p w14:paraId="61BC7D9A" w14:textId="77777777" w:rsidR="00546F10" w:rsidRPr="00275D77" w:rsidRDefault="00546F10" w:rsidP="00546F10">
      <w:pPr>
        <w:pStyle w:val="ListParagraph"/>
        <w:numPr>
          <w:ilvl w:val="0"/>
          <w:numId w:val="58"/>
        </w:numPr>
        <w:ind w:left="1134" w:hanging="567"/>
        <w:contextualSpacing w:val="0"/>
      </w:pPr>
      <w:r w:rsidRPr="00275D77">
        <w:t>Bulk invoice upon request;</w:t>
      </w:r>
    </w:p>
    <w:p w14:paraId="172B72F6" w14:textId="77777777" w:rsidR="00546F10" w:rsidRPr="00275D77" w:rsidRDefault="00546F10" w:rsidP="00546F10">
      <w:pPr>
        <w:pStyle w:val="ListParagraph"/>
        <w:numPr>
          <w:ilvl w:val="0"/>
          <w:numId w:val="58"/>
        </w:numPr>
        <w:ind w:left="1134" w:hanging="567"/>
        <w:contextualSpacing w:val="0"/>
      </w:pPr>
      <w:r>
        <w:rPr>
          <w:rFonts w:cs="Arial"/>
        </w:rPr>
        <w:t>N</w:t>
      </w:r>
      <w:r w:rsidRPr="00275D77">
        <w:rPr>
          <w:rFonts w:cs="Arial"/>
        </w:rPr>
        <w:t>otification/</w:t>
      </w:r>
      <w:r w:rsidRPr="00275D77">
        <w:t>alert when a change is made to the application form</w:t>
      </w:r>
      <w:r>
        <w:t xml:space="preserve"> </w:t>
      </w:r>
      <w:r>
        <w:rPr>
          <w:rFonts w:cs="Arial"/>
        </w:rPr>
        <w:t>or</w:t>
      </w:r>
      <w:r w:rsidRPr="00275D77">
        <w:t xml:space="preserve"> the technical questionnaire </w:t>
      </w:r>
      <w:r>
        <w:rPr>
          <w:rFonts w:cs="Arial"/>
        </w:rPr>
        <w:t>of</w:t>
      </w:r>
      <w:r>
        <w:t xml:space="preserve"> </w:t>
      </w:r>
      <w:r w:rsidRPr="00275D77">
        <w:t xml:space="preserve">the United Kingdom; </w:t>
      </w:r>
    </w:p>
    <w:p w14:paraId="78E5FE10" w14:textId="77777777" w:rsidR="00546F10" w:rsidRPr="00275D77" w:rsidRDefault="00546F10" w:rsidP="00546F10">
      <w:pPr>
        <w:pStyle w:val="ListParagraph"/>
        <w:numPr>
          <w:ilvl w:val="0"/>
          <w:numId w:val="58"/>
        </w:numPr>
        <w:ind w:left="1134" w:hanging="567"/>
        <w:contextualSpacing w:val="0"/>
      </w:pPr>
      <w:r w:rsidRPr="00275D77">
        <w:t xml:space="preserve">PDF accessibility: </w:t>
      </w:r>
    </w:p>
    <w:p w14:paraId="2A509C95" w14:textId="77777777" w:rsidR="00546F10" w:rsidRPr="00275D77" w:rsidRDefault="00546F10" w:rsidP="00546F10">
      <w:pPr>
        <w:pStyle w:val="ListParagraph"/>
        <w:numPr>
          <w:ilvl w:val="1"/>
          <w:numId w:val="59"/>
        </w:numPr>
        <w:ind w:left="1531" w:hanging="170"/>
        <w:jc w:val="left"/>
      </w:pPr>
      <w:r>
        <w:rPr>
          <w:rFonts w:cs="Arial"/>
        </w:rPr>
        <w:t>a</w:t>
      </w:r>
      <w:r w:rsidRPr="00275D77">
        <w:rPr>
          <w:rFonts w:cs="Arial"/>
        </w:rPr>
        <w:t>dd</w:t>
      </w:r>
      <w:r w:rsidRPr="00275D77">
        <w:t xml:space="preserve"> document’s title and language </w:t>
      </w:r>
      <w:r>
        <w:rPr>
          <w:rFonts w:cs="Arial"/>
        </w:rPr>
        <w:t>in the</w:t>
      </w:r>
      <w:r w:rsidRPr="00275D77">
        <w:t xml:space="preserve"> properties</w:t>
      </w:r>
    </w:p>
    <w:p w14:paraId="7193C1D7" w14:textId="77777777" w:rsidR="00546F10" w:rsidRPr="00275D77" w:rsidRDefault="00546F10" w:rsidP="00546F10">
      <w:pPr>
        <w:pStyle w:val="ListParagraph"/>
        <w:numPr>
          <w:ilvl w:val="2"/>
          <w:numId w:val="60"/>
        </w:numPr>
        <w:ind w:left="1888" w:hanging="357"/>
        <w:jc w:val="left"/>
      </w:pPr>
      <w:r>
        <w:rPr>
          <w:rFonts w:cs="Arial"/>
        </w:rPr>
        <w:t>t</w:t>
      </w:r>
      <w:r w:rsidRPr="00275D77">
        <w:rPr>
          <w:rFonts w:cs="Arial"/>
        </w:rPr>
        <w:t>itle:</w:t>
      </w:r>
      <w:r>
        <w:rPr>
          <w:rFonts w:cs="Arial"/>
        </w:rPr>
        <w:t xml:space="preserve"> </w:t>
      </w:r>
      <w:r w:rsidRPr="00275D77">
        <w:rPr>
          <w:rFonts w:cs="Arial"/>
        </w:rPr>
        <w:t xml:space="preserve"> application</w:t>
      </w:r>
      <w:r w:rsidRPr="00275D77">
        <w:t xml:space="preserve"> data for “crop common name” in “authority name”</w:t>
      </w:r>
    </w:p>
    <w:p w14:paraId="4C803A68" w14:textId="77777777" w:rsidR="00546F10" w:rsidRPr="00275D77" w:rsidRDefault="00546F10" w:rsidP="00546F10">
      <w:pPr>
        <w:pStyle w:val="ListParagraph"/>
        <w:numPr>
          <w:ilvl w:val="2"/>
          <w:numId w:val="60"/>
        </w:numPr>
        <w:ind w:left="1888" w:hanging="357"/>
        <w:jc w:val="left"/>
        <w:rPr>
          <w:rFonts w:cs="Arial"/>
        </w:rPr>
      </w:pPr>
      <w:r>
        <w:rPr>
          <w:rFonts w:cs="Arial"/>
        </w:rPr>
        <w:t>l</w:t>
      </w:r>
      <w:r w:rsidRPr="00275D77">
        <w:rPr>
          <w:rFonts w:cs="Arial"/>
        </w:rPr>
        <w:t>anguage</w:t>
      </w:r>
      <w:r>
        <w:rPr>
          <w:rFonts w:cs="Arial"/>
        </w:rPr>
        <w:t>,</w:t>
      </w:r>
    </w:p>
    <w:p w14:paraId="6E4D97CC" w14:textId="77777777" w:rsidR="00546F10" w:rsidRPr="00275D77" w:rsidRDefault="00546F10" w:rsidP="00546F10">
      <w:pPr>
        <w:pStyle w:val="ListParagraph"/>
        <w:numPr>
          <w:ilvl w:val="1"/>
          <w:numId w:val="59"/>
        </w:numPr>
        <w:ind w:left="1531" w:hanging="170"/>
        <w:jc w:val="left"/>
      </w:pPr>
      <w:r>
        <w:rPr>
          <w:rFonts w:cs="Arial"/>
        </w:rPr>
        <w:t>a</w:t>
      </w:r>
      <w:r w:rsidRPr="00275D77">
        <w:rPr>
          <w:rFonts w:cs="Arial"/>
        </w:rPr>
        <w:t>ll</w:t>
      </w:r>
      <w:r w:rsidRPr="00275D77">
        <w:t xml:space="preserve"> elements should be tagged and </w:t>
      </w:r>
      <w:r>
        <w:rPr>
          <w:rFonts w:cs="Arial"/>
        </w:rPr>
        <w:t>follow</w:t>
      </w:r>
      <w:r>
        <w:t xml:space="preserve"> </w:t>
      </w:r>
      <w:r w:rsidRPr="00275D77">
        <w:t>a proper reading order</w:t>
      </w:r>
      <w:r>
        <w:rPr>
          <w:rFonts w:cs="Arial"/>
        </w:rPr>
        <w:t>;</w:t>
      </w:r>
    </w:p>
    <w:p w14:paraId="31C55C28" w14:textId="77777777" w:rsidR="00546F10" w:rsidRPr="00275D77" w:rsidRDefault="00546F10" w:rsidP="00546F10">
      <w:pPr>
        <w:pStyle w:val="ListParagraph"/>
        <w:numPr>
          <w:ilvl w:val="0"/>
          <w:numId w:val="58"/>
        </w:numPr>
        <w:ind w:left="1134" w:hanging="567"/>
        <w:contextualSpacing w:val="0"/>
      </w:pPr>
      <w:r w:rsidRPr="00275D77">
        <w:t>Implement the new screen design for Start New Application and Copy Application;</w:t>
      </w:r>
    </w:p>
    <w:p w14:paraId="7B6D257F" w14:textId="77777777" w:rsidR="00546F10" w:rsidRPr="00275D77" w:rsidRDefault="00546F10" w:rsidP="00546F10">
      <w:pPr>
        <w:pStyle w:val="ListParagraph"/>
        <w:numPr>
          <w:ilvl w:val="0"/>
          <w:numId w:val="58"/>
        </w:numPr>
        <w:ind w:left="1134" w:hanging="567"/>
        <w:contextualSpacing w:val="0"/>
      </w:pPr>
      <w:r w:rsidRPr="00275D77">
        <w:t>Improve user management functionality;</w:t>
      </w:r>
    </w:p>
    <w:p w14:paraId="25447778" w14:textId="77777777" w:rsidR="00546F10" w:rsidRPr="00275D77" w:rsidRDefault="00546F10" w:rsidP="00546F10">
      <w:pPr>
        <w:pStyle w:val="ListParagraph"/>
        <w:numPr>
          <w:ilvl w:val="0"/>
          <w:numId w:val="58"/>
        </w:numPr>
        <w:ind w:left="1134" w:hanging="567"/>
        <w:contextualSpacing w:val="0"/>
      </w:pPr>
      <w:r w:rsidRPr="00275D77">
        <w:t xml:space="preserve">Add a “floating” menu for chapters in the generated form page; </w:t>
      </w:r>
      <w:r>
        <w:rPr>
          <w:rFonts w:cs="Arial"/>
        </w:rPr>
        <w:t xml:space="preserve"> </w:t>
      </w:r>
      <w:r w:rsidRPr="00275D77">
        <w:t>and</w:t>
      </w:r>
    </w:p>
    <w:p w14:paraId="4EA7F3A9" w14:textId="77777777" w:rsidR="00546F10" w:rsidRPr="00275D77" w:rsidRDefault="00546F10" w:rsidP="00546F10">
      <w:pPr>
        <w:pStyle w:val="ListParagraph"/>
        <w:numPr>
          <w:ilvl w:val="0"/>
          <w:numId w:val="58"/>
        </w:numPr>
        <w:ind w:left="1134" w:hanging="567"/>
        <w:contextualSpacing w:val="0"/>
      </w:pPr>
      <w:r w:rsidRPr="00275D77">
        <w:lastRenderedPageBreak/>
        <w:t xml:space="preserve">Bulk </w:t>
      </w:r>
      <w:r w:rsidRPr="00275D77">
        <w:rPr>
          <w:rFonts w:cs="Arial"/>
        </w:rPr>
        <w:t>upload</w:t>
      </w:r>
      <w:r w:rsidRPr="00275D77">
        <w:t xml:space="preserve"> improvements:</w:t>
      </w:r>
    </w:p>
    <w:p w14:paraId="1C3B75A9" w14:textId="77777777" w:rsidR="00546F10" w:rsidRPr="00275D77" w:rsidRDefault="00546F10" w:rsidP="00546F10">
      <w:pPr>
        <w:pStyle w:val="ListParagraph"/>
        <w:numPr>
          <w:ilvl w:val="0"/>
          <w:numId w:val="62"/>
        </w:numPr>
        <w:ind w:left="1531" w:hanging="170"/>
        <w:jc w:val="left"/>
      </w:pPr>
      <w:r w:rsidRPr="00275D77">
        <w:rPr>
          <w:rFonts w:cs="Arial"/>
        </w:rPr>
        <w:t>fix</w:t>
      </w:r>
      <w:r w:rsidRPr="00275D77">
        <w:t xml:space="preserve"> pending issues: </w:t>
      </w:r>
      <w:r>
        <w:rPr>
          <w:rFonts w:cs="Arial"/>
        </w:rPr>
        <w:t xml:space="preserve"> </w:t>
      </w:r>
      <w:r w:rsidRPr="00275D77">
        <w:rPr>
          <w:rFonts w:cs="Arial"/>
        </w:rPr>
        <w:t>stage</w:t>
      </w:r>
      <w:r w:rsidRPr="00275D77">
        <w:t>, language, dropdown validation</w:t>
      </w:r>
      <w:r>
        <w:rPr>
          <w:rFonts w:cs="Arial"/>
        </w:rPr>
        <w:t>,</w:t>
      </w:r>
    </w:p>
    <w:p w14:paraId="301D9103" w14:textId="77777777" w:rsidR="00546F10" w:rsidRPr="00275D77" w:rsidRDefault="00546F10" w:rsidP="00546F10">
      <w:pPr>
        <w:pStyle w:val="ListParagraph"/>
        <w:numPr>
          <w:ilvl w:val="0"/>
          <w:numId w:val="62"/>
        </w:numPr>
        <w:ind w:left="1512" w:hanging="151"/>
        <w:contextualSpacing w:val="0"/>
      </w:pPr>
      <w:r w:rsidRPr="00275D77">
        <w:rPr>
          <w:rFonts w:cs="Arial"/>
        </w:rPr>
        <w:t>simplify</w:t>
      </w:r>
      <w:r w:rsidRPr="00275D77">
        <w:t xml:space="preserve"> the template:  </w:t>
      </w:r>
      <w:r w:rsidRPr="00275D77">
        <w:rPr>
          <w:rFonts w:cs="Arial"/>
        </w:rPr>
        <w:t>reuse</w:t>
      </w:r>
      <w:r w:rsidRPr="00275D77">
        <w:t xml:space="preserve"> of </w:t>
      </w:r>
      <w:r w:rsidRPr="00275D77">
        <w:rPr>
          <w:rFonts w:cs="Arial"/>
        </w:rPr>
        <w:t>applicant/breeder/</w:t>
      </w:r>
      <w:r>
        <w:rPr>
          <w:rFonts w:cs="Arial"/>
        </w:rPr>
        <w:t xml:space="preserve">agent </w:t>
      </w:r>
      <w:r w:rsidRPr="00275D77">
        <w:rPr>
          <w:rFonts w:cs="Arial"/>
        </w:rPr>
        <w:t>correspondence address</w:t>
      </w:r>
      <w:r>
        <w:rPr>
          <w:rFonts w:cs="Arial"/>
        </w:rPr>
        <w:t>,</w:t>
      </w:r>
    </w:p>
    <w:p w14:paraId="7950F7E7" w14:textId="77777777" w:rsidR="00546F10" w:rsidRPr="00275D77" w:rsidRDefault="00546F10" w:rsidP="00546F10">
      <w:pPr>
        <w:pStyle w:val="ListParagraph"/>
        <w:numPr>
          <w:ilvl w:val="0"/>
          <w:numId w:val="62"/>
        </w:numPr>
        <w:ind w:left="1531" w:hanging="170"/>
        <w:contextualSpacing w:val="0"/>
      </w:pPr>
      <w:r w:rsidRPr="00275D77">
        <w:rPr>
          <w:rFonts w:cs="Arial"/>
        </w:rPr>
        <w:t>add</w:t>
      </w:r>
      <w:r w:rsidRPr="00275D77">
        <w:t xml:space="preserve"> the possibility to use Purdy’s notation for hybrids</w:t>
      </w:r>
      <w:r>
        <w:rPr>
          <w:rFonts w:cs="Arial"/>
        </w:rPr>
        <w:t>,</w:t>
      </w:r>
    </w:p>
    <w:p w14:paraId="324354A0" w14:textId="77777777" w:rsidR="00546F10" w:rsidRPr="00275D77" w:rsidRDefault="00546F10" w:rsidP="00546F10">
      <w:pPr>
        <w:pStyle w:val="ListParagraph"/>
        <w:numPr>
          <w:ilvl w:val="0"/>
          <w:numId w:val="62"/>
        </w:numPr>
        <w:ind w:left="1531" w:hanging="170"/>
        <w:contextualSpacing w:val="0"/>
      </w:pPr>
      <w:r w:rsidRPr="00275D77">
        <w:rPr>
          <w:rFonts w:cs="Arial"/>
        </w:rPr>
        <w:t>implement</w:t>
      </w:r>
      <w:r w:rsidRPr="00275D77">
        <w:t xml:space="preserve"> validation after upload to minimize errors</w:t>
      </w:r>
      <w:r>
        <w:rPr>
          <w:rFonts w:cs="Arial"/>
        </w:rPr>
        <w:t>.</w:t>
      </w:r>
    </w:p>
    <w:p w14:paraId="5C1253C4" w14:textId="77777777" w:rsidR="00546F10" w:rsidRPr="00275D77" w:rsidRDefault="00546F10" w:rsidP="00546F10">
      <w:pPr>
        <w:pStyle w:val="Heading1"/>
      </w:pPr>
      <w:bookmarkStart w:id="74" w:name="_Toc161136482"/>
      <w:r w:rsidRPr="00275D77">
        <w:t>Possible FUTURE developments</w:t>
      </w:r>
      <w:bookmarkEnd w:id="69"/>
      <w:bookmarkEnd w:id="70"/>
      <w:bookmarkEnd w:id="74"/>
    </w:p>
    <w:p w14:paraId="462477A5" w14:textId="77777777" w:rsidR="00546F10" w:rsidRPr="00275D77" w:rsidRDefault="00546F10" w:rsidP="00546F10">
      <w:pPr>
        <w:keepNext/>
      </w:pPr>
    </w:p>
    <w:p w14:paraId="000ECEEF" w14:textId="77777777" w:rsidR="00546F10" w:rsidRPr="00275D77" w:rsidRDefault="00546F10" w:rsidP="00546F10">
      <w:pPr>
        <w:pStyle w:val="Heading2"/>
      </w:pPr>
      <w:bookmarkStart w:id="75" w:name="_Toc68193127"/>
      <w:bookmarkStart w:id="76" w:name="_Toc84968153"/>
      <w:bookmarkStart w:id="77" w:name="_Toc85055504"/>
      <w:bookmarkStart w:id="78" w:name="_Toc161136483"/>
      <w:r w:rsidRPr="00275D77">
        <w:t>User-friendliness of the tool</w:t>
      </w:r>
      <w:bookmarkEnd w:id="75"/>
      <w:bookmarkEnd w:id="76"/>
      <w:bookmarkEnd w:id="77"/>
      <w:bookmarkEnd w:id="78"/>
    </w:p>
    <w:p w14:paraId="53256012" w14:textId="77777777" w:rsidR="00546F10" w:rsidRPr="00275D77" w:rsidRDefault="00546F10" w:rsidP="00546F10">
      <w:pPr>
        <w:keepNext/>
      </w:pPr>
    </w:p>
    <w:p w14:paraId="5BE363B0" w14:textId="77777777" w:rsidR="00546F10" w:rsidRPr="00275D77" w:rsidRDefault="00546F10" w:rsidP="00546F10">
      <w:pPr>
        <w:rPr>
          <w:color w:val="000000"/>
          <w:spacing w:val="-2"/>
        </w:rPr>
      </w:pPr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It was agreed at the EAF/19 meeting that t</w:t>
      </w:r>
      <w:r w:rsidRPr="00275D77">
        <w:rPr>
          <w:color w:val="000000"/>
          <w:spacing w:val="-2"/>
        </w:rPr>
        <w:t>he following elements would be considered to increase the user-friendliness of UPOV PRISMA:</w:t>
      </w:r>
    </w:p>
    <w:p w14:paraId="3D74338D" w14:textId="77777777" w:rsidR="00546F10" w:rsidRPr="00275D77" w:rsidRDefault="00546F10" w:rsidP="00546F10"/>
    <w:p w14:paraId="2DEA6F2E" w14:textId="77777777" w:rsidR="00546F10" w:rsidRPr="00275D77" w:rsidRDefault="00546F10" w:rsidP="00546F10">
      <w:pPr>
        <w:pStyle w:val="ListParagraph"/>
        <w:numPr>
          <w:ilvl w:val="0"/>
          <w:numId w:val="49"/>
        </w:numPr>
        <w:ind w:left="993" w:hanging="426"/>
        <w:contextualSpacing w:val="0"/>
      </w:pPr>
      <w:r w:rsidRPr="00275D77">
        <w:t xml:space="preserve">Addition of non-UPOV </w:t>
      </w:r>
      <w:proofErr w:type="spellStart"/>
      <w:r w:rsidRPr="00275D77">
        <w:t>TQ</w:t>
      </w:r>
      <w:proofErr w:type="spellEnd"/>
      <w:r w:rsidRPr="00275D77">
        <w:t xml:space="preserve"> characteristics in </w:t>
      </w:r>
      <w:proofErr w:type="spellStart"/>
      <w:r w:rsidRPr="00275D77">
        <w:t>TQ</w:t>
      </w:r>
      <w:proofErr w:type="spellEnd"/>
      <w:r w:rsidRPr="00275D77">
        <w:t xml:space="preserve"> Section 7 instead of </w:t>
      </w:r>
      <w:proofErr w:type="spellStart"/>
      <w:r w:rsidRPr="00275D77">
        <w:t>TQ</w:t>
      </w:r>
      <w:proofErr w:type="spellEnd"/>
      <w:r w:rsidRPr="00275D77">
        <w:t xml:space="preserve"> Section 5 (see document EAF/17/3 “Report</w:t>
      </w:r>
      <w:r w:rsidRPr="00275D77">
        <w:rPr>
          <w:rFonts w:cs="Arial"/>
        </w:rPr>
        <w:t>”</w:t>
      </w:r>
      <w:r>
        <w:rPr>
          <w:rFonts w:cs="Arial"/>
        </w:rPr>
        <w:t>,</w:t>
      </w:r>
      <w:r w:rsidRPr="00275D77">
        <w:t xml:space="preserve"> paragraph 19);</w:t>
      </w:r>
      <w:r w:rsidRPr="00275D77">
        <w:rPr>
          <w:rFonts w:cs="Arial"/>
        </w:rPr>
        <w:t xml:space="preserve"> </w:t>
      </w:r>
      <w:r>
        <w:t xml:space="preserve"> </w:t>
      </w:r>
      <w:r w:rsidRPr="00275D77">
        <w:t>and</w:t>
      </w:r>
    </w:p>
    <w:p w14:paraId="15B81214" w14:textId="77777777" w:rsidR="00546F10" w:rsidRPr="00275D77" w:rsidRDefault="00546F10" w:rsidP="00546F10">
      <w:pPr>
        <w:pStyle w:val="ListParagraph"/>
        <w:numPr>
          <w:ilvl w:val="0"/>
          <w:numId w:val="49"/>
        </w:numPr>
        <w:ind w:left="993" w:hanging="426"/>
        <w:contextualSpacing w:val="0"/>
        <w:jc w:val="left"/>
      </w:pPr>
      <w:r w:rsidRPr="00275D77">
        <w:t xml:space="preserve">Crop-specific </w:t>
      </w:r>
      <w:proofErr w:type="spellStart"/>
      <w:r w:rsidRPr="00275D77">
        <w:t>TQs</w:t>
      </w:r>
      <w:proofErr w:type="spellEnd"/>
      <w:r w:rsidRPr="00275D77">
        <w:t xml:space="preserve"> beyond Test Guidelines (see document EAF/16/3 “Report</w:t>
      </w:r>
      <w:r w:rsidRPr="00275D77">
        <w:rPr>
          <w:rFonts w:cs="Arial"/>
        </w:rPr>
        <w:t>”</w:t>
      </w:r>
      <w:r>
        <w:rPr>
          <w:rFonts w:cs="Arial"/>
        </w:rPr>
        <w:t>,</w:t>
      </w:r>
      <w:r w:rsidRPr="00275D77">
        <w:t xml:space="preserve"> paragraph 18).</w:t>
      </w:r>
    </w:p>
    <w:p w14:paraId="519A3EFD" w14:textId="77777777" w:rsidR="00546F10" w:rsidRPr="00275D77" w:rsidRDefault="00546F10" w:rsidP="00546F10"/>
    <w:p w14:paraId="256F52D1" w14:textId="77777777" w:rsidR="00546F10" w:rsidRPr="00275D77" w:rsidRDefault="00546F10" w:rsidP="00546F10">
      <w:pPr>
        <w:pStyle w:val="Heading2"/>
      </w:pPr>
      <w:bookmarkStart w:id="79" w:name="_Toc68193128"/>
      <w:bookmarkStart w:id="80" w:name="_Toc84968154"/>
      <w:bookmarkStart w:id="81" w:name="_Toc85055505"/>
      <w:bookmarkStart w:id="82" w:name="_Toc161136484"/>
      <w:r w:rsidRPr="00275D77">
        <w:t>New functionalities</w:t>
      </w:r>
      <w:bookmarkEnd w:id="79"/>
      <w:bookmarkEnd w:id="80"/>
      <w:bookmarkEnd w:id="81"/>
      <w:bookmarkEnd w:id="82"/>
    </w:p>
    <w:p w14:paraId="3AC8ECC6" w14:textId="77777777" w:rsidR="00546F10" w:rsidRPr="00275D77" w:rsidRDefault="00546F10" w:rsidP="00546F10">
      <w:pPr>
        <w:keepNext/>
      </w:pPr>
    </w:p>
    <w:p w14:paraId="49304165" w14:textId="77777777" w:rsidR="00546F10" w:rsidRPr="00275D77" w:rsidRDefault="00546F10" w:rsidP="00546F10">
      <w:pPr>
        <w:rPr>
          <w:color w:val="000000"/>
        </w:rPr>
      </w:pPr>
      <w:r w:rsidRPr="00773EDC">
        <w:fldChar w:fldCharType="begin"/>
      </w:r>
      <w:r w:rsidRPr="00275D77">
        <w:instrText xml:space="preserve"> AUTONUM  </w:instrText>
      </w:r>
      <w:r w:rsidRPr="00773EDC">
        <w:fldChar w:fldCharType="end"/>
      </w:r>
      <w:r w:rsidRPr="00275D77">
        <w:tab/>
        <w:t>The</w:t>
      </w:r>
      <w:r w:rsidRPr="00275D77">
        <w:rPr>
          <w:color w:val="000000"/>
        </w:rPr>
        <w:t xml:space="preserve"> following new functionalities will be considered for possible development:</w:t>
      </w:r>
    </w:p>
    <w:p w14:paraId="5B4994E2" w14:textId="77777777" w:rsidR="00546F10" w:rsidRPr="00275D77" w:rsidRDefault="00546F10" w:rsidP="00546F10"/>
    <w:p w14:paraId="30E19019" w14:textId="77777777" w:rsidR="00546F10" w:rsidRPr="00275D77" w:rsidRDefault="00546F10" w:rsidP="00546F10">
      <w:pPr>
        <w:pStyle w:val="ListParagraph"/>
        <w:numPr>
          <w:ilvl w:val="0"/>
          <w:numId w:val="49"/>
        </w:numPr>
        <w:ind w:left="993" w:hanging="426"/>
        <w:contextualSpacing w:val="0"/>
        <w:jc w:val="left"/>
      </w:pPr>
      <w:r w:rsidRPr="00275D77">
        <w:t xml:space="preserve">Bulk Upload for </w:t>
      </w:r>
      <w:r w:rsidRPr="00275D77">
        <w:rPr>
          <w:rFonts w:cs="Arial"/>
        </w:rPr>
        <w:t>Maize</w:t>
      </w:r>
      <w:r>
        <w:rPr>
          <w:rFonts w:cs="Arial"/>
        </w:rPr>
        <w:t xml:space="preserve"> (</w:t>
      </w:r>
      <w:r w:rsidRPr="00275D77">
        <w:t>United Kingdom);</w:t>
      </w:r>
      <w:r>
        <w:rPr>
          <w:rFonts w:cs="Arial"/>
        </w:rPr>
        <w:t xml:space="preserve"> </w:t>
      </w:r>
      <w:r>
        <w:t xml:space="preserve"> and</w:t>
      </w:r>
    </w:p>
    <w:p w14:paraId="5861DB6F" w14:textId="77777777" w:rsidR="00546F10" w:rsidRPr="00275D77" w:rsidRDefault="00546F10" w:rsidP="00546F10">
      <w:pPr>
        <w:pStyle w:val="ListParagraph"/>
        <w:numPr>
          <w:ilvl w:val="0"/>
          <w:numId w:val="49"/>
        </w:numPr>
        <w:ind w:left="993" w:hanging="426"/>
        <w:contextualSpacing w:val="0"/>
        <w:jc w:val="left"/>
      </w:pPr>
      <w:r w:rsidRPr="00275D77">
        <w:t>Machine translation (see document EAF/16/3 “Report</w:t>
      </w:r>
      <w:r w:rsidRPr="00275D77">
        <w:rPr>
          <w:rFonts w:cs="Arial"/>
        </w:rPr>
        <w:t>”</w:t>
      </w:r>
      <w:r>
        <w:rPr>
          <w:rFonts w:cs="Arial"/>
        </w:rPr>
        <w:t>,</w:t>
      </w:r>
      <w:r w:rsidRPr="00275D77">
        <w:t xml:space="preserve"> paragraph 18)</w:t>
      </w:r>
      <w:r>
        <w:t>.</w:t>
      </w:r>
    </w:p>
    <w:p w14:paraId="3D2C0EAF" w14:textId="77777777" w:rsidR="00546F10" w:rsidRPr="00275D77" w:rsidRDefault="00546F10" w:rsidP="00546F10">
      <w:pPr>
        <w:rPr>
          <w:highlight w:val="cyan"/>
        </w:rPr>
      </w:pPr>
    </w:p>
    <w:p w14:paraId="5E3C35DA" w14:textId="77777777" w:rsidR="00546F10" w:rsidRPr="00275D77" w:rsidRDefault="00546F10" w:rsidP="00546F10"/>
    <w:p w14:paraId="46EAC3B6" w14:textId="77777777" w:rsidR="00546F10" w:rsidRPr="00275D77" w:rsidRDefault="00546F10" w:rsidP="00546F10"/>
    <w:p w14:paraId="3762FCF4" w14:textId="77777777" w:rsidR="00546F10" w:rsidRPr="00083D11" w:rsidRDefault="00546F10" w:rsidP="00546F10">
      <w:pPr>
        <w:jc w:val="right"/>
        <w:rPr>
          <w:rFonts w:eastAsiaTheme="minorEastAsia" w:cs="Arial"/>
          <w:lang w:eastAsia="zh-CN"/>
        </w:rPr>
      </w:pPr>
      <w:r w:rsidRPr="00275D77">
        <w:t>[End of document]</w:t>
      </w:r>
    </w:p>
    <w:p w14:paraId="6B8EDC54" w14:textId="77777777" w:rsidR="00546F10" w:rsidRPr="004B171F" w:rsidRDefault="00546F10" w:rsidP="00546F10"/>
    <w:p w14:paraId="073FEA31" w14:textId="77777777" w:rsidR="00B570F7" w:rsidRPr="004B171F" w:rsidRDefault="00B570F7" w:rsidP="004B171F"/>
    <w:sectPr w:rsidR="00B570F7" w:rsidRPr="004B171F" w:rsidSect="0064327E">
      <w:headerReference w:type="default" r:id="rId9"/>
      <w:foot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EE16" w14:textId="77777777" w:rsidR="00546F10" w:rsidRDefault="00546F10" w:rsidP="00546F10">
      <w:r>
        <w:separator/>
      </w:r>
    </w:p>
  </w:endnote>
  <w:endnote w:type="continuationSeparator" w:id="0">
    <w:p w14:paraId="1DC38B26" w14:textId="77777777" w:rsidR="00546F10" w:rsidRDefault="00546F10" w:rsidP="0054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2950" w14:textId="77777777" w:rsidR="00546F10" w:rsidRPr="00366687" w:rsidRDefault="00546F10" w:rsidP="004E2854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7686" w14:textId="77777777" w:rsidR="00546F10" w:rsidRDefault="00546F10" w:rsidP="00546F10">
      <w:r>
        <w:separator/>
      </w:r>
    </w:p>
  </w:footnote>
  <w:footnote w:type="continuationSeparator" w:id="0">
    <w:p w14:paraId="27AE6FFD" w14:textId="77777777" w:rsidR="00546F10" w:rsidRDefault="00546F10" w:rsidP="00546F10">
      <w:r>
        <w:continuationSeparator/>
      </w:r>
    </w:p>
  </w:footnote>
  <w:footnote w:id="1">
    <w:p w14:paraId="0CE2AD1C" w14:textId="77777777" w:rsidR="00546F10" w:rsidRPr="00786B8C" w:rsidRDefault="00546F10" w:rsidP="00546F10">
      <w:pPr>
        <w:pStyle w:val="FootnoteText"/>
        <w:ind w:left="284" w:hanging="284"/>
      </w:pPr>
      <w:r w:rsidRPr="004E2854">
        <w:rPr>
          <w:rStyle w:val="FootnoteReference"/>
          <w:color w:val="808080" w:themeColor="background1" w:themeShade="80"/>
          <w:sz w:val="14"/>
          <w:szCs w:val="14"/>
        </w:rPr>
        <w:footnoteRef/>
      </w:r>
      <w:r>
        <w:tab/>
      </w:r>
      <w:r w:rsidRPr="00652B36">
        <w:t>African Intellectual Property Organization</w:t>
      </w:r>
      <w:r>
        <w:t xml:space="preserve"> (OAPI)</w:t>
      </w:r>
      <w:r w:rsidRPr="00720D23">
        <w:t>,</w:t>
      </w:r>
      <w:r w:rsidRPr="00786B8C">
        <w:t xml:space="preserve"> Argentina (Wheat, Barely, Black Radish, Pepper, Cotton, Witloof Chicory, Papaya), Chile, China (Lettuce), Colombia, Costa Rica, Dominican Republic, Ecuador, France, Georgia (Wheat, Field Bean, Barley, Oats, Blueberry), Kenya, Morocco (Blueberry), </w:t>
      </w:r>
      <w:r w:rsidRPr="00720D23">
        <w:t>Netherlands</w:t>
      </w:r>
      <w:r>
        <w:t xml:space="preserve"> (</w:t>
      </w:r>
      <w:r w:rsidRPr="00786B8C">
        <w:t>Kingdom of the</w:t>
      </w:r>
      <w:r>
        <w:t>)</w:t>
      </w:r>
      <w:r w:rsidRPr="00720D23">
        <w:t>,</w:t>
      </w:r>
      <w:r w:rsidRPr="00786B8C">
        <w:t xml:space="preserve"> New Zealand, Republic of Korea (Lettuce), Republic</w:t>
      </w:r>
      <w:r>
        <w:t> </w:t>
      </w:r>
      <w:r w:rsidRPr="00786B8C">
        <w:t>of Moldova (Wheat, Lettuce, Oats, Pepper), Saint Vincent and the Grenadines, Serbia (Blueberry), South Africa, Sweden, Switzerland, Tunisia, Türkiye, United Kingdom, Viet Nam</w:t>
      </w:r>
      <w:r>
        <w:t>.</w:t>
      </w:r>
    </w:p>
  </w:footnote>
  <w:footnote w:id="2">
    <w:p w14:paraId="6F17D439" w14:textId="77777777" w:rsidR="00546F10" w:rsidRDefault="00546F10" w:rsidP="00546F10">
      <w:pPr>
        <w:pStyle w:val="FootnoteText"/>
        <w:ind w:left="284" w:hanging="284"/>
      </w:pPr>
      <w:r w:rsidRPr="004E2854">
        <w:rPr>
          <w:rStyle w:val="FootnoteReference"/>
          <w:color w:val="808080" w:themeColor="background1" w:themeShade="80"/>
          <w:sz w:val="14"/>
          <w:szCs w:val="14"/>
        </w:rPr>
        <w:footnoteRef/>
      </w:r>
      <w:r>
        <w:tab/>
      </w:r>
      <w:r w:rsidRPr="00786B8C">
        <w:t>Australia, European Union, Mexico, Norway, Peru, United States of America, Uruguay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92BC" w14:textId="77777777" w:rsidR="00546F10" w:rsidRPr="00C5280D" w:rsidRDefault="00546F10" w:rsidP="00EB048E">
    <w:pPr>
      <w:pStyle w:val="Header"/>
      <w:rPr>
        <w:rStyle w:val="PageNumber"/>
        <w:lang w:val="en-US"/>
      </w:rPr>
    </w:pPr>
    <w:r>
      <w:t>EAM/</w:t>
    </w:r>
    <w:r>
      <w:t>3</w:t>
    </w:r>
    <w:r>
      <w:t>/3</w:t>
    </w:r>
  </w:p>
  <w:p w14:paraId="224AEBDF" w14:textId="77777777" w:rsidR="00546F10" w:rsidRPr="00C5280D" w:rsidRDefault="00546F10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14:paraId="2F479EFC" w14:textId="77777777" w:rsidR="00546F10" w:rsidRPr="00C5280D" w:rsidRDefault="00546F10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65E7C"/>
    <w:multiLevelType w:val="hybridMultilevel"/>
    <w:tmpl w:val="E05A5C70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16E64"/>
    <w:multiLevelType w:val="hybridMultilevel"/>
    <w:tmpl w:val="34FAE4B4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0287C49"/>
    <w:multiLevelType w:val="hybridMultilevel"/>
    <w:tmpl w:val="1098F63C"/>
    <w:lvl w:ilvl="0" w:tplc="DF347518">
      <w:start w:val="1"/>
      <w:numFmt w:val="decimal"/>
      <w:lvlText w:val="(%1)"/>
      <w:lvlJc w:val="left"/>
      <w:pPr>
        <w:ind w:left="786" w:hanging="360"/>
      </w:pPr>
      <w:rPr>
        <w:rFonts w:ascii="Arial" w:hAnsi="Arial" w:hint="default"/>
        <w:sz w:val="18"/>
      </w:rPr>
    </w:lvl>
    <w:lvl w:ilvl="1" w:tplc="3BF45F3A">
      <w:start w:val="1"/>
      <w:numFmt w:val="lowerLetter"/>
      <w:lvlText w:val="(%2)"/>
      <w:lvlJc w:val="left"/>
      <w:pPr>
        <w:ind w:left="1566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B972879"/>
    <w:multiLevelType w:val="hybridMultilevel"/>
    <w:tmpl w:val="85941B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53B35"/>
    <w:multiLevelType w:val="hybridMultilevel"/>
    <w:tmpl w:val="2D3814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65B9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D392E"/>
    <w:multiLevelType w:val="hybridMultilevel"/>
    <w:tmpl w:val="D3702C24"/>
    <w:lvl w:ilvl="0" w:tplc="B5A2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609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A0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C2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2D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C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8B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A4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84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BE3A8C"/>
    <w:multiLevelType w:val="hybridMultilevel"/>
    <w:tmpl w:val="D4DA4A02"/>
    <w:lvl w:ilvl="0" w:tplc="DF347518">
      <w:start w:val="1"/>
      <w:numFmt w:val="decimal"/>
      <w:lvlText w:val="(%1)"/>
      <w:lvlJc w:val="left"/>
      <w:pPr>
        <w:ind w:left="786" w:hanging="360"/>
      </w:pPr>
      <w:rPr>
        <w:rFonts w:ascii="Arial" w:hAnsi="Arial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083D68"/>
    <w:multiLevelType w:val="hybridMultilevel"/>
    <w:tmpl w:val="ABA6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9C4"/>
    <w:multiLevelType w:val="hybridMultilevel"/>
    <w:tmpl w:val="C5909D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BD865B9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720B5"/>
    <w:multiLevelType w:val="hybridMultilevel"/>
    <w:tmpl w:val="40B6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00B50"/>
    <w:multiLevelType w:val="hybridMultilevel"/>
    <w:tmpl w:val="B8D6871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2460E8F"/>
    <w:multiLevelType w:val="hybridMultilevel"/>
    <w:tmpl w:val="56DA480E"/>
    <w:lvl w:ilvl="0" w:tplc="BD865B94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8D77A1"/>
    <w:multiLevelType w:val="hybridMultilevel"/>
    <w:tmpl w:val="C24A173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91835F3"/>
    <w:multiLevelType w:val="hybridMultilevel"/>
    <w:tmpl w:val="DF10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5FC54AD1"/>
    <w:multiLevelType w:val="hybridMultilevel"/>
    <w:tmpl w:val="3EF4976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4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3232A"/>
    <w:multiLevelType w:val="hybridMultilevel"/>
    <w:tmpl w:val="881C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24E0F"/>
    <w:multiLevelType w:val="hybridMultilevel"/>
    <w:tmpl w:val="1D50F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822131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27BC5"/>
    <w:multiLevelType w:val="hybridMultilevel"/>
    <w:tmpl w:val="6FAA3FFE"/>
    <w:lvl w:ilvl="0" w:tplc="9BEEA0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64BB1"/>
    <w:multiLevelType w:val="hybridMultilevel"/>
    <w:tmpl w:val="26341B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20154"/>
    <w:multiLevelType w:val="hybridMultilevel"/>
    <w:tmpl w:val="2D6C0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0C05F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8162E0B"/>
    <w:multiLevelType w:val="hybridMultilevel"/>
    <w:tmpl w:val="B218DFE2"/>
    <w:lvl w:ilvl="0" w:tplc="6164BB46">
      <w:start w:val="1"/>
      <w:numFmt w:val="lowerLetter"/>
      <w:lvlText w:val="(%1)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EE13F3E"/>
    <w:multiLevelType w:val="hybridMultilevel"/>
    <w:tmpl w:val="E6945936"/>
    <w:lvl w:ilvl="0" w:tplc="AE6CE3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032794">
    <w:abstractNumId w:val="43"/>
  </w:num>
  <w:num w:numId="2" w16cid:durableId="246690104">
    <w:abstractNumId w:val="27"/>
  </w:num>
  <w:num w:numId="3" w16cid:durableId="87506090">
    <w:abstractNumId w:val="32"/>
  </w:num>
  <w:num w:numId="4" w16cid:durableId="1187331039">
    <w:abstractNumId w:val="9"/>
  </w:num>
  <w:num w:numId="5" w16cid:durableId="295646878">
    <w:abstractNumId w:val="7"/>
  </w:num>
  <w:num w:numId="6" w16cid:durableId="1892383410">
    <w:abstractNumId w:val="6"/>
  </w:num>
  <w:num w:numId="7" w16cid:durableId="1433431147">
    <w:abstractNumId w:val="5"/>
  </w:num>
  <w:num w:numId="8" w16cid:durableId="1022633090">
    <w:abstractNumId w:val="4"/>
  </w:num>
  <w:num w:numId="9" w16cid:durableId="873227007">
    <w:abstractNumId w:val="8"/>
  </w:num>
  <w:num w:numId="10" w16cid:durableId="1690569135">
    <w:abstractNumId w:val="3"/>
  </w:num>
  <w:num w:numId="11" w16cid:durableId="32775788">
    <w:abstractNumId w:val="2"/>
  </w:num>
  <w:num w:numId="12" w16cid:durableId="86704891">
    <w:abstractNumId w:val="1"/>
  </w:num>
  <w:num w:numId="13" w16cid:durableId="1728990556">
    <w:abstractNumId w:val="0"/>
  </w:num>
  <w:num w:numId="14" w16cid:durableId="264702602">
    <w:abstractNumId w:val="43"/>
  </w:num>
  <w:num w:numId="15" w16cid:durableId="558635529">
    <w:abstractNumId w:val="27"/>
  </w:num>
  <w:num w:numId="16" w16cid:durableId="1536312788">
    <w:abstractNumId w:val="32"/>
  </w:num>
  <w:num w:numId="17" w16cid:durableId="1744522530">
    <w:abstractNumId w:val="9"/>
  </w:num>
  <w:num w:numId="18" w16cid:durableId="1876382556">
    <w:abstractNumId w:val="7"/>
  </w:num>
  <w:num w:numId="19" w16cid:durableId="1676570427">
    <w:abstractNumId w:val="6"/>
  </w:num>
  <w:num w:numId="20" w16cid:durableId="1195771664">
    <w:abstractNumId w:val="5"/>
  </w:num>
  <w:num w:numId="21" w16cid:durableId="2014215897">
    <w:abstractNumId w:val="4"/>
  </w:num>
  <w:num w:numId="22" w16cid:durableId="361978207">
    <w:abstractNumId w:val="8"/>
  </w:num>
  <w:num w:numId="23" w16cid:durableId="269439736">
    <w:abstractNumId w:val="3"/>
  </w:num>
  <w:num w:numId="24" w16cid:durableId="1450389232">
    <w:abstractNumId w:val="2"/>
  </w:num>
  <w:num w:numId="25" w16cid:durableId="137573014">
    <w:abstractNumId w:val="1"/>
  </w:num>
  <w:num w:numId="26" w16cid:durableId="894659005">
    <w:abstractNumId w:val="0"/>
  </w:num>
  <w:num w:numId="27" w16cid:durableId="1834447121">
    <w:abstractNumId w:val="43"/>
  </w:num>
  <w:num w:numId="28" w16cid:durableId="2057047736">
    <w:abstractNumId w:val="27"/>
  </w:num>
  <w:num w:numId="29" w16cid:durableId="1244879720">
    <w:abstractNumId w:val="32"/>
  </w:num>
  <w:num w:numId="30" w16cid:durableId="688457729">
    <w:abstractNumId w:val="9"/>
  </w:num>
  <w:num w:numId="31" w16cid:durableId="833180194">
    <w:abstractNumId w:val="7"/>
  </w:num>
  <w:num w:numId="32" w16cid:durableId="832720156">
    <w:abstractNumId w:val="6"/>
  </w:num>
  <w:num w:numId="33" w16cid:durableId="1912694168">
    <w:abstractNumId w:val="5"/>
  </w:num>
  <w:num w:numId="34" w16cid:durableId="1410271382">
    <w:abstractNumId w:val="4"/>
  </w:num>
  <w:num w:numId="35" w16cid:durableId="2009822486">
    <w:abstractNumId w:val="8"/>
  </w:num>
  <w:num w:numId="36" w16cid:durableId="782579094">
    <w:abstractNumId w:val="3"/>
  </w:num>
  <w:num w:numId="37" w16cid:durableId="2094204399">
    <w:abstractNumId w:val="2"/>
  </w:num>
  <w:num w:numId="38" w16cid:durableId="198713698">
    <w:abstractNumId w:val="1"/>
  </w:num>
  <w:num w:numId="39" w16cid:durableId="936212238">
    <w:abstractNumId w:val="0"/>
  </w:num>
  <w:num w:numId="40" w16cid:durableId="592322509">
    <w:abstractNumId w:val="21"/>
  </w:num>
  <w:num w:numId="41" w16cid:durableId="1563519181">
    <w:abstractNumId w:val="20"/>
  </w:num>
  <w:num w:numId="42" w16cid:durableId="458302324">
    <w:abstractNumId w:val="34"/>
  </w:num>
  <w:num w:numId="43" w16cid:durableId="1076392089">
    <w:abstractNumId w:val="14"/>
  </w:num>
  <w:num w:numId="44" w16cid:durableId="1774593018">
    <w:abstractNumId w:val="30"/>
  </w:num>
  <w:num w:numId="45" w16cid:durableId="1710181644">
    <w:abstractNumId w:val="19"/>
  </w:num>
  <w:num w:numId="46" w16cid:durableId="279265971">
    <w:abstractNumId w:val="41"/>
  </w:num>
  <w:num w:numId="47" w16cid:durableId="285507131">
    <w:abstractNumId w:val="30"/>
  </w:num>
  <w:num w:numId="48" w16cid:durableId="1956792075">
    <w:abstractNumId w:val="44"/>
  </w:num>
  <w:num w:numId="49" w16cid:durableId="256598634">
    <w:abstractNumId w:val="40"/>
  </w:num>
  <w:num w:numId="50" w16cid:durableId="1079399640">
    <w:abstractNumId w:val="10"/>
  </w:num>
  <w:num w:numId="51" w16cid:durableId="478426925">
    <w:abstractNumId w:val="31"/>
  </w:num>
  <w:num w:numId="52" w16cid:durableId="1839149492">
    <w:abstractNumId w:val="22"/>
  </w:num>
  <w:num w:numId="53" w16cid:durableId="357001162">
    <w:abstractNumId w:val="35"/>
  </w:num>
  <w:num w:numId="54" w16cid:durableId="2100517728">
    <w:abstractNumId w:val="29"/>
  </w:num>
  <w:num w:numId="55" w16cid:durableId="794175533">
    <w:abstractNumId w:val="17"/>
  </w:num>
  <w:num w:numId="56" w16cid:durableId="2142767659">
    <w:abstractNumId w:val="36"/>
  </w:num>
  <w:num w:numId="57" w16cid:durableId="854074945">
    <w:abstractNumId w:val="42"/>
  </w:num>
  <w:num w:numId="58" w16cid:durableId="862717638">
    <w:abstractNumId w:val="12"/>
  </w:num>
  <w:num w:numId="59" w16cid:durableId="365757969">
    <w:abstractNumId w:val="24"/>
  </w:num>
  <w:num w:numId="60" w16cid:durableId="1758597497">
    <w:abstractNumId w:val="16"/>
  </w:num>
  <w:num w:numId="61" w16cid:durableId="168327111">
    <w:abstractNumId w:val="11"/>
  </w:num>
  <w:num w:numId="62" w16cid:durableId="1675182532">
    <w:abstractNumId w:val="28"/>
  </w:num>
  <w:num w:numId="63" w16cid:durableId="1256986287">
    <w:abstractNumId w:val="13"/>
  </w:num>
  <w:num w:numId="64" w16cid:durableId="2063748058">
    <w:abstractNumId w:val="37"/>
  </w:num>
  <w:num w:numId="65" w16cid:durableId="1060011010">
    <w:abstractNumId w:val="23"/>
  </w:num>
  <w:num w:numId="66" w16cid:durableId="754088437">
    <w:abstractNumId w:val="39"/>
  </w:num>
  <w:num w:numId="67" w16cid:durableId="2013995127">
    <w:abstractNumId w:val="33"/>
  </w:num>
  <w:num w:numId="68" w16cid:durableId="799570658">
    <w:abstractNumId w:val="15"/>
  </w:num>
  <w:num w:numId="69" w16cid:durableId="70741338">
    <w:abstractNumId w:val="38"/>
  </w:num>
  <w:num w:numId="70" w16cid:durableId="1505978239">
    <w:abstractNumId w:val="18"/>
  </w:num>
  <w:num w:numId="71" w16cid:durableId="1023356952">
    <w:abstractNumId w:val="25"/>
  </w:num>
  <w:num w:numId="72" w16cid:durableId="14417531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10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015A"/>
    <w:rsid w:val="000618C6"/>
    <w:rsid w:val="000619A4"/>
    <w:rsid w:val="00061FE4"/>
    <w:rsid w:val="000620CD"/>
    <w:rsid w:val="00062397"/>
    <w:rsid w:val="000625BE"/>
    <w:rsid w:val="000635B4"/>
    <w:rsid w:val="000646E6"/>
    <w:rsid w:val="00065912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02E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3FA"/>
    <w:rsid w:val="000E0AA8"/>
    <w:rsid w:val="000E0F67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2ABF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0F5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0C9C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B59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03F2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39B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68A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10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8E3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6CA5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02EE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828"/>
    <w:rsid w:val="0075406E"/>
    <w:rsid w:val="007556D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0E0"/>
    <w:rsid w:val="00862436"/>
    <w:rsid w:val="00862B0D"/>
    <w:rsid w:val="00862E91"/>
    <w:rsid w:val="00863707"/>
    <w:rsid w:val="0086389C"/>
    <w:rsid w:val="008639D7"/>
    <w:rsid w:val="00863E5C"/>
    <w:rsid w:val="0086421C"/>
    <w:rsid w:val="00864369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1A77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72F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DA9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3792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297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231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5911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AE2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2B20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12C2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83D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6C05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6C12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ABD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FF9"/>
    <w:rsid w:val="00E75D7C"/>
    <w:rsid w:val="00E80465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3548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E92"/>
    <w:rsid w:val="00EC722C"/>
    <w:rsid w:val="00EC79DC"/>
    <w:rsid w:val="00ED15F4"/>
    <w:rsid w:val="00ED2D29"/>
    <w:rsid w:val="00ED3EEE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2D9C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1951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BB3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5A2C56"/>
  <w15:chartTrackingRefBased/>
  <w15:docId w15:val="{27B3327A-66ED-47A1-8FE8-65354543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F10"/>
  </w:style>
  <w:style w:type="paragraph" w:styleId="Heading1">
    <w:name w:val="heading 1"/>
    <w:next w:val="Normal"/>
    <w:link w:val="Heading1Char"/>
    <w:autoRedefine/>
    <w:qFormat/>
    <w:rsid w:val="00546F10"/>
    <w:pPr>
      <w:keepNext/>
      <w:spacing w:before="480"/>
      <w:outlineLvl w:val="0"/>
    </w:pPr>
    <w:rPr>
      <w:caps/>
    </w:rPr>
  </w:style>
  <w:style w:type="paragraph" w:styleId="Heading2">
    <w:name w:val="heading 2"/>
    <w:next w:val="Normal"/>
    <w:link w:val="Heading2Char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link w:val="Heading3Char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link w:val="Heading5Char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uiPriority w:val="99"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qFormat/>
    <w:rsid w:val="00546F10"/>
    <w:pPr>
      <w:tabs>
        <w:tab w:val="right" w:leader="dot" w:pos="9639"/>
      </w:tabs>
      <w:spacing w:before="60" w:after="60"/>
      <w:jc w:val="center"/>
    </w:pPr>
    <w:rPr>
      <w:caps/>
      <w:noProof/>
      <w:sz w:val="18"/>
    </w:rPr>
  </w:style>
  <w:style w:type="paragraph" w:styleId="TOC3">
    <w:name w:val="toc 3"/>
    <w:next w:val="Normal"/>
    <w:autoRedefine/>
    <w:uiPriority w:val="39"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link w:val="EndnoteTextChar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link w:val="DateChar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qFormat/>
    <w:rsid w:val="00546F10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6"/>
      <w:szCs w:val="16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link w:val="SignatureChar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link w:val="ClosingChar"/>
    <w:rsid w:val="006A4E70"/>
    <w:pPr>
      <w:ind w:left="4536"/>
      <w:jc w:val="center"/>
    </w:pPr>
  </w:style>
  <w:style w:type="paragraph" w:styleId="E-mailSignature">
    <w:name w:val="E-mail Signature"/>
    <w:basedOn w:val="Normal"/>
    <w:link w:val="E-mailSignatureChar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link w:val="HTMLAddressChar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rsid w:val="006A4E70"/>
    <w:pPr>
      <w:ind w:left="1440" w:hanging="360"/>
    </w:pPr>
  </w:style>
  <w:style w:type="paragraph" w:styleId="List5">
    <w:name w:val="List 5"/>
    <w:basedOn w:val="Normal"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6A4E70"/>
  </w:style>
  <w:style w:type="paragraph" w:styleId="Salutation">
    <w:name w:val="Salutation"/>
    <w:basedOn w:val="Normal"/>
    <w:next w:val="Normal"/>
    <w:link w:val="SalutationChar"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link w:val="SubtitleChar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rsid w:val="002610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link w:val="TitleChar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link w:val="MacroTextChar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link w:val="PlainTextChar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paragraph" w:customStyle="1" w:styleId="Disclaimer">
    <w:name w:val="Disclaimer"/>
    <w:next w:val="Normal"/>
    <w:qFormat/>
    <w:rsid w:val="00546F10"/>
    <w:pPr>
      <w:spacing w:after="600"/>
      <w:jc w:val="left"/>
    </w:pPr>
    <w:rPr>
      <w:rFonts w:eastAsiaTheme="minorEastAsia"/>
      <w:i/>
      <w:iCs/>
      <w:color w:val="A6A6A6" w:themeColor="background1" w:themeShade="A6"/>
    </w:rPr>
  </w:style>
  <w:style w:type="paragraph" w:customStyle="1" w:styleId="preparedby0">
    <w:name w:val="prepared by"/>
    <w:basedOn w:val="Normal"/>
    <w:semiHidden/>
    <w:rsid w:val="00546F10"/>
    <w:pPr>
      <w:spacing w:before="600" w:after="600"/>
      <w:jc w:val="center"/>
    </w:pPr>
    <w:rPr>
      <w:rFonts w:ascii="Times New Roman" w:eastAsiaTheme="minorEastAsia" w:hAnsi="Times New Roman"/>
      <w:i/>
      <w:sz w:val="24"/>
      <w:szCs w:val="24"/>
      <w:lang w:eastAsia="zh-CN"/>
    </w:rPr>
  </w:style>
  <w:style w:type="paragraph" w:customStyle="1" w:styleId="Code">
    <w:name w:val="Code"/>
    <w:basedOn w:val="Normal"/>
    <w:link w:val="CodeChar"/>
    <w:semiHidden/>
    <w:rsid w:val="00546F10"/>
    <w:pPr>
      <w:spacing w:line="340" w:lineRule="atLeast"/>
      <w:ind w:left="1276"/>
      <w:jc w:val="left"/>
    </w:pPr>
    <w:rPr>
      <w:rFonts w:ascii="Times New Roman" w:eastAsiaTheme="minorEastAsia" w:hAnsi="Times New Roman"/>
      <w:b/>
      <w:bCs/>
      <w:spacing w:val="10"/>
      <w:sz w:val="24"/>
      <w:szCs w:val="24"/>
      <w:lang w:eastAsia="zh-CN"/>
    </w:rPr>
  </w:style>
  <w:style w:type="paragraph" w:customStyle="1" w:styleId="Country">
    <w:name w:val="Country"/>
    <w:basedOn w:val="Normal"/>
    <w:semiHidden/>
    <w:rsid w:val="00546F10"/>
    <w:pPr>
      <w:spacing w:before="60" w:after="480"/>
      <w:jc w:val="center"/>
    </w:pPr>
    <w:rPr>
      <w:rFonts w:ascii="Times New Roman" w:eastAsiaTheme="minorEastAsia" w:hAnsi="Times New Roman"/>
      <w:sz w:val="24"/>
      <w:szCs w:val="24"/>
      <w:lang w:eastAsia="zh-CN"/>
    </w:rPr>
  </w:style>
  <w:style w:type="paragraph" w:customStyle="1" w:styleId="preparedby1">
    <w:name w:val="prepared_by"/>
    <w:basedOn w:val="preparedby0"/>
    <w:rsid w:val="00546F10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546F10"/>
    <w:rPr>
      <w:rFonts w:ascii="Times New Roman" w:eastAsiaTheme="minorEastAsia" w:hAnsi="Times New Roman"/>
      <w:b/>
      <w:bCs/>
      <w:spacing w:val="10"/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546F1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46F10"/>
    <w:rPr>
      <w:lang w:val="es-ES_tradnl"/>
    </w:rPr>
  </w:style>
  <w:style w:type="character" w:customStyle="1" w:styleId="Heading7Char">
    <w:name w:val="Heading 7 Char"/>
    <w:basedOn w:val="DefaultParagraphFont"/>
    <w:link w:val="Heading7"/>
    <w:rsid w:val="00546F10"/>
    <w:rPr>
      <w:szCs w:val="24"/>
    </w:rPr>
  </w:style>
  <w:style w:type="character" w:customStyle="1" w:styleId="Heading8Char">
    <w:name w:val="Heading 8 Char"/>
    <w:basedOn w:val="DefaultParagraphFont"/>
    <w:link w:val="Heading8"/>
    <w:rsid w:val="00546F10"/>
    <w:rPr>
      <w:u w:val="single"/>
    </w:rPr>
  </w:style>
  <w:style w:type="character" w:customStyle="1" w:styleId="Heading1Char">
    <w:name w:val="Heading 1 Char"/>
    <w:basedOn w:val="DefaultParagraphFont"/>
    <w:link w:val="Heading1"/>
    <w:rsid w:val="00546F10"/>
    <w:rPr>
      <w:caps/>
    </w:rPr>
  </w:style>
  <w:style w:type="character" w:customStyle="1" w:styleId="Heading2Char">
    <w:name w:val="Heading 2 Char"/>
    <w:basedOn w:val="DefaultParagraphFont"/>
    <w:link w:val="Heading2"/>
    <w:rsid w:val="00546F10"/>
    <w:rPr>
      <w:u w:val="single"/>
    </w:rPr>
  </w:style>
  <w:style w:type="character" w:customStyle="1" w:styleId="Heading3Char">
    <w:name w:val="Heading 3 Char"/>
    <w:basedOn w:val="DefaultParagraphFont"/>
    <w:link w:val="Heading3"/>
    <w:rsid w:val="00546F10"/>
    <w:rPr>
      <w:i/>
    </w:rPr>
  </w:style>
  <w:style w:type="character" w:customStyle="1" w:styleId="Heading4Char">
    <w:name w:val="Heading 4 Char"/>
    <w:basedOn w:val="DefaultParagraphFont"/>
    <w:link w:val="Heading4"/>
    <w:rsid w:val="00546F10"/>
    <w:rPr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546F10"/>
    <w:rPr>
      <w:i/>
      <w:sz w:val="18"/>
      <w:lang w:val="fr-FR"/>
    </w:rPr>
  </w:style>
  <w:style w:type="character" w:customStyle="1" w:styleId="Heading9Char">
    <w:name w:val="Heading 9 Char"/>
    <w:basedOn w:val="DefaultParagraphFont"/>
    <w:link w:val="Heading9"/>
    <w:rsid w:val="00546F10"/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46F10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546F10"/>
    <w:rPr>
      <w:sz w:val="14"/>
    </w:rPr>
  </w:style>
  <w:style w:type="character" w:customStyle="1" w:styleId="TitleChar">
    <w:name w:val="Title Char"/>
    <w:basedOn w:val="DefaultParagraphFont"/>
    <w:link w:val="Title"/>
    <w:rsid w:val="00546F10"/>
    <w:rPr>
      <w:b/>
      <w:caps/>
      <w:kern w:val="28"/>
      <w:sz w:val="3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546F10"/>
    <w:rPr>
      <w:sz w:val="16"/>
    </w:rPr>
  </w:style>
  <w:style w:type="character" w:customStyle="1" w:styleId="ClosingChar">
    <w:name w:val="Closing Char"/>
    <w:basedOn w:val="DefaultParagraphFont"/>
    <w:link w:val="Closing"/>
    <w:rsid w:val="00546F10"/>
  </w:style>
  <w:style w:type="character" w:customStyle="1" w:styleId="MacroTextChar">
    <w:name w:val="Macro Text Char"/>
    <w:basedOn w:val="DefaultParagraphFont"/>
    <w:link w:val="MacroText"/>
    <w:semiHidden/>
    <w:rsid w:val="00546F10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46F10"/>
    <w:rPr>
      <w:lang w:val="es-ES_tradnl"/>
    </w:rPr>
  </w:style>
  <w:style w:type="character" w:customStyle="1" w:styleId="EndnoteTextChar">
    <w:name w:val="Endnote Text Char"/>
    <w:basedOn w:val="DefaultParagraphFont"/>
    <w:link w:val="EndnoteText"/>
    <w:rsid w:val="00546F10"/>
    <w:rPr>
      <w:sz w:val="16"/>
    </w:rPr>
  </w:style>
  <w:style w:type="character" w:customStyle="1" w:styleId="DateChar">
    <w:name w:val="Date Char"/>
    <w:basedOn w:val="DefaultParagraphFont"/>
    <w:link w:val="Date"/>
    <w:rsid w:val="00546F10"/>
    <w:rPr>
      <w:b/>
      <w:sz w:val="22"/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546F10"/>
    <w:pPr>
      <w:spacing w:before="0" w:line="280" w:lineRule="exact"/>
      <w:ind w:left="1589"/>
      <w:contextualSpacing w:val="0"/>
    </w:pPr>
    <w:rPr>
      <w:rFonts w:eastAsiaTheme="minorEastAsia"/>
      <w:szCs w:val="24"/>
      <w:lang w:val="fr-FR" w:eastAsia="zh-CN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546F10"/>
    <w:rPr>
      <w:rFonts w:eastAsiaTheme="minorEastAsia"/>
      <w:b/>
      <w:bCs/>
      <w:spacing w:val="10"/>
      <w:sz w:val="18"/>
      <w:szCs w:val="24"/>
      <w:lang w:val="fr-FR" w:eastAsia="zh-CN"/>
    </w:rPr>
  </w:style>
  <w:style w:type="paragraph" w:customStyle="1" w:styleId="StyleDocnumber">
    <w:name w:val="Style Doc_number"/>
    <w:basedOn w:val="Docoriginal"/>
    <w:rsid w:val="00546F10"/>
    <w:pPr>
      <w:spacing w:before="0" w:line="280" w:lineRule="exact"/>
      <w:ind w:left="1589"/>
      <w:contextualSpacing w:val="0"/>
      <w:jc w:val="both"/>
    </w:pPr>
    <w:rPr>
      <w:rFonts w:eastAsiaTheme="minorEastAsia"/>
      <w:sz w:val="20"/>
      <w:szCs w:val="24"/>
      <w:lang w:val="en-US" w:eastAsia="zh-CN"/>
    </w:rPr>
  </w:style>
  <w:style w:type="paragraph" w:customStyle="1" w:styleId="StyleDocoriginal">
    <w:name w:val="Style Doc_original"/>
    <w:basedOn w:val="Docoriginal"/>
    <w:link w:val="StyleDocoriginalChar"/>
    <w:rsid w:val="00546F10"/>
    <w:pPr>
      <w:spacing w:before="0" w:line="280" w:lineRule="exact"/>
      <w:ind w:left="1361"/>
      <w:contextualSpacing w:val="0"/>
      <w:jc w:val="both"/>
    </w:pPr>
    <w:rPr>
      <w:rFonts w:eastAsiaTheme="minorEastAsia"/>
      <w:szCs w:val="24"/>
      <w:lang w:val="fr-FR" w:eastAsia="zh-CN"/>
    </w:rPr>
  </w:style>
  <w:style w:type="character" w:customStyle="1" w:styleId="StyleDocoriginalChar">
    <w:name w:val="Style Doc_original Char"/>
    <w:basedOn w:val="DocoriginalChar"/>
    <w:link w:val="StyleDocoriginal"/>
    <w:rsid w:val="00546F10"/>
    <w:rPr>
      <w:rFonts w:eastAsiaTheme="minorEastAsia"/>
      <w:b/>
      <w:bCs/>
      <w:spacing w:val="10"/>
      <w:sz w:val="18"/>
      <w:szCs w:val="24"/>
      <w:lang w:val="fr-FR" w:eastAsia="zh-CN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46F10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46F10"/>
    <w:rPr>
      <w:rFonts w:eastAsiaTheme="minorEastAsia"/>
      <w:b w:val="0"/>
      <w:bCs w:val="0"/>
      <w:spacing w:val="10"/>
      <w:sz w:val="18"/>
      <w:szCs w:val="24"/>
      <w:lang w:val="fr-FR" w:eastAsia="zh-CN"/>
    </w:rPr>
  </w:style>
  <w:style w:type="character" w:customStyle="1" w:styleId="StyleDocoriginalNotBold1">
    <w:name w:val="Style Doc_original + Not Bold1"/>
    <w:basedOn w:val="DefaultParagraphFont"/>
    <w:rsid w:val="00546F1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546F10"/>
    <w:rPr>
      <w:rFonts w:ascii="Arial" w:hAnsi="Arial"/>
      <w:b/>
      <w:bCs/>
      <w:sz w:val="20"/>
      <w:lang w:val="en-US"/>
    </w:rPr>
  </w:style>
  <w:style w:type="paragraph" w:customStyle="1" w:styleId="Default">
    <w:name w:val="Default"/>
    <w:rsid w:val="00546F10"/>
    <w:pPr>
      <w:autoSpaceDE w:val="0"/>
      <w:autoSpaceDN w:val="0"/>
      <w:adjustRightInd w:val="0"/>
      <w:jc w:val="left"/>
    </w:pPr>
    <w:rPr>
      <w:rFonts w:eastAsiaTheme="minorEastAsia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546F10"/>
    <w:rPr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546F10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46F10"/>
    <w:pPr>
      <w:jc w:val="left"/>
    </w:pPr>
    <w:rPr>
      <w:rFonts w:ascii="Times New Roman" w:eastAsiaTheme="minorEastAsia" w:hAnsi="Times New Roman"/>
      <w:b/>
      <w:bCs/>
      <w:sz w:val="24"/>
      <w:szCs w:val="24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546F10"/>
    <w:rPr>
      <w:rFonts w:ascii="Times New Roman" w:eastAsiaTheme="minorEastAsia" w:hAnsi="Times New Roman"/>
      <w:b/>
      <w:bCs/>
      <w:sz w:val="24"/>
      <w:szCs w:val="24"/>
      <w:lang w:val="es-ES_tradnl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546F10"/>
    <w:pPr>
      <w:keepNext w:val="0"/>
      <w:keepLines/>
      <w:spacing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546F10"/>
  </w:style>
  <w:style w:type="character" w:customStyle="1" w:styleId="HTMLAddressChar">
    <w:name w:val="HTML Address Char"/>
    <w:basedOn w:val="DefaultParagraphFont"/>
    <w:link w:val="HTMLAddress"/>
    <w:semiHidden/>
    <w:rsid w:val="00546F10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46F10"/>
    <w:rPr>
      <w:rFonts w:ascii="Courier New" w:hAnsi="Courier New" w:cs="Courier New"/>
    </w:rPr>
  </w:style>
  <w:style w:type="character" w:customStyle="1" w:styleId="MessageHeaderChar">
    <w:name w:val="Message Header Char"/>
    <w:basedOn w:val="DefaultParagraphFont"/>
    <w:link w:val="MessageHeader"/>
    <w:semiHidden/>
    <w:rsid w:val="00546F10"/>
    <w:rPr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semiHidden/>
    <w:rsid w:val="00546F10"/>
  </w:style>
  <w:style w:type="character" w:customStyle="1" w:styleId="SalutationChar">
    <w:name w:val="Salutation Char"/>
    <w:basedOn w:val="DefaultParagraphFont"/>
    <w:link w:val="Salutation"/>
    <w:rsid w:val="00546F10"/>
  </w:style>
  <w:style w:type="character" w:customStyle="1" w:styleId="PlainTextChar">
    <w:name w:val="Plain Text Char"/>
    <w:basedOn w:val="DefaultParagraphFont"/>
    <w:link w:val="PlainText"/>
    <w:rsid w:val="00546F10"/>
    <w:rPr>
      <w:rFonts w:ascii="Courier New" w:hAnsi="Courier New" w:cs="Courier New"/>
      <w:lang w:eastAsia="fr-FR"/>
    </w:rPr>
  </w:style>
  <w:style w:type="table" w:customStyle="1" w:styleId="TableGrid10">
    <w:name w:val="Table Grid1"/>
    <w:basedOn w:val="TableNormal"/>
    <w:next w:val="TableGrid"/>
    <w:rsid w:val="00546F1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ain">
    <w:name w:val="domain"/>
    <w:basedOn w:val="DefaultParagraphFont"/>
    <w:rsid w:val="00546F10"/>
  </w:style>
  <w:style w:type="paragraph" w:styleId="Revision">
    <w:name w:val="Revision"/>
    <w:hidden/>
    <w:uiPriority w:val="99"/>
    <w:semiHidden/>
    <w:rsid w:val="00546F10"/>
    <w:pPr>
      <w:jc w:val="left"/>
    </w:pPr>
    <w:rPr>
      <w:rFonts w:eastAsiaTheme="minorEastAsia"/>
    </w:rPr>
  </w:style>
  <w:style w:type="table" w:customStyle="1" w:styleId="TableGrid20">
    <w:name w:val="Table Grid2"/>
    <w:basedOn w:val="TableNormal"/>
    <w:next w:val="TableGrid"/>
    <w:rsid w:val="00546F10"/>
    <w:pPr>
      <w:jc w:val="left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546F1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546F1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546F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5236-EB7B-41BE-97B9-76AE9D21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2220</Words>
  <Characters>12509</Characters>
  <Application>Microsoft Office Word</Application>
  <DocSecurity>0</DocSecurity>
  <Lines>357</Lines>
  <Paragraphs>216</Paragraphs>
  <ScaleCrop>false</ScaleCrop>
  <Company>World Intellectual Property Organization</Company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BESSE Ariane</cp:lastModifiedBy>
  <cp:revision>1</cp:revision>
  <cp:lastPrinted>2008-06-18T15:37:00Z</cp:lastPrinted>
  <dcterms:created xsi:type="dcterms:W3CDTF">2024-03-12T21:02:00Z</dcterms:created>
  <dcterms:modified xsi:type="dcterms:W3CDTF">2024-03-12T21:06:00Z</dcterms:modified>
</cp:coreProperties>
</file>