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0365C" w:rsidRPr="00842AD2" w:rsidTr="00951A2C">
        <w:trPr>
          <w:trHeight w:val="1760"/>
        </w:trPr>
        <w:tc>
          <w:tcPr>
            <w:tcW w:w="4243" w:type="dxa"/>
          </w:tcPr>
          <w:p w:rsidR="00F0365C" w:rsidRPr="00C5280D" w:rsidRDefault="00F0365C" w:rsidP="00951A2C"/>
        </w:tc>
        <w:tc>
          <w:tcPr>
            <w:tcW w:w="1646" w:type="dxa"/>
            <w:vAlign w:val="center"/>
          </w:tcPr>
          <w:p w:rsidR="00F0365C" w:rsidRPr="00842AD2" w:rsidRDefault="00F0365C" w:rsidP="00951A2C">
            <w:pPr>
              <w:pStyle w:val="LogoUPOV"/>
              <w:ind w:left="57"/>
            </w:pPr>
            <w:r>
              <w:rPr>
                <w:noProof/>
              </w:rPr>
              <w:drawing>
                <wp:inline distT="0" distB="0" distL="0" distR="0" wp14:anchorId="0B9AC80D" wp14:editId="4BF94A14">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F0365C" w:rsidRPr="00842AD2" w:rsidRDefault="00F0365C" w:rsidP="00951A2C">
            <w:pPr>
              <w:pStyle w:val="Lettrine"/>
            </w:pPr>
            <w:r w:rsidRPr="00842AD2">
              <w:t>E</w:t>
            </w:r>
          </w:p>
          <w:p w:rsidR="00F0365C" w:rsidRPr="00C85B8C" w:rsidRDefault="00F0365C" w:rsidP="00C312F9">
            <w:pPr>
              <w:spacing w:before="120" w:line="280" w:lineRule="exact"/>
              <w:ind w:left="1304"/>
              <w:jc w:val="left"/>
              <w:rPr>
                <w:rFonts w:cs="Arial"/>
              </w:rPr>
            </w:pPr>
            <w:bookmarkStart w:id="0" w:name="Code"/>
            <w:bookmarkEnd w:id="0"/>
            <w:r>
              <w:rPr>
                <w:rFonts w:cs="Arial"/>
                <w:b/>
                <w:spacing w:val="10"/>
              </w:rPr>
              <w:t>UPOV/INF/</w:t>
            </w:r>
            <w:r w:rsidR="00D454F4">
              <w:rPr>
                <w:rFonts w:cs="Arial"/>
                <w:b/>
                <w:spacing w:val="10"/>
              </w:rPr>
              <w:t xml:space="preserve">12/5 Draft </w:t>
            </w:r>
            <w:r w:rsidR="00997D86">
              <w:rPr>
                <w:rFonts w:cs="Arial"/>
                <w:b/>
                <w:spacing w:val="10"/>
              </w:rPr>
              <w:t>2</w:t>
            </w:r>
            <w:r w:rsidRPr="00C85B8C">
              <w:rPr>
                <w:rFonts w:cs="Arial"/>
                <w:b/>
                <w:spacing w:val="10"/>
              </w:rPr>
              <w:br/>
            </w:r>
            <w:r w:rsidRPr="00C85B8C">
              <w:rPr>
                <w:rFonts w:cs="Arial"/>
                <w:b/>
              </w:rPr>
              <w:t>ORIGINAL:</w:t>
            </w:r>
            <w:r w:rsidRPr="00C85B8C">
              <w:rPr>
                <w:rFonts w:cs="Arial"/>
              </w:rPr>
              <w:t xml:space="preserve">  English</w:t>
            </w:r>
          </w:p>
          <w:p w:rsidR="00F0365C" w:rsidRPr="00DD2A13" w:rsidRDefault="00F0365C" w:rsidP="009D3FAA">
            <w:pPr>
              <w:pStyle w:val="Docoriginal"/>
              <w:ind w:left="1304"/>
              <w:rPr>
                <w:spacing w:val="0"/>
              </w:rPr>
            </w:pPr>
            <w:r w:rsidRPr="00DD2A13">
              <w:rPr>
                <w:rFonts w:cs="Arial"/>
                <w:spacing w:val="0"/>
              </w:rPr>
              <w:t xml:space="preserve">DATE: </w:t>
            </w:r>
            <w:r w:rsidRPr="00DD2A13">
              <w:rPr>
                <w:rFonts w:cs="Arial"/>
                <w:b w:val="0"/>
                <w:spacing w:val="0"/>
              </w:rPr>
              <w:t xml:space="preserve"> </w:t>
            </w:r>
            <w:r w:rsidR="00B75886" w:rsidRPr="00B75886">
              <w:rPr>
                <w:rFonts w:cs="Arial"/>
                <w:b w:val="0"/>
                <w:spacing w:val="0"/>
              </w:rPr>
              <w:t>September 9</w:t>
            </w:r>
            <w:r w:rsidR="00951A2C" w:rsidRPr="00B75886">
              <w:rPr>
                <w:rFonts w:cs="Arial"/>
                <w:b w:val="0"/>
                <w:spacing w:val="0"/>
              </w:rPr>
              <w:t>, 2014</w:t>
            </w:r>
          </w:p>
        </w:tc>
      </w:tr>
      <w:tr w:rsidR="00F0365C" w:rsidRPr="00842AD2" w:rsidTr="00951A2C">
        <w:tc>
          <w:tcPr>
            <w:tcW w:w="10131" w:type="dxa"/>
            <w:gridSpan w:val="3"/>
          </w:tcPr>
          <w:p w:rsidR="00F0365C" w:rsidRPr="00842AD2" w:rsidRDefault="00F0365C" w:rsidP="00951A2C">
            <w:pPr>
              <w:pStyle w:val="upove"/>
              <w:rPr>
                <w:sz w:val="28"/>
              </w:rPr>
            </w:pPr>
            <w:r w:rsidRPr="00842AD2">
              <w:rPr>
                <w:snapToGrid w:val="0"/>
              </w:rPr>
              <w:t xml:space="preserve">INTERNATIONAL </w:t>
            </w:r>
            <w:smartTag w:uri="urn:schemas-microsoft-com:office:smarttags" w:element="place">
              <w:r w:rsidRPr="00842AD2">
                <w:rPr>
                  <w:snapToGrid w:val="0"/>
                </w:rPr>
                <w:t>UNION</w:t>
              </w:r>
            </w:smartTag>
            <w:r w:rsidRPr="00842AD2">
              <w:rPr>
                <w:snapToGrid w:val="0"/>
              </w:rPr>
              <w:t xml:space="preserve"> FOR THE PROTECTION OF NEW VARIETIES OF PLANTS </w:t>
            </w:r>
          </w:p>
        </w:tc>
      </w:tr>
      <w:tr w:rsidR="00F0365C" w:rsidRPr="00842AD2" w:rsidTr="00951A2C">
        <w:tc>
          <w:tcPr>
            <w:tcW w:w="10131" w:type="dxa"/>
            <w:gridSpan w:val="3"/>
          </w:tcPr>
          <w:p w:rsidR="00F0365C" w:rsidRPr="00842AD2" w:rsidRDefault="00F0365C" w:rsidP="00951A2C">
            <w:pPr>
              <w:pStyle w:val="Country"/>
            </w:pPr>
            <w:smartTag w:uri="urn:schemas-microsoft-com:office:smarttags" w:element="place">
              <w:smartTag w:uri="urn:schemas-microsoft-com:office:smarttags" w:element="City">
                <w:r w:rsidRPr="00842AD2">
                  <w:t>Geneva</w:t>
                </w:r>
              </w:smartTag>
            </w:smartTag>
          </w:p>
        </w:tc>
      </w:tr>
    </w:tbl>
    <w:p w:rsidR="00F0365C" w:rsidRPr="004229F4" w:rsidRDefault="00F0365C" w:rsidP="00F0365C">
      <w:pPr>
        <w:rPr>
          <w:rFonts w:cs="Arial"/>
          <w:sz w:val="12"/>
        </w:rPr>
      </w:pPr>
    </w:p>
    <w:p w:rsidR="00F0365C"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A4196F"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A4196F">
        <w:rPr>
          <w:rFonts w:cs="Arial"/>
        </w:rPr>
        <w:t>DRAFT</w:t>
      </w:r>
    </w:p>
    <w:p w:rsidR="00F0365C" w:rsidRPr="00A4196F"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A4196F">
        <w:rPr>
          <w:rFonts w:cs="Arial"/>
        </w:rPr>
        <w:t>(REVISION)</w:t>
      </w:r>
    </w:p>
    <w:p w:rsidR="00EC44C6" w:rsidRDefault="00EC44C6"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1524C1" w:rsidRPr="001524C1" w:rsidRDefault="001524C1"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highlight w:val="yellow"/>
        </w:rPr>
      </w:pPr>
    </w:p>
    <w:p w:rsidR="001524C1" w:rsidRPr="00F7624F" w:rsidRDefault="001524C1" w:rsidP="0083477F">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i/>
          <w:iCs/>
          <w:snapToGrid w:val="0"/>
          <w:color w:val="000000" w:themeColor="text1"/>
          <w:szCs w:val="18"/>
        </w:rPr>
      </w:pPr>
      <w:r w:rsidRPr="00F7624F">
        <w:rPr>
          <w:rStyle w:val="Emphasis"/>
          <w:snapToGrid w:val="0"/>
          <w:color w:val="000000" w:themeColor="text1"/>
          <w:szCs w:val="18"/>
        </w:rPr>
        <w:t xml:space="preserve">Note: </w:t>
      </w:r>
      <w:r w:rsidR="0083477F" w:rsidRPr="00F7624F">
        <w:rPr>
          <w:rStyle w:val="Emphasis"/>
          <w:snapToGrid w:val="0"/>
          <w:color w:val="000000" w:themeColor="text1"/>
          <w:szCs w:val="18"/>
        </w:rPr>
        <w:t xml:space="preserve">a </w:t>
      </w:r>
      <w:r w:rsidRPr="00F7624F">
        <w:rPr>
          <w:rStyle w:val="Emphasis"/>
          <w:snapToGrid w:val="0"/>
          <w:color w:val="000000" w:themeColor="text1"/>
          <w:szCs w:val="18"/>
        </w:rPr>
        <w:t xml:space="preserve">further review of document UPOV/INF/12 might be necessary </w:t>
      </w:r>
      <w:r w:rsidR="0083477F" w:rsidRPr="00F7624F">
        <w:rPr>
          <w:rStyle w:val="Emphasis"/>
          <w:snapToGrid w:val="0"/>
          <w:color w:val="000000" w:themeColor="text1"/>
          <w:szCs w:val="18"/>
        </w:rPr>
        <w:t>in relation to</w:t>
      </w:r>
      <w:r w:rsidR="00F7624F">
        <w:rPr>
          <w:rStyle w:val="Emphasis"/>
          <w:snapToGrid w:val="0"/>
          <w:color w:val="000000" w:themeColor="text1"/>
          <w:szCs w:val="18"/>
        </w:rPr>
        <w:t xml:space="preserve"> </w:t>
      </w:r>
      <w:r w:rsidR="00F7624F">
        <w:rPr>
          <w:rStyle w:val="Emphasis"/>
          <w:snapToGrid w:val="0"/>
          <w:color w:val="000000" w:themeColor="text1"/>
          <w:szCs w:val="18"/>
        </w:rPr>
        <w:br/>
      </w:r>
      <w:r w:rsidRPr="00F7624F">
        <w:rPr>
          <w:rStyle w:val="Emphasis"/>
          <w:snapToGrid w:val="0"/>
          <w:color w:val="000000" w:themeColor="text1"/>
          <w:szCs w:val="18"/>
        </w:rPr>
        <w:t xml:space="preserve">the development of </w:t>
      </w:r>
      <w:r w:rsidRPr="00F7624F">
        <w:rPr>
          <w:i/>
          <w:color w:val="000000" w:themeColor="text1"/>
          <w:szCs w:val="18"/>
        </w:rPr>
        <w:t>an effective UPOV similarity search tool</w:t>
      </w:r>
      <w:r w:rsidR="000B2178">
        <w:rPr>
          <w:i/>
          <w:color w:val="000000" w:themeColor="text1"/>
          <w:szCs w:val="18"/>
        </w:rPr>
        <w:t xml:space="preserve"> </w:t>
      </w:r>
      <w:r w:rsidR="0083477F" w:rsidRPr="00F7624F">
        <w:rPr>
          <w:rStyle w:val="EndnoteReference"/>
          <w:i/>
          <w:color w:val="000000" w:themeColor="text1"/>
          <w:szCs w:val="18"/>
        </w:rPr>
        <w:endnoteReference w:id="1"/>
      </w:r>
    </w:p>
    <w:p w:rsidR="00EC44C6" w:rsidRPr="004229F4" w:rsidRDefault="00EC44C6"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61242" w:rsidRPr="00D27283" w:rsidRDefault="00EC3904" w:rsidP="00951A2C">
      <w:pPr>
        <w:spacing w:before="1200" w:after="240"/>
        <w:jc w:val="center"/>
        <w:rPr>
          <w:rFonts w:cs="Arial"/>
          <w:caps/>
        </w:rPr>
      </w:pPr>
      <w:r>
        <w:t>EXPLANATORY NOTES ON</w:t>
      </w:r>
      <w:r>
        <w:br/>
      </w:r>
      <w:r>
        <w:br/>
      </w:r>
      <w:r w:rsidR="00B9607D" w:rsidRPr="00855BA4">
        <w:t>VARIETY DENOMINATIONS</w:t>
      </w:r>
      <w:r w:rsidR="00B9607D" w:rsidRPr="00855BA4">
        <w:br/>
      </w:r>
      <w:r w:rsidR="00B9607D" w:rsidRPr="00855BA4">
        <w:br/>
        <w:t>UNDER THE UPOV CONVENTION</w:t>
      </w:r>
    </w:p>
    <w:p w:rsidR="00B61242" w:rsidRPr="001524C1" w:rsidRDefault="00B9607D" w:rsidP="001524C1">
      <w:pPr>
        <w:pStyle w:val="preparedby0"/>
        <w:spacing w:after="960"/>
        <w:rPr>
          <w:rFonts w:ascii="Arial" w:hAnsi="Arial" w:cs="Arial"/>
          <w:i w:val="0"/>
          <w:sz w:val="20"/>
        </w:rPr>
      </w:pPr>
      <w:r>
        <w:rPr>
          <w:rFonts w:ascii="Arial" w:hAnsi="Arial" w:cs="Arial"/>
          <w:sz w:val="20"/>
        </w:rPr>
        <w:br/>
      </w:r>
      <w:r w:rsidR="00B61242" w:rsidRPr="00CA68F6">
        <w:rPr>
          <w:rFonts w:ascii="Arial" w:hAnsi="Arial" w:cs="Arial"/>
          <w:sz w:val="20"/>
        </w:rPr>
        <w:br/>
      </w:r>
      <w:r w:rsidR="00B61242" w:rsidRPr="004229F4">
        <w:rPr>
          <w:rFonts w:ascii="Arial" w:hAnsi="Arial" w:cs="Arial"/>
          <w:sz w:val="20"/>
        </w:rPr>
        <w:t>Document prepared by the Office of the Union</w:t>
      </w:r>
      <w:r w:rsidR="00B61242" w:rsidRPr="004229F4">
        <w:rPr>
          <w:rFonts w:ascii="Arial" w:hAnsi="Arial" w:cs="Arial"/>
          <w:sz w:val="20"/>
        </w:rPr>
        <w:br/>
      </w:r>
      <w:r w:rsidR="00B61242" w:rsidRPr="004229F4">
        <w:rPr>
          <w:rFonts w:ascii="Arial" w:hAnsi="Arial" w:cs="Arial"/>
          <w:sz w:val="20"/>
        </w:rPr>
        <w:br/>
        <w:t xml:space="preserve">to be considered by the </w:t>
      </w:r>
      <w:r w:rsidR="00A4196F" w:rsidRPr="00A4196F">
        <w:rPr>
          <w:rFonts w:ascii="Arial" w:hAnsi="Arial" w:cs="Arial"/>
          <w:sz w:val="20"/>
        </w:rPr>
        <w:t xml:space="preserve">Administrative and Legal Committee Advisory Group </w:t>
      </w:r>
      <w:r w:rsidR="00B61242" w:rsidRPr="004229F4">
        <w:rPr>
          <w:rFonts w:ascii="Arial" w:hAnsi="Arial" w:cs="Arial"/>
          <w:sz w:val="20"/>
        </w:rPr>
        <w:br/>
      </w:r>
      <w:r w:rsidR="00997D86" w:rsidRPr="00997D86">
        <w:rPr>
          <w:rFonts w:ascii="Arial" w:hAnsi="Arial" w:cs="Arial"/>
          <w:sz w:val="20"/>
        </w:rPr>
        <w:t>at its ninth session, to be held in Geneva on October 14 and 17, 2014</w:t>
      </w:r>
      <w:r w:rsidR="00B61242">
        <w:rPr>
          <w:rFonts w:ascii="Arial" w:hAnsi="Arial" w:cs="Arial"/>
          <w:sz w:val="20"/>
        </w:rPr>
        <w:br/>
      </w:r>
      <w:r w:rsidR="00B61242">
        <w:rPr>
          <w:rFonts w:ascii="Arial" w:hAnsi="Arial" w:cs="Arial"/>
          <w:sz w:val="20"/>
        </w:rPr>
        <w:br/>
      </w:r>
      <w:r w:rsidR="00B61242" w:rsidRPr="00281B96">
        <w:rPr>
          <w:rFonts w:ascii="Arial" w:hAnsi="Arial" w:cs="Arial"/>
          <w:color w:val="A6A6A6" w:themeColor="background1" w:themeShade="A6"/>
          <w:sz w:val="20"/>
        </w:rPr>
        <w:t>Disclaimer:  this document does not represent UPOV policies or guidanc</w:t>
      </w:r>
      <w:r w:rsidR="001524C1">
        <w:rPr>
          <w:rFonts w:ascii="Arial" w:hAnsi="Arial" w:cs="Arial"/>
          <w:color w:val="A6A6A6" w:themeColor="background1" w:themeShade="A6"/>
          <w:sz w:val="20"/>
        </w:rPr>
        <w:t>e</w:t>
      </w: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B61242" w:rsidRPr="004229F4">
        <w:trPr>
          <w:cantSplit/>
          <w:jc w:val="center"/>
        </w:trPr>
        <w:tc>
          <w:tcPr>
            <w:tcW w:w="6664" w:type="dxa"/>
            <w:shd w:val="clear" w:color="auto" w:fill="E6E6E6"/>
          </w:tcPr>
          <w:p w:rsidR="00B61242" w:rsidRPr="006745A3" w:rsidRDefault="00B61242" w:rsidP="00951A2C">
            <w:pPr>
              <w:jc w:val="center"/>
              <w:rPr>
                <w:rFonts w:cs="Arial"/>
                <w:sz w:val="18"/>
                <w:szCs w:val="22"/>
                <w:u w:val="single"/>
              </w:rPr>
            </w:pPr>
            <w:r w:rsidRPr="006745A3">
              <w:rPr>
                <w:rFonts w:cs="Arial"/>
                <w:sz w:val="18"/>
                <w:szCs w:val="22"/>
                <w:u w:val="single"/>
              </w:rPr>
              <w:t>Note for Draft version</w:t>
            </w:r>
          </w:p>
          <w:p w:rsidR="00B61242" w:rsidRPr="006F50E2" w:rsidRDefault="00B61242" w:rsidP="00951A2C">
            <w:pPr>
              <w:rPr>
                <w:rFonts w:cs="Arial"/>
                <w:sz w:val="18"/>
                <w:szCs w:val="22"/>
                <w:highlight w:val="cyan"/>
                <w:u w:val="single"/>
              </w:rPr>
            </w:pPr>
          </w:p>
          <w:p w:rsidR="00951A2C" w:rsidRPr="008365E7" w:rsidRDefault="00951A2C" w:rsidP="00951A2C">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t</w:t>
            </w:r>
            <w:r>
              <w:rPr>
                <w:rFonts w:cs="Arial"/>
                <w:sz w:val="18"/>
                <w:szCs w:val="22"/>
              </w:rPr>
              <w:t>he text of document UPOV/INF/12/4.</w:t>
            </w:r>
          </w:p>
          <w:p w:rsidR="00951A2C" w:rsidRPr="008365E7" w:rsidRDefault="00951A2C" w:rsidP="00951A2C">
            <w:pPr>
              <w:rPr>
                <w:rFonts w:cs="Arial"/>
                <w:sz w:val="18"/>
                <w:szCs w:val="22"/>
              </w:rPr>
            </w:pPr>
          </w:p>
          <w:p w:rsidR="00951A2C" w:rsidRDefault="00951A2C" w:rsidP="00951A2C">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w:t>
            </w:r>
            <w:r>
              <w:rPr>
                <w:rFonts w:cs="Arial"/>
                <w:sz w:val="18"/>
                <w:szCs w:val="22"/>
              </w:rPr>
              <w:t>UPOV/INF/12/4</w:t>
            </w:r>
            <w:r w:rsidRPr="008365E7">
              <w:rPr>
                <w:rFonts w:cs="Arial"/>
                <w:sz w:val="18"/>
                <w:szCs w:val="22"/>
              </w:rPr>
              <w:t>.</w:t>
            </w:r>
          </w:p>
          <w:p w:rsidR="007C431F" w:rsidRDefault="007C431F" w:rsidP="00951A2C">
            <w:pPr>
              <w:rPr>
                <w:rFonts w:cs="Arial"/>
                <w:sz w:val="18"/>
                <w:szCs w:val="22"/>
              </w:rPr>
            </w:pPr>
          </w:p>
          <w:p w:rsidR="007C431F" w:rsidRPr="007C431F" w:rsidRDefault="007C431F" w:rsidP="007C431F">
            <w:pPr>
              <w:rPr>
                <w:rFonts w:cs="Arial"/>
                <w:sz w:val="18"/>
                <w:szCs w:val="18"/>
              </w:rPr>
            </w:pPr>
            <w:r w:rsidRPr="007C431F">
              <w:rPr>
                <w:rFonts w:cs="Arial"/>
                <w:b/>
                <w:dstrike/>
                <w:sz w:val="18"/>
                <w:szCs w:val="18"/>
              </w:rPr>
              <w:t>Double strikethrough</w:t>
            </w:r>
            <w:r w:rsidRPr="007C431F">
              <w:rPr>
                <w:rFonts w:cs="Arial"/>
                <w:sz w:val="18"/>
                <w:szCs w:val="18"/>
              </w:rPr>
              <w:t xml:space="preserve"> and </w:t>
            </w:r>
            <w:r w:rsidRPr="007C431F">
              <w:rPr>
                <w:rFonts w:cs="Arial"/>
                <w:sz w:val="18"/>
                <w:szCs w:val="18"/>
                <w:u w:val="double"/>
              </w:rPr>
              <w:t>double underlining</w:t>
            </w:r>
            <w:r w:rsidRPr="007C431F">
              <w:rPr>
                <w:rFonts w:cs="Arial"/>
                <w:sz w:val="18"/>
                <w:szCs w:val="18"/>
              </w:rPr>
              <w:t xml:space="preserve"> indicate changes </w:t>
            </w:r>
            <w:r w:rsidR="00B75886">
              <w:rPr>
                <w:rFonts w:cs="Arial"/>
                <w:sz w:val="18"/>
                <w:szCs w:val="18"/>
              </w:rPr>
              <w:t xml:space="preserve">to </w:t>
            </w:r>
            <w:r w:rsidR="00B75886" w:rsidRPr="007C431F">
              <w:rPr>
                <w:rFonts w:cs="Arial"/>
                <w:sz w:val="18"/>
                <w:szCs w:val="18"/>
              </w:rPr>
              <w:t xml:space="preserve">document </w:t>
            </w:r>
            <w:r w:rsidR="00B75886">
              <w:rPr>
                <w:rFonts w:cs="Arial"/>
                <w:sz w:val="18"/>
                <w:szCs w:val="22"/>
              </w:rPr>
              <w:t>UPOV/INF/12/5 Draft 1</w:t>
            </w:r>
            <w:r w:rsidR="00B75886" w:rsidRPr="007C431F">
              <w:rPr>
                <w:rFonts w:cs="Arial"/>
                <w:sz w:val="18"/>
                <w:szCs w:val="18"/>
              </w:rPr>
              <w:t xml:space="preserve"> </w:t>
            </w:r>
            <w:r w:rsidRPr="007C431F">
              <w:rPr>
                <w:rFonts w:cs="Arial"/>
                <w:sz w:val="18"/>
                <w:szCs w:val="18"/>
              </w:rPr>
              <w:t xml:space="preserve">according to comments received by correspondence </w:t>
            </w:r>
          </w:p>
          <w:p w:rsidR="00951A2C" w:rsidRDefault="00951A2C" w:rsidP="00951A2C">
            <w:pPr>
              <w:rPr>
                <w:rFonts w:cs="Arial"/>
                <w:bCs/>
                <w:sz w:val="18"/>
                <w:szCs w:val="22"/>
              </w:rPr>
            </w:pPr>
          </w:p>
          <w:p w:rsidR="00B61242" w:rsidRPr="00951A2C" w:rsidRDefault="00B61242" w:rsidP="00951A2C">
            <w:pPr>
              <w:rPr>
                <w:rFonts w:cs="Arial"/>
                <w:sz w:val="18"/>
                <w:szCs w:val="22"/>
              </w:rPr>
            </w:pPr>
            <w:r w:rsidRPr="00951A2C">
              <w:rPr>
                <w:rFonts w:cs="Arial"/>
                <w:b/>
                <w:sz w:val="18"/>
                <w:szCs w:val="22"/>
              </w:rPr>
              <w:t>Footnotes</w:t>
            </w:r>
            <w:r w:rsidRPr="00951A2C">
              <w:rPr>
                <w:rFonts w:cs="Arial"/>
                <w:sz w:val="18"/>
                <w:szCs w:val="22"/>
              </w:rPr>
              <w:t xml:space="preserve"> will be retained in published document.</w:t>
            </w:r>
          </w:p>
          <w:p w:rsidR="00B61242" w:rsidRPr="00951A2C" w:rsidRDefault="00B61242" w:rsidP="00951A2C">
            <w:pPr>
              <w:rPr>
                <w:rFonts w:cs="Arial"/>
                <w:sz w:val="18"/>
                <w:szCs w:val="22"/>
              </w:rPr>
            </w:pPr>
          </w:p>
          <w:p w:rsidR="00B61242" w:rsidRPr="004229F4" w:rsidRDefault="00B61242" w:rsidP="00951A2C">
            <w:pPr>
              <w:rPr>
                <w:rFonts w:cs="Arial"/>
                <w:szCs w:val="22"/>
              </w:rPr>
            </w:pPr>
            <w:r w:rsidRPr="00951A2C">
              <w:rPr>
                <w:rFonts w:cs="Arial"/>
                <w:b/>
                <w:sz w:val="18"/>
                <w:szCs w:val="22"/>
              </w:rPr>
              <w:t xml:space="preserve">Endnotes </w:t>
            </w:r>
            <w:r w:rsidRPr="00951A2C">
              <w:rPr>
                <w:rFonts w:cs="Arial"/>
                <w:sz w:val="18"/>
                <w:szCs w:val="22"/>
              </w:rPr>
              <w:t>are background information to help in the consideration of this draft and will not appear in the final, published document.</w:t>
            </w:r>
          </w:p>
        </w:tc>
      </w:tr>
    </w:tbl>
    <w:p w:rsidR="00D454F4" w:rsidRPr="00407B23" w:rsidRDefault="00D454F4" w:rsidP="00951A2C">
      <w:r w:rsidRPr="00DE1471">
        <w:rPr>
          <w:highlight w:val="yellow"/>
        </w:rPr>
        <w:br w:type="page"/>
      </w:r>
    </w:p>
    <w:p w:rsidR="00D454F4" w:rsidRPr="00407B23" w:rsidRDefault="00D454F4">
      <w:pPr>
        <w:jc w:val="center"/>
      </w:pPr>
      <w:r w:rsidRPr="00407B23">
        <w:lastRenderedPageBreak/>
        <w:t>EXPLANATORY NOTES ON VARIETY DENOMINATIONS</w:t>
      </w:r>
    </w:p>
    <w:p w:rsidR="00D454F4" w:rsidRPr="00407B23" w:rsidRDefault="00D454F4">
      <w:pPr>
        <w:jc w:val="center"/>
      </w:pPr>
      <w:r w:rsidRPr="00407B23">
        <w:t>UNDER THE UPOV CONVENTION</w:t>
      </w:r>
    </w:p>
    <w:p w:rsidR="00D454F4" w:rsidRPr="00407B23" w:rsidRDefault="00D454F4"/>
    <w:p w:rsidR="00D454F4" w:rsidRPr="00407B23" w:rsidRDefault="00D454F4" w:rsidP="00951A2C">
      <w:pPr>
        <w:jc w:val="center"/>
        <w:rPr>
          <w:i/>
        </w:rPr>
      </w:pPr>
    </w:p>
    <w:p w:rsidR="00D454F4" w:rsidRPr="00407B23" w:rsidRDefault="00D454F4" w:rsidP="00951A2C">
      <w:pPr>
        <w:jc w:val="center"/>
        <w:rPr>
          <w:i/>
        </w:rPr>
      </w:pPr>
      <w:r w:rsidRPr="00407B23">
        <w:rPr>
          <w:i/>
        </w:rPr>
        <w:t>Preamble</w:t>
      </w:r>
    </w:p>
    <w:p w:rsidR="00D454F4" w:rsidRPr="00407B23" w:rsidRDefault="00D454F4">
      <w:pPr>
        <w:rPr>
          <w:b/>
        </w:rPr>
      </w:pPr>
    </w:p>
    <w:p w:rsidR="00D454F4" w:rsidRPr="00407B23" w:rsidRDefault="00D454F4">
      <w:pPr>
        <w:rPr>
          <w:b/>
        </w:rPr>
      </w:pPr>
    </w:p>
    <w:p w:rsidR="00D454F4" w:rsidRPr="00407B23" w:rsidRDefault="00D454F4" w:rsidP="00951A2C">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D454F4" w:rsidRPr="00407B23" w:rsidRDefault="00D454F4"/>
    <w:p w:rsidR="00D454F4" w:rsidRPr="00407B23" w:rsidRDefault="00D454F4" w:rsidP="00951A2C">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D454F4" w:rsidRPr="00407B23" w:rsidRDefault="00D454F4"/>
    <w:p w:rsidR="00D454F4" w:rsidRPr="00407B23" w:rsidRDefault="00D454F4">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1"/>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D454F4" w:rsidRPr="00407B23" w:rsidRDefault="00D454F4"/>
    <w:p w:rsidR="00D454F4" w:rsidRPr="00407B23" w:rsidRDefault="00D454F4">
      <w:r w:rsidRPr="00407B23">
        <w:t>4.</w:t>
      </w:r>
      <w:r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D454F4" w:rsidRPr="00407B23" w:rsidRDefault="00D454F4"/>
    <w:p w:rsidR="00D454F4" w:rsidRPr="00407B23" w:rsidRDefault="00D454F4">
      <w:r w:rsidRPr="00407B23">
        <w:t>5.</w:t>
      </w:r>
      <w:r w:rsidRPr="00407B23">
        <w:tab/>
        <w:t>The Council considers that the adoption of such Explanatory Notes for the uniform interpretation and application of the provisions on variety denominations will be of assistance not only to the authorities</w:t>
      </w:r>
      <w:r w:rsidRPr="00407B23">
        <w:rPr>
          <w:rStyle w:val="FootnoteReference"/>
        </w:rPr>
        <w:footnoteReference w:id="2"/>
      </w:r>
      <w:r w:rsidRPr="00407B23">
        <w:t xml:space="preserve"> of members of the </w:t>
      </w:r>
      <w:smartTag w:uri="urn:schemas-microsoft-com:office:smarttags" w:element="place">
        <w:r w:rsidRPr="00407B23">
          <w:t>Union</w:t>
        </w:r>
      </w:smartTag>
      <w:r w:rsidRPr="00407B23">
        <w:t xml:space="preserve"> but also to breeders in their selection of variety denominations.</w:t>
      </w:r>
    </w:p>
    <w:p w:rsidR="00D454F4" w:rsidRPr="00407B23" w:rsidRDefault="00D454F4"/>
    <w:p w:rsidR="00D454F4" w:rsidRPr="00407B23" w:rsidRDefault="00D454F4">
      <w:r w:rsidRPr="00407B23">
        <w:t>6.</w:t>
      </w:r>
      <w:r w:rsidRPr="00407B23">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D454F4" w:rsidRPr="00407B23" w:rsidRDefault="00D454F4"/>
    <w:p w:rsidR="00D454F4" w:rsidRPr="00407B23" w:rsidRDefault="00D454F4" w:rsidP="00951A2C">
      <w:pPr>
        <w:tabs>
          <w:tab w:val="right" w:pos="1134"/>
          <w:tab w:val="left" w:pos="1418"/>
        </w:tabs>
      </w:pPr>
      <w:r w:rsidRPr="00407B23">
        <w:tab/>
        <w:t>(i)</w:t>
      </w:r>
      <w:r w:rsidRPr="00407B23">
        <w:tab/>
        <w:t xml:space="preserve">base their decisions on the suitability of proposed variety denominations on these Explanatory Notes; </w:t>
      </w:r>
    </w:p>
    <w:p w:rsidR="00D454F4" w:rsidRPr="00407B23" w:rsidRDefault="00D454F4" w:rsidP="00951A2C">
      <w:pPr>
        <w:tabs>
          <w:tab w:val="right" w:pos="1134"/>
          <w:tab w:val="left" w:pos="1418"/>
        </w:tabs>
      </w:pPr>
    </w:p>
    <w:p w:rsidR="00D454F4" w:rsidRPr="00407B23" w:rsidRDefault="00D454F4" w:rsidP="00951A2C">
      <w:pPr>
        <w:tabs>
          <w:tab w:val="right" w:pos="1134"/>
          <w:tab w:val="left" w:pos="1418"/>
        </w:tabs>
      </w:pPr>
      <w:r w:rsidRPr="00407B23">
        <w:tab/>
        <w:t>(ii)</w:t>
      </w:r>
      <w:r w:rsidRPr="00407B23">
        <w:tab/>
        <w:t xml:space="preserve">take into account the guidance in these Explanatory Notes concerning the procedure for assessing the suitability of proposed variety denominations and the exchange of information; </w:t>
      </w:r>
    </w:p>
    <w:p w:rsidR="00D454F4" w:rsidRPr="00407B23" w:rsidRDefault="00D454F4" w:rsidP="00951A2C">
      <w:pPr>
        <w:tabs>
          <w:tab w:val="right" w:pos="1134"/>
          <w:tab w:val="left" w:pos="1418"/>
        </w:tabs>
      </w:pPr>
    </w:p>
    <w:p w:rsidR="00D454F4" w:rsidRPr="00407B23" w:rsidRDefault="00D454F4" w:rsidP="00951A2C">
      <w:pPr>
        <w:tabs>
          <w:tab w:val="right" w:pos="1134"/>
          <w:tab w:val="left" w:pos="1418"/>
        </w:tabs>
      </w:pPr>
      <w:r w:rsidRPr="00407B23">
        <w:tab/>
        <w:t>(iii)</w:t>
      </w:r>
      <w:r w:rsidRPr="00407B23">
        <w:tab/>
        <w:t xml:space="preserve">provide comprehensive information concerning these Explanatory Notes, to assist breeders when selecting variety denominations. </w:t>
      </w:r>
    </w:p>
    <w:p w:rsidR="00D454F4" w:rsidRPr="00407B23" w:rsidRDefault="00D454F4" w:rsidP="00951A2C"/>
    <w:p w:rsidR="00D454F4" w:rsidRPr="00407B23" w:rsidRDefault="00D454F4" w:rsidP="00951A2C">
      <w:r>
        <w:tab/>
      </w:r>
      <w:r w:rsidRPr="00407B23">
        <w:t xml:space="preserve">Prior guidance on this matter, provided by the </w:t>
      </w:r>
      <w:r>
        <w:t>“</w:t>
      </w:r>
      <w:r w:rsidRPr="00407B23">
        <w:t>Explanatory Notes on Variety Denominations under the UPOV Con</w:t>
      </w:r>
      <w:r>
        <w:t>vention” (document UPOV/INF/12/</w:t>
      </w:r>
      <w:r w:rsidRPr="004A3002">
        <w:rPr>
          <w:strike/>
          <w:highlight w:val="lightGray"/>
        </w:rPr>
        <w:t>3</w:t>
      </w:r>
      <w:r w:rsidR="004A3002" w:rsidRPr="004A3002">
        <w:rPr>
          <w:highlight w:val="lightGray"/>
          <w:u w:val="single"/>
        </w:rPr>
        <w:t>4</w:t>
      </w:r>
      <w:r w:rsidRPr="00407B23">
        <w:t>), is superseded by these Explanatory Notes.</w:t>
      </w:r>
    </w:p>
    <w:p w:rsidR="00D454F4" w:rsidRPr="00407B23" w:rsidRDefault="00D454F4"/>
    <w:p w:rsidR="00D454F4" w:rsidRPr="00407B23" w:rsidRDefault="00D454F4" w:rsidP="00951A2C">
      <w:pPr>
        <w:pStyle w:val="Style1"/>
        <w:tabs>
          <w:tab w:val="clear" w:pos="907"/>
          <w:tab w:val="clear" w:pos="1077"/>
        </w:tabs>
        <w:rPr>
          <w:highlight w:val="yellow"/>
        </w:rPr>
      </w:pPr>
    </w:p>
    <w:tbl>
      <w:tblPr>
        <w:tblW w:w="0" w:type="auto"/>
        <w:tblLook w:val="0000" w:firstRow="0" w:lastRow="0" w:firstColumn="0" w:lastColumn="0" w:noHBand="0" w:noVBand="0"/>
      </w:tblPr>
      <w:tblGrid>
        <w:gridCol w:w="9287"/>
      </w:tblGrid>
      <w:tr w:rsidR="00D454F4" w:rsidRPr="00407B23">
        <w:tc>
          <w:tcPr>
            <w:tcW w:w="9287" w:type="dxa"/>
            <w:tcBorders>
              <w:top w:val="single" w:sz="4" w:space="0" w:color="auto"/>
              <w:left w:val="single" w:sz="4" w:space="0" w:color="auto"/>
              <w:bottom w:val="single" w:sz="4" w:space="0" w:color="auto"/>
              <w:right w:val="single" w:sz="4" w:space="0" w:color="auto"/>
            </w:tcBorders>
          </w:tcPr>
          <w:p w:rsidR="00D454F4" w:rsidRPr="00407B23" w:rsidRDefault="00D454F4" w:rsidP="00951A2C">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D454F4" w:rsidRPr="00407B23" w:rsidRDefault="00D454F4" w:rsidP="00951A2C">
            <w:pPr>
              <w:pStyle w:val="Style1"/>
              <w:pageBreakBefore/>
              <w:jc w:val="center"/>
            </w:pPr>
          </w:p>
          <w:p w:rsidR="00D454F4" w:rsidRPr="00407B23" w:rsidRDefault="00D454F4" w:rsidP="00951A2C">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D454F4" w:rsidRPr="00407B23" w:rsidRDefault="00D454F4" w:rsidP="00951A2C">
      <w:pPr>
        <w:pStyle w:val="Style1"/>
        <w:tabs>
          <w:tab w:val="clear" w:pos="907"/>
          <w:tab w:val="clear" w:pos="1077"/>
        </w:tabs>
        <w:rPr>
          <w:highlight w:val="yellow"/>
        </w:rPr>
      </w:pPr>
    </w:p>
    <w:p w:rsidR="00D454F4" w:rsidRPr="00407B23" w:rsidRDefault="00D454F4">
      <w:pPr>
        <w:rPr>
          <w:i/>
        </w:rPr>
      </w:pPr>
    </w:p>
    <w:p w:rsidR="00D454F4" w:rsidRPr="00407B23" w:rsidRDefault="00D454F4">
      <w:pPr>
        <w:jc w:val="center"/>
        <w:rPr>
          <w:b/>
        </w:rPr>
      </w:pPr>
      <w:r w:rsidRPr="00407B23">
        <w:rPr>
          <w:b/>
        </w:rPr>
        <w:t>Paragraph 1</w:t>
      </w:r>
    </w:p>
    <w:p w:rsidR="00D454F4" w:rsidRPr="00407B23" w:rsidRDefault="00D454F4">
      <w:pPr>
        <w:jc w:val="center"/>
      </w:pPr>
      <w:r w:rsidRPr="00407B23">
        <w:t>(Paragraphs 1 and 3 of Article 13 of the 1961 Convention)</w:t>
      </w:r>
    </w:p>
    <w:p w:rsidR="00D454F4" w:rsidRPr="00407B23" w:rsidRDefault="00D454F4"/>
    <w:p w:rsidR="00D454F4" w:rsidRPr="00407B23" w:rsidRDefault="00D454F4">
      <w:pPr>
        <w:ind w:firstLine="567"/>
        <w:rPr>
          <w:b/>
        </w:rPr>
      </w:pPr>
      <w:r w:rsidRPr="00407B23">
        <w:rPr>
          <w:b/>
        </w:rPr>
        <w:t>[</w:t>
      </w:r>
      <w:r w:rsidRPr="00407B23">
        <w:rPr>
          <w:b/>
          <w:i/>
        </w:rPr>
        <w:t>Designation of varieties by denominations;  use of the denomination</w:t>
      </w:r>
      <w:r w:rsidRPr="00407B23">
        <w:rPr>
          <w:b/>
        </w:rPr>
        <w:t xml:space="preserve">]  The variety shall be designated by a denomination which will be its generic designation. </w:t>
      </w:r>
      <w:r w:rsidRPr="00407B23">
        <w:rPr>
          <w:b/>
          <w:i/>
        </w:rPr>
        <w:t xml:space="preserve"> </w:t>
      </w:r>
      <w:r w:rsidRPr="00407B23">
        <w:rPr>
          <w:b/>
        </w:rPr>
        <w:t xml:space="preserve">Each member of the </w:t>
      </w:r>
      <w:smartTag w:uri="urn:schemas-microsoft-com:office:smarttags" w:element="place">
        <w:r w:rsidRPr="00407B23">
          <w:rPr>
            <w:b/>
          </w:rPr>
          <w:t>Union</w:t>
        </w:r>
      </w:smartTag>
      <w:r w:rsidRPr="00407B23">
        <w:rPr>
          <w:b/>
        </w:rPr>
        <w:t xml:space="preserve"> shall ensure that, subject to paragraph (4), no rights in the designation registered as the denomination of the variety shall hamper the free use of the denomination in connection with the variety, even after the expiration of the breeder’s right.</w:t>
      </w:r>
    </w:p>
    <w:p w:rsidR="00D454F4" w:rsidRPr="00407B23" w:rsidRDefault="00D454F4">
      <w:pPr>
        <w:rPr>
          <w:b/>
        </w:rPr>
      </w:pPr>
    </w:p>
    <w:p w:rsidR="00D454F4" w:rsidRPr="00407B23" w:rsidRDefault="00D454F4">
      <w:pPr>
        <w:rPr>
          <w:i/>
        </w:rPr>
      </w:pPr>
      <w:r w:rsidRPr="00407B23">
        <w:rPr>
          <w:i/>
        </w:rPr>
        <w:t>Explanatory Notes – Paragraph (1)</w:t>
      </w:r>
    </w:p>
    <w:p w:rsidR="00D454F4" w:rsidRPr="00407B23" w:rsidRDefault="00D454F4"/>
    <w:p w:rsidR="00D454F4" w:rsidRPr="00407B23" w:rsidRDefault="00D454F4">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D454F4" w:rsidRPr="00407B23" w:rsidRDefault="00D454F4">
      <w:pPr>
        <w:widowControl w:val="0"/>
        <w:tabs>
          <w:tab w:val="left" w:pos="567"/>
        </w:tabs>
      </w:pPr>
    </w:p>
    <w:p w:rsidR="00D454F4" w:rsidRPr="00407B23" w:rsidRDefault="00D454F4">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3"/>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D454F4" w:rsidRPr="00407B23" w:rsidRDefault="00D454F4" w:rsidP="00951A2C"/>
    <w:p w:rsidR="00D454F4" w:rsidRPr="00407B23" w:rsidRDefault="00D454F4" w:rsidP="00951A2C"/>
    <w:p w:rsidR="00D454F4" w:rsidRPr="00407B23" w:rsidRDefault="00D454F4" w:rsidP="00951A2C">
      <w:pPr>
        <w:keepNext/>
        <w:jc w:val="center"/>
        <w:rPr>
          <w:b/>
        </w:rPr>
      </w:pPr>
      <w:r>
        <w:rPr>
          <w:b/>
        </w:rPr>
        <w:br w:type="page"/>
      </w:r>
      <w:r w:rsidRPr="00407B23">
        <w:rPr>
          <w:b/>
        </w:rPr>
        <w:lastRenderedPageBreak/>
        <w:t>Paragraph 2</w:t>
      </w:r>
    </w:p>
    <w:p w:rsidR="00D454F4" w:rsidRPr="00407B23" w:rsidRDefault="00D454F4" w:rsidP="00951A2C">
      <w:pPr>
        <w:keepNext/>
        <w:jc w:val="center"/>
        <w:rPr>
          <w:b/>
        </w:rPr>
      </w:pPr>
    </w:p>
    <w:p w:rsidR="00D454F4" w:rsidRPr="00407B23" w:rsidRDefault="00D454F4">
      <w:pPr>
        <w:ind w:firstLine="567"/>
        <w:rPr>
          <w:b/>
        </w:rPr>
      </w:pPr>
      <w:r w:rsidRPr="00407B23">
        <w:rPr>
          <w:b/>
        </w:rPr>
        <w:t>[</w:t>
      </w:r>
      <w:r w:rsidRPr="00407B23">
        <w:rPr>
          <w:b/>
          <w:i/>
        </w:rPr>
        <w:t>Characteristics of the denomination</w:t>
      </w:r>
      <w:r w:rsidRPr="00407B23">
        <w:rPr>
          <w:b/>
        </w:rPr>
        <w:t xml:space="preserve">]  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w:t>
      </w:r>
      <w:smartTag w:uri="urn:schemas-microsoft-com:office:smarttags" w:element="place">
        <w:r w:rsidRPr="00407B23">
          <w:rPr>
            <w:b/>
          </w:rPr>
          <w:t>Union</w:t>
        </w:r>
      </w:smartTag>
      <w:r w:rsidRPr="00407B23">
        <w:rPr>
          <w:b/>
        </w:rPr>
        <w:t>, an existing variety of the same plant species or of a closely related species.</w:t>
      </w:r>
    </w:p>
    <w:p w:rsidR="00D454F4" w:rsidRPr="00407B23" w:rsidRDefault="00D454F4"/>
    <w:p w:rsidR="00D454F4" w:rsidRPr="00407B23" w:rsidRDefault="00D454F4">
      <w:pPr>
        <w:rPr>
          <w:i/>
        </w:rPr>
      </w:pPr>
      <w:r w:rsidRPr="00407B23">
        <w:rPr>
          <w:i/>
        </w:rPr>
        <w:t>Explanatory Notes – Paragraph (2)</w:t>
      </w:r>
    </w:p>
    <w:p w:rsidR="00D454F4" w:rsidRPr="00407B23" w:rsidRDefault="00D454F4"/>
    <w:p w:rsidR="00D454F4" w:rsidRPr="00407B23" w:rsidRDefault="00D454F4">
      <w:pPr>
        <w:rPr>
          <w:i/>
        </w:rPr>
      </w:pPr>
      <w:r w:rsidRPr="00407B23">
        <w:rPr>
          <w:i/>
        </w:rPr>
        <w:t>2.1</w:t>
      </w:r>
      <w:r w:rsidRPr="00407B23">
        <w:rPr>
          <w:i/>
        </w:rPr>
        <w:tab/>
        <w:t>Identification</w:t>
      </w:r>
    </w:p>
    <w:p w:rsidR="00D454F4" w:rsidRPr="00407B23" w:rsidRDefault="00D454F4"/>
    <w:p w:rsidR="00D454F4" w:rsidRPr="00407B23" w:rsidRDefault="00D454F4">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D454F4" w:rsidRPr="00DE1471" w:rsidRDefault="00D454F4">
      <w:pPr>
        <w:pStyle w:val="Header"/>
        <w:rPr>
          <w:lang w:val="en-US"/>
        </w:rPr>
      </w:pPr>
    </w:p>
    <w:p w:rsidR="00D454F4" w:rsidRPr="00407B23" w:rsidRDefault="00D454F4">
      <w:pPr>
        <w:rPr>
          <w:i/>
        </w:rPr>
      </w:pPr>
      <w:r w:rsidRPr="00407B23">
        <w:rPr>
          <w:i/>
        </w:rPr>
        <w:t>2.2.</w:t>
      </w:r>
      <w:r w:rsidRPr="00407B23">
        <w:rPr>
          <w:i/>
        </w:rPr>
        <w:tab/>
        <w:t>Solely of figures</w:t>
      </w:r>
    </w:p>
    <w:p w:rsidR="00D454F4" w:rsidRPr="00407B23" w:rsidRDefault="00D454F4">
      <w:pPr>
        <w:rPr>
          <w:i/>
        </w:rPr>
      </w:pPr>
    </w:p>
    <w:p w:rsidR="00D454F4" w:rsidRPr="00407B23" w:rsidRDefault="00D454F4">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D454F4" w:rsidRPr="00407B23" w:rsidRDefault="00D454F4"/>
    <w:p w:rsidR="00D454F4" w:rsidRPr="00407B23" w:rsidRDefault="00D454F4">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D454F4" w:rsidRPr="00407B23" w:rsidRDefault="00D454F4"/>
    <w:p w:rsidR="00D454F4" w:rsidRPr="00407B23" w:rsidRDefault="00D454F4">
      <w:pPr>
        <w:ind w:firstLine="567"/>
      </w:pPr>
      <w:r w:rsidRPr="00407B23">
        <w:t xml:space="preserve">(a)  </w:t>
      </w:r>
      <w:r w:rsidRPr="00407B23">
        <w:tab/>
        <w:t>for varieties used within a limited circle of specialists, the established practice should reflect that specialist circle (e.g. inbred lines);</w:t>
      </w:r>
    </w:p>
    <w:p w:rsidR="00D454F4" w:rsidRPr="00407B23" w:rsidRDefault="00D454F4">
      <w:pPr>
        <w:ind w:firstLine="567"/>
      </w:pPr>
    </w:p>
    <w:p w:rsidR="00D454F4" w:rsidRDefault="00D454F4">
      <w:pPr>
        <w:ind w:firstLine="567"/>
        <w:rPr>
          <w:color w:val="000000"/>
        </w:rPr>
      </w:pPr>
      <w:r w:rsidRPr="00407B23">
        <w:rPr>
          <w:color w:val="000000"/>
        </w:rPr>
        <w:t xml:space="preserve">(b)  </w:t>
      </w:r>
      <w:r w:rsidRPr="00407B23">
        <w:rPr>
          <w:color w:val="000000"/>
        </w:rPr>
        <w:tab/>
        <w:t>accepted market practices for particular variety types (e.g. hybrids) and particular species (e.g. Medicago, Helianthus).</w:t>
      </w:r>
    </w:p>
    <w:p w:rsidR="00B75886" w:rsidRDefault="00B75886">
      <w:pPr>
        <w:ind w:firstLine="567"/>
        <w:rPr>
          <w:color w:val="000000"/>
        </w:rPr>
      </w:pPr>
    </w:p>
    <w:tbl>
      <w:tblPr>
        <w:tblStyle w:val="TableGrid"/>
        <w:tblW w:w="0" w:type="auto"/>
        <w:tblInd w:w="108" w:type="dxa"/>
        <w:tblLook w:val="04A0" w:firstRow="1" w:lastRow="0" w:firstColumn="1" w:lastColumn="0" w:noHBand="0" w:noVBand="1"/>
      </w:tblPr>
      <w:tblGrid>
        <w:gridCol w:w="9747"/>
      </w:tblGrid>
      <w:tr w:rsidR="00B75886" w:rsidTr="00B75886">
        <w:tc>
          <w:tcPr>
            <w:tcW w:w="9747" w:type="dxa"/>
          </w:tcPr>
          <w:p w:rsidR="00B73632" w:rsidRDefault="00B73632">
            <w:pPr>
              <w:rPr>
                <w:color w:val="000000"/>
                <w:u w:val="single"/>
              </w:rPr>
            </w:pPr>
          </w:p>
          <w:p w:rsidR="00B75886" w:rsidRPr="00B73632" w:rsidRDefault="00B75886">
            <w:pPr>
              <w:rPr>
                <w:color w:val="000000"/>
                <w:sz w:val="18"/>
                <w:szCs w:val="18"/>
              </w:rPr>
            </w:pPr>
            <w:r w:rsidRPr="00B73632">
              <w:rPr>
                <w:color w:val="000000"/>
                <w:sz w:val="18"/>
                <w:szCs w:val="18"/>
                <w:u w:val="single"/>
              </w:rPr>
              <w:t>Proposal by Argentina</w:t>
            </w:r>
            <w:r w:rsidRPr="00B73632">
              <w:rPr>
                <w:color w:val="000000"/>
                <w:sz w:val="18"/>
                <w:szCs w:val="18"/>
              </w:rPr>
              <w:t xml:space="preserve"> </w:t>
            </w:r>
            <w:r w:rsidRPr="00B73632">
              <w:rPr>
                <w:rStyle w:val="EndnoteReference"/>
                <w:color w:val="000000"/>
                <w:sz w:val="18"/>
                <w:szCs w:val="18"/>
              </w:rPr>
              <w:endnoteReference w:id="2"/>
            </w:r>
          </w:p>
          <w:p w:rsidR="00B75886" w:rsidRPr="00B73632" w:rsidRDefault="00B75886">
            <w:pPr>
              <w:rPr>
                <w:color w:val="000000"/>
                <w:sz w:val="18"/>
                <w:szCs w:val="18"/>
              </w:rPr>
            </w:pPr>
          </w:p>
          <w:p w:rsidR="00B75886" w:rsidRPr="00B73632" w:rsidRDefault="00B75886" w:rsidP="00B75886">
            <w:pPr>
              <w:rPr>
                <w:color w:val="000000"/>
                <w:sz w:val="18"/>
                <w:szCs w:val="18"/>
              </w:rPr>
            </w:pPr>
            <w:r w:rsidRPr="00B73632">
              <w:rPr>
                <w:color w:val="000000"/>
                <w:sz w:val="18"/>
                <w:szCs w:val="18"/>
              </w:rPr>
              <w:t>“Paragraph 2.2.2.</w:t>
            </w:r>
            <w:r w:rsidRPr="00B73632">
              <w:rPr>
                <w:color w:val="000000"/>
                <w:sz w:val="18"/>
                <w:szCs w:val="18"/>
              </w:rPr>
              <w:tab/>
              <w:t xml:space="preserve"> Regarding the concept of “established practice” in denominations consisting “solely of figures”, Argentina accepts the use of denominations consisting entirely of figures even in those species for which varieties in this form have not been registered. That is, the “established practice” is construed broadly and is not restricted to only one group.”</w:t>
            </w:r>
          </w:p>
          <w:p w:rsidR="00B75886" w:rsidRPr="00B73632" w:rsidRDefault="00B75886" w:rsidP="00B75886">
            <w:pPr>
              <w:rPr>
                <w:color w:val="000000"/>
                <w:sz w:val="18"/>
                <w:szCs w:val="18"/>
              </w:rPr>
            </w:pPr>
          </w:p>
          <w:p w:rsidR="00B0127C" w:rsidRPr="00B73632" w:rsidRDefault="00B0127C" w:rsidP="00B0127C">
            <w:pPr>
              <w:rPr>
                <w:sz w:val="18"/>
                <w:szCs w:val="18"/>
              </w:rPr>
            </w:pPr>
            <w:r w:rsidRPr="00B73632">
              <w:rPr>
                <w:sz w:val="18"/>
                <w:szCs w:val="18"/>
              </w:rPr>
              <w:t>To add 2.2.2 (c) as follows:</w:t>
            </w:r>
          </w:p>
          <w:p w:rsidR="00B0127C" w:rsidRPr="00B73632" w:rsidRDefault="00B0127C" w:rsidP="00B75886">
            <w:pPr>
              <w:rPr>
                <w:color w:val="000000"/>
                <w:sz w:val="18"/>
                <w:szCs w:val="18"/>
              </w:rPr>
            </w:pPr>
          </w:p>
          <w:p w:rsidR="00B75886" w:rsidRPr="00B73632" w:rsidRDefault="00B75886" w:rsidP="00B0127C">
            <w:pPr>
              <w:rPr>
                <w:color w:val="000000"/>
                <w:sz w:val="18"/>
                <w:szCs w:val="18"/>
                <w:u w:val="single"/>
              </w:rPr>
            </w:pPr>
            <w:r w:rsidRPr="00B73632">
              <w:rPr>
                <w:color w:val="000000"/>
                <w:sz w:val="18"/>
                <w:szCs w:val="18"/>
              </w:rPr>
              <w:t>“</w:t>
            </w:r>
            <w:r w:rsidRPr="00B73632">
              <w:rPr>
                <w:color w:val="000000"/>
                <w:sz w:val="18"/>
                <w:szCs w:val="18"/>
                <w:u w:val="single"/>
              </w:rPr>
              <w:t xml:space="preserve">(c) </w:t>
            </w:r>
            <w:r w:rsidR="00B0127C" w:rsidRPr="00B73632">
              <w:rPr>
                <w:color w:val="000000"/>
                <w:sz w:val="18"/>
                <w:szCs w:val="18"/>
                <w:u w:val="single"/>
              </w:rPr>
              <w:t>‘established practice’</w:t>
            </w:r>
            <w:r w:rsidRPr="00B73632">
              <w:rPr>
                <w:color w:val="000000"/>
                <w:sz w:val="18"/>
                <w:szCs w:val="18"/>
                <w:u w:val="single"/>
              </w:rPr>
              <w:t xml:space="preserve"> is determined to be when registration has been accepted for one species or group, so that it can be used in other species which have not yet registered any variety whose denomination consists solely of figures.”</w:t>
            </w:r>
          </w:p>
          <w:p w:rsidR="00B0127C" w:rsidRDefault="00B0127C" w:rsidP="00B0127C">
            <w:pPr>
              <w:rPr>
                <w:color w:val="000000"/>
              </w:rPr>
            </w:pPr>
          </w:p>
        </w:tc>
      </w:tr>
    </w:tbl>
    <w:p w:rsidR="00B75886" w:rsidRPr="00407B23" w:rsidRDefault="00B75886">
      <w:pPr>
        <w:ind w:firstLine="567"/>
        <w:rPr>
          <w:color w:val="000000"/>
        </w:rPr>
      </w:pPr>
    </w:p>
    <w:p w:rsidR="00D454F4" w:rsidRPr="00407B23" w:rsidRDefault="00D454F4">
      <w:pPr>
        <w:ind w:left="-142" w:firstLine="709"/>
        <w:rPr>
          <w:color w:val="000000"/>
        </w:rPr>
      </w:pPr>
    </w:p>
    <w:p w:rsidR="00D454F4" w:rsidRPr="00407B23" w:rsidRDefault="00D454F4" w:rsidP="00951A2C">
      <w:pPr>
        <w:keepNext/>
        <w:rPr>
          <w:i/>
        </w:rPr>
      </w:pPr>
      <w:r w:rsidRPr="00407B23">
        <w:rPr>
          <w:i/>
        </w:rPr>
        <w:t>2.3.</w:t>
      </w:r>
      <w:r w:rsidRPr="00407B23">
        <w:rPr>
          <w:i/>
        </w:rPr>
        <w:tab/>
        <w:t>Liable to mislead or to cause confusion</w:t>
      </w:r>
    </w:p>
    <w:p w:rsidR="00D454F4" w:rsidRPr="00407B23" w:rsidRDefault="00D454F4" w:rsidP="00951A2C">
      <w:pPr>
        <w:keepNext/>
        <w:rPr>
          <w:i/>
        </w:rPr>
      </w:pPr>
    </w:p>
    <w:p w:rsidR="00D454F4" w:rsidRPr="00407B23" w:rsidRDefault="00D454F4">
      <w:r w:rsidRPr="00407B23">
        <w:t>Paragraph (2) states that the denomination must not be liable to “mislead or to cause confusion concerning the characteristics, value or identity of the variety or the identity of the breeder.”  These aspects are considered below:</w:t>
      </w:r>
    </w:p>
    <w:p w:rsidR="00D454F4" w:rsidRPr="00407B23" w:rsidRDefault="00D454F4"/>
    <w:p w:rsidR="00D454F4" w:rsidRPr="00407B23" w:rsidRDefault="00D454F4">
      <w:r w:rsidRPr="00407B23">
        <w:t>2.3.1</w:t>
      </w:r>
      <w:r w:rsidRPr="00407B23">
        <w:tab/>
        <w:t>Characteristics of the variety</w:t>
      </w:r>
    </w:p>
    <w:p w:rsidR="00D454F4" w:rsidRPr="00407B23" w:rsidRDefault="00D454F4"/>
    <w:p w:rsidR="00D454F4" w:rsidRPr="00407B23" w:rsidRDefault="00D454F4">
      <w:r w:rsidRPr="00407B23">
        <w:t>The denomination should not:</w:t>
      </w:r>
    </w:p>
    <w:p w:rsidR="00D454F4" w:rsidRPr="00407B23" w:rsidRDefault="00D454F4"/>
    <w:p w:rsidR="00D454F4" w:rsidRPr="00407B23" w:rsidRDefault="00D454F4">
      <w:pPr>
        <w:ind w:firstLine="567"/>
      </w:pPr>
      <w:r w:rsidRPr="00407B23">
        <w:t>(a)</w:t>
      </w:r>
      <w:r w:rsidRPr="00407B23">
        <w:tab/>
        <w:t xml:space="preserve">convey the impression that the variety has particular characteristics which, in reality, it does not have; </w:t>
      </w:r>
    </w:p>
    <w:p w:rsidR="00D454F4" w:rsidRPr="00407B23" w:rsidRDefault="00D454F4">
      <w:pPr>
        <w:ind w:firstLine="567"/>
      </w:pPr>
    </w:p>
    <w:p w:rsidR="00D454F4" w:rsidRPr="00407B23" w:rsidRDefault="00D454F4" w:rsidP="00951A2C">
      <w:pPr>
        <w:ind w:left="567"/>
      </w:pPr>
      <w:r w:rsidRPr="00407B23">
        <w:rPr>
          <w:i/>
        </w:rPr>
        <w:t>Example:</w:t>
      </w:r>
      <w:r w:rsidRPr="00407B23">
        <w:t xml:space="preserve">  a variety denomination “dwarf” for a variety which is of normal height, when a dwarfness trait exists within the species, but is not possessed by the variety.</w:t>
      </w:r>
    </w:p>
    <w:p w:rsidR="00D454F4" w:rsidRPr="00407B23" w:rsidRDefault="00D454F4"/>
    <w:p w:rsidR="00D454F4" w:rsidRPr="00407B23" w:rsidRDefault="00D454F4">
      <w:pPr>
        <w:ind w:firstLine="567"/>
        <w:rPr>
          <w:color w:val="000000"/>
        </w:rPr>
      </w:pPr>
      <w:r w:rsidRPr="00407B23">
        <w:rPr>
          <w:color w:val="000000"/>
        </w:rPr>
        <w:lastRenderedPageBreak/>
        <w:t>(b)</w:t>
      </w:r>
      <w:r w:rsidRPr="00407B23">
        <w:rPr>
          <w:color w:val="000000"/>
        </w:rPr>
        <w:tab/>
        <w:t>refer to specific characteristics of the variety in such a way</w:t>
      </w:r>
      <w:r w:rsidRPr="00407B23">
        <w:rPr>
          <w:b/>
          <w:color w:val="000000"/>
        </w:rPr>
        <w:t xml:space="preserve"> </w:t>
      </w:r>
      <w:r w:rsidRPr="00407B23">
        <w:rPr>
          <w:color w:val="000000"/>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D454F4" w:rsidRPr="00407B23" w:rsidRDefault="00D454F4">
      <w:pPr>
        <w:ind w:firstLine="567"/>
        <w:rPr>
          <w:color w:val="000000"/>
          <w:u w:val="single"/>
        </w:rPr>
      </w:pPr>
    </w:p>
    <w:p w:rsidR="00D454F4" w:rsidRPr="00407B23" w:rsidRDefault="00D454F4">
      <w:pPr>
        <w:ind w:firstLine="567"/>
        <w:jc w:val="left"/>
        <w:rPr>
          <w:color w:val="000000"/>
          <w:u w:val="single"/>
        </w:rPr>
      </w:pPr>
      <w:r w:rsidRPr="00407B23">
        <w:rPr>
          <w:i/>
        </w:rPr>
        <w:t>Example 1</w:t>
      </w:r>
      <w:r w:rsidRPr="00407B23">
        <w:t>:  “Sweet” for a fruit variety;</w:t>
      </w:r>
      <w:r w:rsidRPr="00407B23">
        <w:br/>
      </w:r>
    </w:p>
    <w:p w:rsidR="003F06E4" w:rsidRDefault="00D454F4" w:rsidP="009D3FAA">
      <w:pPr>
        <w:ind w:firstLine="567"/>
        <w:jc w:val="left"/>
      </w:pPr>
      <w:r w:rsidRPr="00407B23">
        <w:rPr>
          <w:i/>
        </w:rPr>
        <w:t>Example 2</w:t>
      </w:r>
      <w:r w:rsidRPr="00407B23">
        <w:t>:  “Large white” for a variety of chrysanthemum.</w:t>
      </w:r>
      <w:r w:rsidRPr="00407B23">
        <w:br/>
      </w:r>
    </w:p>
    <w:p w:rsidR="003F06E4" w:rsidRPr="00407B23" w:rsidRDefault="003F06E4" w:rsidP="003F06E4">
      <w:pPr>
        <w:ind w:firstLine="567"/>
      </w:pPr>
    </w:p>
    <w:tbl>
      <w:tblPr>
        <w:tblStyle w:val="TableGrid"/>
        <w:tblW w:w="0" w:type="auto"/>
        <w:tblLook w:val="04A0" w:firstRow="1" w:lastRow="0" w:firstColumn="1" w:lastColumn="0" w:noHBand="0" w:noVBand="1"/>
      </w:tblPr>
      <w:tblGrid>
        <w:gridCol w:w="9855"/>
      </w:tblGrid>
      <w:tr w:rsidR="003F06E4" w:rsidTr="00EB683A">
        <w:tc>
          <w:tcPr>
            <w:tcW w:w="9855" w:type="dxa"/>
          </w:tcPr>
          <w:p w:rsidR="00B73632" w:rsidRDefault="00B73632" w:rsidP="00EB683A">
            <w:pPr>
              <w:rPr>
                <w:sz w:val="18"/>
                <w:szCs w:val="18"/>
                <w:u w:val="single"/>
              </w:rPr>
            </w:pPr>
          </w:p>
          <w:p w:rsidR="003F06E4" w:rsidRPr="00B73632" w:rsidRDefault="003F06E4" w:rsidP="00EB683A">
            <w:pPr>
              <w:rPr>
                <w:sz w:val="18"/>
                <w:szCs w:val="18"/>
              </w:rPr>
            </w:pPr>
            <w:r w:rsidRPr="00B73632">
              <w:rPr>
                <w:sz w:val="18"/>
                <w:szCs w:val="18"/>
                <w:u w:val="single"/>
              </w:rPr>
              <w:t>Proposal by ESA</w:t>
            </w:r>
            <w:r w:rsidR="00B0127C" w:rsidRPr="00B73632">
              <w:rPr>
                <w:sz w:val="18"/>
                <w:szCs w:val="18"/>
              </w:rPr>
              <w:t xml:space="preserve"> </w:t>
            </w:r>
            <w:r w:rsidRPr="00B73632">
              <w:rPr>
                <w:rStyle w:val="EndnoteReference"/>
                <w:sz w:val="18"/>
                <w:szCs w:val="18"/>
              </w:rPr>
              <w:endnoteReference w:id="3"/>
            </w:r>
          </w:p>
          <w:p w:rsidR="003F06E4" w:rsidRPr="00B73632" w:rsidRDefault="003F06E4" w:rsidP="00EB683A">
            <w:pPr>
              <w:rPr>
                <w:sz w:val="18"/>
                <w:szCs w:val="18"/>
              </w:rPr>
            </w:pPr>
          </w:p>
          <w:p w:rsidR="003F06E4" w:rsidRDefault="00B75886" w:rsidP="003F06E4">
            <w:pPr>
              <w:rPr>
                <w:sz w:val="18"/>
                <w:szCs w:val="18"/>
              </w:rPr>
            </w:pPr>
            <w:r w:rsidRPr="00B73632">
              <w:rPr>
                <w:sz w:val="18"/>
                <w:szCs w:val="18"/>
              </w:rPr>
              <w:t xml:space="preserve">“To clarify if the term ‘characteristics’ </w:t>
            </w:r>
            <w:r w:rsidR="003F06E4" w:rsidRPr="00B73632">
              <w:rPr>
                <w:sz w:val="18"/>
                <w:szCs w:val="18"/>
              </w:rPr>
              <w:t>refers only to characteristics which are included in the relevant TG.</w:t>
            </w:r>
            <w:r w:rsidRPr="00B73632">
              <w:rPr>
                <w:sz w:val="18"/>
                <w:szCs w:val="18"/>
              </w:rPr>
              <w:t>”</w:t>
            </w:r>
          </w:p>
          <w:p w:rsidR="005A7B69" w:rsidRPr="00B73632" w:rsidRDefault="005A7B69" w:rsidP="003F06E4">
            <w:pPr>
              <w:rPr>
                <w:sz w:val="18"/>
                <w:szCs w:val="18"/>
              </w:rPr>
            </w:pPr>
          </w:p>
        </w:tc>
      </w:tr>
    </w:tbl>
    <w:p w:rsidR="003F06E4" w:rsidRDefault="003F06E4" w:rsidP="003F06E4"/>
    <w:p w:rsidR="003F06E4" w:rsidRPr="00407B23" w:rsidRDefault="003F06E4" w:rsidP="003F06E4">
      <w:pPr>
        <w:jc w:val="left"/>
      </w:pPr>
    </w:p>
    <w:p w:rsidR="00D454F4" w:rsidRPr="00407B23" w:rsidRDefault="00D454F4" w:rsidP="00951A2C">
      <w:pPr>
        <w:keepNext/>
        <w:ind w:firstLine="567"/>
      </w:pPr>
      <w:r w:rsidRPr="00407B23">
        <w:t>(c)</w:t>
      </w:r>
      <w:r w:rsidRPr="00407B23">
        <w:tab/>
        <w:t>convey the impression that the variety is derived from, or related to, another variety when that is not, in fact, the case;</w:t>
      </w:r>
    </w:p>
    <w:p w:rsidR="00D454F4" w:rsidRPr="00407B23" w:rsidRDefault="00D454F4" w:rsidP="00951A2C">
      <w:pPr>
        <w:keepNext/>
        <w:ind w:firstLine="567"/>
      </w:pPr>
    </w:p>
    <w:p w:rsidR="00D454F4" w:rsidRDefault="00D454F4" w:rsidP="00951A2C">
      <w:pPr>
        <w:ind w:left="567"/>
      </w:pPr>
      <w:r w:rsidRPr="00407B23">
        <w:rPr>
          <w:i/>
        </w:rPr>
        <w:t>Example:</w:t>
      </w:r>
      <w:r w:rsidRPr="00407B2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p w:rsidR="00B0127C" w:rsidRDefault="00B0127C" w:rsidP="00951A2C">
      <w:pPr>
        <w:ind w:left="567"/>
      </w:pPr>
    </w:p>
    <w:tbl>
      <w:tblPr>
        <w:tblStyle w:val="TableGrid"/>
        <w:tblW w:w="0" w:type="auto"/>
        <w:tblLook w:val="04A0" w:firstRow="1" w:lastRow="0" w:firstColumn="1" w:lastColumn="0" w:noHBand="0" w:noVBand="1"/>
      </w:tblPr>
      <w:tblGrid>
        <w:gridCol w:w="9855"/>
      </w:tblGrid>
      <w:tr w:rsidR="00B0127C" w:rsidTr="00B0127C">
        <w:tc>
          <w:tcPr>
            <w:tcW w:w="9855" w:type="dxa"/>
          </w:tcPr>
          <w:p w:rsidR="00B73632" w:rsidRDefault="00B0127C" w:rsidP="00B0127C">
            <w:r>
              <w:t xml:space="preserve"> </w:t>
            </w:r>
          </w:p>
          <w:p w:rsidR="00B0127C" w:rsidRPr="00B73632" w:rsidRDefault="00B0127C" w:rsidP="00B0127C">
            <w:pPr>
              <w:rPr>
                <w:sz w:val="18"/>
                <w:szCs w:val="18"/>
                <w:u w:val="single"/>
              </w:rPr>
            </w:pPr>
            <w:r w:rsidRPr="00B73632">
              <w:rPr>
                <w:sz w:val="18"/>
                <w:szCs w:val="18"/>
                <w:u w:val="single"/>
              </w:rPr>
              <w:t>Proposal by Argentina</w:t>
            </w:r>
            <w:r w:rsidR="00B73632">
              <w:rPr>
                <w:sz w:val="18"/>
                <w:szCs w:val="18"/>
                <w:u w:val="single"/>
              </w:rPr>
              <w:t xml:space="preserve"> </w:t>
            </w:r>
            <w:r w:rsidRPr="00B73632">
              <w:rPr>
                <w:rStyle w:val="EndnoteReference"/>
                <w:b/>
                <w:sz w:val="18"/>
                <w:szCs w:val="18"/>
              </w:rPr>
              <w:endnoteReference w:id="4"/>
            </w:r>
          </w:p>
          <w:p w:rsidR="00B0127C" w:rsidRPr="00B73632" w:rsidRDefault="00B0127C" w:rsidP="00B0127C">
            <w:pPr>
              <w:rPr>
                <w:sz w:val="18"/>
                <w:szCs w:val="18"/>
                <w:u w:val="single"/>
              </w:rPr>
            </w:pPr>
          </w:p>
          <w:p w:rsidR="00B0127C" w:rsidRPr="00B73632" w:rsidRDefault="00B0127C" w:rsidP="00B0127C">
            <w:pPr>
              <w:rPr>
                <w:sz w:val="18"/>
                <w:szCs w:val="18"/>
              </w:rPr>
            </w:pPr>
            <w:r w:rsidRPr="00B73632">
              <w:rPr>
                <w:sz w:val="18"/>
                <w:szCs w:val="18"/>
              </w:rPr>
              <w:t>“Paragraph 2.3.1 (c)</w:t>
            </w:r>
            <w:r w:rsidRPr="00B73632">
              <w:rPr>
                <w:sz w:val="18"/>
                <w:szCs w:val="18"/>
              </w:rPr>
              <w:tab/>
              <w:t xml:space="preserve"> Argentina disagrees with this recommendation and with the example mentioned under this paragraph. In our country, breeders often use the same denomination, changing the figure, and it is not interpreted as implying that the varieties derived from one another.”</w:t>
            </w:r>
          </w:p>
          <w:p w:rsidR="00B0127C" w:rsidRDefault="00B0127C" w:rsidP="00B0127C"/>
        </w:tc>
      </w:tr>
    </w:tbl>
    <w:p w:rsidR="00B0127C" w:rsidRDefault="00B0127C" w:rsidP="00B0127C"/>
    <w:p w:rsidR="007C431F" w:rsidRDefault="007C431F" w:rsidP="00951A2C">
      <w:pPr>
        <w:ind w:left="567"/>
      </w:pPr>
    </w:p>
    <w:p w:rsidR="007C431F" w:rsidRPr="007C431F" w:rsidRDefault="007C431F" w:rsidP="007C431F">
      <w:pPr>
        <w:rPr>
          <w:highlight w:val="lightGray"/>
          <w:u w:val="double"/>
        </w:rPr>
      </w:pPr>
      <w:r w:rsidRPr="007C431F">
        <w:rPr>
          <w:rStyle w:val="EndnoteReference"/>
          <w:b/>
        </w:rPr>
        <w:endnoteReference w:id="5"/>
      </w:r>
      <w:r w:rsidRPr="007C431F">
        <w:rPr>
          <w:b/>
          <w:highlight w:val="lightGray"/>
        </w:rPr>
        <w:t xml:space="preserve"> </w:t>
      </w:r>
      <w:r>
        <w:rPr>
          <w:b/>
          <w:highlight w:val="lightGray"/>
        </w:rPr>
        <w:tab/>
      </w:r>
      <w:r w:rsidRPr="007C431F">
        <w:rPr>
          <w:highlight w:val="lightGray"/>
          <w:u w:val="double"/>
        </w:rPr>
        <w:t xml:space="preserve">(d) </w:t>
      </w:r>
      <w:r>
        <w:rPr>
          <w:highlight w:val="lightGray"/>
          <w:u w:val="double"/>
        </w:rPr>
        <w:tab/>
      </w:r>
      <w:r w:rsidRPr="007C431F">
        <w:rPr>
          <w:highlight w:val="lightGray"/>
          <w:u w:val="double"/>
        </w:rPr>
        <w:t xml:space="preserve">contain the Latin or common name of the genus to which that variety belongs. The identity of the denomination and that of the genus to which it belongs could become unclear and confusing. </w:t>
      </w:r>
    </w:p>
    <w:p w:rsidR="007C431F" w:rsidRPr="007C431F" w:rsidRDefault="007C431F" w:rsidP="007C431F">
      <w:pPr>
        <w:rPr>
          <w:highlight w:val="lightGray"/>
          <w:u w:val="double"/>
        </w:rPr>
      </w:pPr>
    </w:p>
    <w:p w:rsidR="007C431F" w:rsidRPr="00407B23" w:rsidRDefault="007C431F" w:rsidP="007C431F">
      <w:pPr>
        <w:ind w:left="567"/>
      </w:pPr>
      <w:r w:rsidRPr="007C431F">
        <w:rPr>
          <w:i/>
          <w:highlight w:val="lightGray"/>
          <w:u w:val="double"/>
        </w:rPr>
        <w:t>Example</w:t>
      </w:r>
      <w:r w:rsidRPr="007C431F">
        <w:rPr>
          <w:highlight w:val="lightGray"/>
          <w:u w:val="double"/>
        </w:rPr>
        <w:t xml:space="preserve">:  </w:t>
      </w:r>
      <w:r w:rsidRPr="007C431F">
        <w:rPr>
          <w:i/>
          <w:highlight w:val="lightGray"/>
          <w:u w:val="double"/>
        </w:rPr>
        <w:t xml:space="preserve">Carex </w:t>
      </w:r>
      <w:r w:rsidRPr="007C431F">
        <w:rPr>
          <w:highlight w:val="lightGray"/>
          <w:u w:val="double"/>
        </w:rPr>
        <w:t xml:space="preserve">variety ‘Sedge’. This could possibly be referred to as ‘Sedge’ </w:t>
      </w:r>
      <w:r w:rsidRPr="007C431F">
        <w:rPr>
          <w:i/>
          <w:highlight w:val="lightGray"/>
          <w:u w:val="double"/>
        </w:rPr>
        <w:t xml:space="preserve">Carex </w:t>
      </w:r>
      <w:r w:rsidRPr="007C431F">
        <w:rPr>
          <w:highlight w:val="lightGray"/>
          <w:u w:val="double"/>
        </w:rPr>
        <w:t xml:space="preserve">and without the          </w:t>
      </w:r>
      <w:r>
        <w:rPr>
          <w:highlight w:val="lightGray"/>
          <w:u w:val="double"/>
        </w:rPr>
        <w:t xml:space="preserve"> </w:t>
      </w:r>
      <w:r w:rsidRPr="007C431F">
        <w:rPr>
          <w:highlight w:val="lightGray"/>
          <w:u w:val="double"/>
        </w:rPr>
        <w:t>use of italics or single quotes the identity of the denomination and the genus may not be clear.</w:t>
      </w:r>
    </w:p>
    <w:p w:rsidR="001A59B7" w:rsidRDefault="001A59B7"/>
    <w:p w:rsidR="007C431F" w:rsidRDefault="007C431F"/>
    <w:p w:rsidR="00D454F4" w:rsidRPr="00407B23" w:rsidRDefault="00D454F4">
      <w:r w:rsidRPr="00407B23">
        <w:t>2.3.2</w:t>
      </w:r>
      <w:r w:rsidRPr="00407B23">
        <w:tab/>
        <w:t>Value of the variety</w:t>
      </w:r>
    </w:p>
    <w:p w:rsidR="00D454F4" w:rsidRPr="00407B23" w:rsidRDefault="00D454F4"/>
    <w:p w:rsidR="00D454F4" w:rsidRPr="00407B23" w:rsidRDefault="00D454F4">
      <w:r w:rsidRPr="00407B23">
        <w:t xml:space="preserve">The denomination should not consist of, or contain, comparative or superlative designations. </w:t>
      </w:r>
    </w:p>
    <w:p w:rsidR="00D454F4" w:rsidRPr="00407B23" w:rsidRDefault="00D454F4">
      <w:pPr>
        <w:ind w:firstLine="567"/>
      </w:pPr>
    </w:p>
    <w:p w:rsidR="00D454F4" w:rsidRPr="00407B23" w:rsidRDefault="00D454F4" w:rsidP="00951A2C">
      <w:pPr>
        <w:ind w:left="567"/>
      </w:pPr>
      <w:r w:rsidRPr="00407B23">
        <w:rPr>
          <w:i/>
        </w:rPr>
        <w:t>Example:</w:t>
      </w:r>
      <w:r w:rsidRPr="00407B23">
        <w:t xml:space="preserve">  a denomination which includes terms such as “Best”, “</w:t>
      </w:r>
      <w:smartTag w:uri="urn:schemas-microsoft-com:office:smarttags" w:element="City">
        <w:smartTag w:uri="urn:schemas-microsoft-com:office:smarttags" w:element="place">
          <w:r w:rsidRPr="00407B23">
            <w:t>Superior</w:t>
          </w:r>
        </w:smartTag>
      </w:smartTag>
      <w:r w:rsidRPr="00407B23">
        <w:t xml:space="preserve">”, “Sweeter”. </w:t>
      </w:r>
    </w:p>
    <w:p w:rsidR="00D454F4" w:rsidRPr="00407B23" w:rsidRDefault="00D454F4"/>
    <w:p w:rsidR="00D454F4" w:rsidRPr="00407B23" w:rsidRDefault="00D454F4" w:rsidP="00C803CD">
      <w:pPr>
        <w:pStyle w:val="ListParagraph"/>
        <w:keepNext/>
        <w:keepLines/>
        <w:numPr>
          <w:ilvl w:val="2"/>
          <w:numId w:val="5"/>
        </w:numPr>
      </w:pPr>
      <w:r w:rsidRPr="00407B23">
        <w:t>Identity of the variety</w:t>
      </w:r>
      <w:r w:rsidR="00D67854">
        <w:t xml:space="preserve"> </w:t>
      </w:r>
    </w:p>
    <w:p w:rsidR="00D454F4" w:rsidRPr="00407B23" w:rsidRDefault="00D454F4">
      <w:pPr>
        <w:keepNext/>
        <w:keepLines/>
      </w:pPr>
    </w:p>
    <w:p w:rsidR="00050497" w:rsidRDefault="00C906B0" w:rsidP="00C906B0">
      <w:pPr>
        <w:ind w:firstLine="567"/>
        <w:rPr>
          <w:strike/>
        </w:rPr>
      </w:pPr>
      <w:r w:rsidRPr="00C906B0">
        <w:t>(a)</w:t>
      </w:r>
      <w:r w:rsidRPr="00C906B0">
        <w:tab/>
      </w:r>
      <w:r w:rsidR="00050497">
        <w:rPr>
          <w:highlight w:val="lightGray"/>
          <w:u w:val="single"/>
        </w:rPr>
        <w:t>F</w:t>
      </w:r>
      <w:r w:rsidR="00050497" w:rsidRPr="000B2C01">
        <w:rPr>
          <w:highlight w:val="lightGray"/>
          <w:u w:val="single"/>
        </w:rPr>
        <w:t>or denominations consisting of a combination of letters and figures or “solely of figures”</w:t>
      </w:r>
      <w:r w:rsidR="00050497">
        <w:t xml:space="preserve">, </w:t>
      </w:r>
      <w:r w:rsidR="00050497" w:rsidRPr="00050497">
        <w:rPr>
          <w:strike/>
          <w:highlight w:val="lightGray"/>
        </w:rPr>
        <w:t>As</w:t>
      </w:r>
      <w:r w:rsidR="00050497">
        <w:t xml:space="preserve"> </w:t>
      </w:r>
      <w:r w:rsidR="00050497" w:rsidRPr="00050497">
        <w:rPr>
          <w:highlight w:val="lightGray"/>
          <w:u w:val="single"/>
        </w:rPr>
        <w:t>a</w:t>
      </w:r>
      <w:r w:rsidR="00D454F4" w:rsidRPr="00050497">
        <w:rPr>
          <w:highlight w:val="lightGray"/>
          <w:u w:val="single"/>
        </w:rPr>
        <w:t>s</w:t>
      </w:r>
      <w:r w:rsidR="00D454F4" w:rsidRPr="00407B23">
        <w:t xml:space="preserve"> a general recommendation, a difference of only one letter or one number may be considered </w:t>
      </w:r>
      <w:r w:rsidR="00FB3499" w:rsidRPr="000B2C01">
        <w:rPr>
          <w:highlight w:val="lightGray"/>
          <w:u w:val="single"/>
        </w:rPr>
        <w:t>not</w:t>
      </w:r>
      <w:r w:rsidR="00FB3499">
        <w:t xml:space="preserve"> </w:t>
      </w:r>
      <w:r w:rsidR="00D454F4" w:rsidRPr="00407B23">
        <w:t>to be liable to mislead or cause confusion concerning the identity of the variety</w:t>
      </w:r>
      <w:r w:rsidR="008122AC" w:rsidRPr="008122AC">
        <w:rPr>
          <w:highlight w:val="lightGray"/>
          <w:u w:val="single"/>
        </w:rPr>
        <w:t>.</w:t>
      </w:r>
      <w:r w:rsidR="00D454F4" w:rsidRPr="008122AC">
        <w:rPr>
          <w:strike/>
          <w:highlight w:val="lightGray"/>
        </w:rPr>
        <w:t xml:space="preserve">, except where the:  </w:t>
      </w:r>
    </w:p>
    <w:p w:rsidR="0081249B" w:rsidRDefault="0081249B" w:rsidP="0081249B">
      <w:pPr>
        <w:rPr>
          <w:u w:val="single"/>
        </w:rPr>
      </w:pPr>
    </w:p>
    <w:tbl>
      <w:tblPr>
        <w:tblStyle w:val="TableGrid"/>
        <w:tblW w:w="0" w:type="auto"/>
        <w:tblInd w:w="108" w:type="dxa"/>
        <w:tblLook w:val="04A0" w:firstRow="1" w:lastRow="0" w:firstColumn="1" w:lastColumn="0" w:noHBand="0" w:noVBand="1"/>
      </w:tblPr>
      <w:tblGrid>
        <w:gridCol w:w="9747"/>
      </w:tblGrid>
      <w:tr w:rsidR="0081249B" w:rsidTr="0081249B">
        <w:tc>
          <w:tcPr>
            <w:tcW w:w="9747" w:type="dxa"/>
          </w:tcPr>
          <w:p w:rsidR="0081249B" w:rsidRDefault="0081249B" w:rsidP="0081249B">
            <w:pPr>
              <w:rPr>
                <w:sz w:val="18"/>
                <w:szCs w:val="18"/>
                <w:u w:val="single"/>
              </w:rPr>
            </w:pPr>
          </w:p>
          <w:p w:rsidR="0081249B" w:rsidRPr="0081249B" w:rsidRDefault="0081249B" w:rsidP="0081249B">
            <w:pPr>
              <w:rPr>
                <w:sz w:val="18"/>
                <w:szCs w:val="18"/>
                <w:u w:val="single"/>
              </w:rPr>
            </w:pPr>
            <w:r w:rsidRPr="0081249B">
              <w:rPr>
                <w:sz w:val="18"/>
                <w:szCs w:val="18"/>
                <w:u w:val="single"/>
              </w:rPr>
              <w:t>Proposal by Argentina</w:t>
            </w:r>
            <w:r>
              <w:rPr>
                <w:sz w:val="18"/>
                <w:szCs w:val="18"/>
                <w:u w:val="single"/>
              </w:rPr>
              <w:t xml:space="preserve"> </w:t>
            </w:r>
            <w:r w:rsidRPr="00B73632">
              <w:rPr>
                <w:rStyle w:val="EndnoteReference"/>
                <w:b/>
                <w:sz w:val="18"/>
                <w:szCs w:val="18"/>
              </w:rPr>
              <w:endnoteReference w:id="6"/>
            </w:r>
          </w:p>
          <w:p w:rsidR="0081249B" w:rsidRDefault="0081249B" w:rsidP="0081249B">
            <w:pPr>
              <w:rPr>
                <w:u w:val="single"/>
              </w:rPr>
            </w:pPr>
          </w:p>
          <w:p w:rsidR="0081249B" w:rsidRDefault="0081249B" w:rsidP="0081249B">
            <w:pPr>
              <w:rPr>
                <w:sz w:val="18"/>
                <w:szCs w:val="18"/>
              </w:rPr>
            </w:pPr>
            <w:r w:rsidRPr="0081249B">
              <w:rPr>
                <w:sz w:val="18"/>
                <w:szCs w:val="18"/>
              </w:rPr>
              <w:t xml:space="preserve">Paragraph 2.3.3 (a) </w:t>
            </w:r>
          </w:p>
          <w:p w:rsidR="0081249B" w:rsidRPr="0081249B" w:rsidRDefault="0081249B" w:rsidP="0081249B">
            <w:pPr>
              <w:rPr>
                <w:sz w:val="18"/>
                <w:szCs w:val="18"/>
              </w:rPr>
            </w:pPr>
            <w:r w:rsidRPr="0081249B">
              <w:rPr>
                <w:sz w:val="18"/>
                <w:szCs w:val="18"/>
              </w:rPr>
              <w:t>“The recommendation that for denomination with a combination of letters and figures or solely of figures, changing only ONE letter or figure may be considered not to cause confusion concerning the identity of the breeder is confusing. It implies that confusion may or may not be caused, seeming to leave it to the interpretation of Member States, which may lead to a variety of solutions. The recommendation should follow a clear pattern.</w:t>
            </w:r>
          </w:p>
          <w:p w:rsidR="0081249B" w:rsidRPr="0081249B" w:rsidRDefault="0081249B" w:rsidP="0081249B">
            <w:pPr>
              <w:rPr>
                <w:sz w:val="18"/>
                <w:szCs w:val="18"/>
              </w:rPr>
            </w:pPr>
          </w:p>
          <w:p w:rsidR="0081249B" w:rsidRPr="0081249B" w:rsidRDefault="0081249B" w:rsidP="0081249B">
            <w:pPr>
              <w:rPr>
                <w:sz w:val="18"/>
                <w:szCs w:val="18"/>
              </w:rPr>
            </w:pPr>
            <w:r>
              <w:rPr>
                <w:sz w:val="18"/>
                <w:szCs w:val="18"/>
              </w:rPr>
              <w:t>“</w:t>
            </w:r>
            <w:r w:rsidRPr="0081249B">
              <w:rPr>
                <w:sz w:val="18"/>
                <w:szCs w:val="18"/>
              </w:rPr>
              <w:t>One way to provide clarity would be to adduce examples to this paragraph.</w:t>
            </w:r>
            <w:r w:rsidR="000B2178">
              <w:rPr>
                <w:sz w:val="18"/>
                <w:szCs w:val="18"/>
              </w:rPr>
              <w:t>”</w:t>
            </w:r>
          </w:p>
          <w:p w:rsidR="0081249B" w:rsidRDefault="0081249B" w:rsidP="0081249B">
            <w:pPr>
              <w:rPr>
                <w:u w:val="single"/>
              </w:rPr>
            </w:pPr>
          </w:p>
        </w:tc>
      </w:tr>
    </w:tbl>
    <w:p w:rsidR="0081249B" w:rsidRPr="00050497" w:rsidRDefault="0081249B" w:rsidP="0081249B">
      <w:pPr>
        <w:rPr>
          <w:u w:val="single"/>
        </w:rPr>
      </w:pPr>
    </w:p>
    <w:p w:rsidR="00D454F4" w:rsidRDefault="00C906B0" w:rsidP="00C906B0">
      <w:pPr>
        <w:ind w:firstLine="567"/>
        <w:rPr>
          <w:highlight w:val="lightGray"/>
          <w:u w:val="single"/>
        </w:rPr>
      </w:pPr>
      <w:r w:rsidRPr="00F7624F">
        <w:rPr>
          <w:highlight w:val="lightGray"/>
          <w:u w:val="single"/>
        </w:rPr>
        <w:lastRenderedPageBreak/>
        <w:t>(b)</w:t>
      </w:r>
      <w:r w:rsidRPr="00F7624F">
        <w:rPr>
          <w:highlight w:val="lightGray"/>
          <w:u w:val="single"/>
        </w:rPr>
        <w:tab/>
      </w:r>
      <w:r w:rsidR="009D32C3" w:rsidRPr="00F7624F">
        <w:rPr>
          <w:highlight w:val="lightGray"/>
          <w:u w:val="single"/>
        </w:rPr>
        <w:t>For</w:t>
      </w:r>
      <w:r w:rsidR="00D67854" w:rsidRPr="00F7624F">
        <w:rPr>
          <w:highlight w:val="lightGray"/>
          <w:u w:val="single"/>
        </w:rPr>
        <w:t xml:space="preserve"> denominations not consisting of a combination of letters and figures</w:t>
      </w:r>
      <w:r w:rsidR="009D32C3" w:rsidRPr="00F7624F">
        <w:rPr>
          <w:highlight w:val="lightGray"/>
          <w:u w:val="single"/>
        </w:rPr>
        <w:t>,</w:t>
      </w:r>
      <w:r w:rsidR="00D67854" w:rsidRPr="00F7624F">
        <w:rPr>
          <w:highlight w:val="lightGray"/>
          <w:u w:val="single"/>
        </w:rPr>
        <w:t xml:space="preserve"> or “solely of figures”</w:t>
      </w:r>
      <w:r w:rsidR="000B2C01" w:rsidRPr="00F7624F">
        <w:rPr>
          <w:highlight w:val="lightGray"/>
          <w:u w:val="single"/>
        </w:rPr>
        <w:t xml:space="preserve">, </w:t>
      </w:r>
      <w:r w:rsidR="000B2C01" w:rsidRPr="00A0376E">
        <w:rPr>
          <w:highlight w:val="lightGray"/>
          <w:u w:val="single"/>
        </w:rPr>
        <w:t>as a general recommendation</w:t>
      </w:r>
      <w:r w:rsidR="00050497" w:rsidRPr="00A0376E">
        <w:rPr>
          <w:highlight w:val="lightGray"/>
          <w:u w:val="single"/>
        </w:rPr>
        <w:t xml:space="preserve">, </w:t>
      </w:r>
      <w:r w:rsidR="007E64DF">
        <w:rPr>
          <w:highlight w:val="lightGray"/>
          <w:u w:val="single"/>
        </w:rPr>
        <w:t>difference</w:t>
      </w:r>
      <w:r w:rsidR="00D67854">
        <w:rPr>
          <w:highlight w:val="lightGray"/>
          <w:u w:val="single"/>
        </w:rPr>
        <w:t>s</w:t>
      </w:r>
      <w:r w:rsidR="00050497" w:rsidRPr="00A0376E">
        <w:rPr>
          <w:highlight w:val="lightGray"/>
          <w:u w:val="single"/>
        </w:rPr>
        <w:t xml:space="preserve"> of one</w:t>
      </w:r>
      <w:r w:rsidR="007E64DF">
        <w:rPr>
          <w:highlight w:val="lightGray"/>
          <w:u w:val="single"/>
        </w:rPr>
        <w:t xml:space="preserve"> or </w:t>
      </w:r>
      <w:r w:rsidR="00050497" w:rsidRPr="00A0376E">
        <w:rPr>
          <w:highlight w:val="lightGray"/>
          <w:u w:val="single"/>
        </w:rPr>
        <w:t xml:space="preserve">more letters should provide a clear </w:t>
      </w:r>
      <w:r w:rsidR="00050497" w:rsidRPr="00A0376E">
        <w:rPr>
          <w:color w:val="000000"/>
          <w:highlight w:val="lightGray"/>
          <w:u w:val="single"/>
        </w:rPr>
        <w:t>visual and phonetic difference</w:t>
      </w:r>
      <w:r w:rsidR="00050497" w:rsidRPr="00A0376E">
        <w:rPr>
          <w:highlight w:val="lightGray"/>
          <w:u w:val="single"/>
        </w:rPr>
        <w:t xml:space="preserve"> </w:t>
      </w:r>
      <w:r w:rsidR="007E64DF">
        <w:rPr>
          <w:highlight w:val="lightGray"/>
          <w:u w:val="single"/>
        </w:rPr>
        <w:t xml:space="preserve">in order for the denomination </w:t>
      </w:r>
      <w:r w:rsidR="00050497" w:rsidRPr="00A0376E">
        <w:rPr>
          <w:highlight w:val="lightGray"/>
          <w:u w:val="single"/>
        </w:rPr>
        <w:t xml:space="preserve">not </w:t>
      </w:r>
      <w:r w:rsidR="00A0376E">
        <w:rPr>
          <w:highlight w:val="lightGray"/>
          <w:u w:val="single"/>
        </w:rPr>
        <w:t xml:space="preserve">to </w:t>
      </w:r>
      <w:r w:rsidR="00050497" w:rsidRPr="00A0376E">
        <w:rPr>
          <w:highlight w:val="lightGray"/>
          <w:u w:val="single"/>
        </w:rPr>
        <w:t>be liable to mislead or cause confusion concerning the identity of the variety</w:t>
      </w:r>
      <w:r w:rsidR="00A0376E">
        <w:rPr>
          <w:highlight w:val="lightGray"/>
          <w:u w:val="single"/>
        </w:rPr>
        <w:t>.</w:t>
      </w:r>
    </w:p>
    <w:p w:rsidR="0081249B" w:rsidRDefault="0081249B" w:rsidP="00C906B0">
      <w:pPr>
        <w:ind w:firstLine="567"/>
        <w:rPr>
          <w:highlight w:val="lightGray"/>
          <w:u w:val="single"/>
        </w:rPr>
      </w:pPr>
    </w:p>
    <w:tbl>
      <w:tblPr>
        <w:tblStyle w:val="TableGrid"/>
        <w:tblW w:w="0" w:type="auto"/>
        <w:tblInd w:w="108" w:type="dxa"/>
        <w:tblLook w:val="04A0" w:firstRow="1" w:lastRow="0" w:firstColumn="1" w:lastColumn="0" w:noHBand="0" w:noVBand="1"/>
      </w:tblPr>
      <w:tblGrid>
        <w:gridCol w:w="9747"/>
      </w:tblGrid>
      <w:tr w:rsidR="0081249B" w:rsidTr="0081249B">
        <w:tc>
          <w:tcPr>
            <w:tcW w:w="9747" w:type="dxa"/>
          </w:tcPr>
          <w:p w:rsidR="0081249B" w:rsidRDefault="0081249B" w:rsidP="0081249B">
            <w:pPr>
              <w:rPr>
                <w:highlight w:val="lightGray"/>
              </w:rPr>
            </w:pPr>
          </w:p>
          <w:p w:rsidR="0081249B" w:rsidRPr="003A24BE" w:rsidRDefault="0081249B" w:rsidP="0081249B">
            <w:pPr>
              <w:rPr>
                <w:sz w:val="18"/>
                <w:szCs w:val="18"/>
                <w:highlight w:val="lightGray"/>
                <w:u w:val="single"/>
              </w:rPr>
            </w:pPr>
            <w:r w:rsidRPr="003A24BE">
              <w:rPr>
                <w:sz w:val="18"/>
                <w:szCs w:val="18"/>
                <w:u w:val="single"/>
              </w:rPr>
              <w:t>Proposal by Argentina</w:t>
            </w:r>
            <w:r w:rsidR="003A24BE">
              <w:rPr>
                <w:sz w:val="18"/>
                <w:szCs w:val="18"/>
                <w:u w:val="single"/>
              </w:rPr>
              <w:t xml:space="preserve"> </w:t>
            </w:r>
            <w:r w:rsidR="003A24BE" w:rsidRPr="00B73632">
              <w:rPr>
                <w:rStyle w:val="EndnoteReference"/>
                <w:b/>
                <w:sz w:val="18"/>
                <w:szCs w:val="18"/>
              </w:rPr>
              <w:endnoteReference w:id="7"/>
            </w:r>
          </w:p>
          <w:p w:rsidR="0081249B" w:rsidRPr="003A24BE" w:rsidRDefault="0081249B" w:rsidP="0081249B">
            <w:pPr>
              <w:rPr>
                <w:sz w:val="18"/>
                <w:szCs w:val="18"/>
                <w:highlight w:val="lightGray"/>
              </w:rPr>
            </w:pPr>
          </w:p>
          <w:p w:rsidR="0081249B" w:rsidRPr="003A24BE" w:rsidRDefault="003A24BE" w:rsidP="0081249B">
            <w:pPr>
              <w:rPr>
                <w:sz w:val="18"/>
                <w:szCs w:val="18"/>
              </w:rPr>
            </w:pPr>
            <w:r w:rsidRPr="003A24BE">
              <w:rPr>
                <w:sz w:val="18"/>
                <w:szCs w:val="18"/>
              </w:rPr>
              <w:t>Paragraph 2.3.3 “(b)</w:t>
            </w:r>
            <w:r w:rsidRPr="003A24BE">
              <w:rPr>
                <w:sz w:val="18"/>
                <w:szCs w:val="18"/>
              </w:rPr>
              <w:tab/>
              <w:t>It is suggested that ‘denominations not consisting of a combination of letters and figures, or ‘solely of figures’ be changed to ‘all other denominations’”.</w:t>
            </w:r>
          </w:p>
          <w:p w:rsidR="003A24BE" w:rsidRPr="003A24BE" w:rsidRDefault="003A24BE" w:rsidP="0081249B">
            <w:pPr>
              <w:rPr>
                <w:sz w:val="18"/>
                <w:szCs w:val="18"/>
              </w:rPr>
            </w:pPr>
          </w:p>
          <w:p w:rsidR="003A24BE" w:rsidRPr="003A24BE" w:rsidRDefault="003A24BE" w:rsidP="0081249B">
            <w:pPr>
              <w:rPr>
                <w:sz w:val="18"/>
                <w:szCs w:val="18"/>
              </w:rPr>
            </w:pPr>
            <w:r w:rsidRPr="003A24BE">
              <w:rPr>
                <w:sz w:val="18"/>
                <w:szCs w:val="18"/>
              </w:rPr>
              <w:t>On this point, in our country it has been established that when the denomination consists of two or more “bodies” or “terms” – usually one body consists of letters and the other of figures – a letter or figure should be changed in each body. The difference is analyzed independently IN EVERY body or term of the denomination.</w:t>
            </w:r>
          </w:p>
          <w:p w:rsidR="0081249B" w:rsidRPr="0081249B" w:rsidRDefault="0081249B" w:rsidP="0081249B">
            <w:pPr>
              <w:rPr>
                <w:highlight w:val="lightGray"/>
              </w:rPr>
            </w:pPr>
          </w:p>
        </w:tc>
      </w:tr>
    </w:tbl>
    <w:p w:rsidR="00050497" w:rsidRPr="00D67854" w:rsidRDefault="00050497" w:rsidP="00D67854">
      <w:pPr>
        <w:keepNext/>
        <w:keepLines/>
        <w:tabs>
          <w:tab w:val="right" w:pos="1134"/>
          <w:tab w:val="left" w:pos="1418"/>
        </w:tabs>
        <w:rPr>
          <w:strike/>
          <w:highlight w:val="lightGray"/>
        </w:rPr>
      </w:pPr>
    </w:p>
    <w:p w:rsidR="00344632" w:rsidRDefault="00C906B0" w:rsidP="00C906B0">
      <w:pPr>
        <w:ind w:firstLine="567"/>
        <w:rPr>
          <w:strike/>
          <w:highlight w:val="lightGray"/>
        </w:rPr>
      </w:pPr>
      <w:r w:rsidRPr="00C906B0">
        <w:tab/>
      </w:r>
      <w:r>
        <w:rPr>
          <w:strike/>
          <w:highlight w:val="lightGray"/>
        </w:rPr>
        <w:t>(i)</w:t>
      </w:r>
      <w:r>
        <w:rPr>
          <w:strike/>
          <w:highlight w:val="lightGray"/>
        </w:rPr>
        <w:tab/>
      </w:r>
      <w:r w:rsidR="00D454F4" w:rsidRPr="008122AC">
        <w:rPr>
          <w:strike/>
          <w:highlight w:val="lightGray"/>
        </w:rPr>
        <w:t xml:space="preserve">difference of one letter provides for a clear visual or phonetic difference </w:t>
      </w:r>
      <w:r w:rsidR="00A67B02" w:rsidRPr="008122AC">
        <w:rPr>
          <w:strike/>
          <w:highlight w:val="lightGray"/>
        </w:rPr>
        <w:t>(</w:t>
      </w:r>
      <w:r w:rsidR="00D454F4" w:rsidRPr="008122AC">
        <w:rPr>
          <w:strike/>
          <w:highlight w:val="lightGray"/>
        </w:rPr>
        <w:t>e.g. if it concerns a le</w:t>
      </w:r>
      <w:r w:rsidR="00A67B02" w:rsidRPr="008122AC">
        <w:rPr>
          <w:strike/>
          <w:highlight w:val="lightGray"/>
        </w:rPr>
        <w:t xml:space="preserve">tter at the beginning of a word); </w:t>
      </w:r>
    </w:p>
    <w:p w:rsidR="00D67854" w:rsidRDefault="00D67854" w:rsidP="00D67854">
      <w:pPr>
        <w:pStyle w:val="ListParagraph"/>
        <w:tabs>
          <w:tab w:val="right" w:pos="1134"/>
          <w:tab w:val="left" w:pos="1418"/>
        </w:tabs>
        <w:ind w:left="1080"/>
        <w:rPr>
          <w:strike/>
          <w:highlight w:val="lightGray"/>
        </w:rPr>
      </w:pPr>
    </w:p>
    <w:p w:rsidR="00D67854" w:rsidRPr="00D67854" w:rsidRDefault="00C906B0" w:rsidP="00C906B0">
      <w:pPr>
        <w:ind w:firstLine="567"/>
        <w:rPr>
          <w:highlight w:val="lightGray"/>
          <w:u w:val="single"/>
        </w:rPr>
      </w:pPr>
      <w:r w:rsidRPr="00C906B0">
        <w:tab/>
      </w:r>
      <w:r>
        <w:rPr>
          <w:highlight w:val="lightGray"/>
          <w:u w:val="single"/>
        </w:rPr>
        <w:t>(i)</w:t>
      </w:r>
      <w:r>
        <w:rPr>
          <w:highlight w:val="lightGray"/>
          <w:u w:val="single"/>
        </w:rPr>
        <w:tab/>
      </w:r>
      <w:r w:rsidR="00D67854" w:rsidRPr="00D67854">
        <w:rPr>
          <w:highlight w:val="lightGray"/>
          <w:u w:val="single"/>
        </w:rPr>
        <w:t>In some cases a clear visual</w:t>
      </w:r>
      <w:r w:rsidR="002C276C">
        <w:rPr>
          <w:highlight w:val="lightGray"/>
          <w:u w:val="single"/>
        </w:rPr>
        <w:t xml:space="preserve"> difference may not provide </w:t>
      </w:r>
      <w:r w:rsidR="00D67854" w:rsidRPr="00D67854">
        <w:rPr>
          <w:highlight w:val="lightGray"/>
          <w:u w:val="single"/>
        </w:rPr>
        <w:t xml:space="preserve">a clear phonetic difference </w:t>
      </w:r>
    </w:p>
    <w:p w:rsidR="00D67854" w:rsidRDefault="00D67854" w:rsidP="00D67854">
      <w:pPr>
        <w:pStyle w:val="ListParagraph"/>
        <w:tabs>
          <w:tab w:val="right" w:pos="1134"/>
          <w:tab w:val="left" w:pos="1418"/>
        </w:tabs>
        <w:ind w:left="1080"/>
        <w:rPr>
          <w:highlight w:val="lightGray"/>
        </w:rPr>
      </w:pPr>
    </w:p>
    <w:p w:rsidR="00D67854" w:rsidRPr="00C906B0" w:rsidRDefault="00D67854" w:rsidP="00C906B0">
      <w:pPr>
        <w:ind w:left="567"/>
        <w:rPr>
          <w:color w:val="000000"/>
          <w:highlight w:val="lightGray"/>
          <w:u w:val="single"/>
        </w:rPr>
      </w:pPr>
      <w:r w:rsidRPr="00C906B0">
        <w:rPr>
          <w:i/>
          <w:highlight w:val="lightGray"/>
          <w:u w:val="single"/>
        </w:rPr>
        <w:t>Example 1:</w:t>
      </w:r>
      <w:r w:rsidRPr="00C906B0">
        <w:rPr>
          <w:highlight w:val="lightGray"/>
          <w:u w:val="single"/>
        </w:rPr>
        <w:t xml:space="preserve">  in the English language ‘</w:t>
      </w:r>
      <w:r w:rsidRPr="00C906B0">
        <w:rPr>
          <w:color w:val="000000"/>
          <w:highlight w:val="lightGray"/>
          <w:u w:val="single"/>
        </w:rPr>
        <w:t xml:space="preserve">Bough’ and ‘Bow’ provides a clear visual difference but does not </w:t>
      </w:r>
    </w:p>
    <w:p w:rsidR="00D67854" w:rsidRDefault="009D32C3" w:rsidP="00C906B0">
      <w:pPr>
        <w:ind w:left="567"/>
        <w:rPr>
          <w:u w:val="single"/>
        </w:rPr>
      </w:pPr>
      <w:r>
        <w:rPr>
          <w:color w:val="000000"/>
          <w:highlight w:val="lightGray"/>
          <w:u w:val="single"/>
        </w:rPr>
        <w:t xml:space="preserve">provide a </w:t>
      </w:r>
      <w:r w:rsidR="00D67854" w:rsidRPr="00C906B0">
        <w:rPr>
          <w:highlight w:val="lightGray"/>
          <w:u w:val="single"/>
        </w:rPr>
        <w:t>clear phonetic difference.</w:t>
      </w:r>
    </w:p>
    <w:p w:rsidR="008F5F64" w:rsidRDefault="008F5F64" w:rsidP="00C906B0">
      <w:pPr>
        <w:ind w:left="567"/>
        <w:rPr>
          <w:u w:val="single"/>
        </w:rPr>
      </w:pPr>
    </w:p>
    <w:tbl>
      <w:tblPr>
        <w:tblStyle w:val="TableGrid"/>
        <w:tblW w:w="0" w:type="auto"/>
        <w:tblInd w:w="108" w:type="dxa"/>
        <w:tblLook w:val="04A0" w:firstRow="1" w:lastRow="0" w:firstColumn="1" w:lastColumn="0" w:noHBand="0" w:noVBand="1"/>
      </w:tblPr>
      <w:tblGrid>
        <w:gridCol w:w="9747"/>
      </w:tblGrid>
      <w:tr w:rsidR="008F5F64" w:rsidTr="008F5F64">
        <w:tc>
          <w:tcPr>
            <w:tcW w:w="9747" w:type="dxa"/>
          </w:tcPr>
          <w:p w:rsidR="008F5F64" w:rsidRDefault="008F5F64" w:rsidP="008F5F64">
            <w:pPr>
              <w:rPr>
                <w:u w:val="single"/>
              </w:rPr>
            </w:pPr>
          </w:p>
          <w:p w:rsidR="008F5F64" w:rsidRPr="008F5F64" w:rsidRDefault="008F5F64" w:rsidP="008F5F64">
            <w:pPr>
              <w:rPr>
                <w:sz w:val="18"/>
                <w:szCs w:val="18"/>
                <w:u w:val="single"/>
              </w:rPr>
            </w:pPr>
            <w:r w:rsidRPr="008F5F64">
              <w:rPr>
                <w:sz w:val="18"/>
                <w:szCs w:val="18"/>
                <w:u w:val="single"/>
              </w:rPr>
              <w:t>Proposal by Argentina</w:t>
            </w:r>
            <w:r w:rsidR="00B73632" w:rsidRPr="00B73632">
              <w:rPr>
                <w:sz w:val="18"/>
                <w:szCs w:val="18"/>
              </w:rPr>
              <w:t xml:space="preserve"> </w:t>
            </w:r>
            <w:r w:rsidRPr="00B73632">
              <w:rPr>
                <w:rStyle w:val="EndnoteReference"/>
                <w:b/>
                <w:sz w:val="18"/>
                <w:szCs w:val="18"/>
              </w:rPr>
              <w:endnoteReference w:id="8"/>
            </w:r>
          </w:p>
          <w:p w:rsidR="008F5F64" w:rsidRPr="008F5F64" w:rsidRDefault="008F5F64" w:rsidP="008F5F64">
            <w:pPr>
              <w:rPr>
                <w:sz w:val="18"/>
                <w:szCs w:val="18"/>
              </w:rPr>
            </w:pPr>
          </w:p>
          <w:p w:rsidR="008F5F64" w:rsidRPr="008F5F64" w:rsidRDefault="008F5F64" w:rsidP="008F5F64">
            <w:pPr>
              <w:rPr>
                <w:sz w:val="18"/>
                <w:szCs w:val="18"/>
              </w:rPr>
            </w:pPr>
            <w:r w:rsidRPr="008F5F64">
              <w:rPr>
                <w:sz w:val="18"/>
                <w:szCs w:val="18"/>
              </w:rPr>
              <w:t>Paragraph 2.3.3 (b) “(i)</w:t>
            </w:r>
            <w:r w:rsidRPr="008F5F64">
              <w:rPr>
                <w:sz w:val="18"/>
                <w:szCs w:val="18"/>
              </w:rPr>
              <w:tab/>
              <w:t>It is proposed that an example in Spanish be added, such as “Helena” and “Elena” to address a situation in which there is a clear visual difference but not a phonetic one, since the letter “H” is mute in Spanish.”</w:t>
            </w:r>
          </w:p>
          <w:p w:rsidR="008F5F64" w:rsidRDefault="008F5F64" w:rsidP="008F5F64">
            <w:pPr>
              <w:rPr>
                <w:u w:val="single"/>
              </w:rPr>
            </w:pPr>
          </w:p>
        </w:tc>
      </w:tr>
    </w:tbl>
    <w:p w:rsidR="00B73632" w:rsidRDefault="00B73632" w:rsidP="00C906B0">
      <w:pPr>
        <w:ind w:firstLine="567"/>
      </w:pPr>
    </w:p>
    <w:p w:rsidR="00D67854" w:rsidRPr="00D67854" w:rsidRDefault="00C906B0" w:rsidP="00C906B0">
      <w:pPr>
        <w:ind w:firstLine="567"/>
        <w:rPr>
          <w:highlight w:val="lightGray"/>
        </w:rPr>
      </w:pPr>
      <w:r w:rsidRPr="00C906B0">
        <w:tab/>
      </w:r>
      <w:r>
        <w:rPr>
          <w:highlight w:val="lightGray"/>
          <w:u w:val="single"/>
        </w:rPr>
        <w:t>(ii)</w:t>
      </w:r>
      <w:r>
        <w:rPr>
          <w:highlight w:val="lightGray"/>
          <w:u w:val="single"/>
        </w:rPr>
        <w:tab/>
      </w:r>
      <w:r w:rsidR="00D67854">
        <w:rPr>
          <w:highlight w:val="lightGray"/>
          <w:u w:val="single"/>
        </w:rPr>
        <w:t xml:space="preserve">In some cases, </w:t>
      </w:r>
      <w:r w:rsidR="00D67854" w:rsidRPr="008122AC">
        <w:rPr>
          <w:highlight w:val="lightGray"/>
          <w:u w:val="single"/>
        </w:rPr>
        <w:t>a difference of one letter at the begi</w:t>
      </w:r>
      <w:r w:rsidR="002C276C">
        <w:rPr>
          <w:highlight w:val="lightGray"/>
          <w:u w:val="single"/>
        </w:rPr>
        <w:t xml:space="preserve">nning of a word may provide </w:t>
      </w:r>
      <w:r w:rsidR="00D67854" w:rsidRPr="008122AC">
        <w:rPr>
          <w:highlight w:val="lightGray"/>
          <w:u w:val="single"/>
        </w:rPr>
        <w:t>a clear visual and phonetic difference</w:t>
      </w:r>
    </w:p>
    <w:p w:rsidR="00D454F4" w:rsidRPr="00DE1471" w:rsidRDefault="00D454F4">
      <w:pPr>
        <w:pStyle w:val="Header"/>
        <w:rPr>
          <w:lang w:val="en-US"/>
        </w:rPr>
      </w:pPr>
    </w:p>
    <w:p w:rsidR="00D454F4" w:rsidRDefault="00D454F4" w:rsidP="008122AC">
      <w:pPr>
        <w:ind w:left="567"/>
        <w:rPr>
          <w:color w:val="000000"/>
        </w:rPr>
      </w:pPr>
      <w:r w:rsidRPr="000B2C01">
        <w:rPr>
          <w:i/>
          <w:color w:val="000000"/>
        </w:rPr>
        <w:t xml:space="preserve">Example </w:t>
      </w:r>
      <w:r w:rsidRPr="00D67854">
        <w:rPr>
          <w:i/>
          <w:strike/>
          <w:color w:val="000000"/>
          <w:highlight w:val="lightGray"/>
        </w:rPr>
        <w:t>1</w:t>
      </w:r>
      <w:r w:rsidR="00D67854">
        <w:rPr>
          <w:i/>
          <w:strike/>
          <w:color w:val="000000"/>
        </w:rPr>
        <w:t xml:space="preserve"> </w:t>
      </w:r>
      <w:r w:rsidR="00D67854" w:rsidRPr="00D67854">
        <w:rPr>
          <w:i/>
          <w:color w:val="000000"/>
          <w:highlight w:val="lightGray"/>
          <w:u w:val="single"/>
        </w:rPr>
        <w:t>2</w:t>
      </w:r>
      <w:r w:rsidRPr="000B2C01">
        <w:rPr>
          <w:i/>
          <w:color w:val="000000"/>
        </w:rPr>
        <w:t>:</w:t>
      </w:r>
      <w:r w:rsidRPr="000B2C01">
        <w:rPr>
          <w:color w:val="000000"/>
        </w:rPr>
        <w:t xml:space="preserve">  in the English language, ‘</w:t>
      </w:r>
      <w:r w:rsidRPr="000B2C01">
        <w:rPr>
          <w:color w:val="000000"/>
          <w:u w:val="single"/>
        </w:rPr>
        <w:t>H</w:t>
      </w:r>
      <w:r w:rsidRPr="000B2C01">
        <w:rPr>
          <w:color w:val="000000"/>
        </w:rPr>
        <w:t>arry’ and ‘</w:t>
      </w:r>
      <w:r w:rsidRPr="000B2C01">
        <w:rPr>
          <w:color w:val="000000"/>
          <w:u w:val="single"/>
        </w:rPr>
        <w:t>L</w:t>
      </w:r>
      <w:r w:rsidRPr="000B2C01">
        <w:rPr>
          <w:color w:val="000000"/>
        </w:rPr>
        <w:t xml:space="preserve">arry’ </w:t>
      </w:r>
      <w:r w:rsidR="00DC7223" w:rsidRPr="000B2C01">
        <w:rPr>
          <w:color w:val="000000"/>
          <w:highlight w:val="lightGray"/>
          <w:u w:val="single"/>
        </w:rPr>
        <w:t>provides a clear visual and phonetic difference</w:t>
      </w:r>
      <w:r w:rsidR="00DC7223" w:rsidRPr="000B2C01">
        <w:rPr>
          <w:color w:val="000000"/>
        </w:rPr>
        <w:t xml:space="preserve"> </w:t>
      </w:r>
      <w:r w:rsidRPr="009D32C3">
        <w:rPr>
          <w:strike/>
          <w:color w:val="000000"/>
          <w:highlight w:val="lightGray"/>
        </w:rPr>
        <w:t>would not cause</w:t>
      </w:r>
      <w:r w:rsidR="008871D4" w:rsidRPr="009D32C3">
        <w:rPr>
          <w:strike/>
          <w:color w:val="000000"/>
          <w:highlight w:val="lightGray"/>
        </w:rPr>
        <w:t xml:space="preserve"> confusion</w:t>
      </w:r>
      <w:r w:rsidR="008871D4" w:rsidRPr="000B2C01">
        <w:rPr>
          <w:color w:val="000000"/>
        </w:rPr>
        <w:t>.</w:t>
      </w:r>
      <w:r w:rsidR="000B2C01" w:rsidRPr="000B2C01">
        <w:rPr>
          <w:color w:val="000000"/>
        </w:rPr>
        <w:t xml:space="preserve"> </w:t>
      </w:r>
      <w:r w:rsidRPr="00344632">
        <w:rPr>
          <w:strike/>
          <w:color w:val="000000"/>
          <w:highlight w:val="lightGray"/>
        </w:rPr>
        <w:t>However, ‘Bo</w:t>
      </w:r>
      <w:r w:rsidRPr="00344632">
        <w:rPr>
          <w:strike/>
          <w:color w:val="000000"/>
          <w:highlight w:val="lightGray"/>
          <w:u w:val="single"/>
        </w:rPr>
        <w:t>ugh’</w:t>
      </w:r>
      <w:r w:rsidRPr="00344632">
        <w:rPr>
          <w:strike/>
          <w:color w:val="000000"/>
          <w:highlight w:val="lightGray"/>
        </w:rPr>
        <w:t xml:space="preserve"> and ‘Bo</w:t>
      </w:r>
      <w:r w:rsidRPr="00344632">
        <w:rPr>
          <w:strike/>
          <w:color w:val="000000"/>
          <w:highlight w:val="lightGray"/>
          <w:u w:val="single"/>
        </w:rPr>
        <w:t>w</w:t>
      </w:r>
      <w:r w:rsidRPr="00344632">
        <w:rPr>
          <w:strike/>
          <w:color w:val="000000"/>
          <w:highlight w:val="lightGray"/>
        </w:rPr>
        <w:t>’ might cause confusion (in phonetic terms);</w:t>
      </w:r>
      <w:r w:rsidR="00344632" w:rsidRPr="00344632">
        <w:rPr>
          <w:color w:val="000000"/>
        </w:rPr>
        <w:t xml:space="preserve"> </w:t>
      </w:r>
    </w:p>
    <w:p w:rsidR="00D67854" w:rsidRDefault="00D67854" w:rsidP="008122AC">
      <w:pPr>
        <w:ind w:left="567"/>
      </w:pPr>
    </w:p>
    <w:p w:rsidR="00D015D8" w:rsidRPr="00F7624F" w:rsidRDefault="00C906B0" w:rsidP="00C906B0">
      <w:pPr>
        <w:ind w:firstLine="567"/>
        <w:rPr>
          <w:highlight w:val="lightGray"/>
        </w:rPr>
      </w:pPr>
      <w:r w:rsidRPr="00C906B0">
        <w:tab/>
      </w:r>
      <w:r w:rsidRPr="00F7624F">
        <w:rPr>
          <w:highlight w:val="lightGray"/>
          <w:u w:val="single"/>
        </w:rPr>
        <w:t>(iii)</w:t>
      </w:r>
      <w:r w:rsidRPr="00F7624F">
        <w:rPr>
          <w:highlight w:val="lightGray"/>
          <w:u w:val="single"/>
        </w:rPr>
        <w:tab/>
      </w:r>
      <w:r w:rsidR="00D015D8" w:rsidRPr="00F7624F">
        <w:rPr>
          <w:highlight w:val="lightGray"/>
          <w:u w:val="single"/>
        </w:rPr>
        <w:t xml:space="preserve">In some cases, a difference of one letter at the beginning of a word may </w:t>
      </w:r>
      <w:r w:rsidR="009304BF" w:rsidRPr="00F7624F">
        <w:rPr>
          <w:highlight w:val="lightGray"/>
          <w:u w:val="single"/>
        </w:rPr>
        <w:t xml:space="preserve">not </w:t>
      </w:r>
      <w:r w:rsidR="00D015D8" w:rsidRPr="00F7624F">
        <w:rPr>
          <w:highlight w:val="lightGray"/>
          <w:u w:val="single"/>
        </w:rPr>
        <w:t>provide a clear visual and phonetic difference</w:t>
      </w:r>
    </w:p>
    <w:p w:rsidR="00344632" w:rsidRPr="00344632" w:rsidRDefault="00344632" w:rsidP="00C606F6">
      <w:pPr>
        <w:rPr>
          <w:color w:val="000000"/>
          <w:u w:val="single"/>
        </w:rPr>
      </w:pPr>
    </w:p>
    <w:p w:rsidR="00D454F4" w:rsidRDefault="00D454F4" w:rsidP="00951A2C">
      <w:pPr>
        <w:ind w:left="567"/>
      </w:pPr>
      <w:r w:rsidRPr="00407B23">
        <w:rPr>
          <w:i/>
        </w:rPr>
        <w:t xml:space="preserve">Example </w:t>
      </w:r>
      <w:r w:rsidRPr="00D015D8">
        <w:rPr>
          <w:i/>
          <w:strike/>
          <w:highlight w:val="lightGray"/>
        </w:rPr>
        <w:t>2</w:t>
      </w:r>
      <w:r w:rsidR="00D015D8">
        <w:rPr>
          <w:i/>
        </w:rPr>
        <w:t xml:space="preserve"> </w:t>
      </w:r>
      <w:r w:rsidR="00D015D8" w:rsidRPr="00D015D8">
        <w:rPr>
          <w:i/>
          <w:highlight w:val="lightGray"/>
          <w:u w:val="single"/>
        </w:rPr>
        <w:t>3</w:t>
      </w:r>
      <w:r w:rsidRPr="00407B23">
        <w:rPr>
          <w:i/>
        </w:rPr>
        <w:t xml:space="preserve">: </w:t>
      </w:r>
      <w:r w:rsidRPr="00407B23">
        <w:t xml:space="preserve"> </w:t>
      </w:r>
      <w:r w:rsidRPr="00C606F6">
        <w:rPr>
          <w:strike/>
          <w:highlight w:val="lightGray"/>
        </w:rPr>
        <w:t>in the Japanese and Korean languages there is no difference between “L” and “R” sounds, thus “</w:t>
      </w:r>
      <w:r w:rsidRPr="00C606F6">
        <w:rPr>
          <w:strike/>
          <w:highlight w:val="lightGray"/>
          <w:u w:val="single"/>
        </w:rPr>
        <w:t>L</w:t>
      </w:r>
      <w:r w:rsidRPr="00C606F6">
        <w:rPr>
          <w:strike/>
          <w:highlight w:val="lightGray"/>
        </w:rPr>
        <w:t>ion” and “</w:t>
      </w:r>
      <w:r w:rsidRPr="00C606F6">
        <w:rPr>
          <w:strike/>
          <w:highlight w:val="lightGray"/>
          <w:u w:val="single"/>
        </w:rPr>
        <w:t>R</w:t>
      </w:r>
      <w:r w:rsidRPr="00C606F6">
        <w:rPr>
          <w:strike/>
          <w:highlight w:val="lightGray"/>
        </w:rPr>
        <w:t>aion” are exactly the same although these are distinguishable for English mother tongue speakers</w:t>
      </w:r>
      <w:r w:rsidRPr="00407B23">
        <w:t>;</w:t>
      </w:r>
    </w:p>
    <w:p w:rsidR="008871D4" w:rsidRDefault="008871D4" w:rsidP="00951A2C">
      <w:pPr>
        <w:ind w:left="567"/>
      </w:pPr>
    </w:p>
    <w:p w:rsidR="00C553AE" w:rsidRPr="00F7624F" w:rsidRDefault="008871D4" w:rsidP="00C553AE">
      <w:pPr>
        <w:pStyle w:val="ListParagraph"/>
        <w:numPr>
          <w:ilvl w:val="0"/>
          <w:numId w:val="3"/>
        </w:numPr>
        <w:rPr>
          <w:strike/>
          <w:highlight w:val="lightGray"/>
          <w:u w:val="single"/>
        </w:rPr>
      </w:pPr>
      <w:r w:rsidRPr="00F7624F">
        <w:rPr>
          <w:highlight w:val="lightGray"/>
          <w:u w:val="single"/>
        </w:rPr>
        <w:t>in the Japanese and</w:t>
      </w:r>
      <w:r w:rsidR="00D015D8" w:rsidRPr="00F7624F">
        <w:rPr>
          <w:highlight w:val="lightGray"/>
          <w:u w:val="single"/>
        </w:rPr>
        <w:t xml:space="preserve"> Korean languages “Lion” and “R</w:t>
      </w:r>
      <w:r w:rsidR="009304BF" w:rsidRPr="00F7624F">
        <w:rPr>
          <w:highlight w:val="lightGray"/>
          <w:u w:val="single"/>
        </w:rPr>
        <w:t>a</w:t>
      </w:r>
      <w:r w:rsidRPr="00F7624F">
        <w:rPr>
          <w:highlight w:val="lightGray"/>
          <w:u w:val="single"/>
        </w:rPr>
        <w:t>ion”</w:t>
      </w:r>
      <w:r w:rsidR="00DC7223" w:rsidRPr="00F7624F">
        <w:rPr>
          <w:highlight w:val="lightGray"/>
          <w:u w:val="single"/>
        </w:rPr>
        <w:t xml:space="preserve"> </w:t>
      </w:r>
      <w:r w:rsidR="00C606F6" w:rsidRPr="00F7624F">
        <w:rPr>
          <w:color w:val="000000"/>
          <w:highlight w:val="lightGray"/>
          <w:u w:val="single"/>
        </w:rPr>
        <w:t xml:space="preserve">provides a clear visual difference but </w:t>
      </w:r>
      <w:r w:rsidR="00DC7223" w:rsidRPr="00F7624F">
        <w:rPr>
          <w:highlight w:val="lightGray"/>
          <w:u w:val="single"/>
        </w:rPr>
        <w:t>does not provide for a clear phonetic difference</w:t>
      </w:r>
      <w:r w:rsidR="00C606F6" w:rsidRPr="00F7624F">
        <w:rPr>
          <w:highlight w:val="lightGray"/>
          <w:u w:val="single"/>
        </w:rPr>
        <w:t xml:space="preserve"> </w:t>
      </w:r>
      <w:r w:rsidR="00DC7223" w:rsidRPr="00F7624F">
        <w:rPr>
          <w:highlight w:val="lightGray"/>
          <w:u w:val="single"/>
        </w:rPr>
        <w:t xml:space="preserve">because </w:t>
      </w:r>
      <w:r w:rsidR="00C606F6" w:rsidRPr="00F7624F">
        <w:rPr>
          <w:highlight w:val="lightGray"/>
          <w:u w:val="single"/>
        </w:rPr>
        <w:t xml:space="preserve">“L” and “R”  have the same </w:t>
      </w:r>
      <w:r w:rsidR="00DC7223" w:rsidRPr="00F7624F">
        <w:rPr>
          <w:highlight w:val="lightGray"/>
          <w:u w:val="single"/>
        </w:rPr>
        <w:t>pronunciation</w:t>
      </w:r>
      <w:r w:rsidR="00C606F6" w:rsidRPr="00F7624F">
        <w:rPr>
          <w:highlight w:val="lightGray"/>
          <w:u w:val="single"/>
        </w:rPr>
        <w:t>;</w:t>
      </w:r>
      <w:r w:rsidR="00DC7223" w:rsidRPr="00F7624F">
        <w:rPr>
          <w:highlight w:val="lightGray"/>
          <w:u w:val="single"/>
        </w:rPr>
        <w:t xml:space="preserve"> </w:t>
      </w:r>
    </w:p>
    <w:p w:rsidR="00C553AE" w:rsidRDefault="00C553AE" w:rsidP="00C553AE">
      <w:pPr>
        <w:rPr>
          <w:strike/>
        </w:rPr>
      </w:pPr>
    </w:p>
    <w:tbl>
      <w:tblPr>
        <w:tblStyle w:val="TableGrid"/>
        <w:tblW w:w="0" w:type="auto"/>
        <w:tblInd w:w="108" w:type="dxa"/>
        <w:tblLook w:val="04A0" w:firstRow="1" w:lastRow="0" w:firstColumn="1" w:lastColumn="0" w:noHBand="0" w:noVBand="1"/>
      </w:tblPr>
      <w:tblGrid>
        <w:gridCol w:w="9639"/>
      </w:tblGrid>
      <w:tr w:rsidR="00C553AE" w:rsidTr="004A153F">
        <w:tc>
          <w:tcPr>
            <w:tcW w:w="9639" w:type="dxa"/>
          </w:tcPr>
          <w:p w:rsidR="00C553AE" w:rsidRDefault="00C553AE" w:rsidP="00C553AE">
            <w:pPr>
              <w:rPr>
                <w:highlight w:val="yellow"/>
              </w:rPr>
            </w:pPr>
          </w:p>
          <w:p w:rsidR="00C553AE" w:rsidRPr="00B0127C" w:rsidRDefault="00C553AE" w:rsidP="00946A3A">
            <w:pPr>
              <w:rPr>
                <w:sz w:val="18"/>
                <w:szCs w:val="18"/>
              </w:rPr>
            </w:pPr>
            <w:r w:rsidRPr="00B0127C">
              <w:rPr>
                <w:sz w:val="18"/>
                <w:szCs w:val="18"/>
                <w:u w:val="single"/>
              </w:rPr>
              <w:t>Proposal by ESA</w:t>
            </w:r>
            <w:r w:rsidR="00B73632" w:rsidRPr="00B73632">
              <w:rPr>
                <w:b/>
                <w:sz w:val="18"/>
                <w:szCs w:val="18"/>
              </w:rPr>
              <w:t xml:space="preserve"> </w:t>
            </w:r>
            <w:r w:rsidRPr="00B73632">
              <w:rPr>
                <w:rStyle w:val="EndnoteReference"/>
                <w:b/>
                <w:sz w:val="18"/>
                <w:szCs w:val="18"/>
              </w:rPr>
              <w:endnoteReference w:id="9"/>
            </w:r>
            <w:r w:rsidR="00946A3A" w:rsidRPr="00B0127C">
              <w:rPr>
                <w:sz w:val="18"/>
                <w:szCs w:val="18"/>
              </w:rPr>
              <w:t xml:space="preserve"> </w:t>
            </w:r>
            <w:r w:rsidR="00B73632">
              <w:rPr>
                <w:sz w:val="18"/>
                <w:szCs w:val="18"/>
              </w:rPr>
              <w:t xml:space="preserve"> </w:t>
            </w:r>
            <w:r w:rsidR="00B0127C" w:rsidRPr="00B0127C">
              <w:rPr>
                <w:sz w:val="18"/>
                <w:szCs w:val="18"/>
              </w:rPr>
              <w:t>“</w:t>
            </w:r>
            <w:r w:rsidR="00946A3A" w:rsidRPr="00B0127C">
              <w:rPr>
                <w:sz w:val="18"/>
                <w:szCs w:val="18"/>
              </w:rPr>
              <w:t>t</w:t>
            </w:r>
            <w:r w:rsidRPr="00B0127C">
              <w:rPr>
                <w:sz w:val="18"/>
                <w:szCs w:val="18"/>
              </w:rPr>
              <w:t>he example given in the first bullet does not have a difference of one letter in the beginning but of two letters</w:t>
            </w:r>
            <w:r w:rsidR="00B0127C" w:rsidRPr="00B0127C">
              <w:rPr>
                <w:sz w:val="18"/>
                <w:szCs w:val="18"/>
              </w:rPr>
              <w:t>”</w:t>
            </w:r>
          </w:p>
          <w:p w:rsidR="00B0127C" w:rsidRDefault="00B0127C" w:rsidP="00946A3A">
            <w:pPr>
              <w:rPr>
                <w:strike/>
              </w:rPr>
            </w:pPr>
          </w:p>
        </w:tc>
      </w:tr>
    </w:tbl>
    <w:p w:rsidR="00C606F6" w:rsidRPr="00C606F6" w:rsidRDefault="00C606F6" w:rsidP="00B73632">
      <w:pPr>
        <w:rPr>
          <w:highlight w:val="lightGray"/>
          <w:u w:val="single"/>
        </w:rPr>
      </w:pPr>
    </w:p>
    <w:p w:rsidR="00F7624F" w:rsidRDefault="00F7624F">
      <w:pPr>
        <w:jc w:val="left"/>
        <w:rPr>
          <w:highlight w:val="lightGray"/>
          <w:u w:val="single"/>
        </w:rPr>
      </w:pPr>
      <w:r>
        <w:rPr>
          <w:highlight w:val="lightGray"/>
          <w:u w:val="single"/>
        </w:rPr>
        <w:br w:type="page"/>
      </w:r>
    </w:p>
    <w:p w:rsidR="00DC7223" w:rsidRPr="00D015D8" w:rsidRDefault="00DC7223" w:rsidP="00D015D8">
      <w:pPr>
        <w:pStyle w:val="ListParagraph"/>
        <w:numPr>
          <w:ilvl w:val="0"/>
          <w:numId w:val="3"/>
        </w:numPr>
        <w:rPr>
          <w:color w:val="000000"/>
          <w:u w:val="single"/>
        </w:rPr>
      </w:pPr>
      <w:r w:rsidRPr="00C606F6">
        <w:rPr>
          <w:highlight w:val="lightGray"/>
          <w:u w:val="single"/>
        </w:rPr>
        <w:lastRenderedPageBreak/>
        <w:t>in the</w:t>
      </w:r>
      <w:r w:rsidR="00D015D8">
        <w:rPr>
          <w:highlight w:val="lightGray"/>
          <w:u w:val="single"/>
        </w:rPr>
        <w:t xml:space="preserve"> English language “Lion” and “R</w:t>
      </w:r>
      <w:r w:rsidR="009304BF">
        <w:rPr>
          <w:highlight w:val="lightGray"/>
          <w:u w:val="single"/>
        </w:rPr>
        <w:t>a</w:t>
      </w:r>
      <w:r w:rsidRPr="00C606F6">
        <w:rPr>
          <w:highlight w:val="lightGray"/>
          <w:u w:val="single"/>
        </w:rPr>
        <w:t>ion”</w:t>
      </w:r>
      <w:r w:rsidRPr="00C606F6">
        <w:rPr>
          <w:color w:val="000000"/>
          <w:highlight w:val="lightGray"/>
          <w:u w:val="single"/>
        </w:rPr>
        <w:t xml:space="preserve"> provides a clear visual and phonetic differen</w:t>
      </w:r>
      <w:r w:rsidR="009D32C3">
        <w:rPr>
          <w:color w:val="000000"/>
          <w:highlight w:val="lightGray"/>
          <w:u w:val="single"/>
        </w:rPr>
        <w:t>ce</w:t>
      </w:r>
      <w:r w:rsidRPr="00C606F6">
        <w:rPr>
          <w:color w:val="000000"/>
          <w:highlight w:val="lightGray"/>
          <w:u w:val="single"/>
        </w:rPr>
        <w:t>.</w:t>
      </w:r>
    </w:p>
    <w:p w:rsidR="00C606F6" w:rsidRPr="00407B23" w:rsidRDefault="00C606F6" w:rsidP="00C606F6">
      <w:pPr>
        <w:ind w:left="567"/>
      </w:pPr>
    </w:p>
    <w:p w:rsidR="00D454F4" w:rsidRPr="00FB3499" w:rsidRDefault="00D454F4" w:rsidP="00C906B0">
      <w:pPr>
        <w:ind w:firstLine="567"/>
        <w:rPr>
          <w:strike/>
          <w:highlight w:val="lightGray"/>
        </w:rPr>
      </w:pPr>
      <w:r w:rsidRPr="00407B23">
        <w:tab/>
      </w:r>
      <w:r w:rsidRPr="00FB3499">
        <w:rPr>
          <w:strike/>
          <w:highlight w:val="lightGray"/>
        </w:rPr>
        <w:t>(ii)</w:t>
      </w:r>
      <w:r w:rsidRPr="00FB3499">
        <w:rPr>
          <w:strike/>
          <w:highlight w:val="lightGray"/>
        </w:rPr>
        <w:tab/>
        <w:t>denominations consist of a combination of letters and figures;</w:t>
      </w:r>
    </w:p>
    <w:p w:rsidR="00D454F4" w:rsidRPr="00FB3499" w:rsidRDefault="00D454F4" w:rsidP="00951A2C">
      <w:pPr>
        <w:tabs>
          <w:tab w:val="right" w:pos="1134"/>
          <w:tab w:val="left" w:pos="1418"/>
        </w:tabs>
        <w:rPr>
          <w:strike/>
          <w:highlight w:val="lightGray"/>
        </w:rPr>
      </w:pPr>
    </w:p>
    <w:p w:rsidR="00D454F4" w:rsidRDefault="00D454F4" w:rsidP="00C906B0">
      <w:pPr>
        <w:ind w:firstLine="567"/>
        <w:rPr>
          <w:strike/>
        </w:rPr>
      </w:pPr>
      <w:r w:rsidRPr="00C906B0">
        <w:tab/>
      </w:r>
      <w:r w:rsidRPr="00FB3499">
        <w:rPr>
          <w:strike/>
          <w:highlight w:val="lightGray"/>
        </w:rPr>
        <w:t>(iii)</w:t>
      </w:r>
      <w:r w:rsidRPr="00FB3499">
        <w:rPr>
          <w:strike/>
          <w:highlight w:val="lightGray"/>
        </w:rPr>
        <w:tab/>
        <w:t>denominations consist “solely of figures”.</w:t>
      </w:r>
    </w:p>
    <w:p w:rsidR="00827643" w:rsidRDefault="00827643" w:rsidP="00827643">
      <w:pPr>
        <w:rPr>
          <w:strike/>
        </w:rPr>
      </w:pPr>
    </w:p>
    <w:tbl>
      <w:tblPr>
        <w:tblStyle w:val="TableGrid"/>
        <w:tblW w:w="0" w:type="auto"/>
        <w:tblInd w:w="108" w:type="dxa"/>
        <w:tblLook w:val="04A0" w:firstRow="1" w:lastRow="0" w:firstColumn="1" w:lastColumn="0" w:noHBand="0" w:noVBand="1"/>
      </w:tblPr>
      <w:tblGrid>
        <w:gridCol w:w="9639"/>
      </w:tblGrid>
      <w:tr w:rsidR="00827643" w:rsidTr="005A7B69">
        <w:trPr>
          <w:cantSplit/>
        </w:trPr>
        <w:tc>
          <w:tcPr>
            <w:tcW w:w="9639" w:type="dxa"/>
          </w:tcPr>
          <w:p w:rsidR="004B22BC" w:rsidRDefault="004B22BC" w:rsidP="00827643">
            <w:pPr>
              <w:rPr>
                <w:highlight w:val="yellow"/>
              </w:rPr>
            </w:pPr>
          </w:p>
          <w:p w:rsidR="007C431F" w:rsidRDefault="00827643" w:rsidP="00946A3A">
            <w:pPr>
              <w:rPr>
                <w:sz w:val="18"/>
                <w:szCs w:val="18"/>
              </w:rPr>
            </w:pPr>
            <w:r w:rsidRPr="00B0127C">
              <w:rPr>
                <w:sz w:val="18"/>
                <w:szCs w:val="18"/>
                <w:u w:val="single"/>
              </w:rPr>
              <w:t>Proposal by ESA</w:t>
            </w:r>
            <w:r w:rsidRPr="00B0127C">
              <w:rPr>
                <w:rStyle w:val="EndnoteReference"/>
                <w:b/>
                <w:sz w:val="18"/>
                <w:szCs w:val="18"/>
              </w:rPr>
              <w:endnoteReference w:id="10"/>
            </w:r>
            <w:r w:rsidR="00946A3A" w:rsidRPr="00B0127C">
              <w:rPr>
                <w:sz w:val="18"/>
                <w:szCs w:val="18"/>
              </w:rPr>
              <w:t xml:space="preserve"> </w:t>
            </w:r>
            <w:r w:rsidR="004A153F" w:rsidRPr="00B0127C">
              <w:rPr>
                <w:sz w:val="18"/>
                <w:szCs w:val="18"/>
              </w:rPr>
              <w:t>“</w:t>
            </w:r>
            <w:r w:rsidR="00946A3A" w:rsidRPr="00B0127C">
              <w:rPr>
                <w:sz w:val="18"/>
                <w:szCs w:val="18"/>
              </w:rPr>
              <w:t>t</w:t>
            </w:r>
            <w:r w:rsidRPr="00B0127C">
              <w:rPr>
                <w:sz w:val="18"/>
                <w:szCs w:val="18"/>
              </w:rPr>
              <w:t xml:space="preserve">he example in the second bullet </w:t>
            </w:r>
            <w:r w:rsidR="00946A3A" w:rsidRPr="00B0127C">
              <w:rPr>
                <w:sz w:val="18"/>
                <w:szCs w:val="18"/>
              </w:rPr>
              <w:t xml:space="preserve">[of (iii)] </w:t>
            </w:r>
            <w:r w:rsidRPr="00B0127C">
              <w:rPr>
                <w:sz w:val="18"/>
                <w:szCs w:val="18"/>
              </w:rPr>
              <w:t>should not be here since it is a counter example belo</w:t>
            </w:r>
            <w:r w:rsidR="004B22BC" w:rsidRPr="00B0127C">
              <w:rPr>
                <w:sz w:val="18"/>
                <w:szCs w:val="18"/>
              </w:rPr>
              <w:t>nging to sub (ii).</w:t>
            </w:r>
            <w:r w:rsidR="004A153F" w:rsidRPr="00B0127C">
              <w:rPr>
                <w:sz w:val="18"/>
                <w:szCs w:val="18"/>
              </w:rPr>
              <w:t>”</w:t>
            </w:r>
            <w:r w:rsidR="004B22BC" w:rsidRPr="00B0127C">
              <w:rPr>
                <w:sz w:val="18"/>
                <w:szCs w:val="18"/>
              </w:rPr>
              <w:t xml:space="preserve"> </w:t>
            </w:r>
          </w:p>
          <w:p w:rsidR="005A7B69" w:rsidRPr="00B73632" w:rsidRDefault="005A7B69" w:rsidP="00946A3A">
            <w:pPr>
              <w:rPr>
                <w:sz w:val="18"/>
                <w:szCs w:val="18"/>
              </w:rPr>
            </w:pPr>
          </w:p>
        </w:tc>
      </w:tr>
    </w:tbl>
    <w:p w:rsidR="00D454F4" w:rsidRPr="00407B23" w:rsidRDefault="00D454F4"/>
    <w:p w:rsidR="00D454F4" w:rsidRPr="00407B23" w:rsidRDefault="00050497" w:rsidP="00C906B0">
      <w:pPr>
        <w:ind w:firstLine="567"/>
      </w:pPr>
      <w:r w:rsidRPr="00050497">
        <w:rPr>
          <w:strike/>
          <w:highlight w:val="lightGray"/>
        </w:rPr>
        <w:t>(b)</w:t>
      </w:r>
      <w:r w:rsidR="00C906B0" w:rsidRPr="00C906B0">
        <w:rPr>
          <w:highlight w:val="lightGray"/>
          <w:u w:val="single"/>
        </w:rPr>
        <w:t>(c)</w:t>
      </w:r>
      <w:r w:rsidR="00D454F4" w:rsidRPr="00407B23">
        <w:tab/>
        <w:t>The use of a denomination which is similar to that used for a variety of another species or genera in the same denomination class (see section 2.5) may cause confusion.</w:t>
      </w:r>
    </w:p>
    <w:p w:rsidR="00D454F4" w:rsidRPr="00407B23" w:rsidRDefault="00D454F4" w:rsidP="00951A2C"/>
    <w:p w:rsidR="00D454F4" w:rsidRPr="00407B23" w:rsidRDefault="00A0376E" w:rsidP="00C906B0">
      <w:pPr>
        <w:ind w:firstLine="567"/>
      </w:pPr>
      <w:r w:rsidRPr="00A0376E">
        <w:rPr>
          <w:strike/>
          <w:highlight w:val="lightGray"/>
        </w:rPr>
        <w:t>(c)</w:t>
      </w:r>
      <w:r w:rsidR="00C906B0">
        <w:rPr>
          <w:highlight w:val="lightGray"/>
          <w:u w:val="single"/>
        </w:rPr>
        <w:t>(d</w:t>
      </w:r>
      <w:r w:rsidR="00C906B0" w:rsidRPr="00C906B0">
        <w:rPr>
          <w:highlight w:val="lightGray"/>
          <w:u w:val="single"/>
        </w:rPr>
        <w:t>)</w:t>
      </w:r>
      <w:r w:rsidR="00D454F4" w:rsidRPr="00407B23">
        <w:tab/>
        <w:t xml:space="preserve">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t>
      </w:r>
      <w:r w:rsidR="00946A3A" w:rsidRPr="00946A3A">
        <w:rPr>
          <w:highlight w:val="lightGray"/>
          <w:u w:val="double"/>
        </w:rPr>
        <w:t>(e.g. 10 years)</w:t>
      </w:r>
      <w:r w:rsidR="00946A3A">
        <w:t xml:space="preserve"> </w:t>
      </w:r>
      <w:r w:rsidR="00946A3A" w:rsidRPr="00946A3A">
        <w:rPr>
          <w:rStyle w:val="EndnoteReference"/>
          <w:b/>
        </w:rPr>
        <w:endnoteReference w:id="11"/>
      </w:r>
      <w:r w:rsidR="00946A3A">
        <w:t xml:space="preserve"> </w:t>
      </w:r>
      <w:r w:rsidR="00D454F4" w:rsidRPr="00407B23">
        <w:t xml:space="preserve">would be required before the re-use of the denomination in order to avoid causing confusion in relation to the identity and/or the characteristics of the variety. </w:t>
      </w:r>
    </w:p>
    <w:p w:rsidR="00827643" w:rsidRPr="00407B23" w:rsidRDefault="00827643" w:rsidP="00F7624F">
      <w:pPr>
        <w:spacing w:line="360" w:lineRule="auto"/>
      </w:pPr>
    </w:p>
    <w:p w:rsidR="00D454F4" w:rsidRPr="00407B23" w:rsidRDefault="00D454F4">
      <w:pPr>
        <w:keepNext/>
      </w:pPr>
      <w:r w:rsidRPr="00407B23">
        <w:t>2.3.4</w:t>
      </w:r>
      <w:r w:rsidRPr="00407B23">
        <w:tab/>
        <w:t>Identity of the breeder</w:t>
      </w:r>
    </w:p>
    <w:p w:rsidR="00D454F4" w:rsidRPr="00407B23" w:rsidRDefault="00D454F4" w:rsidP="00951A2C"/>
    <w:p w:rsidR="00D454F4" w:rsidRDefault="00D454F4" w:rsidP="00951A2C">
      <w:r w:rsidRPr="00407B23">
        <w:t>The variety denomination should not mislead or cause confusion concerning the identity of the breeder.</w:t>
      </w:r>
    </w:p>
    <w:p w:rsidR="004A153F" w:rsidRDefault="004A153F" w:rsidP="00951A2C"/>
    <w:tbl>
      <w:tblPr>
        <w:tblStyle w:val="TableGrid"/>
        <w:tblW w:w="0" w:type="auto"/>
        <w:tblInd w:w="108" w:type="dxa"/>
        <w:tblLook w:val="04A0" w:firstRow="1" w:lastRow="0" w:firstColumn="1" w:lastColumn="0" w:noHBand="0" w:noVBand="1"/>
      </w:tblPr>
      <w:tblGrid>
        <w:gridCol w:w="9639"/>
      </w:tblGrid>
      <w:tr w:rsidR="004A153F" w:rsidTr="005A7B69">
        <w:trPr>
          <w:cantSplit/>
        </w:trPr>
        <w:tc>
          <w:tcPr>
            <w:tcW w:w="9639" w:type="dxa"/>
          </w:tcPr>
          <w:p w:rsidR="004A153F" w:rsidRPr="00F7624F" w:rsidRDefault="004A153F" w:rsidP="00951A2C"/>
          <w:p w:rsidR="004A153F" w:rsidRPr="00F7624F" w:rsidRDefault="004A153F" w:rsidP="00951A2C">
            <w:pPr>
              <w:rPr>
                <w:sz w:val="18"/>
                <w:szCs w:val="18"/>
              </w:rPr>
            </w:pPr>
            <w:r w:rsidRPr="00F7624F">
              <w:rPr>
                <w:sz w:val="18"/>
                <w:szCs w:val="18"/>
                <w:u w:val="single"/>
              </w:rPr>
              <w:t>Proposal by Argentina</w:t>
            </w:r>
            <w:r w:rsidRPr="00F7624F">
              <w:rPr>
                <w:sz w:val="18"/>
                <w:szCs w:val="18"/>
              </w:rPr>
              <w:t xml:space="preserve"> </w:t>
            </w:r>
            <w:r w:rsidRPr="00F7624F">
              <w:rPr>
                <w:rStyle w:val="EndnoteReference"/>
                <w:b/>
                <w:sz w:val="18"/>
                <w:szCs w:val="18"/>
              </w:rPr>
              <w:endnoteReference w:id="12"/>
            </w:r>
          </w:p>
          <w:p w:rsidR="004A153F" w:rsidRPr="00F7624F" w:rsidRDefault="004A153F" w:rsidP="00951A2C">
            <w:pPr>
              <w:rPr>
                <w:sz w:val="18"/>
                <w:szCs w:val="18"/>
              </w:rPr>
            </w:pPr>
          </w:p>
          <w:p w:rsidR="004A153F" w:rsidRPr="00F7624F" w:rsidRDefault="004A153F" w:rsidP="004A153F">
            <w:pPr>
              <w:rPr>
                <w:sz w:val="18"/>
                <w:szCs w:val="18"/>
              </w:rPr>
            </w:pPr>
            <w:r w:rsidRPr="00F7624F">
              <w:rPr>
                <w:sz w:val="18"/>
                <w:szCs w:val="18"/>
              </w:rPr>
              <w:t>“Paragraph 2.3.</w:t>
            </w:r>
            <w:r w:rsidRPr="00F7624F">
              <w:rPr>
                <w:sz w:val="18"/>
                <w:szCs w:val="18"/>
              </w:rPr>
              <w:tab/>
              <w:t>As for the requirement that the denomination “should not […] cause confusion concerning the identity of the breeder”, in our country this has led to the use of letters in the denominations identifying the breeder. In many designations, acronyms, which are known in the market as designating a company, are registered at the beginning of the denomination.</w:t>
            </w:r>
          </w:p>
          <w:p w:rsidR="004A153F" w:rsidRPr="00F7624F" w:rsidRDefault="004A153F" w:rsidP="004A153F">
            <w:pPr>
              <w:rPr>
                <w:sz w:val="18"/>
                <w:szCs w:val="18"/>
              </w:rPr>
            </w:pPr>
          </w:p>
          <w:p w:rsidR="004A153F" w:rsidRPr="00F7624F" w:rsidRDefault="004A153F" w:rsidP="004A153F">
            <w:pPr>
              <w:rPr>
                <w:sz w:val="18"/>
                <w:szCs w:val="18"/>
              </w:rPr>
            </w:pPr>
            <w:r w:rsidRPr="00F7624F">
              <w:rPr>
                <w:sz w:val="18"/>
                <w:szCs w:val="18"/>
              </w:rPr>
              <w:t>“Accordingly, designations using such acronyms have been rejected when registration was requested by another company in order to comply with this provision and not create confusion about the identity of the breeder.</w:t>
            </w:r>
          </w:p>
          <w:p w:rsidR="004A153F" w:rsidRPr="00F7624F" w:rsidRDefault="004A153F" w:rsidP="004A153F">
            <w:pPr>
              <w:rPr>
                <w:sz w:val="18"/>
                <w:szCs w:val="18"/>
              </w:rPr>
            </w:pPr>
          </w:p>
          <w:p w:rsidR="004A153F" w:rsidRPr="00F7624F" w:rsidRDefault="004A153F" w:rsidP="004A153F">
            <w:pPr>
              <w:rPr>
                <w:sz w:val="18"/>
                <w:szCs w:val="18"/>
              </w:rPr>
            </w:pPr>
            <w:r w:rsidRPr="00F7624F">
              <w:rPr>
                <w:sz w:val="18"/>
                <w:szCs w:val="18"/>
              </w:rPr>
              <w:t>“Following the licensing of the variety by the breeder, the licensee requested to change the denomination in order to record his own initials or another denomination for marketing purposes. This stems from the “exclusive licensing” of varieties which are marketed by the licensee, as some companies which lack their proprietary programs acquire breeding programs or varieties from third parties.</w:t>
            </w:r>
          </w:p>
          <w:p w:rsidR="004A153F" w:rsidRPr="00F7624F" w:rsidRDefault="004A153F" w:rsidP="004A153F">
            <w:pPr>
              <w:rPr>
                <w:sz w:val="18"/>
                <w:szCs w:val="18"/>
              </w:rPr>
            </w:pPr>
          </w:p>
          <w:p w:rsidR="004A153F" w:rsidRPr="00F7624F" w:rsidRDefault="004A153F" w:rsidP="004A153F">
            <w:pPr>
              <w:rPr>
                <w:sz w:val="18"/>
                <w:szCs w:val="18"/>
              </w:rPr>
            </w:pPr>
            <w:r w:rsidRPr="00F7624F">
              <w:rPr>
                <w:sz w:val="18"/>
                <w:szCs w:val="18"/>
              </w:rPr>
              <w:t>“If the denomination change requested by the licensee is accepted, this may lead to confusion about the identity of the breeder.  Companies have asked the agency to accept these changes, with the consent of the breeder that his variety bears the denomination that identifies another company.</w:t>
            </w:r>
          </w:p>
          <w:p w:rsidR="004A153F" w:rsidRPr="00F7624F" w:rsidRDefault="004A153F" w:rsidP="004A153F">
            <w:pPr>
              <w:rPr>
                <w:sz w:val="18"/>
                <w:szCs w:val="18"/>
              </w:rPr>
            </w:pPr>
          </w:p>
          <w:p w:rsidR="004A153F" w:rsidRPr="00F7624F" w:rsidRDefault="004A153F" w:rsidP="004A153F">
            <w:pPr>
              <w:rPr>
                <w:sz w:val="18"/>
                <w:szCs w:val="18"/>
              </w:rPr>
            </w:pPr>
            <w:r w:rsidRPr="00F7624F">
              <w:rPr>
                <w:sz w:val="18"/>
                <w:szCs w:val="18"/>
              </w:rPr>
              <w:t>“Example:</w:t>
            </w:r>
          </w:p>
          <w:p w:rsidR="004A153F" w:rsidRPr="00F7624F" w:rsidRDefault="004A153F" w:rsidP="004A153F">
            <w:pPr>
              <w:rPr>
                <w:sz w:val="18"/>
                <w:szCs w:val="18"/>
              </w:rPr>
            </w:pPr>
            <w:r w:rsidRPr="00F7624F">
              <w:rPr>
                <w:sz w:val="18"/>
                <w:szCs w:val="18"/>
              </w:rPr>
              <w:t>•</w:t>
            </w:r>
            <w:r w:rsidRPr="00F7624F">
              <w:rPr>
                <w:sz w:val="18"/>
                <w:szCs w:val="18"/>
              </w:rPr>
              <w:tab/>
              <w:t>Breeder-Licensor: “SOL”</w:t>
            </w:r>
          </w:p>
          <w:p w:rsidR="004A153F" w:rsidRPr="00F7624F" w:rsidRDefault="004A153F" w:rsidP="004A153F">
            <w:pPr>
              <w:rPr>
                <w:sz w:val="18"/>
                <w:szCs w:val="18"/>
              </w:rPr>
            </w:pPr>
            <w:r w:rsidRPr="00F7624F">
              <w:rPr>
                <w:sz w:val="18"/>
                <w:szCs w:val="18"/>
              </w:rPr>
              <w:t>•</w:t>
            </w:r>
            <w:r w:rsidRPr="00F7624F">
              <w:rPr>
                <w:sz w:val="18"/>
                <w:szCs w:val="18"/>
              </w:rPr>
              <w:tab/>
              <w:t>Licensee: “DA”</w:t>
            </w:r>
          </w:p>
          <w:p w:rsidR="004A153F" w:rsidRPr="00F7624F" w:rsidRDefault="004A153F" w:rsidP="004A153F">
            <w:pPr>
              <w:rPr>
                <w:sz w:val="18"/>
                <w:szCs w:val="18"/>
              </w:rPr>
            </w:pPr>
            <w:r w:rsidRPr="00F7624F">
              <w:rPr>
                <w:sz w:val="18"/>
                <w:szCs w:val="18"/>
              </w:rPr>
              <w:t>•</w:t>
            </w:r>
            <w:r w:rsidRPr="00F7624F">
              <w:rPr>
                <w:sz w:val="18"/>
                <w:szCs w:val="18"/>
              </w:rPr>
              <w:tab/>
              <w:t>Variety registered: “SOL AMARILLO”</w:t>
            </w:r>
          </w:p>
          <w:p w:rsidR="004A153F" w:rsidRPr="00F7624F" w:rsidRDefault="004A153F" w:rsidP="004A153F">
            <w:pPr>
              <w:rPr>
                <w:sz w:val="18"/>
                <w:szCs w:val="18"/>
              </w:rPr>
            </w:pPr>
            <w:r w:rsidRPr="00F7624F">
              <w:rPr>
                <w:sz w:val="18"/>
                <w:szCs w:val="18"/>
              </w:rPr>
              <w:t>•</w:t>
            </w:r>
            <w:r w:rsidRPr="00F7624F">
              <w:rPr>
                <w:sz w:val="18"/>
                <w:szCs w:val="18"/>
              </w:rPr>
              <w:tab/>
              <w:t>A denomination change to “DA AMARILLO” is requested. The variety was not marketed but acceptance of the change means that the variety bears the denomination of a third party, not that of the breeder.</w:t>
            </w:r>
          </w:p>
          <w:p w:rsidR="004A153F" w:rsidRPr="00F7624F" w:rsidRDefault="004A153F" w:rsidP="004A153F">
            <w:pPr>
              <w:rPr>
                <w:sz w:val="18"/>
                <w:szCs w:val="18"/>
              </w:rPr>
            </w:pPr>
          </w:p>
          <w:p w:rsidR="004A153F" w:rsidRPr="00F7624F" w:rsidRDefault="004A153F" w:rsidP="00951A2C">
            <w:pPr>
              <w:rPr>
                <w:sz w:val="18"/>
                <w:szCs w:val="18"/>
              </w:rPr>
            </w:pPr>
            <w:r w:rsidRPr="00F7624F">
              <w:rPr>
                <w:sz w:val="18"/>
                <w:szCs w:val="18"/>
              </w:rPr>
              <w:t>“Argentina presents the matter to the UPOV Committee in order to ascertain whether or not this assumption can be considered to cause confusion about the identity of the breeder.”</w:t>
            </w:r>
          </w:p>
          <w:p w:rsidR="005A7B69" w:rsidRPr="00F7624F" w:rsidRDefault="005A7B69" w:rsidP="00951A2C">
            <w:pPr>
              <w:rPr>
                <w:sz w:val="18"/>
                <w:szCs w:val="18"/>
              </w:rPr>
            </w:pPr>
          </w:p>
        </w:tc>
      </w:tr>
    </w:tbl>
    <w:p w:rsidR="00D454F4" w:rsidRPr="00407B23" w:rsidRDefault="00D454F4" w:rsidP="00F7624F">
      <w:pPr>
        <w:spacing w:line="360" w:lineRule="auto"/>
      </w:pPr>
    </w:p>
    <w:p w:rsidR="00D454F4" w:rsidRPr="00407B23" w:rsidRDefault="00D454F4" w:rsidP="00F7624F">
      <w:pPr>
        <w:keepNext/>
        <w:ind w:left="567" w:hanging="567"/>
        <w:rPr>
          <w:i/>
        </w:rPr>
      </w:pPr>
      <w:r w:rsidRPr="00407B23">
        <w:rPr>
          <w:i/>
        </w:rPr>
        <w:lastRenderedPageBreak/>
        <w:t>2.4.</w:t>
      </w:r>
      <w:r w:rsidRPr="00407B23">
        <w:rPr>
          <w:i/>
        </w:rPr>
        <w:tab/>
        <w:t>Different from an existing variety of the same plant species or of a closely related species</w:t>
      </w:r>
    </w:p>
    <w:p w:rsidR="00D454F4" w:rsidRPr="00407B23" w:rsidRDefault="00D454F4" w:rsidP="00F7624F">
      <w:pPr>
        <w:keepNext/>
      </w:pPr>
    </w:p>
    <w:p w:rsidR="00D454F4" w:rsidRPr="00407B23" w:rsidRDefault="00D454F4" w:rsidP="00F7624F">
      <w:pPr>
        <w:keepNext/>
      </w:pPr>
      <w:r w:rsidRPr="00407B23">
        <w:t>2.4.1</w:t>
      </w:r>
      <w:r w:rsidRPr="00407B23">
        <w:tab/>
        <w:t xml:space="preserve">Paragraph (2) states that the denomination must be </w:t>
      </w:r>
      <w:r w:rsidRPr="00F7624F">
        <w:t>“different” from an existing variety of the same plant species or a closely related species</w:t>
      </w:r>
      <w:r w:rsidRPr="00F7624F">
        <w:rPr>
          <w:rStyle w:val="FootnoteReference"/>
        </w:rPr>
        <w:footnoteReference w:id="4"/>
      </w:r>
      <w:r w:rsidRPr="00F7624F">
        <w:t>.</w:t>
      </w:r>
      <w:r w:rsidRPr="00407B23">
        <w:t xml:space="preserve"> </w:t>
      </w:r>
    </w:p>
    <w:p w:rsidR="00F7624F" w:rsidRDefault="00F7624F" w:rsidP="00F7624F"/>
    <w:tbl>
      <w:tblPr>
        <w:tblStyle w:val="TableGrid"/>
        <w:tblW w:w="0" w:type="auto"/>
        <w:tblLook w:val="04A0" w:firstRow="1" w:lastRow="0" w:firstColumn="1" w:lastColumn="0" w:noHBand="0" w:noVBand="1"/>
      </w:tblPr>
      <w:tblGrid>
        <w:gridCol w:w="9855"/>
      </w:tblGrid>
      <w:tr w:rsidR="00F7624F" w:rsidTr="000B2178">
        <w:tc>
          <w:tcPr>
            <w:tcW w:w="9855" w:type="dxa"/>
          </w:tcPr>
          <w:p w:rsidR="00F7624F" w:rsidRDefault="00F7624F" w:rsidP="000B2178"/>
          <w:p w:rsidR="00F7624F" w:rsidRDefault="00F7624F" w:rsidP="000B2178">
            <w:pPr>
              <w:rPr>
                <w:sz w:val="18"/>
                <w:szCs w:val="18"/>
              </w:rPr>
            </w:pPr>
            <w:r w:rsidRPr="004A153F">
              <w:rPr>
                <w:sz w:val="18"/>
                <w:szCs w:val="18"/>
                <w:u w:val="single"/>
              </w:rPr>
              <w:t>Proposal by ESA</w:t>
            </w:r>
            <w:r w:rsidRPr="004A153F">
              <w:rPr>
                <w:sz w:val="18"/>
                <w:szCs w:val="18"/>
              </w:rPr>
              <w:t xml:space="preserve"> </w:t>
            </w:r>
            <w:r w:rsidRPr="004A153F">
              <w:rPr>
                <w:rStyle w:val="EndnoteReference"/>
                <w:b/>
                <w:sz w:val="18"/>
                <w:szCs w:val="18"/>
              </w:rPr>
              <w:endnoteReference w:id="13"/>
            </w:r>
          </w:p>
          <w:p w:rsidR="00F7624F" w:rsidRDefault="00F7624F" w:rsidP="000B2178">
            <w:pPr>
              <w:rPr>
                <w:sz w:val="18"/>
                <w:szCs w:val="18"/>
              </w:rPr>
            </w:pPr>
          </w:p>
          <w:p w:rsidR="00F7624F" w:rsidRDefault="00F7624F" w:rsidP="000B2178">
            <w:pPr>
              <w:rPr>
                <w:sz w:val="18"/>
                <w:szCs w:val="18"/>
              </w:rPr>
            </w:pPr>
            <w:r>
              <w:rPr>
                <w:sz w:val="18"/>
                <w:szCs w:val="18"/>
              </w:rPr>
              <w:t>“</w:t>
            </w:r>
            <w:r w:rsidRPr="003A42B6">
              <w:rPr>
                <w:sz w:val="18"/>
                <w:szCs w:val="18"/>
              </w:rPr>
              <w:t xml:space="preserve">We understand that point 2.4 is intended to provide guidance on what it means that the denomination has to be different from any other denomination designating an existing variety of the same plant species or of a closely related species. </w:t>
            </w:r>
          </w:p>
          <w:p w:rsidR="00F7624F" w:rsidRDefault="00F7624F" w:rsidP="000B2178">
            <w:pPr>
              <w:rPr>
                <w:sz w:val="18"/>
                <w:szCs w:val="18"/>
              </w:rPr>
            </w:pPr>
          </w:p>
          <w:p w:rsidR="00F7624F" w:rsidRPr="004A153F" w:rsidRDefault="00F7624F" w:rsidP="000B2178">
            <w:pPr>
              <w:rPr>
                <w:sz w:val="18"/>
                <w:szCs w:val="18"/>
              </w:rPr>
            </w:pPr>
            <w:r w:rsidRPr="003A42B6">
              <w:rPr>
                <w:sz w:val="18"/>
                <w:szCs w:val="18"/>
              </w:rPr>
              <w:t>We propose to also specify here that this does not only refer to denominations used for protected varieties but also denominations registered under nati</w:t>
            </w:r>
            <w:r>
              <w:rPr>
                <w:sz w:val="18"/>
                <w:szCs w:val="18"/>
              </w:rPr>
              <w:t>onal variety registration laws.”</w:t>
            </w:r>
          </w:p>
          <w:p w:rsidR="00F7624F" w:rsidRDefault="00F7624F" w:rsidP="000B2178"/>
        </w:tc>
      </w:tr>
    </w:tbl>
    <w:p w:rsidR="00D454F4" w:rsidRPr="00407B23" w:rsidRDefault="00D454F4" w:rsidP="00951A2C"/>
    <w:p w:rsidR="00D454F4" w:rsidRDefault="00D454F4" w:rsidP="00F7624F">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D454F4" w:rsidRPr="00407B23" w:rsidRDefault="00D454F4" w:rsidP="00F7624F">
      <w:pPr>
        <w:spacing w:line="360" w:lineRule="auto"/>
      </w:pPr>
    </w:p>
    <w:p w:rsidR="00D454F4" w:rsidRPr="00407B23" w:rsidRDefault="00D454F4" w:rsidP="00951A2C">
      <w:pPr>
        <w:keepNext/>
        <w:spacing w:line="240" w:lineRule="atLeast"/>
        <w:ind w:left="567" w:hanging="567"/>
        <w:rPr>
          <w:i/>
        </w:rPr>
      </w:pPr>
      <w:r w:rsidRPr="00407B23">
        <w:rPr>
          <w:i/>
        </w:rPr>
        <w:t>2.5.</w:t>
      </w:r>
      <w:r w:rsidRPr="00407B23">
        <w:rPr>
          <w:i/>
        </w:rPr>
        <w:tab/>
        <w:t>Variety denomination classes:  a variety denomination should not be used more than once in the same class</w:t>
      </w:r>
    </w:p>
    <w:p w:rsidR="00D454F4" w:rsidRPr="00407B23" w:rsidRDefault="00D454F4" w:rsidP="00951A2C">
      <w:pPr>
        <w:keepNext/>
      </w:pPr>
    </w:p>
    <w:p w:rsidR="00D454F4" w:rsidRPr="00407B23" w:rsidRDefault="00D454F4">
      <w:pPr>
        <w:spacing w:line="240" w:lineRule="atLeast"/>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D454F4" w:rsidRPr="00407B23" w:rsidRDefault="00D454F4">
      <w:pPr>
        <w:spacing w:line="240" w:lineRule="atLeast"/>
      </w:pPr>
    </w:p>
    <w:p w:rsidR="00D454F4" w:rsidRPr="00407B23" w:rsidRDefault="00D454F4">
      <w:pPr>
        <w:keepNext/>
        <w:spacing w:line="240" w:lineRule="atLeast"/>
      </w:pPr>
      <w:r w:rsidRPr="00407B23">
        <w:t>2.5.2</w:t>
      </w:r>
      <w:r w:rsidRPr="00407B23">
        <w:tab/>
        <w:t xml:space="preserve">The variety denomination classes are as follows:  </w:t>
      </w:r>
    </w:p>
    <w:p w:rsidR="00D454F4" w:rsidRPr="00407B23" w:rsidRDefault="00D454F4" w:rsidP="00951A2C">
      <w:pPr>
        <w:keepNext/>
      </w:pPr>
    </w:p>
    <w:p w:rsidR="00D454F4" w:rsidRPr="00DE1471" w:rsidRDefault="00D454F4" w:rsidP="00951A2C">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D454F4" w:rsidRPr="00DE1471" w:rsidRDefault="00D454F4" w:rsidP="00951A2C">
      <w:pPr>
        <w:pStyle w:val="BodyTextIndent"/>
        <w:ind w:left="0"/>
        <w:rPr>
          <w:lang w:val="en-US"/>
        </w:rPr>
      </w:pPr>
    </w:p>
    <w:p w:rsidR="00D454F4" w:rsidRPr="00DE1471" w:rsidRDefault="00D454F4" w:rsidP="00951A2C">
      <w:pPr>
        <w:pStyle w:val="BodyTextIndent"/>
        <w:ind w:left="0" w:firstLine="567"/>
        <w:rPr>
          <w:lang w:val="en-US"/>
        </w:rPr>
      </w:pPr>
      <w:r w:rsidRPr="00DE1471">
        <w:rPr>
          <w:lang w:val="en-US"/>
        </w:rPr>
        <w:t>(b)</w:t>
      </w:r>
      <w:r w:rsidRPr="00DE1471">
        <w:rPr>
          <w:lang w:val="en-US"/>
        </w:rPr>
        <w:tab/>
        <w:t xml:space="preserve">Exceptions to the General Rule (list of classes):  </w:t>
      </w:r>
    </w:p>
    <w:p w:rsidR="00D454F4" w:rsidRPr="00DE1471" w:rsidRDefault="00D454F4" w:rsidP="00951A2C">
      <w:pPr>
        <w:pStyle w:val="BodyTextIndent"/>
        <w:ind w:left="0"/>
        <w:rPr>
          <w:lang w:val="en-US"/>
        </w:rPr>
      </w:pPr>
    </w:p>
    <w:p w:rsidR="00D454F4" w:rsidRPr="00DE1471" w:rsidRDefault="00D454F4" w:rsidP="00951A2C">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D454F4" w:rsidRPr="00DE1471" w:rsidRDefault="00D454F4" w:rsidP="00951A2C">
      <w:pPr>
        <w:pStyle w:val="BodyTextIndent"/>
        <w:tabs>
          <w:tab w:val="right" w:pos="1134"/>
          <w:tab w:val="left" w:pos="1418"/>
        </w:tabs>
        <w:ind w:left="0"/>
        <w:rPr>
          <w:lang w:val="en-US"/>
        </w:rPr>
      </w:pPr>
    </w:p>
    <w:p w:rsidR="00D454F4" w:rsidRPr="00DE1471" w:rsidRDefault="00D454F4" w:rsidP="00951A2C">
      <w:pPr>
        <w:pStyle w:val="Header"/>
        <w:tabs>
          <w:tab w:val="right" w:pos="1134"/>
          <w:tab w:val="left" w:pos="1418"/>
        </w:tabs>
        <w:jc w:val="left"/>
        <w:rPr>
          <w:lang w:val="en-US"/>
        </w:rPr>
      </w:pPr>
      <w:r w:rsidRPr="00DE1471">
        <w:rPr>
          <w:lang w:val="en-US"/>
        </w:rPr>
        <w:tab/>
        <w:t>(ii)</w:t>
      </w:r>
      <w:r w:rsidRPr="00DE1471">
        <w:rPr>
          <w:lang w:val="en-US"/>
        </w:rPr>
        <w:tab/>
        <w:t>classes encompassing more than one genus:  List of classes in Annex I:  Part II.</w:t>
      </w:r>
    </w:p>
    <w:p w:rsidR="00D454F4" w:rsidRPr="00407B23" w:rsidRDefault="00D454F4" w:rsidP="00951A2C"/>
    <w:p w:rsidR="00D454F4" w:rsidRPr="00407B23" w:rsidRDefault="00D454F4" w:rsidP="00951A2C">
      <w:pPr>
        <w:rPr>
          <w:color w:val="000000"/>
          <w:u w:val="single"/>
        </w:rPr>
      </w:pPr>
      <w:r w:rsidRPr="00407B23">
        <w:t>2.5.3</w:t>
      </w:r>
      <w:r w:rsidRPr="00407B23">
        <w:tab/>
      </w:r>
      <w:r w:rsidRPr="00407B23">
        <w:rPr>
          <w:color w:val="000000"/>
        </w:rPr>
        <w:t>It is recommended that the UPOV Plant Variety Database (“</w:t>
      </w:r>
      <w:r w:rsidRPr="00B81E24">
        <w:rPr>
          <w:strike/>
          <w:color w:val="000000"/>
          <w:highlight w:val="lightGray"/>
        </w:rPr>
        <w:t>UPOV-ROM”</w:t>
      </w:r>
      <w:r w:rsidR="00B81E24">
        <w:rPr>
          <w:strike/>
          <w:color w:val="000000"/>
        </w:rPr>
        <w:t xml:space="preserve"> </w:t>
      </w:r>
      <w:r w:rsidR="00B81E24" w:rsidRPr="00B81E24">
        <w:rPr>
          <w:color w:val="000000"/>
          <w:highlight w:val="lightGray"/>
          <w:u w:val="single"/>
        </w:rPr>
        <w:t>PLUTO</w:t>
      </w:r>
      <w:r w:rsidRPr="00407B23">
        <w:rPr>
          <w:color w:val="000000"/>
        </w:rPr>
        <w:t xml:space="preserve">) is used in the process to check if, in the territory of any member of the Union, the proposed denomination is different from denominations of existing varieties of the same genus or, if appropriate, variety denomination class (see Annex I).  Attention is drawn to the “General Notice and Disclaimer” of </w:t>
      </w:r>
      <w:r w:rsidRPr="00631833">
        <w:rPr>
          <w:strike/>
          <w:color w:val="000000"/>
          <w:highlight w:val="lightGray"/>
        </w:rPr>
        <w:t>the UPOV-ROM</w:t>
      </w:r>
      <w:r w:rsidRPr="00407B23">
        <w:rPr>
          <w:color w:val="000000"/>
        </w:rPr>
        <w:t xml:space="preserve"> </w:t>
      </w:r>
      <w:r w:rsidR="00631833" w:rsidRPr="00631833">
        <w:rPr>
          <w:color w:val="000000"/>
          <w:highlight w:val="lightGray"/>
          <w:u w:val="single"/>
        </w:rPr>
        <w:t>PLUTO</w:t>
      </w:r>
      <w:r w:rsidR="00631833">
        <w:rPr>
          <w:color w:val="000000"/>
        </w:rPr>
        <w:t xml:space="preserve"> </w:t>
      </w:r>
      <w:r w:rsidRPr="00407B23">
        <w:rPr>
          <w:color w:val="000000"/>
        </w:rPr>
        <w:t xml:space="preserve">to ensure that the information contained in </w:t>
      </w:r>
      <w:r w:rsidRPr="00631833">
        <w:rPr>
          <w:strike/>
          <w:color w:val="000000"/>
          <w:highlight w:val="lightGray"/>
        </w:rPr>
        <w:t>the UPOV-ROM</w:t>
      </w:r>
      <w:r w:rsidRPr="00407B23">
        <w:rPr>
          <w:color w:val="000000"/>
        </w:rPr>
        <w:t xml:space="preserve"> </w:t>
      </w:r>
      <w:r w:rsidR="00631833" w:rsidRPr="00631833">
        <w:rPr>
          <w:color w:val="000000"/>
          <w:highlight w:val="lightGray"/>
          <w:u w:val="single"/>
        </w:rPr>
        <w:t>PLUTO</w:t>
      </w:r>
      <w:r w:rsidR="00631833">
        <w:rPr>
          <w:color w:val="000000"/>
        </w:rPr>
        <w:t xml:space="preserve"> </w:t>
      </w:r>
      <w:r w:rsidRPr="00407B23">
        <w:rPr>
          <w:color w:val="000000"/>
        </w:rPr>
        <w:t>is considered in an appropriate way.</w:t>
      </w:r>
    </w:p>
    <w:p w:rsidR="00D015D8" w:rsidRDefault="00D015D8" w:rsidP="00F7624F"/>
    <w:p w:rsidR="00D015D8" w:rsidRPr="00407B23" w:rsidRDefault="00D015D8" w:rsidP="00F7624F"/>
    <w:p w:rsidR="00562888" w:rsidRDefault="00562888">
      <w:pPr>
        <w:jc w:val="left"/>
        <w:rPr>
          <w:b/>
        </w:rPr>
      </w:pPr>
      <w:r>
        <w:rPr>
          <w:b/>
        </w:rPr>
        <w:br w:type="page"/>
      </w:r>
    </w:p>
    <w:p w:rsidR="00D454F4" w:rsidRPr="00407B23" w:rsidRDefault="00D454F4" w:rsidP="00951A2C">
      <w:pPr>
        <w:jc w:val="center"/>
        <w:rPr>
          <w:b/>
        </w:rPr>
      </w:pPr>
      <w:r w:rsidRPr="00407B23">
        <w:rPr>
          <w:b/>
        </w:rPr>
        <w:lastRenderedPageBreak/>
        <w:t>Paragraph 3</w:t>
      </w:r>
    </w:p>
    <w:p w:rsidR="00D454F4" w:rsidRPr="00407B23" w:rsidRDefault="00D454F4" w:rsidP="00951A2C">
      <w:pPr>
        <w:jc w:val="center"/>
      </w:pPr>
      <w:r w:rsidRPr="00407B23">
        <w:t>(Paragraph 4 of Article 13 of the 1961 Convention)</w:t>
      </w:r>
    </w:p>
    <w:p w:rsidR="00D454F4" w:rsidRPr="00407B23" w:rsidRDefault="00D454F4"/>
    <w:p w:rsidR="00D454F4" w:rsidRPr="00407B23" w:rsidRDefault="00D454F4" w:rsidP="00951A2C">
      <w:pPr>
        <w:rPr>
          <w:b/>
        </w:rPr>
      </w:pPr>
      <w:r w:rsidRPr="00407B23">
        <w:rPr>
          <w:b/>
        </w:rPr>
        <w:tab/>
        <w:t>[</w:t>
      </w:r>
      <w:r w:rsidRPr="00407B23">
        <w:rPr>
          <w:b/>
          <w:i/>
        </w:rPr>
        <w:t>Registration of the denomination</w:t>
      </w:r>
      <w:r w:rsidRPr="00407B23">
        <w:rPr>
          <w:b/>
        </w:rPr>
        <w:t>]  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D454F4" w:rsidRPr="00407B23" w:rsidRDefault="00D454F4" w:rsidP="00F7624F">
      <w:pPr>
        <w:spacing w:line="360" w:lineRule="auto"/>
        <w:rPr>
          <w:b/>
        </w:rPr>
      </w:pPr>
    </w:p>
    <w:p w:rsidR="00D454F4" w:rsidRPr="00407B23" w:rsidRDefault="00D454F4">
      <w:pPr>
        <w:rPr>
          <w:i/>
        </w:rPr>
      </w:pPr>
      <w:r w:rsidRPr="00407B23">
        <w:rPr>
          <w:i/>
        </w:rPr>
        <w:t>Explanatory Notes – Paragraph</w:t>
      </w:r>
      <w:r w:rsidRPr="00407B23">
        <w:t> </w:t>
      </w:r>
      <w:r w:rsidRPr="00407B23">
        <w:rPr>
          <w:i/>
        </w:rPr>
        <w:t>(3)</w:t>
      </w:r>
    </w:p>
    <w:p w:rsidR="00D454F4" w:rsidRPr="00407B23" w:rsidRDefault="00D454F4"/>
    <w:p w:rsidR="00D454F4" w:rsidRPr="00407B23" w:rsidRDefault="00D454F4">
      <w:r w:rsidRPr="00407B23">
        <w:t>3.1</w:t>
      </w:r>
      <w:r w:rsidRPr="00407B23">
        <w:tab/>
        <w:t xml:space="preserve">If the authority has found no grounds for refusal under paragraph (2), and knows of no grounds for refusal under paragraph (4), the proposed denomination shall be registered, published and communicated to the authorities of the other members of the </w:t>
      </w:r>
      <w:smartTag w:uri="urn:schemas-microsoft-com:office:smarttags" w:element="place">
        <w:r w:rsidRPr="00407B23">
          <w:t>Union</w:t>
        </w:r>
      </w:smartTag>
      <w:r w:rsidRPr="00407B23">
        <w:t>.</w:t>
      </w:r>
    </w:p>
    <w:p w:rsidR="00D454F4" w:rsidRPr="00407B23" w:rsidRDefault="00D454F4"/>
    <w:p w:rsidR="00D454F4" w:rsidRPr="00407B23" w:rsidRDefault="00D454F4" w:rsidP="00951A2C">
      <w:r w:rsidRPr="00407B23">
        <w:t>3.2</w:t>
      </w:r>
      <w:r w:rsidRPr="00407B23">
        <w:tab/>
        <w:t xml:space="preserve">In the event of prior rights (paragraph (4)) or other grounds for refusal, any interested person may file an objection to the registration.  The authorities of the other members of the </w:t>
      </w:r>
      <w:smartTag w:uri="urn:schemas-microsoft-com:office:smarttags" w:element="place">
        <w:r w:rsidRPr="00407B23">
          <w:t>Union</w:t>
        </w:r>
      </w:smartTag>
      <w:r w:rsidRPr="00407B23">
        <w:t xml:space="preserve"> may submit observations (see Explanatory Notes of paragraph (6)).</w:t>
      </w:r>
    </w:p>
    <w:p w:rsidR="00D454F4" w:rsidRPr="00407B23" w:rsidRDefault="00D454F4"/>
    <w:p w:rsidR="00D454F4" w:rsidRPr="00407B23" w:rsidRDefault="00D454F4">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D454F4" w:rsidRPr="00407B23" w:rsidRDefault="00D454F4"/>
    <w:p w:rsidR="00D454F4" w:rsidRPr="00407B23" w:rsidRDefault="00D454F4">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D454F4" w:rsidRPr="00407B23" w:rsidRDefault="00D454F4">
      <w:pPr>
        <w:rPr>
          <w:b/>
        </w:rPr>
      </w:pPr>
    </w:p>
    <w:tbl>
      <w:tblPr>
        <w:tblStyle w:val="TableGrid"/>
        <w:tblW w:w="0" w:type="auto"/>
        <w:tblLook w:val="04A0" w:firstRow="1" w:lastRow="0" w:firstColumn="1" w:lastColumn="0" w:noHBand="0" w:noVBand="1"/>
      </w:tblPr>
      <w:tblGrid>
        <w:gridCol w:w="9855"/>
      </w:tblGrid>
      <w:tr w:rsidR="00C7688F" w:rsidTr="00C7688F">
        <w:tc>
          <w:tcPr>
            <w:tcW w:w="9855" w:type="dxa"/>
          </w:tcPr>
          <w:p w:rsidR="00B23531" w:rsidRDefault="00B23531">
            <w:pPr>
              <w:rPr>
                <w:highlight w:val="yellow"/>
              </w:rPr>
            </w:pPr>
          </w:p>
          <w:p w:rsidR="003A42B6" w:rsidRPr="00B73632" w:rsidRDefault="00C7688F">
            <w:pPr>
              <w:rPr>
                <w:sz w:val="18"/>
                <w:szCs w:val="18"/>
              </w:rPr>
            </w:pPr>
            <w:r w:rsidRPr="00B73632">
              <w:rPr>
                <w:sz w:val="18"/>
                <w:szCs w:val="18"/>
                <w:u w:val="single"/>
              </w:rPr>
              <w:t>Proposal by ESA</w:t>
            </w:r>
            <w:r w:rsidR="00B23531" w:rsidRPr="00B73632">
              <w:rPr>
                <w:sz w:val="18"/>
                <w:szCs w:val="18"/>
              </w:rPr>
              <w:t xml:space="preserve"> </w:t>
            </w:r>
            <w:r w:rsidR="00C433DC" w:rsidRPr="00B73632">
              <w:rPr>
                <w:rStyle w:val="EndnoteReference"/>
                <w:b/>
                <w:sz w:val="18"/>
                <w:szCs w:val="18"/>
              </w:rPr>
              <w:endnoteReference w:id="14"/>
            </w:r>
          </w:p>
          <w:p w:rsidR="00B23531" w:rsidRPr="00B73632" w:rsidRDefault="00B23531">
            <w:pPr>
              <w:rPr>
                <w:sz w:val="18"/>
                <w:szCs w:val="18"/>
              </w:rPr>
            </w:pPr>
          </w:p>
          <w:p w:rsidR="00C7688F" w:rsidRPr="00B73632" w:rsidRDefault="00B73632">
            <w:pPr>
              <w:rPr>
                <w:sz w:val="18"/>
                <w:szCs w:val="18"/>
              </w:rPr>
            </w:pPr>
            <w:r>
              <w:rPr>
                <w:sz w:val="18"/>
                <w:szCs w:val="18"/>
              </w:rPr>
              <w:t>“</w:t>
            </w:r>
            <w:r w:rsidR="00C7688F" w:rsidRPr="00B73632">
              <w:rPr>
                <w:sz w:val="18"/>
                <w:szCs w:val="18"/>
              </w:rPr>
              <w:t xml:space="preserve">to clarify that the </w:t>
            </w:r>
            <w:r w:rsidR="000B2178">
              <w:rPr>
                <w:sz w:val="18"/>
                <w:szCs w:val="18"/>
              </w:rPr>
              <w:t>‘</w:t>
            </w:r>
            <w:r w:rsidR="00C7688F" w:rsidRPr="00B73632">
              <w:rPr>
                <w:sz w:val="18"/>
                <w:szCs w:val="18"/>
              </w:rPr>
              <w:t>prescribed period</w:t>
            </w:r>
            <w:r w:rsidR="000B2178">
              <w:rPr>
                <w:sz w:val="18"/>
                <w:szCs w:val="18"/>
              </w:rPr>
              <w:t>’</w:t>
            </w:r>
            <w:r w:rsidR="00C7688F" w:rsidRPr="00B73632">
              <w:rPr>
                <w:sz w:val="18"/>
                <w:szCs w:val="18"/>
              </w:rPr>
              <w:t xml:space="preserve"> basically refers to</w:t>
            </w:r>
            <w:r w:rsidR="00C433DC" w:rsidRPr="00B73632">
              <w:rPr>
                <w:sz w:val="18"/>
                <w:szCs w:val="18"/>
              </w:rPr>
              <w:t xml:space="preserve"> </w:t>
            </w:r>
            <w:r w:rsidR="00C7688F" w:rsidRPr="00B73632">
              <w:rPr>
                <w:sz w:val="18"/>
                <w:szCs w:val="18"/>
              </w:rPr>
              <w:t>before grant.</w:t>
            </w:r>
            <w:r>
              <w:rPr>
                <w:sz w:val="18"/>
                <w:szCs w:val="18"/>
              </w:rPr>
              <w:t>”</w:t>
            </w:r>
          </w:p>
          <w:p w:rsidR="00B23531" w:rsidRDefault="00B23531">
            <w:pPr>
              <w:rPr>
                <w:b/>
              </w:rPr>
            </w:pPr>
          </w:p>
        </w:tc>
      </w:tr>
    </w:tbl>
    <w:p w:rsidR="00D454F4" w:rsidRDefault="00D454F4">
      <w:pPr>
        <w:rPr>
          <w:b/>
        </w:rPr>
      </w:pPr>
    </w:p>
    <w:p w:rsidR="00D015D8" w:rsidRPr="00407B23" w:rsidRDefault="00D015D8">
      <w:pPr>
        <w:rPr>
          <w:b/>
        </w:rPr>
      </w:pPr>
    </w:p>
    <w:p w:rsidR="00D454F4" w:rsidRPr="00407B23" w:rsidRDefault="00D454F4" w:rsidP="00951A2C">
      <w:pPr>
        <w:keepNext/>
        <w:jc w:val="center"/>
        <w:rPr>
          <w:b/>
        </w:rPr>
      </w:pPr>
      <w:r w:rsidRPr="00407B23">
        <w:rPr>
          <w:b/>
        </w:rPr>
        <w:t>Paragraph 4</w:t>
      </w:r>
    </w:p>
    <w:p w:rsidR="00D454F4" w:rsidRPr="00407B23" w:rsidRDefault="00D454F4" w:rsidP="00951A2C">
      <w:pPr>
        <w:keepNext/>
        <w:jc w:val="center"/>
      </w:pPr>
      <w:r w:rsidRPr="00407B23">
        <w:t>(Paragraph 10 of Article 13 of the 1961 Convention)</w:t>
      </w:r>
    </w:p>
    <w:p w:rsidR="00D454F4" w:rsidRPr="00407B23" w:rsidRDefault="00D454F4" w:rsidP="00951A2C">
      <w:pPr>
        <w:keepNext/>
      </w:pPr>
    </w:p>
    <w:p w:rsidR="00D454F4" w:rsidRPr="00407B23" w:rsidRDefault="00D454F4">
      <w:pPr>
        <w:rPr>
          <w:b/>
        </w:rPr>
      </w:pPr>
      <w:r w:rsidRPr="00407B23">
        <w:rPr>
          <w:b/>
        </w:rPr>
        <w:tab/>
        <w:t>[</w:t>
      </w:r>
      <w:r w:rsidRPr="00407B23">
        <w:rPr>
          <w:b/>
          <w:i/>
        </w:rPr>
        <w:t>Prior rights of third persons</w:t>
      </w:r>
      <w:r w:rsidRPr="00407B23">
        <w:rPr>
          <w:b/>
        </w:rPr>
        <w:t>]  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D454F4" w:rsidRPr="00407B23" w:rsidRDefault="00D454F4" w:rsidP="00F7624F">
      <w:pPr>
        <w:spacing w:line="360" w:lineRule="auto"/>
      </w:pPr>
    </w:p>
    <w:p w:rsidR="00D454F4" w:rsidRPr="00407B23" w:rsidRDefault="00D454F4">
      <w:pPr>
        <w:rPr>
          <w:i/>
        </w:rPr>
      </w:pPr>
      <w:r w:rsidRPr="00407B23">
        <w:rPr>
          <w:i/>
        </w:rPr>
        <w:t>Explanatory Notes – Paragraph (4)</w:t>
      </w:r>
    </w:p>
    <w:p w:rsidR="00D454F4" w:rsidRPr="00407B23" w:rsidRDefault="00D454F4"/>
    <w:p w:rsidR="00D454F4" w:rsidRPr="00407B23" w:rsidRDefault="00D454F4">
      <w:r w:rsidRPr="00407B23">
        <w:t>4.</w:t>
      </w:r>
      <w:r w:rsidRPr="00407B23">
        <w:tab/>
        <w:t>In deciding on the suitability of the proposed denomination and examining objections and observations in relation to prior rights of third persons, the following are intended to assist authorities.</w:t>
      </w:r>
    </w:p>
    <w:p w:rsidR="00D454F4" w:rsidRPr="00407B23" w:rsidRDefault="00D454F4">
      <w:pPr>
        <w:ind w:firstLine="567"/>
      </w:pPr>
    </w:p>
    <w:p w:rsidR="00C433DC" w:rsidRPr="00407B23" w:rsidRDefault="00D454F4" w:rsidP="007C431F">
      <w:pPr>
        <w:ind w:firstLine="567"/>
      </w:pPr>
      <w:r w:rsidRPr="00407B23">
        <w:t>(a)</w:t>
      </w:r>
      <w:r w:rsidRPr="00407B23">
        <w:tab/>
        <w:t xml:space="preserve">An authority should not accept a variety denomination if a prior right, the exercise of which may prevent the use of the proposed denomination, has already been granted to a third party </w:t>
      </w:r>
      <w:r w:rsidRPr="007B48D7">
        <w:rPr>
          <w:dstrike/>
          <w:highlight w:val="lightGray"/>
        </w:rPr>
        <w:t>under plant breeder’s right law, trademark law or any other intellectual property legislation</w:t>
      </w:r>
      <w:r w:rsidRPr="00407B23">
        <w:t>.</w:t>
      </w:r>
      <w:r w:rsidR="007C431F" w:rsidRPr="007C431F">
        <w:rPr>
          <w:rStyle w:val="EndnoteReference"/>
          <w:b/>
        </w:rPr>
        <w:t xml:space="preserve"> </w:t>
      </w:r>
      <w:r w:rsidR="007C431F" w:rsidRPr="00B23531">
        <w:rPr>
          <w:rStyle w:val="EndnoteReference"/>
          <w:b/>
        </w:rPr>
        <w:endnoteReference w:id="15"/>
      </w:r>
      <w:r w:rsidRPr="00407B23">
        <w:t xml:space="preserve">  It is the responsibility of the title holder of a prior right to assert his rights through the available objection or court procedures.  However, authorities are encouraged to make prior searches in relevant publications (e.g. official gazettes) and databases (e.g. </w:t>
      </w:r>
      <w:r w:rsidRPr="00B81E24">
        <w:rPr>
          <w:strike/>
          <w:highlight w:val="lightGray"/>
        </w:rPr>
        <w:t>UPOV</w:t>
      </w:r>
      <w:r w:rsidRPr="00B81E24">
        <w:rPr>
          <w:strike/>
          <w:highlight w:val="lightGray"/>
        </w:rPr>
        <w:noBreakHyphen/>
        <w:t>ROM</w:t>
      </w:r>
      <w:r w:rsidR="00B81E24" w:rsidRPr="00B81E24">
        <w:t xml:space="preserve"> </w:t>
      </w:r>
      <w:r w:rsidR="00631833">
        <w:rPr>
          <w:highlight w:val="lightGray"/>
          <w:u w:val="single"/>
        </w:rPr>
        <w:t xml:space="preserve">UPOV </w:t>
      </w:r>
      <w:r w:rsidR="00B81E24" w:rsidRPr="00B81E24">
        <w:rPr>
          <w:highlight w:val="lightGray"/>
          <w:u w:val="single"/>
        </w:rPr>
        <w:t>Plant Variety Database</w:t>
      </w:r>
      <w:r w:rsidR="00631833">
        <w:t xml:space="preserve"> </w:t>
      </w:r>
      <w:r w:rsidR="00631833" w:rsidRPr="00631833">
        <w:rPr>
          <w:highlight w:val="lightGray"/>
          <w:u w:val="single"/>
        </w:rPr>
        <w:t>(PLUTO)</w:t>
      </w:r>
      <w:r w:rsidR="00631833">
        <w:t xml:space="preserve"> </w:t>
      </w:r>
      <w:hyperlink r:id="rId10" w:history="1">
        <w:r w:rsidR="00B81E24" w:rsidRPr="00161AAA">
          <w:rPr>
            <w:rStyle w:val="Hyperlink"/>
            <w:highlight w:val="lightGray"/>
          </w:rPr>
          <w:t>http://www.upov.int/pluto/en/</w:t>
        </w:r>
      </w:hyperlink>
      <w:r w:rsidRPr="00407B23">
        <w:t>)</w:t>
      </w:r>
      <w:r w:rsidR="00161AAA">
        <w:t xml:space="preserve"> </w:t>
      </w:r>
      <w:r w:rsidRPr="00407B23">
        <w:t>to identify prior rights for variety denominations.  They may also make searches in other registers, such as trademark registers, before accepting a variety denomination.</w:t>
      </w:r>
    </w:p>
    <w:p w:rsidR="00D454F4" w:rsidRPr="00407B23" w:rsidRDefault="00D454F4"/>
    <w:p w:rsidR="00D454F4" w:rsidRPr="00407B23" w:rsidRDefault="00D454F4">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D454F4" w:rsidRPr="00407B23" w:rsidRDefault="00D454F4">
      <w:pPr>
        <w:ind w:firstLine="567"/>
      </w:pPr>
    </w:p>
    <w:p w:rsidR="00D454F4" w:rsidRPr="00407B23" w:rsidRDefault="00D454F4">
      <w:pPr>
        <w:ind w:firstLine="567"/>
      </w:pPr>
      <w:r w:rsidRPr="00407B23">
        <w:lastRenderedPageBreak/>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D454F4" w:rsidRPr="00407B23" w:rsidRDefault="00D454F4">
      <w:pPr>
        <w:ind w:firstLine="567"/>
      </w:pPr>
    </w:p>
    <w:p w:rsidR="00D454F4" w:rsidRPr="00407B23" w:rsidRDefault="00D454F4">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D454F4" w:rsidRPr="00407B23" w:rsidRDefault="00D454F4"/>
    <w:p w:rsidR="00D454F4" w:rsidRPr="00407B23" w:rsidRDefault="00D454F4">
      <w:pPr>
        <w:keepNext/>
        <w:ind w:firstLine="567"/>
      </w:pPr>
      <w:r w:rsidRPr="00407B23">
        <w:t>(e)</w:t>
      </w:r>
      <w:r w:rsidRPr="00407B23">
        <w:tab/>
        <w:t>The following items provide some guidance on what might constitute a “prior right”, the exercise of which may prevent the use of the proposed denomination:</w:t>
      </w:r>
    </w:p>
    <w:p w:rsidR="00D454F4" w:rsidRPr="00407B23" w:rsidRDefault="00D454F4">
      <w:pPr>
        <w:ind w:left="567" w:firstLine="567"/>
      </w:pPr>
    </w:p>
    <w:p w:rsidR="00D454F4" w:rsidRDefault="00D454F4" w:rsidP="00951A2C">
      <w:pPr>
        <w:tabs>
          <w:tab w:val="right" w:pos="1134"/>
          <w:tab w:val="left" w:pos="1418"/>
        </w:tabs>
      </w:pP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5"/>
      </w:r>
      <w:r w:rsidRPr="00407B23">
        <w:t>,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w:t>
      </w:r>
      <w:r w:rsidRPr="00F7624F">
        <w:t>le for trademark registration, or judgments from a competent court.  In cases of mere similarity or small likelihood of association</w:t>
      </w:r>
      <w:r w:rsidR="007C431F" w:rsidRPr="00F7624F">
        <w:t xml:space="preserve"> </w:t>
      </w:r>
      <w:r w:rsidRPr="00F7624F">
        <w:t>by users, waivers granted to breeders by prior trademark right holders could be a suitable solution.</w:t>
      </w:r>
    </w:p>
    <w:p w:rsidR="00946A3A" w:rsidRDefault="00946A3A" w:rsidP="00951A2C">
      <w:pPr>
        <w:tabs>
          <w:tab w:val="right" w:pos="1134"/>
          <w:tab w:val="left" w:pos="1418"/>
        </w:tabs>
      </w:pPr>
    </w:p>
    <w:tbl>
      <w:tblPr>
        <w:tblStyle w:val="TableGrid"/>
        <w:tblW w:w="0" w:type="auto"/>
        <w:tblInd w:w="108" w:type="dxa"/>
        <w:tblLook w:val="04A0" w:firstRow="1" w:lastRow="0" w:firstColumn="1" w:lastColumn="0" w:noHBand="0" w:noVBand="1"/>
      </w:tblPr>
      <w:tblGrid>
        <w:gridCol w:w="9747"/>
      </w:tblGrid>
      <w:tr w:rsidR="00946A3A" w:rsidTr="008D78CC">
        <w:tc>
          <w:tcPr>
            <w:tcW w:w="9747" w:type="dxa"/>
          </w:tcPr>
          <w:p w:rsidR="00946A3A" w:rsidRDefault="00946A3A" w:rsidP="007C431F"/>
          <w:p w:rsidR="00946A3A" w:rsidRPr="00B73632" w:rsidRDefault="00946A3A" w:rsidP="007C431F">
            <w:pPr>
              <w:rPr>
                <w:sz w:val="18"/>
                <w:szCs w:val="18"/>
              </w:rPr>
            </w:pPr>
            <w:r w:rsidRPr="00B73632">
              <w:rPr>
                <w:sz w:val="18"/>
                <w:szCs w:val="18"/>
                <w:u w:val="single"/>
              </w:rPr>
              <w:t>Proposal by ESA</w:t>
            </w:r>
            <w:r w:rsidRPr="00B73632">
              <w:rPr>
                <w:sz w:val="18"/>
                <w:szCs w:val="18"/>
              </w:rPr>
              <w:t xml:space="preserve"> </w:t>
            </w:r>
            <w:r w:rsidR="008D78CC" w:rsidRPr="00B73632">
              <w:rPr>
                <w:rStyle w:val="EndnoteReference"/>
                <w:b/>
                <w:sz w:val="18"/>
                <w:szCs w:val="18"/>
              </w:rPr>
              <w:endnoteReference w:id="16"/>
            </w:r>
          </w:p>
          <w:p w:rsidR="00946A3A" w:rsidRPr="00B73632" w:rsidRDefault="00946A3A" w:rsidP="007C431F">
            <w:pPr>
              <w:rPr>
                <w:sz w:val="18"/>
                <w:szCs w:val="18"/>
              </w:rPr>
            </w:pPr>
          </w:p>
          <w:p w:rsidR="00946A3A" w:rsidRPr="00B73632" w:rsidRDefault="00B73632" w:rsidP="007C431F">
            <w:pPr>
              <w:rPr>
                <w:sz w:val="18"/>
                <w:szCs w:val="18"/>
              </w:rPr>
            </w:pPr>
            <w:r w:rsidRPr="00B73632">
              <w:rPr>
                <w:sz w:val="18"/>
                <w:szCs w:val="18"/>
              </w:rPr>
              <w:t>“We propose to use ‘likelihood of confusion’</w:t>
            </w:r>
            <w:r w:rsidR="008D78CC" w:rsidRPr="00B73632">
              <w:rPr>
                <w:sz w:val="18"/>
                <w:szCs w:val="18"/>
              </w:rPr>
              <w:t xml:space="preserve"> </w:t>
            </w:r>
            <w:r w:rsidRPr="00B73632">
              <w:rPr>
                <w:sz w:val="18"/>
                <w:szCs w:val="18"/>
              </w:rPr>
              <w:t>instead of ‘likelihood of association’”</w:t>
            </w:r>
          </w:p>
          <w:p w:rsidR="00946A3A" w:rsidRDefault="00946A3A" w:rsidP="007C431F"/>
        </w:tc>
      </w:tr>
    </w:tbl>
    <w:p w:rsidR="00D454F4" w:rsidRDefault="00D454F4" w:rsidP="007C431F"/>
    <w:p w:rsidR="00946A3A" w:rsidRPr="00407B23" w:rsidRDefault="00946A3A" w:rsidP="007C431F"/>
    <w:p w:rsidR="00D454F4" w:rsidRPr="00407B23" w:rsidRDefault="00D454F4" w:rsidP="00951A2C">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appearing in Class 31 of the Nice Classification</w:t>
      </w:r>
      <w:r w:rsidRPr="00407B23">
        <w:rPr>
          <w:rStyle w:val="FootnoteReference"/>
        </w:rPr>
        <w:footnoteReference w:id="6"/>
      </w:r>
      <w:r w:rsidRPr="00407B23">
        <w:t>;</w:t>
      </w:r>
    </w:p>
    <w:p w:rsidR="00D454F4" w:rsidRPr="00407B23" w:rsidRDefault="00D454F4" w:rsidP="00951A2C">
      <w:pPr>
        <w:tabs>
          <w:tab w:val="right" w:pos="1134"/>
        </w:tabs>
      </w:pPr>
    </w:p>
    <w:p w:rsidR="00D454F4" w:rsidRPr="00407B23" w:rsidRDefault="00D454F4" w:rsidP="00951A2C">
      <w:pPr>
        <w:tabs>
          <w:tab w:val="right" w:pos="1134"/>
          <w:tab w:val="left" w:pos="1418"/>
        </w:tabs>
      </w:pPr>
      <w:r w:rsidRPr="00407B23">
        <w:tab/>
        <w:t>(iii)</w:t>
      </w:r>
      <w:r w:rsidRPr="00407B23">
        <w:tab/>
        <w:t>Prior rights might also concern trade names</w:t>
      </w:r>
      <w:r w:rsidRPr="00407B23">
        <w:rPr>
          <w:rStyle w:val="FootnoteReference"/>
        </w:rPr>
        <w:footnoteReference w:id="7"/>
      </w:r>
      <w:r w:rsidRPr="00407B23">
        <w:t xml:space="preserve"> and names of famous persons;</w:t>
      </w:r>
    </w:p>
    <w:p w:rsidR="00D454F4" w:rsidRPr="00407B23" w:rsidRDefault="00D454F4" w:rsidP="00951A2C">
      <w:pPr>
        <w:tabs>
          <w:tab w:val="right" w:pos="1134"/>
        </w:tabs>
      </w:pPr>
    </w:p>
    <w:p w:rsidR="00D454F4" w:rsidRPr="00407B23" w:rsidRDefault="00D454F4" w:rsidP="00951A2C">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rsidRPr="00407B23">
        <w:rPr>
          <w:rStyle w:val="FootnoteReference"/>
        </w:rPr>
        <w:footnoteReference w:id="8"/>
      </w:r>
      <w:r w:rsidRPr="00407B23">
        <w:t>;</w:t>
      </w:r>
    </w:p>
    <w:p w:rsidR="00D454F4" w:rsidRPr="00407B23" w:rsidRDefault="00D454F4">
      <w:pPr>
        <w:ind w:firstLine="1134"/>
      </w:pPr>
    </w:p>
    <w:p w:rsidR="00D454F4" w:rsidRPr="00407B23" w:rsidRDefault="00D454F4" w:rsidP="00951A2C">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rsidRPr="00407B23">
        <w:rPr>
          <w:rStyle w:val="FootnoteReference"/>
        </w:rPr>
        <w:footnoteReference w:id="9"/>
      </w:r>
      <w:r w:rsidRPr="00407B23">
        <w:t>;</w:t>
      </w:r>
    </w:p>
    <w:p w:rsidR="00D454F4" w:rsidRPr="00407B23" w:rsidRDefault="00D454F4" w:rsidP="00951A2C">
      <w:pPr>
        <w:tabs>
          <w:tab w:val="right" w:pos="1134"/>
        </w:tabs>
      </w:pPr>
    </w:p>
    <w:p w:rsidR="00D454F4" w:rsidRPr="00407B23" w:rsidRDefault="00D454F4" w:rsidP="00951A2C">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D454F4" w:rsidRPr="00407B23" w:rsidRDefault="00D454F4">
      <w:pPr>
        <w:jc w:val="center"/>
      </w:pPr>
    </w:p>
    <w:p w:rsidR="00D015D8" w:rsidRDefault="00D015D8" w:rsidP="003A42B6"/>
    <w:p w:rsidR="00D015D8" w:rsidRPr="00407B23" w:rsidRDefault="00D015D8">
      <w:pPr>
        <w:jc w:val="center"/>
      </w:pPr>
    </w:p>
    <w:p w:rsidR="00D454F4" w:rsidRPr="00407B23" w:rsidRDefault="00D454F4" w:rsidP="00951A2C">
      <w:pPr>
        <w:keepNext/>
        <w:keepLines/>
        <w:jc w:val="center"/>
        <w:rPr>
          <w:b/>
        </w:rPr>
      </w:pPr>
      <w:r w:rsidRPr="00407B23">
        <w:rPr>
          <w:b/>
        </w:rPr>
        <w:t>Paragraph 5</w:t>
      </w:r>
    </w:p>
    <w:p w:rsidR="00D454F4" w:rsidRPr="00407B23" w:rsidRDefault="00D454F4" w:rsidP="00951A2C">
      <w:pPr>
        <w:keepNext/>
        <w:keepLines/>
        <w:ind w:firstLine="567"/>
      </w:pPr>
    </w:p>
    <w:p w:rsidR="00D454F4" w:rsidRPr="00407B23" w:rsidRDefault="00D454F4" w:rsidP="00951A2C">
      <w:pPr>
        <w:keepNext/>
        <w:keepLines/>
        <w:ind w:firstLine="567"/>
        <w:rPr>
          <w:b/>
        </w:rPr>
      </w:pPr>
      <w:r w:rsidRPr="00407B23">
        <w:rPr>
          <w:b/>
        </w:rPr>
        <w:t>[</w:t>
      </w:r>
      <w:r w:rsidRPr="00407B23">
        <w:rPr>
          <w:b/>
          <w:i/>
        </w:rPr>
        <w:t>Same denomination in all members of the Union</w:t>
      </w:r>
      <w:r w:rsidRPr="00407B23">
        <w:rPr>
          <w:b/>
        </w:rPr>
        <w:t xml:space="preserve">]  A variety must be submitted to all members of the </w:t>
      </w:r>
      <w:smartTag w:uri="urn:schemas-microsoft-com:office:smarttags" w:element="place">
        <w:r w:rsidRPr="00407B23">
          <w:rPr>
            <w:b/>
          </w:rPr>
          <w:t>Union</w:t>
        </w:r>
      </w:smartTag>
      <w:r w:rsidRPr="00407B23">
        <w:rPr>
          <w:b/>
        </w:rPr>
        <w:t xml:space="preserve"> under the same denomination.  The authority of each member of the </w:t>
      </w:r>
      <w:smartTag w:uri="urn:schemas-microsoft-com:office:smarttags" w:element="place">
        <w:r w:rsidRPr="00407B23">
          <w:rPr>
            <w:b/>
          </w:rPr>
          <w:t>Union</w:t>
        </w:r>
      </w:smartTag>
      <w:r w:rsidRPr="00407B23">
        <w:rPr>
          <w:b/>
        </w:rPr>
        <w:t xml:space="preserve"> shall register the denomination so submitted, unless it considers the denomination unsuitable within its territory.  In the latter case, it shall require the breeder to submit another denomination. </w:t>
      </w:r>
    </w:p>
    <w:p w:rsidR="00D454F4" w:rsidRPr="00407B23" w:rsidRDefault="00D454F4">
      <w:pPr>
        <w:rPr>
          <w:i/>
        </w:rPr>
      </w:pPr>
    </w:p>
    <w:p w:rsidR="00D454F4" w:rsidRPr="00407B23" w:rsidRDefault="00D454F4">
      <w:r w:rsidRPr="00407B23">
        <w:rPr>
          <w:i/>
        </w:rPr>
        <w:t>Explanatory Notes – Paragraph (5)</w:t>
      </w:r>
      <w:r w:rsidRPr="00407B23">
        <w:t xml:space="preserve"> </w:t>
      </w:r>
    </w:p>
    <w:p w:rsidR="00D454F4" w:rsidRPr="00407B23" w:rsidRDefault="00D454F4"/>
    <w:p w:rsidR="00D454F4" w:rsidRPr="00407B23" w:rsidRDefault="00D454F4">
      <w:r w:rsidRPr="00407B23">
        <w:t>5.1</w:t>
      </w:r>
      <w:r w:rsidRPr="00407B23">
        <w:tab/>
        <w:t xml:space="preserve">This provision reflects the importance of a single variety denomination for the effective operation of the UPOV system.  </w:t>
      </w:r>
    </w:p>
    <w:p w:rsidR="00D454F4" w:rsidRPr="00407B23" w:rsidRDefault="00D454F4"/>
    <w:p w:rsidR="00D454F4" w:rsidRPr="00407B23" w:rsidRDefault="00D454F4">
      <w:r w:rsidRPr="00407B23">
        <w:t>5.2</w:t>
      </w:r>
      <w:r w:rsidRPr="00407B23">
        <w:tab/>
      </w:r>
      <w:r w:rsidRPr="00407B23">
        <w:rPr>
          <w:i/>
        </w:rPr>
        <w:t>Paragraph</w:t>
      </w:r>
      <w:r w:rsidRPr="00407B23">
        <w:t> (5) provides clear directions both for breeders and authorities:</w:t>
      </w:r>
    </w:p>
    <w:p w:rsidR="00D454F4" w:rsidRPr="00407B23" w:rsidRDefault="00D454F4"/>
    <w:p w:rsidR="00D454F4" w:rsidRPr="00407B23" w:rsidRDefault="00D454F4">
      <w:pPr>
        <w:ind w:firstLine="567"/>
      </w:pPr>
      <w:r w:rsidRPr="00407B23">
        <w:t>(a)</w:t>
      </w:r>
      <w:r w:rsidRPr="00407B23">
        <w:tab/>
        <w:t xml:space="preserve">In relation to subsequent applications of the same variety, the breeder must submit in all members of the </w:t>
      </w:r>
      <w:smartTag w:uri="urn:schemas-microsoft-com:office:smarttags" w:element="place">
        <w:r w:rsidRPr="00407B23">
          <w:t>Union</w:t>
        </w:r>
      </w:smartTag>
      <w:r w:rsidRPr="00407B23">
        <w:t xml:space="preserve"> the denomination that was submitted with the first application.  An exception to the above obligation might be appropriate when the proposed denomination is refused by one authority before the denomination is registered by any of the other members of the </w:t>
      </w:r>
      <w:smartTag w:uri="urn:schemas-microsoft-com:office:smarttags" w:element="place">
        <w:r w:rsidRPr="00407B23">
          <w:t>Union</w:t>
        </w:r>
      </w:smartTag>
      <w:r w:rsidRPr="00407B23">
        <w:t>, in which case the breeder is encouraged to submit a new denomination to all authorities in order to obtain a single denomination in all territories.</w:t>
      </w:r>
    </w:p>
    <w:p w:rsidR="00D454F4" w:rsidRPr="00407B23" w:rsidRDefault="00D454F4"/>
    <w:p w:rsidR="00D454F4" w:rsidRPr="00407B23" w:rsidRDefault="00D454F4">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D454F4" w:rsidRPr="00407B23" w:rsidRDefault="00D454F4">
      <w:pPr>
        <w:ind w:firstLine="567"/>
      </w:pPr>
    </w:p>
    <w:p w:rsidR="00D454F4" w:rsidRPr="00407B23" w:rsidRDefault="00D454F4" w:rsidP="00951A2C">
      <w:r w:rsidRPr="00407B23">
        <w:tab/>
        <w:t>(c)</w:t>
      </w:r>
      <w:r w:rsidRPr="00407B23">
        <w:tab/>
        <w:t>Due to different alphabetic scripts or systems of writing, it may be necessary to transliterate</w:t>
      </w:r>
      <w:r w:rsidRPr="00407B23">
        <w:rPr>
          <w:rStyle w:val="EndnoteReference"/>
        </w:rPr>
        <w:t xml:space="preserve"> </w:t>
      </w:r>
      <w:r w:rsidRPr="00407B23">
        <w:t xml:space="preserve">or transcribe the submitted denomination to enable its registration in another territory.  In such cases, both the variety denomination submitted in the application and its transliteration or transcription are regarded as the same denomination.  However, a </w:t>
      </w:r>
      <w:smartTag w:uri="urn:schemas-microsoft-com:office:smarttags" w:element="PersonName">
        <w:r w:rsidRPr="00407B23">
          <w:t>translation</w:t>
        </w:r>
      </w:smartTag>
      <w:r w:rsidRPr="00407B23">
        <w:t xml:space="preserve"> would not be considered as the same denomination.</w:t>
      </w:r>
    </w:p>
    <w:p w:rsidR="00D454F4" w:rsidRPr="00407B23" w:rsidRDefault="00D454F4"/>
    <w:p w:rsidR="00D454F4" w:rsidRPr="00407B23" w:rsidRDefault="00D454F4">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D454F4" w:rsidRPr="00407B23" w:rsidRDefault="00D454F4"/>
    <w:p w:rsidR="00D454F4" w:rsidRPr="00407B23" w:rsidRDefault="00D454F4">
      <w:pPr>
        <w:ind w:firstLine="567"/>
      </w:pPr>
      <w:r w:rsidRPr="00407B23">
        <w:t xml:space="preserve">(a)  </w:t>
      </w:r>
      <w:r w:rsidRPr="00407B23">
        <w:tab/>
        <w:t>it does not conform to the provisions in paragraphs (2) and (4); or</w:t>
      </w:r>
    </w:p>
    <w:p w:rsidR="00D454F4" w:rsidRPr="00407B23" w:rsidRDefault="00D454F4">
      <w:pPr>
        <w:ind w:firstLine="567"/>
      </w:pPr>
    </w:p>
    <w:p w:rsidR="00D454F4" w:rsidRPr="00407B23" w:rsidRDefault="00D454F4">
      <w:pPr>
        <w:ind w:firstLine="567"/>
      </w:pPr>
      <w:r w:rsidRPr="00407B23">
        <w:t xml:space="preserve">(b)  </w:t>
      </w:r>
      <w:r w:rsidRPr="00407B23">
        <w:tab/>
        <w:t>it is contrary to public policy.</w:t>
      </w:r>
    </w:p>
    <w:p w:rsidR="00D454F4" w:rsidRPr="00407B23" w:rsidRDefault="00D454F4">
      <w:pPr>
        <w:ind w:firstLine="567"/>
      </w:pPr>
    </w:p>
    <w:p w:rsidR="00D454F4" w:rsidRDefault="00D454F4" w:rsidP="00951A2C">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 xml:space="preserve">in different territories, a regional or international synonym register may be developed by UPOV and/or by some members of the </w:t>
      </w:r>
      <w:smartTag w:uri="urn:schemas-microsoft-com:office:smarttags" w:element="place">
        <w:r w:rsidRPr="00407B23">
          <w:t>Union</w:t>
        </w:r>
      </w:smartTag>
      <w:r w:rsidRPr="00407B23">
        <w:t>.</w:t>
      </w:r>
    </w:p>
    <w:p w:rsidR="00390257" w:rsidRPr="00407B23" w:rsidRDefault="00390257" w:rsidP="00951A2C"/>
    <w:p w:rsidR="00D454F4" w:rsidRPr="00407B23" w:rsidRDefault="00D454F4">
      <w:r w:rsidRPr="00407B23">
        <w:t>5.5</w:t>
      </w:r>
      <w:r w:rsidRPr="00407B23">
        <w:tab/>
        <w:t xml:space="preserve">To reduce the risk of a variety denomination being considered to be unsuitable within a territory in which protection is to be sought, members of the </w:t>
      </w:r>
      <w:smartTag w:uri="urn:schemas-microsoft-com:office:smarttags" w:element="place">
        <w:r w:rsidRPr="00407B23">
          <w:t>Union</w:t>
        </w:r>
      </w:smartTag>
      <w:r w:rsidRPr="00407B23">
        <w:t xml:space="preserve">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UPOV Plant Variety Database.  Members of the </w:t>
      </w:r>
      <w:smartTag w:uri="urn:schemas-microsoft-com:office:smarttags" w:element="place">
        <w:r w:rsidRPr="00407B23">
          <w:t>Union</w:t>
        </w:r>
      </w:smartTag>
      <w:r w:rsidRPr="00407B23">
        <w:t xml:space="preserve"> may also choose to provide customized variety denomination checking services.  Members of the </w:t>
      </w:r>
      <w:smartTag w:uri="urn:schemas-microsoft-com:office:smarttags" w:element="place">
        <w:r w:rsidRPr="00407B23">
          <w:t>Union</w:t>
        </w:r>
      </w:smartTag>
      <w:r w:rsidRPr="00407B23">
        <w:t xml:space="preserve"> are encouraged to use the UPOV website to provide information on, and links to, such resources. </w:t>
      </w:r>
    </w:p>
    <w:p w:rsidR="00D454F4" w:rsidRPr="00407B23" w:rsidRDefault="00D454F4">
      <w:pPr>
        <w:rPr>
          <w:b/>
        </w:rPr>
      </w:pPr>
    </w:p>
    <w:p w:rsidR="008D5BBB" w:rsidRDefault="008D5BBB">
      <w:pPr>
        <w:jc w:val="left"/>
        <w:rPr>
          <w:b/>
        </w:rPr>
      </w:pPr>
      <w:r>
        <w:rPr>
          <w:b/>
        </w:rPr>
        <w:br w:type="page"/>
      </w:r>
    </w:p>
    <w:p w:rsidR="00D454F4" w:rsidRPr="00407B23" w:rsidRDefault="00D454F4">
      <w:pPr>
        <w:jc w:val="center"/>
        <w:rPr>
          <w:b/>
        </w:rPr>
      </w:pPr>
      <w:r w:rsidRPr="00407B23">
        <w:rPr>
          <w:b/>
        </w:rPr>
        <w:lastRenderedPageBreak/>
        <w:t>Paragraph 6</w:t>
      </w:r>
    </w:p>
    <w:p w:rsidR="00D454F4" w:rsidRPr="00407B23" w:rsidRDefault="00D454F4"/>
    <w:p w:rsidR="00D454F4" w:rsidRPr="00407B23" w:rsidRDefault="00D454F4">
      <w:pPr>
        <w:rPr>
          <w:b/>
        </w:rPr>
      </w:pPr>
      <w:r w:rsidRPr="00407B23">
        <w:tab/>
      </w:r>
      <w:r w:rsidRPr="00407B23">
        <w:rPr>
          <w:b/>
        </w:rPr>
        <w:t>[</w:t>
      </w:r>
      <w:r w:rsidRPr="00407B23">
        <w:rPr>
          <w:b/>
          <w:i/>
        </w:rPr>
        <w:t>Information among the authorities of members of the Union</w:t>
      </w:r>
      <w:r w:rsidRPr="00407B23">
        <w:rPr>
          <w:b/>
        </w:rPr>
        <w:t xml:space="preserve">]  The authority of a member of the </w:t>
      </w:r>
      <w:smartTag w:uri="urn:schemas-microsoft-com:office:smarttags" w:element="place">
        <w:r w:rsidRPr="00407B23">
          <w:rPr>
            <w:b/>
          </w:rPr>
          <w:t>Union</w:t>
        </w:r>
      </w:smartTag>
      <w:r w:rsidRPr="00407B23">
        <w:rPr>
          <w:b/>
        </w:rPr>
        <w:t xml:space="preserve">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D454F4" w:rsidRPr="00407B23" w:rsidRDefault="00D454F4"/>
    <w:p w:rsidR="00D454F4" w:rsidRPr="00407B23" w:rsidRDefault="00D454F4">
      <w:pPr>
        <w:rPr>
          <w:i/>
        </w:rPr>
      </w:pPr>
      <w:r w:rsidRPr="00407B23">
        <w:rPr>
          <w:i/>
        </w:rPr>
        <w:t>Explanatory Notes – Paragraph (6)</w:t>
      </w:r>
    </w:p>
    <w:p w:rsidR="00D454F4" w:rsidRPr="00407B23" w:rsidRDefault="00D454F4"/>
    <w:p w:rsidR="00D454F4" w:rsidRPr="00407B23" w:rsidRDefault="00D454F4">
      <w:r w:rsidRPr="00407B23">
        <w:t>6.1</w:t>
      </w:r>
      <w:r w:rsidRPr="00407B23">
        <w:tab/>
        <w:t xml:space="preserve">Provisions of paragraph (6) indicate the importance of cooperation and exchange of information among authorities.  </w:t>
      </w:r>
    </w:p>
    <w:p w:rsidR="00D454F4" w:rsidRPr="00407B23" w:rsidRDefault="00D454F4"/>
    <w:p w:rsidR="00D454F4" w:rsidRPr="00407B23" w:rsidRDefault="00D454F4">
      <w:r w:rsidRPr="00407B23">
        <w:t>6.2</w:t>
      </w:r>
      <w:r w:rsidRPr="00407B23">
        <w:tab/>
        <w:t xml:space="preserve">The obligation to inform other members of the </w:t>
      </w:r>
      <w:smartTag w:uri="urn:schemas-microsoft-com:office:smarttags" w:element="place">
        <w:r w:rsidRPr="00407B23">
          <w:t>Union</w:t>
        </w:r>
      </w:smartTag>
      <w:r w:rsidRPr="00407B23">
        <w:t xml:space="preserve">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UPOV Plant Variety Database is an important mechanism by which to maximize the availability of information for members of the </w:t>
      </w:r>
      <w:smartTag w:uri="urn:schemas-microsoft-com:office:smarttags" w:element="place">
        <w:r w:rsidRPr="00407B23">
          <w:t>Union</w:t>
        </w:r>
      </w:smartTag>
      <w:r w:rsidRPr="00407B23">
        <w:t xml:space="preserve"> concerning variety denominations in a practical form.  </w:t>
      </w:r>
    </w:p>
    <w:p w:rsidR="00D454F4" w:rsidRPr="00407B23" w:rsidRDefault="00D454F4"/>
    <w:p w:rsidR="00D454F4" w:rsidRPr="00407B23" w:rsidRDefault="00D454F4">
      <w:r w:rsidRPr="00407B23">
        <w:t>6.3</w:t>
      </w:r>
      <w:r w:rsidRPr="00407B23">
        <w:tab/>
        <w:t xml:space="preserve">Paragraph (6) provides for the possibility for a member of the Union to make observations if it considers that a proposed denomination in another member of the </w:t>
      </w:r>
      <w:smartTag w:uri="urn:schemas-microsoft-com:office:smarttags" w:element="place">
        <w:r w:rsidRPr="00407B23">
          <w:t>Union</w:t>
        </w:r>
      </w:smartTag>
      <w:r w:rsidRPr="00407B23">
        <w:t xml:space="preserve">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w:t>
      </w:r>
      <w:smartTag w:uri="urn:schemas-microsoft-com:office:smarttags" w:element="place">
        <w:r w:rsidRPr="00407B23">
          <w:t>Union</w:t>
        </w:r>
      </w:smartTag>
      <w:r w:rsidRPr="00407B23">
        <w:t xml:space="preserve">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w:t>
      </w:r>
      <w:smartTag w:uri="urn:schemas-microsoft-com:office:smarttags" w:element="place">
        <w:r w:rsidRPr="00407B23">
          <w:t>Union</w:t>
        </w:r>
      </w:smartTag>
      <w:r w:rsidRPr="00407B23">
        <w:t xml:space="preserve"> which has transmitted the observation, the authority examining the proposed denomination should request the applicant to propose another denomination.</w:t>
      </w:r>
    </w:p>
    <w:p w:rsidR="00D454F4" w:rsidRPr="00407B23" w:rsidRDefault="00D454F4"/>
    <w:p w:rsidR="00D454F4" w:rsidRPr="00407B23" w:rsidRDefault="00D454F4">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D454F4" w:rsidRPr="00407B23" w:rsidRDefault="00D454F4"/>
    <w:p w:rsidR="00D454F4" w:rsidRPr="00407B23" w:rsidRDefault="00D454F4">
      <w:r w:rsidRPr="00407B23">
        <w:t>6.5</w:t>
      </w:r>
      <w:r w:rsidRPr="00407B23">
        <w:tab/>
        <w:t xml:space="preserve">It is recommended that a communication of the final decision be addressed to any authority which has transmitted an observation. </w:t>
      </w:r>
    </w:p>
    <w:p w:rsidR="00D454F4" w:rsidRPr="00407B23" w:rsidRDefault="00D454F4"/>
    <w:p w:rsidR="00D454F4" w:rsidRPr="00407B23" w:rsidRDefault="00D454F4">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D454F4" w:rsidRPr="00407B23" w:rsidRDefault="00D454F4"/>
    <w:p w:rsidR="00D454F4" w:rsidRPr="00407B23" w:rsidRDefault="00D454F4">
      <w:r w:rsidRPr="00407B23">
        <w:t>6.7</w:t>
      </w:r>
      <w:r w:rsidRPr="00407B23">
        <w:tab/>
        <w:t xml:space="preserve">A model form for observations on proposed denominations submitted in another member of the </w:t>
      </w:r>
      <w:smartTag w:uri="urn:schemas-microsoft-com:office:smarttags" w:element="place">
        <w:r w:rsidRPr="00407B23">
          <w:t>Union</w:t>
        </w:r>
      </w:smartTag>
      <w:r w:rsidRPr="00407B23">
        <w:t xml:space="preserve"> can be seen in Annex II.  A model form for a reply to observations can be seen in Annex III.  Copies of these communications should be sent at the same time to the authorities of the other members of the </w:t>
      </w:r>
      <w:smartTag w:uri="urn:schemas-microsoft-com:office:smarttags" w:element="place">
        <w:r w:rsidRPr="00407B23">
          <w:t>Union</w:t>
        </w:r>
      </w:smartTag>
      <w:r w:rsidRPr="00407B23">
        <w:t>.</w:t>
      </w:r>
    </w:p>
    <w:p w:rsidR="00D454F4" w:rsidRPr="00407B23" w:rsidRDefault="00D454F4" w:rsidP="00951A2C"/>
    <w:p w:rsidR="008D5BBB" w:rsidRDefault="008D5BBB">
      <w:pPr>
        <w:jc w:val="left"/>
        <w:rPr>
          <w:b/>
        </w:rPr>
      </w:pPr>
      <w:r>
        <w:rPr>
          <w:b/>
        </w:rPr>
        <w:br w:type="page"/>
      </w:r>
    </w:p>
    <w:p w:rsidR="00D454F4" w:rsidRPr="00407B23" w:rsidRDefault="00D454F4" w:rsidP="00951A2C">
      <w:pPr>
        <w:jc w:val="center"/>
        <w:rPr>
          <w:b/>
        </w:rPr>
      </w:pPr>
      <w:r w:rsidRPr="00407B23">
        <w:rPr>
          <w:b/>
        </w:rPr>
        <w:lastRenderedPageBreak/>
        <w:t>Paragraph 7</w:t>
      </w:r>
    </w:p>
    <w:p w:rsidR="00D454F4" w:rsidRPr="00407B23" w:rsidRDefault="00D454F4">
      <w:pPr>
        <w:rPr>
          <w:b/>
        </w:rPr>
      </w:pPr>
    </w:p>
    <w:p w:rsidR="00D454F4" w:rsidRPr="00407B23" w:rsidRDefault="00D454F4">
      <w:pPr>
        <w:rPr>
          <w:b/>
        </w:rPr>
      </w:pPr>
      <w:r w:rsidRPr="00407B23">
        <w:rPr>
          <w:b/>
        </w:rPr>
        <w:tab/>
        <w:t>[</w:t>
      </w:r>
      <w:r w:rsidRPr="00407B23">
        <w:rPr>
          <w:b/>
          <w:i/>
        </w:rPr>
        <w:t>Obligation to use the denomination</w:t>
      </w:r>
      <w:r w:rsidRPr="00407B23">
        <w:rPr>
          <w:b/>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D454F4" w:rsidRPr="00407B23" w:rsidRDefault="00D454F4"/>
    <w:p w:rsidR="00D454F4" w:rsidRDefault="00D454F4">
      <w:pPr>
        <w:rPr>
          <w:i/>
        </w:rPr>
      </w:pPr>
      <w:r w:rsidRPr="00407B23">
        <w:rPr>
          <w:i/>
        </w:rPr>
        <w:t>Explanatory Note – Paragraph (7)</w:t>
      </w:r>
      <w:r w:rsidR="00074DC6">
        <w:rPr>
          <w:i/>
        </w:rPr>
        <w:t xml:space="preserve"> </w:t>
      </w:r>
    </w:p>
    <w:p w:rsidR="00EC44C6" w:rsidRDefault="00EC44C6">
      <w:pPr>
        <w:rPr>
          <w:i/>
        </w:rPr>
      </w:pPr>
    </w:p>
    <w:p w:rsidR="00EC44C6" w:rsidRDefault="00EC44C6" w:rsidP="00EC44C6">
      <w:r w:rsidRPr="00407B23">
        <w:t>7.</w:t>
      </w:r>
      <w:r w:rsidRPr="00B81E24">
        <w:rPr>
          <w:highlight w:val="lightGray"/>
          <w:u w:val="single"/>
        </w:rPr>
        <w:t>1</w:t>
      </w:r>
      <w:r w:rsidRPr="00407B23">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w:t>
      </w:r>
      <w:r w:rsidRPr="00407B23">
        <w:br/>
        <w:t xml:space="preserve">“the breeder does not propose, where the denomination of the variety is cancelled after the grant of the right, another suitable denomination.”  </w:t>
      </w:r>
    </w:p>
    <w:p w:rsidR="00BA559F" w:rsidRDefault="00BA559F">
      <w:pPr>
        <w:rPr>
          <w:i/>
        </w:rPr>
      </w:pPr>
    </w:p>
    <w:p w:rsidR="00BA559F" w:rsidRPr="00EC44C6" w:rsidRDefault="00EC44C6">
      <w:pPr>
        <w:rPr>
          <w:highlight w:val="lightGray"/>
          <w:u w:val="single"/>
        </w:rPr>
      </w:pPr>
      <w:r w:rsidRPr="00631833">
        <w:rPr>
          <w:highlight w:val="lightGray"/>
          <w:u w:val="single"/>
        </w:rPr>
        <w:t>7.2</w:t>
      </w:r>
      <w:r w:rsidRPr="00631833">
        <w:rPr>
          <w:highlight w:val="lightGray"/>
          <w:u w:val="single"/>
        </w:rPr>
        <w:tab/>
      </w:r>
      <w:r w:rsidRPr="00EC44C6">
        <w:rPr>
          <w:highlight w:val="lightGray"/>
          <w:u w:val="single"/>
        </w:rPr>
        <w:t xml:space="preserve">The </w:t>
      </w:r>
      <w:r w:rsidR="0083477F">
        <w:rPr>
          <w:highlight w:val="lightGray"/>
          <w:u w:val="single"/>
        </w:rPr>
        <w:t xml:space="preserve">following items provide </w:t>
      </w:r>
      <w:r w:rsidRPr="00EC44C6">
        <w:rPr>
          <w:highlight w:val="lightGray"/>
          <w:u w:val="single"/>
        </w:rPr>
        <w:t>guidance in</w:t>
      </w:r>
      <w:r w:rsidR="00955DC0" w:rsidRPr="00EC44C6">
        <w:rPr>
          <w:highlight w:val="lightGray"/>
          <w:u w:val="single"/>
        </w:rPr>
        <w:t xml:space="preserve"> relation to changes </w:t>
      </w:r>
      <w:r w:rsidRPr="00EC44C6">
        <w:rPr>
          <w:highlight w:val="lightGray"/>
          <w:u w:val="single"/>
        </w:rPr>
        <w:t>of</w:t>
      </w:r>
      <w:r w:rsidR="00955DC0" w:rsidRPr="00EC44C6">
        <w:rPr>
          <w:highlight w:val="lightGray"/>
          <w:u w:val="single"/>
        </w:rPr>
        <w:t xml:space="preserve"> registered variety denominations:</w:t>
      </w:r>
    </w:p>
    <w:p w:rsidR="00955DC0" w:rsidRPr="00635473" w:rsidRDefault="00955DC0">
      <w:pPr>
        <w:rPr>
          <w:highlight w:val="lightGray"/>
          <w:u w:val="single"/>
        </w:rPr>
      </w:pPr>
    </w:p>
    <w:p w:rsidR="00955DC0" w:rsidRPr="008D5BBB" w:rsidRDefault="008D5BBB" w:rsidP="008D5BBB">
      <w:pPr>
        <w:ind w:firstLine="567"/>
        <w:rPr>
          <w:highlight w:val="lightGray"/>
          <w:u w:val="single"/>
        </w:rPr>
      </w:pPr>
      <w:r>
        <w:rPr>
          <w:highlight w:val="lightGray"/>
          <w:u w:val="single"/>
        </w:rPr>
        <w:t>(a)</w:t>
      </w:r>
      <w:r>
        <w:rPr>
          <w:highlight w:val="lightGray"/>
          <w:u w:val="single"/>
        </w:rPr>
        <w:tab/>
      </w:r>
      <w:r w:rsidR="00955DC0" w:rsidRPr="008D5BBB">
        <w:rPr>
          <w:highlight w:val="lightGray"/>
          <w:u w:val="single"/>
        </w:rPr>
        <w:t xml:space="preserve">The UPOV Convention requires </w:t>
      </w:r>
      <w:r w:rsidR="0083477F" w:rsidRPr="008D5BBB">
        <w:rPr>
          <w:highlight w:val="lightGray"/>
          <w:u w:val="single"/>
        </w:rPr>
        <w:t>a change</w:t>
      </w:r>
      <w:r w:rsidR="00EC176F" w:rsidRPr="008D5BBB">
        <w:rPr>
          <w:highlight w:val="lightGray"/>
          <w:u w:val="single"/>
        </w:rPr>
        <w:t xml:space="preserve"> of </w:t>
      </w:r>
      <w:r w:rsidR="0083477F" w:rsidRPr="008D5BBB">
        <w:rPr>
          <w:highlight w:val="lightGray"/>
          <w:u w:val="single"/>
        </w:rPr>
        <w:t xml:space="preserve">the </w:t>
      </w:r>
      <w:r w:rsidR="00EC176F" w:rsidRPr="008D5BBB">
        <w:rPr>
          <w:highlight w:val="lightGray"/>
          <w:u w:val="single"/>
        </w:rPr>
        <w:t xml:space="preserve">registered </w:t>
      </w:r>
      <w:r w:rsidR="0083477F" w:rsidRPr="008D5BBB">
        <w:rPr>
          <w:highlight w:val="lightGray"/>
          <w:u w:val="single"/>
        </w:rPr>
        <w:t>denomination</w:t>
      </w:r>
      <w:r w:rsidR="00955DC0" w:rsidRPr="008D5BBB">
        <w:rPr>
          <w:highlight w:val="lightGray"/>
          <w:u w:val="single"/>
        </w:rPr>
        <w:t xml:space="preserve"> where the denomination of the variety is cancelled </w:t>
      </w:r>
      <w:r w:rsidR="0083477F" w:rsidRPr="008D5BBB">
        <w:rPr>
          <w:highlight w:val="lightGray"/>
          <w:u w:val="single"/>
        </w:rPr>
        <w:t xml:space="preserve">after the grant of the right. The </w:t>
      </w:r>
      <w:r w:rsidR="00DE32A6" w:rsidRPr="008D5BBB">
        <w:rPr>
          <w:highlight w:val="lightGray"/>
          <w:u w:val="single"/>
        </w:rPr>
        <w:t>competent authority should cancel a</w:t>
      </w:r>
      <w:r w:rsidR="004F5BDC" w:rsidRPr="008D5BBB">
        <w:rPr>
          <w:highlight w:val="lightGray"/>
          <w:u w:val="single"/>
        </w:rPr>
        <w:t xml:space="preserve"> </w:t>
      </w:r>
      <w:r w:rsidR="00955DC0" w:rsidRPr="008D5BBB">
        <w:rPr>
          <w:highlight w:val="lightGray"/>
          <w:u w:val="single"/>
        </w:rPr>
        <w:t>variety denomination if</w:t>
      </w:r>
      <w:r w:rsidR="009D32C3">
        <w:rPr>
          <w:highlight w:val="lightGray"/>
          <w:u w:val="single"/>
        </w:rPr>
        <w:t>:</w:t>
      </w:r>
      <w:r w:rsidR="00955DC0" w:rsidRPr="008D5BBB">
        <w:rPr>
          <w:highlight w:val="lightGray"/>
          <w:u w:val="single"/>
        </w:rPr>
        <w:t xml:space="preserve"> </w:t>
      </w:r>
    </w:p>
    <w:p w:rsidR="007E64DF" w:rsidRPr="00635473" w:rsidRDefault="007E64DF" w:rsidP="007E64DF">
      <w:pPr>
        <w:pStyle w:val="ListParagraph"/>
        <w:rPr>
          <w:highlight w:val="lightGray"/>
          <w:u w:val="single"/>
        </w:rPr>
      </w:pPr>
    </w:p>
    <w:p w:rsidR="00955DC0" w:rsidRDefault="008D5BBB" w:rsidP="008D5BBB">
      <w:pPr>
        <w:ind w:firstLine="567"/>
        <w:rPr>
          <w:highlight w:val="lightGray"/>
          <w:u w:val="single"/>
        </w:rPr>
      </w:pPr>
      <w:r w:rsidRPr="008D5BBB">
        <w:tab/>
      </w:r>
      <w:r>
        <w:rPr>
          <w:highlight w:val="lightGray"/>
          <w:u w:val="single"/>
        </w:rPr>
        <w:t>(i)</w:t>
      </w:r>
      <w:r>
        <w:rPr>
          <w:highlight w:val="lightGray"/>
          <w:u w:val="single"/>
        </w:rPr>
        <w:tab/>
      </w:r>
      <w:r w:rsidR="00955DC0" w:rsidRPr="00635473">
        <w:rPr>
          <w:highlight w:val="lightGray"/>
          <w:u w:val="single"/>
        </w:rPr>
        <w:t>by reason of a prior right, the use of the denomination of a variety is forbidden to a person who, in accordance with the provisions of paragraph (7), is obliged to use it</w:t>
      </w:r>
      <w:r w:rsidR="00DE32A6" w:rsidRPr="00635473">
        <w:rPr>
          <w:highlight w:val="lightGray"/>
          <w:u w:val="single"/>
        </w:rPr>
        <w:t xml:space="preserve"> (see paragraph  </w:t>
      </w:r>
      <w:r w:rsidR="00EC176F" w:rsidRPr="00635473">
        <w:rPr>
          <w:highlight w:val="lightGray"/>
          <w:u w:val="single"/>
        </w:rPr>
        <w:t>(</w:t>
      </w:r>
      <w:r w:rsidR="00DE32A6" w:rsidRPr="00635473">
        <w:rPr>
          <w:highlight w:val="lightGray"/>
          <w:u w:val="single"/>
        </w:rPr>
        <w:t>4</w:t>
      </w:r>
      <w:r w:rsidR="00EC176F" w:rsidRPr="00635473">
        <w:rPr>
          <w:highlight w:val="lightGray"/>
          <w:u w:val="single"/>
        </w:rPr>
        <w:t>) “Prior rights of third persons”)</w:t>
      </w:r>
      <w:r w:rsidR="00955DC0" w:rsidRPr="00635473">
        <w:rPr>
          <w:highlight w:val="lightGray"/>
          <w:u w:val="single"/>
        </w:rPr>
        <w:t xml:space="preserve">; </w:t>
      </w:r>
    </w:p>
    <w:p w:rsidR="008D5BBB" w:rsidRPr="00635473" w:rsidRDefault="008D5BBB" w:rsidP="008D5BBB">
      <w:pPr>
        <w:ind w:firstLine="567"/>
        <w:rPr>
          <w:highlight w:val="lightGray"/>
          <w:u w:val="single"/>
        </w:rPr>
      </w:pPr>
    </w:p>
    <w:p w:rsidR="00955DC0" w:rsidRPr="00635473" w:rsidRDefault="008D5BBB" w:rsidP="008D5BBB">
      <w:pPr>
        <w:ind w:firstLine="567"/>
        <w:rPr>
          <w:highlight w:val="lightGray"/>
          <w:u w:val="single"/>
        </w:rPr>
      </w:pPr>
      <w:r w:rsidRPr="008D5BBB">
        <w:tab/>
      </w:r>
      <w:r>
        <w:rPr>
          <w:highlight w:val="lightGray"/>
          <w:u w:val="single"/>
        </w:rPr>
        <w:t>(ii)</w:t>
      </w:r>
      <w:r>
        <w:rPr>
          <w:highlight w:val="lightGray"/>
          <w:u w:val="single"/>
        </w:rPr>
        <w:tab/>
      </w:r>
      <w:r w:rsidR="00955DC0" w:rsidRPr="00635473">
        <w:rPr>
          <w:highlight w:val="lightGray"/>
          <w:u w:val="single"/>
        </w:rPr>
        <w:t xml:space="preserve">the denomination </w:t>
      </w:r>
      <w:r w:rsidR="00EC176F" w:rsidRPr="00635473">
        <w:rPr>
          <w:highlight w:val="lightGray"/>
          <w:u w:val="single"/>
        </w:rPr>
        <w:t xml:space="preserve">is </w:t>
      </w:r>
      <w:r w:rsidR="00955DC0" w:rsidRPr="00635473">
        <w:rPr>
          <w:highlight w:val="lightGray"/>
          <w:u w:val="single"/>
        </w:rPr>
        <w:t xml:space="preserve">unsuitable because it </w:t>
      </w:r>
      <w:r w:rsidR="00EC176F" w:rsidRPr="00635473">
        <w:rPr>
          <w:highlight w:val="lightGray"/>
          <w:u w:val="single"/>
        </w:rPr>
        <w:t xml:space="preserve">is </w:t>
      </w:r>
      <w:r w:rsidR="00955DC0" w:rsidRPr="00635473">
        <w:rPr>
          <w:highlight w:val="lightGray"/>
          <w:u w:val="single"/>
        </w:rPr>
        <w:t>contrary to the provisions in paragraph (2)</w:t>
      </w:r>
      <w:r w:rsidR="00EC176F" w:rsidRPr="00635473">
        <w:rPr>
          <w:highlight w:val="lightGray"/>
          <w:u w:val="single"/>
        </w:rPr>
        <w:t xml:space="preserve"> “Characteristics of the denomination”; </w:t>
      </w:r>
    </w:p>
    <w:p w:rsidR="00955DC0" w:rsidRDefault="00955DC0" w:rsidP="00EC176F">
      <w:pPr>
        <w:pStyle w:val="ListParagraph"/>
        <w:ind w:left="1854"/>
      </w:pPr>
    </w:p>
    <w:p w:rsidR="00A7110D" w:rsidRPr="00A7110D" w:rsidRDefault="008D5BBB" w:rsidP="008D5BBB">
      <w:pPr>
        <w:ind w:firstLine="567"/>
        <w:rPr>
          <w:u w:val="single"/>
        </w:rPr>
      </w:pPr>
      <w:r>
        <w:rPr>
          <w:highlight w:val="lightGray"/>
          <w:u w:val="single"/>
        </w:rPr>
        <w:t>(b)</w:t>
      </w:r>
      <w:r>
        <w:rPr>
          <w:highlight w:val="lightGray"/>
          <w:u w:val="single"/>
        </w:rPr>
        <w:tab/>
      </w:r>
      <w:r w:rsidR="00A7110D">
        <w:rPr>
          <w:highlight w:val="lightGray"/>
          <w:u w:val="single"/>
        </w:rPr>
        <w:t>In cases where t</w:t>
      </w:r>
      <w:r w:rsidR="00A7110D" w:rsidRPr="00A7110D">
        <w:rPr>
          <w:highlight w:val="lightGray"/>
          <w:u w:val="single"/>
        </w:rPr>
        <w:t xml:space="preserve">he </w:t>
      </w:r>
      <w:r w:rsidR="00A7110D">
        <w:rPr>
          <w:highlight w:val="lightGray"/>
          <w:u w:val="single"/>
        </w:rPr>
        <w:t xml:space="preserve">registered </w:t>
      </w:r>
      <w:r w:rsidR="00A7110D" w:rsidRPr="00A7110D">
        <w:rPr>
          <w:highlight w:val="lightGray"/>
          <w:u w:val="single"/>
        </w:rPr>
        <w:t xml:space="preserve">denomination </w:t>
      </w:r>
      <w:r w:rsidR="0083477F">
        <w:rPr>
          <w:highlight w:val="lightGray"/>
          <w:u w:val="single"/>
        </w:rPr>
        <w:t>is</w:t>
      </w:r>
      <w:r w:rsidR="00A7110D" w:rsidRPr="00A7110D">
        <w:rPr>
          <w:highlight w:val="lightGray"/>
          <w:u w:val="single"/>
        </w:rPr>
        <w:t xml:space="preserve"> subsequently refused in another member</w:t>
      </w:r>
      <w:r w:rsidR="00A7110D">
        <w:rPr>
          <w:highlight w:val="lightGray"/>
          <w:u w:val="single"/>
        </w:rPr>
        <w:t xml:space="preserve"> of the Union because it </w:t>
      </w:r>
      <w:r w:rsidR="0083477F">
        <w:rPr>
          <w:highlight w:val="lightGray"/>
          <w:u w:val="single"/>
        </w:rPr>
        <w:t>is</w:t>
      </w:r>
      <w:r w:rsidR="00A7110D">
        <w:rPr>
          <w:highlight w:val="lightGray"/>
          <w:u w:val="single"/>
        </w:rPr>
        <w:t xml:space="preserve"> unsuitable in that territory (e,g, prior right)</w:t>
      </w:r>
      <w:r w:rsidR="00A7110D" w:rsidRPr="00A7110D">
        <w:rPr>
          <w:highlight w:val="lightGray"/>
          <w:u w:val="single"/>
        </w:rPr>
        <w:t xml:space="preserve">, at the request of the breeder, the authority </w:t>
      </w:r>
      <w:r w:rsidR="00A7110D">
        <w:rPr>
          <w:highlight w:val="lightGray"/>
          <w:u w:val="single"/>
        </w:rPr>
        <w:t xml:space="preserve">may consider </w:t>
      </w:r>
      <w:r w:rsidR="0083477F">
        <w:rPr>
          <w:highlight w:val="lightGray"/>
          <w:u w:val="single"/>
        </w:rPr>
        <w:t xml:space="preserve">it </w:t>
      </w:r>
      <w:r w:rsidR="00A7110D">
        <w:rPr>
          <w:highlight w:val="lightGray"/>
          <w:u w:val="single"/>
        </w:rPr>
        <w:t>appropriate</w:t>
      </w:r>
      <w:r w:rsidR="00A7110D" w:rsidRPr="00A7110D">
        <w:rPr>
          <w:highlight w:val="lightGray"/>
          <w:u w:val="single"/>
        </w:rPr>
        <w:t xml:space="preserve"> to change the denomination to the </w:t>
      </w:r>
      <w:r w:rsidR="0083477F">
        <w:rPr>
          <w:highlight w:val="lightGray"/>
          <w:u w:val="single"/>
        </w:rPr>
        <w:t>denomination</w:t>
      </w:r>
      <w:r w:rsidR="00A7110D" w:rsidRPr="00A7110D">
        <w:rPr>
          <w:highlight w:val="lightGray"/>
          <w:u w:val="single"/>
        </w:rPr>
        <w:t xml:space="preserve"> registered in the said other member of the Union (see provisions in paragraph (5)</w:t>
      </w:r>
      <w:r w:rsidR="00602405">
        <w:rPr>
          <w:highlight w:val="lightGray"/>
          <w:u w:val="single"/>
        </w:rPr>
        <w:t xml:space="preserve"> “Same denomination in all Contracting Parties</w:t>
      </w:r>
      <w:r w:rsidR="00602405" w:rsidRPr="0083477F">
        <w:rPr>
          <w:highlight w:val="lightGray"/>
          <w:u w:val="single"/>
        </w:rPr>
        <w:t>”</w:t>
      </w:r>
      <w:r w:rsidR="00A7110D" w:rsidRPr="0083477F">
        <w:rPr>
          <w:highlight w:val="lightGray"/>
          <w:u w:val="single"/>
        </w:rPr>
        <w:t>)</w:t>
      </w:r>
      <w:r w:rsidR="00EC44C6" w:rsidRPr="0083477F">
        <w:rPr>
          <w:highlight w:val="lightGray"/>
          <w:u w:val="single"/>
        </w:rPr>
        <w:t>;</w:t>
      </w:r>
      <w:r w:rsidR="0083477F" w:rsidRPr="0083477F">
        <w:rPr>
          <w:highlight w:val="lightGray"/>
          <w:u w:val="single"/>
        </w:rPr>
        <w:t xml:space="preserve"> and</w:t>
      </w:r>
    </w:p>
    <w:p w:rsidR="00C41DAA" w:rsidRDefault="00C41DAA" w:rsidP="00EC44C6"/>
    <w:p w:rsidR="00BA559F" w:rsidRPr="00752EAB" w:rsidRDefault="008D5BBB" w:rsidP="008D5BBB">
      <w:pPr>
        <w:ind w:firstLine="567"/>
        <w:rPr>
          <w:b/>
        </w:rPr>
      </w:pPr>
      <w:r>
        <w:rPr>
          <w:highlight w:val="lightGray"/>
          <w:u w:val="single"/>
        </w:rPr>
        <w:t>(c)</w:t>
      </w:r>
      <w:r>
        <w:rPr>
          <w:highlight w:val="lightGray"/>
          <w:u w:val="single"/>
        </w:rPr>
        <w:tab/>
      </w:r>
      <w:r w:rsidR="0083477F">
        <w:rPr>
          <w:highlight w:val="lightGray"/>
          <w:u w:val="single"/>
        </w:rPr>
        <w:t>In general, s</w:t>
      </w:r>
      <w:r w:rsidR="00752EAB" w:rsidRPr="00752EAB">
        <w:rPr>
          <w:highlight w:val="lightGray"/>
          <w:u w:val="single"/>
        </w:rPr>
        <w:t xml:space="preserve">ubject to (a) and (b) above, it would not be appropriate for the authority to change </w:t>
      </w:r>
      <w:r w:rsidR="00602405" w:rsidRPr="00752EAB">
        <w:rPr>
          <w:highlight w:val="lightGray"/>
          <w:u w:val="single"/>
        </w:rPr>
        <w:t>a registered denomination</w:t>
      </w:r>
      <w:r w:rsidR="0083477F">
        <w:rPr>
          <w:highlight w:val="lightGray"/>
          <w:u w:val="single"/>
        </w:rPr>
        <w:t xml:space="preserve"> following a </w:t>
      </w:r>
      <w:r w:rsidR="00752EAB" w:rsidRPr="00752EAB">
        <w:rPr>
          <w:highlight w:val="lightGray"/>
          <w:u w:val="single"/>
        </w:rPr>
        <w:t>request by the breeder</w:t>
      </w:r>
      <w:r w:rsidR="0083477F">
        <w:rPr>
          <w:u w:val="single"/>
        </w:rPr>
        <w:t>.</w:t>
      </w:r>
    </w:p>
    <w:p w:rsidR="0083477F" w:rsidRPr="00D015D8" w:rsidRDefault="0083477F">
      <w:pPr>
        <w:rPr>
          <w:u w:val="single"/>
        </w:rPr>
      </w:pPr>
    </w:p>
    <w:p w:rsidR="0083477F" w:rsidRDefault="0083477F"/>
    <w:tbl>
      <w:tblPr>
        <w:tblStyle w:val="TableGrid"/>
        <w:tblW w:w="0" w:type="auto"/>
        <w:tblLook w:val="04A0" w:firstRow="1" w:lastRow="0" w:firstColumn="1" w:lastColumn="0" w:noHBand="0" w:noVBand="1"/>
      </w:tblPr>
      <w:tblGrid>
        <w:gridCol w:w="9855"/>
      </w:tblGrid>
      <w:tr w:rsidR="00002612" w:rsidTr="00002612">
        <w:tc>
          <w:tcPr>
            <w:tcW w:w="9855" w:type="dxa"/>
          </w:tcPr>
          <w:p w:rsidR="007B48D7" w:rsidRDefault="007B48D7" w:rsidP="00002612">
            <w:pPr>
              <w:rPr>
                <w:sz w:val="18"/>
                <w:szCs w:val="18"/>
                <w:u w:val="single"/>
              </w:rPr>
            </w:pPr>
          </w:p>
          <w:p w:rsidR="00002612" w:rsidRPr="00B73632" w:rsidRDefault="00002612" w:rsidP="00002612">
            <w:pPr>
              <w:rPr>
                <w:sz w:val="18"/>
                <w:szCs w:val="18"/>
              </w:rPr>
            </w:pPr>
            <w:r w:rsidRPr="00B73632">
              <w:rPr>
                <w:sz w:val="18"/>
                <w:szCs w:val="18"/>
                <w:u w:val="single"/>
              </w:rPr>
              <w:t>Proposal by APBREBES</w:t>
            </w:r>
            <w:r w:rsidR="007B48D7" w:rsidRPr="00B73632">
              <w:rPr>
                <w:sz w:val="18"/>
                <w:szCs w:val="18"/>
              </w:rPr>
              <w:t xml:space="preserve"> </w:t>
            </w:r>
            <w:r w:rsidR="00501144" w:rsidRPr="00B73632">
              <w:rPr>
                <w:rStyle w:val="EndnoteReference"/>
                <w:b/>
                <w:sz w:val="18"/>
                <w:szCs w:val="18"/>
              </w:rPr>
              <w:endnoteReference w:id="17"/>
            </w:r>
          </w:p>
          <w:p w:rsidR="00002612" w:rsidRPr="00B73632" w:rsidRDefault="00002612" w:rsidP="00002612">
            <w:pPr>
              <w:rPr>
                <w:sz w:val="18"/>
                <w:szCs w:val="18"/>
              </w:rPr>
            </w:pPr>
          </w:p>
          <w:p w:rsidR="007B48D7" w:rsidRPr="00B73632" w:rsidRDefault="007B48D7" w:rsidP="00002612">
            <w:pPr>
              <w:rPr>
                <w:sz w:val="18"/>
                <w:szCs w:val="18"/>
              </w:rPr>
            </w:pPr>
            <w:r w:rsidRPr="00B73632">
              <w:rPr>
                <w:sz w:val="18"/>
                <w:szCs w:val="18"/>
              </w:rPr>
              <w:t>To replace 7.2 (c) as follows:</w:t>
            </w:r>
          </w:p>
          <w:p w:rsidR="007B48D7" w:rsidRPr="00B73632" w:rsidRDefault="007B48D7" w:rsidP="00002612">
            <w:pPr>
              <w:rPr>
                <w:sz w:val="18"/>
                <w:szCs w:val="18"/>
              </w:rPr>
            </w:pPr>
          </w:p>
          <w:p w:rsidR="00002612" w:rsidRPr="00B73632" w:rsidRDefault="005A7B69" w:rsidP="00002612">
            <w:pPr>
              <w:autoSpaceDE w:val="0"/>
              <w:autoSpaceDN w:val="0"/>
              <w:adjustRightInd w:val="0"/>
              <w:rPr>
                <w:rFonts w:ascii="SegoeUI" w:hAnsi="SegoeUI" w:cs="SegoeUI"/>
                <w:sz w:val="18"/>
                <w:szCs w:val="18"/>
                <w:u w:val="single"/>
              </w:rPr>
            </w:pPr>
            <w:r>
              <w:rPr>
                <w:rFonts w:ascii="SegoeUI" w:hAnsi="SegoeUI" w:cs="SegoeUI"/>
                <w:sz w:val="18"/>
                <w:szCs w:val="18"/>
              </w:rPr>
              <w:tab/>
            </w:r>
            <w:r w:rsidR="00B73632">
              <w:rPr>
                <w:rFonts w:ascii="SegoeUI" w:hAnsi="SegoeUI" w:cs="SegoeUI"/>
                <w:sz w:val="18"/>
                <w:szCs w:val="18"/>
              </w:rPr>
              <w:t>“</w:t>
            </w:r>
            <w:r w:rsidR="002E3B56">
              <w:rPr>
                <w:rFonts w:ascii="SegoeUI" w:hAnsi="SegoeUI" w:cs="SegoeUI"/>
                <w:sz w:val="18"/>
                <w:szCs w:val="18"/>
              </w:rPr>
              <w:t>(c)</w:t>
            </w:r>
            <w:r w:rsidR="002E3B56">
              <w:rPr>
                <w:rFonts w:ascii="SegoeUI" w:hAnsi="SegoeUI" w:cs="SegoeUI"/>
                <w:sz w:val="18"/>
                <w:szCs w:val="18"/>
              </w:rPr>
              <w:tab/>
            </w:r>
            <w:r w:rsidR="00002612" w:rsidRPr="00B73632">
              <w:rPr>
                <w:rFonts w:ascii="SegoeUI" w:hAnsi="SegoeUI" w:cs="SegoeUI"/>
                <w:strike/>
                <w:sz w:val="18"/>
                <w:szCs w:val="18"/>
              </w:rPr>
              <w:t>In general</w:t>
            </w:r>
            <w:r w:rsidR="00002612" w:rsidRPr="00B73632">
              <w:rPr>
                <w:rFonts w:ascii="SegoeUI" w:hAnsi="SegoeUI" w:cs="SegoeUI"/>
                <w:sz w:val="18"/>
                <w:szCs w:val="18"/>
              </w:rPr>
              <w:t xml:space="preserve">, subject to (a) and (b) above, </w:t>
            </w:r>
            <w:r w:rsidR="00002612" w:rsidRPr="00B73632">
              <w:rPr>
                <w:rFonts w:ascii="SegoeUI" w:hAnsi="SegoeUI" w:cs="SegoeUI"/>
                <w:strike/>
                <w:sz w:val="18"/>
                <w:szCs w:val="18"/>
              </w:rPr>
              <w:t>it would not be appropriate for the authority to change</w:t>
            </w:r>
            <w:r w:rsidR="00002612" w:rsidRPr="00B73632">
              <w:rPr>
                <w:rFonts w:ascii="SegoeUI" w:hAnsi="SegoeUI" w:cs="SegoeUI"/>
                <w:sz w:val="18"/>
                <w:szCs w:val="18"/>
              </w:rPr>
              <w:t xml:space="preserve"> </w:t>
            </w:r>
            <w:r w:rsidR="00002612" w:rsidRPr="00B73632">
              <w:rPr>
                <w:rFonts w:ascii="SegoeUI" w:hAnsi="SegoeUI" w:cs="SegoeUI"/>
                <w:sz w:val="18"/>
                <w:szCs w:val="18"/>
                <w:u w:val="single"/>
              </w:rPr>
              <w:t xml:space="preserve">a change of </w:t>
            </w:r>
            <w:r w:rsidR="00002612" w:rsidRPr="00B73632">
              <w:rPr>
                <w:rFonts w:ascii="SegoeUI" w:hAnsi="SegoeUI" w:cs="SegoeUI"/>
                <w:sz w:val="18"/>
                <w:szCs w:val="18"/>
              </w:rPr>
              <w:t xml:space="preserve">a registered denomination following a request by the breeder </w:t>
            </w:r>
            <w:r w:rsidR="00002612" w:rsidRPr="00B73632">
              <w:rPr>
                <w:rFonts w:ascii="SegoeUI" w:hAnsi="SegoeUI" w:cs="SegoeUI"/>
                <w:sz w:val="18"/>
                <w:szCs w:val="18"/>
                <w:u w:val="single"/>
              </w:rPr>
              <w:t>is generally not possible</w:t>
            </w:r>
            <w:r w:rsidR="00002612" w:rsidRPr="00B73632">
              <w:rPr>
                <w:rFonts w:ascii="SegoeUI" w:hAnsi="SegoeUI" w:cs="SegoeUI"/>
                <w:sz w:val="18"/>
                <w:szCs w:val="18"/>
              </w:rPr>
              <w:t xml:space="preserve">. </w:t>
            </w:r>
            <w:r w:rsidR="00002612" w:rsidRPr="00B73632">
              <w:rPr>
                <w:rFonts w:ascii="SegoeUI" w:hAnsi="SegoeUI" w:cs="SegoeUI"/>
                <w:sz w:val="18"/>
                <w:szCs w:val="18"/>
                <w:u w:val="single"/>
              </w:rPr>
              <w:t>Exceptional circumstances will be considered on case by case basis. If the denomination is changed, the original denomination must remain transparent for the farmer and mentioned next to the new denomination.</w:t>
            </w:r>
            <w:r w:rsidR="00B73632">
              <w:rPr>
                <w:rFonts w:ascii="SegoeUI" w:hAnsi="SegoeUI" w:cs="SegoeUI"/>
                <w:sz w:val="18"/>
                <w:szCs w:val="18"/>
                <w:u w:val="single"/>
              </w:rPr>
              <w:t>”</w:t>
            </w:r>
          </w:p>
          <w:p w:rsidR="00002612" w:rsidRDefault="00002612" w:rsidP="00002612"/>
        </w:tc>
      </w:tr>
    </w:tbl>
    <w:p w:rsidR="0083477F" w:rsidRDefault="0083477F"/>
    <w:p w:rsidR="0083477F" w:rsidRPr="00407B23" w:rsidRDefault="0083477F"/>
    <w:p w:rsidR="00D454F4" w:rsidRPr="00407B23" w:rsidRDefault="00D454F4"/>
    <w:p w:rsidR="00D454F4" w:rsidRPr="00407B23" w:rsidRDefault="00D454F4">
      <w:pPr>
        <w:jc w:val="center"/>
        <w:rPr>
          <w:b/>
        </w:rPr>
      </w:pPr>
      <w:r w:rsidRPr="00407B23">
        <w:rPr>
          <w:b/>
        </w:rPr>
        <w:t>Paragraph 8</w:t>
      </w:r>
    </w:p>
    <w:p w:rsidR="00D454F4" w:rsidRPr="00407B23" w:rsidRDefault="00D454F4"/>
    <w:p w:rsidR="00D454F4" w:rsidRPr="00407B23" w:rsidRDefault="00D454F4">
      <w:pPr>
        <w:rPr>
          <w:b/>
        </w:rPr>
      </w:pPr>
      <w:r w:rsidRPr="00407B23">
        <w:tab/>
      </w:r>
      <w:r w:rsidRPr="00407B23">
        <w:rPr>
          <w:b/>
        </w:rPr>
        <w:t>[</w:t>
      </w:r>
      <w:r w:rsidRPr="00407B23">
        <w:rPr>
          <w:b/>
          <w:i/>
        </w:rPr>
        <w:t>Indications used in association with denominations</w:t>
      </w:r>
      <w:r w:rsidRPr="00407B23">
        <w:rPr>
          <w:b/>
        </w:rPr>
        <w:t>]  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D454F4" w:rsidRPr="00407B23" w:rsidRDefault="00D454F4"/>
    <w:p w:rsidR="00D454F4" w:rsidRPr="00407B23" w:rsidRDefault="00D454F4">
      <w:r w:rsidRPr="00407B23">
        <w:tab/>
        <w:t>This provision is self-explanatory.</w:t>
      </w:r>
    </w:p>
    <w:p w:rsidR="00D454F4" w:rsidRDefault="00D454F4">
      <w:pPr>
        <w:jc w:val="right"/>
      </w:pPr>
    </w:p>
    <w:p w:rsidR="007B48D7" w:rsidRPr="00407B23" w:rsidRDefault="007B48D7">
      <w:pPr>
        <w:jc w:val="right"/>
      </w:pPr>
    </w:p>
    <w:p w:rsidR="00D454F4" w:rsidRPr="00407B23" w:rsidRDefault="00D454F4">
      <w:pPr>
        <w:jc w:val="right"/>
      </w:pPr>
      <w:r w:rsidRPr="00407B23">
        <w:t>[Annexes follow]</w:t>
      </w:r>
    </w:p>
    <w:p w:rsidR="00D454F4" w:rsidRPr="00407B23" w:rsidRDefault="00D454F4" w:rsidP="00951A2C"/>
    <w:p w:rsidR="00D454F4" w:rsidRPr="00407B23" w:rsidRDefault="00D454F4">
      <w:pPr>
        <w:jc w:val="right"/>
        <w:sectPr w:rsidR="00D454F4" w:rsidRPr="00407B23" w:rsidSect="00951A2C">
          <w:headerReference w:type="default" r:id="rId11"/>
          <w:endnotePr>
            <w:numFmt w:val="lowerLetter"/>
          </w:endnotePr>
          <w:pgSz w:w="11907" w:h="16840" w:code="9"/>
          <w:pgMar w:top="510" w:right="1134" w:bottom="1134" w:left="1134" w:header="510" w:footer="624" w:gutter="0"/>
          <w:cols w:space="720"/>
          <w:titlePg/>
        </w:sectPr>
      </w:pPr>
    </w:p>
    <w:p w:rsidR="00D454F4" w:rsidRPr="00DE1471" w:rsidRDefault="00D454F4" w:rsidP="00951A2C">
      <w:pPr>
        <w:spacing w:line="240" w:lineRule="atLeast"/>
        <w:jc w:val="center"/>
        <w:rPr>
          <w:u w:val="single"/>
        </w:rPr>
      </w:pPr>
      <w:r w:rsidRPr="00DE1471">
        <w:rPr>
          <w:u w:val="single"/>
        </w:rPr>
        <w:lastRenderedPageBreak/>
        <w:t xml:space="preserve">UPOV Variety Denomination Classes:  </w:t>
      </w:r>
      <w:r w:rsidRPr="00DE1471">
        <w:rPr>
          <w:u w:val="single"/>
        </w:rPr>
        <w:br/>
        <w:t>A Variety Denomination Should not be Used More than Once in the Same Class</w:t>
      </w:r>
    </w:p>
    <w:p w:rsidR="00D454F4" w:rsidRPr="00407B23" w:rsidRDefault="00D454F4">
      <w:pPr>
        <w:spacing w:line="240" w:lineRule="atLeast"/>
        <w:rPr>
          <w:b/>
        </w:rPr>
      </w:pPr>
    </w:p>
    <w:p w:rsidR="00D454F4" w:rsidRPr="00407B23" w:rsidRDefault="00D454F4">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D454F4" w:rsidRPr="00407B23" w:rsidRDefault="00D454F4">
      <w:pPr>
        <w:spacing w:line="240" w:lineRule="atLeast"/>
      </w:pPr>
    </w:p>
    <w:p w:rsidR="00D454F4" w:rsidRPr="00407B23" w:rsidRDefault="00D454F4">
      <w:pPr>
        <w:spacing w:line="240" w:lineRule="atLeast"/>
      </w:pPr>
      <w:r w:rsidRPr="00407B23">
        <w:t xml:space="preserve">The variety denomination classes are as follows:  </w:t>
      </w:r>
    </w:p>
    <w:p w:rsidR="00D454F4" w:rsidRPr="00407B23" w:rsidRDefault="00D454F4">
      <w:pPr>
        <w:spacing w:line="240" w:lineRule="atLeast"/>
      </w:pPr>
    </w:p>
    <w:p w:rsidR="00D454F4" w:rsidRPr="00DE1471" w:rsidRDefault="00D454F4" w:rsidP="00951A2C">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D454F4" w:rsidRPr="00DE1471" w:rsidRDefault="00D454F4" w:rsidP="00951A2C">
      <w:pPr>
        <w:pStyle w:val="BodyTextIndent"/>
        <w:ind w:left="0"/>
        <w:rPr>
          <w:lang w:val="en-US"/>
        </w:rPr>
      </w:pPr>
    </w:p>
    <w:p w:rsidR="00D454F4" w:rsidRPr="00DE1471" w:rsidRDefault="00D454F4" w:rsidP="00951A2C">
      <w:pPr>
        <w:pStyle w:val="BodyTextIndent"/>
        <w:ind w:left="0" w:firstLine="567"/>
        <w:rPr>
          <w:lang w:val="en-US"/>
        </w:rPr>
      </w:pPr>
      <w:r w:rsidRPr="00DE1471">
        <w:rPr>
          <w:lang w:val="en-US"/>
        </w:rPr>
        <w:t>(b)</w:t>
      </w:r>
      <w:r w:rsidRPr="00DE1471">
        <w:rPr>
          <w:lang w:val="en-US"/>
        </w:rPr>
        <w:tab/>
        <w:t xml:space="preserve">Exceptions to the General Rule (list of classes):  </w:t>
      </w:r>
    </w:p>
    <w:p w:rsidR="00D454F4" w:rsidRPr="00DE1471" w:rsidRDefault="00D454F4" w:rsidP="00951A2C">
      <w:pPr>
        <w:pStyle w:val="BodyTextIndent"/>
        <w:tabs>
          <w:tab w:val="right" w:pos="1134"/>
        </w:tabs>
        <w:ind w:left="0"/>
        <w:rPr>
          <w:lang w:val="en-US"/>
        </w:rPr>
      </w:pPr>
    </w:p>
    <w:p w:rsidR="00D454F4" w:rsidRPr="00407B23" w:rsidRDefault="00D454F4" w:rsidP="00951A2C">
      <w:pPr>
        <w:tabs>
          <w:tab w:val="right" w:pos="1134"/>
          <w:tab w:val="left" w:pos="1418"/>
        </w:tabs>
      </w:pPr>
      <w:r w:rsidRPr="00407B23">
        <w:tab/>
        <w:t>(i)</w:t>
      </w:r>
      <w:r w:rsidRPr="00407B23">
        <w:tab/>
        <w:t xml:space="preserve">classes within a genus:  List of classes in this Annex:  Part I;  </w:t>
      </w:r>
    </w:p>
    <w:p w:rsidR="00D454F4" w:rsidRPr="00407B23" w:rsidRDefault="00D454F4" w:rsidP="00951A2C">
      <w:pPr>
        <w:tabs>
          <w:tab w:val="right" w:pos="1134"/>
          <w:tab w:val="left" w:pos="1418"/>
        </w:tabs>
      </w:pPr>
    </w:p>
    <w:p w:rsidR="00D454F4" w:rsidRPr="00407B23" w:rsidRDefault="00D454F4" w:rsidP="00951A2C">
      <w:pPr>
        <w:tabs>
          <w:tab w:val="right" w:pos="1134"/>
          <w:tab w:val="left" w:pos="1418"/>
        </w:tabs>
      </w:pPr>
      <w:r w:rsidRPr="00407B23">
        <w:tab/>
        <w:t>(ii)</w:t>
      </w:r>
      <w:r w:rsidRPr="00407B23">
        <w:tab/>
        <w:t>classes encompassing more than one genus:  List of classes in this Annex:  Part II.</w:t>
      </w:r>
    </w:p>
    <w:p w:rsidR="00D454F4" w:rsidRDefault="00D454F4" w:rsidP="00951A2C">
      <w:pPr>
        <w:pStyle w:val="BodyTextIndent"/>
        <w:ind w:left="0"/>
        <w:rPr>
          <w:lang w:val="en-US"/>
        </w:rPr>
      </w:pPr>
    </w:p>
    <w:p w:rsidR="00D454F4" w:rsidRPr="00DE1471" w:rsidRDefault="00D454F4" w:rsidP="00951A2C">
      <w:pPr>
        <w:pStyle w:val="BodyTextIndent"/>
        <w:ind w:left="0"/>
        <w:rPr>
          <w:lang w:val="en-US"/>
        </w:rPr>
      </w:pPr>
    </w:p>
    <w:p w:rsidR="00D454F4" w:rsidRPr="00407B23" w:rsidRDefault="00D454F4">
      <w:pPr>
        <w:jc w:val="center"/>
      </w:pPr>
      <w:r w:rsidRPr="00407B23">
        <w:t>LIST OF CLASSES</w:t>
      </w:r>
    </w:p>
    <w:p w:rsidR="00D454F4" w:rsidRPr="00DE1471" w:rsidRDefault="00D454F4">
      <w:pPr>
        <w:rPr>
          <w:u w:val="single"/>
        </w:rPr>
      </w:pPr>
    </w:p>
    <w:p w:rsidR="00D454F4" w:rsidRPr="00DE1471" w:rsidRDefault="00D454F4">
      <w:pPr>
        <w:pStyle w:val="Heading8"/>
      </w:pPr>
      <w:r w:rsidRPr="00DE1471">
        <w:t>Part I</w:t>
      </w:r>
    </w:p>
    <w:p w:rsidR="00D454F4" w:rsidRPr="00DE1471" w:rsidRDefault="00D454F4" w:rsidP="005A7B69">
      <w:pPr>
        <w:pStyle w:val="EndnoteText"/>
      </w:pPr>
    </w:p>
    <w:p w:rsidR="00D454F4" w:rsidRPr="00DE1471" w:rsidRDefault="00D454F4" w:rsidP="00951A2C">
      <w:pPr>
        <w:jc w:val="center"/>
        <w:rPr>
          <w:i/>
        </w:rPr>
      </w:pPr>
      <w:r w:rsidRPr="00DE1471">
        <w:rPr>
          <w:i/>
        </w:rPr>
        <w:t>Classes within a genus</w:t>
      </w:r>
    </w:p>
    <w:p w:rsidR="00D454F4" w:rsidRDefault="00D454F4">
      <w:pPr>
        <w:pStyle w:val="Style1"/>
        <w:tabs>
          <w:tab w:val="clear" w:pos="907"/>
          <w:tab w:val="clear" w:pos="1077"/>
        </w:tabs>
        <w:rPr>
          <w:szCs w:val="20"/>
        </w:rPr>
      </w:pPr>
    </w:p>
    <w:p w:rsidR="00D454F4" w:rsidRPr="00DE1471" w:rsidRDefault="00D454F4">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D454F4" w:rsidRPr="00407B23" w:rsidTr="00951A2C">
        <w:trPr>
          <w:cantSplit/>
          <w:tblHeader/>
        </w:trPr>
        <w:tc>
          <w:tcPr>
            <w:tcW w:w="1418" w:type="dxa"/>
            <w:vAlign w:val="center"/>
          </w:tcPr>
          <w:p w:rsidR="00D454F4" w:rsidRPr="00DE1471" w:rsidRDefault="00D454F4" w:rsidP="00951A2C">
            <w:pPr>
              <w:spacing w:before="40" w:after="60"/>
              <w:jc w:val="left"/>
              <w:rPr>
                <w:u w:val="single"/>
              </w:rPr>
            </w:pPr>
          </w:p>
        </w:tc>
        <w:tc>
          <w:tcPr>
            <w:tcW w:w="5670" w:type="dxa"/>
            <w:vAlign w:val="center"/>
          </w:tcPr>
          <w:p w:rsidR="00D454F4" w:rsidRPr="00DE1471" w:rsidRDefault="00D454F4" w:rsidP="00951A2C">
            <w:pPr>
              <w:spacing w:before="40" w:after="60"/>
              <w:jc w:val="center"/>
              <w:rPr>
                <w:u w:val="single"/>
              </w:rPr>
            </w:pPr>
            <w:r w:rsidRPr="00DE1471">
              <w:rPr>
                <w:u w:val="single"/>
              </w:rPr>
              <w:t>Botanical names</w:t>
            </w:r>
          </w:p>
        </w:tc>
        <w:tc>
          <w:tcPr>
            <w:tcW w:w="2551" w:type="dxa"/>
            <w:vAlign w:val="center"/>
          </w:tcPr>
          <w:p w:rsidR="00D454F4" w:rsidRPr="00DE1471" w:rsidRDefault="00D454F4" w:rsidP="00951A2C">
            <w:pPr>
              <w:spacing w:before="40" w:after="60"/>
              <w:jc w:val="center"/>
              <w:rPr>
                <w:u w:val="single"/>
              </w:rPr>
            </w:pPr>
            <w:r w:rsidRPr="00DE1471">
              <w:rPr>
                <w:u w:val="single"/>
              </w:rPr>
              <w:t>UPOV codes</w:t>
            </w:r>
          </w:p>
        </w:tc>
      </w:tr>
      <w:tr w:rsidR="00D454F4" w:rsidRPr="00407B23" w:rsidTr="00951A2C">
        <w:trPr>
          <w:cantSplit/>
          <w:tblHeader/>
        </w:trPr>
        <w:tc>
          <w:tcPr>
            <w:tcW w:w="1418" w:type="dxa"/>
            <w:tcBorders>
              <w:left w:val="nil"/>
              <w:right w:val="nil"/>
            </w:tcBorders>
          </w:tcPr>
          <w:p w:rsidR="00D454F4" w:rsidRPr="00DE1471" w:rsidRDefault="00D454F4" w:rsidP="00951A2C">
            <w:pPr>
              <w:jc w:val="left"/>
            </w:pPr>
          </w:p>
        </w:tc>
        <w:tc>
          <w:tcPr>
            <w:tcW w:w="5670" w:type="dxa"/>
            <w:tcBorders>
              <w:left w:val="nil"/>
              <w:right w:val="nil"/>
            </w:tcBorders>
          </w:tcPr>
          <w:p w:rsidR="00D454F4" w:rsidRPr="00DE1471" w:rsidRDefault="00D454F4" w:rsidP="00951A2C">
            <w:pPr>
              <w:jc w:val="left"/>
            </w:pPr>
          </w:p>
        </w:tc>
        <w:tc>
          <w:tcPr>
            <w:tcW w:w="2551" w:type="dxa"/>
            <w:tcBorders>
              <w:left w:val="nil"/>
              <w:right w:val="nil"/>
            </w:tcBorders>
          </w:tcPr>
          <w:p w:rsidR="00D454F4" w:rsidRPr="00DE1471" w:rsidRDefault="00D454F4" w:rsidP="00951A2C">
            <w:pPr>
              <w:jc w:val="left"/>
            </w:pPr>
          </w:p>
        </w:tc>
      </w:tr>
      <w:tr w:rsidR="00D454F4" w:rsidRPr="00407B23" w:rsidTr="00951A2C">
        <w:trPr>
          <w:cantSplit/>
        </w:trPr>
        <w:tc>
          <w:tcPr>
            <w:tcW w:w="1418" w:type="dxa"/>
          </w:tcPr>
          <w:p w:rsidR="00D454F4" w:rsidRPr="00DE1471" w:rsidRDefault="00D454F4" w:rsidP="00951A2C">
            <w:pPr>
              <w:spacing w:before="40" w:after="40"/>
              <w:jc w:val="left"/>
            </w:pPr>
            <w:r w:rsidRPr="00DE1471">
              <w:t>Class 1.1</w:t>
            </w:r>
          </w:p>
        </w:tc>
        <w:tc>
          <w:tcPr>
            <w:tcW w:w="5670" w:type="dxa"/>
          </w:tcPr>
          <w:p w:rsidR="00D454F4" w:rsidRPr="00DE1471" w:rsidRDefault="00D454F4" w:rsidP="00951A2C">
            <w:pPr>
              <w:spacing w:before="40" w:after="40"/>
              <w:jc w:val="left"/>
            </w:pPr>
            <w:r w:rsidRPr="00DE1471">
              <w:t>Brassica oleracea</w:t>
            </w:r>
          </w:p>
        </w:tc>
        <w:tc>
          <w:tcPr>
            <w:tcW w:w="2551" w:type="dxa"/>
          </w:tcPr>
          <w:p w:rsidR="00D454F4" w:rsidRPr="00DE1471" w:rsidRDefault="00D454F4" w:rsidP="00951A2C">
            <w:pPr>
              <w:spacing w:before="40" w:after="40"/>
              <w:jc w:val="left"/>
            </w:pPr>
            <w:r w:rsidRPr="00DE1471">
              <w:t>BRASS_OLE</w:t>
            </w:r>
          </w:p>
        </w:tc>
      </w:tr>
      <w:tr w:rsidR="00D454F4" w:rsidRPr="00407B23" w:rsidTr="00951A2C">
        <w:trPr>
          <w:cantSplit/>
        </w:trPr>
        <w:tc>
          <w:tcPr>
            <w:tcW w:w="1418" w:type="dxa"/>
            <w:tcBorders>
              <w:bottom w:val="nil"/>
            </w:tcBorders>
          </w:tcPr>
          <w:p w:rsidR="00D454F4" w:rsidRPr="00DE1471" w:rsidRDefault="00D454F4" w:rsidP="00951A2C">
            <w:pPr>
              <w:spacing w:before="40" w:after="40"/>
              <w:jc w:val="left"/>
            </w:pPr>
            <w:r w:rsidRPr="00DE1471">
              <w:t>Class 1.2</w:t>
            </w:r>
          </w:p>
        </w:tc>
        <w:tc>
          <w:tcPr>
            <w:tcW w:w="5670" w:type="dxa"/>
            <w:tcBorders>
              <w:bottom w:val="nil"/>
            </w:tcBorders>
          </w:tcPr>
          <w:p w:rsidR="00D454F4" w:rsidRPr="00DE1471" w:rsidRDefault="00D454F4" w:rsidP="00951A2C">
            <w:pPr>
              <w:spacing w:before="40" w:after="40"/>
              <w:jc w:val="left"/>
            </w:pPr>
            <w:r w:rsidRPr="00DE1471">
              <w:t>Brassica other than Brassica oleracea</w:t>
            </w:r>
          </w:p>
        </w:tc>
        <w:tc>
          <w:tcPr>
            <w:tcW w:w="2551" w:type="dxa"/>
            <w:tcBorders>
              <w:bottom w:val="nil"/>
            </w:tcBorders>
          </w:tcPr>
          <w:p w:rsidR="00D454F4" w:rsidRPr="00DE1471" w:rsidRDefault="00D454F4" w:rsidP="00951A2C">
            <w:pPr>
              <w:spacing w:before="40" w:after="40"/>
              <w:jc w:val="left"/>
            </w:pPr>
            <w:r w:rsidRPr="00DE1471">
              <w:t>other than BRASS_OLE</w:t>
            </w:r>
          </w:p>
        </w:tc>
      </w:tr>
      <w:tr w:rsidR="00D454F4" w:rsidRPr="00407B23" w:rsidTr="00951A2C">
        <w:trPr>
          <w:cantSplit/>
        </w:trPr>
        <w:tc>
          <w:tcPr>
            <w:tcW w:w="1418" w:type="dxa"/>
            <w:tcBorders>
              <w:left w:val="nil"/>
              <w:right w:val="nil"/>
            </w:tcBorders>
          </w:tcPr>
          <w:p w:rsidR="00D454F4" w:rsidRPr="00DE1471" w:rsidRDefault="00D454F4" w:rsidP="00951A2C">
            <w:pPr>
              <w:jc w:val="left"/>
            </w:pPr>
          </w:p>
        </w:tc>
        <w:tc>
          <w:tcPr>
            <w:tcW w:w="5670" w:type="dxa"/>
            <w:tcBorders>
              <w:left w:val="nil"/>
              <w:right w:val="nil"/>
            </w:tcBorders>
          </w:tcPr>
          <w:p w:rsidR="00D454F4" w:rsidRPr="00DE1471" w:rsidRDefault="00D454F4" w:rsidP="00951A2C">
            <w:pPr>
              <w:jc w:val="left"/>
            </w:pPr>
          </w:p>
        </w:tc>
        <w:tc>
          <w:tcPr>
            <w:tcW w:w="2551" w:type="dxa"/>
            <w:tcBorders>
              <w:left w:val="nil"/>
              <w:right w:val="nil"/>
            </w:tcBorders>
          </w:tcPr>
          <w:p w:rsidR="00D454F4" w:rsidRPr="00DE1471" w:rsidRDefault="00D454F4" w:rsidP="00951A2C">
            <w:pPr>
              <w:jc w:val="left"/>
            </w:pPr>
          </w:p>
        </w:tc>
      </w:tr>
      <w:tr w:rsidR="00D454F4" w:rsidRPr="006E7626" w:rsidTr="00951A2C">
        <w:trPr>
          <w:cantSplit/>
        </w:trPr>
        <w:tc>
          <w:tcPr>
            <w:tcW w:w="1418" w:type="dxa"/>
          </w:tcPr>
          <w:p w:rsidR="00D454F4" w:rsidRPr="00DE1471" w:rsidRDefault="00D454F4" w:rsidP="00951A2C">
            <w:pPr>
              <w:spacing w:before="40" w:after="40"/>
              <w:jc w:val="left"/>
            </w:pPr>
            <w:r w:rsidRPr="00DE1471">
              <w:t>Class 2.1</w:t>
            </w:r>
          </w:p>
        </w:tc>
        <w:tc>
          <w:tcPr>
            <w:tcW w:w="5670" w:type="dxa"/>
          </w:tcPr>
          <w:p w:rsidR="00D454F4" w:rsidRPr="00DE1471" w:rsidRDefault="00D454F4" w:rsidP="00951A2C">
            <w:pPr>
              <w:spacing w:before="40" w:after="40"/>
              <w:jc w:val="left"/>
              <w:rPr>
                <w:lang w:val="es-ES"/>
              </w:rPr>
            </w:pPr>
            <w:r w:rsidRPr="00DE1471">
              <w:rPr>
                <w:lang w:val="es-ES"/>
              </w:rPr>
              <w:t xml:space="preserve">Beta vulgaris L. var. alba DC., </w:t>
            </w:r>
            <w:r w:rsidRPr="00DE1471">
              <w:rPr>
                <w:lang w:val="es-ES"/>
              </w:rPr>
              <w:br/>
              <w:t>Beta vulgaris L. var. altissima</w:t>
            </w:r>
          </w:p>
        </w:tc>
        <w:tc>
          <w:tcPr>
            <w:tcW w:w="2551" w:type="dxa"/>
          </w:tcPr>
          <w:p w:rsidR="00D454F4" w:rsidRPr="00DE1471" w:rsidRDefault="00D454F4" w:rsidP="00951A2C">
            <w:pPr>
              <w:spacing w:before="40" w:after="40"/>
              <w:jc w:val="left"/>
              <w:rPr>
                <w:lang w:val="nl-NL"/>
              </w:rPr>
            </w:pPr>
            <w:r w:rsidRPr="00DE1471">
              <w:rPr>
                <w:lang w:val="nl-NL"/>
              </w:rPr>
              <w:t>BETAA_VUL_GVA;  BETAA_VUL_GVS</w:t>
            </w:r>
          </w:p>
        </w:tc>
      </w:tr>
      <w:tr w:rsidR="00D454F4" w:rsidRPr="006E7626" w:rsidTr="00951A2C">
        <w:trPr>
          <w:cantSplit/>
        </w:trPr>
        <w:tc>
          <w:tcPr>
            <w:tcW w:w="1418" w:type="dxa"/>
          </w:tcPr>
          <w:p w:rsidR="00D454F4" w:rsidRPr="00DE1471" w:rsidRDefault="00D454F4" w:rsidP="00951A2C">
            <w:pPr>
              <w:spacing w:before="40" w:after="40"/>
              <w:jc w:val="left"/>
            </w:pPr>
            <w:r w:rsidRPr="00DE1471">
              <w:t>Class 2.2</w:t>
            </w:r>
          </w:p>
        </w:tc>
        <w:tc>
          <w:tcPr>
            <w:tcW w:w="5670" w:type="dxa"/>
          </w:tcPr>
          <w:p w:rsidR="00D454F4" w:rsidRPr="00DE1471" w:rsidRDefault="00D454F4" w:rsidP="00951A2C">
            <w:pPr>
              <w:spacing w:before="40" w:after="40"/>
              <w:jc w:val="left"/>
              <w:rPr>
                <w:lang w:val="es-ES"/>
              </w:rPr>
            </w:pPr>
            <w:r w:rsidRPr="00DE1471">
              <w:rPr>
                <w:lang w:val="es-ES"/>
              </w:rPr>
              <w:t>Beta vulgaris ssp. vulgaris var. conditiva Alef. (syn.:  B. vulgaris L. var. rubra L.), B. vulgaris L. var. cicla L., B. vulgaris L. ssp. vulgaris var. vulgaris</w:t>
            </w:r>
          </w:p>
        </w:tc>
        <w:tc>
          <w:tcPr>
            <w:tcW w:w="2551" w:type="dxa"/>
          </w:tcPr>
          <w:p w:rsidR="00D454F4" w:rsidRPr="00DE1471" w:rsidRDefault="00D454F4" w:rsidP="00951A2C">
            <w:pPr>
              <w:spacing w:before="40" w:after="40"/>
              <w:jc w:val="left"/>
              <w:rPr>
                <w:lang w:val="nl-NL"/>
              </w:rPr>
            </w:pPr>
            <w:r w:rsidRPr="00DE1471">
              <w:rPr>
                <w:lang w:val="nl-NL"/>
              </w:rPr>
              <w:t>BETAA_VUL_GVC; BETAA_VUL_GVF</w:t>
            </w:r>
          </w:p>
        </w:tc>
      </w:tr>
      <w:tr w:rsidR="00D454F4" w:rsidRPr="00407B23" w:rsidTr="00951A2C">
        <w:trPr>
          <w:cantSplit/>
        </w:trPr>
        <w:tc>
          <w:tcPr>
            <w:tcW w:w="1418" w:type="dxa"/>
            <w:tcBorders>
              <w:bottom w:val="nil"/>
            </w:tcBorders>
          </w:tcPr>
          <w:p w:rsidR="00D454F4" w:rsidRPr="00DE1471" w:rsidRDefault="00D454F4" w:rsidP="00951A2C">
            <w:pPr>
              <w:spacing w:before="40" w:after="40"/>
              <w:jc w:val="left"/>
            </w:pPr>
            <w:r w:rsidRPr="00DE1471">
              <w:t>Class 2.3</w:t>
            </w:r>
          </w:p>
        </w:tc>
        <w:tc>
          <w:tcPr>
            <w:tcW w:w="5670" w:type="dxa"/>
            <w:tcBorders>
              <w:bottom w:val="nil"/>
            </w:tcBorders>
          </w:tcPr>
          <w:p w:rsidR="00D454F4" w:rsidRPr="00DE1471" w:rsidRDefault="00D454F4" w:rsidP="00951A2C">
            <w:pPr>
              <w:spacing w:before="40" w:after="40"/>
              <w:jc w:val="left"/>
            </w:pPr>
            <w:r w:rsidRPr="00DE1471">
              <w:t>Beta other than classes 2.1 and 2.2.</w:t>
            </w:r>
          </w:p>
        </w:tc>
        <w:tc>
          <w:tcPr>
            <w:tcW w:w="2551" w:type="dxa"/>
            <w:tcBorders>
              <w:bottom w:val="nil"/>
            </w:tcBorders>
          </w:tcPr>
          <w:p w:rsidR="00D454F4" w:rsidRPr="00DE1471" w:rsidRDefault="00D454F4" w:rsidP="00951A2C">
            <w:pPr>
              <w:spacing w:before="40" w:after="40"/>
              <w:jc w:val="left"/>
            </w:pPr>
            <w:r w:rsidRPr="00DE1471">
              <w:t>other than classes 2.1</w:t>
            </w:r>
            <w:r w:rsidRPr="00DE1471">
              <w:br/>
              <w:t>and 2.2</w:t>
            </w:r>
          </w:p>
        </w:tc>
      </w:tr>
      <w:tr w:rsidR="00D454F4" w:rsidRPr="00407B23" w:rsidTr="00951A2C">
        <w:trPr>
          <w:cantSplit/>
        </w:trPr>
        <w:tc>
          <w:tcPr>
            <w:tcW w:w="1418" w:type="dxa"/>
            <w:tcBorders>
              <w:left w:val="nil"/>
              <w:bottom w:val="nil"/>
              <w:right w:val="nil"/>
            </w:tcBorders>
          </w:tcPr>
          <w:p w:rsidR="00D454F4" w:rsidRPr="00DE1471" w:rsidRDefault="00D454F4" w:rsidP="00951A2C">
            <w:pPr>
              <w:jc w:val="left"/>
            </w:pPr>
          </w:p>
        </w:tc>
        <w:tc>
          <w:tcPr>
            <w:tcW w:w="5670" w:type="dxa"/>
            <w:tcBorders>
              <w:left w:val="nil"/>
              <w:bottom w:val="nil"/>
              <w:right w:val="nil"/>
            </w:tcBorders>
          </w:tcPr>
          <w:p w:rsidR="00D454F4" w:rsidRPr="00DE1471" w:rsidRDefault="00D454F4" w:rsidP="00951A2C">
            <w:pPr>
              <w:jc w:val="left"/>
            </w:pPr>
          </w:p>
        </w:tc>
        <w:tc>
          <w:tcPr>
            <w:tcW w:w="2551" w:type="dxa"/>
            <w:tcBorders>
              <w:left w:val="nil"/>
              <w:bottom w:val="nil"/>
              <w:right w:val="nil"/>
            </w:tcBorders>
          </w:tcPr>
          <w:p w:rsidR="00D454F4" w:rsidRPr="00DE1471" w:rsidRDefault="00D454F4" w:rsidP="00951A2C">
            <w:pPr>
              <w:jc w:val="left"/>
            </w:pPr>
          </w:p>
        </w:tc>
      </w:tr>
      <w:tr w:rsidR="00D454F4" w:rsidRPr="00407B23" w:rsidTr="00951A2C">
        <w:trPr>
          <w:cantSplit/>
        </w:trPr>
        <w:tc>
          <w:tcPr>
            <w:tcW w:w="1418" w:type="dxa"/>
            <w:tcBorders>
              <w:top w:val="single" w:sz="4" w:space="0" w:color="auto"/>
            </w:tcBorders>
          </w:tcPr>
          <w:p w:rsidR="00D454F4" w:rsidRPr="00DE1471" w:rsidRDefault="00D454F4" w:rsidP="00951A2C">
            <w:pPr>
              <w:spacing w:before="40" w:after="40"/>
              <w:jc w:val="left"/>
            </w:pPr>
            <w:r w:rsidRPr="00DE1471">
              <w:t>Class 3.1</w:t>
            </w:r>
          </w:p>
        </w:tc>
        <w:tc>
          <w:tcPr>
            <w:tcW w:w="5670" w:type="dxa"/>
            <w:tcBorders>
              <w:top w:val="single" w:sz="4" w:space="0" w:color="auto"/>
            </w:tcBorders>
          </w:tcPr>
          <w:p w:rsidR="00D454F4" w:rsidRPr="00DE1471" w:rsidRDefault="00D454F4" w:rsidP="00951A2C">
            <w:pPr>
              <w:spacing w:before="40" w:after="40"/>
              <w:jc w:val="left"/>
            </w:pPr>
            <w:r w:rsidRPr="00DE1471">
              <w:t>Cucumis sativus</w:t>
            </w:r>
          </w:p>
        </w:tc>
        <w:tc>
          <w:tcPr>
            <w:tcW w:w="2551" w:type="dxa"/>
            <w:tcBorders>
              <w:top w:val="single" w:sz="4" w:space="0" w:color="auto"/>
            </w:tcBorders>
          </w:tcPr>
          <w:p w:rsidR="00D454F4" w:rsidRPr="00DE1471" w:rsidRDefault="00D454F4" w:rsidP="00951A2C">
            <w:pPr>
              <w:spacing w:before="40" w:after="40"/>
              <w:jc w:val="left"/>
            </w:pPr>
            <w:r w:rsidRPr="00DE1471">
              <w:t>CUCUM_SAT</w:t>
            </w:r>
          </w:p>
        </w:tc>
      </w:tr>
      <w:tr w:rsidR="00D454F4" w:rsidRPr="00407B23" w:rsidTr="00951A2C">
        <w:trPr>
          <w:cantSplit/>
        </w:trPr>
        <w:tc>
          <w:tcPr>
            <w:tcW w:w="1418" w:type="dxa"/>
          </w:tcPr>
          <w:p w:rsidR="00D454F4" w:rsidRPr="00DE1471" w:rsidRDefault="00D454F4" w:rsidP="00951A2C">
            <w:pPr>
              <w:spacing w:before="40" w:after="40"/>
              <w:jc w:val="left"/>
            </w:pPr>
            <w:r w:rsidRPr="00DE1471">
              <w:t>Class 3.2</w:t>
            </w:r>
          </w:p>
        </w:tc>
        <w:tc>
          <w:tcPr>
            <w:tcW w:w="5670" w:type="dxa"/>
          </w:tcPr>
          <w:p w:rsidR="00D454F4" w:rsidRPr="00DE1471" w:rsidRDefault="00D454F4" w:rsidP="00951A2C">
            <w:pPr>
              <w:spacing w:before="40" w:after="40"/>
              <w:jc w:val="left"/>
            </w:pPr>
            <w:r w:rsidRPr="00DE1471">
              <w:t>Cucumis melo</w:t>
            </w:r>
          </w:p>
        </w:tc>
        <w:tc>
          <w:tcPr>
            <w:tcW w:w="2551" w:type="dxa"/>
          </w:tcPr>
          <w:p w:rsidR="00D454F4" w:rsidRPr="00DE1471" w:rsidRDefault="00D454F4" w:rsidP="00951A2C">
            <w:pPr>
              <w:spacing w:before="40" w:after="40"/>
              <w:jc w:val="left"/>
            </w:pPr>
            <w:r w:rsidRPr="00DE1471">
              <w:t>CUCUM_MEL</w:t>
            </w:r>
          </w:p>
        </w:tc>
      </w:tr>
      <w:tr w:rsidR="00D454F4" w:rsidRPr="00407B23" w:rsidTr="00951A2C">
        <w:trPr>
          <w:cantSplit/>
        </w:trPr>
        <w:tc>
          <w:tcPr>
            <w:tcW w:w="1418" w:type="dxa"/>
          </w:tcPr>
          <w:p w:rsidR="00D454F4" w:rsidRPr="00DE1471" w:rsidRDefault="00D454F4" w:rsidP="00951A2C">
            <w:pPr>
              <w:spacing w:before="40" w:after="40"/>
              <w:jc w:val="left"/>
            </w:pPr>
            <w:r w:rsidRPr="00DE1471">
              <w:t>Class 3.3</w:t>
            </w:r>
          </w:p>
        </w:tc>
        <w:tc>
          <w:tcPr>
            <w:tcW w:w="5670" w:type="dxa"/>
          </w:tcPr>
          <w:p w:rsidR="00D454F4" w:rsidRPr="00DE1471" w:rsidRDefault="00D454F4" w:rsidP="00951A2C">
            <w:pPr>
              <w:spacing w:before="40" w:after="40"/>
              <w:jc w:val="left"/>
            </w:pPr>
            <w:r w:rsidRPr="00DE1471">
              <w:t>Cucumis other than classes 3.1 and 3.2</w:t>
            </w:r>
          </w:p>
        </w:tc>
        <w:tc>
          <w:tcPr>
            <w:tcW w:w="2551" w:type="dxa"/>
          </w:tcPr>
          <w:p w:rsidR="00D454F4" w:rsidRPr="00DE1471" w:rsidRDefault="00D454F4" w:rsidP="00951A2C">
            <w:pPr>
              <w:spacing w:before="40" w:after="40"/>
              <w:jc w:val="left"/>
            </w:pPr>
            <w:r w:rsidRPr="00DE1471">
              <w:t>other than classes 3.1</w:t>
            </w:r>
            <w:r w:rsidRPr="00DE1471">
              <w:br/>
              <w:t>and 3.2</w:t>
            </w:r>
          </w:p>
        </w:tc>
      </w:tr>
      <w:tr w:rsidR="00D454F4" w:rsidRPr="00407B23" w:rsidTr="00951A2C">
        <w:trPr>
          <w:cantSplit/>
        </w:trPr>
        <w:tc>
          <w:tcPr>
            <w:tcW w:w="1418" w:type="dxa"/>
            <w:tcBorders>
              <w:left w:val="nil"/>
              <w:bottom w:val="nil"/>
              <w:right w:val="nil"/>
            </w:tcBorders>
          </w:tcPr>
          <w:p w:rsidR="00D454F4" w:rsidRPr="00DE1471" w:rsidRDefault="00D454F4" w:rsidP="00951A2C">
            <w:pPr>
              <w:jc w:val="left"/>
            </w:pPr>
          </w:p>
        </w:tc>
        <w:tc>
          <w:tcPr>
            <w:tcW w:w="5670" w:type="dxa"/>
            <w:tcBorders>
              <w:left w:val="nil"/>
              <w:bottom w:val="nil"/>
              <w:right w:val="nil"/>
            </w:tcBorders>
          </w:tcPr>
          <w:p w:rsidR="00D454F4" w:rsidRPr="00DE1471" w:rsidRDefault="00D454F4" w:rsidP="00951A2C">
            <w:pPr>
              <w:jc w:val="left"/>
            </w:pPr>
          </w:p>
        </w:tc>
        <w:tc>
          <w:tcPr>
            <w:tcW w:w="2551" w:type="dxa"/>
            <w:tcBorders>
              <w:left w:val="nil"/>
              <w:bottom w:val="nil"/>
              <w:right w:val="nil"/>
            </w:tcBorders>
          </w:tcPr>
          <w:p w:rsidR="00D454F4" w:rsidRPr="00DE1471" w:rsidRDefault="00D454F4" w:rsidP="00951A2C">
            <w:pPr>
              <w:jc w:val="left"/>
            </w:pPr>
          </w:p>
        </w:tc>
      </w:tr>
      <w:tr w:rsidR="00D454F4" w:rsidRPr="00A87FAE" w:rsidTr="00951A2C">
        <w:trPr>
          <w:cantSplit/>
        </w:trPr>
        <w:tc>
          <w:tcPr>
            <w:tcW w:w="1418" w:type="dxa"/>
            <w:tcBorders>
              <w:top w:val="single" w:sz="4" w:space="0" w:color="auto"/>
              <w:left w:val="single" w:sz="4" w:space="0" w:color="auto"/>
              <w:bottom w:val="single" w:sz="4" w:space="0" w:color="auto"/>
            </w:tcBorders>
          </w:tcPr>
          <w:p w:rsidR="00D454F4" w:rsidRPr="00DE1471" w:rsidRDefault="00D454F4" w:rsidP="00951A2C">
            <w:pPr>
              <w:keepNext/>
              <w:spacing w:before="40" w:after="40"/>
              <w:rPr>
                <w:color w:val="000000"/>
              </w:rPr>
            </w:pPr>
            <w:r w:rsidRPr="00DE1471">
              <w:rPr>
                <w:color w:val="000000"/>
              </w:rPr>
              <w:lastRenderedPageBreak/>
              <w:t>Class 4.1</w:t>
            </w:r>
          </w:p>
        </w:tc>
        <w:tc>
          <w:tcPr>
            <w:tcW w:w="5670" w:type="dxa"/>
            <w:tcBorders>
              <w:top w:val="single" w:sz="4" w:space="0" w:color="auto"/>
              <w:bottom w:val="single" w:sz="4" w:space="0" w:color="auto"/>
            </w:tcBorders>
          </w:tcPr>
          <w:p w:rsidR="00D454F4" w:rsidRPr="00DE1471" w:rsidRDefault="00D454F4" w:rsidP="00951A2C">
            <w:pPr>
              <w:keepNext/>
              <w:spacing w:before="40" w:after="40"/>
              <w:rPr>
                <w:color w:val="000000"/>
              </w:rPr>
            </w:pPr>
            <w:r w:rsidRPr="00DE1471">
              <w:rPr>
                <w:color w:val="000000"/>
              </w:rPr>
              <w:t>Solanum tuberosum L.</w:t>
            </w:r>
          </w:p>
        </w:tc>
        <w:tc>
          <w:tcPr>
            <w:tcW w:w="2551" w:type="dxa"/>
            <w:tcBorders>
              <w:top w:val="single" w:sz="4" w:space="0" w:color="auto"/>
              <w:bottom w:val="single" w:sz="4" w:space="0" w:color="auto"/>
            </w:tcBorders>
          </w:tcPr>
          <w:p w:rsidR="00D454F4" w:rsidRPr="00DE1471" w:rsidRDefault="00D454F4" w:rsidP="00951A2C">
            <w:pPr>
              <w:keepNext/>
              <w:spacing w:before="40" w:after="40"/>
              <w:rPr>
                <w:color w:val="000000"/>
              </w:rPr>
            </w:pPr>
            <w:r w:rsidRPr="00DE1471">
              <w:rPr>
                <w:color w:val="000000"/>
              </w:rPr>
              <w:t>SOLAN_TUB</w:t>
            </w:r>
          </w:p>
        </w:tc>
      </w:tr>
      <w:tr w:rsidR="00D454F4" w:rsidRPr="00A87FAE" w:rsidTr="00951A2C">
        <w:trPr>
          <w:cantSplit/>
        </w:trPr>
        <w:tc>
          <w:tcPr>
            <w:tcW w:w="1418" w:type="dxa"/>
            <w:tcBorders>
              <w:top w:val="single"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r w:rsidRPr="00DE1471">
              <w:rPr>
                <w:color w:val="000000"/>
              </w:rPr>
              <w:t>Class 4.2</w:t>
            </w:r>
          </w:p>
        </w:tc>
        <w:tc>
          <w:tcPr>
            <w:tcW w:w="5670" w:type="dxa"/>
            <w:tcBorders>
              <w:top w:val="single"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ind w:left="227" w:hanging="227"/>
              <w:jc w:val="left"/>
              <w:rPr>
                <w:iCs/>
                <w:color w:val="000000"/>
              </w:rPr>
            </w:pPr>
            <w:r w:rsidRPr="00DE1471">
              <w:rPr>
                <w:iCs/>
                <w:color w:val="000000"/>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ind w:left="340" w:hanging="170"/>
              <w:jc w:val="left"/>
              <w:rPr>
                <w:iCs/>
                <w:color w:val="000000"/>
              </w:rPr>
            </w:pPr>
            <w:r w:rsidRPr="00DE1471">
              <w:rPr>
                <w:iCs/>
                <w:color w:val="000000"/>
              </w:rPr>
              <w:t>Solanum lycopersicum L.</w:t>
            </w:r>
            <w:r w:rsidRPr="00DE1471">
              <w:rPr>
                <w:color w:val="000000"/>
              </w:rPr>
              <w:t xml:space="preserve"> </w:t>
            </w:r>
            <w:r w:rsidRPr="00DE1471">
              <w:rPr>
                <w:iCs/>
                <w:strike/>
                <w:color w:val="000000"/>
              </w:rPr>
              <w:br/>
            </w:r>
            <w:r w:rsidRPr="00DE1471">
              <w:rPr>
                <w:iCs/>
                <w:color w:val="000000"/>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bookmarkStart w:id="1" w:name="OLE_LINK1"/>
            <w:bookmarkStart w:id="2" w:name="OLE_LINK2"/>
            <w:r w:rsidRPr="00DE1471">
              <w:rPr>
                <w:color w:val="000000"/>
              </w:rPr>
              <w:t>SOLAN_</w:t>
            </w:r>
            <w:bookmarkEnd w:id="1"/>
            <w:bookmarkEnd w:id="2"/>
            <w:r w:rsidRPr="00DE1471">
              <w:rPr>
                <w:color w:val="000000"/>
              </w:rPr>
              <w:t>LYC</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ind w:left="340" w:hanging="170"/>
              <w:jc w:val="left"/>
              <w:rPr>
                <w:iCs/>
                <w:color w:val="000000"/>
                <w:lang w:val="en-GB"/>
              </w:rPr>
            </w:pPr>
            <w:r w:rsidRPr="00DE1471">
              <w:rPr>
                <w:lang w:val="en-GB"/>
              </w:rPr>
              <w:t xml:space="preserve">Solanum cheesmaniae (L. Ridley) Fosberg </w:t>
            </w:r>
            <w:r w:rsidRPr="00DE1471">
              <w:rPr>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r w:rsidRPr="00DE1471">
              <w:rPr>
                <w:color w:val="000000"/>
              </w:rPr>
              <w:t>SOLAN_CHE</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ind w:left="340" w:hanging="170"/>
              <w:jc w:val="left"/>
              <w:rPr>
                <w:iCs/>
                <w:color w:val="000000"/>
                <w:lang w:val="nl-BE"/>
              </w:rPr>
            </w:pPr>
            <w:r w:rsidRPr="00DE1471">
              <w:rPr>
                <w:lang w:val="nl-BE"/>
              </w:rPr>
              <w:t xml:space="preserve">Solanum chilense (Dunal) Reiche </w:t>
            </w:r>
            <w:r w:rsidRPr="00DE1471">
              <w:rPr>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keepNext/>
              <w:spacing w:before="40" w:after="40"/>
              <w:rPr>
                <w:color w:val="000000"/>
              </w:rPr>
            </w:pPr>
            <w:r w:rsidRPr="00DE1471">
              <w:rPr>
                <w:color w:val="000000"/>
              </w:rPr>
              <w:t>SOLAN_CHI</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rPr>
                <w:iCs/>
                <w:color w:val="000000"/>
                <w:lang w:val="nl-BE"/>
              </w:rPr>
            </w:pPr>
            <w:r w:rsidRPr="00DE1471">
              <w:rPr>
                <w:lang w:val="en-GB"/>
              </w:rPr>
              <w:t xml:space="preserve">Solanum chmielewskii (C.M. Rick et al.) </w:t>
            </w:r>
            <w:r w:rsidRPr="00DE1471">
              <w:rPr>
                <w:lang w:val="nl-BE"/>
              </w:rPr>
              <w:t xml:space="preserve">D.M. Spooner et al. </w:t>
            </w:r>
            <w:r w:rsidRPr="00DE1471">
              <w:rPr>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SOLAN_CHM</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pPr>
            <w:r w:rsidRPr="00DE1471">
              <w:t>Solanum galapagense S.C. Darwin &amp; Peralta</w:t>
            </w:r>
            <w:r w:rsidRPr="00DE1471">
              <w:br/>
              <w:t>(Lycopersicon cheesmaniae f. minor (Hook. f.) C. H. Müll.)</w:t>
            </w:r>
            <w:r w:rsidRPr="00DE1471">
              <w:br/>
              <w:t>(Lycopersicon cheesmaniae var. minor (Hook. f.)</w:t>
            </w:r>
            <w:r w:rsidRPr="00DE1471">
              <w:br/>
              <w:t>D. M. Porter)</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SOLAN_GAL</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pPr>
            <w:r w:rsidRPr="00DE1471">
              <w:t>Solanum habrochaites S. Knapp &amp; D.M. Spooner</w:t>
            </w:r>
            <w:r w:rsidRPr="00DE1471">
              <w:br/>
              <w:t>(Lycopersicon agrimoniifolium Dunal)</w:t>
            </w:r>
            <w:r w:rsidRPr="00DE1471">
              <w:br/>
              <w:t>(Lycopersicon hirsutum Dunal)</w:t>
            </w:r>
            <w:r w:rsidRPr="00DE1471">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SOLAN_HAB</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rPr>
                <w:lang w:val="fr-FR"/>
              </w:rPr>
            </w:pPr>
            <w:r w:rsidRPr="00DE1471">
              <w:rPr>
                <w:lang w:val="fr-FR"/>
              </w:rPr>
              <w:t>Solanum pennellii Correll</w:t>
            </w:r>
            <w:r w:rsidRPr="00DE1471">
              <w:rPr>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lang w:val="fr-FR"/>
              </w:rPr>
            </w:pPr>
            <w:r w:rsidRPr="00DE1471">
              <w:rPr>
                <w:color w:val="000000"/>
              </w:rPr>
              <w:t>SOLAN_PEN</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ind w:left="340" w:hanging="170"/>
              <w:jc w:val="left"/>
              <w:rPr>
                <w:lang w:val="nl-BE"/>
              </w:rPr>
            </w:pPr>
            <w:r w:rsidRPr="00DE1471">
              <w:rPr>
                <w:lang w:val="nl-BE"/>
              </w:rPr>
              <w:t>Solanum peruvianum L.</w:t>
            </w:r>
            <w:r w:rsidRPr="00DE1471">
              <w:rPr>
                <w:lang w:val="nl-BE"/>
              </w:rPr>
              <w:br/>
              <w:t>(Lycopersicon dentatum Dunal)</w:t>
            </w:r>
            <w:r w:rsidRPr="00DE1471">
              <w:rPr>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SOLAN_PER</w:t>
            </w:r>
          </w:p>
        </w:tc>
      </w:tr>
      <w:tr w:rsidR="00D454F4" w:rsidRPr="00A87FAE" w:rsidTr="00951A2C">
        <w:trPr>
          <w:cantSplit/>
        </w:trPr>
        <w:tc>
          <w:tcPr>
            <w:tcW w:w="1418"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p>
        </w:tc>
        <w:tc>
          <w:tcPr>
            <w:tcW w:w="5670" w:type="dxa"/>
            <w:tcBorders>
              <w:top w:val="dotted" w:sz="4" w:space="0" w:color="auto"/>
              <w:left w:val="single" w:sz="4" w:space="0" w:color="auto"/>
              <w:bottom w:val="dotted" w:sz="4" w:space="0" w:color="auto"/>
              <w:right w:val="single" w:sz="4" w:space="0" w:color="auto"/>
            </w:tcBorders>
          </w:tcPr>
          <w:p w:rsidR="00D454F4" w:rsidRPr="00951A2C" w:rsidRDefault="00D454F4" w:rsidP="00951A2C">
            <w:pPr>
              <w:spacing w:before="40" w:after="40"/>
              <w:ind w:left="340" w:hanging="170"/>
              <w:jc w:val="left"/>
            </w:pPr>
            <w:r w:rsidRPr="00DE1471">
              <w:t>Solanum pimpinellifolium L.</w:t>
            </w:r>
            <w:r w:rsidRPr="00DE1471">
              <w:br/>
              <w:t>(Lycopersicon pimpinellifolium (L.) Mill.)</w:t>
            </w:r>
            <w:r w:rsidRPr="00DE1471">
              <w:br/>
            </w:r>
            <w:r w:rsidRPr="00951A2C">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D454F4" w:rsidRPr="00DE1471" w:rsidRDefault="00D454F4" w:rsidP="00951A2C">
            <w:pPr>
              <w:spacing w:before="40" w:after="40"/>
              <w:rPr>
                <w:color w:val="000000"/>
              </w:rPr>
            </w:pPr>
            <w:r w:rsidRPr="00DE1471">
              <w:rPr>
                <w:color w:val="000000"/>
              </w:rPr>
              <w:t>SOLAN_PIM</w:t>
            </w:r>
          </w:p>
        </w:tc>
      </w:tr>
      <w:tr w:rsidR="00D454F4" w:rsidRPr="00A87FAE" w:rsidTr="00951A2C">
        <w:trPr>
          <w:cantSplit/>
        </w:trPr>
        <w:tc>
          <w:tcPr>
            <w:tcW w:w="1418" w:type="dxa"/>
            <w:tcBorders>
              <w:top w:val="dotted" w:sz="4" w:space="0" w:color="auto"/>
              <w:left w:val="single" w:sz="4" w:space="0" w:color="auto"/>
              <w:bottom w:val="single" w:sz="4" w:space="0" w:color="auto"/>
              <w:right w:val="single" w:sz="4" w:space="0" w:color="auto"/>
            </w:tcBorders>
          </w:tcPr>
          <w:p w:rsidR="00D454F4" w:rsidRPr="00DE1471" w:rsidRDefault="00D454F4" w:rsidP="00951A2C">
            <w:pPr>
              <w:spacing w:before="40" w:after="40"/>
              <w:rPr>
                <w:color w:val="000000"/>
                <w:lang w:val="fr-FR"/>
              </w:rPr>
            </w:pPr>
          </w:p>
        </w:tc>
        <w:tc>
          <w:tcPr>
            <w:tcW w:w="5670" w:type="dxa"/>
            <w:tcBorders>
              <w:top w:val="dotted" w:sz="4" w:space="0" w:color="auto"/>
              <w:left w:val="single" w:sz="4" w:space="0" w:color="auto"/>
              <w:bottom w:val="single" w:sz="4" w:space="0" w:color="auto"/>
              <w:right w:val="single" w:sz="4" w:space="0" w:color="auto"/>
            </w:tcBorders>
          </w:tcPr>
          <w:p w:rsidR="00D454F4" w:rsidRPr="00DE1471" w:rsidRDefault="00D454F4" w:rsidP="00951A2C">
            <w:pPr>
              <w:spacing w:before="40" w:after="40"/>
              <w:rPr>
                <w:i/>
                <w:color w:val="000000"/>
              </w:rPr>
            </w:pPr>
            <w:r w:rsidRPr="00DE1471">
              <w:rPr>
                <w:color w:val="000000"/>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D454F4" w:rsidRPr="00DE1471" w:rsidRDefault="00D454F4" w:rsidP="00951A2C">
            <w:pPr>
              <w:spacing w:before="40" w:after="40"/>
              <w:rPr>
                <w:color w:val="000000"/>
              </w:rPr>
            </w:pPr>
          </w:p>
        </w:tc>
      </w:tr>
      <w:tr w:rsidR="00D454F4" w:rsidRPr="00A87FAE" w:rsidTr="00951A2C">
        <w:trPr>
          <w:cantSplit/>
        </w:trPr>
        <w:tc>
          <w:tcPr>
            <w:tcW w:w="1418"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Class 4.3</w:t>
            </w:r>
          </w:p>
        </w:tc>
        <w:tc>
          <w:tcPr>
            <w:tcW w:w="5670"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iCs/>
                <w:color w:val="000000"/>
              </w:rPr>
              <w:t xml:space="preserve">Solanum melongena </w:t>
            </w:r>
            <w:r w:rsidRPr="00DE1471">
              <w:rPr>
                <w:color w:val="000000"/>
              </w:rPr>
              <w:t>L.</w:t>
            </w:r>
          </w:p>
        </w:tc>
        <w:tc>
          <w:tcPr>
            <w:tcW w:w="2551"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SOLAN_MEL</w:t>
            </w:r>
          </w:p>
        </w:tc>
      </w:tr>
      <w:tr w:rsidR="00D454F4" w:rsidRPr="00A87FAE" w:rsidTr="00951A2C">
        <w:trPr>
          <w:cantSplit/>
        </w:trPr>
        <w:tc>
          <w:tcPr>
            <w:tcW w:w="1418"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Class 4.4</w:t>
            </w:r>
          </w:p>
        </w:tc>
        <w:tc>
          <w:tcPr>
            <w:tcW w:w="5670"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D454F4" w:rsidRPr="00DE1471" w:rsidRDefault="00D454F4" w:rsidP="00951A2C">
            <w:pPr>
              <w:spacing w:before="40" w:after="40"/>
              <w:jc w:val="left"/>
              <w:rPr>
                <w:color w:val="000000"/>
              </w:rPr>
            </w:pPr>
            <w:r w:rsidRPr="00DE1471">
              <w:rPr>
                <w:color w:val="000000"/>
              </w:rPr>
              <w:t>other than classes 4.1, 4.2 and 4.3</w:t>
            </w:r>
          </w:p>
        </w:tc>
      </w:tr>
    </w:tbl>
    <w:p w:rsidR="00D454F4" w:rsidRDefault="00D454F4"/>
    <w:p w:rsidR="00D454F4" w:rsidRPr="00407B23" w:rsidRDefault="00D454F4" w:rsidP="00951A2C"/>
    <w:p w:rsidR="00D454F4" w:rsidRPr="00407B23" w:rsidRDefault="00D454F4" w:rsidP="00951A2C">
      <w:pPr>
        <w:jc w:val="center"/>
      </w:pPr>
      <w:r w:rsidRPr="00407B23">
        <w:br w:type="page"/>
      </w:r>
      <w:r w:rsidRPr="00407B23">
        <w:lastRenderedPageBreak/>
        <w:t>LIST OF CLASSES (Continuation)</w:t>
      </w:r>
    </w:p>
    <w:p w:rsidR="00D454F4" w:rsidRPr="00407B23" w:rsidRDefault="00D454F4" w:rsidP="00951A2C"/>
    <w:p w:rsidR="00D454F4" w:rsidRPr="00407B23" w:rsidRDefault="00D454F4">
      <w:pPr>
        <w:keepNext/>
        <w:jc w:val="center"/>
        <w:rPr>
          <w:u w:val="single"/>
        </w:rPr>
      </w:pPr>
      <w:r w:rsidRPr="00407B23">
        <w:rPr>
          <w:u w:val="single"/>
        </w:rPr>
        <w:t>Part II</w:t>
      </w:r>
    </w:p>
    <w:p w:rsidR="00D454F4" w:rsidRPr="00407B23" w:rsidRDefault="00D454F4" w:rsidP="00951A2C"/>
    <w:p w:rsidR="00D454F4" w:rsidRDefault="00D454F4" w:rsidP="00951A2C">
      <w:pPr>
        <w:jc w:val="center"/>
        <w:rPr>
          <w:i/>
        </w:rPr>
      </w:pPr>
      <w:r w:rsidRPr="00407B23">
        <w:rPr>
          <w:i/>
        </w:rPr>
        <w:t>Classes encompassing more than one genus</w:t>
      </w:r>
      <w:r w:rsidRPr="00407B23">
        <w:rPr>
          <w:i/>
        </w:rPr>
        <w:br/>
      </w:r>
    </w:p>
    <w:p w:rsidR="00D454F4" w:rsidRPr="00407B23" w:rsidRDefault="00D454F4" w:rsidP="00951A2C">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961"/>
        <w:gridCol w:w="3546"/>
      </w:tblGrid>
      <w:tr w:rsidR="00D454F4" w:rsidRPr="00792ADB" w:rsidTr="00951A2C">
        <w:trPr>
          <w:cantSplit/>
          <w:tblHeader/>
        </w:trPr>
        <w:tc>
          <w:tcPr>
            <w:tcW w:w="1277" w:type="dxa"/>
            <w:vAlign w:val="center"/>
          </w:tcPr>
          <w:p w:rsidR="00D454F4" w:rsidRPr="00DE1471" w:rsidRDefault="00D454F4" w:rsidP="00951A2C">
            <w:pPr>
              <w:spacing w:before="40" w:after="40"/>
              <w:jc w:val="left"/>
              <w:rPr>
                <w:u w:val="single"/>
              </w:rPr>
            </w:pPr>
          </w:p>
        </w:tc>
        <w:tc>
          <w:tcPr>
            <w:tcW w:w="4961" w:type="dxa"/>
            <w:vAlign w:val="center"/>
          </w:tcPr>
          <w:p w:rsidR="00D454F4" w:rsidRPr="00DE1471" w:rsidRDefault="00D454F4" w:rsidP="00951A2C">
            <w:pPr>
              <w:spacing w:before="40" w:after="40"/>
              <w:jc w:val="center"/>
              <w:rPr>
                <w:u w:val="single"/>
              </w:rPr>
            </w:pPr>
            <w:r w:rsidRPr="00DE1471">
              <w:rPr>
                <w:u w:val="single"/>
              </w:rPr>
              <w:t>Botanical names</w:t>
            </w:r>
          </w:p>
        </w:tc>
        <w:tc>
          <w:tcPr>
            <w:tcW w:w="3546" w:type="dxa"/>
            <w:vAlign w:val="center"/>
          </w:tcPr>
          <w:p w:rsidR="00D454F4" w:rsidRPr="00DE1471" w:rsidRDefault="00D454F4" w:rsidP="00951A2C">
            <w:pPr>
              <w:spacing w:before="40" w:after="40"/>
              <w:jc w:val="center"/>
              <w:rPr>
                <w:u w:val="single"/>
              </w:rPr>
            </w:pPr>
            <w:r w:rsidRPr="00DE1471">
              <w:rPr>
                <w:u w:val="single"/>
              </w:rPr>
              <w:t>UPOV codes</w:t>
            </w:r>
          </w:p>
        </w:tc>
      </w:tr>
      <w:tr w:rsidR="00D454F4" w:rsidRPr="00792ADB" w:rsidTr="00951A2C">
        <w:trPr>
          <w:cantSplit/>
          <w:tblHeader/>
        </w:trPr>
        <w:tc>
          <w:tcPr>
            <w:tcW w:w="1277" w:type="dxa"/>
            <w:tcBorders>
              <w:top w:val="nil"/>
              <w:left w:val="nil"/>
              <w:bottom w:val="nil"/>
              <w:right w:val="nil"/>
            </w:tcBorders>
          </w:tcPr>
          <w:p w:rsidR="00D454F4" w:rsidRPr="00DE1471" w:rsidRDefault="00D454F4" w:rsidP="00951A2C">
            <w:pPr>
              <w:keepNext/>
              <w:spacing w:before="40" w:after="40"/>
              <w:jc w:val="left"/>
            </w:pPr>
          </w:p>
        </w:tc>
        <w:tc>
          <w:tcPr>
            <w:tcW w:w="4961" w:type="dxa"/>
            <w:tcBorders>
              <w:top w:val="nil"/>
              <w:left w:val="nil"/>
              <w:bottom w:val="nil"/>
              <w:right w:val="nil"/>
            </w:tcBorders>
          </w:tcPr>
          <w:p w:rsidR="00D454F4" w:rsidRPr="00DE1471" w:rsidRDefault="00D454F4" w:rsidP="00951A2C">
            <w:pPr>
              <w:keepNext/>
              <w:spacing w:before="40" w:after="40"/>
              <w:jc w:val="left"/>
            </w:pPr>
          </w:p>
        </w:tc>
        <w:tc>
          <w:tcPr>
            <w:tcW w:w="3546" w:type="dxa"/>
            <w:tcBorders>
              <w:top w:val="nil"/>
              <w:left w:val="nil"/>
              <w:bottom w:val="nil"/>
              <w:right w:val="nil"/>
            </w:tcBorders>
          </w:tcPr>
          <w:p w:rsidR="00D454F4" w:rsidRPr="00DE1471" w:rsidRDefault="00D454F4" w:rsidP="00951A2C">
            <w:pPr>
              <w:keepNext/>
              <w:spacing w:before="40" w:after="40"/>
              <w:jc w:val="left"/>
            </w:pPr>
          </w:p>
        </w:tc>
      </w:tr>
      <w:tr w:rsidR="00D454F4" w:rsidRPr="00792ADB" w:rsidTr="00951A2C">
        <w:trPr>
          <w:cantSplit/>
        </w:trPr>
        <w:tc>
          <w:tcPr>
            <w:tcW w:w="1277" w:type="dxa"/>
            <w:tcBorders>
              <w:top w:val="single" w:sz="4" w:space="0" w:color="auto"/>
            </w:tcBorders>
          </w:tcPr>
          <w:p w:rsidR="00D454F4" w:rsidRPr="00DE1471" w:rsidRDefault="00D454F4" w:rsidP="00951A2C">
            <w:pPr>
              <w:spacing w:before="40" w:after="40"/>
              <w:jc w:val="left"/>
            </w:pPr>
            <w:r w:rsidRPr="00DE1471">
              <w:t>Class 201</w:t>
            </w:r>
          </w:p>
        </w:tc>
        <w:tc>
          <w:tcPr>
            <w:tcW w:w="4961" w:type="dxa"/>
            <w:tcBorders>
              <w:top w:val="single" w:sz="4" w:space="0" w:color="auto"/>
            </w:tcBorders>
          </w:tcPr>
          <w:p w:rsidR="00D454F4" w:rsidRPr="00DE1471" w:rsidRDefault="00D454F4" w:rsidP="00951A2C">
            <w:pPr>
              <w:keepNext/>
              <w:spacing w:before="40" w:after="40"/>
              <w:jc w:val="left"/>
            </w:pPr>
            <w:r w:rsidRPr="00DE1471">
              <w:t>Secale, Triticale</w:t>
            </w:r>
            <w:r w:rsidRPr="00DE1471">
              <w:rPr>
                <w:iCs/>
              </w:rPr>
              <w:t xml:space="preserve">, </w:t>
            </w:r>
            <w:r w:rsidRPr="00DE1471">
              <w:t>Triticum</w:t>
            </w:r>
          </w:p>
        </w:tc>
        <w:tc>
          <w:tcPr>
            <w:tcW w:w="3546" w:type="dxa"/>
            <w:tcBorders>
              <w:top w:val="single" w:sz="4" w:space="0" w:color="auto"/>
            </w:tcBorders>
          </w:tcPr>
          <w:p w:rsidR="00D454F4" w:rsidRPr="00DE1471" w:rsidRDefault="00D454F4" w:rsidP="00951A2C">
            <w:pPr>
              <w:keepNext/>
              <w:spacing w:before="40" w:after="40"/>
              <w:jc w:val="left"/>
            </w:pPr>
            <w:r w:rsidRPr="00DE1471">
              <w:t>SECAL;  TRITL;  TRITI</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202</w:t>
            </w:r>
          </w:p>
        </w:tc>
        <w:tc>
          <w:tcPr>
            <w:tcW w:w="4961" w:type="dxa"/>
          </w:tcPr>
          <w:p w:rsidR="00D454F4" w:rsidRPr="00DE1471" w:rsidRDefault="00D454F4" w:rsidP="00951A2C">
            <w:pPr>
              <w:keepNext/>
              <w:spacing w:before="40" w:after="40"/>
              <w:jc w:val="left"/>
            </w:pPr>
            <w:r w:rsidRPr="00DE1471">
              <w:rPr>
                <w:iCs/>
              </w:rPr>
              <w:t xml:space="preserve">Megathyrsus, </w:t>
            </w:r>
            <w:r w:rsidRPr="00DE1471">
              <w:t xml:space="preserve">Panicum, Setaria, </w:t>
            </w:r>
            <w:r w:rsidRPr="00DE1471">
              <w:rPr>
                <w:iCs/>
              </w:rPr>
              <w:t>Steinchisma</w:t>
            </w:r>
          </w:p>
        </w:tc>
        <w:tc>
          <w:tcPr>
            <w:tcW w:w="3546" w:type="dxa"/>
          </w:tcPr>
          <w:p w:rsidR="00D454F4" w:rsidRPr="00DE1471" w:rsidRDefault="00D454F4" w:rsidP="00951A2C">
            <w:pPr>
              <w:keepNext/>
              <w:spacing w:before="40" w:after="40"/>
              <w:jc w:val="left"/>
            </w:pPr>
            <w:r w:rsidRPr="00DE1471">
              <w:t>MEGAT;  PANIC;  SETAR;  STEIN</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203</w:t>
            </w:r>
            <w:r w:rsidRPr="00DE1471">
              <w:rPr>
                <w:rStyle w:val="FootnoteReference"/>
              </w:rPr>
              <w:footnoteReference w:customMarkFollows="1" w:id="10"/>
              <w:t>*</w:t>
            </w:r>
          </w:p>
        </w:tc>
        <w:tc>
          <w:tcPr>
            <w:tcW w:w="4961" w:type="dxa"/>
          </w:tcPr>
          <w:p w:rsidR="00D454F4" w:rsidRPr="00DE1471" w:rsidRDefault="00D454F4" w:rsidP="00951A2C">
            <w:pPr>
              <w:keepNext/>
              <w:spacing w:before="40" w:after="40"/>
              <w:jc w:val="left"/>
            </w:pPr>
            <w:r w:rsidRPr="00DE1471">
              <w:t>Agrostis, Dactylis, Festuca, Festulolium, Lolium, Phalaris, Phleum and Poa</w:t>
            </w:r>
          </w:p>
        </w:tc>
        <w:tc>
          <w:tcPr>
            <w:tcW w:w="3546" w:type="dxa"/>
          </w:tcPr>
          <w:p w:rsidR="00D454F4" w:rsidRPr="00DE1471" w:rsidRDefault="00D454F4" w:rsidP="00951A2C">
            <w:pPr>
              <w:keepNext/>
              <w:spacing w:before="40" w:after="40"/>
              <w:jc w:val="left"/>
            </w:pPr>
            <w:r w:rsidRPr="00DE1471">
              <w:t xml:space="preserve">AGROS;  DCTLS;  FESTU;  FESTL;  LOLIU;  PHALR;  PHLEU;  POAAA </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204</w:t>
            </w:r>
            <w:r w:rsidRPr="00DE1471">
              <w:rPr>
                <w:vertAlign w:val="superscript"/>
              </w:rPr>
              <w:t>*</w:t>
            </w:r>
          </w:p>
        </w:tc>
        <w:tc>
          <w:tcPr>
            <w:tcW w:w="4961" w:type="dxa"/>
          </w:tcPr>
          <w:p w:rsidR="00D454F4" w:rsidRPr="00DE1471" w:rsidRDefault="00D454F4" w:rsidP="00951A2C">
            <w:pPr>
              <w:keepNext/>
              <w:spacing w:before="40" w:after="40"/>
              <w:jc w:val="left"/>
            </w:pPr>
            <w:r w:rsidRPr="00DE1471">
              <w:t>Lotus, Medicago, Ornithopus, Onobrychis, Trifolium</w:t>
            </w:r>
          </w:p>
        </w:tc>
        <w:tc>
          <w:tcPr>
            <w:tcW w:w="3546" w:type="dxa"/>
          </w:tcPr>
          <w:p w:rsidR="00D454F4" w:rsidRPr="00DE1471" w:rsidRDefault="00D454F4" w:rsidP="00951A2C">
            <w:pPr>
              <w:keepNext/>
              <w:spacing w:before="40" w:after="40"/>
              <w:jc w:val="left"/>
            </w:pPr>
            <w:r w:rsidRPr="00DE1471">
              <w:t>LOTUS;  MEDIC;  ORNTP;  ONOBR;  TRFOL</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205</w:t>
            </w:r>
          </w:p>
        </w:tc>
        <w:tc>
          <w:tcPr>
            <w:tcW w:w="4961" w:type="dxa"/>
          </w:tcPr>
          <w:p w:rsidR="00D454F4" w:rsidRPr="00DE1471" w:rsidRDefault="00D454F4" w:rsidP="00951A2C">
            <w:pPr>
              <w:keepNext/>
              <w:spacing w:before="40" w:after="40"/>
              <w:jc w:val="left"/>
            </w:pPr>
            <w:r w:rsidRPr="00DE1471">
              <w:t xml:space="preserve">Cichorium, Lactuca </w:t>
            </w:r>
          </w:p>
        </w:tc>
        <w:tc>
          <w:tcPr>
            <w:tcW w:w="3546" w:type="dxa"/>
          </w:tcPr>
          <w:p w:rsidR="00D454F4" w:rsidRPr="00DE1471" w:rsidRDefault="00D454F4" w:rsidP="00951A2C">
            <w:pPr>
              <w:keepNext/>
              <w:spacing w:before="40" w:after="40"/>
              <w:jc w:val="left"/>
            </w:pPr>
            <w:r w:rsidRPr="00DE1471">
              <w:t>CICHO;  LACTU</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206</w:t>
            </w:r>
          </w:p>
        </w:tc>
        <w:tc>
          <w:tcPr>
            <w:tcW w:w="4961" w:type="dxa"/>
          </w:tcPr>
          <w:p w:rsidR="00D454F4" w:rsidRPr="00DE1471" w:rsidRDefault="00D454F4" w:rsidP="00951A2C">
            <w:pPr>
              <w:keepNext/>
              <w:spacing w:before="40" w:after="40"/>
              <w:jc w:val="left"/>
            </w:pPr>
            <w:r w:rsidRPr="00DE1471">
              <w:t>Petunia and Calibrachoa</w:t>
            </w:r>
          </w:p>
        </w:tc>
        <w:tc>
          <w:tcPr>
            <w:tcW w:w="3546" w:type="dxa"/>
          </w:tcPr>
          <w:p w:rsidR="00D454F4" w:rsidRPr="00DE1471" w:rsidRDefault="00D454F4" w:rsidP="00951A2C">
            <w:pPr>
              <w:keepNext/>
              <w:spacing w:before="40" w:after="40"/>
              <w:jc w:val="left"/>
            </w:pPr>
            <w:r w:rsidRPr="00DE1471">
              <w:t>PETUN;  CALIB</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207</w:t>
            </w:r>
          </w:p>
        </w:tc>
        <w:tc>
          <w:tcPr>
            <w:tcW w:w="4961" w:type="dxa"/>
          </w:tcPr>
          <w:p w:rsidR="00D454F4" w:rsidRPr="00DE1471" w:rsidRDefault="00D454F4" w:rsidP="00951A2C">
            <w:pPr>
              <w:keepNext/>
              <w:spacing w:before="40" w:after="40"/>
              <w:jc w:val="left"/>
            </w:pPr>
            <w:r w:rsidRPr="00DE1471">
              <w:t>Chrysanthemum and Ajania</w:t>
            </w:r>
          </w:p>
        </w:tc>
        <w:tc>
          <w:tcPr>
            <w:tcW w:w="3546" w:type="dxa"/>
          </w:tcPr>
          <w:p w:rsidR="00D454F4" w:rsidRPr="00DE1471" w:rsidRDefault="00D454F4" w:rsidP="00951A2C">
            <w:pPr>
              <w:keepNext/>
              <w:spacing w:before="40" w:after="40"/>
              <w:jc w:val="left"/>
            </w:pPr>
            <w:r w:rsidRPr="00DE1471">
              <w:t>CHRYS;  AJANI</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208</w:t>
            </w:r>
          </w:p>
        </w:tc>
        <w:tc>
          <w:tcPr>
            <w:tcW w:w="4961" w:type="dxa"/>
          </w:tcPr>
          <w:p w:rsidR="00D454F4" w:rsidRPr="00DE1471" w:rsidRDefault="00D454F4" w:rsidP="00951A2C">
            <w:pPr>
              <w:keepNext/>
              <w:spacing w:before="40" w:after="40"/>
              <w:jc w:val="left"/>
            </w:pPr>
            <w:r w:rsidRPr="00DE1471">
              <w:t>(Statice) Goniolimon, Limonium, Psylliostachys</w:t>
            </w:r>
          </w:p>
        </w:tc>
        <w:tc>
          <w:tcPr>
            <w:tcW w:w="3546" w:type="dxa"/>
          </w:tcPr>
          <w:p w:rsidR="00D454F4" w:rsidRPr="00DE1471" w:rsidRDefault="00D454F4" w:rsidP="00951A2C">
            <w:pPr>
              <w:keepNext/>
              <w:spacing w:before="40" w:after="40"/>
              <w:jc w:val="left"/>
            </w:pPr>
            <w:r w:rsidRPr="00DE1471">
              <w:t>GONIO;  LIMON;  PSYLL</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209</w:t>
            </w:r>
          </w:p>
        </w:tc>
        <w:tc>
          <w:tcPr>
            <w:tcW w:w="4961" w:type="dxa"/>
          </w:tcPr>
          <w:p w:rsidR="00D454F4" w:rsidRPr="00DE1471" w:rsidRDefault="00D454F4" w:rsidP="00951A2C">
            <w:pPr>
              <w:keepNext/>
              <w:spacing w:before="40" w:after="40"/>
              <w:jc w:val="left"/>
            </w:pPr>
            <w:r w:rsidRPr="00DE1471">
              <w:t>(Waxflower) Chamelaucium, Verticordia</w:t>
            </w:r>
          </w:p>
        </w:tc>
        <w:tc>
          <w:tcPr>
            <w:tcW w:w="3546" w:type="dxa"/>
          </w:tcPr>
          <w:p w:rsidR="00D454F4" w:rsidRPr="00DE1471" w:rsidRDefault="00D454F4" w:rsidP="00951A2C">
            <w:pPr>
              <w:keepNext/>
              <w:spacing w:before="40" w:after="40"/>
              <w:jc w:val="left"/>
            </w:pPr>
            <w:r w:rsidRPr="00DE1471">
              <w:t>CHMLC;  VERTI;  VECHM</w:t>
            </w:r>
          </w:p>
        </w:tc>
      </w:tr>
      <w:tr w:rsidR="00D454F4" w:rsidRPr="00792ADB" w:rsidTr="00951A2C">
        <w:trPr>
          <w:cantSplit/>
        </w:trPr>
        <w:tc>
          <w:tcPr>
            <w:tcW w:w="1277" w:type="dxa"/>
          </w:tcPr>
          <w:p w:rsidR="00D454F4" w:rsidRPr="00DE1471" w:rsidRDefault="00D454F4" w:rsidP="00951A2C">
            <w:pPr>
              <w:spacing w:before="40" w:after="40"/>
              <w:jc w:val="left"/>
            </w:pPr>
            <w:r w:rsidRPr="00DE1471">
              <w:t>Class 210</w:t>
            </w:r>
          </w:p>
        </w:tc>
        <w:tc>
          <w:tcPr>
            <w:tcW w:w="4961" w:type="dxa"/>
          </w:tcPr>
          <w:p w:rsidR="00D454F4" w:rsidRPr="00DE1471" w:rsidRDefault="00D454F4" w:rsidP="00951A2C">
            <w:pPr>
              <w:keepNext/>
              <w:spacing w:before="40" w:after="40"/>
              <w:jc w:val="left"/>
            </w:pPr>
            <w:r w:rsidRPr="00DE1471">
              <w:t>Jamesbrittania and Sutera</w:t>
            </w:r>
          </w:p>
        </w:tc>
        <w:tc>
          <w:tcPr>
            <w:tcW w:w="3546" w:type="dxa"/>
          </w:tcPr>
          <w:p w:rsidR="00D454F4" w:rsidRPr="00DE1471" w:rsidRDefault="00D454F4" w:rsidP="00951A2C">
            <w:pPr>
              <w:keepNext/>
              <w:spacing w:before="40" w:after="40"/>
              <w:jc w:val="left"/>
            </w:pPr>
            <w:r w:rsidRPr="00DE1471">
              <w:t>JAMES; SUTER</w:t>
            </w:r>
          </w:p>
        </w:tc>
      </w:tr>
      <w:tr w:rsidR="00D454F4" w:rsidRPr="00792ADB" w:rsidTr="00951A2C">
        <w:trPr>
          <w:cantSplit/>
        </w:trPr>
        <w:tc>
          <w:tcPr>
            <w:tcW w:w="1277" w:type="dxa"/>
          </w:tcPr>
          <w:p w:rsidR="00D454F4" w:rsidRPr="00DE1471" w:rsidRDefault="00D454F4" w:rsidP="00951A2C">
            <w:pPr>
              <w:spacing w:before="40" w:after="40"/>
              <w:ind w:left="567" w:right="113" w:hanging="567"/>
              <w:jc w:val="left"/>
            </w:pPr>
            <w:r w:rsidRPr="00DE1471">
              <w:t>Class 211</w:t>
            </w:r>
          </w:p>
        </w:tc>
        <w:tc>
          <w:tcPr>
            <w:tcW w:w="4961" w:type="dxa"/>
          </w:tcPr>
          <w:p w:rsidR="00D454F4" w:rsidRPr="00DE1471" w:rsidRDefault="00D454F4" w:rsidP="00951A2C">
            <w:pPr>
              <w:tabs>
                <w:tab w:val="left" w:pos="6373"/>
                <w:tab w:val="left" w:pos="9066"/>
              </w:tabs>
              <w:spacing w:before="40" w:after="40"/>
              <w:ind w:left="298" w:right="113" w:hanging="298"/>
              <w:jc w:val="left"/>
            </w:pPr>
            <w:r w:rsidRPr="00DE1471">
              <w:t>(Mushrooms)</w:t>
            </w:r>
            <w:r w:rsidRPr="00DE1471">
              <w:br/>
            </w:r>
            <w:r w:rsidRPr="00DE1471">
              <w:rPr>
                <w:snapToGrid w:val="0"/>
                <w:color w:val="000000"/>
              </w:rPr>
              <w:t xml:space="preserve">Agaricus  </w:t>
            </w:r>
            <w:r w:rsidRPr="00DE1471">
              <w:rPr>
                <w:snapToGrid w:val="0"/>
                <w:color w:val="000000"/>
              </w:rPr>
              <w:br/>
              <w:t xml:space="preserve">Agrocybe </w:t>
            </w:r>
            <w:r w:rsidRPr="00DE1471">
              <w:rPr>
                <w:snapToGrid w:val="0"/>
                <w:color w:val="000000"/>
              </w:rPr>
              <w:br/>
              <w:t xml:space="preserve">Auricularia </w:t>
            </w:r>
            <w:r w:rsidRPr="00DE1471">
              <w:rPr>
                <w:snapToGrid w:val="0"/>
                <w:color w:val="000000"/>
              </w:rPr>
              <w:br/>
              <w:t xml:space="preserve">Dictyophora </w:t>
            </w:r>
            <w:r w:rsidRPr="00DE1471">
              <w:rPr>
                <w:snapToGrid w:val="0"/>
                <w:color w:val="000000"/>
              </w:rPr>
              <w:br/>
              <w:t xml:space="preserve">Flammulina </w:t>
            </w:r>
            <w:r w:rsidRPr="00DE1471">
              <w:rPr>
                <w:snapToGrid w:val="0"/>
                <w:color w:val="000000"/>
              </w:rPr>
              <w:br/>
              <w:t xml:space="preserve">Ganoderma </w:t>
            </w:r>
            <w:r w:rsidRPr="00DE1471">
              <w:rPr>
                <w:snapToGrid w:val="0"/>
                <w:color w:val="000000"/>
              </w:rPr>
              <w:br/>
              <w:t xml:space="preserve">Grifola </w:t>
            </w:r>
            <w:r w:rsidRPr="00DE1471">
              <w:rPr>
                <w:snapToGrid w:val="0"/>
                <w:color w:val="000000"/>
              </w:rPr>
              <w:br/>
              <w:t xml:space="preserve">Hericium </w:t>
            </w:r>
            <w:r w:rsidRPr="00DE1471">
              <w:rPr>
                <w:snapToGrid w:val="0"/>
                <w:color w:val="000000"/>
              </w:rPr>
              <w:br/>
              <w:t xml:space="preserve">Hypsizigus </w:t>
            </w:r>
            <w:r w:rsidRPr="00DE1471">
              <w:rPr>
                <w:snapToGrid w:val="0"/>
                <w:color w:val="000000"/>
              </w:rPr>
              <w:br/>
              <w:t xml:space="preserve">Lentinula </w:t>
            </w:r>
            <w:r w:rsidRPr="00DE1471">
              <w:rPr>
                <w:snapToGrid w:val="0"/>
                <w:color w:val="000000"/>
              </w:rPr>
              <w:br/>
              <w:t xml:space="preserve">Lepista </w:t>
            </w:r>
            <w:r w:rsidRPr="00DE1471">
              <w:rPr>
                <w:snapToGrid w:val="0"/>
                <w:color w:val="000000"/>
              </w:rPr>
              <w:br/>
              <w:t xml:space="preserve">Lyophyllum </w:t>
            </w:r>
            <w:r w:rsidRPr="00DE1471">
              <w:rPr>
                <w:snapToGrid w:val="0"/>
                <w:color w:val="000000"/>
              </w:rPr>
              <w:br/>
              <w:t xml:space="preserve">Meripilus </w:t>
            </w:r>
            <w:r w:rsidRPr="00DE1471">
              <w:rPr>
                <w:snapToGrid w:val="0"/>
                <w:color w:val="000000"/>
              </w:rPr>
              <w:br/>
              <w:t xml:space="preserve">Mycoleptodonoides </w:t>
            </w:r>
            <w:r w:rsidRPr="00DE1471">
              <w:rPr>
                <w:snapToGrid w:val="0"/>
                <w:color w:val="000000"/>
              </w:rPr>
              <w:br/>
              <w:t xml:space="preserve">Naematoloma </w:t>
            </w:r>
            <w:r w:rsidRPr="00DE1471">
              <w:rPr>
                <w:snapToGrid w:val="0"/>
                <w:color w:val="000000"/>
              </w:rPr>
              <w:br/>
              <w:t>Panellus</w:t>
            </w:r>
            <w:r w:rsidRPr="00DE1471">
              <w:rPr>
                <w:snapToGrid w:val="0"/>
                <w:color w:val="000000"/>
              </w:rPr>
              <w:br/>
              <w:t xml:space="preserve">Pholiota </w:t>
            </w:r>
            <w:r w:rsidRPr="00DE1471">
              <w:rPr>
                <w:snapToGrid w:val="0"/>
                <w:color w:val="000000"/>
              </w:rPr>
              <w:br/>
              <w:t xml:space="preserve">Pleurotus </w:t>
            </w:r>
            <w:r w:rsidRPr="00DE1471">
              <w:rPr>
                <w:snapToGrid w:val="0"/>
                <w:color w:val="000000"/>
              </w:rPr>
              <w:br/>
              <w:t xml:space="preserve">Polyporus </w:t>
            </w:r>
            <w:r w:rsidRPr="00DE1471">
              <w:rPr>
                <w:snapToGrid w:val="0"/>
                <w:color w:val="000000"/>
              </w:rPr>
              <w:br/>
              <w:t xml:space="preserve">Sparassis </w:t>
            </w:r>
            <w:r w:rsidRPr="00DE1471">
              <w:rPr>
                <w:snapToGrid w:val="0"/>
                <w:color w:val="000000"/>
              </w:rPr>
              <w:br/>
              <w:t xml:space="preserve">Tricholoma </w:t>
            </w:r>
          </w:p>
        </w:tc>
        <w:tc>
          <w:tcPr>
            <w:tcW w:w="3546" w:type="dxa"/>
          </w:tcPr>
          <w:p w:rsidR="00D454F4" w:rsidRPr="00DE1471" w:rsidRDefault="00D454F4" w:rsidP="00951A2C">
            <w:pPr>
              <w:spacing w:before="40" w:after="40"/>
              <w:jc w:val="left"/>
              <w:rPr>
                <w:snapToGrid w:val="0"/>
                <w:color w:val="000000"/>
                <w:lang w:val="it-IT"/>
              </w:rPr>
            </w:pPr>
            <w:r w:rsidRPr="00DE1471">
              <w:rPr>
                <w:snapToGrid w:val="0"/>
                <w:color w:val="000000"/>
                <w:lang w:val="it-IT"/>
              </w:rPr>
              <w:br/>
              <w:t>AGARI</w:t>
            </w:r>
            <w:r w:rsidRPr="00DE1471">
              <w:rPr>
                <w:b/>
                <w:snapToGrid w:val="0"/>
                <w:color w:val="000000"/>
                <w:lang w:val="it-IT"/>
              </w:rPr>
              <w:br/>
            </w:r>
            <w:r w:rsidRPr="00DE1471">
              <w:rPr>
                <w:snapToGrid w:val="0"/>
                <w:color w:val="000000"/>
                <w:lang w:val="it-IT"/>
              </w:rPr>
              <w:t>AGROC</w:t>
            </w:r>
            <w:r w:rsidRPr="00DE1471">
              <w:rPr>
                <w:snapToGrid w:val="0"/>
                <w:color w:val="000000"/>
                <w:lang w:val="it-IT"/>
              </w:rPr>
              <w:br/>
              <w:t>AURIC</w:t>
            </w:r>
            <w:r w:rsidRPr="00DE1471">
              <w:rPr>
                <w:snapToGrid w:val="0"/>
                <w:color w:val="000000"/>
                <w:lang w:val="it-IT"/>
              </w:rPr>
              <w:br/>
              <w:t>DICTP</w:t>
            </w:r>
            <w:r w:rsidRPr="00DE1471">
              <w:rPr>
                <w:snapToGrid w:val="0"/>
                <w:color w:val="000000"/>
                <w:lang w:val="it-IT"/>
              </w:rPr>
              <w:br/>
              <w:t>FLAMM</w:t>
            </w:r>
            <w:r w:rsidRPr="00DE1471">
              <w:rPr>
                <w:snapToGrid w:val="0"/>
                <w:color w:val="000000"/>
                <w:lang w:val="it-IT"/>
              </w:rPr>
              <w:br/>
              <w:t>GANOD</w:t>
            </w:r>
            <w:r w:rsidRPr="00DE1471">
              <w:rPr>
                <w:snapToGrid w:val="0"/>
                <w:color w:val="000000"/>
                <w:lang w:val="it-IT"/>
              </w:rPr>
              <w:br/>
              <w:t>GRIFO</w:t>
            </w:r>
            <w:r w:rsidRPr="00DE1471">
              <w:rPr>
                <w:snapToGrid w:val="0"/>
                <w:color w:val="000000"/>
                <w:lang w:val="it-IT"/>
              </w:rPr>
              <w:br/>
              <w:t>HERIC</w:t>
            </w:r>
            <w:r w:rsidRPr="00DE1471">
              <w:rPr>
                <w:snapToGrid w:val="0"/>
                <w:color w:val="000000"/>
                <w:lang w:val="it-IT"/>
              </w:rPr>
              <w:br/>
              <w:t>HYPSI</w:t>
            </w:r>
            <w:r w:rsidRPr="00DE1471">
              <w:rPr>
                <w:snapToGrid w:val="0"/>
                <w:color w:val="000000"/>
                <w:lang w:val="it-IT"/>
              </w:rPr>
              <w:br/>
              <w:t>LENTI</w:t>
            </w:r>
            <w:r w:rsidRPr="00DE1471">
              <w:rPr>
                <w:snapToGrid w:val="0"/>
                <w:color w:val="000000"/>
                <w:lang w:val="it-IT"/>
              </w:rPr>
              <w:br/>
              <w:t>LEPIS</w:t>
            </w:r>
            <w:r w:rsidRPr="00DE1471">
              <w:rPr>
                <w:snapToGrid w:val="0"/>
                <w:color w:val="000000"/>
                <w:lang w:val="it-IT"/>
              </w:rPr>
              <w:br/>
            </w:r>
            <w:r w:rsidRPr="00DE1471">
              <w:rPr>
                <w:snapToGrid w:val="0"/>
                <w:color w:val="000000"/>
              </w:rPr>
              <w:t>LYOPH</w:t>
            </w:r>
            <w:r w:rsidRPr="00DE1471">
              <w:rPr>
                <w:snapToGrid w:val="0"/>
                <w:color w:val="000000"/>
              </w:rPr>
              <w:br/>
              <w:t>MERIP</w:t>
            </w:r>
            <w:r w:rsidRPr="00DE1471">
              <w:rPr>
                <w:snapToGrid w:val="0"/>
                <w:color w:val="000000"/>
              </w:rPr>
              <w:br/>
              <w:t>MYCOL</w:t>
            </w:r>
            <w:r w:rsidRPr="00DE1471">
              <w:rPr>
                <w:snapToGrid w:val="0"/>
                <w:color w:val="000000"/>
              </w:rPr>
              <w:br/>
              <w:t>NAEMA</w:t>
            </w:r>
            <w:r w:rsidRPr="00DE1471">
              <w:rPr>
                <w:snapToGrid w:val="0"/>
                <w:color w:val="000000"/>
              </w:rPr>
              <w:br/>
              <w:t>PANEL</w:t>
            </w:r>
            <w:r w:rsidRPr="00DE1471">
              <w:rPr>
                <w:snapToGrid w:val="0"/>
                <w:color w:val="000000"/>
              </w:rPr>
              <w:br/>
              <w:t>PHLIO</w:t>
            </w:r>
            <w:r w:rsidRPr="00DE1471">
              <w:rPr>
                <w:snapToGrid w:val="0"/>
                <w:color w:val="000000"/>
              </w:rPr>
              <w:br/>
              <w:t>PLEUR</w:t>
            </w:r>
            <w:r w:rsidRPr="00DE1471">
              <w:rPr>
                <w:snapToGrid w:val="0"/>
                <w:color w:val="000000"/>
              </w:rPr>
              <w:br/>
            </w:r>
            <w:r w:rsidRPr="00DE1471">
              <w:rPr>
                <w:snapToGrid w:val="0"/>
                <w:color w:val="000000"/>
                <w:lang w:val="it-IT"/>
              </w:rPr>
              <w:t>POLYO</w:t>
            </w:r>
            <w:r w:rsidRPr="00DE1471">
              <w:rPr>
                <w:snapToGrid w:val="0"/>
                <w:color w:val="000000"/>
                <w:lang w:val="it-IT"/>
              </w:rPr>
              <w:br/>
              <w:t>SPARA</w:t>
            </w:r>
            <w:r w:rsidRPr="00DE1471">
              <w:rPr>
                <w:snapToGrid w:val="0"/>
                <w:color w:val="000000"/>
                <w:lang w:val="it-IT"/>
              </w:rPr>
              <w:br/>
              <w:t>MACRO</w:t>
            </w:r>
          </w:p>
        </w:tc>
      </w:tr>
      <w:tr w:rsidR="00D454F4" w:rsidRPr="00326FD2" w:rsidTr="00951A2C">
        <w:trPr>
          <w:cantSplit/>
        </w:trPr>
        <w:tc>
          <w:tcPr>
            <w:tcW w:w="1277" w:type="dxa"/>
          </w:tcPr>
          <w:p w:rsidR="00D454F4" w:rsidRPr="00DE1471" w:rsidRDefault="00D454F4" w:rsidP="00951A2C">
            <w:pPr>
              <w:spacing w:before="40" w:after="40"/>
              <w:ind w:left="567" w:right="113" w:hanging="567"/>
              <w:jc w:val="left"/>
            </w:pPr>
            <w:r w:rsidRPr="00DE1471">
              <w:rPr>
                <w:snapToGrid w:val="0"/>
              </w:rPr>
              <w:t>Class 212</w:t>
            </w:r>
          </w:p>
        </w:tc>
        <w:tc>
          <w:tcPr>
            <w:tcW w:w="4961" w:type="dxa"/>
          </w:tcPr>
          <w:p w:rsidR="00D454F4" w:rsidRPr="00DE1471" w:rsidRDefault="00D454F4" w:rsidP="00951A2C">
            <w:pPr>
              <w:tabs>
                <w:tab w:val="left" w:pos="6373"/>
                <w:tab w:val="left" w:pos="9066"/>
              </w:tabs>
              <w:spacing w:before="40" w:after="40"/>
              <w:ind w:left="298" w:right="113" w:hanging="298"/>
              <w:jc w:val="left"/>
            </w:pPr>
            <w:r w:rsidRPr="00DE1471">
              <w:t>Verbena L. and Glandularia J. F. Gmel.</w:t>
            </w:r>
          </w:p>
        </w:tc>
        <w:tc>
          <w:tcPr>
            <w:tcW w:w="3546" w:type="dxa"/>
          </w:tcPr>
          <w:p w:rsidR="00D454F4" w:rsidRPr="00DE1471" w:rsidRDefault="00D454F4" w:rsidP="00951A2C">
            <w:pPr>
              <w:spacing w:before="40" w:after="40"/>
              <w:jc w:val="left"/>
              <w:rPr>
                <w:snapToGrid w:val="0"/>
                <w:color w:val="000000"/>
                <w:lang w:val="it-IT"/>
              </w:rPr>
            </w:pPr>
            <w:r w:rsidRPr="00DE1471">
              <w:rPr>
                <w:snapToGrid w:val="0"/>
                <w:color w:val="000000"/>
                <w:lang w:val="it-IT"/>
              </w:rPr>
              <w:t>VERBE;  GLAND</w:t>
            </w:r>
          </w:p>
        </w:tc>
      </w:tr>
      <w:tr w:rsidR="00D454F4" w:rsidRPr="001B4917" w:rsidTr="00951A2C">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lastRenderedPageBreak/>
              <w:t>Class 213</w:t>
            </w:r>
          </w:p>
        </w:tc>
        <w:tc>
          <w:tcPr>
            <w:tcW w:w="4961" w:type="dxa"/>
            <w:tcBorders>
              <w:top w:val="single" w:sz="4" w:space="0" w:color="auto"/>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28"/>
              <w:jc w:val="left"/>
              <w:rPr>
                <w:color w:val="000000"/>
              </w:rPr>
            </w:pPr>
            <w:r w:rsidRPr="00091173">
              <w:rPr>
                <w:color w:val="000000"/>
              </w:rPr>
              <w:t>Eupatorium L.</w:t>
            </w:r>
          </w:p>
        </w:tc>
        <w:tc>
          <w:tcPr>
            <w:tcW w:w="3546" w:type="dxa"/>
            <w:tcBorders>
              <w:top w:val="single" w:sz="4" w:space="0" w:color="auto"/>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EUPAT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r w:rsidRPr="00091173">
              <w:rPr>
                <w:color w:val="000000"/>
              </w:rPr>
              <w:t>Acanthostyles R. M. King &amp; H. Rob.</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r w:rsidRPr="00091173">
              <w:rPr>
                <w:iCs/>
                <w:color w:val="000000"/>
              </w:rPr>
              <w:t>Ageratina Spach</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AGERT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r w:rsidRPr="00091173">
              <w:t>Asplundianthus R. M. King &amp; H. Rob.</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r w:rsidRPr="00091173">
              <w:t>Bartlettina R. M. King &amp; H. Rob.</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smartTag w:uri="urn:schemas-microsoft-com:office:smarttags" w:element="place">
              <w:smartTag w:uri="urn:schemas-microsoft-com:office:smarttags" w:element="City">
                <w:r w:rsidRPr="00091173">
                  <w:t>Campuloclinium</w:t>
                </w:r>
              </w:smartTag>
              <w:r w:rsidRPr="00091173">
                <w:t xml:space="preserve"> </w:t>
              </w:r>
              <w:smartTag w:uri="urn:schemas-microsoft-com:office:smarttags" w:element="State">
                <w:r w:rsidRPr="00091173">
                  <w:t>DC</w:t>
                </w:r>
              </w:smartTag>
            </w:smartTag>
            <w:r w:rsidRPr="00091173">
              <w:t>.</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smartTag w:uri="urn:schemas-microsoft-com:office:smarttags" w:element="place">
              <w:smartTag w:uri="urn:schemas-microsoft-com:office:smarttags" w:element="City">
                <w:r w:rsidRPr="00091173">
                  <w:t>Chromolaena</w:t>
                </w:r>
              </w:smartTag>
              <w:r w:rsidRPr="00091173">
                <w:t xml:space="preserve"> </w:t>
              </w:r>
              <w:smartTag w:uri="urn:schemas-microsoft-com:office:smarttags" w:element="State">
                <w:r w:rsidRPr="00091173">
                  <w:t>DC</w:t>
                </w:r>
              </w:smartTag>
            </w:smartTag>
            <w:r w:rsidRPr="00091173">
              <w:t>.</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smartTag w:uri="urn:schemas-microsoft-com:office:smarttags" w:element="place">
              <w:smartTag w:uri="urn:schemas-microsoft-com:office:smarttags" w:element="City">
                <w:r w:rsidRPr="00091173">
                  <w:t>Conoclinium</w:t>
                </w:r>
              </w:smartTag>
              <w:r w:rsidRPr="00091173">
                <w:t xml:space="preserve"> </w:t>
              </w:r>
              <w:smartTag w:uri="urn:schemas-microsoft-com:office:smarttags" w:element="State">
                <w:r w:rsidRPr="00091173">
                  <w:t>DC</w:t>
                </w:r>
              </w:smartTag>
            </w:smartTag>
            <w:r w:rsidRPr="00091173">
              <w:t>.</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r w:rsidRPr="00091173">
              <w:t>Cronquistianthus R. M. King &amp; H. Rob.</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ind w:firstLine="454"/>
              <w:jc w:val="left"/>
              <w:rPr>
                <w:color w:val="000000"/>
              </w:rPr>
            </w:pPr>
            <w:r w:rsidRPr="00091173">
              <w:rPr>
                <w:iCs/>
                <w:color w:val="000000"/>
              </w:rPr>
              <w:t>Eutrochium Raf.</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keepNext/>
              <w:spacing w:before="10" w:after="10"/>
              <w:jc w:val="left"/>
            </w:pPr>
            <w:r w:rsidRPr="00091173">
              <w:t>EUTRO</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ind w:firstLine="454"/>
              <w:jc w:val="left"/>
              <w:rPr>
                <w:color w:val="000000"/>
              </w:rPr>
            </w:pPr>
            <w:r w:rsidRPr="00091173">
              <w:t>Fleischmannia Sch. Bip.</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jc w:val="left"/>
            </w:pPr>
          </w:p>
        </w:tc>
        <w:tc>
          <w:tcPr>
            <w:tcW w:w="4961"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ind w:firstLine="454"/>
              <w:jc w:val="left"/>
            </w:pPr>
            <w:r w:rsidRPr="00091173">
              <w:t>Praxelis Cass.</w:t>
            </w:r>
          </w:p>
        </w:tc>
        <w:tc>
          <w:tcPr>
            <w:tcW w:w="3546" w:type="dxa"/>
            <w:tcBorders>
              <w:top w:val="nil"/>
              <w:left w:val="single" w:sz="4" w:space="0" w:color="auto"/>
              <w:bottom w:val="nil"/>
              <w:right w:val="single" w:sz="4" w:space="0" w:color="auto"/>
            </w:tcBorders>
            <w:shd w:val="clear" w:color="auto" w:fill="auto"/>
          </w:tcPr>
          <w:p w:rsidR="00D454F4" w:rsidRPr="00091173" w:rsidRDefault="00D454F4" w:rsidP="00951A2C">
            <w:pPr>
              <w:spacing w:before="10" w:after="10"/>
              <w:jc w:val="left"/>
            </w:pPr>
            <w:r w:rsidRPr="00091173">
              <w:t>-</w:t>
            </w:r>
          </w:p>
        </w:tc>
      </w:tr>
      <w:tr w:rsidR="00D454F4" w:rsidRPr="001B4917" w:rsidTr="00951A2C">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D454F4" w:rsidRPr="00091173" w:rsidRDefault="00D454F4" w:rsidP="00951A2C">
            <w:pPr>
              <w:spacing w:before="10" w:after="10"/>
              <w:jc w:val="left"/>
            </w:pPr>
          </w:p>
        </w:tc>
        <w:tc>
          <w:tcPr>
            <w:tcW w:w="4961" w:type="dxa"/>
            <w:tcBorders>
              <w:top w:val="nil"/>
              <w:left w:val="single" w:sz="4" w:space="0" w:color="auto"/>
              <w:bottom w:val="single" w:sz="4" w:space="0" w:color="auto"/>
              <w:right w:val="single" w:sz="4" w:space="0" w:color="auto"/>
            </w:tcBorders>
            <w:shd w:val="clear" w:color="auto" w:fill="auto"/>
          </w:tcPr>
          <w:p w:rsidR="00D454F4" w:rsidRPr="00091173" w:rsidRDefault="00D454F4" w:rsidP="00951A2C">
            <w:pPr>
              <w:spacing w:before="10" w:after="10"/>
              <w:ind w:firstLine="454"/>
              <w:jc w:val="left"/>
              <w:rPr>
                <w:color w:val="000000"/>
              </w:rPr>
            </w:pPr>
            <w:r w:rsidRPr="00091173">
              <w:rPr>
                <w:rFonts w:cs="Arial"/>
              </w:rPr>
              <w:t>Viereckia R. M. King &amp; H. Rob.</w:t>
            </w:r>
          </w:p>
        </w:tc>
        <w:tc>
          <w:tcPr>
            <w:tcW w:w="3546" w:type="dxa"/>
            <w:tcBorders>
              <w:top w:val="nil"/>
              <w:left w:val="single" w:sz="4" w:space="0" w:color="auto"/>
              <w:bottom w:val="single" w:sz="4" w:space="0" w:color="auto"/>
              <w:right w:val="single" w:sz="4" w:space="0" w:color="auto"/>
            </w:tcBorders>
            <w:shd w:val="clear" w:color="auto" w:fill="auto"/>
          </w:tcPr>
          <w:p w:rsidR="00D454F4" w:rsidRPr="00091173" w:rsidRDefault="00D454F4" w:rsidP="00951A2C">
            <w:pPr>
              <w:spacing w:before="10" w:after="10"/>
              <w:jc w:val="left"/>
            </w:pPr>
            <w:r w:rsidRPr="00091173">
              <w:t>-</w:t>
            </w:r>
          </w:p>
        </w:tc>
      </w:tr>
    </w:tbl>
    <w:p w:rsidR="00D454F4" w:rsidRDefault="00D454F4" w:rsidP="00951A2C">
      <w:pPr>
        <w:jc w:val="right"/>
      </w:pPr>
    </w:p>
    <w:p w:rsidR="00D454F4" w:rsidRDefault="00D454F4" w:rsidP="00951A2C">
      <w:pPr>
        <w:jc w:val="right"/>
      </w:pPr>
    </w:p>
    <w:p w:rsidR="00D454F4" w:rsidRDefault="00D454F4" w:rsidP="00951A2C">
      <w:pPr>
        <w:jc w:val="right"/>
      </w:pPr>
    </w:p>
    <w:p w:rsidR="00D454F4" w:rsidRDefault="00D454F4" w:rsidP="00951A2C">
      <w:pPr>
        <w:jc w:val="right"/>
      </w:pPr>
      <w:r>
        <w:t>[Annex II follows]</w:t>
      </w:r>
    </w:p>
    <w:p w:rsidR="00D454F4" w:rsidRPr="00407B23" w:rsidRDefault="00D454F4" w:rsidP="00951A2C">
      <w:pPr>
        <w:jc w:val="right"/>
        <w:sectPr w:rsidR="00D454F4" w:rsidRPr="00407B23" w:rsidSect="00951A2C">
          <w:headerReference w:type="default" r:id="rId12"/>
          <w:headerReference w:type="first" r:id="rId13"/>
          <w:footerReference w:type="first" r:id="rId14"/>
          <w:endnotePr>
            <w:numFmt w:val="lowerLetter"/>
          </w:endnotePr>
          <w:pgSz w:w="11907" w:h="16840" w:code="9"/>
          <w:pgMar w:top="510" w:right="1134" w:bottom="1134" w:left="1134" w:header="510" w:footer="113" w:gutter="0"/>
          <w:pgNumType w:start="1"/>
          <w:cols w:space="720"/>
          <w:titlePg/>
        </w:sectPr>
      </w:pPr>
    </w:p>
    <w:p w:rsidR="00D454F4" w:rsidRPr="00407B23" w:rsidRDefault="00D454F4" w:rsidP="00951A2C">
      <w:pPr>
        <w:jc w:val="center"/>
        <w:rPr>
          <w:u w:val="single"/>
        </w:rPr>
      </w:pPr>
      <w:r w:rsidRPr="00407B23">
        <w:rPr>
          <w:u w:val="single"/>
        </w:rPr>
        <w:lastRenderedPageBreak/>
        <w:t>Model Form for Observations on Proposed Variety Denominations Submitted</w:t>
      </w:r>
    </w:p>
    <w:p w:rsidR="00D454F4" w:rsidRPr="00407B23" w:rsidRDefault="00D454F4" w:rsidP="00951A2C">
      <w:pPr>
        <w:jc w:val="center"/>
        <w:rPr>
          <w:u w:val="single"/>
        </w:rPr>
      </w:pPr>
      <w:r w:rsidRPr="00407B23">
        <w:rPr>
          <w:u w:val="single"/>
        </w:rPr>
        <w:t xml:space="preserve">to Another Member of the </w:t>
      </w:r>
      <w:smartTag w:uri="urn:schemas-microsoft-com:office:smarttags" w:element="place">
        <w:r w:rsidRPr="00407B23">
          <w:rPr>
            <w:u w:val="single"/>
          </w:rPr>
          <w:t>Union</w:t>
        </w:r>
      </w:smartTag>
    </w:p>
    <w:p w:rsidR="00D454F4" w:rsidRPr="00407B23" w:rsidRDefault="00D454F4" w:rsidP="00951A2C"/>
    <w:p w:rsidR="00D454F4" w:rsidRPr="00407B23" w:rsidRDefault="00D454F4" w:rsidP="00951A2C">
      <w:r w:rsidRPr="00407B23">
        <w:t>From:</w:t>
      </w:r>
    </w:p>
    <w:p w:rsidR="00D454F4" w:rsidRPr="00407B23" w:rsidRDefault="00D454F4" w:rsidP="00951A2C">
      <w:pPr>
        <w:tabs>
          <w:tab w:val="right" w:leader="underscore" w:pos="9639"/>
        </w:tabs>
        <w:ind w:left="4678"/>
        <w:jc w:val="center"/>
      </w:pPr>
      <w:r w:rsidRPr="00407B23">
        <w:tab/>
      </w:r>
    </w:p>
    <w:p w:rsidR="00D454F4" w:rsidRPr="00407B23" w:rsidRDefault="00D454F4" w:rsidP="00951A2C">
      <w:pPr>
        <w:tabs>
          <w:tab w:val="left" w:pos="4678"/>
          <w:tab w:val="right" w:leader="underscore" w:pos="9072"/>
        </w:tabs>
        <w:ind w:left="4678"/>
        <w:jc w:val="center"/>
      </w:pPr>
      <w:r w:rsidRPr="00407B23">
        <w:t>Your ref.</w:t>
      </w:r>
    </w:p>
    <w:p w:rsidR="00D454F4" w:rsidRPr="00407B23" w:rsidRDefault="00D454F4" w:rsidP="00951A2C">
      <w:pPr>
        <w:tabs>
          <w:tab w:val="left" w:pos="4678"/>
          <w:tab w:val="right" w:leader="underscore" w:pos="9639"/>
        </w:tabs>
        <w:ind w:left="4678"/>
        <w:jc w:val="center"/>
      </w:pPr>
      <w:r w:rsidRPr="00407B23">
        <w:tab/>
      </w:r>
    </w:p>
    <w:p w:rsidR="00D454F4" w:rsidRPr="00407B23" w:rsidRDefault="00D454F4" w:rsidP="00951A2C">
      <w:pPr>
        <w:tabs>
          <w:tab w:val="left" w:pos="4678"/>
          <w:tab w:val="right" w:leader="underscore" w:pos="9072"/>
        </w:tabs>
        <w:ind w:left="4678"/>
        <w:jc w:val="center"/>
      </w:pPr>
      <w:r w:rsidRPr="00407B23">
        <w:t>Our ref.</w:t>
      </w:r>
    </w:p>
    <w:p w:rsidR="00D454F4" w:rsidRPr="00407B23" w:rsidRDefault="00D454F4" w:rsidP="00951A2C"/>
    <w:p w:rsidR="00D454F4" w:rsidRPr="00407B23" w:rsidRDefault="00D454F4" w:rsidP="00951A2C"/>
    <w:p w:rsidR="00D454F4" w:rsidRPr="00407B23" w:rsidRDefault="00D454F4" w:rsidP="00951A2C">
      <w:pPr>
        <w:jc w:val="center"/>
        <w:rPr>
          <w:b/>
        </w:rPr>
      </w:pPr>
      <w:r w:rsidRPr="00407B23">
        <w:rPr>
          <w:b/>
        </w:rPr>
        <w:t>Observations on a Submitted Variety Denomination</w:t>
      </w:r>
    </w:p>
    <w:p w:rsidR="00D454F4" w:rsidRPr="00407B23" w:rsidRDefault="00D454F4" w:rsidP="00951A2C">
      <w:pPr>
        <w:jc w:val="center"/>
        <w:rPr>
          <w:b/>
        </w:rPr>
      </w:pPr>
    </w:p>
    <w:p w:rsidR="00D454F4" w:rsidRPr="00407B23" w:rsidRDefault="00D454F4" w:rsidP="00951A2C">
      <w:r w:rsidRPr="00407B23">
        <w:t xml:space="preserve">To:  </w:t>
      </w:r>
    </w:p>
    <w:p w:rsidR="00D454F4" w:rsidRPr="00407B23" w:rsidRDefault="00D454F4" w:rsidP="00951A2C"/>
    <w:p w:rsidR="00D454F4" w:rsidRPr="00407B23" w:rsidRDefault="00D454F4" w:rsidP="00951A2C"/>
    <w:p w:rsidR="00D454F4" w:rsidRPr="00407B23" w:rsidRDefault="00D454F4" w:rsidP="00951A2C">
      <w:pPr>
        <w:tabs>
          <w:tab w:val="right" w:leader="underscore" w:pos="9639"/>
        </w:tabs>
      </w:pPr>
      <w:r w:rsidRPr="00407B23">
        <w:t xml:space="preserve">Submitted Variety Denomination:  </w:t>
      </w: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 xml:space="preserve">Gazette:  </w:t>
      </w:r>
      <w:r w:rsidRPr="00407B23">
        <w:tab/>
      </w:r>
    </w:p>
    <w:p w:rsidR="00D454F4" w:rsidRPr="00407B23" w:rsidRDefault="00D454F4" w:rsidP="00951A2C">
      <w:pPr>
        <w:tabs>
          <w:tab w:val="right" w:leader="underscore" w:pos="9072"/>
        </w:tabs>
        <w:jc w:val="center"/>
      </w:pPr>
      <w:r w:rsidRPr="00407B23">
        <w:t>(number/year)</w:t>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 xml:space="preserve">Applicant:  </w:t>
      </w: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 xml:space="preserve">Observations: </w:t>
      </w:r>
      <w:r w:rsidRPr="00407B23">
        <w:tab/>
      </w: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ab/>
      </w:r>
    </w:p>
    <w:p w:rsidR="00D454F4" w:rsidRPr="00407B23" w:rsidRDefault="00D454F4" w:rsidP="00951A2C">
      <w:pPr>
        <w:tabs>
          <w:tab w:val="right" w:leader="underscore" w:pos="9072"/>
        </w:tabs>
      </w:pPr>
    </w:p>
    <w:p w:rsidR="00D454F4" w:rsidRPr="00407B23" w:rsidRDefault="00D454F4" w:rsidP="00951A2C">
      <w:pPr>
        <w:tabs>
          <w:tab w:val="right" w:leader="underscore" w:pos="9639"/>
        </w:tabs>
      </w:pPr>
      <w:r w:rsidRPr="00407B23">
        <w:tab/>
      </w:r>
    </w:p>
    <w:p w:rsidR="00D454F4" w:rsidRPr="00407B23" w:rsidRDefault="00D454F4" w:rsidP="00951A2C">
      <w:pPr>
        <w:tabs>
          <w:tab w:val="right" w:leader="underscore" w:pos="9072"/>
        </w:tabs>
      </w:pPr>
    </w:p>
    <w:p w:rsidR="00D454F4" w:rsidRPr="00407B23" w:rsidRDefault="00D454F4" w:rsidP="00951A2C">
      <w:pPr>
        <w:pStyle w:val="BodyText"/>
        <w:tabs>
          <w:tab w:val="right" w:leader="underscore" w:pos="9072"/>
        </w:tabs>
      </w:pPr>
      <w:r w:rsidRPr="00407B23">
        <w:t>If the observations refer to a trademark or another right, name and ad</w:t>
      </w:r>
      <w:r>
        <w:t>dress of the holder thereof (if </w:t>
      </w:r>
      <w:r w:rsidRPr="00407B23">
        <w:t>possible):</w:t>
      </w:r>
    </w:p>
    <w:p w:rsidR="00D454F4" w:rsidRPr="00407B23" w:rsidRDefault="00D454F4" w:rsidP="00951A2C">
      <w:pPr>
        <w:tabs>
          <w:tab w:val="right" w:leader="underscore" w:pos="9639"/>
        </w:tabs>
        <w:ind w:right="-568"/>
      </w:pPr>
      <w:r w:rsidRPr="00407B23">
        <w:tab/>
      </w:r>
    </w:p>
    <w:p w:rsidR="00D454F4" w:rsidRPr="00407B23" w:rsidRDefault="00D454F4" w:rsidP="00951A2C">
      <w:pPr>
        <w:tabs>
          <w:tab w:val="right" w:leader="underscore" w:pos="9072"/>
          <w:tab w:val="left" w:pos="10773"/>
        </w:tabs>
        <w:ind w:right="-1"/>
      </w:pPr>
    </w:p>
    <w:p w:rsidR="00D454F4" w:rsidRPr="00407B23" w:rsidRDefault="00D454F4" w:rsidP="00951A2C">
      <w:pPr>
        <w:pStyle w:val="BodyText"/>
        <w:tabs>
          <w:tab w:val="right" w:leader="underscore" w:pos="9639"/>
        </w:tabs>
      </w:pPr>
      <w:r w:rsidRPr="00407B23">
        <w:tab/>
      </w:r>
    </w:p>
    <w:p w:rsidR="00D454F4" w:rsidRPr="00407B23" w:rsidRDefault="00D454F4" w:rsidP="00951A2C">
      <w:pPr>
        <w:tabs>
          <w:tab w:val="right" w:leader="underscore" w:pos="9072"/>
          <w:tab w:val="left" w:pos="10773"/>
        </w:tabs>
        <w:ind w:right="-1"/>
      </w:pPr>
    </w:p>
    <w:p w:rsidR="00D454F4" w:rsidRPr="00407B23" w:rsidRDefault="00D454F4" w:rsidP="00951A2C">
      <w:pPr>
        <w:tabs>
          <w:tab w:val="right" w:leader="underscore" w:pos="9639"/>
        </w:tabs>
        <w:ind w:right="-568"/>
      </w:pPr>
      <w:r w:rsidRPr="00407B23">
        <w:tab/>
      </w:r>
    </w:p>
    <w:p w:rsidR="00D454F4" w:rsidRPr="00407B23" w:rsidRDefault="00D454F4" w:rsidP="00951A2C">
      <w:pPr>
        <w:tabs>
          <w:tab w:val="right" w:leader="underscore" w:pos="9639"/>
        </w:tabs>
      </w:pPr>
    </w:p>
    <w:p w:rsidR="00D454F4" w:rsidRPr="00407B23" w:rsidRDefault="00D454F4" w:rsidP="00951A2C">
      <w:pPr>
        <w:tabs>
          <w:tab w:val="right" w:leader="underscore" w:pos="9072"/>
        </w:tabs>
        <w:jc w:val="center"/>
      </w:pPr>
      <w:r w:rsidRPr="00407B23">
        <w:t xml:space="preserve">Copies sent to the authorities of the other members of the </w:t>
      </w:r>
      <w:smartTag w:uri="urn:schemas-microsoft-com:office:smarttags" w:element="place">
        <w:r w:rsidRPr="00407B23">
          <w:t>Union</w:t>
        </w:r>
      </w:smartTag>
    </w:p>
    <w:p w:rsidR="00D454F4" w:rsidRPr="00407B23" w:rsidRDefault="00D454F4" w:rsidP="00951A2C">
      <w:pPr>
        <w:tabs>
          <w:tab w:val="right" w:leader="underscore" w:pos="9072"/>
        </w:tabs>
      </w:pPr>
    </w:p>
    <w:p w:rsidR="00D454F4" w:rsidRPr="00407B23" w:rsidRDefault="00D454F4" w:rsidP="00951A2C">
      <w:pPr>
        <w:tabs>
          <w:tab w:val="right" w:leader="underscore" w:pos="9072"/>
        </w:tabs>
      </w:pPr>
    </w:p>
    <w:p w:rsidR="00D454F4" w:rsidRPr="00407B23" w:rsidRDefault="00D454F4" w:rsidP="00951A2C">
      <w:pPr>
        <w:tabs>
          <w:tab w:val="right" w:leader="underscore" w:pos="9072"/>
        </w:tabs>
      </w:pPr>
    </w:p>
    <w:p w:rsidR="00D454F4" w:rsidRPr="00407B23" w:rsidRDefault="00D454F4" w:rsidP="00951A2C">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D454F4" w:rsidRPr="00DE1471" w:rsidRDefault="00D454F4" w:rsidP="00951A2C">
      <w:pPr>
        <w:pStyle w:val="Header"/>
        <w:tabs>
          <w:tab w:val="right" w:leader="underscore" w:pos="9072"/>
        </w:tabs>
        <w:rPr>
          <w:lang w:val="en-US"/>
        </w:rPr>
      </w:pPr>
    </w:p>
    <w:p w:rsidR="00D454F4" w:rsidRDefault="00D454F4" w:rsidP="00951A2C">
      <w:pPr>
        <w:pStyle w:val="Header"/>
        <w:tabs>
          <w:tab w:val="right" w:leader="underscore" w:pos="9072"/>
        </w:tabs>
        <w:rPr>
          <w:lang w:val="en-US"/>
        </w:rPr>
      </w:pPr>
    </w:p>
    <w:p w:rsidR="00D454F4" w:rsidRPr="00DE1471" w:rsidRDefault="00D454F4" w:rsidP="00951A2C">
      <w:pPr>
        <w:pStyle w:val="Header"/>
        <w:tabs>
          <w:tab w:val="right" w:leader="underscore" w:pos="9072"/>
        </w:tabs>
        <w:rPr>
          <w:lang w:val="en-US"/>
        </w:rPr>
      </w:pPr>
    </w:p>
    <w:p w:rsidR="00D454F4" w:rsidRPr="00407B23" w:rsidRDefault="00D454F4" w:rsidP="00951A2C">
      <w:pPr>
        <w:jc w:val="right"/>
      </w:pPr>
      <w:r w:rsidRPr="00407B23">
        <w:sym w:font="Symbol" w:char="F05B"/>
      </w:r>
      <w:r w:rsidRPr="00407B23">
        <w:t>Annex III follows</w:t>
      </w:r>
      <w:r w:rsidRPr="00407B23">
        <w:sym w:font="Symbol" w:char="F05D"/>
      </w:r>
    </w:p>
    <w:p w:rsidR="00D454F4" w:rsidRPr="00407B23" w:rsidRDefault="00D454F4" w:rsidP="00951A2C">
      <w:pPr>
        <w:jc w:val="center"/>
        <w:sectPr w:rsidR="00D454F4" w:rsidRPr="00407B23" w:rsidSect="00951A2C">
          <w:headerReference w:type="default" r:id="rId15"/>
          <w:headerReference w:type="first" r:id="rId16"/>
          <w:endnotePr>
            <w:numFmt w:val="lowerLetter"/>
          </w:endnotePr>
          <w:pgSz w:w="11907" w:h="16840" w:code="9"/>
          <w:pgMar w:top="510" w:right="1134" w:bottom="1134" w:left="1134" w:header="510" w:footer="113" w:gutter="0"/>
          <w:pgNumType w:start="1"/>
          <w:cols w:space="720"/>
          <w:titlePg/>
        </w:sectPr>
      </w:pPr>
    </w:p>
    <w:p w:rsidR="00D454F4" w:rsidRPr="00407B23" w:rsidRDefault="00D454F4" w:rsidP="00951A2C">
      <w:pPr>
        <w:jc w:val="center"/>
        <w:rPr>
          <w:u w:val="single"/>
        </w:rPr>
      </w:pPr>
      <w:r w:rsidRPr="00407B23">
        <w:rPr>
          <w:u w:val="single"/>
        </w:rPr>
        <w:lastRenderedPageBreak/>
        <w:t>Model Reply to Observations on Proposed Variety Denominations</w:t>
      </w:r>
      <w:r w:rsidRPr="00407B23">
        <w:rPr>
          <w:u w:val="single"/>
        </w:rPr>
        <w:br/>
        <w:t xml:space="preserve">Submitted to Another Member of the </w:t>
      </w:r>
      <w:smartTag w:uri="urn:schemas-microsoft-com:office:smarttags" w:element="place">
        <w:r w:rsidRPr="00407B23">
          <w:rPr>
            <w:u w:val="single"/>
          </w:rPr>
          <w:t>Union</w:t>
        </w:r>
      </w:smartTag>
    </w:p>
    <w:p w:rsidR="00D454F4" w:rsidRPr="00DE1471" w:rsidRDefault="00D454F4" w:rsidP="00951A2C">
      <w:pPr>
        <w:pStyle w:val="Header"/>
        <w:rPr>
          <w:u w:val="single"/>
          <w:lang w:val="en-US"/>
        </w:rPr>
      </w:pPr>
    </w:p>
    <w:p w:rsidR="00D454F4" w:rsidRPr="00407B23" w:rsidRDefault="00D454F4" w:rsidP="00951A2C">
      <w:r w:rsidRPr="00407B23">
        <w:t>From:</w:t>
      </w:r>
    </w:p>
    <w:p w:rsidR="00D454F4" w:rsidRPr="00407B23" w:rsidRDefault="00D454F4" w:rsidP="00951A2C">
      <w:pPr>
        <w:tabs>
          <w:tab w:val="left" w:pos="4678"/>
          <w:tab w:val="right" w:leader="underscore" w:pos="9639"/>
        </w:tabs>
        <w:ind w:left="4678"/>
        <w:jc w:val="center"/>
      </w:pPr>
      <w:r w:rsidRPr="00407B23">
        <w:tab/>
      </w:r>
    </w:p>
    <w:p w:rsidR="00D454F4" w:rsidRPr="00407B23" w:rsidRDefault="00D454F4" w:rsidP="00951A2C">
      <w:pPr>
        <w:tabs>
          <w:tab w:val="left" w:pos="4678"/>
          <w:tab w:val="right" w:leader="underscore" w:pos="9072"/>
        </w:tabs>
        <w:ind w:left="4678"/>
        <w:jc w:val="center"/>
      </w:pPr>
      <w:r w:rsidRPr="00407B23">
        <w:t>Your ref.</w:t>
      </w:r>
    </w:p>
    <w:p w:rsidR="00D454F4" w:rsidRPr="00407B23" w:rsidRDefault="00D454F4" w:rsidP="00951A2C">
      <w:pPr>
        <w:tabs>
          <w:tab w:val="left" w:pos="4678"/>
          <w:tab w:val="right" w:leader="underscore" w:pos="9639"/>
        </w:tabs>
        <w:ind w:left="4678"/>
        <w:jc w:val="center"/>
      </w:pPr>
      <w:r w:rsidRPr="00407B23">
        <w:tab/>
      </w:r>
    </w:p>
    <w:p w:rsidR="00D454F4" w:rsidRPr="00407B23" w:rsidRDefault="00D454F4" w:rsidP="00951A2C">
      <w:pPr>
        <w:tabs>
          <w:tab w:val="left" w:pos="4678"/>
          <w:tab w:val="right" w:leader="underscore" w:pos="9639"/>
        </w:tabs>
        <w:ind w:left="4678"/>
        <w:jc w:val="center"/>
      </w:pPr>
      <w:r w:rsidRPr="00407B23">
        <w:t>Our ref.</w:t>
      </w:r>
    </w:p>
    <w:p w:rsidR="00D454F4" w:rsidRPr="00407B23" w:rsidRDefault="00D454F4" w:rsidP="00951A2C"/>
    <w:p w:rsidR="00D454F4" w:rsidRPr="00407B23" w:rsidRDefault="00D454F4" w:rsidP="00951A2C"/>
    <w:p w:rsidR="00D454F4" w:rsidRPr="00407B23" w:rsidRDefault="00D454F4" w:rsidP="00951A2C">
      <w:pPr>
        <w:jc w:val="center"/>
        <w:rPr>
          <w:b/>
          <w:bCs/>
        </w:rPr>
      </w:pPr>
      <w:r w:rsidRPr="00407B23">
        <w:rPr>
          <w:b/>
          <w:bCs/>
        </w:rPr>
        <w:t>Reply to Observations on a Submitted Variety Denomination</w:t>
      </w:r>
    </w:p>
    <w:p w:rsidR="00D454F4" w:rsidRPr="00407B23" w:rsidRDefault="00D454F4" w:rsidP="00951A2C">
      <w:pPr>
        <w:jc w:val="center"/>
        <w:rPr>
          <w:b/>
        </w:rPr>
      </w:pPr>
    </w:p>
    <w:p w:rsidR="00D454F4" w:rsidRPr="00407B23" w:rsidRDefault="00D454F4" w:rsidP="00951A2C">
      <w:r w:rsidRPr="00407B23">
        <w:t>To:</w:t>
      </w:r>
    </w:p>
    <w:p w:rsidR="00D454F4" w:rsidRPr="00407B23" w:rsidRDefault="00D454F4" w:rsidP="00951A2C"/>
    <w:p w:rsidR="00D454F4" w:rsidRPr="00407B23" w:rsidRDefault="00D454F4" w:rsidP="00951A2C">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D454F4" w:rsidRPr="00407B23" w:rsidRDefault="00D454F4" w:rsidP="00951A2C"/>
    <w:p w:rsidR="00D454F4" w:rsidRPr="00407B23" w:rsidRDefault="00D454F4" w:rsidP="00951A2C">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D454F4" w:rsidRPr="00407B23" w:rsidRDefault="00D454F4" w:rsidP="00951A2C">
      <w:pPr>
        <w:ind w:left="851" w:hanging="851"/>
        <w:rPr>
          <w:sz w:val="16"/>
        </w:rPr>
      </w:pPr>
    </w:p>
    <w:p w:rsidR="00D454F4" w:rsidRPr="00407B23" w:rsidRDefault="00D454F4" w:rsidP="00951A2C">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D454F4" w:rsidRPr="00407B23" w:rsidRDefault="00D454F4" w:rsidP="00951A2C">
      <w:pPr>
        <w:rPr>
          <w:sz w:val="16"/>
        </w:rPr>
      </w:pPr>
    </w:p>
    <w:p w:rsidR="00D454F4" w:rsidRPr="00407B23" w:rsidRDefault="00D454F4" w:rsidP="00951A2C">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D454F4" w:rsidRPr="00407B23" w:rsidRDefault="00D454F4" w:rsidP="00951A2C">
      <w:pPr>
        <w:rPr>
          <w:sz w:val="16"/>
        </w:rPr>
      </w:pPr>
    </w:p>
    <w:p w:rsidR="00D454F4" w:rsidRPr="00407B23" w:rsidRDefault="00D454F4" w:rsidP="00951A2C">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D454F4" w:rsidRPr="00407B23" w:rsidRDefault="00D454F4" w:rsidP="00951A2C">
      <w:pPr>
        <w:tabs>
          <w:tab w:val="left" w:pos="851"/>
        </w:tabs>
        <w:ind w:left="851" w:hanging="851"/>
        <w:rPr>
          <w:sz w:val="16"/>
        </w:rPr>
      </w:pPr>
    </w:p>
    <w:p w:rsidR="00D454F4" w:rsidRPr="00407B23" w:rsidRDefault="00D454F4" w:rsidP="00951A2C">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D454F4" w:rsidRPr="00407B23" w:rsidRDefault="00D454F4" w:rsidP="00951A2C">
      <w:pPr>
        <w:rPr>
          <w:sz w:val="16"/>
        </w:rPr>
      </w:pPr>
    </w:p>
    <w:p w:rsidR="00D454F4" w:rsidRPr="00407B23" w:rsidRDefault="00D454F4" w:rsidP="00951A2C">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D454F4" w:rsidRPr="00407B23" w:rsidRDefault="00D454F4" w:rsidP="00951A2C">
      <w:pPr>
        <w:rPr>
          <w:sz w:val="16"/>
        </w:rPr>
      </w:pPr>
    </w:p>
    <w:p w:rsidR="00D454F4" w:rsidRPr="00407B23" w:rsidRDefault="00D454F4" w:rsidP="00951A2C">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D454F4" w:rsidRPr="00407B23" w:rsidRDefault="00D454F4" w:rsidP="00951A2C">
      <w:pPr>
        <w:rPr>
          <w:sz w:val="16"/>
        </w:rPr>
      </w:pPr>
    </w:p>
    <w:p w:rsidR="00D454F4" w:rsidRPr="00407B23" w:rsidRDefault="00D454F4" w:rsidP="00951A2C">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D454F4" w:rsidRPr="00407B23" w:rsidRDefault="00D454F4" w:rsidP="00951A2C">
      <w:pPr>
        <w:rPr>
          <w:sz w:val="16"/>
        </w:rPr>
      </w:pPr>
    </w:p>
    <w:p w:rsidR="00D454F4" w:rsidRPr="00407B23" w:rsidRDefault="00D454F4" w:rsidP="00951A2C">
      <w:pPr>
        <w:tabs>
          <w:tab w:val="left" w:pos="392"/>
          <w:tab w:val="left" w:pos="851"/>
        </w:tabs>
        <w:ind w:left="851" w:hanging="851"/>
      </w:pPr>
      <w:r w:rsidRPr="00407B23">
        <w:t>9.</w:t>
      </w:r>
      <w:r w:rsidRPr="00407B23">
        <w:rPr>
          <w:sz w:val="40"/>
        </w:rPr>
        <w:tab/>
        <w:t>□</w:t>
      </w:r>
      <w:r w:rsidRPr="00407B23">
        <w:rPr>
          <w:sz w:val="40"/>
        </w:rPr>
        <w:tab/>
      </w:r>
      <w:r w:rsidRPr="00407B23">
        <w:t>Other</w:t>
      </w:r>
    </w:p>
    <w:p w:rsidR="00D454F4" w:rsidRPr="00407B23" w:rsidRDefault="00D454F4" w:rsidP="00951A2C"/>
    <w:p w:rsidR="00D454F4" w:rsidRPr="00407B23" w:rsidRDefault="00D454F4" w:rsidP="00951A2C">
      <w:pPr>
        <w:tabs>
          <w:tab w:val="right" w:leader="underscore" w:pos="9072"/>
        </w:tabs>
        <w:jc w:val="center"/>
      </w:pPr>
      <w:r w:rsidRPr="00407B23">
        <w:t xml:space="preserve">Copies sent to the authorities of the other members of the </w:t>
      </w:r>
      <w:smartTag w:uri="urn:schemas-microsoft-com:office:smarttags" w:element="place">
        <w:r w:rsidRPr="00407B23">
          <w:t>Union</w:t>
        </w:r>
      </w:smartTag>
    </w:p>
    <w:p w:rsidR="00D454F4" w:rsidRPr="00407B23" w:rsidRDefault="00D454F4" w:rsidP="00951A2C">
      <w:pPr>
        <w:tabs>
          <w:tab w:val="right" w:leader="underscore" w:pos="9072"/>
        </w:tabs>
      </w:pPr>
    </w:p>
    <w:p w:rsidR="00D454F4" w:rsidRPr="00407B23" w:rsidRDefault="00D454F4" w:rsidP="00951A2C">
      <w:pPr>
        <w:tabs>
          <w:tab w:val="right" w:leader="underscore" w:pos="9072"/>
        </w:tabs>
      </w:pPr>
    </w:p>
    <w:p w:rsidR="00D454F4" w:rsidRPr="00407B23" w:rsidRDefault="00D454F4" w:rsidP="00951A2C">
      <w:pPr>
        <w:tabs>
          <w:tab w:val="right" w:leader="underscore" w:pos="9072"/>
        </w:tabs>
      </w:pPr>
    </w:p>
    <w:p w:rsidR="00D454F4" w:rsidRPr="00407B23" w:rsidRDefault="00D454F4" w:rsidP="00951A2C">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D454F4" w:rsidRPr="00DE1471" w:rsidRDefault="00D454F4" w:rsidP="00951A2C">
      <w:pPr>
        <w:pStyle w:val="Header"/>
        <w:tabs>
          <w:tab w:val="right" w:leader="underscore" w:pos="9072"/>
        </w:tabs>
        <w:rPr>
          <w:lang w:val="en-US"/>
        </w:rPr>
      </w:pPr>
    </w:p>
    <w:p w:rsidR="00D454F4" w:rsidRDefault="00D454F4" w:rsidP="00951A2C">
      <w:pPr>
        <w:jc w:val="right"/>
      </w:pPr>
    </w:p>
    <w:p w:rsidR="00D454F4" w:rsidRDefault="00D454F4" w:rsidP="00951A2C">
      <w:pPr>
        <w:jc w:val="right"/>
      </w:pPr>
    </w:p>
    <w:p w:rsidR="00CF7489" w:rsidRDefault="00CF7489">
      <w:pPr>
        <w:jc w:val="left"/>
        <w:rPr>
          <w:rFonts w:cs="Arial"/>
        </w:rPr>
        <w:sectPr w:rsidR="00CF7489" w:rsidSect="00A36967">
          <w:headerReference w:type="even" r:id="rId17"/>
          <w:headerReference w:type="default" r:id="rId18"/>
          <w:headerReference w:type="first" r:id="rId19"/>
          <w:endnotePr>
            <w:numFmt w:val="lowerLetter"/>
          </w:endnotePr>
          <w:pgSz w:w="11907" w:h="16840" w:code="9"/>
          <w:pgMar w:top="510" w:right="1134" w:bottom="1134" w:left="1134" w:header="510" w:footer="624" w:gutter="0"/>
          <w:pgNumType w:start="1"/>
          <w:cols w:space="720"/>
          <w:titlePg/>
        </w:sectPr>
      </w:pPr>
    </w:p>
    <w:p w:rsidR="00110F50" w:rsidRDefault="00110F50">
      <w:pPr>
        <w:jc w:val="left"/>
        <w:rPr>
          <w:rFonts w:cs="Arial"/>
        </w:rPr>
      </w:pPr>
      <w:bookmarkStart w:id="3" w:name="_GoBack"/>
      <w:bookmarkEnd w:id="3"/>
    </w:p>
    <w:p w:rsidR="00F15E56" w:rsidRPr="007E7836" w:rsidRDefault="00F15E56" w:rsidP="007E7836">
      <w:pPr>
        <w:rPr>
          <w:rFonts w:cs="Arial"/>
        </w:rPr>
      </w:pPr>
    </w:p>
    <w:sectPr w:rsidR="00F15E56" w:rsidRPr="007E7836" w:rsidSect="00A36967">
      <w:headerReference w:type="default" r:id="rId20"/>
      <w:headerReference w:type="first" r:id="rId21"/>
      <w:endnotePr>
        <w:numFmt w:val="lowerLetter"/>
      </w:endnotePr>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178" w:rsidRDefault="000B2178">
      <w:r>
        <w:separator/>
      </w:r>
    </w:p>
  </w:endnote>
  <w:endnote w:type="continuationSeparator" w:id="0">
    <w:p w:rsidR="000B2178" w:rsidRDefault="000B2178">
      <w:r>
        <w:continuationSeparator/>
      </w:r>
    </w:p>
  </w:endnote>
  <w:endnote w:id="1">
    <w:p w:rsidR="000B2178" w:rsidRPr="002E3B56" w:rsidRDefault="000B2178" w:rsidP="005A7B69">
      <w:pPr>
        <w:pStyle w:val="EndnoteText"/>
      </w:pPr>
      <w:r w:rsidRPr="002E3B56">
        <w:rPr>
          <w:rStyle w:val="EndnoteReference"/>
        </w:rPr>
        <w:endnoteRef/>
      </w:r>
      <w:r w:rsidRPr="002E3B56">
        <w:t xml:space="preserve"> </w:t>
      </w:r>
      <w:r w:rsidRPr="002E3B56">
        <w:tab/>
        <w:t xml:space="preserve">The Administrative and Legal Committee (CAJ), at its sixty-ninth session, held  in Geneva on April 10, 2014, noted a report concerning the possible development of a UPOV similarity search tool for variety denomination purposes was contained in document </w:t>
      </w:r>
      <w:hyperlink r:id="rId1" w:history="1">
        <w:r w:rsidRPr="002E3B56">
          <w:rPr>
            <w:rStyle w:val="Hyperlink"/>
          </w:rPr>
          <w:t>CAJ/69/9</w:t>
        </w:r>
      </w:hyperlink>
      <w:r w:rsidRPr="002E3B56">
        <w:t xml:space="preserve"> “Possible development of a UPOV similarity search tool for variety denomination purposes”.</w:t>
      </w:r>
    </w:p>
    <w:p w:rsidR="000B2178" w:rsidRPr="002E3B56" w:rsidRDefault="000B2178" w:rsidP="005A7B69">
      <w:pPr>
        <w:pStyle w:val="EndnoteText"/>
        <w:ind w:firstLine="0"/>
      </w:pPr>
      <w:r w:rsidRPr="002E3B56">
        <w:t xml:space="preserve">Paragraph  5 of document </w:t>
      </w:r>
      <w:hyperlink r:id="rId2" w:history="1">
        <w:r w:rsidRPr="002E3B56">
          <w:rPr>
            <w:rStyle w:val="Hyperlink"/>
          </w:rPr>
          <w:t>CAJ/69/9</w:t>
        </w:r>
      </w:hyperlink>
      <w:r w:rsidRPr="002E3B56">
        <w:rPr>
          <w:rStyle w:val="Hyperlink"/>
        </w:rPr>
        <w:t xml:space="preserve"> </w:t>
      </w:r>
      <w:r w:rsidRPr="002E3B56">
        <w:t>provides as follows:</w:t>
      </w:r>
    </w:p>
    <w:p w:rsidR="000B2178" w:rsidRPr="002E3B56" w:rsidRDefault="000B2178" w:rsidP="005A7B69">
      <w:pPr>
        <w:pStyle w:val="EndnoteText"/>
        <w:ind w:firstLine="0"/>
      </w:pPr>
      <w:r w:rsidRPr="002E3B56">
        <w:t>“[…]</w:t>
      </w:r>
    </w:p>
    <w:p w:rsidR="000B2178" w:rsidRPr="002E3B56" w:rsidRDefault="000B2178" w:rsidP="00CE76D7">
      <w:pPr>
        <w:pStyle w:val="EndnoteText"/>
      </w:pPr>
      <w:r w:rsidRPr="002E3B56">
        <w:tab/>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0B2178" w:rsidRPr="002E3B56" w:rsidRDefault="000B2178" w:rsidP="005A7B69">
      <w:pPr>
        <w:pStyle w:val="EndnoteText"/>
      </w:pPr>
      <w:r w:rsidRPr="002E3B56">
        <w:tab/>
        <w:t>“[…]”</w:t>
      </w:r>
    </w:p>
  </w:endnote>
  <w:endnote w:id="2">
    <w:p w:rsidR="000B2178" w:rsidRPr="002E3B56" w:rsidRDefault="000B2178" w:rsidP="00CE76D7">
      <w:pPr>
        <w:pStyle w:val="EndnoteText"/>
      </w:pPr>
      <w:r w:rsidRPr="002E3B56">
        <w:rPr>
          <w:rStyle w:val="EndnoteReference"/>
        </w:rPr>
        <w:endnoteRef/>
      </w:r>
      <w:r w:rsidRPr="002E3B56">
        <w:tab/>
        <w:t xml:space="preserve">Comments from Argentina have been received and posted in the CAJ-AG/13 section of the UPOV website (see </w:t>
      </w:r>
      <w:hyperlink r:id="rId3" w:history="1">
        <w:r w:rsidRPr="002E3B56">
          <w:rPr>
            <w:rStyle w:val="Hyperlink"/>
          </w:rPr>
          <w:t>http://www.upov.int/edocs/mdocs/upov/en/caj_ag_13_8/caj_ag_13_8_www_285383.pdf</w:t>
        </w:r>
      </w:hyperlink>
      <w:r w:rsidRPr="002E3B56">
        <w:t>):   “Paragraph 2.2.2.  Regarding the concept of “established practice” in denominations consisting “solely of figures”, Argentina accepts the use of denominations consisting entirely of figures even in those species for which varieties in this form have not been registered. That is, the “established practice” is construed broadly and is not restricted to only one group.</w:t>
      </w:r>
    </w:p>
    <w:p w:rsidR="000B2178" w:rsidRPr="002E3B56" w:rsidRDefault="000B2178" w:rsidP="00CE76D7">
      <w:pPr>
        <w:pStyle w:val="EndnoteText"/>
      </w:pPr>
      <w:r w:rsidRPr="002E3B56">
        <w:tab/>
        <w:t>“Thus, it is proposed to add a paragraph (c) in which “established practice” is determined to be when registration has been accepted for one species or group, so that it can be used in other species which have not yet registered any variety whose denomination consists solely of figures.”</w:t>
      </w:r>
    </w:p>
  </w:endnote>
  <w:endnote w:id="3">
    <w:p w:rsidR="000B2178" w:rsidRPr="002E3B56" w:rsidRDefault="000B2178" w:rsidP="00CE76D7">
      <w:pPr>
        <w:pStyle w:val="EndnoteText"/>
      </w:pPr>
      <w:r w:rsidRPr="002E3B56">
        <w:rPr>
          <w:rStyle w:val="EndnoteReference"/>
        </w:rPr>
        <w:endnoteRef/>
      </w:r>
      <w:r w:rsidRPr="002E3B56">
        <w:tab/>
        <w:t xml:space="preserve">Comments from ESA have been received and posted in the CAJ-AG/13 section of the UPOV website (see </w:t>
      </w:r>
      <w:hyperlink r:id="rId4" w:history="1">
        <w:r w:rsidRPr="002E3B56">
          <w:rPr>
            <w:rStyle w:val="Hyperlink"/>
          </w:rPr>
          <w:t>http://www.upov.int/edocs/mdocs/upov/en/caj_ag_13_8/caj_ag_13_8_www_285391.pdf</w:t>
        </w:r>
      </w:hyperlink>
      <w:r w:rsidRPr="002E3B56">
        <w:t>):  “To clarify In point 2.3.1 sub (b) it is not fully clear whether the requirement refers only to characteristics which are included in the relevant TG. Some clarification on this aspect would be useful in our opinion.”</w:t>
      </w:r>
    </w:p>
  </w:endnote>
  <w:endnote w:id="4">
    <w:p w:rsidR="000B2178" w:rsidRPr="002E3B56" w:rsidRDefault="000B2178" w:rsidP="00CE76D7">
      <w:pPr>
        <w:pStyle w:val="EndnoteText"/>
      </w:pPr>
      <w:r w:rsidRPr="002E3B56">
        <w:rPr>
          <w:rStyle w:val="EndnoteReference"/>
        </w:rPr>
        <w:endnoteRef/>
      </w:r>
      <w:r w:rsidRPr="002E3B56">
        <w:tab/>
        <w:t xml:space="preserve">Comments from Argentina (see </w:t>
      </w:r>
      <w:hyperlink r:id="rId5" w:history="1">
        <w:r w:rsidRPr="002E3B56">
          <w:rPr>
            <w:rStyle w:val="Hyperlink"/>
          </w:rPr>
          <w:t>http://www.upov.int/edocs/mdocs/upov/en/caj_ag_13_8/caj_ag_13_8_www_285383.pdf</w:t>
        </w:r>
      </w:hyperlink>
      <w:r w:rsidRPr="002E3B56">
        <w:t>) : “Paragraph 2.3.1 (c)  Argentina disagrees with this recommendation and with the example mentioned under this paragraph. In our country, breeders often use the same denomination, changing the figure, and it is not interpreted as implying that the varieties derived from one another.”</w:t>
      </w:r>
    </w:p>
  </w:endnote>
  <w:endnote w:id="5">
    <w:p w:rsidR="000B2178" w:rsidRPr="002E3B56" w:rsidRDefault="000B2178" w:rsidP="00CE76D7">
      <w:pPr>
        <w:pStyle w:val="EndnoteText"/>
      </w:pPr>
      <w:r w:rsidRPr="002E3B56">
        <w:rPr>
          <w:rStyle w:val="EndnoteReference"/>
        </w:rPr>
        <w:endnoteRef/>
      </w:r>
      <w:r w:rsidRPr="002E3B56">
        <w:tab/>
        <w:t xml:space="preserve">Comments from New Zealand  have been received and posted in the CAJ-AG/13 section in the UPOV website (see </w:t>
      </w:r>
      <w:hyperlink r:id="rId6" w:history="1">
        <w:r w:rsidRPr="002E3B56">
          <w:rPr>
            <w:rStyle w:val="Hyperlink"/>
          </w:rPr>
          <w:t>http://www.upov.int/edocs/mdocs/upov/en/caj_ag_13_8/caj_ag_13_8_www_285381.pdf</w:t>
        </w:r>
      </w:hyperlink>
      <w:r w:rsidRPr="002E3B56">
        <w:t xml:space="preserve">): “The current notes are silent on the use of a Latin name or a common name as part of a denomination for a variety of that genus. The use of a denomination which includes the name of the genus or common name for that variety might lead to confusion. </w:t>
      </w:r>
    </w:p>
    <w:p w:rsidR="000B2178" w:rsidRPr="002E3B56" w:rsidRDefault="000B2178" w:rsidP="00CE76D7">
      <w:pPr>
        <w:pStyle w:val="EndnoteText"/>
      </w:pPr>
      <w:r w:rsidRPr="002E3B56">
        <w:tab/>
        <w:t>Article 19.23 and 19.24 of ICNCP 7</w:t>
      </w:r>
      <w:r w:rsidRPr="002E3B56">
        <w:rPr>
          <w:vertAlign w:val="superscript"/>
        </w:rPr>
        <w:t>th</w:t>
      </w:r>
      <w:r w:rsidRPr="002E3B56">
        <w:t xml:space="preserve"> edition provide further information.</w:t>
      </w:r>
    </w:p>
    <w:p w:rsidR="000B2178" w:rsidRPr="002E3B56" w:rsidRDefault="000B2178" w:rsidP="00CE76D7">
      <w:pPr>
        <w:pStyle w:val="EndnoteText"/>
      </w:pPr>
      <w:r w:rsidRPr="002E3B56">
        <w:tab/>
        <w:t>A new 2.3.1  (d)</w:t>
      </w:r>
    </w:p>
    <w:p w:rsidR="000B2178" w:rsidRPr="002E3B56" w:rsidRDefault="000B2178" w:rsidP="00CE76D7">
      <w:pPr>
        <w:pStyle w:val="EndnoteText"/>
      </w:pPr>
      <w:r w:rsidRPr="002E3B56">
        <w:tab/>
        <w:t xml:space="preserve">(d) contain the Latin or common name of the genus to which that variety belongs. The identity of the denomination and that of the genus to which it belongs could become unclear and confusing. </w:t>
      </w:r>
    </w:p>
    <w:p w:rsidR="000B2178" w:rsidRPr="002E3B56" w:rsidRDefault="000B2178" w:rsidP="00CE76D7">
      <w:pPr>
        <w:pStyle w:val="EndnoteText"/>
      </w:pPr>
      <w:r w:rsidRPr="002E3B56">
        <w:tab/>
        <w:t xml:space="preserve">Example:  </w:t>
      </w:r>
      <w:r w:rsidRPr="002E3B56">
        <w:rPr>
          <w:i/>
        </w:rPr>
        <w:t xml:space="preserve">Carex </w:t>
      </w:r>
      <w:r w:rsidRPr="002E3B56">
        <w:t xml:space="preserve">variety ‘Sedge’. This could possibly be referred to as ‘Sedge’ </w:t>
      </w:r>
      <w:r w:rsidRPr="002E3B56">
        <w:rPr>
          <w:i/>
        </w:rPr>
        <w:t xml:space="preserve">Carex </w:t>
      </w:r>
      <w:r w:rsidRPr="002E3B56">
        <w:t xml:space="preserve">and without the use of italics or single quotes the identity of the denomination and the genus may not be clear.”  </w:t>
      </w:r>
    </w:p>
  </w:endnote>
  <w:endnote w:id="6">
    <w:p w:rsidR="000B2178" w:rsidRPr="002E3B56" w:rsidRDefault="000B2178" w:rsidP="005A7B69">
      <w:pPr>
        <w:pStyle w:val="EndnoteText"/>
      </w:pPr>
      <w:r w:rsidRPr="002E3B56">
        <w:rPr>
          <w:rStyle w:val="EndnoteReference"/>
        </w:rPr>
        <w:endnoteRef/>
      </w:r>
      <w:r w:rsidRPr="002E3B56">
        <w:tab/>
        <w:t xml:space="preserve">Comments from Argentina (see </w:t>
      </w:r>
      <w:hyperlink r:id="rId7" w:history="1">
        <w:r w:rsidRPr="002E3B56">
          <w:rPr>
            <w:rStyle w:val="Hyperlink"/>
          </w:rPr>
          <w:t>http://www.upov.int/edocs/mdocs/upov/en/caj_ag_13_8/caj_ag_13_8_www_285383.pdf</w:t>
        </w:r>
      </w:hyperlink>
      <w:r w:rsidRPr="002E3B56">
        <w:t>): Paragraph 2.3.3 “(a)  The recommendation that for denomination with a combination of letters and figures or solely of figures, changing only ONE letter or figure may be considered not to cause confusion concerning the identity of the breeder is confusing. It implies that confusion may or may not be caused, seeming to leave it to the interpretation of Member States, which may lead to a variety of solutions. The recommendation should follow a clear pattern. One way to provide clarity would be to adduce examples to this paragraph.”</w:t>
      </w:r>
    </w:p>
  </w:endnote>
  <w:endnote w:id="7">
    <w:p w:rsidR="000B2178" w:rsidRPr="002E3B56" w:rsidRDefault="000B2178" w:rsidP="005A7B69">
      <w:pPr>
        <w:pStyle w:val="EndnoteText"/>
      </w:pPr>
      <w:r w:rsidRPr="002E3B56">
        <w:rPr>
          <w:rStyle w:val="EndnoteReference"/>
        </w:rPr>
        <w:endnoteRef/>
      </w:r>
      <w:r w:rsidRPr="002E3B56">
        <w:tab/>
        <w:t xml:space="preserve">Comments from Argentina (see </w:t>
      </w:r>
      <w:hyperlink r:id="rId8" w:history="1">
        <w:r w:rsidRPr="002E3B56">
          <w:rPr>
            <w:rStyle w:val="Hyperlink"/>
          </w:rPr>
          <w:t>http://www.upov.int/edocs/mdocs/upov/en/caj_ag_13_8/caj_ag_13_8_www_285383.pdf</w:t>
        </w:r>
      </w:hyperlink>
      <w:r w:rsidRPr="002E3B56">
        <w:t>): Paragraph 2.3.3 “(b)</w:t>
      </w:r>
      <w:r w:rsidRPr="002E3B56">
        <w:tab/>
        <w:t>It is suggested that “denominations not consisting of a combination of letters and figures, or “solely of figures” be changed “all other denominations”.” On this point, in our country it has been established that when the denomination consists of two or more “bodies” or “terms” – usually one body consists of letters and the other of figures – a letter or figure should be changed in each body. The difference is analyzed independently IN EVERY body or term of the denomination.”</w:t>
      </w:r>
    </w:p>
  </w:endnote>
  <w:endnote w:id="8">
    <w:p w:rsidR="000B2178" w:rsidRPr="002E3B56" w:rsidRDefault="000B2178" w:rsidP="005A7B69">
      <w:pPr>
        <w:pStyle w:val="EndnoteText"/>
      </w:pPr>
      <w:r w:rsidRPr="002E3B56">
        <w:rPr>
          <w:rStyle w:val="EndnoteReference"/>
        </w:rPr>
        <w:endnoteRef/>
      </w:r>
      <w:r w:rsidRPr="002E3B56">
        <w:tab/>
        <w:t xml:space="preserve">Comments from Argentina (see </w:t>
      </w:r>
      <w:hyperlink r:id="rId9" w:history="1">
        <w:r w:rsidRPr="002E3B56">
          <w:rPr>
            <w:rStyle w:val="Hyperlink"/>
          </w:rPr>
          <w:t>http://www.upov.int/edocs/mdocs/upov/en/caj_ag_13_8/caj_ag_13_8_www_285383.pdf</w:t>
        </w:r>
      </w:hyperlink>
      <w:r w:rsidRPr="002E3B56">
        <w:t xml:space="preserve">):: Paragraph 2.3.3 (b) “(i) </w:t>
      </w:r>
      <w:r w:rsidRPr="002E3B56">
        <w:tab/>
        <w:t>It is proposed that an example in Spanish be added, such as “Helena” and “Elena” to address a situation in which there is a clear visual difference but not a phonetic one, since the letter “H” is mute in Spanish.”</w:t>
      </w:r>
    </w:p>
  </w:endnote>
  <w:endnote w:id="9">
    <w:p w:rsidR="000B2178" w:rsidRPr="002E3B56" w:rsidRDefault="000B2178" w:rsidP="005A7B69">
      <w:pPr>
        <w:pStyle w:val="EndnoteText"/>
      </w:pPr>
      <w:r w:rsidRPr="002E3B56">
        <w:rPr>
          <w:rStyle w:val="EndnoteReference"/>
        </w:rPr>
        <w:endnoteRef/>
      </w:r>
      <w:r w:rsidRPr="002E3B56">
        <w:tab/>
        <w:t xml:space="preserve">Comments from ESA (see </w:t>
      </w:r>
      <w:hyperlink r:id="rId10" w:history="1">
        <w:r w:rsidRPr="002E3B56">
          <w:rPr>
            <w:rStyle w:val="Hyperlink"/>
          </w:rPr>
          <w:t>http://www.upov.int/edocs/mdocs/upov/en/caj_ag_13_8/caj_ag_13_8_www_285391.pdf</w:t>
        </w:r>
      </w:hyperlink>
      <w:r w:rsidRPr="002E3B56">
        <w:t xml:space="preserve">): “Point 2.3.3 (b) (iii) refers to a case where a difference of one letter at the beginning may not provide a clear visual and phonetic difference. […] Further on, the example given in the first bullet does not have a difference of one letter in the beginning but of two letters.” </w:t>
      </w:r>
    </w:p>
  </w:endnote>
  <w:endnote w:id="10">
    <w:p w:rsidR="000B2178" w:rsidRPr="002E3B56" w:rsidRDefault="000B2178" w:rsidP="005A7B69">
      <w:pPr>
        <w:pStyle w:val="EndnoteText"/>
      </w:pPr>
      <w:r w:rsidRPr="002E3B56">
        <w:rPr>
          <w:rStyle w:val="EndnoteReference"/>
        </w:rPr>
        <w:endnoteRef/>
      </w:r>
      <w:r w:rsidRPr="002E3B56">
        <w:tab/>
        <w:t xml:space="preserve">Comments from ESA (see </w:t>
      </w:r>
      <w:hyperlink r:id="rId11" w:history="1">
        <w:r w:rsidRPr="002E3B56">
          <w:rPr>
            <w:rStyle w:val="Hyperlink"/>
          </w:rPr>
          <w:t>http://www.upov.int/edocs/mdocs/upov/en/caj_ag_13_8/caj_ag_13_8_www_285391.pdf</w:t>
        </w:r>
      </w:hyperlink>
      <w:r w:rsidRPr="002E3B56">
        <w:t xml:space="preserve">): “ […] The example in the second bullet under this sub point should not be here since it is a counter example belonging to sub (ii).” </w:t>
      </w:r>
    </w:p>
  </w:endnote>
  <w:endnote w:id="11">
    <w:p w:rsidR="000B2178" w:rsidRPr="002E3B56" w:rsidRDefault="000B2178" w:rsidP="005A7B69">
      <w:pPr>
        <w:pStyle w:val="EndnoteText"/>
      </w:pPr>
      <w:r w:rsidRPr="002E3B56">
        <w:rPr>
          <w:rStyle w:val="EndnoteReference"/>
        </w:rPr>
        <w:endnoteRef/>
      </w:r>
      <w:r w:rsidRPr="002E3B56">
        <w:tab/>
        <w:t xml:space="preserve">Comments from ESA (see </w:t>
      </w:r>
      <w:hyperlink r:id="rId12" w:history="1">
        <w:r w:rsidRPr="002E3B56">
          <w:rPr>
            <w:rStyle w:val="Hyperlink"/>
          </w:rPr>
          <w:t>http://www.upov.int/edocs/mdocs/upov/en/caj_ag_13_8/caj_ag_13_8_www_285391.pdf</w:t>
        </w:r>
      </w:hyperlink>
      <w:r w:rsidRPr="002E3B56">
        <w:t>):: “In point 2.3.3 (d) we propose to mention 10 years as an example of suitable period. This is what is indicated in the CPVO guidelines on variety denominations.”</w:t>
      </w:r>
    </w:p>
  </w:endnote>
  <w:endnote w:id="12">
    <w:p w:rsidR="000B2178" w:rsidRPr="002E3B56" w:rsidRDefault="000B2178" w:rsidP="005A7B69">
      <w:pPr>
        <w:pStyle w:val="EndnoteText"/>
      </w:pPr>
      <w:r w:rsidRPr="002E3B56">
        <w:rPr>
          <w:rStyle w:val="EndnoteReference"/>
        </w:rPr>
        <w:endnoteRef/>
      </w:r>
      <w:r w:rsidRPr="002E3B56">
        <w:tab/>
        <w:t xml:space="preserve">Comments from Argentina (see </w:t>
      </w:r>
      <w:hyperlink r:id="rId13" w:history="1">
        <w:r w:rsidRPr="002E3B56">
          <w:rPr>
            <w:rStyle w:val="Hyperlink"/>
          </w:rPr>
          <w:t>http://www.upov.int/edocs/mdocs/upov/en/caj_ag_13_8/caj_ag_13_8_www_285383.pdf</w:t>
        </w:r>
      </w:hyperlink>
      <w:r w:rsidRPr="002E3B56">
        <w:t>): “Paragraph 2.3.  As for the requirement that the denomination “should not […] cause confusion concerning the identity of the breeder”, in our country this has led to the use of letters in the denominations identifying the breeder. In many designations, acronyms, which are known in the market as designating a company, are registered at the beginning of the denomination.</w:t>
      </w:r>
    </w:p>
    <w:p w:rsidR="000B2178" w:rsidRPr="002E3B56" w:rsidRDefault="000B2178" w:rsidP="005A7B69">
      <w:pPr>
        <w:pStyle w:val="EndnoteText"/>
        <w:tabs>
          <w:tab w:val="clear" w:pos="284"/>
        </w:tabs>
        <w:ind w:firstLine="0"/>
      </w:pPr>
      <w:r w:rsidRPr="002E3B56">
        <w:t>Accordingly, designations using such acronyms have been rejected when registration was requested by another company in order to comply with this provision and not create confusion about the identity of the breeder.</w:t>
      </w:r>
    </w:p>
    <w:p w:rsidR="000B2178" w:rsidRPr="002E3B56" w:rsidRDefault="000B2178" w:rsidP="005A7B69">
      <w:pPr>
        <w:pStyle w:val="EndnoteText"/>
        <w:tabs>
          <w:tab w:val="clear" w:pos="284"/>
        </w:tabs>
        <w:ind w:firstLine="0"/>
      </w:pPr>
      <w:r w:rsidRPr="002E3B56">
        <w:t>Following the licensing of the variety by the breeder, the licensee requested to change the denomination in order to record his own initials or another denomination for marketing purposes. This stems from the “exclusive licensing” of varieties which are marketed by the licensee, as some companies which lack their proprietary programs acquire breeding programs or varieties from third parties.</w:t>
      </w:r>
    </w:p>
    <w:p w:rsidR="000B2178" w:rsidRPr="002E3B56" w:rsidRDefault="000B2178" w:rsidP="005A7B69">
      <w:pPr>
        <w:pStyle w:val="EndnoteText"/>
        <w:tabs>
          <w:tab w:val="clear" w:pos="284"/>
        </w:tabs>
        <w:ind w:firstLine="0"/>
      </w:pPr>
      <w:r w:rsidRPr="002E3B56">
        <w:t>If the denomination change requested by the licensee is accepted, this may lead to confusion about the identity of the breeder.  Companies have asked the agency to accept these changes, with the consent of the breeder that his variety bear the denomination that identifies another company.</w:t>
      </w:r>
    </w:p>
    <w:p w:rsidR="000B2178" w:rsidRPr="002E3B56" w:rsidRDefault="000B2178" w:rsidP="005A7B69">
      <w:pPr>
        <w:pStyle w:val="EndnoteText"/>
        <w:tabs>
          <w:tab w:val="clear" w:pos="284"/>
        </w:tabs>
        <w:ind w:firstLine="0"/>
      </w:pPr>
      <w:r w:rsidRPr="002E3B56">
        <w:t>Example:</w:t>
      </w:r>
    </w:p>
    <w:p w:rsidR="000B2178" w:rsidRPr="002E3B56" w:rsidRDefault="000B2178" w:rsidP="005A7B69">
      <w:pPr>
        <w:pStyle w:val="EndnoteText"/>
        <w:tabs>
          <w:tab w:val="clear" w:pos="284"/>
        </w:tabs>
        <w:ind w:firstLine="0"/>
      </w:pPr>
      <w:r w:rsidRPr="002E3B56">
        <w:t>•</w:t>
      </w:r>
      <w:r w:rsidRPr="002E3B56">
        <w:tab/>
        <w:t>Breeder-Licensor: “SOL”</w:t>
      </w:r>
    </w:p>
    <w:p w:rsidR="000B2178" w:rsidRPr="002E3B56" w:rsidRDefault="000B2178" w:rsidP="005A7B69">
      <w:pPr>
        <w:pStyle w:val="EndnoteText"/>
        <w:tabs>
          <w:tab w:val="clear" w:pos="284"/>
        </w:tabs>
        <w:ind w:firstLine="0"/>
      </w:pPr>
      <w:r w:rsidRPr="002E3B56">
        <w:t>•</w:t>
      </w:r>
      <w:r w:rsidRPr="002E3B56">
        <w:tab/>
        <w:t>Licensee: “DA”</w:t>
      </w:r>
    </w:p>
    <w:p w:rsidR="000B2178" w:rsidRPr="002E3B56" w:rsidRDefault="000B2178" w:rsidP="005A7B69">
      <w:pPr>
        <w:pStyle w:val="EndnoteText"/>
        <w:tabs>
          <w:tab w:val="clear" w:pos="284"/>
        </w:tabs>
        <w:ind w:firstLine="0"/>
      </w:pPr>
      <w:r w:rsidRPr="002E3B56">
        <w:t>•</w:t>
      </w:r>
      <w:r w:rsidRPr="002E3B56">
        <w:tab/>
        <w:t>Variety registered: “SOL AMARILLO”</w:t>
      </w:r>
    </w:p>
    <w:p w:rsidR="000B2178" w:rsidRPr="002E3B56" w:rsidRDefault="000B2178" w:rsidP="005A7B69">
      <w:pPr>
        <w:pStyle w:val="EndnoteText"/>
        <w:tabs>
          <w:tab w:val="clear" w:pos="284"/>
        </w:tabs>
        <w:ind w:firstLine="0"/>
      </w:pPr>
      <w:r w:rsidRPr="002E3B56">
        <w:t>•</w:t>
      </w:r>
      <w:r w:rsidRPr="002E3B56">
        <w:tab/>
        <w:t>A denomination change to “DA AMARILLO” is requested. The variety was not marketed but acceptance of the change means that the variety bears the denomination of a third party, not that of the breeder.</w:t>
      </w:r>
    </w:p>
    <w:p w:rsidR="000B2178" w:rsidRPr="002E3B56" w:rsidRDefault="000B2178" w:rsidP="005A7B69">
      <w:pPr>
        <w:pStyle w:val="EndnoteText"/>
        <w:tabs>
          <w:tab w:val="clear" w:pos="284"/>
        </w:tabs>
        <w:ind w:firstLine="0"/>
      </w:pPr>
      <w:r w:rsidRPr="002E3B56">
        <w:t>Argentina presents the matter to the UPOV Committee in order to ascertain whether or not this assumption can be considered to cause confusion about the identity of the breeder.”</w:t>
      </w:r>
    </w:p>
  </w:endnote>
  <w:endnote w:id="13">
    <w:p w:rsidR="000B2178" w:rsidRPr="002E3B56" w:rsidRDefault="000B2178" w:rsidP="00F7624F">
      <w:pPr>
        <w:pStyle w:val="EndnoteText"/>
      </w:pPr>
      <w:r w:rsidRPr="002E3B56">
        <w:rPr>
          <w:rStyle w:val="EndnoteReference"/>
        </w:rPr>
        <w:endnoteRef/>
      </w:r>
      <w:r w:rsidRPr="002E3B56">
        <w:tab/>
        <w:t xml:space="preserve">Comments from ESA (see </w:t>
      </w:r>
      <w:hyperlink r:id="rId14" w:history="1">
        <w:r w:rsidRPr="002E3B56">
          <w:rPr>
            <w:rStyle w:val="Hyperlink"/>
          </w:rPr>
          <w:t>http://www.upov.int/edocs/mdocs/upov/en/caj_ag_13_8/caj_ag_13_8_www_285391.pdf</w:t>
        </w:r>
      </w:hyperlink>
      <w:r w:rsidRPr="002E3B56">
        <w:t>): “ We understand that point 2.4 is intended to provide guidance on what it means that the denomination has to be different from any other denomination designating an existing variety of the same plant species or of a closely related species. We propose to also specify here that this does not only refer to denominations used for protected varieties but also denominations registered under national variety registration laws.”</w:t>
      </w:r>
    </w:p>
  </w:endnote>
  <w:endnote w:id="14">
    <w:p w:rsidR="000B2178" w:rsidRPr="002E3B56" w:rsidRDefault="000B2178" w:rsidP="005A7B69">
      <w:pPr>
        <w:pStyle w:val="EndnoteText"/>
      </w:pPr>
      <w:r w:rsidRPr="002E3B56">
        <w:rPr>
          <w:rStyle w:val="EndnoteReference"/>
        </w:rPr>
        <w:endnoteRef/>
      </w:r>
      <w:r w:rsidRPr="002E3B56">
        <w:tab/>
        <w:t xml:space="preserve">Comments from ESA (see </w:t>
      </w:r>
      <w:hyperlink r:id="rId15" w:history="1">
        <w:r w:rsidRPr="002E3B56">
          <w:rPr>
            <w:rStyle w:val="Hyperlink"/>
          </w:rPr>
          <w:t>http://www.upov.int/edocs/mdocs/upov/en/caj_ag_13_8/caj_ag_13_8_www_285391.pdf</w:t>
        </w:r>
      </w:hyperlink>
      <w:r w:rsidRPr="002E3B56">
        <w:t>):  “In paragraph 3, in the introductory text it is stated that ‘the authority shall refuse to register it and shall require the breeder to propose another denomination with a prescribed period’. The words ‘prescribed period’ indeed appear in Article 20(3) of the UPOV Convention but in practice the breeder may propose a new denomination at any time before the grant. In order to avoid confusion it would be useful to clarify that the “prescribed period” basically refers to before grant.”</w:t>
      </w:r>
    </w:p>
  </w:endnote>
  <w:endnote w:id="15">
    <w:p w:rsidR="000B2178" w:rsidRPr="002E3B56" w:rsidRDefault="000B2178" w:rsidP="005A7B69">
      <w:pPr>
        <w:pStyle w:val="EndnoteText"/>
      </w:pPr>
      <w:r w:rsidRPr="002E3B56">
        <w:rPr>
          <w:rStyle w:val="EndnoteReference"/>
        </w:rPr>
        <w:endnoteRef/>
      </w:r>
      <w:r w:rsidRPr="002E3B56">
        <w:tab/>
        <w:t xml:space="preserve">Comments from ESA (see </w:t>
      </w:r>
      <w:hyperlink r:id="rId16" w:history="1">
        <w:r w:rsidRPr="002E3B56">
          <w:rPr>
            <w:rStyle w:val="Hyperlink"/>
          </w:rPr>
          <w:t>http://www.upov.int/edocs/mdocs/upov/en/caj_ag_13_8/caj_ag_13_8_www_285391.pdf</w:t>
        </w:r>
      </w:hyperlink>
      <w:r w:rsidRPr="002E3B56">
        <w:t>):  “In point 4(a) the first sentence of this point seems to suggest that prior rights can only be intellectual property rights (‘under plant breeder’s rights law, trademark law or any other intellectual property legislation’). This is however not necessarily the case. For example trade names can be prior rights but they are not considered to be IP rights under all national legislations. In point (e) of this same point 4 there are examples of prior rights given where also trade names are mentioned (sub (iii)). This, in our view, is correct but may be inconsistent with what is stated under point (a). Therefore we propose to delete the mentioned sentence under point (a) and instead refer only to the list of examples on point (e).”</w:t>
      </w:r>
    </w:p>
  </w:endnote>
  <w:endnote w:id="16">
    <w:p w:rsidR="000B2178" w:rsidRPr="002E3B56" w:rsidRDefault="000B2178" w:rsidP="005A7B69">
      <w:pPr>
        <w:ind w:left="284" w:hanging="284"/>
        <w:rPr>
          <w:sz w:val="16"/>
          <w:szCs w:val="16"/>
        </w:rPr>
      </w:pPr>
      <w:r w:rsidRPr="002E3B56">
        <w:rPr>
          <w:rStyle w:val="EndnoteReference"/>
        </w:rPr>
        <w:endnoteRef/>
      </w:r>
      <w:r w:rsidRPr="002E3B56">
        <w:tab/>
      </w:r>
      <w:r w:rsidRPr="002E3B56">
        <w:rPr>
          <w:sz w:val="16"/>
          <w:szCs w:val="16"/>
        </w:rPr>
        <w:t xml:space="preserve">Comments from ESA (see </w:t>
      </w:r>
      <w:hyperlink r:id="rId17" w:history="1">
        <w:r w:rsidRPr="002E3B56">
          <w:rPr>
            <w:rStyle w:val="Hyperlink"/>
            <w:sz w:val="16"/>
            <w:szCs w:val="16"/>
          </w:rPr>
          <w:t>http://www.upov.int/edocs/mdocs/upov/en/caj_ag_13_8/caj_ag_13_8_www_285391.pdf</w:t>
        </w:r>
      </w:hyperlink>
      <w:r w:rsidRPr="002E3B56">
        <w:rPr>
          <w:sz w:val="16"/>
          <w:szCs w:val="16"/>
        </w:rPr>
        <w:t>): “In point 4(e) sub point (i) the last sentence reads: “In cases of mere similarity or small likelihood of association by users, waivers granted to breeders by prior trademark right holders could be a suitable solution.” In trademark law the commonly used terminology is ‘likelihood of confusion”, therefore we propose to also use ‘likelihood of confusion’ here instead of ‘likelihood of association’”.</w:t>
      </w:r>
    </w:p>
  </w:endnote>
  <w:endnote w:id="17">
    <w:p w:rsidR="000B2178" w:rsidRPr="002E3B56" w:rsidRDefault="000B2178" w:rsidP="005A7B69">
      <w:pPr>
        <w:pStyle w:val="EndnoteText"/>
      </w:pPr>
      <w:r w:rsidRPr="002E3B56">
        <w:rPr>
          <w:rStyle w:val="EndnoteReference"/>
        </w:rPr>
        <w:endnoteRef/>
      </w:r>
      <w:r w:rsidRPr="002E3B56">
        <w:tab/>
        <w:t xml:space="preserve">Comments from APBREBES have been received and posted in the CAJ-AG/13 section in the UPOV website (see </w:t>
      </w:r>
      <w:hyperlink r:id="rId18" w:history="1">
        <w:r w:rsidRPr="002E3B56">
          <w:rPr>
            <w:rStyle w:val="Hyperlink"/>
          </w:rPr>
          <w:t>http://www.upov.int/edocs/mdocs/upov/en/caj_ag_13_8/caj_ag_13_8_www_285387.pdf</w:t>
        </w:r>
      </w:hyperlink>
      <w:r w:rsidRPr="002E3B56">
        <w:t>):  “On variety denomination, the text in para7.2 (c) is too weak with regard to change of denomination. There has been an example provided by South Africa (reproduced in document CAJ-AG/13/8/6) where a company wanted to sell a variety under a new name and/or under a new company name.</w:t>
      </w:r>
    </w:p>
    <w:p w:rsidR="000B2178" w:rsidRPr="002E3B56" w:rsidRDefault="000B2178" w:rsidP="005A7B69">
      <w:pPr>
        <w:pStyle w:val="EndnoteText"/>
        <w:ind w:firstLine="0"/>
      </w:pPr>
      <w:r w:rsidRPr="002E3B56">
        <w:t xml:space="preserve">“Farmers’ experiences with a variety are obviously linked to the denomination. These experiences must not be rendered useless by a change of denomination after grant of a breeder’s right. UPOV acts should not serve as market management tool, allowing varieties or companies that are unsuccessful in the market to be relaunched with new names and/or by other companies. Farmers adopt a variety when it fulfil their needs and reject when it doesn’t. Therefore, UPOV should not undermine its mission of service for the benefit of society. </w:t>
      </w:r>
    </w:p>
    <w:p w:rsidR="000B2178" w:rsidRPr="002E3B56" w:rsidRDefault="000B2178" w:rsidP="005A7B69">
      <w:pPr>
        <w:pStyle w:val="EndnoteText"/>
        <w:ind w:firstLine="0"/>
      </w:pPr>
      <w:r w:rsidRPr="002E3B56">
        <w:t>“The relevant text in UPOV/INF/12/5 DRAFT 1 is ‘(c) In general, subject to (a) and (b) above, it would not be appropriate for the authority to change a registered denomination following a request by the breeder. ‘</w:t>
      </w:r>
    </w:p>
    <w:p w:rsidR="000B2178" w:rsidRPr="002E3B56" w:rsidRDefault="000B2178" w:rsidP="005A7B69">
      <w:pPr>
        <w:pStyle w:val="EndnoteText"/>
        <w:ind w:firstLine="0"/>
      </w:pPr>
      <w:r w:rsidRPr="002E3B56">
        <w:t xml:space="preserve">“The suggested text is too weak and should be redrafted as follows: ‘(c) </w:t>
      </w:r>
      <w:r w:rsidRPr="002E3B56">
        <w:rPr>
          <w:strike/>
        </w:rPr>
        <w:t>In general,</w:t>
      </w:r>
      <w:r w:rsidRPr="002E3B56">
        <w:t xml:space="preserve"> subject to (a) and (b) above, </w:t>
      </w:r>
      <w:r w:rsidRPr="002E3B56">
        <w:rPr>
          <w:strike/>
        </w:rPr>
        <w:t>it would not be appropriate for the authority to change</w:t>
      </w:r>
      <w:r w:rsidRPr="002E3B56">
        <w:t xml:space="preserve"> </w:t>
      </w:r>
      <w:r w:rsidRPr="002E3B56">
        <w:rPr>
          <w:u w:val="single"/>
        </w:rPr>
        <w:t>a change of</w:t>
      </w:r>
      <w:r w:rsidRPr="002E3B56">
        <w:t xml:space="preserve"> a registered denomination following a request by the breeder </w:t>
      </w:r>
      <w:r w:rsidRPr="002E3B56">
        <w:rPr>
          <w:u w:val="single"/>
        </w:rPr>
        <w:t>is generally not possible. Exceptional circumstances will be considered on case by case basis. If the denomination is changed, the original denomination must remain transparent for the farmer and mentioned next to the new denomination.</w:t>
      </w:r>
      <w:r w:rsidRPr="002E3B56">
        <w:t>’”</w:t>
      </w:r>
    </w:p>
    <w:p w:rsidR="000B2178" w:rsidRPr="002E3B56" w:rsidRDefault="000B2178" w:rsidP="005A7B69">
      <w:pPr>
        <w:pStyle w:val="EndnoteText"/>
        <w:ind w:firstLine="0"/>
      </w:pPr>
    </w:p>
    <w:p w:rsidR="000B2178" w:rsidRPr="002E3B56" w:rsidRDefault="000B2178" w:rsidP="005A7B69">
      <w:pPr>
        <w:pStyle w:val="EndnoteText"/>
        <w:ind w:firstLine="0"/>
      </w:pPr>
    </w:p>
    <w:p w:rsidR="000B2178" w:rsidRPr="002E3B56" w:rsidRDefault="000B2178" w:rsidP="002E3B56">
      <w:pPr>
        <w:jc w:val="right"/>
      </w:pPr>
    </w:p>
    <w:p w:rsidR="000B2178" w:rsidRPr="00DE1471" w:rsidRDefault="000B2178" w:rsidP="002E3B56">
      <w:pPr>
        <w:jc w:val="right"/>
      </w:pPr>
      <w:r w:rsidRPr="002E3B56">
        <w:t>[End of document]</w:t>
      </w:r>
    </w:p>
    <w:p w:rsidR="000B2178" w:rsidRPr="00501144" w:rsidRDefault="000B2178" w:rsidP="005A7B69">
      <w:pPr>
        <w:pStyle w:val="EndnoteText"/>
        <w:ind w:firstLine="0"/>
        <w:rPr>
          <w:u w:val="singl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U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Pr="0052466B" w:rsidRDefault="000B2178" w:rsidP="00951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178" w:rsidRDefault="000B2178">
      <w:r>
        <w:separator/>
      </w:r>
    </w:p>
  </w:footnote>
  <w:footnote w:type="continuationSeparator" w:id="0">
    <w:p w:rsidR="000B2178" w:rsidRDefault="000B2178">
      <w:r>
        <w:continuationSeparator/>
      </w:r>
    </w:p>
  </w:footnote>
  <w:footnote w:id="1">
    <w:p w:rsidR="000B2178" w:rsidRDefault="000B2178" w:rsidP="00441155">
      <w:pPr>
        <w:pStyle w:val="FootnoteText"/>
      </w:pPr>
      <w:r>
        <w:rPr>
          <w:rStyle w:val="FootnoteReference"/>
        </w:rPr>
        <w:footnoteRef/>
      </w:r>
      <w:r>
        <w:tab/>
        <w:t xml:space="preserve">“Member of the </w:t>
      </w:r>
      <w:smartTag w:uri="urn:schemas-microsoft-com:office:smarttags" w:element="place">
        <w:r>
          <w:t>Union</w:t>
        </w:r>
      </w:smartTag>
      <w:r>
        <w:t>” means a State party to the 1961Convention/1972 Act, the 1978 Act or a State or intergovernmental organization party to the 1991 Act (Article 1(xi) of the 1991 Act).</w:t>
      </w:r>
    </w:p>
  </w:footnote>
  <w:footnote w:id="2">
    <w:p w:rsidR="000B2178" w:rsidRDefault="000B2178" w:rsidP="00441155">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3">
    <w:p w:rsidR="000B2178" w:rsidRPr="00DE1471" w:rsidRDefault="000B2178" w:rsidP="00441155">
      <w:pPr>
        <w:pStyle w:val="FootnoteText"/>
        <w:rPr>
          <w:rStyle w:val="FootnoteTextChar"/>
        </w:rPr>
      </w:pPr>
      <w:r>
        <w:rPr>
          <w:rStyle w:val="FootnoteReference"/>
          <w:sz w:val="20"/>
        </w:rPr>
        <w:footnoteRef/>
      </w:r>
      <w:r>
        <w:t xml:space="preserve"> </w:t>
      </w:r>
      <w:r>
        <w:tab/>
      </w:r>
      <w:r w:rsidRPr="00DE1471">
        <w:rPr>
          <w:rStyle w:val="FootnoteTextChar"/>
        </w:rPr>
        <w:t>WIPO Publication No 489 “WIPO Intellectual Property Handbook”</w:t>
      </w:r>
      <w:r w:rsidRPr="00DE1471">
        <w:rPr>
          <w:rStyle w:val="FootnoteTextChar"/>
        </w:rPr>
        <w:br/>
      </w:r>
      <w:r w:rsidRPr="00DE1471">
        <w:rPr>
          <w:rStyle w:val="FootnoteTextChar"/>
        </w:rPr>
        <w:br/>
      </w:r>
      <w:r w:rsidRPr="00DE1471">
        <w:rPr>
          <w:rStyle w:val="FootnoteTextChar"/>
          <w:u w:val="single"/>
        </w:rPr>
        <w:t>Proper Use of Trademarks</w:t>
      </w:r>
    </w:p>
    <w:p w:rsidR="000B2178" w:rsidRPr="00DE1471" w:rsidRDefault="000B2178" w:rsidP="00441155">
      <w:pPr>
        <w:pStyle w:val="FootnoteText"/>
      </w:pPr>
      <w:r>
        <w:tab/>
      </w: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0B2178" w:rsidRPr="00DE1471" w:rsidRDefault="000B2178" w:rsidP="00441155">
      <w:pPr>
        <w:pStyle w:val="FootnoteText"/>
      </w:pPr>
      <w:r>
        <w:tab/>
      </w:r>
      <w:r w:rsidRPr="00DE1471">
        <w:t>2.398</w:t>
      </w:r>
      <w:r w:rsidRPr="00DE1471">
        <w:tab/>
        <w:t>Basically, two things can cause genericness:  namely, improper use by the owner, provoking transformation of the mark into a generic term, and improper use by third parties that is tolerated by the owner.  […]</w:t>
      </w:r>
    </w:p>
    <w:p w:rsidR="000B2178" w:rsidRPr="00DE1471" w:rsidRDefault="000B2178" w:rsidP="00441155">
      <w:pPr>
        <w:pStyle w:val="FootnoteText"/>
      </w:pPr>
      <w:r>
        <w:tab/>
      </w:r>
      <w:r w:rsidRPr="00DE1471">
        <w:t>2.400</w:t>
      </w:r>
      <w:r w:rsidRPr="00DE1471">
        <w:tab/>
        <w:t>The basic rule is that the trademark should not be used as, or instead of, the product designation.  [...]</w:t>
      </w:r>
    </w:p>
    <w:p w:rsidR="000B2178" w:rsidRPr="00DE1471" w:rsidRDefault="000B2178" w:rsidP="00441155">
      <w:pPr>
        <w:pStyle w:val="FootnoteText"/>
      </w:pPr>
      <w:r>
        <w:tab/>
      </w: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4">
    <w:p w:rsidR="000B2178" w:rsidRDefault="000B2178" w:rsidP="00441155">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5">
    <w:p w:rsidR="000B2178" w:rsidRDefault="000B2178" w:rsidP="00441155">
      <w:pPr>
        <w:pStyle w:val="FootnoteText"/>
      </w:pPr>
      <w:r>
        <w:rPr>
          <w:rStyle w:val="FootnoteReference"/>
        </w:rPr>
        <w:footnoteRef/>
      </w:r>
      <w:r>
        <w:t xml:space="preserve"> </w:t>
      </w:r>
      <w:r>
        <w:tab/>
        <w:t xml:space="preserve">Nice </w:t>
      </w:r>
      <w:r w:rsidRPr="00DE1471">
        <w:t>Agreement</w:t>
      </w:r>
      <w:r>
        <w:t xml:space="preserve"> concerning the International Classification of Goods and Services for the Purposes of the Registration of Marks, of June 15, 1957, as revised in Stockholm on July 14, 1967, and Geneva on May 13, 1977, and amended on September 28, 1979.</w:t>
      </w:r>
    </w:p>
  </w:footnote>
  <w:footnote w:id="6">
    <w:p w:rsidR="000B2178" w:rsidRDefault="000B2178" w:rsidP="00441155">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7">
    <w:p w:rsidR="000B2178" w:rsidRDefault="000B2178" w:rsidP="00441155">
      <w:pPr>
        <w:pStyle w:val="FootnoteText"/>
      </w:pPr>
      <w:r>
        <w:rPr>
          <w:rStyle w:val="FootnoteReference"/>
        </w:rPr>
        <w:footnoteRef/>
      </w:r>
      <w:r>
        <w:t xml:space="preserve"> </w:t>
      </w:r>
      <w:r>
        <w:tab/>
        <w:t>Article 8 of the Paris Convention.</w:t>
      </w:r>
    </w:p>
  </w:footnote>
  <w:footnote w:id="8">
    <w:p w:rsidR="000B2178" w:rsidRDefault="000B2178" w:rsidP="00441155">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9">
    <w:p w:rsidR="000B2178" w:rsidRDefault="000B2178" w:rsidP="00441155">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0">
    <w:p w:rsidR="000B2178" w:rsidRPr="00917B01" w:rsidRDefault="000B2178" w:rsidP="00441155">
      <w:pPr>
        <w:pStyle w:val="FootnoteText"/>
      </w:pPr>
      <w:r w:rsidRPr="00917B01">
        <w:t xml:space="preserve">* </w:t>
      </w:r>
      <w:r w:rsidRPr="00917B01">
        <w:tab/>
        <w:t>Classes 203 and 204 are not solely established on the basis of closely related species.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Default="000B2178">
    <w:pPr>
      <w:jc w:val="center"/>
      <w:rPr>
        <w:b/>
      </w:rPr>
    </w:pPr>
    <w:r>
      <w:t>UPOV/INF/12/5 Draft 2</w:t>
    </w:r>
  </w:p>
  <w:p w:rsidR="000B2178" w:rsidRDefault="000B2178">
    <w:pPr>
      <w:jc w:val="center"/>
    </w:pPr>
    <w:r>
      <w:t xml:space="preserve">page </w:t>
    </w:r>
    <w:r>
      <w:fldChar w:fldCharType="begin"/>
    </w:r>
    <w:r>
      <w:instrText xml:space="preserve"> PAGE  \* MERGEFORMAT </w:instrText>
    </w:r>
    <w:r>
      <w:fldChar w:fldCharType="separate"/>
    </w:r>
    <w:r w:rsidR="00CF7489">
      <w:rPr>
        <w:noProof/>
      </w:rPr>
      <w:t>13</w:t>
    </w:r>
    <w:r>
      <w:fldChar w:fldCharType="end"/>
    </w:r>
  </w:p>
  <w:p w:rsidR="000B2178" w:rsidRDefault="000B2178">
    <w:pPr>
      <w:jc w:val="cent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89" w:rsidRDefault="00CF7489" w:rsidP="00951A2C">
    <w:pPr>
      <w:pStyle w:val="Header"/>
    </w:pPr>
    <w:r>
      <w:t>UPOV/INF/12/5 Draft 1</w:t>
    </w:r>
  </w:p>
  <w:p w:rsidR="00CF7489" w:rsidRDefault="00CF7489">
    <w:pPr>
      <w:jc w:val="center"/>
    </w:pPr>
  </w:p>
  <w:p w:rsidR="00CF7489" w:rsidRDefault="00CF7489">
    <w:pPr>
      <w:jc w:val="center"/>
    </w:pPr>
    <w:r>
      <w:t>ENDNOTES</w:t>
    </w:r>
  </w:p>
  <w:p w:rsidR="00CF7489" w:rsidRDefault="00CF7489">
    <w:pPr>
      <w:jc w:val="center"/>
    </w:pPr>
  </w:p>
  <w:p w:rsidR="00CF7489" w:rsidRDefault="00CF748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Default="000B2178">
    <w:pPr>
      <w:jc w:val="center"/>
      <w:rPr>
        <w:b/>
      </w:rPr>
    </w:pPr>
    <w:r>
      <w:t>UPOV/INF/12/5 Draft 1</w:t>
    </w:r>
  </w:p>
  <w:p w:rsidR="000B2178" w:rsidRDefault="000B2178">
    <w:pPr>
      <w:jc w:val="center"/>
    </w:pPr>
    <w:r>
      <w:t xml:space="preserve">Annex I, page </w:t>
    </w:r>
    <w:r>
      <w:fldChar w:fldCharType="begin"/>
    </w:r>
    <w:r>
      <w:instrText xml:space="preserve"> PAGE  \* MERGEFORMAT </w:instrText>
    </w:r>
    <w:r>
      <w:fldChar w:fldCharType="separate"/>
    </w:r>
    <w:r w:rsidR="00CF7489">
      <w:rPr>
        <w:noProof/>
      </w:rPr>
      <w:t>4</w:t>
    </w:r>
    <w:r>
      <w:fldChar w:fldCharType="end"/>
    </w:r>
  </w:p>
  <w:p w:rsidR="000B2178" w:rsidRPr="00951A2C" w:rsidRDefault="000B2178" w:rsidP="00951A2C">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Pr="00527219" w:rsidRDefault="000B2178" w:rsidP="00951A2C">
    <w:pPr>
      <w:jc w:val="center"/>
    </w:pPr>
    <w:r>
      <w:t>UPOV/INF/12/4</w:t>
    </w:r>
  </w:p>
  <w:p w:rsidR="000B2178" w:rsidRPr="00527219" w:rsidRDefault="000B2178" w:rsidP="00951A2C">
    <w:pPr>
      <w:jc w:val="center"/>
    </w:pPr>
  </w:p>
  <w:p w:rsidR="000B2178" w:rsidRPr="00527219" w:rsidRDefault="000B2178" w:rsidP="00951A2C">
    <w:pPr>
      <w:jc w:val="center"/>
    </w:pPr>
    <w:r w:rsidRPr="00527219">
      <w:t>ANNEX I</w:t>
    </w:r>
  </w:p>
  <w:p w:rsidR="000B2178" w:rsidRPr="00527219" w:rsidRDefault="000B2178" w:rsidP="00951A2C">
    <w:pPr>
      <w:jc w:val="center"/>
    </w:pPr>
  </w:p>
  <w:p w:rsidR="000B2178" w:rsidRPr="00410A7F" w:rsidRDefault="000B2178" w:rsidP="00951A2C">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Pr="00951A2C" w:rsidRDefault="000B2178">
    <w:pPr>
      <w:jc w:val="center"/>
      <w:rPr>
        <w:b/>
        <w:lang w:val="fr-CH"/>
      </w:rPr>
    </w:pPr>
    <w:r w:rsidRPr="00951A2C">
      <w:rPr>
        <w:lang w:val="fr-CH"/>
      </w:rPr>
      <w:t>UPOV/INF/12/4</w:t>
    </w:r>
  </w:p>
  <w:p w:rsidR="000B2178" w:rsidRPr="00951A2C" w:rsidRDefault="000B2178">
    <w:pPr>
      <w:jc w:val="center"/>
      <w:rPr>
        <w:lang w:val="fr-CH"/>
      </w:rPr>
    </w:pPr>
    <w:r w:rsidRPr="00951A2C">
      <w:rPr>
        <w:lang w:val="fr-CH"/>
      </w:rPr>
      <w:t xml:space="preserve">Annex III, page </w:t>
    </w:r>
    <w:r>
      <w:fldChar w:fldCharType="begin"/>
    </w:r>
    <w:r w:rsidRPr="00951A2C">
      <w:rPr>
        <w:lang w:val="fr-CH"/>
      </w:rPr>
      <w:instrText xml:space="preserve"> PAGE  \* MERGEFORMAT </w:instrText>
    </w:r>
    <w:r>
      <w:fldChar w:fldCharType="separate"/>
    </w:r>
    <w:r>
      <w:rPr>
        <w:noProof/>
        <w:lang w:val="fr-CH"/>
      </w:rPr>
      <w:t>5</w:t>
    </w:r>
    <w:r>
      <w:fldChar w:fldCharType="end"/>
    </w:r>
  </w:p>
  <w:p w:rsidR="000B2178" w:rsidRPr="00951A2C" w:rsidRDefault="000B2178">
    <w:pPr>
      <w:jc w:val="center"/>
      <w:rPr>
        <w:szCs w:val="24"/>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Default="000B2178" w:rsidP="00951A2C">
    <w:pPr>
      <w:pStyle w:val="Header"/>
    </w:pPr>
    <w:r>
      <w:t>UPOV/INF/12/5 Draft 1</w:t>
    </w:r>
  </w:p>
  <w:p w:rsidR="000B2178" w:rsidRDefault="000B2178">
    <w:pPr>
      <w:jc w:val="center"/>
    </w:pPr>
  </w:p>
  <w:p w:rsidR="000B2178" w:rsidRDefault="000B2178">
    <w:pPr>
      <w:jc w:val="center"/>
    </w:pPr>
    <w:r>
      <w:t>ANNEX II</w:t>
    </w:r>
  </w:p>
  <w:p w:rsidR="000B2178" w:rsidRDefault="000B2178">
    <w:pPr>
      <w:jc w:val="center"/>
    </w:pPr>
  </w:p>
  <w:p w:rsidR="000B2178" w:rsidRDefault="000B2178">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Pr="00F106BE" w:rsidRDefault="000B2178" w:rsidP="00951A2C">
    <w:pPr>
      <w:pStyle w:val="Enttepair"/>
    </w:pPr>
    <w:r>
      <w:t>NOTES — ARTICLE 30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Pr="009929A5" w:rsidRDefault="000B2178" w:rsidP="00951A2C">
    <w:pPr>
      <w:pStyle w:val="Header"/>
      <w:rPr>
        <w:rFonts w:cs="Arial"/>
      </w:rPr>
    </w:pPr>
    <w:r>
      <w:rPr>
        <w:rFonts w:cs="Arial"/>
      </w:rPr>
      <w:t>UPOV/INF/12/5 Draft 1</w:t>
    </w:r>
  </w:p>
  <w:p w:rsidR="000B2178" w:rsidRPr="009929A5" w:rsidRDefault="000B2178" w:rsidP="00951A2C">
    <w:pPr>
      <w:pStyle w:val="Header"/>
      <w:rPr>
        <w:rStyle w:val="PageNumber"/>
        <w:rFonts w:cs="Arial"/>
      </w:rPr>
    </w:pPr>
    <w:r>
      <w:rPr>
        <w:rFonts w:cs="Arial"/>
      </w:rPr>
      <w:t xml:space="preserve">Annex III,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CF7489">
      <w:rPr>
        <w:rStyle w:val="PageNumber"/>
        <w:rFonts w:cs="Arial"/>
        <w:noProof/>
      </w:rPr>
      <w:t>2</w:t>
    </w:r>
    <w:r w:rsidRPr="009929A5">
      <w:rPr>
        <w:rStyle w:val="PageNumber"/>
        <w:rFonts w:cs="Arial"/>
      </w:rPr>
      <w:fldChar w:fldCharType="end"/>
    </w:r>
  </w:p>
  <w:p w:rsidR="000B2178" w:rsidRPr="009929A5" w:rsidRDefault="000B2178" w:rsidP="00951A2C">
    <w:pPr>
      <w:pStyle w:val="Header"/>
      <w:rPr>
        <w:rFonts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178" w:rsidRDefault="000B2178" w:rsidP="00951A2C">
    <w:pPr>
      <w:pStyle w:val="Header"/>
    </w:pPr>
    <w:r>
      <w:t>UPOV/INF/12/5 Draft 1</w:t>
    </w:r>
  </w:p>
  <w:p w:rsidR="000B2178" w:rsidRDefault="000B2178">
    <w:pPr>
      <w:jc w:val="center"/>
    </w:pPr>
  </w:p>
  <w:p w:rsidR="000B2178" w:rsidRDefault="000B2178">
    <w:pPr>
      <w:jc w:val="center"/>
    </w:pPr>
    <w:r>
      <w:t>ANNEX III</w:t>
    </w:r>
  </w:p>
  <w:p w:rsidR="000B2178" w:rsidRDefault="000B2178">
    <w:pPr>
      <w:jc w:val="center"/>
    </w:pPr>
  </w:p>
  <w:p w:rsidR="000B2178" w:rsidRDefault="000B2178">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489" w:rsidRPr="009929A5" w:rsidRDefault="00CF7489" w:rsidP="00951A2C">
    <w:pPr>
      <w:pStyle w:val="Header"/>
      <w:rPr>
        <w:rFonts w:cs="Arial"/>
      </w:rPr>
    </w:pPr>
    <w:r>
      <w:rPr>
        <w:rFonts w:cs="Arial"/>
      </w:rPr>
      <w:t>UPOV/INF/12/5 Draft 1</w:t>
    </w:r>
  </w:p>
  <w:p w:rsidR="00CF7489" w:rsidRPr="009929A5" w:rsidRDefault="00CF7489" w:rsidP="00951A2C">
    <w:pPr>
      <w:pStyle w:val="Header"/>
      <w:rPr>
        <w:rStyle w:val="PageNumber"/>
        <w:rFonts w:cs="Arial"/>
      </w:rPr>
    </w:pPr>
    <w:r>
      <w:rPr>
        <w:rFonts w:cs="Arial"/>
      </w:rPr>
      <w:t xml:space="preserve">Endnotes, </w:t>
    </w: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2</w:t>
    </w:r>
    <w:r w:rsidRPr="009929A5">
      <w:rPr>
        <w:rStyle w:val="PageNumber"/>
        <w:rFonts w:cs="Arial"/>
      </w:rPr>
      <w:fldChar w:fldCharType="end"/>
    </w:r>
  </w:p>
  <w:p w:rsidR="00CF7489" w:rsidRPr="009929A5" w:rsidRDefault="00CF7489" w:rsidP="00951A2C">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E7EB1"/>
    <w:multiLevelType w:val="hybridMultilevel"/>
    <w:tmpl w:val="21366B82"/>
    <w:lvl w:ilvl="0" w:tplc="2DDE0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22856"/>
    <w:multiLevelType w:val="hybridMultilevel"/>
    <w:tmpl w:val="2B2A7176"/>
    <w:lvl w:ilvl="0" w:tplc="576AD22A">
      <w:start w:val="1"/>
      <w:numFmt w:val="lowerLetter"/>
      <w:lvlText w:val="(%1)"/>
      <w:lvlJc w:val="left"/>
      <w:pPr>
        <w:ind w:left="786" w:hanging="360"/>
      </w:pPr>
      <w:rPr>
        <w:rFonts w:hint="default"/>
        <w:b w:val="0"/>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12F2D"/>
    <w:multiLevelType w:val="hybridMultilevel"/>
    <w:tmpl w:val="B23634E4"/>
    <w:lvl w:ilvl="0" w:tplc="6FA22504">
      <w:start w:val="3"/>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6C472658"/>
    <w:multiLevelType w:val="hybridMultilevel"/>
    <w:tmpl w:val="58867F9C"/>
    <w:lvl w:ilvl="0" w:tplc="1F60ED70">
      <w:start w:val="1"/>
      <w:numFmt w:val="lowerLetter"/>
      <w:lvlText w:val="(%1)"/>
      <w:lvlJc w:val="left"/>
      <w:pPr>
        <w:ind w:left="786" w:hanging="360"/>
      </w:pPr>
      <w:rPr>
        <w:rFonts w:hint="default"/>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376413"/>
    <w:multiLevelType w:val="hybridMultilevel"/>
    <w:tmpl w:val="F7CCF66C"/>
    <w:lvl w:ilvl="0" w:tplc="244AAE2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76B259C6"/>
    <w:multiLevelType w:val="multilevel"/>
    <w:tmpl w:val="8D4AB452"/>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A402CC1"/>
    <w:multiLevelType w:val="hybridMultilevel"/>
    <w:tmpl w:val="3356E2A2"/>
    <w:lvl w:ilvl="0" w:tplc="EFCE4F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4F4"/>
    <w:rsid w:val="00000531"/>
    <w:rsid w:val="00002612"/>
    <w:rsid w:val="00002D18"/>
    <w:rsid w:val="000031A2"/>
    <w:rsid w:val="00004E4E"/>
    <w:rsid w:val="00005853"/>
    <w:rsid w:val="0000682E"/>
    <w:rsid w:val="00006D0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6566"/>
    <w:rsid w:val="0003732E"/>
    <w:rsid w:val="00040547"/>
    <w:rsid w:val="0004179D"/>
    <w:rsid w:val="00044035"/>
    <w:rsid w:val="00045EE0"/>
    <w:rsid w:val="00046148"/>
    <w:rsid w:val="00047094"/>
    <w:rsid w:val="00050497"/>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4DC6"/>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178"/>
    <w:rsid w:val="000B2607"/>
    <w:rsid w:val="000B2C01"/>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0F50"/>
    <w:rsid w:val="00111C96"/>
    <w:rsid w:val="001166FC"/>
    <w:rsid w:val="00120461"/>
    <w:rsid w:val="00122F6C"/>
    <w:rsid w:val="0013000A"/>
    <w:rsid w:val="00130571"/>
    <w:rsid w:val="00131413"/>
    <w:rsid w:val="00131973"/>
    <w:rsid w:val="00133122"/>
    <w:rsid w:val="00133DEF"/>
    <w:rsid w:val="001350AE"/>
    <w:rsid w:val="0013633B"/>
    <w:rsid w:val="001401B9"/>
    <w:rsid w:val="00142FE8"/>
    <w:rsid w:val="00145232"/>
    <w:rsid w:val="00150252"/>
    <w:rsid w:val="001503D6"/>
    <w:rsid w:val="00150A66"/>
    <w:rsid w:val="00151207"/>
    <w:rsid w:val="00151E6C"/>
    <w:rsid w:val="001524C1"/>
    <w:rsid w:val="00152C1F"/>
    <w:rsid w:val="00153DB6"/>
    <w:rsid w:val="00154CD6"/>
    <w:rsid w:val="0015629B"/>
    <w:rsid w:val="00157840"/>
    <w:rsid w:val="001619D7"/>
    <w:rsid w:val="00161AAA"/>
    <w:rsid w:val="00161C39"/>
    <w:rsid w:val="00162273"/>
    <w:rsid w:val="001623A0"/>
    <w:rsid w:val="001641C6"/>
    <w:rsid w:val="00165579"/>
    <w:rsid w:val="00167EC8"/>
    <w:rsid w:val="001703F3"/>
    <w:rsid w:val="001706B9"/>
    <w:rsid w:val="00176502"/>
    <w:rsid w:val="001769B8"/>
    <w:rsid w:val="00177001"/>
    <w:rsid w:val="00177708"/>
    <w:rsid w:val="0017786C"/>
    <w:rsid w:val="00180802"/>
    <w:rsid w:val="001811B0"/>
    <w:rsid w:val="001815F2"/>
    <w:rsid w:val="0018405B"/>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B7"/>
    <w:rsid w:val="001A59D0"/>
    <w:rsid w:val="001B22CC"/>
    <w:rsid w:val="001B2D4A"/>
    <w:rsid w:val="001B370C"/>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5D15"/>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E7F65"/>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36B"/>
    <w:rsid w:val="0027174A"/>
    <w:rsid w:val="002730CC"/>
    <w:rsid w:val="00275B98"/>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5A1"/>
    <w:rsid w:val="002A3736"/>
    <w:rsid w:val="002A3D46"/>
    <w:rsid w:val="002A56B5"/>
    <w:rsid w:val="002A5A71"/>
    <w:rsid w:val="002A5ECE"/>
    <w:rsid w:val="002A60E6"/>
    <w:rsid w:val="002A7756"/>
    <w:rsid w:val="002B3CB7"/>
    <w:rsid w:val="002B52E9"/>
    <w:rsid w:val="002B5EB6"/>
    <w:rsid w:val="002B6038"/>
    <w:rsid w:val="002C276C"/>
    <w:rsid w:val="002C5439"/>
    <w:rsid w:val="002C6605"/>
    <w:rsid w:val="002D0C29"/>
    <w:rsid w:val="002D0ED1"/>
    <w:rsid w:val="002D2714"/>
    <w:rsid w:val="002D3B17"/>
    <w:rsid w:val="002D4388"/>
    <w:rsid w:val="002D5C64"/>
    <w:rsid w:val="002D6048"/>
    <w:rsid w:val="002E0B31"/>
    <w:rsid w:val="002E1869"/>
    <w:rsid w:val="002E1F19"/>
    <w:rsid w:val="002E216C"/>
    <w:rsid w:val="002E3B56"/>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4632"/>
    <w:rsid w:val="003458C7"/>
    <w:rsid w:val="00345907"/>
    <w:rsid w:val="00347FC6"/>
    <w:rsid w:val="00350C7F"/>
    <w:rsid w:val="003510E5"/>
    <w:rsid w:val="00351280"/>
    <w:rsid w:val="00352499"/>
    <w:rsid w:val="003526C7"/>
    <w:rsid w:val="003526EA"/>
    <w:rsid w:val="00354B79"/>
    <w:rsid w:val="0035533A"/>
    <w:rsid w:val="00356DD3"/>
    <w:rsid w:val="003624A3"/>
    <w:rsid w:val="00364D90"/>
    <w:rsid w:val="0036717D"/>
    <w:rsid w:val="003709D6"/>
    <w:rsid w:val="003711CB"/>
    <w:rsid w:val="00371545"/>
    <w:rsid w:val="00371FFE"/>
    <w:rsid w:val="00372C60"/>
    <w:rsid w:val="00372EAA"/>
    <w:rsid w:val="00372F0B"/>
    <w:rsid w:val="003730E9"/>
    <w:rsid w:val="003772B8"/>
    <w:rsid w:val="003774DA"/>
    <w:rsid w:val="00380A87"/>
    <w:rsid w:val="00380AE4"/>
    <w:rsid w:val="00381DEE"/>
    <w:rsid w:val="00381F37"/>
    <w:rsid w:val="00382B96"/>
    <w:rsid w:val="003839BE"/>
    <w:rsid w:val="00383CA3"/>
    <w:rsid w:val="003868FD"/>
    <w:rsid w:val="00390257"/>
    <w:rsid w:val="003911C4"/>
    <w:rsid w:val="003911FB"/>
    <w:rsid w:val="00391411"/>
    <w:rsid w:val="00391A76"/>
    <w:rsid w:val="00394208"/>
    <w:rsid w:val="00396AC0"/>
    <w:rsid w:val="00397C5F"/>
    <w:rsid w:val="003A002F"/>
    <w:rsid w:val="003A1164"/>
    <w:rsid w:val="003A128B"/>
    <w:rsid w:val="003A16CD"/>
    <w:rsid w:val="003A2018"/>
    <w:rsid w:val="003A24BE"/>
    <w:rsid w:val="003A359E"/>
    <w:rsid w:val="003A3DB3"/>
    <w:rsid w:val="003A42B6"/>
    <w:rsid w:val="003A4336"/>
    <w:rsid w:val="003A465F"/>
    <w:rsid w:val="003A7078"/>
    <w:rsid w:val="003A70A0"/>
    <w:rsid w:val="003A7AD9"/>
    <w:rsid w:val="003A7FC2"/>
    <w:rsid w:val="003B001D"/>
    <w:rsid w:val="003B0B59"/>
    <w:rsid w:val="003B0D81"/>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6E4"/>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3AB3"/>
    <w:rsid w:val="00434FEF"/>
    <w:rsid w:val="004401FC"/>
    <w:rsid w:val="00441155"/>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2D11"/>
    <w:rsid w:val="00463180"/>
    <w:rsid w:val="00464F66"/>
    <w:rsid w:val="004663DB"/>
    <w:rsid w:val="004665EE"/>
    <w:rsid w:val="00466F95"/>
    <w:rsid w:val="00470205"/>
    <w:rsid w:val="00470F8F"/>
    <w:rsid w:val="00472A58"/>
    <w:rsid w:val="00473812"/>
    <w:rsid w:val="00474590"/>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53F"/>
    <w:rsid w:val="004A1CBD"/>
    <w:rsid w:val="004A3002"/>
    <w:rsid w:val="004A3C70"/>
    <w:rsid w:val="004A42D1"/>
    <w:rsid w:val="004A42F5"/>
    <w:rsid w:val="004A47F9"/>
    <w:rsid w:val="004A6ADF"/>
    <w:rsid w:val="004A70A6"/>
    <w:rsid w:val="004B07C3"/>
    <w:rsid w:val="004B22BC"/>
    <w:rsid w:val="004B4AD0"/>
    <w:rsid w:val="004B4B82"/>
    <w:rsid w:val="004B4C70"/>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BDC"/>
    <w:rsid w:val="004F5D28"/>
    <w:rsid w:val="004F6D1E"/>
    <w:rsid w:val="004F7230"/>
    <w:rsid w:val="004F750B"/>
    <w:rsid w:val="004F7D56"/>
    <w:rsid w:val="00501144"/>
    <w:rsid w:val="005020B7"/>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2A3B"/>
    <w:rsid w:val="005572B4"/>
    <w:rsid w:val="005576D1"/>
    <w:rsid w:val="00562888"/>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A7B69"/>
    <w:rsid w:val="005B1117"/>
    <w:rsid w:val="005B3875"/>
    <w:rsid w:val="005B3F9D"/>
    <w:rsid w:val="005B414B"/>
    <w:rsid w:val="005B4488"/>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2405"/>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6B9D"/>
    <w:rsid w:val="00627F3C"/>
    <w:rsid w:val="00631833"/>
    <w:rsid w:val="006319D6"/>
    <w:rsid w:val="00631DB2"/>
    <w:rsid w:val="006333EC"/>
    <w:rsid w:val="00633793"/>
    <w:rsid w:val="00634C7E"/>
    <w:rsid w:val="00635473"/>
    <w:rsid w:val="00635959"/>
    <w:rsid w:val="006376C3"/>
    <w:rsid w:val="0064223D"/>
    <w:rsid w:val="00642B0B"/>
    <w:rsid w:val="006443ED"/>
    <w:rsid w:val="0064485D"/>
    <w:rsid w:val="00645B98"/>
    <w:rsid w:val="00645F6B"/>
    <w:rsid w:val="00646C3A"/>
    <w:rsid w:val="00646EBF"/>
    <w:rsid w:val="00647286"/>
    <w:rsid w:val="006477D2"/>
    <w:rsid w:val="006502C7"/>
    <w:rsid w:val="00650370"/>
    <w:rsid w:val="006531B5"/>
    <w:rsid w:val="0065458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5A3"/>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E7626"/>
    <w:rsid w:val="006F12AA"/>
    <w:rsid w:val="006F1402"/>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36EF"/>
    <w:rsid w:val="007369D4"/>
    <w:rsid w:val="00736D73"/>
    <w:rsid w:val="00736FE8"/>
    <w:rsid w:val="007372E2"/>
    <w:rsid w:val="00740108"/>
    <w:rsid w:val="00740E84"/>
    <w:rsid w:val="00744567"/>
    <w:rsid w:val="00744A8F"/>
    <w:rsid w:val="00744F57"/>
    <w:rsid w:val="007465E7"/>
    <w:rsid w:val="0074690D"/>
    <w:rsid w:val="00746A78"/>
    <w:rsid w:val="00747C42"/>
    <w:rsid w:val="00751D55"/>
    <w:rsid w:val="00752EAB"/>
    <w:rsid w:val="0075406E"/>
    <w:rsid w:val="0075571A"/>
    <w:rsid w:val="00757526"/>
    <w:rsid w:val="007623E3"/>
    <w:rsid w:val="00766AAD"/>
    <w:rsid w:val="00766F6F"/>
    <w:rsid w:val="00767D20"/>
    <w:rsid w:val="00770A36"/>
    <w:rsid w:val="00770F98"/>
    <w:rsid w:val="00773385"/>
    <w:rsid w:val="00774F51"/>
    <w:rsid w:val="00777AEF"/>
    <w:rsid w:val="0078106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072C"/>
    <w:rsid w:val="007A5B13"/>
    <w:rsid w:val="007A5B1D"/>
    <w:rsid w:val="007A720D"/>
    <w:rsid w:val="007B0E4D"/>
    <w:rsid w:val="007B170B"/>
    <w:rsid w:val="007B3903"/>
    <w:rsid w:val="007B4153"/>
    <w:rsid w:val="007B48D7"/>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1F"/>
    <w:rsid w:val="007C436E"/>
    <w:rsid w:val="007C4DB7"/>
    <w:rsid w:val="007C5670"/>
    <w:rsid w:val="007C72DC"/>
    <w:rsid w:val="007D1805"/>
    <w:rsid w:val="007D2262"/>
    <w:rsid w:val="007D3FD7"/>
    <w:rsid w:val="007D4460"/>
    <w:rsid w:val="007D5525"/>
    <w:rsid w:val="007D670E"/>
    <w:rsid w:val="007E01DE"/>
    <w:rsid w:val="007E0283"/>
    <w:rsid w:val="007E13D4"/>
    <w:rsid w:val="007E18DD"/>
    <w:rsid w:val="007E210D"/>
    <w:rsid w:val="007E24D0"/>
    <w:rsid w:val="007E2583"/>
    <w:rsid w:val="007E297C"/>
    <w:rsid w:val="007E29DB"/>
    <w:rsid w:val="007E560A"/>
    <w:rsid w:val="007E64DF"/>
    <w:rsid w:val="007E6C5A"/>
    <w:rsid w:val="007E7836"/>
    <w:rsid w:val="007E7869"/>
    <w:rsid w:val="007F0B0F"/>
    <w:rsid w:val="007F0D3C"/>
    <w:rsid w:val="007F1695"/>
    <w:rsid w:val="007F21FC"/>
    <w:rsid w:val="007F2B90"/>
    <w:rsid w:val="007F412B"/>
    <w:rsid w:val="007F5C6F"/>
    <w:rsid w:val="007F6A2B"/>
    <w:rsid w:val="007F7A3D"/>
    <w:rsid w:val="0080101C"/>
    <w:rsid w:val="0080293A"/>
    <w:rsid w:val="00802B83"/>
    <w:rsid w:val="00803D19"/>
    <w:rsid w:val="0080429D"/>
    <w:rsid w:val="0080476C"/>
    <w:rsid w:val="008058F0"/>
    <w:rsid w:val="008059B5"/>
    <w:rsid w:val="0080722A"/>
    <w:rsid w:val="00807C6D"/>
    <w:rsid w:val="008103F4"/>
    <w:rsid w:val="00810ACE"/>
    <w:rsid w:val="00811135"/>
    <w:rsid w:val="008122AC"/>
    <w:rsid w:val="0081249B"/>
    <w:rsid w:val="00813E1B"/>
    <w:rsid w:val="00814F3A"/>
    <w:rsid w:val="00816A29"/>
    <w:rsid w:val="00821272"/>
    <w:rsid w:val="008212B7"/>
    <w:rsid w:val="00821EB9"/>
    <w:rsid w:val="00821F35"/>
    <w:rsid w:val="008220D0"/>
    <w:rsid w:val="008226C9"/>
    <w:rsid w:val="00822898"/>
    <w:rsid w:val="0082356B"/>
    <w:rsid w:val="00823D91"/>
    <w:rsid w:val="008264A6"/>
    <w:rsid w:val="00827643"/>
    <w:rsid w:val="00827CAC"/>
    <w:rsid w:val="008341E7"/>
    <w:rsid w:val="0083477F"/>
    <w:rsid w:val="00835B13"/>
    <w:rsid w:val="00836860"/>
    <w:rsid w:val="00836C44"/>
    <w:rsid w:val="00836CFD"/>
    <w:rsid w:val="00840835"/>
    <w:rsid w:val="00840A4A"/>
    <w:rsid w:val="00840B87"/>
    <w:rsid w:val="00841060"/>
    <w:rsid w:val="0084156B"/>
    <w:rsid w:val="008422BE"/>
    <w:rsid w:val="00842ED0"/>
    <w:rsid w:val="008435C1"/>
    <w:rsid w:val="008443DD"/>
    <w:rsid w:val="00845340"/>
    <w:rsid w:val="00845AEB"/>
    <w:rsid w:val="00846987"/>
    <w:rsid w:val="00847140"/>
    <w:rsid w:val="00850DA2"/>
    <w:rsid w:val="0085247D"/>
    <w:rsid w:val="00852644"/>
    <w:rsid w:val="00852E53"/>
    <w:rsid w:val="00853D70"/>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5F60"/>
    <w:rsid w:val="00887174"/>
    <w:rsid w:val="008871D4"/>
    <w:rsid w:val="00887900"/>
    <w:rsid w:val="00887B84"/>
    <w:rsid w:val="00887E28"/>
    <w:rsid w:val="008919ED"/>
    <w:rsid w:val="00891E1F"/>
    <w:rsid w:val="008926B9"/>
    <w:rsid w:val="00892D44"/>
    <w:rsid w:val="00892D72"/>
    <w:rsid w:val="00892F87"/>
    <w:rsid w:val="008933F8"/>
    <w:rsid w:val="00894CA0"/>
    <w:rsid w:val="00895711"/>
    <w:rsid w:val="00896568"/>
    <w:rsid w:val="00896CBF"/>
    <w:rsid w:val="0089763A"/>
    <w:rsid w:val="0089783C"/>
    <w:rsid w:val="008A01D5"/>
    <w:rsid w:val="008A0287"/>
    <w:rsid w:val="008A0491"/>
    <w:rsid w:val="008A1460"/>
    <w:rsid w:val="008A19FD"/>
    <w:rsid w:val="008A222B"/>
    <w:rsid w:val="008A3A2F"/>
    <w:rsid w:val="008A3AAF"/>
    <w:rsid w:val="008A628C"/>
    <w:rsid w:val="008A7EAB"/>
    <w:rsid w:val="008A7F78"/>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BC4"/>
    <w:rsid w:val="008D4B4B"/>
    <w:rsid w:val="008D4BA5"/>
    <w:rsid w:val="008D5A54"/>
    <w:rsid w:val="008D5BBB"/>
    <w:rsid w:val="008D78CC"/>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5F64"/>
    <w:rsid w:val="008F6E44"/>
    <w:rsid w:val="008F7A9D"/>
    <w:rsid w:val="008F7F61"/>
    <w:rsid w:val="009005BE"/>
    <w:rsid w:val="009008CC"/>
    <w:rsid w:val="00903BF7"/>
    <w:rsid w:val="00903C78"/>
    <w:rsid w:val="009044A3"/>
    <w:rsid w:val="00906363"/>
    <w:rsid w:val="00906724"/>
    <w:rsid w:val="009067A6"/>
    <w:rsid w:val="00910F50"/>
    <w:rsid w:val="00913A3A"/>
    <w:rsid w:val="00917FDC"/>
    <w:rsid w:val="00920F12"/>
    <w:rsid w:val="00923BDF"/>
    <w:rsid w:val="00924180"/>
    <w:rsid w:val="0092431D"/>
    <w:rsid w:val="00924BBB"/>
    <w:rsid w:val="00924CB7"/>
    <w:rsid w:val="0092588D"/>
    <w:rsid w:val="0092698E"/>
    <w:rsid w:val="00926AB1"/>
    <w:rsid w:val="00927687"/>
    <w:rsid w:val="009304BF"/>
    <w:rsid w:val="00930C2D"/>
    <w:rsid w:val="009320D7"/>
    <w:rsid w:val="00932824"/>
    <w:rsid w:val="009331B8"/>
    <w:rsid w:val="00933FDD"/>
    <w:rsid w:val="0093410A"/>
    <w:rsid w:val="0093435F"/>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A3A"/>
    <w:rsid w:val="00946F6F"/>
    <w:rsid w:val="00947D06"/>
    <w:rsid w:val="00947E43"/>
    <w:rsid w:val="00951A2C"/>
    <w:rsid w:val="00953EEC"/>
    <w:rsid w:val="00955A00"/>
    <w:rsid w:val="00955DC0"/>
    <w:rsid w:val="00955EDA"/>
    <w:rsid w:val="00956325"/>
    <w:rsid w:val="009577A3"/>
    <w:rsid w:val="0096097B"/>
    <w:rsid w:val="00960B61"/>
    <w:rsid w:val="00961FF5"/>
    <w:rsid w:val="009629A3"/>
    <w:rsid w:val="00964C3A"/>
    <w:rsid w:val="00967341"/>
    <w:rsid w:val="00967446"/>
    <w:rsid w:val="00967F0D"/>
    <w:rsid w:val="00967F23"/>
    <w:rsid w:val="00967FC7"/>
    <w:rsid w:val="00970C66"/>
    <w:rsid w:val="00970FC7"/>
    <w:rsid w:val="00971035"/>
    <w:rsid w:val="00971567"/>
    <w:rsid w:val="00971F8A"/>
    <w:rsid w:val="00972394"/>
    <w:rsid w:val="009724B7"/>
    <w:rsid w:val="00972C6C"/>
    <w:rsid w:val="009731FC"/>
    <w:rsid w:val="00974339"/>
    <w:rsid w:val="009745AD"/>
    <w:rsid w:val="00974ADD"/>
    <w:rsid w:val="00974C12"/>
    <w:rsid w:val="00975C2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7D86"/>
    <w:rsid w:val="009A09E8"/>
    <w:rsid w:val="009A313B"/>
    <w:rsid w:val="009A3512"/>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2C3"/>
    <w:rsid w:val="009D3FAA"/>
    <w:rsid w:val="009D51E6"/>
    <w:rsid w:val="009D558F"/>
    <w:rsid w:val="009D7962"/>
    <w:rsid w:val="009E055F"/>
    <w:rsid w:val="009E0576"/>
    <w:rsid w:val="009E132A"/>
    <w:rsid w:val="009E1B11"/>
    <w:rsid w:val="009E2121"/>
    <w:rsid w:val="009E3207"/>
    <w:rsid w:val="009E3B8B"/>
    <w:rsid w:val="009E58B1"/>
    <w:rsid w:val="009E5AA2"/>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376E"/>
    <w:rsid w:val="00A0417F"/>
    <w:rsid w:val="00A0452D"/>
    <w:rsid w:val="00A04A85"/>
    <w:rsid w:val="00A05F5D"/>
    <w:rsid w:val="00A0693B"/>
    <w:rsid w:val="00A06E5C"/>
    <w:rsid w:val="00A06F53"/>
    <w:rsid w:val="00A07554"/>
    <w:rsid w:val="00A117D9"/>
    <w:rsid w:val="00A13CE9"/>
    <w:rsid w:val="00A1452B"/>
    <w:rsid w:val="00A1480B"/>
    <w:rsid w:val="00A14C97"/>
    <w:rsid w:val="00A1577E"/>
    <w:rsid w:val="00A15CED"/>
    <w:rsid w:val="00A1675F"/>
    <w:rsid w:val="00A17B6A"/>
    <w:rsid w:val="00A20156"/>
    <w:rsid w:val="00A22318"/>
    <w:rsid w:val="00A23AE2"/>
    <w:rsid w:val="00A261F6"/>
    <w:rsid w:val="00A26F3C"/>
    <w:rsid w:val="00A27BC2"/>
    <w:rsid w:val="00A3131D"/>
    <w:rsid w:val="00A32140"/>
    <w:rsid w:val="00A33AC2"/>
    <w:rsid w:val="00A33E1B"/>
    <w:rsid w:val="00A35725"/>
    <w:rsid w:val="00A364F2"/>
    <w:rsid w:val="00A36967"/>
    <w:rsid w:val="00A371BC"/>
    <w:rsid w:val="00A4064E"/>
    <w:rsid w:val="00A4196F"/>
    <w:rsid w:val="00A41F2B"/>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67B02"/>
    <w:rsid w:val="00A70197"/>
    <w:rsid w:val="00A70B2E"/>
    <w:rsid w:val="00A7110D"/>
    <w:rsid w:val="00A76972"/>
    <w:rsid w:val="00A76D35"/>
    <w:rsid w:val="00A803FE"/>
    <w:rsid w:val="00A80569"/>
    <w:rsid w:val="00A80775"/>
    <w:rsid w:val="00A80B62"/>
    <w:rsid w:val="00A8140D"/>
    <w:rsid w:val="00A823A0"/>
    <w:rsid w:val="00A82EE3"/>
    <w:rsid w:val="00A8417F"/>
    <w:rsid w:val="00A867C5"/>
    <w:rsid w:val="00A870D7"/>
    <w:rsid w:val="00A872F7"/>
    <w:rsid w:val="00A901CC"/>
    <w:rsid w:val="00A91152"/>
    <w:rsid w:val="00A921B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27C"/>
    <w:rsid w:val="00B0149B"/>
    <w:rsid w:val="00B03319"/>
    <w:rsid w:val="00B06A49"/>
    <w:rsid w:val="00B07134"/>
    <w:rsid w:val="00B0742F"/>
    <w:rsid w:val="00B074DF"/>
    <w:rsid w:val="00B10805"/>
    <w:rsid w:val="00B10F67"/>
    <w:rsid w:val="00B11044"/>
    <w:rsid w:val="00B11198"/>
    <w:rsid w:val="00B118C5"/>
    <w:rsid w:val="00B1354A"/>
    <w:rsid w:val="00B148EF"/>
    <w:rsid w:val="00B14C11"/>
    <w:rsid w:val="00B14EC9"/>
    <w:rsid w:val="00B14F4A"/>
    <w:rsid w:val="00B16A3E"/>
    <w:rsid w:val="00B16B53"/>
    <w:rsid w:val="00B17D1E"/>
    <w:rsid w:val="00B17D9E"/>
    <w:rsid w:val="00B21B55"/>
    <w:rsid w:val="00B21DB0"/>
    <w:rsid w:val="00B223F1"/>
    <w:rsid w:val="00B2254F"/>
    <w:rsid w:val="00B23531"/>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7C2B"/>
    <w:rsid w:val="00B426C8"/>
    <w:rsid w:val="00B4518D"/>
    <w:rsid w:val="00B451EF"/>
    <w:rsid w:val="00B473E7"/>
    <w:rsid w:val="00B50EF0"/>
    <w:rsid w:val="00B511B9"/>
    <w:rsid w:val="00B52158"/>
    <w:rsid w:val="00B5225B"/>
    <w:rsid w:val="00B5336B"/>
    <w:rsid w:val="00B55331"/>
    <w:rsid w:val="00B55FDA"/>
    <w:rsid w:val="00B565A2"/>
    <w:rsid w:val="00B56C0C"/>
    <w:rsid w:val="00B56CC7"/>
    <w:rsid w:val="00B5731A"/>
    <w:rsid w:val="00B60A3C"/>
    <w:rsid w:val="00B60A6A"/>
    <w:rsid w:val="00B61242"/>
    <w:rsid w:val="00B614F6"/>
    <w:rsid w:val="00B636EF"/>
    <w:rsid w:val="00B63BCF"/>
    <w:rsid w:val="00B6440E"/>
    <w:rsid w:val="00B67E7A"/>
    <w:rsid w:val="00B703E8"/>
    <w:rsid w:val="00B72F66"/>
    <w:rsid w:val="00B73222"/>
    <w:rsid w:val="00B73632"/>
    <w:rsid w:val="00B740DA"/>
    <w:rsid w:val="00B74A5B"/>
    <w:rsid w:val="00B74EDC"/>
    <w:rsid w:val="00B753B5"/>
    <w:rsid w:val="00B75886"/>
    <w:rsid w:val="00B759AA"/>
    <w:rsid w:val="00B75EB5"/>
    <w:rsid w:val="00B7646A"/>
    <w:rsid w:val="00B77083"/>
    <w:rsid w:val="00B804CD"/>
    <w:rsid w:val="00B8122C"/>
    <w:rsid w:val="00B81E24"/>
    <w:rsid w:val="00B8224F"/>
    <w:rsid w:val="00B829C1"/>
    <w:rsid w:val="00B82F2F"/>
    <w:rsid w:val="00B86C64"/>
    <w:rsid w:val="00B87546"/>
    <w:rsid w:val="00B87757"/>
    <w:rsid w:val="00B878BF"/>
    <w:rsid w:val="00B90C15"/>
    <w:rsid w:val="00B911F8"/>
    <w:rsid w:val="00B91610"/>
    <w:rsid w:val="00B92748"/>
    <w:rsid w:val="00B93F7B"/>
    <w:rsid w:val="00B95D55"/>
    <w:rsid w:val="00B9607D"/>
    <w:rsid w:val="00B96A14"/>
    <w:rsid w:val="00B96EC5"/>
    <w:rsid w:val="00BA15C6"/>
    <w:rsid w:val="00BA2625"/>
    <w:rsid w:val="00BA2B2D"/>
    <w:rsid w:val="00BA4641"/>
    <w:rsid w:val="00BA559F"/>
    <w:rsid w:val="00BA567B"/>
    <w:rsid w:val="00BA5798"/>
    <w:rsid w:val="00BA6FC7"/>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2F9"/>
    <w:rsid w:val="00C31D02"/>
    <w:rsid w:val="00C32075"/>
    <w:rsid w:val="00C359EE"/>
    <w:rsid w:val="00C35BFF"/>
    <w:rsid w:val="00C35EB6"/>
    <w:rsid w:val="00C36121"/>
    <w:rsid w:val="00C36F0D"/>
    <w:rsid w:val="00C37F76"/>
    <w:rsid w:val="00C40CC6"/>
    <w:rsid w:val="00C415A0"/>
    <w:rsid w:val="00C41DAA"/>
    <w:rsid w:val="00C4236B"/>
    <w:rsid w:val="00C433DC"/>
    <w:rsid w:val="00C43D5D"/>
    <w:rsid w:val="00C43FA9"/>
    <w:rsid w:val="00C43FF3"/>
    <w:rsid w:val="00C443D6"/>
    <w:rsid w:val="00C44D5E"/>
    <w:rsid w:val="00C45DCD"/>
    <w:rsid w:val="00C46212"/>
    <w:rsid w:val="00C46A14"/>
    <w:rsid w:val="00C47150"/>
    <w:rsid w:val="00C47327"/>
    <w:rsid w:val="00C50938"/>
    <w:rsid w:val="00C51397"/>
    <w:rsid w:val="00C517B7"/>
    <w:rsid w:val="00C52D0E"/>
    <w:rsid w:val="00C533CF"/>
    <w:rsid w:val="00C53682"/>
    <w:rsid w:val="00C553AE"/>
    <w:rsid w:val="00C573B6"/>
    <w:rsid w:val="00C57837"/>
    <w:rsid w:val="00C606F6"/>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88F"/>
    <w:rsid w:val="00C76F04"/>
    <w:rsid w:val="00C8001A"/>
    <w:rsid w:val="00C803CD"/>
    <w:rsid w:val="00C819E1"/>
    <w:rsid w:val="00C822C1"/>
    <w:rsid w:val="00C8242B"/>
    <w:rsid w:val="00C83163"/>
    <w:rsid w:val="00C842C9"/>
    <w:rsid w:val="00C84786"/>
    <w:rsid w:val="00C84BF3"/>
    <w:rsid w:val="00C8642D"/>
    <w:rsid w:val="00C87AE7"/>
    <w:rsid w:val="00C906B0"/>
    <w:rsid w:val="00C90854"/>
    <w:rsid w:val="00C925A2"/>
    <w:rsid w:val="00C92AD8"/>
    <w:rsid w:val="00C9338B"/>
    <w:rsid w:val="00C94ADF"/>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6D7"/>
    <w:rsid w:val="00CE7EDA"/>
    <w:rsid w:val="00CF0C04"/>
    <w:rsid w:val="00CF1735"/>
    <w:rsid w:val="00CF2454"/>
    <w:rsid w:val="00CF2E0A"/>
    <w:rsid w:val="00CF6272"/>
    <w:rsid w:val="00CF7489"/>
    <w:rsid w:val="00D00338"/>
    <w:rsid w:val="00D015D8"/>
    <w:rsid w:val="00D01E37"/>
    <w:rsid w:val="00D03461"/>
    <w:rsid w:val="00D05099"/>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27283"/>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54F4"/>
    <w:rsid w:val="00D46272"/>
    <w:rsid w:val="00D46775"/>
    <w:rsid w:val="00D5293F"/>
    <w:rsid w:val="00D52E71"/>
    <w:rsid w:val="00D54D70"/>
    <w:rsid w:val="00D555B0"/>
    <w:rsid w:val="00D57595"/>
    <w:rsid w:val="00D6291D"/>
    <w:rsid w:val="00D6384D"/>
    <w:rsid w:val="00D639E6"/>
    <w:rsid w:val="00D65283"/>
    <w:rsid w:val="00D65662"/>
    <w:rsid w:val="00D66E61"/>
    <w:rsid w:val="00D66EC3"/>
    <w:rsid w:val="00D67854"/>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4636"/>
    <w:rsid w:val="00D9463E"/>
    <w:rsid w:val="00D957E8"/>
    <w:rsid w:val="00D95B0C"/>
    <w:rsid w:val="00D962A5"/>
    <w:rsid w:val="00D96B33"/>
    <w:rsid w:val="00DA0254"/>
    <w:rsid w:val="00DA224C"/>
    <w:rsid w:val="00DA26AF"/>
    <w:rsid w:val="00DA2FCC"/>
    <w:rsid w:val="00DA3AFC"/>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223"/>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A6"/>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3F0C"/>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D7C"/>
    <w:rsid w:val="00E81422"/>
    <w:rsid w:val="00E829D3"/>
    <w:rsid w:val="00E83D9D"/>
    <w:rsid w:val="00E87873"/>
    <w:rsid w:val="00E9044C"/>
    <w:rsid w:val="00E909B8"/>
    <w:rsid w:val="00E916F0"/>
    <w:rsid w:val="00E91B86"/>
    <w:rsid w:val="00E926EB"/>
    <w:rsid w:val="00E93E63"/>
    <w:rsid w:val="00E947CD"/>
    <w:rsid w:val="00E948D0"/>
    <w:rsid w:val="00E94AED"/>
    <w:rsid w:val="00E94C6D"/>
    <w:rsid w:val="00E94C6E"/>
    <w:rsid w:val="00E96962"/>
    <w:rsid w:val="00E96D9F"/>
    <w:rsid w:val="00E97E0B"/>
    <w:rsid w:val="00EA046B"/>
    <w:rsid w:val="00EA4817"/>
    <w:rsid w:val="00EA54D5"/>
    <w:rsid w:val="00EA6590"/>
    <w:rsid w:val="00EA7BC3"/>
    <w:rsid w:val="00EB01AC"/>
    <w:rsid w:val="00EB02D6"/>
    <w:rsid w:val="00EB06C5"/>
    <w:rsid w:val="00EB1C72"/>
    <w:rsid w:val="00EB2520"/>
    <w:rsid w:val="00EB2752"/>
    <w:rsid w:val="00EB313E"/>
    <w:rsid w:val="00EB35DA"/>
    <w:rsid w:val="00EB3983"/>
    <w:rsid w:val="00EB683A"/>
    <w:rsid w:val="00EC03F0"/>
    <w:rsid w:val="00EC0C4A"/>
    <w:rsid w:val="00EC11C9"/>
    <w:rsid w:val="00EC176F"/>
    <w:rsid w:val="00EC2279"/>
    <w:rsid w:val="00EC2930"/>
    <w:rsid w:val="00EC38B7"/>
    <w:rsid w:val="00EC3904"/>
    <w:rsid w:val="00EC44C6"/>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13E"/>
    <w:rsid w:val="00EF0E3E"/>
    <w:rsid w:val="00EF1BC6"/>
    <w:rsid w:val="00EF2856"/>
    <w:rsid w:val="00EF2897"/>
    <w:rsid w:val="00EF383F"/>
    <w:rsid w:val="00EF5516"/>
    <w:rsid w:val="00EF5988"/>
    <w:rsid w:val="00EF7982"/>
    <w:rsid w:val="00F014B0"/>
    <w:rsid w:val="00F01745"/>
    <w:rsid w:val="00F0365C"/>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24F"/>
    <w:rsid w:val="00F768B2"/>
    <w:rsid w:val="00F779E6"/>
    <w:rsid w:val="00F8261B"/>
    <w:rsid w:val="00F841D3"/>
    <w:rsid w:val="00F8491C"/>
    <w:rsid w:val="00F853C1"/>
    <w:rsid w:val="00F9048F"/>
    <w:rsid w:val="00F9151B"/>
    <w:rsid w:val="00F9213D"/>
    <w:rsid w:val="00F92D3A"/>
    <w:rsid w:val="00F9468A"/>
    <w:rsid w:val="00F94B2A"/>
    <w:rsid w:val="00F95686"/>
    <w:rsid w:val="00F96285"/>
    <w:rsid w:val="00F96CB3"/>
    <w:rsid w:val="00FA07DA"/>
    <w:rsid w:val="00FA3CC3"/>
    <w:rsid w:val="00FA5C99"/>
    <w:rsid w:val="00FA6A71"/>
    <w:rsid w:val="00FA731B"/>
    <w:rsid w:val="00FA75EC"/>
    <w:rsid w:val="00FB0FED"/>
    <w:rsid w:val="00FB100C"/>
    <w:rsid w:val="00FB19B4"/>
    <w:rsid w:val="00FB1C3A"/>
    <w:rsid w:val="00FB268A"/>
    <w:rsid w:val="00FB3499"/>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4C4"/>
    <w:rsid w:val="00FC773B"/>
    <w:rsid w:val="00FC7DBB"/>
    <w:rsid w:val="00FD00EA"/>
    <w:rsid w:val="00FD38D5"/>
    <w:rsid w:val="00FD4EBC"/>
    <w:rsid w:val="00FD6CF5"/>
    <w:rsid w:val="00FE0B0B"/>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1AE"/>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1035"/>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441155"/>
    <w:pPr>
      <w:spacing w:before="60"/>
      <w:ind w:left="567" w:hanging="567"/>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5A7B69"/>
    <w:pPr>
      <w:tabs>
        <w:tab w:val="left" w:pos="284"/>
      </w:tabs>
      <w:ind w:left="284" w:hanging="284"/>
      <w:jc w:val="both"/>
    </w:pPr>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paragraph" w:customStyle="1" w:styleId="Style1">
    <w:name w:val="Style1"/>
    <w:basedOn w:val="Normal"/>
    <w:rsid w:val="00D454F4"/>
    <w:pPr>
      <w:tabs>
        <w:tab w:val="decimal" w:pos="907"/>
        <w:tab w:val="left" w:pos="1077"/>
      </w:tabs>
    </w:pPr>
    <w:rPr>
      <w:szCs w:val="24"/>
      <w:lang w:eastAsia="ja-JP"/>
    </w:rPr>
  </w:style>
  <w:style w:type="character" w:customStyle="1" w:styleId="FootnoteTextChar">
    <w:name w:val="Footnote Text Char"/>
    <w:basedOn w:val="DefaultParagraphFont"/>
    <w:link w:val="FootnoteText"/>
    <w:rsid w:val="00441155"/>
    <w:rPr>
      <w:rFonts w:ascii="Arial" w:hAnsi="Arial"/>
      <w:sz w:val="16"/>
    </w:rPr>
  </w:style>
  <w:style w:type="character" w:customStyle="1" w:styleId="EndnoteTextChar">
    <w:name w:val="Endnote Text Char"/>
    <w:basedOn w:val="DefaultParagraphFont"/>
    <w:link w:val="EndnoteText"/>
    <w:rsid w:val="005A7B69"/>
    <w:rPr>
      <w:rFonts w:ascii="Arial" w:hAnsi="Arial"/>
      <w:sz w:val="16"/>
    </w:rPr>
  </w:style>
  <w:style w:type="paragraph" w:styleId="ListParagraph">
    <w:name w:val="List Paragraph"/>
    <w:basedOn w:val="Normal"/>
    <w:uiPriority w:val="34"/>
    <w:qFormat/>
    <w:rsid w:val="00344632"/>
    <w:pPr>
      <w:ind w:left="720"/>
      <w:contextualSpacing/>
    </w:pPr>
  </w:style>
  <w:style w:type="character" w:customStyle="1" w:styleId="BodyTextChar">
    <w:name w:val="Body Text Char"/>
    <w:basedOn w:val="DefaultParagraphFont"/>
    <w:link w:val="BodyText"/>
    <w:rsid w:val="00971035"/>
    <w:rPr>
      <w:rFonts w:ascii="Arial" w:hAnsi="Arial"/>
    </w:rPr>
  </w:style>
  <w:style w:type="character" w:customStyle="1" w:styleId="BodyTextIndentChar">
    <w:name w:val="Body Text Indent Char"/>
    <w:basedOn w:val="DefaultParagraphFont"/>
    <w:link w:val="BodyTextIndent"/>
    <w:rsid w:val="00971035"/>
    <w:rPr>
      <w:rFonts w:ascii="Arial" w:hAnsi="Arial"/>
      <w:lang w:val="es-ES_tradnl"/>
    </w:rPr>
  </w:style>
  <w:style w:type="character" w:customStyle="1" w:styleId="CommentTextChar">
    <w:name w:val="Comment Text Char"/>
    <w:basedOn w:val="DefaultParagraphFont"/>
    <w:link w:val="CommentText"/>
    <w:semiHidden/>
    <w:rsid w:val="00971035"/>
    <w:rPr>
      <w:rFonts w:ascii="Arial" w:hAnsi="Arial"/>
      <w:sz w:val="22"/>
      <w:lang w:val="es-ES_tradnl"/>
    </w:rPr>
  </w:style>
  <w:style w:type="paragraph" w:customStyle="1" w:styleId="Default">
    <w:name w:val="Default"/>
    <w:rsid w:val="0082764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8"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71035"/>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441155"/>
    <w:pPr>
      <w:spacing w:before="60"/>
      <w:ind w:left="567" w:hanging="567"/>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link w:val="EndnoteTextChar"/>
    <w:rsid w:val="005A7B69"/>
    <w:pPr>
      <w:tabs>
        <w:tab w:val="left" w:pos="284"/>
      </w:tabs>
      <w:ind w:left="284" w:hanging="284"/>
      <w:jc w:val="both"/>
    </w:pPr>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paragraph" w:customStyle="1" w:styleId="Style1">
    <w:name w:val="Style1"/>
    <w:basedOn w:val="Normal"/>
    <w:rsid w:val="00D454F4"/>
    <w:pPr>
      <w:tabs>
        <w:tab w:val="decimal" w:pos="907"/>
        <w:tab w:val="left" w:pos="1077"/>
      </w:tabs>
    </w:pPr>
    <w:rPr>
      <w:szCs w:val="24"/>
      <w:lang w:eastAsia="ja-JP"/>
    </w:rPr>
  </w:style>
  <w:style w:type="character" w:customStyle="1" w:styleId="FootnoteTextChar">
    <w:name w:val="Footnote Text Char"/>
    <w:basedOn w:val="DefaultParagraphFont"/>
    <w:link w:val="FootnoteText"/>
    <w:rsid w:val="00441155"/>
    <w:rPr>
      <w:rFonts w:ascii="Arial" w:hAnsi="Arial"/>
      <w:sz w:val="16"/>
    </w:rPr>
  </w:style>
  <w:style w:type="character" w:customStyle="1" w:styleId="EndnoteTextChar">
    <w:name w:val="Endnote Text Char"/>
    <w:basedOn w:val="DefaultParagraphFont"/>
    <w:link w:val="EndnoteText"/>
    <w:rsid w:val="005A7B69"/>
    <w:rPr>
      <w:rFonts w:ascii="Arial" w:hAnsi="Arial"/>
      <w:sz w:val="16"/>
    </w:rPr>
  </w:style>
  <w:style w:type="paragraph" w:styleId="ListParagraph">
    <w:name w:val="List Paragraph"/>
    <w:basedOn w:val="Normal"/>
    <w:uiPriority w:val="34"/>
    <w:qFormat/>
    <w:rsid w:val="00344632"/>
    <w:pPr>
      <w:ind w:left="720"/>
      <w:contextualSpacing/>
    </w:pPr>
  </w:style>
  <w:style w:type="character" w:customStyle="1" w:styleId="BodyTextChar">
    <w:name w:val="Body Text Char"/>
    <w:basedOn w:val="DefaultParagraphFont"/>
    <w:link w:val="BodyText"/>
    <w:rsid w:val="00971035"/>
    <w:rPr>
      <w:rFonts w:ascii="Arial" w:hAnsi="Arial"/>
    </w:rPr>
  </w:style>
  <w:style w:type="character" w:customStyle="1" w:styleId="BodyTextIndentChar">
    <w:name w:val="Body Text Indent Char"/>
    <w:basedOn w:val="DefaultParagraphFont"/>
    <w:link w:val="BodyTextIndent"/>
    <w:rsid w:val="00971035"/>
    <w:rPr>
      <w:rFonts w:ascii="Arial" w:hAnsi="Arial"/>
      <w:lang w:val="es-ES_tradnl"/>
    </w:rPr>
  </w:style>
  <w:style w:type="character" w:customStyle="1" w:styleId="CommentTextChar">
    <w:name w:val="Comment Text Char"/>
    <w:basedOn w:val="DefaultParagraphFont"/>
    <w:link w:val="CommentText"/>
    <w:semiHidden/>
    <w:rsid w:val="00971035"/>
    <w:rPr>
      <w:rFonts w:ascii="Arial" w:hAnsi="Arial"/>
      <w:sz w:val="22"/>
      <w:lang w:val="es-ES_tradnl"/>
    </w:rPr>
  </w:style>
  <w:style w:type="paragraph" w:customStyle="1" w:styleId="Default">
    <w:name w:val="Default"/>
    <w:rsid w:val="0082764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upov.int/pluto/en/"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upov.int/edocs/mdocs/upov/en/caj_ag_13_8/caj_ag_13_8_www_285383.pdf" TargetMode="External"/><Relationship Id="rId13" Type="http://schemas.openxmlformats.org/officeDocument/2006/relationships/hyperlink" Target="http://www.upov.int/edocs/mdocs/upov/en/caj_ag_13_8/caj_ag_13_8_www_285383.pdf" TargetMode="External"/><Relationship Id="rId18" Type="http://schemas.openxmlformats.org/officeDocument/2006/relationships/hyperlink" Target="http://www.upov.int/edocs/mdocs/upov/en/caj_ag_13_8/caj_ag_13_8_www_285387.pdf" TargetMode="External"/><Relationship Id="rId3" Type="http://schemas.openxmlformats.org/officeDocument/2006/relationships/hyperlink" Target="http://www.upov.int/edocs/mdocs/upov/en/caj_ag_13_8/caj_ag_13_8_www_285383.pdf" TargetMode="External"/><Relationship Id="rId7" Type="http://schemas.openxmlformats.org/officeDocument/2006/relationships/hyperlink" Target="http://www.upov.int/edocs/mdocs/upov/en/caj_ag_13_8/caj_ag_13_8_www_285383.pdf" TargetMode="External"/><Relationship Id="rId12" Type="http://schemas.openxmlformats.org/officeDocument/2006/relationships/hyperlink" Target="http://www.upov.int/edocs/mdocs/upov/en/caj_ag_13_8/caj_ag_13_8_www_285391.pdf" TargetMode="External"/><Relationship Id="rId17" Type="http://schemas.openxmlformats.org/officeDocument/2006/relationships/hyperlink" Target="http://www.upov.int/edocs/mdocs/upov/en/caj_ag_13_8/caj_ag_13_8_www_285391.pdf" TargetMode="External"/><Relationship Id="rId2" Type="http://schemas.openxmlformats.org/officeDocument/2006/relationships/hyperlink" Target="http://www.upov.int/edocs/mdocs/upov/en/caj_69/caj_69_9.pdf" TargetMode="External"/><Relationship Id="rId16" Type="http://schemas.openxmlformats.org/officeDocument/2006/relationships/hyperlink" Target="http://www.upov.int/edocs/mdocs/upov/en/caj_ag_13_8/caj_ag_13_8_www_285391.pdf" TargetMode="External"/><Relationship Id="rId1" Type="http://schemas.openxmlformats.org/officeDocument/2006/relationships/hyperlink" Target="http://www.upov.int/edocs/mdocs/upov/en/caj_69/caj_69_9.pdf" TargetMode="External"/><Relationship Id="rId6" Type="http://schemas.openxmlformats.org/officeDocument/2006/relationships/hyperlink" Target="http://www.upov.int/edocs/mdocs/upov/en/caj_ag_13_8/caj_ag_13_8_www_285381.pdf" TargetMode="External"/><Relationship Id="rId11" Type="http://schemas.openxmlformats.org/officeDocument/2006/relationships/hyperlink" Target="http://www.upov.int/edocs/mdocs/upov/en/caj_ag_13_8/caj_ag_13_8_www_285391.pdf" TargetMode="External"/><Relationship Id="rId5" Type="http://schemas.openxmlformats.org/officeDocument/2006/relationships/hyperlink" Target="http://www.upov.int/edocs/mdocs/upov/en/caj_ag_13_8/caj_ag_13_8_www_285383.pdf" TargetMode="External"/><Relationship Id="rId15" Type="http://schemas.openxmlformats.org/officeDocument/2006/relationships/hyperlink" Target="http://www.upov.int/edocs/mdocs/upov/en/caj_ag_13_8/caj_ag_13_8_www_285391.pdf" TargetMode="External"/><Relationship Id="rId10" Type="http://schemas.openxmlformats.org/officeDocument/2006/relationships/hyperlink" Target="http://www.upov.int/edocs/mdocs/upov/en/caj_ag_13_8/caj_ag_13_8_www_285391.pdf" TargetMode="External"/><Relationship Id="rId4" Type="http://schemas.openxmlformats.org/officeDocument/2006/relationships/hyperlink" Target="http://www.upov.int/edocs/mdocs/upov/en/caj_ag_13_8/caj_ag_13_8_www_285391.pdf" TargetMode="External"/><Relationship Id="rId9" Type="http://schemas.openxmlformats.org/officeDocument/2006/relationships/hyperlink" Target="http://www.upov.int/edocs/mdocs/upov/en/caj_ag_13_8/caj_ag_13_8_www_285383.pdf" TargetMode="External"/><Relationship Id="rId14" Type="http://schemas.openxmlformats.org/officeDocument/2006/relationships/hyperlink" Target="http://www.upov.int/edocs/mdocs/upov/en/caj_ag_13_8/caj_ag_13_8_www_28539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C3F8F-3580-48B0-A832-B64242C0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template_INF_EN.dotx</Template>
  <TotalTime>54</TotalTime>
  <Pages>21</Pages>
  <Words>6953</Words>
  <Characters>38223</Characters>
  <Application>Microsoft Office Word</Application>
  <DocSecurity>0</DocSecurity>
  <Lines>888</Lines>
  <Paragraphs>309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13</cp:revision>
  <cp:lastPrinted>2014-09-10T15:21:00Z</cp:lastPrinted>
  <dcterms:created xsi:type="dcterms:W3CDTF">2014-09-10T07:28:00Z</dcterms:created>
  <dcterms:modified xsi:type="dcterms:W3CDTF">2014-09-10T15:21:00Z</dcterms:modified>
</cp:coreProperties>
</file>