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FD21DE" w:rsidTr="00FB0D37">
        <w:trPr>
          <w:trHeight w:val="1760"/>
        </w:trPr>
        <w:tc>
          <w:tcPr>
            <w:tcW w:w="4243" w:type="dxa"/>
          </w:tcPr>
          <w:p w:rsidR="000D7780" w:rsidRPr="00FD21DE" w:rsidRDefault="000D7780" w:rsidP="007D0B9D"/>
        </w:tc>
        <w:tc>
          <w:tcPr>
            <w:tcW w:w="1646" w:type="dxa"/>
            <w:vAlign w:val="center"/>
          </w:tcPr>
          <w:p w:rsidR="000D7780" w:rsidRPr="00BE1F8B" w:rsidRDefault="00973AF6" w:rsidP="00576BE4">
            <w:pPr>
              <w:pStyle w:val="LogoUPOV"/>
            </w:pPr>
            <w:r w:rsidRPr="00BE1F8B">
              <w:rPr>
                <w:noProof/>
              </w:rPr>
              <w:drawing>
                <wp:inline distT="0" distB="0" distL="0" distR="0" wp14:anchorId="43D55301" wp14:editId="69DE209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BE1F8B" w:rsidRDefault="0024416D" w:rsidP="00576BE4">
            <w:pPr>
              <w:pStyle w:val="Lettrine"/>
            </w:pPr>
            <w:r w:rsidRPr="00BE1F8B">
              <w:t>E</w:t>
            </w:r>
          </w:p>
          <w:p w:rsidR="000D7780" w:rsidRPr="00BE1F8B" w:rsidRDefault="00EB3EFA" w:rsidP="00474DA4">
            <w:pPr>
              <w:pStyle w:val="Docoriginal"/>
              <w:jc w:val="left"/>
            </w:pPr>
            <w:r w:rsidRPr="00BE1F8B">
              <w:t>CAJ</w:t>
            </w:r>
            <w:r w:rsidR="009A40AE" w:rsidRPr="00BE1F8B">
              <w:t>-AG</w:t>
            </w:r>
            <w:r w:rsidRPr="00BE1F8B">
              <w:t>/</w:t>
            </w:r>
            <w:r w:rsidR="009A40AE" w:rsidRPr="00BE1F8B">
              <w:t>1</w:t>
            </w:r>
            <w:r w:rsidR="00BA1D46" w:rsidRPr="00BE1F8B">
              <w:t>4</w:t>
            </w:r>
            <w:r w:rsidRPr="00BE1F8B">
              <w:t>/</w:t>
            </w:r>
            <w:bookmarkStart w:id="0" w:name="Code"/>
            <w:bookmarkEnd w:id="0"/>
            <w:r w:rsidR="00BA1D46" w:rsidRPr="00BE1F8B">
              <w:t>9</w:t>
            </w:r>
            <w:r w:rsidR="009A40AE" w:rsidRPr="00BE1F8B">
              <w:t>/</w:t>
            </w:r>
            <w:r w:rsidR="00125C9F" w:rsidRPr="00BE1F8B">
              <w:t>6</w:t>
            </w:r>
          </w:p>
          <w:p w:rsidR="000D7780" w:rsidRPr="00BE1F8B" w:rsidRDefault="0061555F" w:rsidP="00474DA4">
            <w:pPr>
              <w:pStyle w:val="Docoriginal"/>
              <w:jc w:val="left"/>
            </w:pPr>
            <w:r w:rsidRPr="00BE1F8B">
              <w:rPr>
                <w:rStyle w:val="StyleDoclangBold"/>
                <w:b/>
                <w:bCs/>
                <w:spacing w:val="0"/>
              </w:rPr>
              <w:t>ORIGINAL</w:t>
            </w:r>
            <w:r w:rsidR="000D7780" w:rsidRPr="00BE1F8B">
              <w:rPr>
                <w:rStyle w:val="StyleDoclangBold"/>
                <w:b/>
                <w:bCs/>
                <w:spacing w:val="0"/>
              </w:rPr>
              <w:t>:</w:t>
            </w:r>
            <w:r w:rsidRPr="00BE1F8B">
              <w:rPr>
                <w:rStyle w:val="StyleDocoriginalNotBold1"/>
                <w:spacing w:val="0"/>
              </w:rPr>
              <w:t xml:space="preserve"> </w:t>
            </w:r>
            <w:r w:rsidR="000D7780" w:rsidRPr="00BE1F8B">
              <w:rPr>
                <w:rStyle w:val="StyleDocoriginalNotBold1"/>
                <w:spacing w:val="0"/>
              </w:rPr>
              <w:t xml:space="preserve"> </w:t>
            </w:r>
            <w:bookmarkStart w:id="1" w:name="Original"/>
            <w:bookmarkEnd w:id="1"/>
            <w:r w:rsidR="0024416D" w:rsidRPr="00BE1F8B">
              <w:rPr>
                <w:b w:val="0"/>
                <w:spacing w:val="0"/>
              </w:rPr>
              <w:t>English</w:t>
            </w:r>
          </w:p>
          <w:p w:rsidR="000D7780" w:rsidRPr="00BE1F8B" w:rsidRDefault="000D7780" w:rsidP="0018265F">
            <w:pPr>
              <w:pStyle w:val="Docoriginal"/>
              <w:jc w:val="left"/>
              <w:rPr>
                <w:b w:val="0"/>
                <w:spacing w:val="0"/>
              </w:rPr>
            </w:pPr>
            <w:r w:rsidRPr="00BE1F8B">
              <w:rPr>
                <w:spacing w:val="0"/>
              </w:rPr>
              <w:t>DATE:</w:t>
            </w:r>
            <w:r w:rsidR="0061555F" w:rsidRPr="00BE1F8B">
              <w:rPr>
                <w:b w:val="0"/>
                <w:spacing w:val="0"/>
              </w:rPr>
              <w:t xml:space="preserve"> </w:t>
            </w:r>
            <w:r w:rsidRPr="00BE1F8B">
              <w:rPr>
                <w:rStyle w:val="StyleDocoriginalNotBold1"/>
                <w:spacing w:val="0"/>
              </w:rPr>
              <w:t xml:space="preserve"> </w:t>
            </w:r>
            <w:bookmarkStart w:id="2" w:name="Date"/>
            <w:bookmarkEnd w:id="2"/>
            <w:r w:rsidR="0018265F" w:rsidRPr="00BE1F8B">
              <w:rPr>
                <w:b w:val="0"/>
                <w:spacing w:val="0"/>
              </w:rPr>
              <w:t>October 17</w:t>
            </w:r>
            <w:r w:rsidR="0024416D" w:rsidRPr="00BE1F8B">
              <w:rPr>
                <w:b w:val="0"/>
                <w:spacing w:val="0"/>
              </w:rPr>
              <w:t xml:space="preserve">, </w:t>
            </w:r>
            <w:r w:rsidR="001131D5" w:rsidRPr="00BE1F8B">
              <w:rPr>
                <w:b w:val="0"/>
                <w:spacing w:val="0"/>
              </w:rPr>
              <w:t>201</w:t>
            </w:r>
            <w:r w:rsidR="00BA1D46" w:rsidRPr="00BE1F8B">
              <w:rPr>
                <w:b w:val="0"/>
                <w:spacing w:val="0"/>
              </w:rPr>
              <w:t>4</w:t>
            </w:r>
          </w:p>
        </w:tc>
      </w:tr>
      <w:tr w:rsidR="000D7780" w:rsidRPr="00FD21DE" w:rsidTr="00FB0D37">
        <w:tc>
          <w:tcPr>
            <w:tcW w:w="10131" w:type="dxa"/>
            <w:gridSpan w:val="3"/>
          </w:tcPr>
          <w:p w:rsidR="000D7780" w:rsidRPr="00FD21DE" w:rsidRDefault="0024416D" w:rsidP="0080679D">
            <w:pPr>
              <w:pStyle w:val="upove"/>
              <w:rPr>
                <w:sz w:val="28"/>
              </w:rPr>
            </w:pPr>
            <w:r w:rsidRPr="00FD21DE">
              <w:rPr>
                <w:snapToGrid w:val="0"/>
              </w:rPr>
              <w:t xml:space="preserve">INTERNATIONAL UNION FOR THE PROTECTION OF NEW VARIETIES OF PLANTS </w:t>
            </w:r>
          </w:p>
        </w:tc>
      </w:tr>
      <w:tr w:rsidR="000D7780" w:rsidRPr="00FD21DE" w:rsidTr="00FB0D37">
        <w:tc>
          <w:tcPr>
            <w:tcW w:w="10131" w:type="dxa"/>
            <w:gridSpan w:val="3"/>
          </w:tcPr>
          <w:p w:rsidR="000D7780" w:rsidRPr="00FD21DE" w:rsidRDefault="00867AC1" w:rsidP="0080679D">
            <w:pPr>
              <w:pStyle w:val="Country"/>
            </w:pPr>
            <w:r w:rsidRPr="00FD21DE">
              <w:t>Gen</w:t>
            </w:r>
            <w:r w:rsidR="0061555F" w:rsidRPr="00FD21DE">
              <w:t>e</w:t>
            </w:r>
            <w:r w:rsidRPr="00FD21DE">
              <w:t>v</w:t>
            </w:r>
            <w:r w:rsidR="0061555F" w:rsidRPr="00FD21DE">
              <w:t>a</w:t>
            </w:r>
          </w:p>
        </w:tc>
      </w:tr>
    </w:tbl>
    <w:p w:rsidR="000D7780" w:rsidRPr="00FD21DE" w:rsidRDefault="009A40AE" w:rsidP="0080679D">
      <w:pPr>
        <w:pStyle w:val="Sessiontc"/>
      </w:pPr>
      <w:r w:rsidRPr="00FD21DE">
        <w:t>Administrative and Legal Committee Advisory Group</w:t>
      </w:r>
    </w:p>
    <w:p w:rsidR="00361821" w:rsidRPr="00FD21DE" w:rsidRDefault="00BA1D46" w:rsidP="0080679D">
      <w:pPr>
        <w:pStyle w:val="Sessiontcplacedate"/>
      </w:pPr>
      <w:r>
        <w:t>Ninth</w:t>
      </w:r>
      <w:r w:rsidR="00FB0D37" w:rsidRPr="00FD21DE">
        <w:t xml:space="preserve"> Session</w:t>
      </w:r>
      <w:r w:rsidR="00361821" w:rsidRPr="00FD21DE">
        <w:br/>
      </w:r>
      <w:r w:rsidR="00FB0D37" w:rsidRPr="00FD21DE">
        <w:t xml:space="preserve">Geneva, </w:t>
      </w:r>
      <w:r w:rsidR="009A40AE" w:rsidRPr="00FD21DE">
        <w:t xml:space="preserve">October </w:t>
      </w:r>
      <w:r>
        <w:t>14 and 17</w:t>
      </w:r>
      <w:r w:rsidR="00BD4C24" w:rsidRPr="00FD21DE">
        <w:t>, 201</w:t>
      </w:r>
      <w:r w:rsidR="00BE36D8">
        <w:t>4</w:t>
      </w:r>
    </w:p>
    <w:p w:rsidR="000D7780" w:rsidRPr="00FD21DE" w:rsidRDefault="00125C9F" w:rsidP="0080679D">
      <w:pPr>
        <w:pStyle w:val="Titleofdoc0"/>
      </w:pPr>
      <w:bookmarkStart w:id="3" w:name="TitleOfDoc"/>
      <w:bookmarkEnd w:id="3"/>
      <w:r w:rsidRPr="00125C9F">
        <w:t>Report on the conclusions</w:t>
      </w:r>
    </w:p>
    <w:p w:rsidR="000D7780" w:rsidRPr="00FD21DE" w:rsidRDefault="00F04CF6" w:rsidP="0080679D">
      <w:pPr>
        <w:pStyle w:val="preparedby1"/>
      </w:pPr>
      <w:bookmarkStart w:id="4" w:name="Prepared"/>
      <w:bookmarkEnd w:id="4"/>
      <w:proofErr w:type="gramStart"/>
      <w:r>
        <w:t>adopted</w:t>
      </w:r>
      <w:proofErr w:type="gramEnd"/>
      <w:r>
        <w:t xml:space="preserve"> by the </w:t>
      </w:r>
      <w:r>
        <w:rPr>
          <w:color w:val="000000"/>
        </w:rPr>
        <w:t>Administrative and Legal Committee</w:t>
      </w:r>
      <w:r>
        <w:rPr>
          <w:color w:val="000000"/>
        </w:rPr>
        <w:t xml:space="preserve"> Advisory Group</w:t>
      </w:r>
      <w:r w:rsidRPr="004B56C9">
        <w:br/>
      </w:r>
      <w:r w:rsidR="001A7E38" w:rsidRPr="00FD21DE">
        <w:br/>
      </w:r>
      <w:r w:rsidR="001A7E38" w:rsidRPr="00FD21DE">
        <w:rPr>
          <w:color w:val="A6A6A6" w:themeColor="background1" w:themeShade="A6"/>
        </w:rPr>
        <w:t>Disclaimer:  this document does not repr</w:t>
      </w:r>
      <w:r w:rsidR="00A60312" w:rsidRPr="00FD21DE">
        <w:rPr>
          <w:color w:val="A6A6A6" w:themeColor="background1" w:themeShade="A6"/>
        </w:rPr>
        <w:t>esent UPOV policies or guidance</w:t>
      </w:r>
    </w:p>
    <w:p w:rsidR="0018265F" w:rsidRPr="00482F75" w:rsidRDefault="0018265F" w:rsidP="0018265F">
      <w:pPr>
        <w:keepNext/>
        <w:rPr>
          <w:u w:val="single"/>
        </w:rPr>
      </w:pPr>
      <w:r w:rsidRPr="00482F75">
        <w:rPr>
          <w:u w:val="single"/>
        </w:rPr>
        <w:t>Opening of the session</w:t>
      </w:r>
    </w:p>
    <w:p w:rsidR="0018265F" w:rsidRPr="00482F75" w:rsidRDefault="0018265F" w:rsidP="0018265F">
      <w:pPr>
        <w:keepNext/>
      </w:pPr>
    </w:p>
    <w:p w:rsidR="0018265F" w:rsidRPr="00482F75" w:rsidRDefault="0018265F" w:rsidP="0018265F">
      <w:r w:rsidRPr="00482F75">
        <w:rPr>
          <w:szCs w:val="24"/>
        </w:rPr>
        <w:fldChar w:fldCharType="begin"/>
      </w:r>
      <w:r w:rsidRPr="00482F75">
        <w:rPr>
          <w:szCs w:val="24"/>
        </w:rPr>
        <w:instrText xml:space="preserve"> AUTONUM  </w:instrText>
      </w:r>
      <w:r w:rsidRPr="00482F75">
        <w:rPr>
          <w:szCs w:val="24"/>
        </w:rPr>
        <w:fldChar w:fldCharType="end"/>
      </w:r>
      <w:r w:rsidRPr="00482F75">
        <w:tab/>
        <w:t xml:space="preserve">The Administrative and Legal Committee Advisory Group (CAJ-AG) held its </w:t>
      </w:r>
      <w:r>
        <w:t>nin</w:t>
      </w:r>
      <w:r w:rsidRPr="00482F75">
        <w:t>th session in Geneva on October </w:t>
      </w:r>
      <w:r>
        <w:t>14</w:t>
      </w:r>
      <w:r w:rsidRPr="00482F75">
        <w:t xml:space="preserve"> and </w:t>
      </w:r>
      <w:r>
        <w:t>17</w:t>
      </w:r>
      <w:r w:rsidRPr="00482F75">
        <w:t>, 201</w:t>
      </w:r>
      <w:r>
        <w:t>4</w:t>
      </w:r>
      <w:r w:rsidRPr="00482F75">
        <w:t>, under the Chairmanship of the Vice Secretary</w:t>
      </w:r>
      <w:r w:rsidRPr="00482F75">
        <w:noBreakHyphen/>
        <w:t>General of UPOV.</w:t>
      </w:r>
    </w:p>
    <w:p w:rsidR="0018265F" w:rsidRPr="00482F75" w:rsidRDefault="0018265F" w:rsidP="0018265F"/>
    <w:p w:rsidR="0018265F" w:rsidRPr="00482F75" w:rsidRDefault="0018265F" w:rsidP="0018265F">
      <w:r w:rsidRPr="00482F75">
        <w:fldChar w:fldCharType="begin"/>
      </w:r>
      <w:r w:rsidRPr="00482F75">
        <w:instrText xml:space="preserve"> AUTONUM  </w:instrText>
      </w:r>
      <w:r w:rsidRPr="00482F75">
        <w:fldChar w:fldCharType="end"/>
      </w:r>
      <w:r w:rsidRPr="00482F75">
        <w:tab/>
        <w:t xml:space="preserve">The list of participants is reproduced in the Annex to this document.  </w:t>
      </w:r>
    </w:p>
    <w:p w:rsidR="0018265F" w:rsidRDefault="0018265F" w:rsidP="0018265F"/>
    <w:p w:rsidR="00AA0250" w:rsidRDefault="00AA0250" w:rsidP="00AA0250">
      <w:pPr>
        <w:keepNext/>
      </w:pPr>
      <w:r>
        <w:fldChar w:fldCharType="begin"/>
      </w:r>
      <w:r>
        <w:instrText xml:space="preserve"> AUTONUM  </w:instrText>
      </w:r>
      <w:r>
        <w:fldChar w:fldCharType="end"/>
      </w:r>
      <w:r>
        <w:tab/>
        <w:t>The CAJ-AG noted that</w:t>
      </w:r>
      <w:r w:rsidR="008030AC" w:rsidRPr="008030AC">
        <w:t xml:space="preserve"> </w:t>
      </w:r>
      <w:r w:rsidR="008030AC">
        <w:t xml:space="preserve">the </w:t>
      </w:r>
      <w:r w:rsidR="008030AC">
        <w:rPr>
          <w:color w:val="000000"/>
        </w:rPr>
        <w:t>Administrative and Legal Committee (CAJ)</w:t>
      </w:r>
      <w:r>
        <w:t xml:space="preserve">, at </w:t>
      </w:r>
      <w:r w:rsidR="008030AC">
        <w:t>i</w:t>
      </w:r>
      <w:r w:rsidR="009E3396">
        <w:t xml:space="preserve">ts </w:t>
      </w:r>
      <w:r>
        <w:t xml:space="preserve">seventieth session, held in Geneva on October 13, 2014, </w:t>
      </w:r>
      <w:r w:rsidR="009E3396">
        <w:t>agreed as follows:</w:t>
      </w:r>
    </w:p>
    <w:p w:rsidR="00AA0250" w:rsidRDefault="00AA0250" w:rsidP="00AA0250">
      <w:pPr>
        <w:keepNext/>
      </w:pPr>
      <w:bookmarkStart w:id="5" w:name="_GoBack"/>
      <w:bookmarkEnd w:id="5"/>
    </w:p>
    <w:p w:rsidR="00AA0250" w:rsidRPr="00F808C3" w:rsidRDefault="00F258D2" w:rsidP="00AA0250">
      <w:pPr>
        <w:tabs>
          <w:tab w:val="left" w:pos="567"/>
        </w:tabs>
        <w:ind w:left="567" w:right="567"/>
        <w:rPr>
          <w:sz w:val="18"/>
        </w:rPr>
      </w:pPr>
      <w:r>
        <w:rPr>
          <w:sz w:val="18"/>
        </w:rPr>
        <w:t>“</w:t>
      </w:r>
      <w:r w:rsidR="00AA0250" w:rsidRPr="00F808C3">
        <w:rPr>
          <w:sz w:val="18"/>
        </w:rPr>
        <w:t>38.</w:t>
      </w:r>
      <w:r w:rsidR="00AA0250" w:rsidRPr="00F808C3">
        <w:rPr>
          <w:sz w:val="18"/>
        </w:rPr>
        <w:tab/>
        <w:t xml:space="preserve">The CAJ agreed that all matters under consideration by the CAJ-AG at its ninth session should, following the ninth session of the CAJ-AG, be considered by the CAJ and that the CAJ-AG should only be convened, on an </w:t>
      </w:r>
      <w:r w:rsidR="00AA0250" w:rsidRPr="00F808C3">
        <w:rPr>
          <w:i/>
          <w:sz w:val="18"/>
        </w:rPr>
        <w:t>ad hoc</w:t>
      </w:r>
      <w:r w:rsidR="00AA0250" w:rsidRPr="00F808C3">
        <w:rPr>
          <w:sz w:val="18"/>
        </w:rPr>
        <w:t xml:space="preserve"> basis, as considered appropriate by the CAJ.  </w:t>
      </w:r>
    </w:p>
    <w:p w:rsidR="00AA0250" w:rsidRPr="00F808C3" w:rsidRDefault="00AA0250" w:rsidP="00AA0250">
      <w:pPr>
        <w:tabs>
          <w:tab w:val="left" w:pos="567"/>
        </w:tabs>
        <w:ind w:left="567" w:right="567"/>
        <w:rPr>
          <w:sz w:val="18"/>
        </w:rPr>
      </w:pPr>
    </w:p>
    <w:p w:rsidR="00AA0250" w:rsidRPr="00F808C3" w:rsidRDefault="00F258D2" w:rsidP="00AA0250">
      <w:pPr>
        <w:tabs>
          <w:tab w:val="left" w:pos="567"/>
        </w:tabs>
        <w:ind w:left="567" w:right="567"/>
        <w:rPr>
          <w:sz w:val="18"/>
        </w:rPr>
      </w:pPr>
      <w:r>
        <w:rPr>
          <w:sz w:val="18"/>
        </w:rPr>
        <w:t>“</w:t>
      </w:r>
      <w:r w:rsidR="00AA0250" w:rsidRPr="00F808C3">
        <w:rPr>
          <w:sz w:val="18"/>
        </w:rPr>
        <w:t>39.</w:t>
      </w:r>
      <w:r w:rsidR="00AA0250" w:rsidRPr="00F808C3">
        <w:rPr>
          <w:sz w:val="18"/>
        </w:rPr>
        <w:tab/>
        <w:t>On that basis, the CAJ requested the CAJ-AG, at its ninth session, to advise the CAJ those documents to be considered at the seventy-first session of the CAJ, in March 2015.</w:t>
      </w:r>
      <w:r>
        <w:rPr>
          <w:sz w:val="18"/>
        </w:rPr>
        <w:t>”</w:t>
      </w:r>
    </w:p>
    <w:p w:rsidR="00AA0250" w:rsidRDefault="00AA0250" w:rsidP="00AA0250">
      <w:pPr>
        <w:tabs>
          <w:tab w:val="left" w:pos="567"/>
        </w:tabs>
        <w:ind w:left="567"/>
      </w:pPr>
    </w:p>
    <w:p w:rsidR="00AA0250" w:rsidRDefault="00F258D2" w:rsidP="00AA0250">
      <w:pPr>
        <w:tabs>
          <w:tab w:val="left" w:pos="567"/>
        </w:tabs>
      </w:pPr>
      <w:r>
        <w:t>(</w:t>
      </w:r>
      <w:r w:rsidR="00AA0250">
        <w:t>see document CAJ/70/10 “Report on the Conclusions”, paragraphs 38 and</w:t>
      </w:r>
      <w:r>
        <w:t xml:space="preserve"> 39)</w:t>
      </w:r>
    </w:p>
    <w:p w:rsidR="00AA0250" w:rsidRPr="00482F75" w:rsidRDefault="00AA0250" w:rsidP="0018265F"/>
    <w:p w:rsidR="0018265F" w:rsidRPr="00482F75" w:rsidRDefault="0018265F" w:rsidP="0018265F">
      <w:pPr>
        <w:rPr>
          <w:rFonts w:cs="Arial"/>
        </w:rPr>
      </w:pPr>
      <w:r w:rsidRPr="00482F75">
        <w:fldChar w:fldCharType="begin"/>
      </w:r>
      <w:r w:rsidRPr="00482F75">
        <w:instrText xml:space="preserve"> AUTONUM  </w:instrText>
      </w:r>
      <w:r w:rsidRPr="00482F75">
        <w:fldChar w:fldCharType="end"/>
      </w:r>
      <w:r w:rsidRPr="00482F75">
        <w:tab/>
        <w:t>T</w:t>
      </w:r>
      <w:r w:rsidRPr="00482F75">
        <w:rPr>
          <w:rFonts w:cs="Arial"/>
        </w:rPr>
        <w:t xml:space="preserve">he Chair recalled that the CAJ-AG had agreed, by correspondence, to issue </w:t>
      </w:r>
      <w:r w:rsidRPr="00482F75">
        <w:rPr>
          <w:rFonts w:cs="Arial"/>
          <w:i/>
          <w:iCs/>
        </w:rPr>
        <w:t>ad hoc</w:t>
      </w:r>
      <w:r w:rsidRPr="00482F75">
        <w:rPr>
          <w:rFonts w:cs="Arial"/>
        </w:rPr>
        <w:t xml:space="preserve"> invitations to the organizations that the CAJ</w:t>
      </w:r>
      <w:r w:rsidRPr="00482F75">
        <w:rPr>
          <w:rFonts w:cs="Arial"/>
        </w:rPr>
        <w:noBreakHyphen/>
        <w:t>AG had previously agreed to invite in order to enable them to continue to present their views on relevant matters (see document </w:t>
      </w:r>
      <w:r w:rsidRPr="00F258D2">
        <w:rPr>
          <w:rFonts w:cs="Arial"/>
        </w:rPr>
        <w:t>CAJ-AG/13/8/10 “Report”, paragraph 83).</w:t>
      </w:r>
      <w:r w:rsidRPr="00482F75">
        <w:rPr>
          <w:rFonts w:cs="Arial"/>
        </w:rPr>
        <w:t xml:space="preserve">  On that basis, the following organizations had been invited to participate in the relevant part of the </w:t>
      </w:r>
      <w:r w:rsidR="00F04CF6">
        <w:rPr>
          <w:rFonts w:cs="Arial"/>
        </w:rPr>
        <w:t>ninth</w:t>
      </w:r>
      <w:r w:rsidRPr="00482F75">
        <w:rPr>
          <w:rFonts w:cs="Arial"/>
        </w:rPr>
        <w:t xml:space="preserve"> session of the CAJ</w:t>
      </w:r>
      <w:r w:rsidRPr="00482F75">
        <w:rPr>
          <w:rFonts w:cs="Arial"/>
        </w:rPr>
        <w:noBreakHyphen/>
        <w:t xml:space="preserve">AG:  </w:t>
      </w:r>
      <w:r w:rsidR="00D61468">
        <w:rPr>
          <w:rFonts w:cs="Arial"/>
        </w:rPr>
        <w:t xml:space="preserve">the </w:t>
      </w:r>
      <w:r w:rsidR="00D61468" w:rsidRPr="0002612B">
        <w:t>International Association of Horticultural Producers (AIPH)</w:t>
      </w:r>
      <w:r w:rsidR="00D61468">
        <w:t xml:space="preserve">, </w:t>
      </w:r>
      <w:r w:rsidRPr="00482F75">
        <w:rPr>
          <w:rFonts w:cs="Arial"/>
        </w:rPr>
        <w:t xml:space="preserve">the </w:t>
      </w:r>
      <w:r w:rsidRPr="00482F75">
        <w:rPr>
          <w:rFonts w:cs="Arial"/>
          <w:szCs w:val="26"/>
        </w:rPr>
        <w:t>Association for Plant Breeding for the Benefit of Society (APBREBES)</w:t>
      </w:r>
      <w:r w:rsidRPr="00482F75">
        <w:rPr>
          <w:rFonts w:cs="Arial"/>
        </w:rPr>
        <w:t>, the International Community of Breeders of Asexually Reproduced Ornamental and Fruit-Tree Varieties (CIOPORA)</w:t>
      </w:r>
      <w:r>
        <w:rPr>
          <w:rFonts w:cs="Arial"/>
        </w:rPr>
        <w:t xml:space="preserve">, </w:t>
      </w:r>
      <w:proofErr w:type="spellStart"/>
      <w:r w:rsidRPr="0018265F">
        <w:rPr>
          <w:rFonts w:cs="Arial"/>
          <w:szCs w:val="26"/>
        </w:rPr>
        <w:t>CropLife</w:t>
      </w:r>
      <w:proofErr w:type="spellEnd"/>
      <w:r w:rsidRPr="0018265F">
        <w:rPr>
          <w:rFonts w:cs="Arial"/>
          <w:szCs w:val="26"/>
        </w:rPr>
        <w:t xml:space="preserve"> International</w:t>
      </w:r>
      <w:r>
        <w:rPr>
          <w:rFonts w:cs="Arial"/>
          <w:szCs w:val="26"/>
        </w:rPr>
        <w:t xml:space="preserve">, </w:t>
      </w:r>
      <w:r w:rsidR="00011CD0">
        <w:rPr>
          <w:rFonts w:cs="Arial"/>
          <w:szCs w:val="26"/>
        </w:rPr>
        <w:t>t</w:t>
      </w:r>
      <w:r>
        <w:rPr>
          <w:rFonts w:cs="Arial"/>
          <w:szCs w:val="26"/>
        </w:rPr>
        <w:t>he European Seed Association (ESA)</w:t>
      </w:r>
      <w:r w:rsidRPr="00482F75">
        <w:rPr>
          <w:rFonts w:cs="Arial"/>
        </w:rPr>
        <w:t xml:space="preserve"> and the International Seed Federation (ISF).</w:t>
      </w:r>
    </w:p>
    <w:p w:rsidR="0018265F" w:rsidRDefault="0018265F" w:rsidP="0018265F"/>
    <w:p w:rsidR="00F258D2" w:rsidRDefault="00F258D2" w:rsidP="0018265F">
      <w:r>
        <w:fldChar w:fldCharType="begin"/>
      </w:r>
      <w:r>
        <w:instrText xml:space="preserve"> AUTONUM  </w:instrText>
      </w:r>
      <w:r>
        <w:fldChar w:fldCharType="end"/>
      </w:r>
      <w:r>
        <w:tab/>
        <w:t>The CAJ-AG noted that the d</w:t>
      </w:r>
      <w:r w:rsidRPr="00F258D2">
        <w:t xml:space="preserve">iscussions in the presence of observers </w:t>
      </w:r>
      <w:r w:rsidR="009E3396">
        <w:t xml:space="preserve">would </w:t>
      </w:r>
      <w:r w:rsidRPr="00F258D2">
        <w:t xml:space="preserve">be </w:t>
      </w:r>
      <w:r>
        <w:t>provided in the detailed report.</w:t>
      </w:r>
    </w:p>
    <w:p w:rsidR="00F258D2" w:rsidRDefault="00F258D2" w:rsidP="0018265F"/>
    <w:p w:rsidR="00F258D2" w:rsidRPr="00482F75" w:rsidRDefault="00F258D2" w:rsidP="0018265F"/>
    <w:p w:rsidR="0018265F" w:rsidRPr="00482F75" w:rsidRDefault="0018265F" w:rsidP="00975941">
      <w:pPr>
        <w:pStyle w:val="Heading2"/>
      </w:pPr>
      <w:r w:rsidRPr="00482F75">
        <w:t>Adoption of the agenda</w:t>
      </w:r>
    </w:p>
    <w:p w:rsidR="0018265F" w:rsidRPr="00482F75" w:rsidRDefault="0018265F" w:rsidP="00975941">
      <w:pPr>
        <w:keepNext/>
        <w:rPr>
          <w:rFonts w:cs="Arial"/>
          <w:snapToGrid w:val="0"/>
          <w:szCs w:val="26"/>
        </w:rPr>
      </w:pPr>
    </w:p>
    <w:p w:rsidR="0018265F" w:rsidRPr="00482F75" w:rsidRDefault="0018265F" w:rsidP="0018265F">
      <w:r w:rsidRPr="00482F75">
        <w:fldChar w:fldCharType="begin"/>
      </w:r>
      <w:r w:rsidRPr="00482F75">
        <w:instrText xml:space="preserve"> AUTONUM  </w:instrText>
      </w:r>
      <w:r w:rsidRPr="00482F75">
        <w:fldChar w:fldCharType="end"/>
      </w:r>
      <w:r w:rsidRPr="00482F75">
        <w:tab/>
        <w:t>The CAJ-AG adopted the draft agenda as presented in document CAJ-AG/1</w:t>
      </w:r>
      <w:r>
        <w:t>4</w:t>
      </w:r>
      <w:r w:rsidRPr="00482F75">
        <w:t>/</w:t>
      </w:r>
      <w:r>
        <w:t>9</w:t>
      </w:r>
      <w:r w:rsidRPr="00482F75">
        <w:t>/1</w:t>
      </w:r>
      <w:r>
        <w:t xml:space="preserve"> Rev.</w:t>
      </w:r>
    </w:p>
    <w:p w:rsidR="0018265F" w:rsidRPr="00482F75" w:rsidRDefault="0018265F" w:rsidP="0018265F"/>
    <w:p w:rsidR="0018265F" w:rsidRDefault="0018265F" w:rsidP="0018265F"/>
    <w:p w:rsidR="00CF5840" w:rsidRDefault="00CF5840" w:rsidP="00CF5840"/>
    <w:p w:rsidR="00F258D2" w:rsidRDefault="00F258D2" w:rsidP="00F258D2">
      <w:pPr>
        <w:pStyle w:val="Heading2"/>
      </w:pPr>
      <w:r w:rsidRPr="00BE4A7F">
        <w:lastRenderedPageBreak/>
        <w:t>Explanatory Notes on Propagation and Propagating Material under the UPOV Convention</w:t>
      </w:r>
    </w:p>
    <w:p w:rsidR="00F258D2" w:rsidRDefault="00F258D2" w:rsidP="00F258D2">
      <w:pPr>
        <w:keepNext/>
      </w:pPr>
    </w:p>
    <w:p w:rsidR="00F258D2" w:rsidRDefault="00F258D2" w:rsidP="00F258D2">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r>
      <w:r w:rsidRPr="00482F75">
        <w:t xml:space="preserve">The </w:t>
      </w:r>
      <w:r>
        <w:t>CAJ-AG considered</w:t>
      </w:r>
      <w:r w:rsidRPr="00482F75">
        <w:t xml:space="preserve"> </w:t>
      </w:r>
      <w:r w:rsidRPr="00BE4A7F">
        <w:t>document</w:t>
      </w:r>
      <w:r>
        <w:t> </w:t>
      </w:r>
      <w:r w:rsidRPr="00BE4A7F">
        <w:t>UPOV/EXN/PPM</w:t>
      </w:r>
      <w:r>
        <w:t>/1</w:t>
      </w:r>
      <w:r w:rsidRPr="00BE4A7F">
        <w:t> Draft 3</w:t>
      </w:r>
      <w:r>
        <w:t xml:space="preserve"> and the </w:t>
      </w:r>
      <w:r w:rsidRPr="009D2324">
        <w:t>presentations of views by APBREBES, CIOPORA, and ESA</w:t>
      </w:r>
      <w:r>
        <w:t>.</w:t>
      </w:r>
    </w:p>
    <w:p w:rsidR="00F258D2" w:rsidRDefault="00F258D2" w:rsidP="00F258D2"/>
    <w:p w:rsidR="00F258D2" w:rsidRPr="00482F75" w:rsidRDefault="00F258D2" w:rsidP="00F258D2">
      <w:r>
        <w:fldChar w:fldCharType="begin"/>
      </w:r>
      <w:r>
        <w:instrText xml:space="preserve"> AUTONUM  </w:instrText>
      </w:r>
      <w:r>
        <w:fldChar w:fldCharType="end"/>
      </w:r>
      <w:r>
        <w:tab/>
        <w:t xml:space="preserve">The CAJ-AG agreed the following amendments to </w:t>
      </w:r>
      <w:r w:rsidRPr="007B1E3F">
        <w:t>document UPOV/EXN/PPM/1 Draft 3</w:t>
      </w:r>
      <w:r>
        <w:t>:</w:t>
      </w:r>
    </w:p>
    <w:p w:rsidR="00F258D2" w:rsidRDefault="00F258D2" w:rsidP="00F258D2">
      <w:pPr>
        <w:rPr>
          <w:rFonts w:cs="Arial"/>
        </w:rPr>
      </w:pPr>
    </w:p>
    <w:tbl>
      <w:tblPr>
        <w:tblW w:w="9272" w:type="dxa"/>
        <w:tblInd w:w="4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15" w:type="dxa"/>
          <w:right w:w="115" w:type="dxa"/>
        </w:tblCellMar>
        <w:tblLook w:val="0000" w:firstRow="0" w:lastRow="0" w:firstColumn="0" w:lastColumn="0" w:noHBand="0" w:noVBand="0"/>
      </w:tblPr>
      <w:tblGrid>
        <w:gridCol w:w="1483"/>
        <w:gridCol w:w="7789"/>
      </w:tblGrid>
      <w:tr w:rsidR="00F258D2" w:rsidRPr="00482F75" w:rsidTr="008D4002">
        <w:trPr>
          <w:cantSplit/>
        </w:trPr>
        <w:tc>
          <w:tcPr>
            <w:tcW w:w="1483" w:type="dxa"/>
          </w:tcPr>
          <w:p w:rsidR="00F258D2" w:rsidRPr="00482F75" w:rsidRDefault="00F258D2" w:rsidP="008D4002">
            <w:pPr>
              <w:spacing w:before="40" w:after="40"/>
              <w:rPr>
                <w:rFonts w:cs="Arial"/>
              </w:rPr>
            </w:pPr>
            <w:r w:rsidRPr="00482F75">
              <w:rPr>
                <w:rFonts w:cs="Arial"/>
              </w:rPr>
              <w:t>General</w:t>
            </w:r>
          </w:p>
        </w:tc>
        <w:tc>
          <w:tcPr>
            <w:tcW w:w="7789" w:type="dxa"/>
          </w:tcPr>
          <w:p w:rsidR="00F258D2" w:rsidRPr="00482F75" w:rsidRDefault="00F258D2" w:rsidP="008D4002">
            <w:pPr>
              <w:spacing w:before="40" w:after="40"/>
              <w:rPr>
                <w:snapToGrid w:val="0"/>
              </w:rPr>
            </w:pPr>
            <w:r>
              <w:rPr>
                <w:snapToGrid w:val="0"/>
              </w:rPr>
              <w:t>To replace the term “</w:t>
            </w:r>
            <w:r w:rsidRPr="00FA7DC7">
              <w:rPr>
                <w:snapToGrid w:val="0"/>
              </w:rPr>
              <w:t>propagation and propagating material</w:t>
            </w:r>
            <w:r>
              <w:rPr>
                <w:snapToGrid w:val="0"/>
              </w:rPr>
              <w:t xml:space="preserve">” with </w:t>
            </w:r>
            <w:r>
              <w:t>“p</w:t>
            </w:r>
            <w:r w:rsidRPr="00BE4A7F">
              <w:t>ropagating material</w:t>
            </w:r>
            <w:r>
              <w:t>”, in the title and elsewhere in the document.</w:t>
            </w:r>
          </w:p>
        </w:tc>
      </w:tr>
      <w:tr w:rsidR="00F258D2" w:rsidRPr="00482F75" w:rsidTr="008D4002">
        <w:trPr>
          <w:cantSplit/>
        </w:trPr>
        <w:tc>
          <w:tcPr>
            <w:tcW w:w="1483" w:type="dxa"/>
          </w:tcPr>
          <w:p w:rsidR="00F258D2" w:rsidRPr="00482F75" w:rsidRDefault="00F258D2" w:rsidP="008D4002">
            <w:pPr>
              <w:spacing w:before="40" w:after="40"/>
              <w:rPr>
                <w:rFonts w:cs="Arial"/>
              </w:rPr>
            </w:pPr>
            <w:r>
              <w:rPr>
                <w:rFonts w:cs="Arial"/>
              </w:rPr>
              <w:t>1.</w:t>
            </w:r>
          </w:p>
        </w:tc>
        <w:tc>
          <w:tcPr>
            <w:tcW w:w="7789" w:type="dxa"/>
          </w:tcPr>
          <w:p w:rsidR="00F258D2" w:rsidRDefault="00F258D2" w:rsidP="008D4002">
            <w:pPr>
              <w:spacing w:before="40" w:after="40"/>
              <w:rPr>
                <w:rFonts w:cs="Arial"/>
              </w:rPr>
            </w:pPr>
            <w:r>
              <w:rPr>
                <w:rFonts w:cs="Arial"/>
              </w:rPr>
              <w:t xml:space="preserve">to read: </w:t>
            </w:r>
          </w:p>
          <w:p w:rsidR="00F258D2" w:rsidRPr="00482F75" w:rsidRDefault="00F258D2" w:rsidP="008D4002">
            <w:pPr>
              <w:spacing w:before="40" w:after="40"/>
              <w:rPr>
                <w:rFonts w:cs="Arial"/>
              </w:rPr>
            </w:pPr>
            <w:r>
              <w:rPr>
                <w:rFonts w:cs="Arial"/>
              </w:rPr>
              <w:t>“</w:t>
            </w:r>
            <w:r w:rsidRPr="00FA7DC7">
              <w:rPr>
                <w:rFonts w:cs="Arial"/>
              </w:rPr>
              <w:t>Propagating material encompasses reproductive and vegetative propagating material.  The UPOV Convention do</w:t>
            </w:r>
            <w:r>
              <w:rPr>
                <w:rFonts w:cs="Arial"/>
              </w:rPr>
              <w:t>es not provide a definition of ‘propagating material’</w:t>
            </w:r>
            <w:r w:rsidRPr="00FA7DC7">
              <w:rPr>
                <w:rFonts w:cs="Arial"/>
              </w:rPr>
              <w:t>.  The following section provides guidance on factors that might be considered in relation to whether material is propagating material.</w:t>
            </w:r>
            <w:r>
              <w:rPr>
                <w:rFonts w:cs="Arial"/>
              </w:rPr>
              <w:t>”</w:t>
            </w:r>
          </w:p>
        </w:tc>
      </w:tr>
      <w:tr w:rsidR="00F258D2" w:rsidRPr="00482F75" w:rsidTr="008D4002">
        <w:trPr>
          <w:cantSplit/>
        </w:trPr>
        <w:tc>
          <w:tcPr>
            <w:tcW w:w="1483" w:type="dxa"/>
          </w:tcPr>
          <w:p w:rsidR="00F258D2" w:rsidRPr="00482F75" w:rsidRDefault="00F258D2" w:rsidP="008D4002">
            <w:pPr>
              <w:spacing w:before="40" w:after="40"/>
              <w:rPr>
                <w:rFonts w:cs="Arial"/>
              </w:rPr>
            </w:pPr>
            <w:r>
              <w:rPr>
                <w:rFonts w:cs="Arial"/>
              </w:rPr>
              <w:t>2.</w:t>
            </w:r>
          </w:p>
        </w:tc>
        <w:tc>
          <w:tcPr>
            <w:tcW w:w="7789" w:type="dxa"/>
          </w:tcPr>
          <w:p w:rsidR="00F258D2" w:rsidRDefault="00F258D2" w:rsidP="008D4002">
            <w:pPr>
              <w:spacing w:before="40" w:after="40"/>
              <w:rPr>
                <w:rFonts w:cs="Arial"/>
              </w:rPr>
            </w:pPr>
            <w:r>
              <w:rPr>
                <w:rFonts w:cs="Arial"/>
              </w:rPr>
              <w:t xml:space="preserve">to read: </w:t>
            </w:r>
          </w:p>
          <w:p w:rsidR="00F258D2" w:rsidRPr="00482F75" w:rsidRDefault="00F258D2" w:rsidP="008D4002">
            <w:pPr>
              <w:spacing w:before="40" w:after="40"/>
              <w:rPr>
                <w:rFonts w:cs="Arial"/>
              </w:rPr>
            </w:pPr>
            <w:r>
              <w:rPr>
                <w:rFonts w:cs="Arial"/>
              </w:rPr>
              <w:t>“</w:t>
            </w:r>
            <w:r w:rsidRPr="00821501">
              <w:rPr>
                <w:rFonts w:cs="Arial"/>
              </w:rPr>
              <w:t>Whether material is propagating material is a matter of fact but may also include the intention on the part of those concerned (producer, seller, supplier, buyer, recipient, user) and depends on the definition of propagating material in the law of the member of the Union concerned</w:t>
            </w:r>
            <w:r>
              <w:rPr>
                <w:rFonts w:cs="Arial"/>
              </w:rPr>
              <w:t>. […]”</w:t>
            </w:r>
          </w:p>
        </w:tc>
      </w:tr>
      <w:tr w:rsidR="00F258D2" w:rsidRPr="00482F75" w:rsidTr="008D4002">
        <w:trPr>
          <w:cantSplit/>
        </w:trPr>
        <w:tc>
          <w:tcPr>
            <w:tcW w:w="1483" w:type="dxa"/>
          </w:tcPr>
          <w:p w:rsidR="00F258D2" w:rsidRPr="00482F75" w:rsidRDefault="00F258D2" w:rsidP="008D4002">
            <w:pPr>
              <w:spacing w:before="40" w:after="40"/>
            </w:pPr>
            <w:r>
              <w:t>4.</w:t>
            </w:r>
          </w:p>
        </w:tc>
        <w:tc>
          <w:tcPr>
            <w:tcW w:w="7789" w:type="dxa"/>
          </w:tcPr>
          <w:p w:rsidR="00F258D2" w:rsidRDefault="00F258D2" w:rsidP="008D4002">
            <w:pPr>
              <w:spacing w:before="40" w:after="40"/>
            </w:pPr>
            <w:r>
              <w:rPr>
                <w:snapToGrid w:val="0"/>
              </w:rPr>
              <w:t>to read</w:t>
            </w:r>
            <w:r>
              <w:t>:</w:t>
            </w:r>
          </w:p>
          <w:p w:rsidR="00F258D2" w:rsidRPr="002C1C84" w:rsidRDefault="00F258D2" w:rsidP="008D4002">
            <w:pPr>
              <w:autoSpaceDE w:val="0"/>
            </w:pPr>
            <w:r>
              <w:t xml:space="preserve">“Taking into account </w:t>
            </w:r>
            <w:r w:rsidRPr="002C1C84">
              <w:t>the definition of propagating material in the law of the member of the Union concerned, if applicable, the following, non-exhaustive, list of factors</w:t>
            </w:r>
            <w:r w:rsidRPr="002C1C84">
              <w:rPr>
                <w:rFonts w:ascii="ZWAdobeF" w:hAnsi="ZWAdobeF" w:cs="ZWAdobeF"/>
                <w:sz w:val="2"/>
                <w:szCs w:val="2"/>
              </w:rPr>
              <w:t>1</w:t>
            </w:r>
            <w:r w:rsidRPr="002C1C84">
              <w:t>, and/or combination of factors, might be considered in deciding whether material is propagating material:</w:t>
            </w:r>
          </w:p>
          <w:p w:rsidR="00F258D2" w:rsidRPr="002C1C84" w:rsidRDefault="00F258D2" w:rsidP="008D4002"/>
          <w:p w:rsidR="00F258D2" w:rsidRPr="002C1C84" w:rsidRDefault="00F258D2" w:rsidP="008D4002">
            <w:pPr>
              <w:ind w:left="1102" w:hanging="535"/>
            </w:pPr>
            <w:r w:rsidRPr="002C1C84">
              <w:t>(</w:t>
            </w:r>
            <w:proofErr w:type="spellStart"/>
            <w:r w:rsidRPr="002C1C84">
              <w:t>i</w:t>
            </w:r>
            <w:proofErr w:type="spellEnd"/>
            <w:r w:rsidRPr="002C1C84">
              <w:t>)</w:t>
            </w:r>
            <w:r w:rsidRPr="002C1C84">
              <w:tab/>
              <w:t>whether the material has been used to propagate the variety;</w:t>
            </w:r>
          </w:p>
          <w:p w:rsidR="00F258D2" w:rsidRPr="002C1C84" w:rsidRDefault="00F258D2" w:rsidP="008D4002">
            <w:pPr>
              <w:ind w:left="1102" w:hanging="535"/>
            </w:pPr>
            <w:r w:rsidRPr="002C1C84">
              <w:t>(ii)</w:t>
            </w:r>
            <w:r w:rsidRPr="002C1C84">
              <w:tab/>
              <w:t>whether the material is capable of producing entire plants of the variety;</w:t>
            </w:r>
          </w:p>
          <w:p w:rsidR="00F258D2" w:rsidRPr="002C1C84" w:rsidRDefault="00F258D2" w:rsidP="008D4002">
            <w:pPr>
              <w:ind w:left="1102" w:hanging="535"/>
            </w:pPr>
            <w:r w:rsidRPr="002C1C84">
              <w:t>(iii)</w:t>
            </w:r>
            <w:r w:rsidRPr="002C1C84">
              <w:tab/>
              <w:t>whether there has been a custom/practice of using the material for that purpose or, as a result of new developments, there is a new custom/practice of using the material for that purpose;</w:t>
            </w:r>
          </w:p>
          <w:p w:rsidR="00B54223" w:rsidRDefault="00F258D2" w:rsidP="00B54223">
            <w:pPr>
              <w:ind w:left="1102" w:hanging="535"/>
            </w:pPr>
            <w:r w:rsidRPr="002C1C84">
              <w:t>(</w:t>
            </w:r>
            <w:r>
              <w:t>i</w:t>
            </w:r>
            <w:r w:rsidRPr="002C1C84">
              <w:t>v)</w:t>
            </w:r>
            <w:r w:rsidRPr="002C1C84">
              <w:tab/>
              <w:t xml:space="preserve">the intention on the part of those concerned (producer, seller, supplier, buyer, recipient, user);  </w:t>
            </w:r>
          </w:p>
          <w:p w:rsidR="00B54223" w:rsidRDefault="00B54223" w:rsidP="00B54223">
            <w:pPr>
              <w:ind w:left="1102" w:hanging="535"/>
            </w:pPr>
            <w:r>
              <w:t>or</w:t>
            </w:r>
          </w:p>
          <w:p w:rsidR="00B54223" w:rsidRDefault="00B54223" w:rsidP="00B54223">
            <w:pPr>
              <w:ind w:left="1102" w:hanging="535"/>
            </w:pPr>
          </w:p>
          <w:p w:rsidR="00F258D2" w:rsidRPr="00482F75" w:rsidRDefault="00B54223" w:rsidP="00B54223">
            <w:pPr>
              <w:ind w:left="1102" w:hanging="535"/>
            </w:pPr>
            <w:r>
              <w:t>(v)</w:t>
            </w:r>
            <w:r w:rsidR="005C4522" w:rsidRPr="002C1C84">
              <w:t xml:space="preserve"> </w:t>
            </w:r>
            <w:r w:rsidR="005C4522" w:rsidRPr="002C1C84">
              <w:tab/>
            </w:r>
            <w:r w:rsidR="00F258D2" w:rsidRPr="002C1C84">
              <w:t xml:space="preserve">if, based on the nature and condition of the material and/or the form of its use, it can be determined that </w:t>
            </w:r>
            <w:r w:rsidR="00F258D2">
              <w:t>the</w:t>
            </w:r>
            <w:r w:rsidR="00F258D2" w:rsidRPr="002C1C84">
              <w:t xml:space="preserve"> material is “propagating material”</w:t>
            </w:r>
            <w:r>
              <w:t>.</w:t>
            </w:r>
            <w:r w:rsidR="00F258D2" w:rsidRPr="002C1C84">
              <w:t xml:space="preserve"> </w:t>
            </w:r>
          </w:p>
        </w:tc>
      </w:tr>
    </w:tbl>
    <w:p w:rsidR="00F258D2" w:rsidRDefault="00F258D2" w:rsidP="00F258D2"/>
    <w:p w:rsidR="00F258D2" w:rsidRDefault="00F258D2" w:rsidP="00F258D2"/>
    <w:p w:rsidR="00F258D2" w:rsidRDefault="00F258D2" w:rsidP="00F258D2">
      <w:pPr>
        <w:pStyle w:val="Heading2"/>
      </w:pPr>
      <w:r w:rsidRPr="00BE4A7F">
        <w:t xml:space="preserve">Explanatory Notes on Acts in Respect of Harvested Material under the 1991 Act of the UPOV Convention </w:t>
      </w:r>
      <w:r>
        <w:t>(Revision)</w:t>
      </w:r>
    </w:p>
    <w:p w:rsidR="00F258D2" w:rsidRDefault="00F258D2" w:rsidP="00F258D2">
      <w:pPr>
        <w:keepNext/>
      </w:pPr>
    </w:p>
    <w:p w:rsidR="00F258D2" w:rsidRDefault="00F258D2" w:rsidP="00F258D2">
      <w:r w:rsidRPr="00482F75">
        <w:rPr>
          <w:rFonts w:cs="Arial"/>
        </w:rPr>
        <w:fldChar w:fldCharType="begin"/>
      </w:r>
      <w:r w:rsidRPr="00482F75">
        <w:rPr>
          <w:rFonts w:cs="Arial"/>
        </w:rPr>
        <w:instrText xml:space="preserve"> AUTONUM  </w:instrText>
      </w:r>
      <w:r w:rsidRPr="00482F75">
        <w:rPr>
          <w:rFonts w:cs="Arial"/>
        </w:rPr>
        <w:fldChar w:fldCharType="end"/>
      </w:r>
      <w:r w:rsidRPr="00482F75">
        <w:rPr>
          <w:rFonts w:cs="Arial"/>
        </w:rPr>
        <w:tab/>
      </w:r>
      <w:r w:rsidRPr="00482F75">
        <w:t xml:space="preserve">The </w:t>
      </w:r>
      <w:r>
        <w:t>CAJ-AG considered</w:t>
      </w:r>
      <w:r w:rsidRPr="00482F75">
        <w:t xml:space="preserve"> </w:t>
      </w:r>
      <w:r w:rsidRPr="00BE4A7F">
        <w:t>document UPOV/EXN/HRV/2 Draft 2</w:t>
      </w:r>
      <w:r>
        <w:t xml:space="preserve"> and the </w:t>
      </w:r>
      <w:r w:rsidRPr="007B1E3F">
        <w:t>views</w:t>
      </w:r>
      <w:r>
        <w:t xml:space="preserve"> expressed by AIPH, APBREBES, CIOPORA </w:t>
      </w:r>
      <w:r w:rsidRPr="007B1E3F">
        <w:t>and ESA</w:t>
      </w:r>
      <w:r>
        <w:t>.</w:t>
      </w:r>
    </w:p>
    <w:p w:rsidR="00F258D2" w:rsidRDefault="00F258D2" w:rsidP="00F258D2"/>
    <w:p w:rsidR="00F258D2" w:rsidRPr="00482F75" w:rsidRDefault="00F258D2" w:rsidP="00F258D2">
      <w:r>
        <w:fldChar w:fldCharType="begin"/>
      </w:r>
      <w:r>
        <w:instrText xml:space="preserve"> AUTONUM  </w:instrText>
      </w:r>
      <w:r>
        <w:fldChar w:fldCharType="end"/>
      </w:r>
      <w:r>
        <w:tab/>
        <w:t xml:space="preserve"> The CAJ-AG concluded that it would not be appropriate to seek to develop a revision of document UPOV/EXN/HRV/1 </w:t>
      </w:r>
      <w:r w:rsidR="009E3396">
        <w:t xml:space="preserve">for the </w:t>
      </w:r>
      <w:r>
        <w:t>time</w:t>
      </w:r>
      <w:r w:rsidR="009E3396">
        <w:t xml:space="preserve"> being</w:t>
      </w:r>
      <w:r>
        <w:t>.</w:t>
      </w:r>
      <w:r w:rsidRPr="007B1E3F">
        <w:t xml:space="preserve"> </w:t>
      </w:r>
      <w:r>
        <w:t xml:space="preserve"> </w:t>
      </w:r>
    </w:p>
    <w:p w:rsidR="00A80CDE" w:rsidRDefault="00A80CDE" w:rsidP="00975941">
      <w:pPr>
        <w:keepNext/>
      </w:pPr>
    </w:p>
    <w:p w:rsidR="009F339C" w:rsidRDefault="009F339C" w:rsidP="00BB0894"/>
    <w:p w:rsidR="00862468" w:rsidRDefault="00862468" w:rsidP="000E2821">
      <w:pPr>
        <w:pStyle w:val="Heading2"/>
      </w:pPr>
      <w:r w:rsidRPr="00BE4A7F">
        <w:t xml:space="preserve">Explanatory Notes on Cancellation of the Breeder's Right under the UPOV Convention </w:t>
      </w:r>
      <w:r>
        <w:t>(Revision)</w:t>
      </w:r>
    </w:p>
    <w:p w:rsidR="005E3982" w:rsidRDefault="005E3982" w:rsidP="000E2821">
      <w:pPr>
        <w:keepNext/>
      </w:pPr>
    </w:p>
    <w:p w:rsidR="005E3982" w:rsidRDefault="005E3982" w:rsidP="005E3982">
      <w:r>
        <w:fldChar w:fldCharType="begin"/>
      </w:r>
      <w:r>
        <w:instrText xml:space="preserve"> AUTONUM  </w:instrText>
      </w:r>
      <w:r>
        <w:fldChar w:fldCharType="end"/>
      </w:r>
      <w:r>
        <w:tab/>
      </w:r>
      <w:r w:rsidRPr="00482F75">
        <w:rPr>
          <w:rFonts w:cs="Arial"/>
        </w:rPr>
        <w:t xml:space="preserve">The CAJ­AG considered document </w:t>
      </w:r>
      <w:r w:rsidRPr="00BE4A7F">
        <w:t>UPOV/EXN/CAN/2 Draft 2</w:t>
      </w:r>
      <w:r>
        <w:t xml:space="preserve"> </w:t>
      </w:r>
      <w:r w:rsidRPr="00482F75">
        <w:rPr>
          <w:rFonts w:cs="Arial"/>
        </w:rPr>
        <w:t xml:space="preserve">and the </w:t>
      </w:r>
      <w:r w:rsidRPr="00482F75">
        <w:t xml:space="preserve">views expressed by </w:t>
      </w:r>
      <w:proofErr w:type="spellStart"/>
      <w:r>
        <w:rPr>
          <w:rFonts w:cs="Arial"/>
          <w:szCs w:val="26"/>
        </w:rPr>
        <w:t>CropLife</w:t>
      </w:r>
      <w:proofErr w:type="spellEnd"/>
      <w:r>
        <w:rPr>
          <w:rFonts w:cs="Arial"/>
          <w:szCs w:val="26"/>
        </w:rPr>
        <w:t> </w:t>
      </w:r>
      <w:r w:rsidRPr="00862468">
        <w:rPr>
          <w:rFonts w:cs="Arial"/>
          <w:szCs w:val="26"/>
        </w:rPr>
        <w:t>International</w:t>
      </w:r>
      <w:r w:rsidR="0022331F">
        <w:rPr>
          <w:rFonts w:cs="Arial"/>
          <w:szCs w:val="26"/>
        </w:rPr>
        <w:t>.</w:t>
      </w:r>
    </w:p>
    <w:p w:rsidR="005E3982" w:rsidRDefault="005E3982" w:rsidP="005E3982"/>
    <w:p w:rsidR="00BE1F8B" w:rsidRDefault="00BE1F8B">
      <w:pPr>
        <w:jc w:val="left"/>
      </w:pPr>
      <w:r>
        <w:br w:type="page"/>
      </w:r>
    </w:p>
    <w:p w:rsidR="00871895" w:rsidRDefault="00871895" w:rsidP="000E2821">
      <w:pPr>
        <w:keepNext/>
        <w:rPr>
          <w:rFonts w:cs="Arial"/>
        </w:rPr>
      </w:pPr>
      <w:r w:rsidRPr="0022331F">
        <w:lastRenderedPageBreak/>
        <w:fldChar w:fldCharType="begin"/>
      </w:r>
      <w:r w:rsidRPr="0022331F">
        <w:instrText xml:space="preserve"> AUTONUM  </w:instrText>
      </w:r>
      <w:r w:rsidRPr="0022331F">
        <w:fldChar w:fldCharType="end"/>
      </w:r>
      <w:r w:rsidRPr="0022331F">
        <w:tab/>
      </w:r>
      <w:r w:rsidRPr="0022331F">
        <w:rPr>
          <w:rFonts w:cs="Arial"/>
        </w:rPr>
        <w:t xml:space="preserve">The CAJ­AG agreed </w:t>
      </w:r>
      <w:r w:rsidR="00D535EF" w:rsidRPr="0022331F">
        <w:rPr>
          <w:rFonts w:cs="Arial"/>
        </w:rPr>
        <w:t>the following</w:t>
      </w:r>
      <w:r w:rsidR="00BE1F8B">
        <w:rPr>
          <w:rFonts w:cs="Arial"/>
        </w:rPr>
        <w:t xml:space="preserve"> amendments</w:t>
      </w:r>
      <w:r w:rsidR="00D535EF" w:rsidRPr="0022331F">
        <w:rPr>
          <w:rFonts w:cs="Arial"/>
        </w:rPr>
        <w:t xml:space="preserve"> to </w:t>
      </w:r>
      <w:r w:rsidRPr="0022331F">
        <w:rPr>
          <w:rFonts w:cs="Arial"/>
        </w:rPr>
        <w:t xml:space="preserve">document </w:t>
      </w:r>
      <w:r w:rsidRPr="0022331F">
        <w:t>UPOV/EXN/CAN/2 Draft 2</w:t>
      </w:r>
      <w:r w:rsidRPr="0022331F">
        <w:rPr>
          <w:rFonts w:cs="Arial"/>
        </w:rPr>
        <w:t>:</w:t>
      </w:r>
    </w:p>
    <w:p w:rsidR="00871895" w:rsidRDefault="00871895" w:rsidP="000E2821">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91"/>
        <w:gridCol w:w="7789"/>
      </w:tblGrid>
      <w:tr w:rsidR="00871895" w:rsidRPr="00482F75" w:rsidTr="006E59EC">
        <w:trPr>
          <w:cantSplit/>
        </w:trPr>
        <w:tc>
          <w:tcPr>
            <w:tcW w:w="1391" w:type="dxa"/>
          </w:tcPr>
          <w:p w:rsidR="00871895" w:rsidRPr="00482F75" w:rsidRDefault="005C4522" w:rsidP="006E59EC">
            <w:pPr>
              <w:spacing w:before="40" w:after="40"/>
              <w:rPr>
                <w:rFonts w:cs="Arial"/>
              </w:rPr>
            </w:pPr>
            <w:r>
              <w:rPr>
                <w:rFonts w:cs="Arial"/>
              </w:rPr>
              <w:t>Title – cover page</w:t>
            </w:r>
          </w:p>
        </w:tc>
        <w:tc>
          <w:tcPr>
            <w:tcW w:w="7789" w:type="dxa"/>
          </w:tcPr>
          <w:p w:rsidR="00871895" w:rsidRPr="00482F75" w:rsidRDefault="00D535EF" w:rsidP="006E59EC">
            <w:pPr>
              <w:spacing w:before="40" w:after="40"/>
              <w:rPr>
                <w:snapToGrid w:val="0"/>
              </w:rPr>
            </w:pPr>
            <w:r>
              <w:rPr>
                <w:snapToGrid w:val="0"/>
              </w:rPr>
              <w:t>To delete “the 1991 Act”</w:t>
            </w:r>
          </w:p>
        </w:tc>
      </w:tr>
      <w:tr w:rsidR="00871895" w:rsidRPr="00482F75" w:rsidTr="006E59EC">
        <w:trPr>
          <w:cantSplit/>
        </w:trPr>
        <w:tc>
          <w:tcPr>
            <w:tcW w:w="1391" w:type="dxa"/>
          </w:tcPr>
          <w:p w:rsidR="00871895" w:rsidRPr="00482F75" w:rsidRDefault="00D535EF" w:rsidP="006E59EC">
            <w:pPr>
              <w:spacing w:before="40" w:after="40"/>
              <w:rPr>
                <w:rFonts w:cs="Arial"/>
              </w:rPr>
            </w:pPr>
            <w:r>
              <w:rPr>
                <w:rFonts w:cs="Arial"/>
              </w:rPr>
              <w:t xml:space="preserve">Paragraph 6 </w:t>
            </w:r>
          </w:p>
        </w:tc>
        <w:tc>
          <w:tcPr>
            <w:tcW w:w="7789" w:type="dxa"/>
          </w:tcPr>
          <w:p w:rsidR="00485444" w:rsidRDefault="00485444" w:rsidP="00485444">
            <w:pPr>
              <w:pStyle w:val="Style1"/>
              <w:tabs>
                <w:tab w:val="clear" w:pos="907"/>
                <w:tab w:val="clear" w:pos="1077"/>
              </w:tabs>
            </w:pPr>
            <w:r>
              <w:t>To replace by:</w:t>
            </w:r>
          </w:p>
          <w:p w:rsidR="00B54223" w:rsidRPr="00664961" w:rsidRDefault="00B54223" w:rsidP="00485444">
            <w:pPr>
              <w:pStyle w:val="Style1"/>
              <w:tabs>
                <w:tab w:val="clear" w:pos="907"/>
                <w:tab w:val="clear" w:pos="1077"/>
              </w:tabs>
            </w:pPr>
          </w:p>
          <w:p w:rsidR="00B54223" w:rsidRPr="00A76589" w:rsidRDefault="00B54223" w:rsidP="00B54223">
            <w:pPr>
              <w:rPr>
                <w:b/>
              </w:rPr>
            </w:pPr>
            <w:r w:rsidRPr="00664961">
              <w:t xml:space="preserve">6.  </w:t>
            </w:r>
            <w:r w:rsidRPr="00664961">
              <w:rPr>
                <w:rFonts w:cs="Arial"/>
              </w:rPr>
              <w:t>The cancellation of a breeder’s right is different from the surrender or renunciation of the breeder’s right.</w:t>
            </w:r>
            <w:r>
              <w:rPr>
                <w:rFonts w:cs="Arial"/>
                <w:u w:val="single"/>
              </w:rPr>
              <w:t xml:space="preserve">  </w:t>
            </w:r>
            <w:r w:rsidRPr="00664961">
              <w:rPr>
                <w:rFonts w:cs="Arial"/>
                <w:highlight w:val="lightGray"/>
                <w:u w:val="single"/>
              </w:rPr>
              <w:t xml:space="preserve">Cancellation of a breeder’s right is a matter for the competent authority </w:t>
            </w:r>
            <w:r>
              <w:rPr>
                <w:rFonts w:cs="Arial"/>
                <w:highlight w:val="lightGray"/>
                <w:u w:val="single"/>
              </w:rPr>
              <w:t xml:space="preserve">to decide in accordance with the </w:t>
            </w:r>
            <w:r w:rsidRPr="00664961">
              <w:rPr>
                <w:rFonts w:cs="Arial"/>
                <w:highlight w:val="lightGray"/>
                <w:u w:val="single"/>
              </w:rPr>
              <w:t>UPOV Convention</w:t>
            </w:r>
            <w:r>
              <w:rPr>
                <w:rFonts w:cs="Arial"/>
                <w:highlight w:val="lightGray"/>
                <w:u w:val="single"/>
              </w:rPr>
              <w:t xml:space="preserve"> (see paragraph 3)</w:t>
            </w:r>
            <w:r w:rsidRPr="00664961">
              <w:rPr>
                <w:rFonts w:cs="Arial"/>
                <w:highlight w:val="lightGray"/>
                <w:u w:val="single"/>
              </w:rPr>
              <w:t xml:space="preserve">.  </w:t>
            </w:r>
            <w:r w:rsidR="00F04CF6">
              <w:rPr>
                <w:rFonts w:cs="Arial"/>
                <w:highlight w:val="lightGray"/>
                <w:u w:val="single"/>
              </w:rPr>
              <w:t>By </w:t>
            </w:r>
            <w:r w:rsidRPr="00664961">
              <w:rPr>
                <w:rFonts w:cs="Arial"/>
                <w:highlight w:val="lightGray"/>
                <w:u w:val="single"/>
              </w:rPr>
              <w:t xml:space="preserve">contrast, </w:t>
            </w:r>
            <w:r w:rsidRPr="00664961">
              <w:rPr>
                <w:rFonts w:cs="Arial"/>
              </w:rPr>
              <w:t xml:space="preserve">surrender or renunciation of the breeder’s right is a unilateral decision of the </w:t>
            </w:r>
            <w:r w:rsidRPr="00664961">
              <w:t xml:space="preserve">holder of the breeder’s right that is not linked to compliance with any obligation under the UPOV Convention.  The holder of the breeder’s right </w:t>
            </w:r>
            <w:r w:rsidRPr="00D10ED9">
              <w:rPr>
                <w:rFonts w:cs="Arial"/>
                <w:strike/>
                <w:highlight w:val="lightGray"/>
              </w:rPr>
              <w:t>decides</w:t>
            </w:r>
            <w:r w:rsidRPr="00664961">
              <w:rPr>
                <w:rFonts w:cs="Arial"/>
              </w:rPr>
              <w:t xml:space="preserve"> </w:t>
            </w:r>
            <w:r w:rsidRPr="00D10ED9">
              <w:rPr>
                <w:rFonts w:cs="Arial"/>
                <w:highlight w:val="lightGray"/>
                <w:u w:val="single"/>
              </w:rPr>
              <w:t>can decide</w:t>
            </w:r>
            <w:r>
              <w:rPr>
                <w:rFonts w:cs="Arial"/>
              </w:rPr>
              <w:t xml:space="preserve"> </w:t>
            </w:r>
            <w:r w:rsidRPr="00664961">
              <w:rPr>
                <w:rFonts w:cs="Arial"/>
              </w:rPr>
              <w:t xml:space="preserve">on an early termination </w:t>
            </w:r>
            <w:r w:rsidRPr="00664961">
              <w:t>by giving notice to the authority granting breeders’ rights</w:t>
            </w:r>
            <w:r>
              <w:t xml:space="preserve">.  </w:t>
            </w:r>
            <w:r w:rsidRPr="00D10ED9">
              <w:rPr>
                <w:highlight w:val="lightGray"/>
                <w:u w:val="single"/>
              </w:rPr>
              <w:t>T</w:t>
            </w:r>
            <w:r w:rsidRPr="00D10ED9">
              <w:rPr>
                <w:szCs w:val="18"/>
                <w:highlight w:val="lightGray"/>
                <w:u w:val="single"/>
              </w:rPr>
              <w:t>h</w:t>
            </w:r>
            <w:r w:rsidRPr="00664961">
              <w:rPr>
                <w:szCs w:val="18"/>
                <w:highlight w:val="lightGray"/>
                <w:u w:val="single"/>
              </w:rPr>
              <w:t>e competent authority publish</w:t>
            </w:r>
            <w:r>
              <w:rPr>
                <w:szCs w:val="18"/>
                <w:highlight w:val="lightGray"/>
                <w:u w:val="single"/>
              </w:rPr>
              <w:t>es</w:t>
            </w:r>
            <w:r w:rsidRPr="00664961">
              <w:rPr>
                <w:szCs w:val="18"/>
                <w:highlight w:val="lightGray"/>
                <w:u w:val="single"/>
              </w:rPr>
              <w:t xml:space="preserve"> the termination of the breeder’s right</w:t>
            </w:r>
            <w:r w:rsidRPr="00664961">
              <w:rPr>
                <w:szCs w:val="18"/>
                <w:highlight w:val="lightGray"/>
              </w:rPr>
              <w:t>.</w:t>
            </w:r>
            <w:r>
              <w:rPr>
                <w:szCs w:val="18"/>
              </w:rPr>
              <w:t xml:space="preserve">  </w:t>
            </w:r>
          </w:p>
          <w:p w:rsidR="00871895" w:rsidRPr="00B54223" w:rsidRDefault="00871895" w:rsidP="00B54223">
            <w:pPr>
              <w:rPr>
                <w:rFonts w:cs="Arial"/>
                <w:sz w:val="24"/>
                <w:szCs w:val="24"/>
              </w:rPr>
            </w:pPr>
          </w:p>
        </w:tc>
      </w:tr>
      <w:tr w:rsidR="00871895" w:rsidRPr="00482F75" w:rsidTr="006E59EC">
        <w:trPr>
          <w:cantSplit/>
        </w:trPr>
        <w:tc>
          <w:tcPr>
            <w:tcW w:w="1391" w:type="dxa"/>
          </w:tcPr>
          <w:p w:rsidR="00871895" w:rsidRPr="00485444" w:rsidRDefault="00485444" w:rsidP="006E59EC">
            <w:pPr>
              <w:spacing w:before="40" w:after="40"/>
              <w:rPr>
                <w:rFonts w:cs="Arial"/>
                <w:i/>
              </w:rPr>
            </w:pPr>
            <w:r w:rsidRPr="00485444">
              <w:rPr>
                <w:rFonts w:cs="Arial"/>
                <w:i/>
              </w:rPr>
              <w:t xml:space="preserve">Verifying the maintenance of the variety </w:t>
            </w:r>
          </w:p>
        </w:tc>
        <w:tc>
          <w:tcPr>
            <w:tcW w:w="7789" w:type="dxa"/>
          </w:tcPr>
          <w:p w:rsidR="0022331F" w:rsidRDefault="00485444" w:rsidP="006E59EC">
            <w:pPr>
              <w:spacing w:before="40" w:after="40"/>
              <w:rPr>
                <w:rFonts w:cs="Arial"/>
              </w:rPr>
            </w:pPr>
            <w:r>
              <w:rPr>
                <w:rFonts w:cs="Arial"/>
              </w:rPr>
              <w:t>The CAJ-AG noted that the development of guidance on section “</w:t>
            </w:r>
            <w:r w:rsidRPr="00485444">
              <w:rPr>
                <w:rFonts w:cs="Arial"/>
                <w:i/>
              </w:rPr>
              <w:t>Verifying the maintenance of the variety</w:t>
            </w:r>
            <w:r>
              <w:rPr>
                <w:rFonts w:cs="Arial"/>
                <w:i/>
              </w:rPr>
              <w:t>”</w:t>
            </w:r>
            <w:r>
              <w:rPr>
                <w:rFonts w:cs="Arial"/>
              </w:rPr>
              <w:t xml:space="preserve"> would need to wait for the consideration </w:t>
            </w:r>
            <w:r w:rsidR="0022331F">
              <w:rPr>
                <w:rFonts w:cs="Arial"/>
              </w:rPr>
              <w:t xml:space="preserve">by the Technical Committee of relevant matters on variety descriptions, as explained in the Note in document </w:t>
            </w:r>
            <w:r w:rsidR="0022331F" w:rsidRPr="0022331F">
              <w:rPr>
                <w:rFonts w:cs="Arial"/>
              </w:rPr>
              <w:t>UPOV/EXN/CAN/2 Draft 2</w:t>
            </w:r>
            <w:r w:rsidR="0022331F">
              <w:rPr>
                <w:rFonts w:cs="Arial"/>
              </w:rPr>
              <w:t xml:space="preserve"> (reproduced below)</w:t>
            </w:r>
          </w:p>
          <w:p w:rsidR="0022331F" w:rsidRDefault="0022331F" w:rsidP="006E59EC">
            <w:pPr>
              <w:spacing w:before="40" w:after="40"/>
              <w:rPr>
                <w:rFonts w:cs="Arial"/>
              </w:rPr>
            </w:pPr>
          </w:p>
          <w:p w:rsidR="0022331F" w:rsidRPr="0022331F" w:rsidRDefault="0022331F" w:rsidP="0022331F">
            <w:pPr>
              <w:spacing w:before="40" w:after="40"/>
              <w:rPr>
                <w:rFonts w:cs="Arial"/>
              </w:rPr>
            </w:pPr>
            <w:r>
              <w:rPr>
                <w:rFonts w:cs="Arial"/>
              </w:rPr>
              <w:t xml:space="preserve">Note: </w:t>
            </w:r>
            <w:r w:rsidRPr="0022331F">
              <w:rPr>
                <w:rFonts w:cs="Arial"/>
              </w:rPr>
              <w:t>The CAJ-AG, at its eighth session, held in Geneva on October 21 and 25, 2013, agreed to the development of guidance on the following, which it proposed that the CAJ should invite the Technical Committee (TC) to consider in the first instance (see document CAJ-AG/13/8/10 “Report”, paragraph 73):</w:t>
            </w:r>
          </w:p>
          <w:p w:rsidR="0022331F" w:rsidRPr="0022331F" w:rsidRDefault="0022331F" w:rsidP="0022331F">
            <w:pPr>
              <w:spacing w:before="40" w:after="40"/>
              <w:rPr>
                <w:rFonts w:cs="Arial"/>
              </w:rPr>
            </w:pPr>
          </w:p>
          <w:p w:rsidR="0022331F" w:rsidRPr="0022331F" w:rsidRDefault="0022331F" w:rsidP="0022331F">
            <w:pPr>
              <w:spacing w:before="40" w:after="40"/>
              <w:rPr>
                <w:rFonts w:cs="Arial"/>
              </w:rPr>
            </w:pPr>
            <w:r w:rsidRPr="0022331F">
              <w:rPr>
                <w:rFonts w:cs="Arial"/>
              </w:rPr>
              <w:tab/>
              <w:t>(a)</w:t>
            </w:r>
            <w:r w:rsidRPr="0022331F">
              <w:rPr>
                <w:rFonts w:cs="Arial"/>
              </w:rPr>
              <w:tab/>
              <w:t xml:space="preserve">use of information, documents or material provided by the breeder for verifying the maintenance of the variety, as set out in paragraph 15 of document CAJ-AG/13/8/4 “Matters concerning cancellation of the breeder's right”, with an explanation that the information, documents or material could be maintained in a different country;  and  </w:t>
            </w:r>
          </w:p>
          <w:p w:rsidR="0022331F" w:rsidRPr="0022331F" w:rsidRDefault="0022331F" w:rsidP="0022331F">
            <w:pPr>
              <w:spacing w:before="40" w:after="40"/>
              <w:rPr>
                <w:rFonts w:cs="Arial"/>
              </w:rPr>
            </w:pPr>
          </w:p>
          <w:p w:rsidR="0022331F" w:rsidRPr="0022331F" w:rsidRDefault="0022331F" w:rsidP="0022331F">
            <w:pPr>
              <w:spacing w:before="40" w:after="40"/>
              <w:rPr>
                <w:rFonts w:cs="Arial"/>
              </w:rPr>
            </w:pPr>
            <w:r w:rsidRPr="0022331F">
              <w:rPr>
                <w:rFonts w:cs="Arial"/>
              </w:rPr>
              <w:tab/>
              <w:t>(b)</w:t>
            </w:r>
            <w:r w:rsidRPr="0022331F">
              <w:rPr>
                <w:rFonts w:cs="Arial"/>
              </w:rPr>
              <w:tab/>
              <w:t>use of Test Guidelines for verifying the maintenance of the variety that were different from the Test Guidelines used for the examination of Distinctness, Uniformity and Stability (“DUS”).</w:t>
            </w:r>
          </w:p>
          <w:p w:rsidR="0022331F" w:rsidRPr="0022331F" w:rsidRDefault="0022331F" w:rsidP="0022331F">
            <w:pPr>
              <w:spacing w:before="40" w:after="40"/>
              <w:rPr>
                <w:rFonts w:cs="Arial"/>
              </w:rPr>
            </w:pPr>
          </w:p>
          <w:p w:rsidR="0022331F" w:rsidRDefault="0022331F" w:rsidP="0022331F">
            <w:pPr>
              <w:spacing w:before="40" w:after="40"/>
              <w:rPr>
                <w:rFonts w:cs="Arial"/>
              </w:rPr>
            </w:pPr>
            <w:r w:rsidRPr="0022331F">
              <w:rPr>
                <w:rFonts w:cs="Arial"/>
              </w:rPr>
              <w:t>The CAJ, at its sixty-ninth session, held in Geneva on April 10, 2014, in accordance with the proposal by the CAJ-AG, agreed to invite the TC to consider the development of guidance on certain matters concerning variety descriptions, as set out in document CAJ/69/2, paragraphs 27 and 28 (see document CAJ/69/13 “Report”, paragraph19).</w:t>
            </w:r>
          </w:p>
          <w:p w:rsidR="0022331F" w:rsidRDefault="0022331F" w:rsidP="006E59EC">
            <w:pPr>
              <w:spacing w:before="40" w:after="40"/>
              <w:rPr>
                <w:rFonts w:cs="Arial"/>
              </w:rPr>
            </w:pPr>
          </w:p>
          <w:p w:rsidR="00871895" w:rsidRPr="00482F75" w:rsidRDefault="00871895" w:rsidP="006E59EC">
            <w:pPr>
              <w:spacing w:before="40" w:after="40"/>
              <w:rPr>
                <w:rFonts w:cs="Arial"/>
              </w:rPr>
            </w:pPr>
          </w:p>
        </w:tc>
      </w:tr>
    </w:tbl>
    <w:p w:rsidR="005E3982" w:rsidRDefault="005E3982" w:rsidP="005E3982"/>
    <w:p w:rsidR="009F339C" w:rsidRDefault="009F339C" w:rsidP="005E3982"/>
    <w:p w:rsidR="002F32A9" w:rsidRDefault="002F32A9" w:rsidP="000E2821">
      <w:pPr>
        <w:pStyle w:val="Heading2"/>
      </w:pPr>
      <w:r w:rsidRPr="00BE4A7F">
        <w:t xml:space="preserve">Explanatory Notes on Nullity of the Breeder's Right under the UPOV Convention </w:t>
      </w:r>
      <w:r>
        <w:t>(Revision)</w:t>
      </w:r>
    </w:p>
    <w:p w:rsidR="002F32A9" w:rsidRDefault="002F32A9" w:rsidP="000E2821">
      <w:pPr>
        <w:keepNext/>
      </w:pPr>
    </w:p>
    <w:p w:rsidR="002F32A9" w:rsidRDefault="002F32A9" w:rsidP="002F32A9">
      <w:pPr>
        <w:rPr>
          <w:rFonts w:cs="Arial"/>
          <w:szCs w:val="26"/>
        </w:rPr>
      </w:pPr>
      <w:r>
        <w:fldChar w:fldCharType="begin"/>
      </w:r>
      <w:r>
        <w:instrText xml:space="preserve"> AUTONUM  </w:instrText>
      </w:r>
      <w:r>
        <w:fldChar w:fldCharType="end"/>
      </w:r>
      <w:r>
        <w:tab/>
      </w:r>
      <w:r w:rsidRPr="00482F75">
        <w:rPr>
          <w:rFonts w:cs="Arial"/>
        </w:rPr>
        <w:t xml:space="preserve">The CAJ­AG considered document </w:t>
      </w:r>
      <w:r w:rsidRPr="00BE4A7F">
        <w:t>UPOV/EXN/NUL/2 Draft 2</w:t>
      </w:r>
      <w:r>
        <w:t xml:space="preserve"> </w:t>
      </w:r>
      <w:r w:rsidRPr="00482F75">
        <w:rPr>
          <w:rFonts w:cs="Arial"/>
        </w:rPr>
        <w:t xml:space="preserve">and the </w:t>
      </w:r>
      <w:r w:rsidRPr="00482F75">
        <w:t xml:space="preserve">views expressed by </w:t>
      </w:r>
      <w:r>
        <w:rPr>
          <w:rFonts w:cs="Arial"/>
          <w:szCs w:val="26"/>
        </w:rPr>
        <w:t>ESA</w:t>
      </w:r>
      <w:r w:rsidR="0022331F">
        <w:rPr>
          <w:rFonts w:cs="Arial"/>
          <w:szCs w:val="26"/>
        </w:rPr>
        <w:t>.</w:t>
      </w:r>
    </w:p>
    <w:p w:rsidR="0022331F" w:rsidRDefault="0022331F" w:rsidP="002F32A9"/>
    <w:p w:rsidR="00871895" w:rsidRDefault="00871895" w:rsidP="000E2821">
      <w:pPr>
        <w:keepNext/>
        <w:rPr>
          <w:rFonts w:cs="Arial"/>
        </w:rPr>
      </w:pPr>
      <w:r>
        <w:fldChar w:fldCharType="begin"/>
      </w:r>
      <w:r>
        <w:instrText xml:space="preserve"> AUTONUM  </w:instrText>
      </w:r>
      <w:r>
        <w:fldChar w:fldCharType="end"/>
      </w:r>
      <w:r>
        <w:tab/>
      </w:r>
      <w:r w:rsidR="00D535EF" w:rsidRPr="0022331F">
        <w:rPr>
          <w:rFonts w:cs="Arial"/>
        </w:rPr>
        <w:t xml:space="preserve">The CAJ­AG agreed the following changes to </w:t>
      </w:r>
      <w:r w:rsidRPr="0022331F">
        <w:rPr>
          <w:rFonts w:cs="Arial"/>
        </w:rPr>
        <w:t xml:space="preserve">document </w:t>
      </w:r>
      <w:r w:rsidRPr="0022331F">
        <w:t>UPOV/EXN/NUL/2 Draft 2</w:t>
      </w:r>
      <w:r w:rsidRPr="0022331F">
        <w:rPr>
          <w:rFonts w:cs="Arial"/>
        </w:rPr>
        <w:t>:</w:t>
      </w:r>
    </w:p>
    <w:p w:rsidR="00871895" w:rsidRDefault="00871895" w:rsidP="000E2821">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91"/>
        <w:gridCol w:w="7789"/>
      </w:tblGrid>
      <w:tr w:rsidR="00871895" w:rsidRPr="00482F75" w:rsidTr="006E59EC">
        <w:trPr>
          <w:cantSplit/>
        </w:trPr>
        <w:tc>
          <w:tcPr>
            <w:tcW w:w="1391" w:type="dxa"/>
          </w:tcPr>
          <w:p w:rsidR="00871895" w:rsidRPr="00482F75" w:rsidRDefault="00D535EF" w:rsidP="006E59EC">
            <w:pPr>
              <w:spacing w:before="40" w:after="40"/>
              <w:rPr>
                <w:rFonts w:cs="Arial"/>
              </w:rPr>
            </w:pPr>
            <w:r>
              <w:rPr>
                <w:rFonts w:cs="Arial"/>
              </w:rPr>
              <w:t>Paragraph 9</w:t>
            </w:r>
          </w:p>
        </w:tc>
        <w:tc>
          <w:tcPr>
            <w:tcW w:w="7789" w:type="dxa"/>
          </w:tcPr>
          <w:p w:rsidR="00871895" w:rsidRPr="00BE1F8B" w:rsidRDefault="00B54223" w:rsidP="00BE1F8B">
            <w:pPr>
              <w:ind w:left="567"/>
              <w:rPr>
                <w:rFonts w:cs="Arial"/>
                <w:u w:val="single"/>
              </w:rPr>
            </w:pPr>
            <w:r>
              <w:rPr>
                <w:highlight w:val="lightGray"/>
                <w:u w:val="single"/>
              </w:rPr>
              <w:t>9.  T</w:t>
            </w:r>
            <w:r w:rsidRPr="009754C1">
              <w:rPr>
                <w:highlight w:val="lightGray"/>
                <w:u w:val="single"/>
              </w:rPr>
              <w:t xml:space="preserve">he decision to declare </w:t>
            </w:r>
            <w:r w:rsidRPr="009754C1">
              <w:rPr>
                <w:rFonts w:cs="Arial"/>
                <w:highlight w:val="lightGray"/>
                <w:u w:val="single"/>
              </w:rPr>
              <w:t>a breeder’s right null and void</w:t>
            </w:r>
            <w:r w:rsidRPr="009754C1">
              <w:rPr>
                <w:highlight w:val="lightGray"/>
                <w:u w:val="single"/>
              </w:rPr>
              <w:t xml:space="preserve"> invalidates the right from the date of grant, </w:t>
            </w:r>
            <w:r>
              <w:rPr>
                <w:highlight w:val="lightGray"/>
                <w:u w:val="single"/>
              </w:rPr>
              <w:t xml:space="preserve">although </w:t>
            </w:r>
            <w:r w:rsidRPr="009754C1">
              <w:rPr>
                <w:rFonts w:cs="Arial"/>
                <w:highlight w:val="lightGray"/>
                <w:u w:val="single"/>
              </w:rPr>
              <w:t xml:space="preserve">the decision of nullity by the competent authority </w:t>
            </w:r>
            <w:r>
              <w:rPr>
                <w:rFonts w:cs="Arial"/>
                <w:highlight w:val="lightGray"/>
                <w:u w:val="single"/>
              </w:rPr>
              <w:t>will occur</w:t>
            </w:r>
            <w:r w:rsidRPr="009754C1">
              <w:rPr>
                <w:rFonts w:cs="Arial"/>
                <w:highlight w:val="lightGray"/>
                <w:u w:val="single"/>
              </w:rPr>
              <w:t xml:space="preserve"> at a later date.  Therefore, nullity has</w:t>
            </w:r>
            <w:r>
              <w:rPr>
                <w:rFonts w:cs="Arial"/>
                <w:highlight w:val="lightGray"/>
                <w:u w:val="single"/>
              </w:rPr>
              <w:t>,</w:t>
            </w:r>
            <w:r w:rsidRPr="009754C1">
              <w:rPr>
                <w:rFonts w:cs="Arial"/>
                <w:highlight w:val="lightGray"/>
                <w:u w:val="single"/>
              </w:rPr>
              <w:t xml:space="preserve"> in principle</w:t>
            </w:r>
            <w:r>
              <w:rPr>
                <w:rFonts w:cs="Arial"/>
                <w:highlight w:val="lightGray"/>
                <w:u w:val="single"/>
              </w:rPr>
              <w:t>,</w:t>
            </w:r>
            <w:r w:rsidRPr="009754C1">
              <w:rPr>
                <w:rFonts w:cs="Arial"/>
                <w:highlight w:val="lightGray"/>
                <w:u w:val="single"/>
              </w:rPr>
              <w:t xml:space="preserve"> retroactive effects.</w:t>
            </w:r>
            <w:r>
              <w:rPr>
                <w:rFonts w:cs="Arial"/>
                <w:u w:val="single"/>
              </w:rPr>
              <w:t xml:space="preserve"> </w:t>
            </w:r>
            <w:r w:rsidRPr="008E438F">
              <w:rPr>
                <w:rFonts w:cs="Arial"/>
              </w:rPr>
              <w:t xml:space="preserve">The </w:t>
            </w:r>
            <w:r w:rsidRPr="003912FE">
              <w:rPr>
                <w:rFonts w:cs="Arial"/>
              </w:rPr>
              <w:t xml:space="preserve">retroactive effects of nullity may vary in practice </w:t>
            </w:r>
            <w:r w:rsidRPr="003912FE">
              <w:rPr>
                <w:rFonts w:cs="Arial"/>
                <w:strike/>
                <w:highlight w:val="lightGray"/>
              </w:rPr>
              <w:t>[and will depend on the relevant legislation of the member of the Union concerned]. [</w:t>
            </w:r>
            <w:r w:rsidRPr="003912FE">
              <w:rPr>
                <w:rFonts w:cs="Arial"/>
              </w:rPr>
              <w:t xml:space="preserve">The </w:t>
            </w:r>
            <w:r w:rsidRPr="003912FE">
              <w:rPr>
                <w:rFonts w:cs="Arial"/>
                <w:highlight w:val="lightGray"/>
                <w:u w:val="single"/>
              </w:rPr>
              <w:t>remedie</w:t>
            </w:r>
            <w:r w:rsidRPr="00382ED1">
              <w:rPr>
                <w:rFonts w:cs="Arial"/>
                <w:highlight w:val="lightGray"/>
                <w:u w:val="single"/>
              </w:rPr>
              <w:t>s concerning the</w:t>
            </w:r>
            <w:r>
              <w:rPr>
                <w:rFonts w:cs="Arial"/>
                <w:u w:val="single"/>
              </w:rPr>
              <w:t xml:space="preserve"> </w:t>
            </w:r>
            <w:r>
              <w:rPr>
                <w:rFonts w:cs="Arial"/>
              </w:rPr>
              <w:t>r</w:t>
            </w:r>
            <w:r w:rsidRPr="003912FE">
              <w:rPr>
                <w:rFonts w:cs="Arial"/>
              </w:rPr>
              <w:t xml:space="preserve">etroactive effects of nullity </w:t>
            </w:r>
            <w:r w:rsidRPr="00382ED1">
              <w:rPr>
                <w:rFonts w:cs="Arial"/>
                <w:strike/>
                <w:highlight w:val="lightGray"/>
              </w:rPr>
              <w:t xml:space="preserve">may also </w:t>
            </w:r>
            <w:r>
              <w:rPr>
                <w:rFonts w:cs="Arial"/>
                <w:highlight w:val="lightGray"/>
                <w:u w:val="single"/>
              </w:rPr>
              <w:t>will</w:t>
            </w:r>
            <w:r w:rsidRPr="009754C1">
              <w:rPr>
                <w:rFonts w:cs="Arial"/>
                <w:highlight w:val="lightGray"/>
                <w:u w:val="single"/>
              </w:rPr>
              <w:t xml:space="preserve"> depend on the relevant legislation of the member of the Union concerned and</w:t>
            </w:r>
            <w:r>
              <w:rPr>
                <w:rFonts w:cs="Arial"/>
              </w:rPr>
              <w:t xml:space="preserve"> may also depend on </w:t>
            </w:r>
            <w:r w:rsidRPr="003912FE">
              <w:rPr>
                <w:rFonts w:cs="Arial"/>
              </w:rPr>
              <w:t>contractual arrangements</w:t>
            </w:r>
            <w:r w:rsidRPr="00382ED1">
              <w:rPr>
                <w:rFonts w:cs="Arial"/>
                <w:strike/>
                <w:highlight w:val="lightGray"/>
              </w:rPr>
              <w:t>]</w:t>
            </w:r>
            <w:r w:rsidRPr="003912FE">
              <w:rPr>
                <w:rFonts w:cs="Arial"/>
              </w:rPr>
              <w:t>.   In some cases, such as in cases of fraud or wilful abusive acts by the holder of the breeder’s right, reimbursement of royalties paid and/or other remedies may apply.  In some other cases, reimbursement of royalties received by the holder of the breeder’s right may not be applicable.</w:t>
            </w:r>
          </w:p>
        </w:tc>
      </w:tr>
    </w:tbl>
    <w:p w:rsidR="009F339C" w:rsidRDefault="009F339C" w:rsidP="002F32A9"/>
    <w:p w:rsidR="00BE1F8B" w:rsidRDefault="00BE1F8B" w:rsidP="002F32A9"/>
    <w:p w:rsidR="002F32A9" w:rsidRDefault="002F32A9" w:rsidP="000E2821">
      <w:pPr>
        <w:pStyle w:val="Heading2"/>
      </w:pPr>
      <w:r w:rsidRPr="00BE4A7F">
        <w:t xml:space="preserve">Explanatory Notes on Variety Denominations under the UPOV Convention </w:t>
      </w:r>
      <w:r>
        <w:t>(Revision)</w:t>
      </w:r>
    </w:p>
    <w:p w:rsidR="002F32A9" w:rsidRDefault="002F32A9" w:rsidP="000E2821">
      <w:pPr>
        <w:keepNext/>
      </w:pPr>
    </w:p>
    <w:p w:rsidR="002F32A9" w:rsidRDefault="002F32A9" w:rsidP="002F32A9">
      <w:r>
        <w:fldChar w:fldCharType="begin"/>
      </w:r>
      <w:r>
        <w:instrText xml:space="preserve"> AUTONUM  </w:instrText>
      </w:r>
      <w:r>
        <w:fldChar w:fldCharType="end"/>
      </w:r>
      <w:r>
        <w:tab/>
      </w:r>
      <w:r w:rsidRPr="00482F75">
        <w:rPr>
          <w:rFonts w:cs="Arial"/>
        </w:rPr>
        <w:t xml:space="preserve">The CAJ­AG considered document </w:t>
      </w:r>
      <w:r w:rsidR="00FF32EB" w:rsidRPr="00BE4A7F">
        <w:t>UPOV/INF/12/5 Draft 2</w:t>
      </w:r>
      <w:r>
        <w:t xml:space="preserve"> </w:t>
      </w:r>
      <w:r w:rsidRPr="00482F75">
        <w:rPr>
          <w:rFonts w:cs="Arial"/>
        </w:rPr>
        <w:t xml:space="preserve">and the </w:t>
      </w:r>
      <w:r w:rsidRPr="00482F75">
        <w:t>views expressed by</w:t>
      </w:r>
      <w:r w:rsidR="00FF32EB">
        <w:t xml:space="preserve"> APBREBES and</w:t>
      </w:r>
      <w:r w:rsidRPr="00482F75">
        <w:t xml:space="preserve"> </w:t>
      </w:r>
      <w:r>
        <w:rPr>
          <w:rFonts w:cs="Arial"/>
          <w:szCs w:val="26"/>
        </w:rPr>
        <w:t>ESA</w:t>
      </w:r>
      <w:r w:rsidR="007E6A08">
        <w:rPr>
          <w:rFonts w:cs="Arial"/>
          <w:szCs w:val="26"/>
        </w:rPr>
        <w:t>.</w:t>
      </w:r>
    </w:p>
    <w:p w:rsidR="00AC2152" w:rsidRDefault="00AC2152" w:rsidP="002F32A9"/>
    <w:p w:rsidR="00AC2152" w:rsidRDefault="00AC2152" w:rsidP="002F32A9">
      <w:r>
        <w:fldChar w:fldCharType="begin"/>
      </w:r>
      <w:r>
        <w:instrText xml:space="preserve"> AUTONUM  </w:instrText>
      </w:r>
      <w:r>
        <w:fldChar w:fldCharType="end"/>
      </w:r>
      <w:r>
        <w:tab/>
      </w:r>
      <w:r w:rsidRPr="00482F75">
        <w:rPr>
          <w:rFonts w:cs="Arial"/>
        </w:rPr>
        <w:t>The CAJ-AG</w:t>
      </w:r>
      <w:r w:rsidR="00A0552A">
        <w:rPr>
          <w:rFonts w:cs="Arial"/>
        </w:rPr>
        <w:t xml:space="preserve">, at </w:t>
      </w:r>
      <w:r w:rsidR="00A0552A" w:rsidRPr="00482F75">
        <w:t>its eighth session</w:t>
      </w:r>
      <w:r w:rsidR="00A0552A">
        <w:t xml:space="preserve">, held </w:t>
      </w:r>
      <w:r w:rsidR="00A0552A" w:rsidRPr="00482F75">
        <w:t xml:space="preserve"> in Geneva on October 21</w:t>
      </w:r>
      <w:r w:rsidR="00A0552A">
        <w:t xml:space="preserve"> </w:t>
      </w:r>
      <w:r w:rsidR="00A0552A" w:rsidRPr="00482F75">
        <w:t>and 25, 2013</w:t>
      </w:r>
      <w:r w:rsidR="00A0552A">
        <w:t>,</w:t>
      </w:r>
      <w:r w:rsidRPr="00482F75">
        <w:rPr>
          <w:rFonts w:cs="Arial"/>
        </w:rPr>
        <w:t xml:space="preserve"> agreed to the development of guidance in relation to a request from a breeder to change a registered variety denomination</w:t>
      </w:r>
      <w:r w:rsidR="00A0552A">
        <w:rPr>
          <w:rFonts w:cs="Arial"/>
        </w:rPr>
        <w:t xml:space="preserve"> (see document CAJ-AG/13/8/10 “Report on the Conclusions”, paragraph 70</w:t>
      </w:r>
      <w:r w:rsidR="00F258D2">
        <w:rPr>
          <w:rFonts w:cs="Arial"/>
        </w:rPr>
        <w:t>)</w:t>
      </w:r>
      <w:r w:rsidR="00A0552A">
        <w:rPr>
          <w:rFonts w:cs="Arial"/>
        </w:rPr>
        <w:t>.  In that regard, the following guidance was agreed by the CAJ-AG:</w:t>
      </w:r>
    </w:p>
    <w:p w:rsidR="00AC2152" w:rsidRDefault="00AC2152" w:rsidP="002F32A9"/>
    <w:p w:rsidR="00AC2152" w:rsidRPr="00BE1F8B" w:rsidRDefault="00A0552A" w:rsidP="00BE1F8B">
      <w:pPr>
        <w:ind w:left="567" w:right="567"/>
        <w:rPr>
          <w:sz w:val="18"/>
        </w:rPr>
      </w:pPr>
      <w:r w:rsidRPr="00BE1F8B">
        <w:rPr>
          <w:sz w:val="18"/>
        </w:rPr>
        <w:t>“</w:t>
      </w:r>
      <w:r w:rsidR="00AC2152" w:rsidRPr="00BE1F8B">
        <w:rPr>
          <w:sz w:val="18"/>
        </w:rPr>
        <w:t>7.2</w:t>
      </w:r>
      <w:r w:rsidR="00AC2152" w:rsidRPr="00BE1F8B">
        <w:rPr>
          <w:sz w:val="18"/>
        </w:rPr>
        <w:tab/>
        <w:t>The following items provide guidance in relation to changes of registered variety denominations:</w:t>
      </w:r>
    </w:p>
    <w:p w:rsidR="00AC2152" w:rsidRPr="00BE1F8B" w:rsidRDefault="00AC2152" w:rsidP="00BE1F8B">
      <w:pPr>
        <w:ind w:left="567" w:right="567"/>
        <w:rPr>
          <w:sz w:val="18"/>
        </w:rPr>
      </w:pPr>
    </w:p>
    <w:p w:rsidR="00AC2152" w:rsidRPr="00BE1F8B" w:rsidRDefault="00AC2152" w:rsidP="00BE1F8B">
      <w:pPr>
        <w:ind w:left="567" w:right="567" w:firstLine="567"/>
        <w:rPr>
          <w:sz w:val="18"/>
        </w:rPr>
      </w:pPr>
      <w:r w:rsidRPr="00BE1F8B">
        <w:rPr>
          <w:sz w:val="18"/>
        </w:rPr>
        <w:t>(a)</w:t>
      </w:r>
      <w:r w:rsidRPr="00BE1F8B">
        <w:rPr>
          <w:sz w:val="18"/>
        </w:rPr>
        <w:tab/>
        <w:t xml:space="preserve">The UPOV Convention requires a change of the registered denomination where the denomination of the variety is cancelled after the grant of the right. The competent authority should cancel a variety denomination if: </w:t>
      </w:r>
    </w:p>
    <w:p w:rsidR="00AC2152" w:rsidRPr="00BE1F8B" w:rsidRDefault="00AC2152" w:rsidP="00BE1F8B">
      <w:pPr>
        <w:pStyle w:val="ListParagraph"/>
        <w:ind w:left="1287" w:right="567"/>
        <w:rPr>
          <w:sz w:val="18"/>
        </w:rPr>
      </w:pPr>
    </w:p>
    <w:p w:rsidR="00AC2152" w:rsidRPr="00BE1F8B" w:rsidRDefault="00AC2152" w:rsidP="00BE1F8B">
      <w:pPr>
        <w:ind w:left="567" w:right="567" w:firstLine="567"/>
        <w:rPr>
          <w:sz w:val="18"/>
        </w:rPr>
      </w:pPr>
      <w:r w:rsidRPr="00BE1F8B">
        <w:rPr>
          <w:sz w:val="18"/>
        </w:rPr>
        <w:tab/>
        <w:t>(</w:t>
      </w:r>
      <w:proofErr w:type="spellStart"/>
      <w:r w:rsidRPr="00BE1F8B">
        <w:rPr>
          <w:sz w:val="18"/>
        </w:rPr>
        <w:t>i</w:t>
      </w:r>
      <w:proofErr w:type="spellEnd"/>
      <w:r w:rsidRPr="00BE1F8B">
        <w:rPr>
          <w:sz w:val="18"/>
        </w:rPr>
        <w:t>)</w:t>
      </w:r>
      <w:r w:rsidRPr="00BE1F8B">
        <w:rPr>
          <w:sz w:val="18"/>
        </w:rPr>
        <w:tab/>
        <w:t xml:space="preserve">by reason of a prior right, the use of the denomination of a variety is forbidden to a person who, in accordance with the provisions of paragraph (7), is obliged to use it (see paragraph  (4) “Prior rights of third persons”); </w:t>
      </w:r>
    </w:p>
    <w:p w:rsidR="00AC2152" w:rsidRPr="00BE1F8B" w:rsidRDefault="00AC2152" w:rsidP="00BE1F8B">
      <w:pPr>
        <w:ind w:left="567" w:right="567" w:firstLine="567"/>
        <w:rPr>
          <w:sz w:val="18"/>
        </w:rPr>
      </w:pPr>
    </w:p>
    <w:p w:rsidR="00AC2152" w:rsidRPr="00BE1F8B" w:rsidRDefault="00AC2152" w:rsidP="00BE1F8B">
      <w:pPr>
        <w:ind w:left="567" w:right="567" w:firstLine="567"/>
        <w:rPr>
          <w:sz w:val="18"/>
        </w:rPr>
      </w:pPr>
      <w:r w:rsidRPr="00BE1F8B">
        <w:rPr>
          <w:sz w:val="18"/>
        </w:rPr>
        <w:tab/>
        <w:t>(ii)</w:t>
      </w:r>
      <w:r w:rsidRPr="00BE1F8B">
        <w:rPr>
          <w:sz w:val="18"/>
        </w:rPr>
        <w:tab/>
      </w:r>
      <w:proofErr w:type="gramStart"/>
      <w:r w:rsidRPr="00BE1F8B">
        <w:rPr>
          <w:sz w:val="18"/>
        </w:rPr>
        <w:t>the</w:t>
      </w:r>
      <w:proofErr w:type="gramEnd"/>
      <w:r w:rsidRPr="00BE1F8B">
        <w:rPr>
          <w:sz w:val="18"/>
        </w:rPr>
        <w:t xml:space="preserve"> denomination is unsuitable because it is contrary</w:t>
      </w:r>
      <w:r w:rsidR="00BE1F8B">
        <w:rPr>
          <w:sz w:val="18"/>
        </w:rPr>
        <w:t xml:space="preserve"> to the provisions in paragraph </w:t>
      </w:r>
      <w:r w:rsidRPr="00BE1F8B">
        <w:rPr>
          <w:sz w:val="18"/>
        </w:rPr>
        <w:t xml:space="preserve">(2) “Characteristics of the denomination”; </w:t>
      </w:r>
    </w:p>
    <w:p w:rsidR="00AC2152" w:rsidRPr="00BE1F8B" w:rsidRDefault="00AC2152" w:rsidP="00BE1F8B">
      <w:pPr>
        <w:pStyle w:val="ListParagraph"/>
        <w:ind w:left="2421" w:right="567"/>
        <w:rPr>
          <w:sz w:val="18"/>
        </w:rPr>
      </w:pPr>
    </w:p>
    <w:p w:rsidR="00AC2152" w:rsidRPr="00BE1F8B" w:rsidRDefault="00AC2152" w:rsidP="00BE1F8B">
      <w:pPr>
        <w:ind w:left="567" w:right="567" w:firstLine="567"/>
        <w:rPr>
          <w:sz w:val="18"/>
        </w:rPr>
      </w:pPr>
      <w:r w:rsidRPr="00BE1F8B">
        <w:rPr>
          <w:sz w:val="18"/>
        </w:rPr>
        <w:t>(b)</w:t>
      </w:r>
      <w:r w:rsidRPr="00BE1F8B">
        <w:rPr>
          <w:sz w:val="18"/>
        </w:rPr>
        <w:tab/>
        <w:t>In cases where the registered denomination is subsequently refused in another member of the Union because it is unsuitable in that territory (</w:t>
      </w:r>
      <w:proofErr w:type="spellStart"/>
      <w:r w:rsidRPr="00BE1F8B">
        <w:rPr>
          <w:sz w:val="18"/>
        </w:rPr>
        <w:t>e,g</w:t>
      </w:r>
      <w:proofErr w:type="spellEnd"/>
      <w:r w:rsidRPr="00BE1F8B">
        <w:rPr>
          <w:sz w:val="18"/>
        </w:rPr>
        <w:t>, prior right), at the request of the breeder, the authority may consider it appropriate to change the denomination to the denomination registered in the said other member of the Union (see provisions in paragraph (5) “Same denomination in all Contracting Parties”); and</w:t>
      </w:r>
    </w:p>
    <w:p w:rsidR="00AC2152" w:rsidRPr="00BE1F8B" w:rsidRDefault="00AC2152" w:rsidP="00BE1F8B">
      <w:pPr>
        <w:ind w:left="567" w:right="567"/>
        <w:rPr>
          <w:sz w:val="18"/>
        </w:rPr>
      </w:pPr>
    </w:p>
    <w:p w:rsidR="00AC2152" w:rsidRPr="00BE1F8B" w:rsidRDefault="00AC2152" w:rsidP="00BE1F8B">
      <w:pPr>
        <w:ind w:left="567" w:right="567" w:firstLine="567"/>
        <w:rPr>
          <w:sz w:val="18"/>
        </w:rPr>
      </w:pPr>
      <w:r w:rsidRPr="00BE1F8B">
        <w:rPr>
          <w:sz w:val="18"/>
        </w:rPr>
        <w:t>(c)</w:t>
      </w:r>
      <w:r w:rsidRPr="00BE1F8B">
        <w:rPr>
          <w:sz w:val="18"/>
        </w:rPr>
        <w:tab/>
        <w:t>In general, subject to (a) and (b) above, it would not be appropriate for the authority to change a registered denomination following a request by the breeder.</w:t>
      </w:r>
      <w:r w:rsidR="00A0552A" w:rsidRPr="00BE1F8B">
        <w:rPr>
          <w:sz w:val="18"/>
        </w:rPr>
        <w:t>”</w:t>
      </w:r>
    </w:p>
    <w:p w:rsidR="00A0552A" w:rsidRDefault="00A0552A" w:rsidP="00AC2152"/>
    <w:p w:rsidR="00A0552A" w:rsidRDefault="00A0552A" w:rsidP="00AC2152">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Proposals concerning other </w:t>
      </w:r>
      <w:r w:rsidR="009E3396">
        <w:rPr>
          <w:rFonts w:cs="Arial"/>
        </w:rPr>
        <w:t xml:space="preserve">aspects </w:t>
      </w:r>
      <w:r>
        <w:rPr>
          <w:rFonts w:cs="Arial"/>
        </w:rPr>
        <w:t xml:space="preserve">in the explanatory notes were received when </w:t>
      </w:r>
      <w:r w:rsidRPr="00482F75">
        <w:rPr>
          <w:rFonts w:cs="Arial"/>
        </w:rPr>
        <w:t xml:space="preserve">document </w:t>
      </w:r>
      <w:r>
        <w:t>UPOV/INF/12/5 Draft 1 was circulated by correspondence, and the</w:t>
      </w:r>
      <w:r w:rsidRPr="00482F75">
        <w:rPr>
          <w:rFonts w:cs="Arial"/>
        </w:rPr>
        <w:t xml:space="preserve"> CAJ­AG </w:t>
      </w:r>
      <w:r w:rsidR="009E3396">
        <w:rPr>
          <w:rFonts w:cs="Arial"/>
        </w:rPr>
        <w:t>agreed to make an initial consideration of</w:t>
      </w:r>
      <w:r>
        <w:rPr>
          <w:rFonts w:cs="Arial"/>
        </w:rPr>
        <w:t xml:space="preserve"> those other proposals, </w:t>
      </w:r>
      <w:r w:rsidR="009E3396">
        <w:rPr>
          <w:rFonts w:cs="Arial"/>
        </w:rPr>
        <w:t>in order to assist the CAJ.</w:t>
      </w:r>
    </w:p>
    <w:p w:rsidR="009E3396" w:rsidRDefault="009E3396" w:rsidP="00AC2152">
      <w:pPr>
        <w:rPr>
          <w:rFonts w:cs="Arial"/>
        </w:rPr>
      </w:pPr>
    </w:p>
    <w:p w:rsidR="00BE1F8B" w:rsidRDefault="00BE1F8B">
      <w:pPr>
        <w:jc w:val="left"/>
      </w:pPr>
      <w:r>
        <w:br w:type="page"/>
      </w:r>
    </w:p>
    <w:p w:rsidR="009E3396" w:rsidRPr="00A0552A" w:rsidRDefault="009E3396" w:rsidP="00AC2152">
      <w:r>
        <w:fldChar w:fldCharType="begin"/>
      </w:r>
      <w:r>
        <w:instrText xml:space="preserve"> AUTONUM  </w:instrText>
      </w:r>
      <w:r>
        <w:fldChar w:fldCharType="end"/>
      </w:r>
      <w:r>
        <w:tab/>
        <w:t xml:space="preserve">The following suggestions were agreed by the CAJ-AG: </w:t>
      </w:r>
    </w:p>
    <w:p w:rsidR="00871895" w:rsidRDefault="00871895" w:rsidP="000E2821">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871895" w:rsidRPr="00482F75" w:rsidTr="00452713">
        <w:trPr>
          <w:cantSplit/>
        </w:trPr>
        <w:tc>
          <w:tcPr>
            <w:tcW w:w="1391" w:type="dxa"/>
          </w:tcPr>
          <w:p w:rsidR="00871895" w:rsidRPr="00452713" w:rsidRDefault="007E6A08" w:rsidP="00452713">
            <w:pPr>
              <w:rPr>
                <w:rFonts w:cs="Arial"/>
              </w:rPr>
            </w:pPr>
            <w:r w:rsidRPr="00452713">
              <w:t>2.2.2</w:t>
            </w:r>
            <w:r w:rsidR="00431FB9" w:rsidRPr="00452713">
              <w:t xml:space="preserve"> (b)</w:t>
            </w:r>
          </w:p>
        </w:tc>
        <w:tc>
          <w:tcPr>
            <w:tcW w:w="7789" w:type="dxa"/>
          </w:tcPr>
          <w:p w:rsidR="00431FB9" w:rsidRDefault="007E6A08" w:rsidP="00452713">
            <w:pPr>
              <w:rPr>
                <w:snapToGrid w:val="0"/>
              </w:rPr>
            </w:pPr>
            <w:r w:rsidRPr="00452713">
              <w:rPr>
                <w:snapToGrid w:val="0"/>
              </w:rPr>
              <w:t xml:space="preserve">To clarify </w:t>
            </w:r>
            <w:r w:rsidR="00431FB9" w:rsidRPr="00452713">
              <w:rPr>
                <w:snapToGrid w:val="0"/>
              </w:rPr>
              <w:t xml:space="preserve">the </w:t>
            </w:r>
            <w:r w:rsidRPr="00452713">
              <w:rPr>
                <w:snapToGrid w:val="0"/>
              </w:rPr>
              <w:t>termino</w:t>
            </w:r>
            <w:r w:rsidR="00431FB9" w:rsidRPr="00452713">
              <w:rPr>
                <w:snapToGrid w:val="0"/>
              </w:rPr>
              <w:t xml:space="preserve">logy in </w:t>
            </w:r>
            <w:r w:rsidR="00431FB9" w:rsidRPr="00452713">
              <w:t>2.2.2 (b)</w:t>
            </w:r>
            <w:r w:rsidR="00431FB9" w:rsidRPr="00452713">
              <w:rPr>
                <w:snapToGrid w:val="0"/>
              </w:rPr>
              <w:t>.</w:t>
            </w:r>
            <w:r w:rsidR="00AC2152" w:rsidRPr="00452713">
              <w:rPr>
                <w:snapToGrid w:val="0"/>
              </w:rPr>
              <w:t xml:space="preserve"> In particular, t</w:t>
            </w:r>
            <w:r w:rsidR="00431FB9" w:rsidRPr="00452713">
              <w:rPr>
                <w:snapToGrid w:val="0"/>
              </w:rPr>
              <w:t>o consider changing the examples or replacing “species” by “genera”</w:t>
            </w:r>
            <w:r w:rsidR="00BE1F8B" w:rsidRPr="00452713">
              <w:rPr>
                <w:snapToGrid w:val="0"/>
              </w:rPr>
              <w:t xml:space="preserve"> or “taxa”</w:t>
            </w:r>
            <w:r w:rsidR="00431FB9" w:rsidRPr="00452713">
              <w:rPr>
                <w:snapToGrid w:val="0"/>
              </w:rPr>
              <w:t xml:space="preserve"> in the following sentence:</w:t>
            </w:r>
          </w:p>
          <w:p w:rsidR="00452713" w:rsidRPr="00452713" w:rsidRDefault="00452713" w:rsidP="00452713">
            <w:pPr>
              <w:rPr>
                <w:snapToGrid w:val="0"/>
              </w:rPr>
            </w:pPr>
          </w:p>
          <w:p w:rsidR="00871895" w:rsidRPr="00452713" w:rsidRDefault="00431FB9" w:rsidP="00C841DF">
            <w:pPr>
              <w:rPr>
                <w:snapToGrid w:val="0"/>
              </w:rPr>
            </w:pPr>
            <w:r w:rsidRPr="00452713">
              <w:rPr>
                <w:snapToGrid w:val="0"/>
              </w:rPr>
              <w:t>“</w:t>
            </w:r>
            <w:r w:rsidRPr="00452713">
              <w:rPr>
                <w:color w:val="000000"/>
              </w:rPr>
              <w:t>(b)</w:t>
            </w:r>
            <w:r w:rsidRPr="00452713">
              <w:rPr>
                <w:color w:val="000000"/>
              </w:rPr>
              <w:tab/>
            </w:r>
            <w:proofErr w:type="gramStart"/>
            <w:r w:rsidRPr="00452713">
              <w:rPr>
                <w:color w:val="000000"/>
              </w:rPr>
              <w:t>accepted</w:t>
            </w:r>
            <w:proofErr w:type="gramEnd"/>
            <w:r w:rsidRPr="00452713">
              <w:rPr>
                <w:color w:val="000000"/>
              </w:rPr>
              <w:t xml:space="preserve"> market practices for particular variety types (e.g. hybrids) and particular species (e.g. </w:t>
            </w:r>
            <w:proofErr w:type="spellStart"/>
            <w:r w:rsidRPr="00452713">
              <w:rPr>
                <w:color w:val="000000"/>
              </w:rPr>
              <w:t>Medicago</w:t>
            </w:r>
            <w:proofErr w:type="spellEnd"/>
            <w:r w:rsidRPr="00452713">
              <w:rPr>
                <w:color w:val="000000"/>
              </w:rPr>
              <w:t>, Helianthus).</w:t>
            </w:r>
          </w:p>
        </w:tc>
      </w:tr>
      <w:tr w:rsidR="00871895" w:rsidRPr="00482F75" w:rsidTr="00452713">
        <w:trPr>
          <w:cantSplit/>
        </w:trPr>
        <w:tc>
          <w:tcPr>
            <w:tcW w:w="1391" w:type="dxa"/>
          </w:tcPr>
          <w:p w:rsidR="00871895" w:rsidRPr="00452713" w:rsidRDefault="00431FB9" w:rsidP="00452713">
            <w:pPr>
              <w:rPr>
                <w:rFonts w:cs="Arial"/>
              </w:rPr>
            </w:pPr>
            <w:r w:rsidRPr="00452713">
              <w:rPr>
                <w:rFonts w:cs="Arial"/>
              </w:rPr>
              <w:t>2.2.2 (c)</w:t>
            </w:r>
          </w:p>
        </w:tc>
        <w:tc>
          <w:tcPr>
            <w:tcW w:w="7789" w:type="dxa"/>
          </w:tcPr>
          <w:p w:rsidR="00431FB9" w:rsidRPr="00452713" w:rsidRDefault="00431FB9" w:rsidP="00452713">
            <w:pPr>
              <w:rPr>
                <w:rFonts w:cs="Arial"/>
              </w:rPr>
            </w:pPr>
            <w:r w:rsidRPr="00452713">
              <w:rPr>
                <w:rFonts w:cs="Arial"/>
              </w:rPr>
              <w:t>To add 2.2.2 (c) as follows:</w:t>
            </w:r>
          </w:p>
          <w:p w:rsidR="00431FB9" w:rsidRPr="00452713" w:rsidRDefault="00431FB9" w:rsidP="00452713">
            <w:pPr>
              <w:rPr>
                <w:rFonts w:cs="Arial"/>
              </w:rPr>
            </w:pPr>
          </w:p>
          <w:p w:rsidR="00871895" w:rsidRPr="00452713" w:rsidRDefault="00431FB9" w:rsidP="00C841DF">
            <w:pPr>
              <w:rPr>
                <w:rFonts w:cs="Arial"/>
              </w:rPr>
            </w:pPr>
            <w:r w:rsidRPr="00452713">
              <w:rPr>
                <w:rFonts w:cs="Arial"/>
              </w:rPr>
              <w:t>“(c)</w:t>
            </w:r>
            <w:r w:rsidR="00C841DF">
              <w:rPr>
                <w:rFonts w:cs="Arial"/>
              </w:rPr>
              <w:tab/>
            </w:r>
            <w:r w:rsidRPr="00452713">
              <w:rPr>
                <w:rFonts w:cs="Arial"/>
              </w:rPr>
              <w:t>‘established practice’ is determined to be when registration has been accepted for one species or group, so that it can be used in other species which have not yet registered any variety whose denomination consists solely of figures.”</w:t>
            </w:r>
          </w:p>
        </w:tc>
      </w:tr>
      <w:tr w:rsidR="00871895" w:rsidRPr="00482F75" w:rsidTr="00452713">
        <w:trPr>
          <w:cantSplit/>
        </w:trPr>
        <w:tc>
          <w:tcPr>
            <w:tcW w:w="1391" w:type="dxa"/>
          </w:tcPr>
          <w:p w:rsidR="00871895" w:rsidRPr="00452713" w:rsidRDefault="00431FB9" w:rsidP="00452713">
            <w:pPr>
              <w:rPr>
                <w:rFonts w:cs="Arial"/>
              </w:rPr>
            </w:pPr>
            <w:r w:rsidRPr="00452713">
              <w:t>2.3.1 (c)</w:t>
            </w:r>
          </w:p>
        </w:tc>
        <w:tc>
          <w:tcPr>
            <w:tcW w:w="7789" w:type="dxa"/>
          </w:tcPr>
          <w:p w:rsidR="00431FB9" w:rsidRPr="00452713" w:rsidRDefault="00431FB9" w:rsidP="00452713">
            <w:r w:rsidRPr="00452713">
              <w:t>To develop further guidance on 2.3.1 (c) and to provide</w:t>
            </w:r>
            <w:r w:rsidR="00452713">
              <w:t xml:space="preserve"> other, more</w:t>
            </w:r>
            <w:r w:rsidRPr="00452713">
              <w:t xml:space="preserve"> appropriate examples</w:t>
            </w:r>
          </w:p>
          <w:p w:rsidR="00431FB9" w:rsidRPr="00452713" w:rsidRDefault="00431FB9" w:rsidP="00452713">
            <w:pPr>
              <w:keepNext/>
            </w:pPr>
          </w:p>
          <w:p w:rsidR="00431FB9" w:rsidRPr="00452713" w:rsidRDefault="00431FB9" w:rsidP="00452713">
            <w:pPr>
              <w:keepNext/>
            </w:pPr>
            <w:r w:rsidRPr="00452713">
              <w:t>“(c)</w:t>
            </w:r>
            <w:r w:rsidRPr="00452713">
              <w:tab/>
              <w:t>convey the impression that the variety is derived from, or related to, another variety when that is not, in fact, the case;</w:t>
            </w:r>
          </w:p>
          <w:p w:rsidR="00431FB9" w:rsidRPr="00452713" w:rsidRDefault="00431FB9" w:rsidP="00452713">
            <w:pPr>
              <w:keepNext/>
            </w:pPr>
          </w:p>
          <w:p w:rsidR="00871895" w:rsidRPr="00452713" w:rsidRDefault="00431FB9" w:rsidP="00452713">
            <w:pPr>
              <w:rPr>
                <w:rFonts w:cs="Arial"/>
              </w:rPr>
            </w:pPr>
            <w:r w:rsidRPr="00452713">
              <w:rPr>
                <w:i/>
              </w:rPr>
              <w:t>Example:</w:t>
            </w:r>
            <w:r w:rsidRPr="00452713">
              <w:t xml:space="preserve">  a denomination which is similar to that of another variety of the same species or closely related species, e.g. “Southern cross 1”; “Southern cross 2”; etc., giving the impression that these varieties are a series of related varieties with similar characteristics, when, in fact, this is not the case.”</w:t>
            </w:r>
          </w:p>
        </w:tc>
      </w:tr>
      <w:tr w:rsidR="00871895" w:rsidRPr="00482F75" w:rsidTr="00452713">
        <w:trPr>
          <w:cantSplit/>
        </w:trPr>
        <w:tc>
          <w:tcPr>
            <w:tcW w:w="1391" w:type="dxa"/>
          </w:tcPr>
          <w:p w:rsidR="00871895" w:rsidRPr="00452713" w:rsidRDefault="0090684B" w:rsidP="00452713">
            <w:r w:rsidRPr="00452713">
              <w:t>2.3.1.(d)</w:t>
            </w:r>
          </w:p>
        </w:tc>
        <w:tc>
          <w:tcPr>
            <w:tcW w:w="7789" w:type="dxa"/>
          </w:tcPr>
          <w:p w:rsidR="0090684B" w:rsidRDefault="0090684B" w:rsidP="00452713">
            <w:r w:rsidRPr="00452713">
              <w:t>To add 2.3.1.(d) as follows:</w:t>
            </w:r>
          </w:p>
          <w:p w:rsidR="00452713" w:rsidRPr="00452713" w:rsidRDefault="00452713" w:rsidP="00452713"/>
          <w:p w:rsidR="00871895" w:rsidRPr="00452713" w:rsidRDefault="0090684B" w:rsidP="00452713">
            <w:r w:rsidRPr="00452713">
              <w:t xml:space="preserve">“(d) </w:t>
            </w:r>
            <w:r w:rsidRPr="00452713">
              <w:tab/>
            </w:r>
            <w:proofErr w:type="gramStart"/>
            <w:r w:rsidRPr="00452713">
              <w:t>contain</w:t>
            </w:r>
            <w:proofErr w:type="gramEnd"/>
            <w:r w:rsidRPr="00452713">
              <w:t xml:space="preserve"> the </w:t>
            </w:r>
            <w:r w:rsidR="00C841DF">
              <w:t>botanical</w:t>
            </w:r>
            <w:r w:rsidRPr="00452713">
              <w:t xml:space="preserve"> or common name of the genus to which that variety belongs. The identity of the denomination and that of the genus to which it belongs could become unclear and confusing.”</w:t>
            </w:r>
          </w:p>
          <w:p w:rsidR="0090684B" w:rsidRPr="00452713" w:rsidRDefault="0090684B" w:rsidP="00452713">
            <w:pPr>
              <w:rPr>
                <w:highlight w:val="lightGray"/>
              </w:rPr>
            </w:pPr>
          </w:p>
          <w:p w:rsidR="0090684B" w:rsidRPr="00452713" w:rsidRDefault="0090684B" w:rsidP="00452713">
            <w:r w:rsidRPr="00452713">
              <w:t>To clarify the following example:</w:t>
            </w:r>
          </w:p>
          <w:p w:rsidR="0090684B" w:rsidRPr="00452713" w:rsidRDefault="0090684B" w:rsidP="00452713"/>
          <w:p w:rsidR="0090684B" w:rsidRPr="00452713" w:rsidRDefault="0090684B" w:rsidP="00452713">
            <w:pPr>
              <w:ind w:left="567"/>
            </w:pPr>
            <w:r w:rsidRPr="00452713">
              <w:rPr>
                <w:i/>
              </w:rPr>
              <w:t>Example</w:t>
            </w:r>
            <w:r w:rsidRPr="00452713">
              <w:t xml:space="preserve">:  </w:t>
            </w:r>
            <w:proofErr w:type="spellStart"/>
            <w:r w:rsidRPr="00452713">
              <w:rPr>
                <w:i/>
              </w:rPr>
              <w:t>Carex</w:t>
            </w:r>
            <w:proofErr w:type="spellEnd"/>
            <w:r w:rsidRPr="00452713">
              <w:rPr>
                <w:i/>
              </w:rPr>
              <w:t xml:space="preserve"> </w:t>
            </w:r>
            <w:r w:rsidRPr="00452713">
              <w:t xml:space="preserve">variety ‘Sedge’. This could possibly be referred to as ‘Sedge’ </w:t>
            </w:r>
            <w:proofErr w:type="spellStart"/>
            <w:r w:rsidRPr="00452713">
              <w:rPr>
                <w:i/>
              </w:rPr>
              <w:t>Carex</w:t>
            </w:r>
            <w:proofErr w:type="spellEnd"/>
            <w:r w:rsidRPr="00452713">
              <w:rPr>
                <w:i/>
              </w:rPr>
              <w:t xml:space="preserve"> </w:t>
            </w:r>
            <w:r w:rsidRPr="00452713">
              <w:t>and without the use of italics or single quotes the identity of the denomination and the genus may not be clear.</w:t>
            </w:r>
          </w:p>
          <w:p w:rsidR="0090684B" w:rsidRPr="00452713" w:rsidRDefault="0090684B" w:rsidP="00452713"/>
          <w:p w:rsidR="0090684B" w:rsidRPr="00452713" w:rsidRDefault="0090684B" w:rsidP="00C841DF">
            <w:r w:rsidRPr="00452713">
              <w:t xml:space="preserve">To develop guidance on possible confusion of the use of the </w:t>
            </w:r>
            <w:r w:rsidR="00C841DF">
              <w:t>botanical</w:t>
            </w:r>
            <w:r w:rsidRPr="00452713">
              <w:t xml:space="preserve"> or common name of </w:t>
            </w:r>
            <w:r w:rsidR="00C841DF">
              <w:t xml:space="preserve">a </w:t>
            </w:r>
            <w:r w:rsidRPr="00452713">
              <w:t xml:space="preserve">genus to which that variety does </w:t>
            </w:r>
            <w:r w:rsidRPr="00C841DF">
              <w:rPr>
                <w:u w:val="single"/>
              </w:rPr>
              <w:t>not</w:t>
            </w:r>
            <w:r w:rsidRPr="00452713">
              <w:t xml:space="preserve"> belong – case by case</w:t>
            </w:r>
          </w:p>
        </w:tc>
      </w:tr>
      <w:tr w:rsidR="00871895" w:rsidRPr="00482F75" w:rsidTr="00452713">
        <w:trPr>
          <w:cantSplit/>
        </w:trPr>
        <w:tc>
          <w:tcPr>
            <w:tcW w:w="1391" w:type="dxa"/>
          </w:tcPr>
          <w:p w:rsidR="00871895" w:rsidRPr="00452713" w:rsidRDefault="0090684B" w:rsidP="00452713">
            <w:r w:rsidRPr="00452713">
              <w:t>2.3.3.</w:t>
            </w:r>
          </w:p>
        </w:tc>
        <w:tc>
          <w:tcPr>
            <w:tcW w:w="7789" w:type="dxa"/>
          </w:tcPr>
          <w:p w:rsidR="00871895" w:rsidRPr="00452713" w:rsidRDefault="0090684B" w:rsidP="00452713">
            <w:pPr>
              <w:rPr>
                <w:snapToGrid w:val="0"/>
              </w:rPr>
            </w:pPr>
            <w:r w:rsidRPr="00452713">
              <w:rPr>
                <w:snapToGrid w:val="0"/>
              </w:rPr>
              <w:t xml:space="preserve">To consider proposals in 2.3.3 of document </w:t>
            </w:r>
            <w:r w:rsidRPr="00452713">
              <w:t>UPOV/INF/12/5 Draft 2 as an initial step to develop further guidance and appropriate examples in conjunction with the development of an effective UPOV similarity search tool</w:t>
            </w:r>
          </w:p>
        </w:tc>
      </w:tr>
      <w:tr w:rsidR="00871895" w:rsidRPr="00482F75" w:rsidTr="00452713">
        <w:trPr>
          <w:cantSplit/>
        </w:trPr>
        <w:tc>
          <w:tcPr>
            <w:tcW w:w="1391" w:type="dxa"/>
          </w:tcPr>
          <w:p w:rsidR="00871895" w:rsidRPr="00452713" w:rsidRDefault="00D81A88" w:rsidP="00452713">
            <w:r w:rsidRPr="00452713">
              <w:t>4(a)</w:t>
            </w:r>
          </w:p>
        </w:tc>
        <w:tc>
          <w:tcPr>
            <w:tcW w:w="7789" w:type="dxa"/>
          </w:tcPr>
          <w:p w:rsidR="00871895" w:rsidRPr="00452713" w:rsidRDefault="00D81A88" w:rsidP="00452713">
            <w:pPr>
              <w:rPr>
                <w:snapToGrid w:val="0"/>
              </w:rPr>
            </w:pPr>
            <w:r w:rsidRPr="00452713">
              <w:rPr>
                <w:snapToGrid w:val="0"/>
              </w:rPr>
              <w:t>To modify 4(a) as follows:</w:t>
            </w:r>
          </w:p>
          <w:p w:rsidR="00D81A88" w:rsidRPr="00452713" w:rsidRDefault="00D81A88" w:rsidP="00452713">
            <w:pPr>
              <w:rPr>
                <w:snapToGrid w:val="0"/>
              </w:rPr>
            </w:pPr>
          </w:p>
          <w:p w:rsidR="00D81A88" w:rsidRPr="00452713" w:rsidRDefault="00AC2152" w:rsidP="00452713">
            <w:pPr>
              <w:ind w:firstLine="567"/>
            </w:pPr>
            <w:r w:rsidRPr="00452713">
              <w:t>“</w:t>
            </w:r>
            <w:r w:rsidR="00D81A88" w:rsidRPr="00452713">
              <w:t>(a)</w:t>
            </w:r>
            <w:r w:rsidR="00D81A88" w:rsidRPr="00452713">
              <w:tab/>
              <w:t xml:space="preserve">An authority should not accept a variety denomination if </w:t>
            </w:r>
            <w:r w:rsidR="00D81A88" w:rsidRPr="00452713">
              <w:rPr>
                <w:strike/>
              </w:rPr>
              <w:t>a</w:t>
            </w:r>
            <w:r w:rsidR="00D81A88" w:rsidRPr="00452713">
              <w:t xml:space="preserve"> </w:t>
            </w:r>
            <w:r w:rsidR="00D81A88" w:rsidRPr="00452713">
              <w:rPr>
                <w:u w:val="single"/>
              </w:rPr>
              <w:t>there is an existing</w:t>
            </w:r>
            <w:r w:rsidR="00D81A88" w:rsidRPr="00452713">
              <w:t xml:space="preserve"> prior right, the exercise of which may prevent the use of the proposed denomination</w:t>
            </w:r>
            <w:r w:rsidR="00D81A88" w:rsidRPr="00452713">
              <w:rPr>
                <w:strike/>
              </w:rPr>
              <w:t>, has already been granted to a third party</w:t>
            </w:r>
            <w:r w:rsidR="00D81A88" w:rsidRPr="00452713">
              <w:t xml:space="preserve"> </w:t>
            </w:r>
            <w:r w:rsidR="00D81A88" w:rsidRPr="00452713">
              <w:rPr>
                <w:strike/>
              </w:rPr>
              <w:t>under plant breeder’s right law, trademark law or any other intellectual property legislation.</w:t>
            </w:r>
            <w:r w:rsidR="00D81A88" w:rsidRPr="00452713">
              <w:t xml:space="preserve"> It is the responsibility of the title holder of a prior right to assert his rights through the available objection or court procedures.  However, authorities are encouraged to make prior searches in relevant publications (e.g. official gazettes) and databases (e.g.  UPOV Plant Variety Database (PLUTO) </w:t>
            </w:r>
            <w:hyperlink r:id="rId10" w:history="1">
              <w:r w:rsidR="00D81A88" w:rsidRPr="00452713">
                <w:rPr>
                  <w:rStyle w:val="Hyperlink"/>
                </w:rPr>
                <w:t>http://www.upov.int/pluto/en/</w:t>
              </w:r>
            </w:hyperlink>
            <w:r w:rsidR="00D81A88" w:rsidRPr="00452713">
              <w:t>) to identify prior rights for variety denominations.  They may also make searches in other registers, such as trademark registers, before accepting a variety denomination.</w:t>
            </w:r>
            <w:r w:rsidRPr="00452713">
              <w:t>”</w:t>
            </w:r>
          </w:p>
        </w:tc>
      </w:tr>
      <w:tr w:rsidR="00871895" w:rsidRPr="00482F75" w:rsidTr="00452713">
        <w:trPr>
          <w:cantSplit/>
        </w:trPr>
        <w:tc>
          <w:tcPr>
            <w:tcW w:w="1391" w:type="dxa"/>
          </w:tcPr>
          <w:p w:rsidR="00871895" w:rsidRPr="00452713" w:rsidRDefault="00AC2152" w:rsidP="00452713">
            <w:r w:rsidRPr="00452713">
              <w:t>4(e)(</w:t>
            </w:r>
            <w:proofErr w:type="spellStart"/>
            <w:r w:rsidRPr="00452713">
              <w:t>i</w:t>
            </w:r>
            <w:proofErr w:type="spellEnd"/>
            <w:r w:rsidRPr="00452713">
              <w:t>)</w:t>
            </w:r>
          </w:p>
        </w:tc>
        <w:tc>
          <w:tcPr>
            <w:tcW w:w="7789" w:type="dxa"/>
          </w:tcPr>
          <w:p w:rsidR="00AC2152" w:rsidRDefault="00AC2152" w:rsidP="00452713">
            <w:pPr>
              <w:rPr>
                <w:snapToGrid w:val="0"/>
              </w:rPr>
            </w:pPr>
            <w:r w:rsidRPr="00452713">
              <w:rPr>
                <w:snapToGrid w:val="0"/>
              </w:rPr>
              <w:t xml:space="preserve">To modify last sentence of </w:t>
            </w:r>
            <w:r w:rsidRPr="00452713">
              <w:t>4(e)(</w:t>
            </w:r>
            <w:proofErr w:type="spellStart"/>
            <w:r w:rsidRPr="00452713">
              <w:t>i</w:t>
            </w:r>
            <w:proofErr w:type="spellEnd"/>
            <w:r w:rsidRPr="00452713">
              <w:t xml:space="preserve">) </w:t>
            </w:r>
            <w:r w:rsidRPr="00452713">
              <w:rPr>
                <w:snapToGrid w:val="0"/>
              </w:rPr>
              <w:t>as follows:</w:t>
            </w:r>
          </w:p>
          <w:p w:rsidR="00452713" w:rsidRPr="00452713" w:rsidRDefault="00452713" w:rsidP="00452713">
            <w:pPr>
              <w:rPr>
                <w:snapToGrid w:val="0"/>
              </w:rPr>
            </w:pPr>
          </w:p>
          <w:p w:rsidR="00871895" w:rsidRPr="00452713" w:rsidRDefault="00AC2152" w:rsidP="00452713">
            <w:pPr>
              <w:tabs>
                <w:tab w:val="right" w:pos="1134"/>
                <w:tab w:val="left" w:pos="1418"/>
              </w:tabs>
            </w:pPr>
            <w:r w:rsidRPr="00452713">
              <w:t xml:space="preserve">“In cases of mere similarity or small likelihood of </w:t>
            </w:r>
            <w:r w:rsidRPr="00452713">
              <w:rPr>
                <w:strike/>
              </w:rPr>
              <w:t>association</w:t>
            </w:r>
            <w:r w:rsidRPr="00452713">
              <w:t xml:space="preserve"> </w:t>
            </w:r>
            <w:r w:rsidRPr="00452713">
              <w:rPr>
                <w:u w:val="single"/>
              </w:rPr>
              <w:t>confusion</w:t>
            </w:r>
            <w:r w:rsidRPr="00452713">
              <w:t xml:space="preserve"> by users, waivers granted to breeders by prior trademark right holders could be a suitable solution.”</w:t>
            </w:r>
          </w:p>
        </w:tc>
      </w:tr>
    </w:tbl>
    <w:p w:rsidR="00871895" w:rsidRDefault="00871895" w:rsidP="002F32A9"/>
    <w:p w:rsidR="002F32A9" w:rsidRDefault="002F32A9" w:rsidP="002F32A9"/>
    <w:p w:rsidR="007B1E25" w:rsidRDefault="007B1E25" w:rsidP="000E2821">
      <w:pPr>
        <w:pStyle w:val="Heading2"/>
      </w:pPr>
      <w:r w:rsidRPr="00BE4A7F">
        <w:t>Matters concerning variety descriptions</w:t>
      </w:r>
    </w:p>
    <w:p w:rsidR="007B1E25" w:rsidRDefault="007B1E25" w:rsidP="000E2821">
      <w:pPr>
        <w:keepNext/>
      </w:pPr>
    </w:p>
    <w:p w:rsidR="004E579A" w:rsidRPr="00C841DF" w:rsidRDefault="004E579A" w:rsidP="004E579A">
      <w:pPr>
        <w:keepNext/>
      </w:pPr>
      <w:r w:rsidRPr="00C841DF">
        <w:fldChar w:fldCharType="begin"/>
      </w:r>
      <w:r w:rsidRPr="00C841DF">
        <w:instrText xml:space="preserve"> AUTONUM  </w:instrText>
      </w:r>
      <w:r w:rsidRPr="00C841DF">
        <w:fldChar w:fldCharType="end"/>
      </w:r>
      <w:r w:rsidRPr="00C841DF">
        <w:tab/>
        <w:t>The CAJ-AG considered document CAJ-AG/14/9/4 “Matters concerning variety descriptions”.</w:t>
      </w:r>
    </w:p>
    <w:p w:rsidR="004E579A" w:rsidRPr="00C841DF" w:rsidRDefault="004E579A" w:rsidP="004E579A">
      <w:pPr>
        <w:keepNext/>
      </w:pPr>
    </w:p>
    <w:p w:rsidR="004E579A" w:rsidRPr="00C841DF" w:rsidRDefault="004E579A" w:rsidP="004E579A">
      <w:pPr>
        <w:keepNext/>
      </w:pPr>
      <w:r w:rsidRPr="00C841DF">
        <w:fldChar w:fldCharType="begin"/>
      </w:r>
      <w:r w:rsidRPr="00C841DF">
        <w:instrText xml:space="preserve"> AUTONUM  </w:instrText>
      </w:r>
      <w:r w:rsidRPr="00C841DF">
        <w:fldChar w:fldCharType="end"/>
      </w:r>
      <w:r w:rsidRPr="00C841DF">
        <w:tab/>
        <w:t xml:space="preserve">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w:t>
      </w:r>
    </w:p>
    <w:p w:rsidR="004E579A" w:rsidRPr="00C841DF" w:rsidRDefault="004E579A" w:rsidP="004E579A"/>
    <w:p w:rsidR="004E579A" w:rsidRPr="00C841DF" w:rsidRDefault="004E579A" w:rsidP="004E579A">
      <w:pPr>
        <w:pStyle w:val="ListParagraph"/>
        <w:keepNext/>
        <w:numPr>
          <w:ilvl w:val="0"/>
          <w:numId w:val="2"/>
        </w:numPr>
        <w:ind w:left="993" w:hanging="426"/>
        <w:rPr>
          <w:snapToGrid w:val="0"/>
          <w:lang w:val="en"/>
        </w:rPr>
      </w:pPr>
      <w:r w:rsidRPr="00C841DF">
        <w:rPr>
          <w:snapToGrid w:val="0"/>
          <w:lang w:val="en"/>
        </w:rPr>
        <w:t>to describe the characteristics of the variety; and</w:t>
      </w:r>
    </w:p>
    <w:p w:rsidR="004E579A" w:rsidRPr="00C841DF" w:rsidRDefault="004E579A" w:rsidP="004E579A">
      <w:pPr>
        <w:pStyle w:val="ListParagraph"/>
        <w:numPr>
          <w:ilvl w:val="0"/>
          <w:numId w:val="2"/>
        </w:numPr>
        <w:ind w:left="993" w:hanging="426"/>
        <w:rPr>
          <w:snapToGrid w:val="0"/>
          <w:lang w:val="en"/>
        </w:rPr>
      </w:pPr>
      <w:r w:rsidRPr="00C841DF">
        <w:rPr>
          <w:snapToGrid w:val="0"/>
          <w:lang w:val="en"/>
        </w:rPr>
        <w:t xml:space="preserve">to identify and list similar varieties and differences from these varieties; </w:t>
      </w:r>
    </w:p>
    <w:p w:rsidR="004E579A" w:rsidRPr="00C841DF" w:rsidRDefault="004E579A" w:rsidP="004E579A">
      <w:pPr>
        <w:ind w:left="1419" w:hanging="426"/>
        <w:rPr>
          <w:snapToGrid w:val="0"/>
          <w:lang w:val="en"/>
        </w:rPr>
      </w:pPr>
      <w:r w:rsidRPr="00C841DF">
        <w:rPr>
          <w:snapToGrid w:val="0"/>
          <w:lang w:val="en"/>
        </w:rPr>
        <w:t>combined with the information on the basis for (a) and (b), namely:</w:t>
      </w:r>
    </w:p>
    <w:p w:rsidR="004E579A" w:rsidRPr="00C841DF" w:rsidRDefault="004E579A" w:rsidP="004E579A">
      <w:pPr>
        <w:pStyle w:val="ListParagraph"/>
        <w:numPr>
          <w:ilvl w:val="2"/>
          <w:numId w:val="1"/>
        </w:numPr>
        <w:tabs>
          <w:tab w:val="left" w:pos="567"/>
          <w:tab w:val="left" w:pos="1560"/>
        </w:tabs>
        <w:spacing w:line="276" w:lineRule="auto"/>
        <w:ind w:left="1701" w:hanging="567"/>
      </w:pPr>
      <w:r w:rsidRPr="00C841DF">
        <w:t>Date and document number of UPOV Test Guidelines</w:t>
      </w:r>
      <w:r w:rsidRPr="00C841DF">
        <w:rPr>
          <w:snapToGrid w:val="0"/>
          <w:lang w:val="en"/>
        </w:rPr>
        <w:t>;</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Date and/or document number of Reporting Authority’s test guidelines</w:t>
      </w:r>
      <w:r w:rsidRPr="00C841DF">
        <w:rPr>
          <w:snapToGrid w:val="0"/>
          <w:lang w:val="en"/>
        </w:rPr>
        <w:t>;</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Reporting Authority</w:t>
      </w:r>
      <w:r w:rsidRPr="00C841DF">
        <w:rPr>
          <w:snapToGrid w:val="0"/>
          <w:lang w:val="en"/>
        </w:rPr>
        <w:t>;</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Testing station(s) and place(s)</w:t>
      </w:r>
      <w:r w:rsidRPr="00C841DF">
        <w:rPr>
          <w:snapToGrid w:val="0"/>
          <w:lang w:val="en"/>
        </w:rPr>
        <w:t>;</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Period of testing;</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Date and place of issue of document</w:t>
      </w:r>
      <w:r w:rsidRPr="00C841DF">
        <w:rPr>
          <w:snapToGrid w:val="0"/>
          <w:lang w:val="en"/>
        </w:rPr>
        <w:t>;</w:t>
      </w:r>
    </w:p>
    <w:p w:rsidR="004E579A" w:rsidRPr="00C841DF" w:rsidRDefault="004E579A" w:rsidP="004E579A">
      <w:pPr>
        <w:pStyle w:val="ListParagraph"/>
        <w:numPr>
          <w:ilvl w:val="2"/>
          <w:numId w:val="1"/>
        </w:numPr>
        <w:tabs>
          <w:tab w:val="left" w:pos="1276"/>
          <w:tab w:val="left" w:pos="1560"/>
        </w:tabs>
        <w:spacing w:line="276" w:lineRule="auto"/>
        <w:ind w:left="1560" w:hanging="426"/>
      </w:pPr>
      <w:r w:rsidRPr="00C841DF">
        <w:t xml:space="preserve">     Group: (Table: Characteristics; States of Expression; Note; Remarks)</w:t>
      </w:r>
      <w:r w:rsidRPr="00C841DF">
        <w:rPr>
          <w:snapToGrid w:val="0"/>
          <w:lang w:val="en"/>
        </w:rPr>
        <w:t>;</w:t>
      </w:r>
    </w:p>
    <w:p w:rsidR="004E579A" w:rsidRPr="00C841DF" w:rsidRDefault="004E579A" w:rsidP="004E579A">
      <w:pPr>
        <w:pStyle w:val="ListParagraph"/>
        <w:numPr>
          <w:ilvl w:val="2"/>
          <w:numId w:val="1"/>
        </w:numPr>
        <w:tabs>
          <w:tab w:val="left" w:pos="1560"/>
        </w:tabs>
        <w:spacing w:line="276" w:lineRule="auto"/>
        <w:ind w:left="1701" w:hanging="567"/>
      </w:pPr>
      <w:r w:rsidRPr="00C841DF">
        <w:t>Additional Information</w:t>
      </w:r>
      <w:r w:rsidRPr="00C841DF">
        <w:rPr>
          <w:snapToGrid w:val="0"/>
          <w:lang w:val="en"/>
        </w:rPr>
        <w:t>;</w:t>
      </w:r>
    </w:p>
    <w:p w:rsidR="004E579A" w:rsidRPr="00C841DF" w:rsidRDefault="004E579A" w:rsidP="004E579A">
      <w:pPr>
        <w:spacing w:line="276" w:lineRule="auto"/>
        <w:ind w:left="1134"/>
      </w:pPr>
      <w:r w:rsidRPr="00C841DF">
        <w:tab/>
        <w:t>(a)</w:t>
      </w:r>
      <w:r w:rsidRPr="00C841DF">
        <w:tab/>
        <w:t>Additional Data</w:t>
      </w:r>
    </w:p>
    <w:p w:rsidR="004E579A" w:rsidRPr="00C841DF" w:rsidRDefault="004E579A" w:rsidP="004E579A">
      <w:pPr>
        <w:spacing w:line="276" w:lineRule="auto"/>
        <w:ind w:left="1134"/>
        <w:rPr>
          <w:color w:val="000000"/>
        </w:rPr>
      </w:pPr>
      <w:r w:rsidRPr="00C841DF">
        <w:tab/>
      </w:r>
      <w:r w:rsidRPr="00C841DF">
        <w:rPr>
          <w:color w:val="000000"/>
        </w:rPr>
        <w:t>(b)</w:t>
      </w:r>
      <w:r w:rsidRPr="00C841DF">
        <w:rPr>
          <w:color w:val="000000"/>
        </w:rPr>
        <w:tab/>
        <w:t>Photograph (if appropriate)</w:t>
      </w:r>
    </w:p>
    <w:p w:rsidR="004E579A" w:rsidRPr="00C841DF" w:rsidRDefault="004E579A" w:rsidP="004E579A">
      <w:pPr>
        <w:spacing w:line="276" w:lineRule="auto"/>
        <w:ind w:left="1134"/>
        <w:rPr>
          <w:color w:val="000000"/>
        </w:rPr>
      </w:pPr>
      <w:r w:rsidRPr="00C841DF">
        <w:tab/>
      </w:r>
      <w:r w:rsidRPr="00C841DF">
        <w:rPr>
          <w:color w:val="000000"/>
        </w:rPr>
        <w:t>(c)</w:t>
      </w:r>
      <w:r w:rsidRPr="00C841DF">
        <w:rPr>
          <w:color w:val="000000"/>
        </w:rPr>
        <w:tab/>
        <w:t xml:space="preserve">RHS </w:t>
      </w:r>
      <w:proofErr w:type="spellStart"/>
      <w:r w:rsidRPr="00C841DF">
        <w:rPr>
          <w:color w:val="000000"/>
        </w:rPr>
        <w:t>Colour</w:t>
      </w:r>
      <w:proofErr w:type="spellEnd"/>
      <w:r w:rsidRPr="00C841DF">
        <w:rPr>
          <w:color w:val="000000"/>
        </w:rPr>
        <w:t xml:space="preserve"> Chart version used (if appropriate)</w:t>
      </w:r>
    </w:p>
    <w:p w:rsidR="004E579A" w:rsidRPr="00C841DF" w:rsidRDefault="004E579A" w:rsidP="004E579A">
      <w:pPr>
        <w:tabs>
          <w:tab w:val="left" w:pos="284"/>
        </w:tabs>
        <w:spacing w:line="276" w:lineRule="auto"/>
        <w:ind w:left="1134"/>
      </w:pPr>
      <w:r w:rsidRPr="00C841DF">
        <w:tab/>
        <w:t>(d)</w:t>
      </w:r>
      <w:r w:rsidRPr="00C841DF">
        <w:tab/>
        <w:t>Remarks</w:t>
      </w:r>
    </w:p>
    <w:p w:rsidR="004E579A" w:rsidRPr="00C841DF" w:rsidRDefault="004E579A" w:rsidP="004E579A">
      <w:pPr>
        <w:pStyle w:val="ListParagraph"/>
        <w:rPr>
          <w:snapToGrid w:val="0"/>
        </w:rPr>
      </w:pPr>
    </w:p>
    <w:p w:rsidR="004E579A" w:rsidRPr="00C841DF" w:rsidRDefault="004E579A" w:rsidP="004E579A">
      <w:pPr>
        <w:rPr>
          <w:snapToGrid w:val="0"/>
        </w:rPr>
      </w:pPr>
      <w:r w:rsidRPr="00C841DF">
        <w:rPr>
          <w:snapToGrid w:val="0"/>
        </w:rPr>
        <w:fldChar w:fldCharType="begin"/>
      </w:r>
      <w:r w:rsidRPr="00C841DF">
        <w:rPr>
          <w:snapToGrid w:val="0"/>
        </w:rPr>
        <w:instrText xml:space="preserve"> AUTONUM  </w:instrText>
      </w:r>
      <w:r w:rsidRPr="00C841DF">
        <w:rPr>
          <w:snapToGrid w:val="0"/>
        </w:rPr>
        <w:fldChar w:fldCharType="end"/>
      </w:r>
      <w:r w:rsidRPr="00C841DF">
        <w:rPr>
          <w:snapToGrid w:val="0"/>
        </w:rPr>
        <w:tab/>
        <w:t xml:space="preserve">The CAJ-AG considered the status of the original variety description in relation to the verification of plant material </w:t>
      </w:r>
      <w:r w:rsidR="009E3396" w:rsidRPr="00C841DF">
        <w:rPr>
          <w:snapToGrid w:val="0"/>
        </w:rPr>
        <w:t>of</w:t>
      </w:r>
      <w:r w:rsidRPr="00C841DF">
        <w:rPr>
          <w:snapToGrid w:val="0"/>
        </w:rPr>
        <w:t xml:space="preserve"> a protected variety for the purposes of enforcement of the breeder’s right</w:t>
      </w:r>
      <w:r w:rsidR="0040286B" w:rsidRPr="00C841DF">
        <w:rPr>
          <w:snapToGrid w:val="0"/>
        </w:rPr>
        <w:t xml:space="preserve"> and noted that </w:t>
      </w:r>
      <w:r w:rsidRPr="00C841DF">
        <w:rPr>
          <w:snapToGrid w:val="0"/>
        </w:rPr>
        <w:t xml:space="preserve">UPOV guidance on the enforcement of breeders’ rights contained in document UPOV/EXN/ENF/1 “Explanatory notes on the enforcement of breeders’ rights under the UPOV Convention” explains as follows: </w:t>
      </w:r>
    </w:p>
    <w:p w:rsidR="004E579A" w:rsidRPr="00C841DF" w:rsidRDefault="004E579A" w:rsidP="004E579A">
      <w:pPr>
        <w:pStyle w:val="ListParagraph"/>
        <w:rPr>
          <w:snapToGrid w:val="0"/>
        </w:rPr>
      </w:pPr>
    </w:p>
    <w:p w:rsidR="004E579A" w:rsidRPr="00C841DF" w:rsidRDefault="004E579A" w:rsidP="004E579A">
      <w:pPr>
        <w:pStyle w:val="ListParagraph"/>
        <w:ind w:left="567"/>
        <w:rPr>
          <w:snapToGrid w:val="0"/>
          <w:sz w:val="18"/>
        </w:rPr>
      </w:pPr>
      <w:r w:rsidRPr="00C841DF">
        <w:rPr>
          <w:snapToGrid w:val="0"/>
          <w:sz w:val="18"/>
        </w:rPr>
        <w:t xml:space="preserve">“SECTION II: Some possible measures for the enforcement of breeders’ rights </w:t>
      </w:r>
    </w:p>
    <w:p w:rsidR="004E579A" w:rsidRPr="00C841DF" w:rsidRDefault="004E579A" w:rsidP="004E579A">
      <w:pPr>
        <w:pStyle w:val="ListParagraph"/>
        <w:ind w:left="567"/>
        <w:rPr>
          <w:snapToGrid w:val="0"/>
          <w:sz w:val="18"/>
        </w:rPr>
      </w:pPr>
    </w:p>
    <w:p w:rsidR="004E579A" w:rsidRPr="00C841DF" w:rsidRDefault="004E579A" w:rsidP="004E579A">
      <w:pPr>
        <w:pStyle w:val="ListParagraph"/>
        <w:ind w:left="567" w:right="567"/>
        <w:rPr>
          <w:snapToGrid w:val="0"/>
          <w:sz w:val="18"/>
        </w:rPr>
      </w:pPr>
      <w:r w:rsidRPr="00C841DF">
        <w:rPr>
          <w:snapToGrid w:val="0"/>
          <w:sz w:val="18"/>
        </w:rPr>
        <w:t>“While the UPOV Convention requires members of the Union to provide for appropriate legal remedies for the effective enforcement of breeders’ rights, it is a matter for breeders to enforce their rights.”</w:t>
      </w:r>
    </w:p>
    <w:p w:rsidR="004E579A" w:rsidRPr="00C841DF" w:rsidRDefault="004E579A" w:rsidP="004E579A">
      <w:pPr>
        <w:pStyle w:val="ListParagraph"/>
        <w:ind w:left="567" w:right="567"/>
        <w:rPr>
          <w:snapToGrid w:val="0"/>
          <w:sz w:val="18"/>
        </w:rPr>
      </w:pPr>
      <w:r w:rsidRPr="00C841DF">
        <w:rPr>
          <w:snapToGrid w:val="0"/>
          <w:sz w:val="18"/>
        </w:rPr>
        <w:t>[…]</w:t>
      </w:r>
    </w:p>
    <w:p w:rsidR="004E579A" w:rsidRPr="00C841DF" w:rsidRDefault="004E579A" w:rsidP="004E579A">
      <w:pPr>
        <w:pStyle w:val="ListParagraph"/>
        <w:ind w:left="567" w:right="567"/>
        <w:rPr>
          <w:snapToGrid w:val="0"/>
          <w:sz w:val="18"/>
        </w:rPr>
      </w:pPr>
    </w:p>
    <w:p w:rsidR="004E579A" w:rsidRPr="00C841DF" w:rsidRDefault="004E579A" w:rsidP="004E579A">
      <w:pPr>
        <w:rPr>
          <w:snapToGrid w:val="0"/>
        </w:rPr>
      </w:pPr>
      <w:r w:rsidRPr="00C841DF">
        <w:rPr>
          <w:snapToGrid w:val="0"/>
        </w:rPr>
        <w:fldChar w:fldCharType="begin"/>
      </w:r>
      <w:r w:rsidRPr="00C841DF">
        <w:rPr>
          <w:snapToGrid w:val="0"/>
        </w:rPr>
        <w:instrText xml:space="preserve"> AUTONUM  </w:instrText>
      </w:r>
      <w:r w:rsidRPr="00C841DF">
        <w:rPr>
          <w:snapToGrid w:val="0"/>
        </w:rPr>
        <w:fldChar w:fldCharType="end"/>
      </w:r>
      <w:r w:rsidRPr="00C841DF">
        <w:rPr>
          <w:snapToGrid w:val="0"/>
        </w:rPr>
        <w:tab/>
        <w:t>The CAJ-AG agreed that</w:t>
      </w:r>
      <w:r w:rsidR="00D62F5A" w:rsidRPr="00C841DF">
        <w:rPr>
          <w:snapToGrid w:val="0"/>
        </w:rPr>
        <w:t>,</w:t>
      </w:r>
      <w:r w:rsidRPr="00C841DF">
        <w:rPr>
          <w:snapToGrid w:val="0"/>
        </w:rPr>
        <w:t xml:space="preserve">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p>
    <w:p w:rsidR="004E579A" w:rsidRPr="00C841DF" w:rsidRDefault="004E579A" w:rsidP="004E579A">
      <w:pPr>
        <w:rPr>
          <w:snapToGrid w:val="0"/>
        </w:rPr>
      </w:pPr>
    </w:p>
    <w:p w:rsidR="004E579A" w:rsidRPr="00C841DF" w:rsidRDefault="004E579A" w:rsidP="004E579A">
      <w:pPr>
        <w:pStyle w:val="ListParagraph"/>
        <w:numPr>
          <w:ilvl w:val="2"/>
          <w:numId w:val="1"/>
        </w:numPr>
        <w:tabs>
          <w:tab w:val="left" w:pos="567"/>
          <w:tab w:val="left" w:pos="1560"/>
        </w:tabs>
        <w:spacing w:line="276" w:lineRule="auto"/>
        <w:ind w:left="1701" w:hanging="567"/>
      </w:pPr>
      <w:r w:rsidRPr="00C841DF">
        <w:t>Date and document number of UPOV Test Guidelines</w:t>
      </w:r>
      <w:r w:rsidRPr="00C841DF">
        <w:rPr>
          <w:snapToGrid w:val="0"/>
          <w:lang w:val="en"/>
        </w:rPr>
        <w:t>;</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Date and/or document number of Reporting Authority’s test guidelines</w:t>
      </w:r>
      <w:r w:rsidRPr="00C841DF">
        <w:rPr>
          <w:snapToGrid w:val="0"/>
          <w:lang w:val="en"/>
        </w:rPr>
        <w:t>;</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Reporting Authority</w:t>
      </w:r>
      <w:r w:rsidRPr="00C841DF">
        <w:rPr>
          <w:snapToGrid w:val="0"/>
          <w:lang w:val="en"/>
        </w:rPr>
        <w:t>;</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Testing station(s) and place(s)</w:t>
      </w:r>
      <w:r w:rsidRPr="00C841DF">
        <w:rPr>
          <w:snapToGrid w:val="0"/>
          <w:lang w:val="en"/>
        </w:rPr>
        <w:t>;</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Period of testing</w:t>
      </w:r>
      <w:r w:rsidRPr="00C841DF">
        <w:rPr>
          <w:snapToGrid w:val="0"/>
          <w:lang w:val="en"/>
        </w:rPr>
        <w:t>;</w:t>
      </w:r>
    </w:p>
    <w:p w:rsidR="004E579A" w:rsidRPr="00C841DF" w:rsidRDefault="004E579A" w:rsidP="004E579A">
      <w:pPr>
        <w:pStyle w:val="ListParagraph"/>
        <w:numPr>
          <w:ilvl w:val="2"/>
          <w:numId w:val="1"/>
        </w:numPr>
        <w:tabs>
          <w:tab w:val="left" w:pos="567"/>
          <w:tab w:val="left" w:pos="1560"/>
          <w:tab w:val="left" w:pos="5103"/>
        </w:tabs>
        <w:spacing w:line="276" w:lineRule="auto"/>
        <w:ind w:left="1701" w:hanging="567"/>
      </w:pPr>
      <w:r w:rsidRPr="00C841DF">
        <w:t>Date and place of issue of document</w:t>
      </w:r>
      <w:r w:rsidRPr="00C841DF">
        <w:rPr>
          <w:snapToGrid w:val="0"/>
          <w:lang w:val="en"/>
        </w:rPr>
        <w:t>;</w:t>
      </w:r>
    </w:p>
    <w:p w:rsidR="004E579A" w:rsidRPr="00C841DF" w:rsidRDefault="004E579A" w:rsidP="004E579A">
      <w:pPr>
        <w:pStyle w:val="ListParagraph"/>
        <w:numPr>
          <w:ilvl w:val="2"/>
          <w:numId w:val="1"/>
        </w:numPr>
        <w:tabs>
          <w:tab w:val="left" w:pos="1276"/>
          <w:tab w:val="left" w:pos="1560"/>
        </w:tabs>
        <w:spacing w:line="276" w:lineRule="auto"/>
        <w:ind w:left="1560" w:hanging="426"/>
      </w:pPr>
      <w:r w:rsidRPr="00C841DF">
        <w:t xml:space="preserve">     Group: (Table: Characteristics; States of Expression; Note; Remarks)</w:t>
      </w:r>
      <w:r w:rsidRPr="00C841DF">
        <w:rPr>
          <w:snapToGrid w:val="0"/>
          <w:lang w:val="en"/>
        </w:rPr>
        <w:t>;</w:t>
      </w:r>
    </w:p>
    <w:p w:rsidR="004E579A" w:rsidRPr="00C841DF" w:rsidRDefault="004E579A" w:rsidP="004E579A">
      <w:pPr>
        <w:pStyle w:val="ListParagraph"/>
        <w:numPr>
          <w:ilvl w:val="2"/>
          <w:numId w:val="1"/>
        </w:numPr>
        <w:tabs>
          <w:tab w:val="left" w:pos="1560"/>
        </w:tabs>
        <w:spacing w:line="276" w:lineRule="auto"/>
        <w:ind w:left="1701" w:hanging="567"/>
      </w:pPr>
      <w:r w:rsidRPr="00C841DF">
        <w:t>Additional Information;</w:t>
      </w:r>
    </w:p>
    <w:p w:rsidR="004E579A" w:rsidRPr="00C841DF" w:rsidRDefault="004E579A" w:rsidP="004E579A">
      <w:pPr>
        <w:spacing w:line="276" w:lineRule="auto"/>
        <w:ind w:left="1134"/>
      </w:pPr>
      <w:r w:rsidRPr="00C841DF">
        <w:tab/>
        <w:t>(a)</w:t>
      </w:r>
      <w:r w:rsidRPr="00C841DF">
        <w:tab/>
        <w:t>Additional Data</w:t>
      </w:r>
    </w:p>
    <w:p w:rsidR="004E579A" w:rsidRPr="00C841DF" w:rsidRDefault="004E579A" w:rsidP="004E579A">
      <w:pPr>
        <w:spacing w:line="276" w:lineRule="auto"/>
        <w:ind w:left="1134"/>
        <w:rPr>
          <w:color w:val="000000"/>
        </w:rPr>
      </w:pPr>
      <w:r w:rsidRPr="00C841DF">
        <w:tab/>
      </w:r>
      <w:r w:rsidRPr="00C841DF">
        <w:rPr>
          <w:color w:val="000000"/>
        </w:rPr>
        <w:t>(b)</w:t>
      </w:r>
      <w:r w:rsidRPr="00C841DF">
        <w:rPr>
          <w:color w:val="000000"/>
        </w:rPr>
        <w:tab/>
        <w:t>Photograph (if appropriate)</w:t>
      </w:r>
    </w:p>
    <w:p w:rsidR="004E579A" w:rsidRPr="00C841DF" w:rsidRDefault="004E579A" w:rsidP="004E579A">
      <w:pPr>
        <w:spacing w:line="276" w:lineRule="auto"/>
        <w:ind w:left="1134"/>
        <w:rPr>
          <w:color w:val="000000"/>
        </w:rPr>
      </w:pPr>
      <w:r w:rsidRPr="00C841DF">
        <w:tab/>
      </w:r>
      <w:r w:rsidRPr="00C841DF">
        <w:rPr>
          <w:color w:val="000000"/>
        </w:rPr>
        <w:t>(c)</w:t>
      </w:r>
      <w:r w:rsidRPr="00C841DF">
        <w:rPr>
          <w:color w:val="000000"/>
        </w:rPr>
        <w:tab/>
        <w:t xml:space="preserve">RHS </w:t>
      </w:r>
      <w:proofErr w:type="spellStart"/>
      <w:r w:rsidRPr="00C841DF">
        <w:rPr>
          <w:color w:val="000000"/>
        </w:rPr>
        <w:t>Colour</w:t>
      </w:r>
      <w:proofErr w:type="spellEnd"/>
      <w:r w:rsidRPr="00C841DF">
        <w:rPr>
          <w:color w:val="000000"/>
        </w:rPr>
        <w:t xml:space="preserve"> Chart version used (if appropriate)</w:t>
      </w:r>
    </w:p>
    <w:p w:rsidR="004E579A" w:rsidRPr="00C841DF" w:rsidRDefault="004E579A" w:rsidP="004E579A">
      <w:pPr>
        <w:tabs>
          <w:tab w:val="left" w:pos="284"/>
        </w:tabs>
        <w:spacing w:line="276" w:lineRule="auto"/>
        <w:ind w:left="1134"/>
      </w:pPr>
      <w:r w:rsidRPr="00C841DF">
        <w:tab/>
        <w:t>(d)</w:t>
      </w:r>
      <w:r w:rsidRPr="00C841DF">
        <w:tab/>
        <w:t>Remarks</w:t>
      </w:r>
    </w:p>
    <w:p w:rsidR="004E579A" w:rsidRPr="00C841DF" w:rsidRDefault="004E579A" w:rsidP="004E579A">
      <w:pPr>
        <w:jc w:val="left"/>
        <w:rPr>
          <w:snapToGrid w:val="0"/>
        </w:rPr>
      </w:pPr>
    </w:p>
    <w:p w:rsidR="00863CBE" w:rsidRDefault="00863CBE">
      <w:pPr>
        <w:jc w:val="left"/>
        <w:rPr>
          <w:snapToGrid w:val="0"/>
        </w:rPr>
      </w:pPr>
      <w:r>
        <w:rPr>
          <w:snapToGrid w:val="0"/>
        </w:rPr>
        <w:br w:type="page"/>
      </w:r>
    </w:p>
    <w:p w:rsidR="004E579A" w:rsidRPr="00C841DF" w:rsidRDefault="004E579A" w:rsidP="004E579A">
      <w:r w:rsidRPr="00C841DF">
        <w:rPr>
          <w:snapToGrid w:val="0"/>
        </w:rPr>
        <w:fldChar w:fldCharType="begin"/>
      </w:r>
      <w:r w:rsidRPr="00C841DF">
        <w:rPr>
          <w:snapToGrid w:val="0"/>
        </w:rPr>
        <w:instrText xml:space="preserve"> AUTONUM  </w:instrText>
      </w:r>
      <w:r w:rsidRPr="00C841DF">
        <w:rPr>
          <w:snapToGrid w:val="0"/>
        </w:rPr>
        <w:fldChar w:fldCharType="end"/>
      </w:r>
      <w:r w:rsidRPr="00C841DF">
        <w:rPr>
          <w:snapToGrid w:val="0"/>
        </w:rPr>
        <w:tab/>
        <w:t xml:space="preserve">The CAJ-AG agreed to recommend to the CAJ that the purpose of the original variety description and the status of the original variety description in relation to the verification of the conformity of plant material to a protected variety for the purposes of </w:t>
      </w:r>
      <w:r w:rsidRPr="00C841DF">
        <w:t>the enforcement of the right</w:t>
      </w:r>
      <w:r w:rsidR="009E3396" w:rsidRPr="00C841DF">
        <w:t>,</w:t>
      </w:r>
      <w:r w:rsidRPr="00C841DF">
        <w:t xml:space="preserve"> </w:t>
      </w:r>
      <w:r w:rsidR="009E3396" w:rsidRPr="00C841DF">
        <w:t xml:space="preserve">as set out above, </w:t>
      </w:r>
      <w:r w:rsidRPr="00C841DF">
        <w:t>should</w:t>
      </w:r>
      <w:r w:rsidR="0011576C" w:rsidRPr="00C841DF">
        <w:t xml:space="preserve"> be</w:t>
      </w:r>
      <w:r w:rsidRPr="00C841DF">
        <w:t xml:space="preserve"> </w:t>
      </w:r>
      <w:r w:rsidR="009E3396" w:rsidRPr="00C841DF">
        <w:t xml:space="preserve">conveyed </w:t>
      </w:r>
      <w:r w:rsidRPr="00C841DF">
        <w:t>to the Technical Committee</w:t>
      </w:r>
      <w:r w:rsidR="009E3396" w:rsidRPr="00C841DF">
        <w:t xml:space="preserve"> to assist in its consideration of:</w:t>
      </w:r>
    </w:p>
    <w:p w:rsidR="004E579A" w:rsidRPr="00C841DF" w:rsidRDefault="004E579A" w:rsidP="007B1E25">
      <w:pPr>
        <w:rPr>
          <w:rFonts w:cs="Arial"/>
        </w:rPr>
      </w:pPr>
    </w:p>
    <w:p w:rsidR="00A60E16" w:rsidRPr="00C841DF" w:rsidRDefault="00A60E16" w:rsidP="00C841DF">
      <w:pPr>
        <w:keepNext/>
        <w:ind w:left="567" w:right="567"/>
        <w:rPr>
          <w:sz w:val="18"/>
          <w:szCs w:val="18"/>
        </w:rPr>
      </w:pPr>
      <w:r w:rsidRPr="00C841DF">
        <w:rPr>
          <w:sz w:val="18"/>
          <w:szCs w:val="18"/>
        </w:rPr>
        <w:t>“[…]</w:t>
      </w:r>
    </w:p>
    <w:p w:rsidR="00A60E16" w:rsidRPr="00C841DF" w:rsidRDefault="00A60E16" w:rsidP="00A60E16">
      <w:pPr>
        <w:ind w:left="567" w:right="567"/>
        <w:rPr>
          <w:sz w:val="18"/>
          <w:szCs w:val="18"/>
        </w:rPr>
      </w:pPr>
    </w:p>
    <w:p w:rsidR="00A60E16" w:rsidRPr="00C841DF" w:rsidRDefault="00A60E16" w:rsidP="00A60E16">
      <w:pPr>
        <w:ind w:left="567" w:right="567"/>
        <w:rPr>
          <w:sz w:val="18"/>
          <w:szCs w:val="18"/>
        </w:rPr>
      </w:pPr>
      <w:r w:rsidRPr="00C841DF">
        <w:rPr>
          <w:sz w:val="18"/>
          <w:szCs w:val="18"/>
        </w:rPr>
        <w:t>“(b)</w:t>
      </w:r>
      <w:r w:rsidRPr="00C841DF">
        <w:rPr>
          <w:sz w:val="18"/>
          <w:szCs w:val="18"/>
        </w:rPr>
        <w:tab/>
        <w:t>the status of the original variety description in relation to the verification of the conformity of plant material to a protected variety for the purposes of:</w:t>
      </w:r>
    </w:p>
    <w:p w:rsidR="00A60E16" w:rsidRPr="00C841DF" w:rsidRDefault="00A60E16" w:rsidP="00A60E16">
      <w:pPr>
        <w:ind w:left="567" w:right="567"/>
        <w:rPr>
          <w:sz w:val="18"/>
          <w:szCs w:val="18"/>
        </w:rPr>
      </w:pPr>
    </w:p>
    <w:p w:rsidR="00A60E16" w:rsidRPr="00C841DF" w:rsidRDefault="00A60E16" w:rsidP="00A60E16">
      <w:pPr>
        <w:ind w:left="1134" w:right="567"/>
        <w:rPr>
          <w:sz w:val="18"/>
          <w:szCs w:val="18"/>
        </w:rPr>
      </w:pPr>
      <w:r w:rsidRPr="00C841DF">
        <w:rPr>
          <w:sz w:val="18"/>
          <w:szCs w:val="18"/>
        </w:rPr>
        <w:t>“(</w:t>
      </w:r>
      <w:proofErr w:type="spellStart"/>
      <w:r w:rsidRPr="00C841DF">
        <w:rPr>
          <w:sz w:val="18"/>
          <w:szCs w:val="18"/>
        </w:rPr>
        <w:t>i</w:t>
      </w:r>
      <w:proofErr w:type="spellEnd"/>
      <w:r w:rsidRPr="00C841DF">
        <w:rPr>
          <w:sz w:val="18"/>
          <w:szCs w:val="18"/>
        </w:rPr>
        <w:t>)</w:t>
      </w:r>
      <w:r w:rsidRPr="00C841DF">
        <w:rPr>
          <w:sz w:val="18"/>
          <w:szCs w:val="18"/>
        </w:rPr>
        <w:tab/>
        <w:t>verifying the maintenance of the variety (Article 22 of the 1991 Act, Article 10 of the 1978 Act);</w:t>
      </w:r>
    </w:p>
    <w:p w:rsidR="00A60E16" w:rsidRPr="00C841DF" w:rsidRDefault="00A60E16" w:rsidP="00A60E16">
      <w:pPr>
        <w:ind w:left="1134" w:right="567"/>
        <w:rPr>
          <w:sz w:val="18"/>
          <w:szCs w:val="18"/>
        </w:rPr>
      </w:pPr>
    </w:p>
    <w:p w:rsidR="00A60E16" w:rsidRPr="00C841DF" w:rsidRDefault="00A60E16" w:rsidP="00A60E16">
      <w:pPr>
        <w:ind w:left="1134" w:right="567"/>
        <w:rPr>
          <w:sz w:val="18"/>
          <w:szCs w:val="18"/>
        </w:rPr>
      </w:pPr>
      <w:r w:rsidRPr="00C841DF">
        <w:rPr>
          <w:sz w:val="18"/>
          <w:szCs w:val="18"/>
        </w:rPr>
        <w:t>“(ii)</w:t>
      </w:r>
      <w:r w:rsidRPr="00C841DF">
        <w:rPr>
          <w:sz w:val="18"/>
          <w:szCs w:val="18"/>
        </w:rPr>
        <w:tab/>
        <w:t>the examination of distinctness, uniformity and stability (“DUS”) of candidate varieties;  and</w:t>
      </w:r>
    </w:p>
    <w:p w:rsidR="00A60E16" w:rsidRPr="00C841DF" w:rsidRDefault="00A60E16" w:rsidP="00A60E16">
      <w:pPr>
        <w:ind w:left="567" w:right="567"/>
        <w:rPr>
          <w:sz w:val="18"/>
          <w:szCs w:val="18"/>
        </w:rPr>
      </w:pPr>
    </w:p>
    <w:p w:rsidR="00A60E16" w:rsidRPr="00C841DF" w:rsidRDefault="00A60E16" w:rsidP="00A60E16">
      <w:pPr>
        <w:spacing w:after="240"/>
        <w:ind w:left="567" w:right="567" w:firstLine="567"/>
        <w:rPr>
          <w:sz w:val="18"/>
          <w:szCs w:val="18"/>
        </w:rPr>
      </w:pPr>
      <w:r w:rsidRPr="00C841DF">
        <w:rPr>
          <w:sz w:val="18"/>
          <w:szCs w:val="18"/>
        </w:rPr>
        <w:t>“[…]</w:t>
      </w:r>
    </w:p>
    <w:p w:rsidR="00A60E16" w:rsidRPr="00C841DF" w:rsidRDefault="00A60E16" w:rsidP="00A60E16">
      <w:pPr>
        <w:ind w:left="567" w:right="567"/>
        <w:rPr>
          <w:sz w:val="18"/>
          <w:szCs w:val="18"/>
        </w:rPr>
      </w:pPr>
      <w:r w:rsidRPr="00C841DF">
        <w:rPr>
          <w:sz w:val="18"/>
          <w:szCs w:val="18"/>
        </w:rPr>
        <w:t>“(c)</w:t>
      </w:r>
      <w:r w:rsidRPr="00C841DF">
        <w:rPr>
          <w:sz w:val="18"/>
          <w:szCs w:val="18"/>
        </w:rPr>
        <w:tab/>
        <w:t>the status of a modified variety description in relation to (a) and (b) above produced, for example, as a result of:</w:t>
      </w:r>
    </w:p>
    <w:p w:rsidR="00A60E16" w:rsidRPr="00C841DF" w:rsidRDefault="00A60E16" w:rsidP="00A60E16">
      <w:pPr>
        <w:ind w:left="567" w:right="567"/>
        <w:rPr>
          <w:sz w:val="18"/>
          <w:szCs w:val="18"/>
        </w:rPr>
      </w:pPr>
    </w:p>
    <w:p w:rsidR="00A60E16" w:rsidRPr="00C841DF" w:rsidRDefault="00A60E16" w:rsidP="00A60E16">
      <w:pPr>
        <w:spacing w:after="60"/>
        <w:ind w:left="1701" w:right="567" w:hanging="567"/>
        <w:rPr>
          <w:sz w:val="18"/>
          <w:szCs w:val="18"/>
        </w:rPr>
      </w:pPr>
      <w:r w:rsidRPr="00C841DF">
        <w:rPr>
          <w:sz w:val="18"/>
          <w:szCs w:val="18"/>
        </w:rPr>
        <w:t>“(</w:t>
      </w:r>
      <w:proofErr w:type="spellStart"/>
      <w:r w:rsidRPr="00C841DF">
        <w:rPr>
          <w:sz w:val="18"/>
          <w:szCs w:val="18"/>
        </w:rPr>
        <w:t>i</w:t>
      </w:r>
      <w:proofErr w:type="spellEnd"/>
      <w:r w:rsidRPr="00C841DF">
        <w:rPr>
          <w:sz w:val="18"/>
          <w:szCs w:val="18"/>
        </w:rPr>
        <w:t>)</w:t>
      </w:r>
      <w:r w:rsidRPr="00C841DF">
        <w:rPr>
          <w:sz w:val="18"/>
          <w:szCs w:val="18"/>
        </w:rPr>
        <w:tab/>
        <w:t>a recalibration of the scale in the Test Guidelines (particularly for non</w:t>
      </w:r>
      <w:r w:rsidRPr="00C841DF">
        <w:rPr>
          <w:sz w:val="18"/>
          <w:szCs w:val="18"/>
        </w:rPr>
        <w:noBreakHyphen/>
        <w:t>asterisked characteristics</w:t>
      </w:r>
      <w:r w:rsidRPr="00C841DF">
        <w:rPr>
          <w:rStyle w:val="FootnoteReference"/>
          <w:sz w:val="18"/>
          <w:szCs w:val="18"/>
        </w:rPr>
        <w:footnoteReference w:id="2"/>
      </w:r>
      <w:r w:rsidRPr="00C841DF">
        <w:rPr>
          <w:sz w:val="18"/>
          <w:szCs w:val="18"/>
        </w:rPr>
        <w:t>);</w:t>
      </w:r>
    </w:p>
    <w:p w:rsidR="00A60E16" w:rsidRPr="00C841DF" w:rsidRDefault="00A60E16" w:rsidP="00A60E16">
      <w:pPr>
        <w:spacing w:after="60"/>
        <w:ind w:left="1701" w:right="567" w:hanging="567"/>
        <w:rPr>
          <w:sz w:val="18"/>
          <w:szCs w:val="18"/>
        </w:rPr>
      </w:pPr>
      <w:r w:rsidRPr="00C841DF">
        <w:rPr>
          <w:sz w:val="18"/>
          <w:szCs w:val="18"/>
        </w:rPr>
        <w:t>“(ii)</w:t>
      </w:r>
      <w:r w:rsidRPr="00C841DF">
        <w:rPr>
          <w:sz w:val="18"/>
          <w:szCs w:val="18"/>
        </w:rPr>
        <w:tab/>
        <w:t>variation due to the environmental conditions of the years of testing for characteristics that are influenced by the environment;</w:t>
      </w:r>
    </w:p>
    <w:p w:rsidR="00A60E16" w:rsidRPr="00C841DF" w:rsidRDefault="00A60E16" w:rsidP="00A60E16">
      <w:pPr>
        <w:spacing w:after="60"/>
        <w:ind w:left="1701" w:right="567" w:hanging="567"/>
        <w:rPr>
          <w:sz w:val="18"/>
          <w:szCs w:val="18"/>
        </w:rPr>
      </w:pPr>
      <w:r w:rsidRPr="00C841DF">
        <w:rPr>
          <w:sz w:val="18"/>
          <w:szCs w:val="18"/>
        </w:rPr>
        <w:t>“(iii)</w:t>
      </w:r>
      <w:r w:rsidRPr="00C841DF">
        <w:rPr>
          <w:sz w:val="18"/>
          <w:szCs w:val="18"/>
        </w:rPr>
        <w:tab/>
        <w:t>variation due to observation by different experts;  or</w:t>
      </w:r>
    </w:p>
    <w:p w:rsidR="00A60E16" w:rsidRPr="00C841DF" w:rsidRDefault="00A60E16" w:rsidP="00A60E16">
      <w:pPr>
        <w:ind w:left="1701" w:right="567" w:hanging="567"/>
        <w:rPr>
          <w:sz w:val="18"/>
          <w:szCs w:val="18"/>
        </w:rPr>
      </w:pPr>
      <w:r w:rsidRPr="00C841DF">
        <w:rPr>
          <w:sz w:val="18"/>
          <w:szCs w:val="18"/>
        </w:rPr>
        <w:t>“(iv)</w:t>
      </w:r>
      <w:r w:rsidRPr="00C841DF">
        <w:rPr>
          <w:sz w:val="18"/>
          <w:szCs w:val="18"/>
        </w:rPr>
        <w:tab/>
        <w:t>the use of different versions of scales (e.g. different versions of the RHS Color Chart).</w:t>
      </w:r>
    </w:p>
    <w:p w:rsidR="00A60E16" w:rsidRPr="00C841DF" w:rsidRDefault="00A60E16" w:rsidP="00A60E16">
      <w:pPr>
        <w:ind w:left="567" w:right="567"/>
        <w:rPr>
          <w:sz w:val="18"/>
          <w:szCs w:val="18"/>
        </w:rPr>
      </w:pPr>
    </w:p>
    <w:p w:rsidR="00A60E16" w:rsidRPr="00230328" w:rsidRDefault="00A60E16" w:rsidP="00A60E16">
      <w:pPr>
        <w:ind w:left="567" w:right="567"/>
        <w:rPr>
          <w:sz w:val="18"/>
          <w:szCs w:val="18"/>
        </w:rPr>
      </w:pPr>
      <w:r w:rsidRPr="00C841DF">
        <w:rPr>
          <w:sz w:val="18"/>
          <w:szCs w:val="18"/>
        </w:rPr>
        <w:t>“(d)</w:t>
      </w:r>
      <w:r w:rsidRPr="00C841DF">
        <w:rPr>
          <w:sz w:val="18"/>
          <w:szCs w:val="18"/>
        </w:rPr>
        <w:tab/>
        <w:t>situations where an error is subsequently discovered in the initial variety description.”</w:t>
      </w:r>
    </w:p>
    <w:p w:rsidR="00A60E16" w:rsidRDefault="00A60E16" w:rsidP="007B1E25">
      <w:pPr>
        <w:rPr>
          <w:rFonts w:cs="Arial"/>
        </w:rPr>
      </w:pPr>
    </w:p>
    <w:p w:rsidR="007B1E25" w:rsidRDefault="007B1E25" w:rsidP="007B1E25">
      <w:pPr>
        <w:rPr>
          <w:rFonts w:cs="Arial"/>
        </w:rPr>
      </w:pPr>
    </w:p>
    <w:p w:rsidR="007B1E25" w:rsidRDefault="007B1E25" w:rsidP="000E2821">
      <w:pPr>
        <w:pStyle w:val="Heading2"/>
      </w:pPr>
      <w:r w:rsidRPr="00BE4A7F">
        <w:t>Explanatory Notes on Provisional Protection under the UPOV Convention</w:t>
      </w:r>
      <w:r>
        <w:t xml:space="preserve"> (Revision)</w:t>
      </w:r>
    </w:p>
    <w:p w:rsidR="007B1E25" w:rsidRDefault="007B1E25" w:rsidP="000E2821">
      <w:pPr>
        <w:keepNext/>
      </w:pPr>
    </w:p>
    <w:p w:rsidR="007B1E25" w:rsidRDefault="007B1E25" w:rsidP="007B1E25">
      <w:r>
        <w:fldChar w:fldCharType="begin"/>
      </w:r>
      <w:r>
        <w:instrText xml:space="preserve"> AUTONUM  </w:instrText>
      </w:r>
      <w:r>
        <w:fldChar w:fldCharType="end"/>
      </w:r>
      <w:r>
        <w:tab/>
      </w:r>
      <w:r w:rsidRPr="00482F75">
        <w:rPr>
          <w:rFonts w:cs="Arial"/>
        </w:rPr>
        <w:t xml:space="preserve">The CAJ­AG considered document </w:t>
      </w:r>
      <w:r>
        <w:t>UPOV/EXN/PRP/2 Draft </w:t>
      </w:r>
      <w:r w:rsidRPr="00BE4A7F">
        <w:t>2</w:t>
      </w:r>
      <w:r>
        <w:t xml:space="preserve"> </w:t>
      </w:r>
      <w:r w:rsidRPr="00482F75">
        <w:rPr>
          <w:rFonts w:cs="Arial"/>
        </w:rPr>
        <w:t xml:space="preserve">and the </w:t>
      </w:r>
      <w:r w:rsidRPr="00482F75">
        <w:t>views expressed by</w:t>
      </w:r>
      <w:r>
        <w:t xml:space="preserve"> </w:t>
      </w:r>
      <w:proofErr w:type="spellStart"/>
      <w:r>
        <w:rPr>
          <w:szCs w:val="26"/>
        </w:rPr>
        <w:t>CropLife</w:t>
      </w:r>
      <w:proofErr w:type="spellEnd"/>
      <w:r>
        <w:rPr>
          <w:szCs w:val="26"/>
        </w:rPr>
        <w:t> </w:t>
      </w:r>
      <w:r w:rsidRPr="00E91DA7">
        <w:rPr>
          <w:szCs w:val="26"/>
        </w:rPr>
        <w:t>International</w:t>
      </w:r>
      <w:r w:rsidR="0022331F">
        <w:rPr>
          <w:rFonts w:cs="Arial"/>
          <w:szCs w:val="26"/>
        </w:rPr>
        <w:t xml:space="preserve">. </w:t>
      </w:r>
    </w:p>
    <w:p w:rsidR="007B1E25" w:rsidRDefault="007B1E25" w:rsidP="007B1E25"/>
    <w:p w:rsidR="00871895" w:rsidRDefault="00871895" w:rsidP="000E2821">
      <w:pPr>
        <w:keepNext/>
        <w:rPr>
          <w:rFonts w:cs="Arial"/>
        </w:rPr>
      </w:pPr>
      <w:r w:rsidRPr="0022331F">
        <w:fldChar w:fldCharType="begin"/>
      </w:r>
      <w:r w:rsidRPr="0022331F">
        <w:instrText xml:space="preserve"> AUTONUM  </w:instrText>
      </w:r>
      <w:r w:rsidRPr="0022331F">
        <w:fldChar w:fldCharType="end"/>
      </w:r>
      <w:r w:rsidRPr="0022331F">
        <w:tab/>
      </w:r>
      <w:r w:rsidRPr="0022331F">
        <w:rPr>
          <w:rFonts w:cs="Arial"/>
        </w:rPr>
        <w:t xml:space="preserve">The CAJ­AG agreed to </w:t>
      </w:r>
      <w:r w:rsidR="0022331F" w:rsidRPr="0022331F">
        <w:rPr>
          <w:rFonts w:cs="Arial"/>
        </w:rPr>
        <w:t xml:space="preserve">propose to the </w:t>
      </w:r>
      <w:r w:rsidR="00522A13">
        <w:rPr>
          <w:rFonts w:cs="Arial"/>
        </w:rPr>
        <w:t xml:space="preserve">CAJ </w:t>
      </w:r>
      <w:r w:rsidR="0022331F" w:rsidRPr="0022331F">
        <w:rPr>
          <w:rFonts w:cs="Arial"/>
        </w:rPr>
        <w:t xml:space="preserve">a revision of document </w:t>
      </w:r>
      <w:r w:rsidR="0022331F" w:rsidRPr="0022331F">
        <w:t>UPOV/EXN/PRP</w:t>
      </w:r>
      <w:r w:rsidR="0022331F" w:rsidRPr="0022331F">
        <w:rPr>
          <w:rFonts w:cs="Arial"/>
        </w:rPr>
        <w:t xml:space="preserve">, as set out in </w:t>
      </w:r>
      <w:r w:rsidRPr="0022331F">
        <w:rPr>
          <w:rFonts w:cs="Arial"/>
        </w:rPr>
        <w:t xml:space="preserve">document </w:t>
      </w:r>
      <w:r w:rsidRPr="0022331F">
        <w:t xml:space="preserve">UPOV/EXN/PRP/2 Draft 2 </w:t>
      </w:r>
      <w:r w:rsidR="0022331F" w:rsidRPr="0022331F">
        <w:rPr>
          <w:rFonts w:cs="Arial"/>
        </w:rPr>
        <w:t>.</w:t>
      </w:r>
    </w:p>
    <w:p w:rsidR="006E59EC" w:rsidRDefault="006E59EC" w:rsidP="007B1E25"/>
    <w:p w:rsidR="00F258D2" w:rsidRDefault="00F258D2" w:rsidP="00F258D2">
      <w:pPr>
        <w:pStyle w:val="Heading2"/>
      </w:pPr>
    </w:p>
    <w:p w:rsidR="0010416A" w:rsidRDefault="0010416A" w:rsidP="0010416A">
      <w:pPr>
        <w:pStyle w:val="Heading2"/>
      </w:pPr>
      <w:r w:rsidRPr="00153DFB">
        <w:t>Essentially Derived Varieties</w:t>
      </w:r>
    </w:p>
    <w:p w:rsidR="0010416A" w:rsidRDefault="0010416A" w:rsidP="0010416A">
      <w:pPr>
        <w:keepNext/>
      </w:pPr>
    </w:p>
    <w:p w:rsidR="0010416A" w:rsidRDefault="0010416A" w:rsidP="0010416A">
      <w:pPr>
        <w:pStyle w:val="Heading3"/>
      </w:pPr>
      <w:r w:rsidRPr="00E93435">
        <w:t>Explanatory Notes on Essentially Derived Varieties under the 1991 Act of the UPOV Convention (Revision)</w:t>
      </w:r>
    </w:p>
    <w:p w:rsidR="0010416A" w:rsidRDefault="0010416A" w:rsidP="0010416A">
      <w:pPr>
        <w:keepNext/>
      </w:pPr>
    </w:p>
    <w:p w:rsidR="0010416A" w:rsidRDefault="0010416A" w:rsidP="0010416A">
      <w:r>
        <w:fldChar w:fldCharType="begin"/>
      </w:r>
      <w:r>
        <w:instrText xml:space="preserve"> AUTONUM  </w:instrText>
      </w:r>
      <w:r>
        <w:fldChar w:fldCharType="end"/>
      </w:r>
      <w:r>
        <w:tab/>
      </w:r>
      <w:r w:rsidRPr="00482F75">
        <w:rPr>
          <w:rFonts w:cs="Arial"/>
        </w:rPr>
        <w:t>The CAJ­AG considered</w:t>
      </w:r>
      <w:r>
        <w:rPr>
          <w:rFonts w:cs="Arial"/>
        </w:rPr>
        <w:t xml:space="preserve"> </w:t>
      </w:r>
      <w:r w:rsidRPr="00BE4A7F">
        <w:t>documents CAJ-AG/14/9/2 and UPOV/EXN/EDV/2 Draft 5</w:t>
      </w:r>
      <w:r>
        <w:t xml:space="preserve"> and the </w:t>
      </w:r>
      <w:r w:rsidRPr="007B1E3F">
        <w:t>views</w:t>
      </w:r>
      <w:r>
        <w:t xml:space="preserve"> expressed by AIPH, APBREBES, CIOPORA, </w:t>
      </w:r>
      <w:r w:rsidRPr="007B1E3F">
        <w:t>ESA</w:t>
      </w:r>
      <w:r>
        <w:t xml:space="preserve"> and ISF.</w:t>
      </w:r>
    </w:p>
    <w:p w:rsidR="0010416A" w:rsidRDefault="0010416A" w:rsidP="0010416A"/>
    <w:p w:rsidR="0010416A" w:rsidRDefault="0010416A" w:rsidP="003B0880">
      <w:r>
        <w:fldChar w:fldCharType="begin"/>
      </w:r>
      <w:r>
        <w:instrText xml:space="preserve"> AUTONUM  </w:instrText>
      </w:r>
      <w:r>
        <w:fldChar w:fldCharType="end"/>
      </w:r>
      <w:r>
        <w:tab/>
      </w:r>
      <w:r w:rsidRPr="00482F75">
        <w:rPr>
          <w:rFonts w:cs="Arial"/>
        </w:rPr>
        <w:t xml:space="preserve">The CAJ­AG </w:t>
      </w:r>
      <w:r>
        <w:t xml:space="preserve">welcomed the presentation made by Australia by electronic means, via the internet, containing the additional information on the context of the examples provided by Australia </w:t>
      </w:r>
      <w:r w:rsidR="001A4C96">
        <w:t>at</w:t>
      </w:r>
      <w:r>
        <w:t xml:space="preserve"> t</w:t>
      </w:r>
      <w:r w:rsidR="001A4C96">
        <w:t>he EDV </w:t>
      </w:r>
      <w:r>
        <w:t>Seminar.</w:t>
      </w:r>
    </w:p>
    <w:p w:rsidR="0010416A" w:rsidRDefault="0010416A" w:rsidP="0010416A"/>
    <w:p w:rsidR="0010416A" w:rsidRDefault="0010416A" w:rsidP="0010416A">
      <w:r>
        <w:fldChar w:fldCharType="begin"/>
      </w:r>
      <w:r>
        <w:instrText xml:space="preserve"> AUTONUM  </w:instrText>
      </w:r>
      <w:r>
        <w:fldChar w:fldCharType="end"/>
      </w:r>
      <w:r>
        <w:tab/>
      </w:r>
      <w:r w:rsidRPr="00482F75">
        <w:rPr>
          <w:rFonts w:cs="Arial"/>
        </w:rPr>
        <w:t xml:space="preserve">The CAJ­AG </w:t>
      </w:r>
      <w:r>
        <w:t>noted that the CAJ-AG, at its eighth session, had agreed to consider the development of guidance on the matters raised in paragraphs 15 to 18 of document CAJ AG/13/8/2 “Explanatory Notes on Essentially Derived Varieties under the 1991 Act of the UPOV Convention”, concerning the status of essentially derived varieties that were not granted protection in their own right, after the adoption of the revised document UPOV/EXN/EDV/2.</w:t>
      </w:r>
    </w:p>
    <w:p w:rsidR="0010416A" w:rsidRDefault="0010416A" w:rsidP="0010416A"/>
    <w:p w:rsidR="0010416A" w:rsidRDefault="0010416A" w:rsidP="0010416A">
      <w:r>
        <w:fldChar w:fldCharType="begin"/>
      </w:r>
      <w:r>
        <w:instrText xml:space="preserve"> AUTONUM  </w:instrText>
      </w:r>
      <w:r>
        <w:fldChar w:fldCharType="end"/>
      </w:r>
      <w:r>
        <w:tab/>
      </w:r>
      <w:r w:rsidRPr="00482F75">
        <w:rPr>
          <w:rFonts w:cs="Arial"/>
        </w:rPr>
        <w:t xml:space="preserve">The CAJ­AG </w:t>
      </w:r>
      <w:r w:rsidR="001A4C96">
        <w:t xml:space="preserve">noted that </w:t>
      </w:r>
      <w:r>
        <w:t>the conclusion of the CAJ-AG, at its eighth session, that at an appropriate future session of the CAJ-AG, the Delegations of Australia, Brazil and the European Union and other members of the Union be invited to make presentations on their systems concernin</w:t>
      </w:r>
      <w:r w:rsidR="001A4C96">
        <w:t>g essentially derived varieties, would be considered by the CAJ.</w:t>
      </w:r>
    </w:p>
    <w:p w:rsidR="0010416A" w:rsidRDefault="0010416A" w:rsidP="0010416A"/>
    <w:p w:rsidR="0010416A" w:rsidRDefault="0010416A" w:rsidP="0010416A">
      <w:r>
        <w:fldChar w:fldCharType="begin"/>
      </w:r>
      <w:r>
        <w:instrText xml:space="preserve"> AUTONUM  </w:instrText>
      </w:r>
      <w:r>
        <w:fldChar w:fldCharType="end"/>
      </w:r>
      <w:r>
        <w:tab/>
      </w:r>
      <w:r w:rsidRPr="00482F75">
        <w:rPr>
          <w:rFonts w:cs="Arial"/>
        </w:rPr>
        <w:t xml:space="preserve">The CAJ­AG </w:t>
      </w:r>
      <w:r>
        <w:t xml:space="preserve">noted that matters concerning the possible role of UPOV in alternative dispute settlement mechanisms and the proposal in document CAJ-AG/14/9/3 “Possible alternative dispute settlement mechanisms for essentially derived varieties” would be referred to the CAJ for consideration at its </w:t>
      </w:r>
      <w:r w:rsidRPr="00BB6708">
        <w:t xml:space="preserve">seventy-first session </w:t>
      </w:r>
      <w:r>
        <w:t xml:space="preserve">in March 2015. </w:t>
      </w:r>
    </w:p>
    <w:p w:rsidR="0010416A" w:rsidRDefault="0010416A" w:rsidP="0010416A"/>
    <w:p w:rsidR="0010416A" w:rsidRDefault="0010416A" w:rsidP="0010416A">
      <w:pPr>
        <w:keepNext/>
        <w:rPr>
          <w:rFonts w:cs="Arial"/>
        </w:rPr>
      </w:pPr>
      <w:r>
        <w:fldChar w:fldCharType="begin"/>
      </w:r>
      <w:r>
        <w:instrText xml:space="preserve"> AUTONUM  </w:instrText>
      </w:r>
      <w:r>
        <w:fldChar w:fldCharType="end"/>
      </w:r>
      <w:r>
        <w:tab/>
      </w:r>
      <w:r w:rsidRPr="00BB6708">
        <w:rPr>
          <w:rFonts w:cs="Arial"/>
        </w:rPr>
        <w:t xml:space="preserve">The CAJ­AG agreed to amend document </w:t>
      </w:r>
      <w:r w:rsidRPr="00BB6708">
        <w:t>UPOV/EXN/EDV/2 Draft 5</w:t>
      </w:r>
      <w:r w:rsidRPr="00BB6708">
        <w:rPr>
          <w:rFonts w:cs="Arial"/>
        </w:rPr>
        <w:t xml:space="preserve"> as follows:</w:t>
      </w:r>
    </w:p>
    <w:p w:rsidR="0010416A" w:rsidRDefault="0010416A" w:rsidP="0010416A">
      <w:pPr>
        <w:keepNext/>
        <w:rPr>
          <w:rFonts w:cs="Aria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10416A" w:rsidRPr="00482F75" w:rsidTr="0010416A">
        <w:trPr>
          <w:cantSplit/>
        </w:trPr>
        <w:tc>
          <w:tcPr>
            <w:tcW w:w="1391" w:type="dxa"/>
          </w:tcPr>
          <w:p w:rsidR="0010416A" w:rsidRPr="00482F75" w:rsidRDefault="0010416A" w:rsidP="00546532">
            <w:pPr>
              <w:jc w:val="left"/>
              <w:rPr>
                <w:rFonts w:cs="Arial"/>
              </w:rPr>
            </w:pPr>
            <w:r>
              <w:rPr>
                <w:rFonts w:cs="Arial"/>
              </w:rPr>
              <w:t>Paragraph 2</w:t>
            </w:r>
          </w:p>
        </w:tc>
        <w:tc>
          <w:tcPr>
            <w:tcW w:w="7789" w:type="dxa"/>
          </w:tcPr>
          <w:p w:rsidR="0010416A" w:rsidRDefault="0010416A" w:rsidP="0010416A">
            <w:pPr>
              <w:rPr>
                <w:snapToGrid w:val="0"/>
              </w:rPr>
            </w:pPr>
            <w:r>
              <w:rPr>
                <w:snapToGrid w:val="0"/>
              </w:rPr>
              <w:t>The second sentence to read:</w:t>
            </w:r>
          </w:p>
          <w:p w:rsidR="0010416A" w:rsidRDefault="0010416A" w:rsidP="0010416A">
            <w:pPr>
              <w:rPr>
                <w:snapToGrid w:val="0"/>
              </w:rPr>
            </w:pPr>
          </w:p>
          <w:p w:rsidR="0010416A" w:rsidRDefault="0010416A" w:rsidP="0010416A">
            <w:pPr>
              <w:rPr>
                <w:snapToGrid w:val="0"/>
              </w:rPr>
            </w:pPr>
            <w:r>
              <w:rPr>
                <w:snapToGrid w:val="0"/>
              </w:rPr>
              <w:t>“</w:t>
            </w:r>
            <w:r w:rsidRPr="00062F44">
              <w:rPr>
                <w:snapToGrid w:val="0"/>
              </w:rPr>
              <w:t xml:space="preserve">The purpose of </w:t>
            </w:r>
            <w:proofErr w:type="gramStart"/>
            <w:r w:rsidRPr="00062F44">
              <w:rPr>
                <w:strike/>
                <w:snapToGrid w:val="0"/>
              </w:rPr>
              <w:t xml:space="preserve">the </w:t>
            </w:r>
            <w:r w:rsidRPr="00062F44">
              <w:rPr>
                <w:snapToGrid w:val="0"/>
                <w:u w:val="single"/>
              </w:rPr>
              <w:t>this</w:t>
            </w:r>
            <w:proofErr w:type="gramEnd"/>
            <w:r>
              <w:rPr>
                <w:snapToGrid w:val="0"/>
              </w:rPr>
              <w:t xml:space="preserve"> </w:t>
            </w:r>
            <w:r w:rsidRPr="00062F44">
              <w:rPr>
                <w:snapToGrid w:val="0"/>
              </w:rPr>
              <w:t>guidance</w:t>
            </w:r>
            <w:r>
              <w:rPr>
                <w:snapToGrid w:val="0"/>
              </w:rPr>
              <w:t xml:space="preserve"> […]”</w:t>
            </w:r>
          </w:p>
          <w:p w:rsidR="0010416A" w:rsidRDefault="0010416A" w:rsidP="0010416A">
            <w:pPr>
              <w:rPr>
                <w:snapToGrid w:val="0"/>
              </w:rPr>
            </w:pPr>
          </w:p>
          <w:p w:rsidR="0010416A" w:rsidRDefault="0010416A" w:rsidP="0010416A">
            <w:pPr>
              <w:rPr>
                <w:snapToGrid w:val="0"/>
              </w:rPr>
            </w:pPr>
            <w:r>
              <w:rPr>
                <w:snapToGrid w:val="0"/>
              </w:rPr>
              <w:t xml:space="preserve">To delete the third sentence:  </w:t>
            </w:r>
          </w:p>
          <w:p w:rsidR="0010416A" w:rsidRPr="006A4BD1" w:rsidRDefault="0010416A" w:rsidP="0010416A">
            <w:pPr>
              <w:rPr>
                <w:strike/>
                <w:snapToGrid w:val="0"/>
              </w:rPr>
            </w:pPr>
            <w:r w:rsidRPr="00062F44">
              <w:rPr>
                <w:strike/>
                <w:snapToGrid w:val="0"/>
              </w:rPr>
              <w:t>“The guidance is intended for:  authorities granting breeders’ rights with competence in matters concerning essentially derived varieties; breeders, farmers, growers and other stakeholders;  and relevant bodies responsible for solving disputes in litigation, mediation or arbitration cases”</w:t>
            </w:r>
          </w:p>
        </w:tc>
      </w:tr>
      <w:tr w:rsidR="0010416A" w:rsidRPr="00482F75" w:rsidTr="0010416A">
        <w:trPr>
          <w:cantSplit/>
        </w:trPr>
        <w:tc>
          <w:tcPr>
            <w:tcW w:w="1391" w:type="dxa"/>
          </w:tcPr>
          <w:p w:rsidR="0010416A" w:rsidRPr="00482F75" w:rsidRDefault="0010416A" w:rsidP="00546532">
            <w:pPr>
              <w:jc w:val="left"/>
              <w:rPr>
                <w:rFonts w:cs="Arial"/>
              </w:rPr>
            </w:pPr>
            <w:r>
              <w:rPr>
                <w:rFonts w:cs="Arial"/>
              </w:rPr>
              <w:t xml:space="preserve">Paragraph 6 </w:t>
            </w:r>
          </w:p>
        </w:tc>
        <w:tc>
          <w:tcPr>
            <w:tcW w:w="7789" w:type="dxa"/>
          </w:tcPr>
          <w:p w:rsidR="0010416A" w:rsidRPr="00062F44" w:rsidRDefault="0010416A" w:rsidP="0010416A">
            <w:pPr>
              <w:autoSpaceDE w:val="0"/>
              <w:rPr>
                <w:rFonts w:cs="Arial"/>
              </w:rPr>
            </w:pPr>
            <w:r w:rsidRPr="00062F44">
              <w:rPr>
                <w:rFonts w:cs="Arial"/>
              </w:rPr>
              <w:t>To read as follows:</w:t>
            </w:r>
          </w:p>
          <w:p w:rsidR="0010416A" w:rsidRPr="00062F44" w:rsidRDefault="0010416A" w:rsidP="0010416A">
            <w:pPr>
              <w:autoSpaceDE w:val="0"/>
              <w:rPr>
                <w:rFonts w:cs="Arial"/>
              </w:rPr>
            </w:pPr>
          </w:p>
          <w:p w:rsidR="0010416A" w:rsidRPr="00062F44" w:rsidRDefault="0010416A" w:rsidP="0010416A">
            <w:pPr>
              <w:autoSpaceDE w:val="0"/>
              <w:rPr>
                <w:rFonts w:cs="Arial"/>
              </w:rPr>
            </w:pPr>
            <w:r>
              <w:rPr>
                <w:rFonts w:cs="Arial"/>
              </w:rPr>
              <w:t>“</w:t>
            </w:r>
            <w:r w:rsidRPr="00062F44">
              <w:rPr>
                <w:rFonts w:cs="Arial"/>
              </w:rPr>
              <w:t>6.</w:t>
            </w:r>
            <w:r w:rsidRPr="00062F44">
              <w:rPr>
                <w:rFonts w:cs="Arial"/>
              </w:rPr>
              <w:tab/>
              <w:t>The following might be considered in relation to the notion of “essential characteristics”:</w:t>
            </w:r>
          </w:p>
          <w:p w:rsidR="0010416A" w:rsidRPr="00062F44" w:rsidRDefault="0010416A" w:rsidP="0010416A">
            <w:pPr>
              <w:rPr>
                <w:rFonts w:cs="Arial"/>
              </w:rPr>
            </w:pPr>
          </w:p>
          <w:p w:rsidR="0010416A" w:rsidRPr="00062F44" w:rsidRDefault="0010416A" w:rsidP="0010416A">
            <w:pPr>
              <w:ind w:left="567"/>
              <w:rPr>
                <w:rFonts w:cs="Arial"/>
              </w:rPr>
            </w:pPr>
            <w:r w:rsidRPr="00062F44">
              <w:rPr>
                <w:rFonts w:cs="Arial"/>
              </w:rPr>
              <w:t>(</w:t>
            </w:r>
            <w:proofErr w:type="spellStart"/>
            <w:r w:rsidRPr="00062F44">
              <w:rPr>
                <w:rFonts w:cs="Arial"/>
              </w:rPr>
              <w:t>i</w:t>
            </w:r>
            <w:proofErr w:type="spellEnd"/>
            <w:r w:rsidRPr="00062F44">
              <w:rPr>
                <w:rFonts w:cs="Arial"/>
              </w:rPr>
              <w:t>)</w:t>
            </w:r>
            <w:r w:rsidRPr="00062F44">
              <w:rPr>
                <w:rFonts w:cs="Arial"/>
              </w:rPr>
              <w:tab/>
              <w:t>essential characteristics, in relation to a plant variety, means heritable traits that are determined by the expression of one or more genes, or other heritable determinants, that contribute to the principal features, performance or value of the variety;</w:t>
            </w:r>
          </w:p>
          <w:p w:rsidR="0010416A" w:rsidRDefault="0010416A" w:rsidP="0010416A">
            <w:pPr>
              <w:ind w:left="567"/>
              <w:rPr>
                <w:rFonts w:cs="Arial"/>
              </w:rPr>
            </w:pPr>
          </w:p>
          <w:p w:rsidR="0010416A" w:rsidRPr="00062F44" w:rsidRDefault="0010416A" w:rsidP="0010416A">
            <w:pPr>
              <w:ind w:left="567"/>
              <w:rPr>
                <w:rFonts w:cs="Arial"/>
                <w:b/>
              </w:rPr>
            </w:pPr>
            <w:r w:rsidRPr="00062F44">
              <w:rPr>
                <w:rFonts w:cs="Arial"/>
              </w:rPr>
              <w:t>(ii)</w:t>
            </w:r>
            <w:r w:rsidRPr="00062F44">
              <w:rPr>
                <w:rFonts w:cs="Arial"/>
              </w:rPr>
              <w:tab/>
              <w:t>characteristics that are important from the perspective of the producer, seller, supplier, buyer, recipient, or user;</w:t>
            </w:r>
          </w:p>
          <w:p w:rsidR="0010416A" w:rsidRDefault="0010416A" w:rsidP="0010416A">
            <w:pPr>
              <w:ind w:left="567"/>
              <w:rPr>
                <w:rFonts w:cs="Arial"/>
              </w:rPr>
            </w:pPr>
          </w:p>
          <w:p w:rsidR="0010416A" w:rsidRPr="00062F44" w:rsidRDefault="0010416A" w:rsidP="0010416A">
            <w:pPr>
              <w:ind w:left="567"/>
              <w:rPr>
                <w:rFonts w:cs="Arial"/>
              </w:rPr>
            </w:pPr>
            <w:r w:rsidRPr="00062F44">
              <w:rPr>
                <w:rFonts w:cs="Arial"/>
              </w:rPr>
              <w:t>(iii)</w:t>
            </w:r>
            <w:r w:rsidRPr="00062F44">
              <w:rPr>
                <w:rFonts w:cs="Arial"/>
                <w:b/>
              </w:rPr>
              <w:t xml:space="preserve"> </w:t>
            </w:r>
            <w:r w:rsidRPr="00062F44">
              <w:rPr>
                <w:rFonts w:cs="Arial"/>
                <w:b/>
              </w:rPr>
              <w:tab/>
            </w:r>
            <w:r w:rsidRPr="00062F44">
              <w:rPr>
                <w:rFonts w:cs="Arial"/>
              </w:rPr>
              <w:t xml:space="preserve">characteristics that are essential for the variety as a whole, including, for example, morphological, physiological, agronomic, industrial </w:t>
            </w:r>
            <w:r w:rsidR="00863CBE">
              <w:rPr>
                <w:rFonts w:cs="Arial"/>
              </w:rPr>
              <w:t>and biochemical characteristics;</w:t>
            </w:r>
          </w:p>
          <w:p w:rsidR="0010416A" w:rsidRDefault="0010416A" w:rsidP="0010416A">
            <w:pPr>
              <w:ind w:left="567"/>
              <w:rPr>
                <w:rFonts w:cs="Arial"/>
              </w:rPr>
            </w:pPr>
          </w:p>
          <w:p w:rsidR="0010416A" w:rsidRPr="00062F44" w:rsidRDefault="0010416A" w:rsidP="0010416A">
            <w:pPr>
              <w:ind w:left="567"/>
              <w:rPr>
                <w:rFonts w:cs="Arial"/>
                <w:b/>
              </w:rPr>
            </w:pPr>
            <w:r w:rsidRPr="00062F44">
              <w:rPr>
                <w:rFonts w:cs="Arial"/>
              </w:rPr>
              <w:t>(iv)</w:t>
            </w:r>
            <w:r w:rsidRPr="00062F44">
              <w:rPr>
                <w:rFonts w:cs="Arial"/>
              </w:rPr>
              <w:tab/>
              <w:t>essential characteristics may or may not be phenotypic characteristics used for the examination of distinctness, uniformity and stability (DUS)</w:t>
            </w:r>
            <w:r w:rsidRPr="00062F44">
              <w:rPr>
                <w:rFonts w:cs="Arial"/>
                <w:b/>
              </w:rPr>
              <w:t>;</w:t>
            </w:r>
          </w:p>
          <w:p w:rsidR="0010416A" w:rsidRPr="00062F44" w:rsidRDefault="0010416A" w:rsidP="0010416A">
            <w:pPr>
              <w:ind w:left="567"/>
              <w:rPr>
                <w:rFonts w:cs="Arial"/>
                <w:b/>
              </w:rPr>
            </w:pPr>
          </w:p>
          <w:p w:rsidR="0010416A" w:rsidRPr="00062F44" w:rsidRDefault="0010416A" w:rsidP="0010416A">
            <w:pPr>
              <w:ind w:left="567"/>
              <w:rPr>
                <w:rFonts w:cs="Arial"/>
              </w:rPr>
            </w:pPr>
            <w:r w:rsidRPr="00062F44">
              <w:rPr>
                <w:rFonts w:cs="Arial"/>
              </w:rPr>
              <w:t>(v)</w:t>
            </w:r>
            <w:r w:rsidRPr="00062F44">
              <w:rPr>
                <w:rFonts w:cs="Arial"/>
              </w:rPr>
              <w:tab/>
              <w:t>essential characteristics are not restricted to those characteristics that relate only to high performance or value (for instance, disease resistance may be considered as an essential characteristic when the variety has susceptibility to disease);</w:t>
            </w:r>
          </w:p>
          <w:p w:rsidR="0010416A" w:rsidRPr="00062F44" w:rsidRDefault="0010416A" w:rsidP="0010416A">
            <w:pPr>
              <w:ind w:left="567"/>
              <w:rPr>
                <w:rFonts w:cs="Arial"/>
              </w:rPr>
            </w:pPr>
          </w:p>
          <w:p w:rsidR="0010416A" w:rsidRPr="006A4BD1" w:rsidRDefault="0010416A" w:rsidP="006A4BD1">
            <w:pPr>
              <w:ind w:left="567"/>
            </w:pPr>
            <w:r w:rsidRPr="00062F44">
              <w:rPr>
                <w:rFonts w:cs="Arial"/>
              </w:rPr>
              <w:t>(vi)</w:t>
            </w:r>
            <w:r w:rsidRPr="00062F44">
              <w:rPr>
                <w:rFonts w:cs="Arial"/>
              </w:rPr>
              <w:tab/>
            </w:r>
            <w:proofErr w:type="gramStart"/>
            <w:r w:rsidRPr="00062F44">
              <w:t>essential</w:t>
            </w:r>
            <w:proofErr w:type="gramEnd"/>
            <w:r w:rsidRPr="00062F44">
              <w:t xml:space="preserve"> characteristics may be different in different crops/species.</w:t>
            </w:r>
            <w:r>
              <w:t>”</w:t>
            </w:r>
          </w:p>
        </w:tc>
      </w:tr>
      <w:tr w:rsidR="0010416A" w:rsidRPr="00482F75" w:rsidTr="0010416A">
        <w:trPr>
          <w:cantSplit/>
        </w:trPr>
        <w:tc>
          <w:tcPr>
            <w:tcW w:w="1391" w:type="dxa"/>
          </w:tcPr>
          <w:p w:rsidR="0010416A" w:rsidRPr="00482F75" w:rsidRDefault="0010416A" w:rsidP="00546532">
            <w:pPr>
              <w:jc w:val="left"/>
              <w:rPr>
                <w:rFonts w:cs="Arial"/>
              </w:rPr>
            </w:pPr>
            <w:r>
              <w:rPr>
                <w:rFonts w:cs="Arial"/>
              </w:rPr>
              <w:t>Paragraph 7</w:t>
            </w:r>
          </w:p>
        </w:tc>
        <w:tc>
          <w:tcPr>
            <w:tcW w:w="7789" w:type="dxa"/>
          </w:tcPr>
          <w:p w:rsidR="0010416A" w:rsidRPr="00482F75" w:rsidRDefault="0010416A" w:rsidP="0010416A">
            <w:pPr>
              <w:rPr>
                <w:rFonts w:cs="Arial"/>
              </w:rPr>
            </w:pPr>
            <w:r>
              <w:rPr>
                <w:rFonts w:cs="Arial"/>
              </w:rPr>
              <w:t xml:space="preserve">To </w:t>
            </w:r>
            <w:r w:rsidR="001A4C96">
              <w:rPr>
                <w:rFonts w:cs="Arial"/>
              </w:rPr>
              <w:t xml:space="preserve">be </w:t>
            </w:r>
            <w:r>
              <w:rPr>
                <w:rFonts w:cs="Arial"/>
              </w:rPr>
              <w:t>delete</w:t>
            </w:r>
            <w:r w:rsidR="001A4C96">
              <w:rPr>
                <w:rFonts w:cs="Arial"/>
              </w:rPr>
              <w:t>d</w:t>
            </w:r>
          </w:p>
        </w:tc>
      </w:tr>
      <w:tr w:rsidR="0010416A" w:rsidRPr="00482F75" w:rsidTr="0010416A">
        <w:trPr>
          <w:cantSplit/>
        </w:trPr>
        <w:tc>
          <w:tcPr>
            <w:tcW w:w="1391" w:type="dxa"/>
          </w:tcPr>
          <w:p w:rsidR="0010416A" w:rsidRDefault="0010416A" w:rsidP="00546532">
            <w:pPr>
              <w:jc w:val="left"/>
            </w:pPr>
            <w:r>
              <w:t>Paragraph 8</w:t>
            </w:r>
          </w:p>
          <w:p w:rsidR="0010416A" w:rsidRPr="00482F75" w:rsidRDefault="0010416A" w:rsidP="00546532">
            <w:pPr>
              <w:jc w:val="left"/>
            </w:pPr>
          </w:p>
        </w:tc>
        <w:tc>
          <w:tcPr>
            <w:tcW w:w="7789" w:type="dxa"/>
          </w:tcPr>
          <w:p w:rsidR="0010416A" w:rsidRDefault="0010416A" w:rsidP="0010416A">
            <w:r>
              <w:t>To read as follows:</w:t>
            </w:r>
          </w:p>
          <w:p w:rsidR="0010416A" w:rsidRDefault="0010416A" w:rsidP="0010416A"/>
          <w:p w:rsidR="0010416A" w:rsidRPr="00482F75" w:rsidRDefault="0010416A" w:rsidP="0010416A">
            <w:r>
              <w:t>“</w:t>
            </w:r>
            <w:r w:rsidRPr="00B03CCB">
              <w:t>8.</w:t>
            </w:r>
            <w:r w:rsidRPr="00B03CCB">
              <w:tab/>
              <w:t>The phrase “it is clearly distinguishable from the initial variety” establishes that essential derivation is concerned only with varieties that are clearly distinguishable, in accordance with Article 7, from the initial variety and which are accordingly protectable.  Article 14(5</w:t>
            </w:r>
            <w:proofErr w:type="gramStart"/>
            <w:r w:rsidRPr="00B03CCB">
              <w:t>)(</w:t>
            </w:r>
            <w:proofErr w:type="gramEnd"/>
            <w:r w:rsidRPr="00B03CCB">
              <w:t>a)(ii) would apply if the variety is “not clearly distinguishable in accordance with Article 7 from the protected variety”.</w:t>
            </w:r>
          </w:p>
        </w:tc>
      </w:tr>
      <w:tr w:rsidR="0010416A" w:rsidRPr="00482F75" w:rsidTr="0010416A">
        <w:trPr>
          <w:cantSplit/>
        </w:trPr>
        <w:tc>
          <w:tcPr>
            <w:tcW w:w="1391" w:type="dxa"/>
          </w:tcPr>
          <w:p w:rsidR="0010416A" w:rsidRPr="00482F75" w:rsidRDefault="0010416A" w:rsidP="00546532">
            <w:pPr>
              <w:jc w:val="left"/>
            </w:pPr>
            <w:r>
              <w:t xml:space="preserve">Paragraph 10 </w:t>
            </w:r>
          </w:p>
        </w:tc>
        <w:tc>
          <w:tcPr>
            <w:tcW w:w="7789" w:type="dxa"/>
          </w:tcPr>
          <w:p w:rsidR="0010416A" w:rsidRDefault="0010416A" w:rsidP="0010416A">
            <w:pPr>
              <w:rPr>
                <w:snapToGrid w:val="0"/>
              </w:rPr>
            </w:pPr>
            <w:r>
              <w:rPr>
                <w:snapToGrid w:val="0"/>
              </w:rPr>
              <w:t>To read as follows:</w:t>
            </w:r>
          </w:p>
          <w:p w:rsidR="006A4BD1" w:rsidRDefault="006A4BD1" w:rsidP="0010416A">
            <w:pPr>
              <w:rPr>
                <w:snapToGrid w:val="0"/>
              </w:rPr>
            </w:pPr>
          </w:p>
          <w:p w:rsidR="006A4BD1" w:rsidRPr="00482F75" w:rsidRDefault="00DD19CF" w:rsidP="0084788F">
            <w:pPr>
              <w:rPr>
                <w:snapToGrid w:val="0"/>
              </w:rPr>
            </w:pPr>
            <w:r>
              <w:rPr>
                <w:snapToGrid w:val="0"/>
              </w:rPr>
              <w:t>“10.</w:t>
            </w:r>
            <w:r>
              <w:rPr>
                <w:snapToGrid w:val="0"/>
              </w:rPr>
              <w:tab/>
            </w:r>
            <w:r w:rsidRPr="00DD19CF">
              <w:rPr>
                <w:snapToGrid w:val="0"/>
              </w:rPr>
              <w:t>The words “except for the differences which result from the act of derivation” do not set a limit to the amount of difference which may exist where a variety is considered to be essentially derived.  A limit is, however, set by Article 14(5</w:t>
            </w:r>
            <w:proofErr w:type="gramStart"/>
            <w:r w:rsidRPr="00DD19CF">
              <w:rPr>
                <w:snapToGrid w:val="0"/>
              </w:rPr>
              <w:t>)(</w:t>
            </w:r>
            <w:proofErr w:type="gramEnd"/>
            <w:r w:rsidRPr="00DD19CF">
              <w:rPr>
                <w:snapToGrid w:val="0"/>
              </w:rPr>
              <w:t>b) (</w:t>
            </w:r>
            <w:proofErr w:type="spellStart"/>
            <w:r w:rsidRPr="00DD19CF">
              <w:rPr>
                <w:snapToGrid w:val="0"/>
              </w:rPr>
              <w:t>i</w:t>
            </w:r>
            <w:proofErr w:type="spellEnd"/>
            <w:r w:rsidRPr="00DD19CF">
              <w:rPr>
                <w:snapToGrid w:val="0"/>
              </w:rPr>
              <w:t>) and (iii).   The differences must not be such that the variety fails “to retain the expression of the essential characteristics that result from the genotype or combination of genotypes of the initial variety”.</w:t>
            </w:r>
            <w:r>
              <w:rPr>
                <w:snapToGrid w:val="0"/>
              </w:rPr>
              <w:t>”</w:t>
            </w:r>
          </w:p>
        </w:tc>
      </w:tr>
      <w:tr w:rsidR="0010416A" w:rsidRPr="00482F75" w:rsidTr="0010416A">
        <w:trPr>
          <w:cantSplit/>
        </w:trPr>
        <w:tc>
          <w:tcPr>
            <w:tcW w:w="1391" w:type="dxa"/>
          </w:tcPr>
          <w:p w:rsidR="0010416A" w:rsidRDefault="0010416A" w:rsidP="00546532">
            <w:pPr>
              <w:jc w:val="left"/>
            </w:pPr>
            <w:r>
              <w:t xml:space="preserve">Paragraph 11 </w:t>
            </w:r>
          </w:p>
          <w:p w:rsidR="0010416A" w:rsidRPr="00482F75" w:rsidRDefault="0010416A" w:rsidP="00546532">
            <w:pPr>
              <w:jc w:val="left"/>
            </w:pPr>
          </w:p>
        </w:tc>
        <w:tc>
          <w:tcPr>
            <w:tcW w:w="7789" w:type="dxa"/>
          </w:tcPr>
          <w:p w:rsidR="0010416A" w:rsidRPr="00B03CCB" w:rsidRDefault="0010416A" w:rsidP="0010416A">
            <w:pPr>
              <w:rPr>
                <w:rFonts w:cs="Arial"/>
              </w:rPr>
            </w:pPr>
            <w:r w:rsidRPr="00B03CCB">
              <w:rPr>
                <w:rFonts w:cs="Arial"/>
              </w:rPr>
              <w:t>To read as follows:</w:t>
            </w:r>
          </w:p>
          <w:p w:rsidR="0010416A" w:rsidRPr="00B03CCB" w:rsidRDefault="0010416A" w:rsidP="0010416A">
            <w:pPr>
              <w:rPr>
                <w:rFonts w:cs="Arial"/>
              </w:rPr>
            </w:pPr>
          </w:p>
          <w:p w:rsidR="0010416A" w:rsidRPr="006A4BD1" w:rsidRDefault="0010416A" w:rsidP="0010416A">
            <w:pPr>
              <w:rPr>
                <w:rFonts w:cs="Arial"/>
              </w:rPr>
            </w:pPr>
            <w:r>
              <w:rPr>
                <w:rFonts w:cs="Arial"/>
              </w:rPr>
              <w:t>“</w:t>
            </w:r>
            <w:r w:rsidRPr="00B03CCB">
              <w:rPr>
                <w:rFonts w:cs="Arial"/>
              </w:rPr>
              <w:t>11.</w:t>
            </w:r>
            <w:r w:rsidRPr="00B03CCB">
              <w:rPr>
                <w:rFonts w:cs="Arial"/>
              </w:rPr>
              <w:tab/>
              <w:t xml:space="preserve">The examples given in Article 14(5) (c) make clear that the differences which result from the act of derivation should be one or very few.  However, if there are only one or few differences that </w:t>
            </w:r>
            <w:proofErr w:type="gramStart"/>
            <w:r w:rsidRPr="00B03CCB">
              <w:rPr>
                <w:rFonts w:cs="Arial"/>
              </w:rPr>
              <w:t>does</w:t>
            </w:r>
            <w:proofErr w:type="gramEnd"/>
            <w:r w:rsidRPr="00B03CCB">
              <w:rPr>
                <w:rFonts w:cs="Arial"/>
              </w:rPr>
              <w:t xml:space="preserve"> not necessar</w:t>
            </w:r>
            <w:r w:rsidR="001A4C96">
              <w:rPr>
                <w:rFonts w:cs="Arial"/>
              </w:rPr>
              <w:t>il</w:t>
            </w:r>
            <w:r w:rsidRPr="00B03CCB">
              <w:rPr>
                <w:rFonts w:cs="Arial"/>
              </w:rPr>
              <w:t>y mean that a variety is essentially derived.  The variety would also be required to fulfil the definition stated in Article 14(5</w:t>
            </w:r>
            <w:proofErr w:type="gramStart"/>
            <w:r w:rsidRPr="00B03CCB">
              <w:rPr>
                <w:rFonts w:cs="Arial"/>
              </w:rPr>
              <w:t>)(</w:t>
            </w:r>
            <w:proofErr w:type="gramEnd"/>
            <w:r w:rsidRPr="00B03CCB">
              <w:rPr>
                <w:rFonts w:cs="Arial"/>
              </w:rPr>
              <w:t>b).</w:t>
            </w:r>
            <w:r>
              <w:rPr>
                <w:rFonts w:cs="Arial"/>
              </w:rPr>
              <w:t>”</w:t>
            </w:r>
            <w:r w:rsidRPr="00B03CCB">
              <w:rPr>
                <w:rFonts w:cs="Arial"/>
              </w:rPr>
              <w:t xml:space="preserve"> </w:t>
            </w:r>
          </w:p>
        </w:tc>
      </w:tr>
      <w:tr w:rsidR="0010416A" w:rsidRPr="00482F75" w:rsidTr="0010416A">
        <w:trPr>
          <w:cantSplit/>
        </w:trPr>
        <w:tc>
          <w:tcPr>
            <w:tcW w:w="1391" w:type="dxa"/>
          </w:tcPr>
          <w:p w:rsidR="0010416A" w:rsidRPr="00482F75" w:rsidRDefault="0010416A" w:rsidP="00546532">
            <w:pPr>
              <w:jc w:val="left"/>
            </w:pPr>
            <w:r>
              <w:t>New paragraph after paragraph 11</w:t>
            </w:r>
          </w:p>
        </w:tc>
        <w:tc>
          <w:tcPr>
            <w:tcW w:w="7789" w:type="dxa"/>
          </w:tcPr>
          <w:p w:rsidR="0010416A" w:rsidRPr="00B03CCB" w:rsidRDefault="0010416A" w:rsidP="0010416A">
            <w:pPr>
              <w:rPr>
                <w:rFonts w:cs="Arial"/>
              </w:rPr>
            </w:pPr>
            <w:r w:rsidRPr="00B03CCB">
              <w:rPr>
                <w:rFonts w:cs="Arial"/>
              </w:rPr>
              <w:t xml:space="preserve">To </w:t>
            </w:r>
            <w:r>
              <w:rPr>
                <w:rFonts w:cs="Arial"/>
              </w:rPr>
              <w:t>insert the following quote in paragraph 11 in a new paragraph</w:t>
            </w:r>
            <w:r w:rsidRPr="00B03CCB">
              <w:rPr>
                <w:rFonts w:cs="Arial"/>
              </w:rPr>
              <w:t xml:space="preserve"> as follows:</w:t>
            </w:r>
          </w:p>
          <w:p w:rsidR="0010416A" w:rsidRPr="00B03CCB" w:rsidRDefault="0010416A" w:rsidP="0010416A">
            <w:pPr>
              <w:rPr>
                <w:rFonts w:cs="Arial"/>
              </w:rPr>
            </w:pPr>
          </w:p>
          <w:p w:rsidR="0010416A" w:rsidRPr="006A4BD1" w:rsidRDefault="006A4BD1" w:rsidP="0010416A">
            <w:pPr>
              <w:rPr>
                <w:rFonts w:cs="Arial"/>
              </w:rPr>
            </w:pPr>
            <w:r>
              <w:rPr>
                <w:rFonts w:cs="Arial"/>
              </w:rPr>
              <w:t>“12.</w:t>
            </w:r>
            <w:r>
              <w:rPr>
                <w:rFonts w:cs="Arial"/>
              </w:rPr>
              <w:tab/>
            </w:r>
            <w:r w:rsidR="0010416A" w:rsidRPr="00B03CCB">
              <w:rPr>
                <w:rFonts w:cs="Arial"/>
              </w:rPr>
              <w:t>The derived variety must retain almost the totality of the genotype of the mother variety and be distinguishable from that variety by a very limited number of characteristics (typically by one)</w:t>
            </w:r>
            <w:r w:rsidR="0010416A">
              <w:rPr>
                <w:rFonts w:cs="Arial"/>
              </w:rPr>
              <w:t>.”</w:t>
            </w:r>
          </w:p>
        </w:tc>
      </w:tr>
      <w:tr w:rsidR="0010416A" w:rsidRPr="00482F75" w:rsidTr="0010416A">
        <w:trPr>
          <w:cantSplit/>
        </w:trPr>
        <w:tc>
          <w:tcPr>
            <w:tcW w:w="1391" w:type="dxa"/>
          </w:tcPr>
          <w:p w:rsidR="0010416A" w:rsidRDefault="0010416A" w:rsidP="00546532">
            <w:pPr>
              <w:jc w:val="left"/>
            </w:pPr>
            <w:r>
              <w:t xml:space="preserve">To </w:t>
            </w:r>
            <w:r w:rsidR="00546532">
              <w:t>re-</w:t>
            </w:r>
            <w:r>
              <w:t xml:space="preserve">insert title </w:t>
            </w:r>
          </w:p>
        </w:tc>
        <w:tc>
          <w:tcPr>
            <w:tcW w:w="7789" w:type="dxa"/>
          </w:tcPr>
          <w:p w:rsidR="0010416A" w:rsidRPr="00B03CCB" w:rsidRDefault="0010416A" w:rsidP="0010416A">
            <w:pPr>
              <w:rPr>
                <w:rFonts w:cs="Arial"/>
              </w:rPr>
            </w:pPr>
            <w:r>
              <w:rPr>
                <w:rFonts w:cs="Arial"/>
              </w:rPr>
              <w:t>Method of Breeding</w:t>
            </w:r>
          </w:p>
        </w:tc>
      </w:tr>
      <w:tr w:rsidR="0010416A" w:rsidRPr="00482F75" w:rsidTr="0010416A">
        <w:trPr>
          <w:cantSplit/>
        </w:trPr>
        <w:tc>
          <w:tcPr>
            <w:tcW w:w="1391" w:type="dxa"/>
          </w:tcPr>
          <w:p w:rsidR="0010416A" w:rsidRPr="00482F75" w:rsidRDefault="0010416A" w:rsidP="00546532">
            <w:pPr>
              <w:jc w:val="left"/>
            </w:pPr>
            <w:r>
              <w:t>Paragraph 14</w:t>
            </w:r>
          </w:p>
        </w:tc>
        <w:tc>
          <w:tcPr>
            <w:tcW w:w="7789" w:type="dxa"/>
          </w:tcPr>
          <w:p w:rsidR="0010416A" w:rsidRDefault="0010416A" w:rsidP="0010416A">
            <w:r>
              <w:t>Paragraph 14 to read as follows:</w:t>
            </w:r>
          </w:p>
          <w:p w:rsidR="0010416A" w:rsidRDefault="0010416A" w:rsidP="0010416A"/>
          <w:p w:rsidR="0010416A" w:rsidRPr="006A4BD1" w:rsidRDefault="0010416A" w:rsidP="0010416A">
            <w:r>
              <w:t>“</w:t>
            </w:r>
            <w:r w:rsidRPr="00B03CCB">
              <w:t xml:space="preserve">There is a need to consider the situation in different crops and species and the method of breeding in </w:t>
            </w:r>
            <w:r>
              <w:t xml:space="preserve">the determination of </w:t>
            </w:r>
            <w:r w:rsidRPr="00B03CCB">
              <w:t>essentially derived varieties</w:t>
            </w:r>
            <w:r>
              <w:t>.”</w:t>
            </w:r>
          </w:p>
        </w:tc>
      </w:tr>
      <w:tr w:rsidR="0010416A" w:rsidRPr="00482F75" w:rsidTr="0010416A">
        <w:trPr>
          <w:cantSplit/>
        </w:trPr>
        <w:tc>
          <w:tcPr>
            <w:tcW w:w="1391" w:type="dxa"/>
          </w:tcPr>
          <w:p w:rsidR="0010416A" w:rsidRDefault="0010416A" w:rsidP="00546532">
            <w:pPr>
              <w:jc w:val="left"/>
            </w:pPr>
            <w:r>
              <w:t>Paragraph 20</w:t>
            </w:r>
          </w:p>
        </w:tc>
        <w:tc>
          <w:tcPr>
            <w:tcW w:w="7789" w:type="dxa"/>
          </w:tcPr>
          <w:p w:rsidR="0010416A" w:rsidRDefault="0010416A" w:rsidP="0010416A">
            <w:r>
              <w:t>To wait for joint proposal to be provided by ESA and ISF</w:t>
            </w:r>
          </w:p>
        </w:tc>
      </w:tr>
      <w:tr w:rsidR="0010416A" w:rsidRPr="00482F75" w:rsidTr="0010416A">
        <w:trPr>
          <w:cantSplit/>
        </w:trPr>
        <w:tc>
          <w:tcPr>
            <w:tcW w:w="1391" w:type="dxa"/>
          </w:tcPr>
          <w:p w:rsidR="0010416A" w:rsidRDefault="0010416A" w:rsidP="00546532">
            <w:pPr>
              <w:jc w:val="left"/>
            </w:pPr>
            <w:r>
              <w:t>Paragraph 21</w:t>
            </w:r>
          </w:p>
        </w:tc>
        <w:tc>
          <w:tcPr>
            <w:tcW w:w="7789" w:type="dxa"/>
          </w:tcPr>
          <w:p w:rsidR="0010416A" w:rsidRPr="001A4C96" w:rsidRDefault="0010416A" w:rsidP="001A4C96">
            <w:r>
              <w:t xml:space="preserve">To </w:t>
            </w:r>
            <w:r w:rsidR="001A4C96">
              <w:t xml:space="preserve">add a note that </w:t>
            </w:r>
            <w:r>
              <w:t>the current text was not acceptable</w:t>
            </w:r>
            <w:r w:rsidR="001A4C96">
              <w:t xml:space="preserve"> but </w:t>
            </w:r>
            <w:proofErr w:type="gramStart"/>
            <w:r w:rsidR="001A4C96">
              <w:t>that new proposals</w:t>
            </w:r>
            <w:proofErr w:type="gramEnd"/>
            <w:r w:rsidR="001A4C96">
              <w:t xml:space="preserve"> should be considered.  To show the existing text in strikethrough.</w:t>
            </w:r>
          </w:p>
        </w:tc>
      </w:tr>
      <w:tr w:rsidR="0010416A" w:rsidRPr="00482F75" w:rsidTr="0010416A">
        <w:trPr>
          <w:cantSplit/>
        </w:trPr>
        <w:tc>
          <w:tcPr>
            <w:tcW w:w="1391" w:type="dxa"/>
          </w:tcPr>
          <w:p w:rsidR="0010416A" w:rsidRPr="00482F75" w:rsidRDefault="0010416A" w:rsidP="00546532">
            <w:pPr>
              <w:jc w:val="left"/>
            </w:pPr>
            <w:r>
              <w:t xml:space="preserve">Paragraph 29 </w:t>
            </w:r>
          </w:p>
        </w:tc>
        <w:tc>
          <w:tcPr>
            <w:tcW w:w="7789" w:type="dxa"/>
          </w:tcPr>
          <w:p w:rsidR="0010416A" w:rsidRDefault="0010416A" w:rsidP="0010416A">
            <w:pPr>
              <w:rPr>
                <w:snapToGrid w:val="0"/>
              </w:rPr>
            </w:pPr>
            <w:r>
              <w:rPr>
                <w:snapToGrid w:val="0"/>
              </w:rPr>
              <w:t>To read as follows:</w:t>
            </w:r>
          </w:p>
          <w:p w:rsidR="0010416A" w:rsidRDefault="0010416A" w:rsidP="0010416A">
            <w:pPr>
              <w:rPr>
                <w:snapToGrid w:val="0"/>
              </w:rPr>
            </w:pPr>
          </w:p>
          <w:p w:rsidR="0010416A" w:rsidRPr="00482F75" w:rsidRDefault="0010416A" w:rsidP="001A4C96">
            <w:pPr>
              <w:rPr>
                <w:snapToGrid w:val="0"/>
              </w:rPr>
            </w:pPr>
            <w:r>
              <w:rPr>
                <w:snapToGrid w:val="0"/>
              </w:rPr>
              <w:t>“</w:t>
            </w:r>
            <w:r w:rsidRPr="00CD6EF1">
              <w:rPr>
                <w:snapToGrid w:val="0"/>
              </w:rPr>
              <w:t>29.</w:t>
            </w:r>
            <w:r w:rsidRPr="00CD6EF1">
              <w:rPr>
                <w:snapToGrid w:val="0"/>
              </w:rPr>
              <w:tab/>
              <w:t>Both predominant derivation (e.g. evidence of genetic conformity with the initial variety) and conformity on the essential characteristics (e.g. evidence on conformity in the expression of the essential characteristics of the initial variety) are possible starting points in providing an indication that a variety might be essentially derived from the initial variety.</w:t>
            </w:r>
            <w:r>
              <w:rPr>
                <w:snapToGrid w:val="0"/>
              </w:rPr>
              <w:t>”</w:t>
            </w:r>
          </w:p>
        </w:tc>
      </w:tr>
      <w:tr w:rsidR="0010416A" w:rsidRPr="00482F75" w:rsidTr="0010416A">
        <w:trPr>
          <w:cantSplit/>
        </w:trPr>
        <w:tc>
          <w:tcPr>
            <w:tcW w:w="1391" w:type="dxa"/>
          </w:tcPr>
          <w:p w:rsidR="0010416A" w:rsidRDefault="0010416A" w:rsidP="00546532">
            <w:pPr>
              <w:jc w:val="left"/>
            </w:pPr>
            <w:r>
              <w:t xml:space="preserve">Paragraph 30 </w:t>
            </w:r>
          </w:p>
          <w:p w:rsidR="0010416A" w:rsidRDefault="0010416A" w:rsidP="00546532">
            <w:pPr>
              <w:jc w:val="left"/>
            </w:pPr>
          </w:p>
        </w:tc>
        <w:tc>
          <w:tcPr>
            <w:tcW w:w="7789" w:type="dxa"/>
          </w:tcPr>
          <w:p w:rsidR="0010416A" w:rsidRDefault="0010416A" w:rsidP="0010416A">
            <w:pPr>
              <w:rPr>
                <w:snapToGrid w:val="0"/>
              </w:rPr>
            </w:pPr>
            <w:r>
              <w:rPr>
                <w:snapToGrid w:val="0"/>
              </w:rPr>
              <w:t>To read as follows:</w:t>
            </w:r>
          </w:p>
          <w:p w:rsidR="0010416A" w:rsidRDefault="0010416A" w:rsidP="0010416A">
            <w:pPr>
              <w:rPr>
                <w:snapToGrid w:val="0"/>
              </w:rPr>
            </w:pPr>
          </w:p>
          <w:p w:rsidR="0010416A" w:rsidRPr="00482F75" w:rsidRDefault="0010416A" w:rsidP="0010416A">
            <w:pPr>
              <w:rPr>
                <w:snapToGrid w:val="0"/>
              </w:rPr>
            </w:pPr>
            <w:r>
              <w:rPr>
                <w:snapToGrid w:val="0"/>
              </w:rPr>
              <w:t>“</w:t>
            </w:r>
            <w:r w:rsidRPr="00CD6EF1">
              <w:rPr>
                <w:snapToGrid w:val="0"/>
              </w:rPr>
              <w:t>30.</w:t>
            </w:r>
            <w:r w:rsidRPr="00CD6EF1">
              <w:rPr>
                <w:snapToGrid w:val="0"/>
              </w:rPr>
              <w:tab/>
              <w:t xml:space="preserve">In some situations, relevant information provided by the breeder of the initial variety on predominant derivation and/or on conformity on the essential characteristics might be used as the basis for the reversal of the burden of </w:t>
            </w:r>
            <w:r>
              <w:rPr>
                <w:snapToGrid w:val="0"/>
              </w:rPr>
              <w:t>proof.  In such situations</w:t>
            </w:r>
            <w:r w:rsidRPr="00CD6EF1">
              <w:rPr>
                <w:snapToGrid w:val="0"/>
              </w:rPr>
              <w:t>, the other breeder might need to prove that the other variety is not essentially derived from the initial variety.  For instance, the other breeder would need to provide information on the breeding history of the second variety to prove that the variety was not derived from the initial variety.</w:t>
            </w:r>
            <w:r>
              <w:rPr>
                <w:snapToGrid w:val="0"/>
              </w:rPr>
              <w:t>”</w:t>
            </w:r>
          </w:p>
        </w:tc>
      </w:tr>
      <w:tr w:rsidR="0010416A" w:rsidRPr="00482F75" w:rsidTr="0010416A">
        <w:trPr>
          <w:cantSplit/>
        </w:trPr>
        <w:tc>
          <w:tcPr>
            <w:tcW w:w="1391" w:type="dxa"/>
          </w:tcPr>
          <w:p w:rsidR="0010416A" w:rsidRDefault="0010416A" w:rsidP="00546532">
            <w:pPr>
              <w:jc w:val="left"/>
            </w:pPr>
            <w:r>
              <w:t>Section II</w:t>
            </w:r>
          </w:p>
        </w:tc>
        <w:tc>
          <w:tcPr>
            <w:tcW w:w="7789" w:type="dxa"/>
          </w:tcPr>
          <w:p w:rsidR="0010416A" w:rsidRDefault="0010416A" w:rsidP="0010416A">
            <w:pPr>
              <w:rPr>
                <w:snapToGrid w:val="0"/>
              </w:rPr>
            </w:pPr>
            <w:r>
              <w:rPr>
                <w:snapToGrid w:val="0"/>
              </w:rPr>
              <w:t>To clarify the purpose of Section II in the relevant parts of the document</w:t>
            </w:r>
            <w:r w:rsidR="001A4C96">
              <w:rPr>
                <w:snapToGrid w:val="0"/>
              </w:rPr>
              <w:t xml:space="preserve"> and, in </w:t>
            </w:r>
            <w:proofErr w:type="gramStart"/>
            <w:r w:rsidR="001A4C96">
              <w:rPr>
                <w:snapToGrid w:val="0"/>
              </w:rPr>
              <w:t>particular, that</w:t>
            </w:r>
            <w:proofErr w:type="gramEnd"/>
            <w:r w:rsidR="001A4C96">
              <w:rPr>
                <w:snapToGrid w:val="0"/>
              </w:rPr>
              <w:t xml:space="preserve"> it relates to assessment of whether a variety is an EDV and not whether it is protectable</w:t>
            </w:r>
            <w:r w:rsidR="002311E5">
              <w:rPr>
                <w:snapToGrid w:val="0"/>
              </w:rPr>
              <w:t>.</w:t>
            </w:r>
          </w:p>
        </w:tc>
      </w:tr>
      <w:tr w:rsidR="0010416A" w:rsidRPr="00482F75" w:rsidTr="0010416A">
        <w:trPr>
          <w:cantSplit/>
        </w:trPr>
        <w:tc>
          <w:tcPr>
            <w:tcW w:w="1391" w:type="dxa"/>
          </w:tcPr>
          <w:p w:rsidR="0010416A" w:rsidRDefault="0010416A" w:rsidP="00546532">
            <w:pPr>
              <w:jc w:val="left"/>
            </w:pPr>
            <w:r>
              <w:t xml:space="preserve">New proposal </w:t>
            </w:r>
          </w:p>
        </w:tc>
        <w:tc>
          <w:tcPr>
            <w:tcW w:w="7789" w:type="dxa"/>
          </w:tcPr>
          <w:p w:rsidR="0010416A" w:rsidRPr="00482F75" w:rsidRDefault="0010416A" w:rsidP="001A4C96">
            <w:pPr>
              <w:rPr>
                <w:snapToGrid w:val="0"/>
              </w:rPr>
            </w:pPr>
            <w:r>
              <w:rPr>
                <w:snapToGrid w:val="0"/>
              </w:rPr>
              <w:t>To develop guidance in the next draft to clarify the situation if the initial variety</w:t>
            </w:r>
            <w:r w:rsidR="001A4C96">
              <w:rPr>
                <w:snapToGrid w:val="0"/>
              </w:rPr>
              <w:t>, or the EDV,</w:t>
            </w:r>
            <w:r>
              <w:rPr>
                <w:snapToGrid w:val="0"/>
              </w:rPr>
              <w:t xml:space="preserve"> is not protected or is</w:t>
            </w:r>
            <w:r w:rsidR="00863CBE">
              <w:rPr>
                <w:snapToGrid w:val="0"/>
              </w:rPr>
              <w:t xml:space="preserve"> protected in another territory.</w:t>
            </w:r>
          </w:p>
        </w:tc>
      </w:tr>
    </w:tbl>
    <w:p w:rsidR="0010416A" w:rsidRDefault="0010416A" w:rsidP="003D01A5"/>
    <w:p w:rsidR="003D01A5" w:rsidRPr="003D01A5" w:rsidRDefault="003D01A5" w:rsidP="003D01A5"/>
    <w:p w:rsidR="007B1E25" w:rsidRPr="00030239" w:rsidRDefault="007B1E25" w:rsidP="000E2821">
      <w:pPr>
        <w:pStyle w:val="Heading2"/>
      </w:pPr>
      <w:r w:rsidRPr="00030239">
        <w:t>Matters concerning observers in the CAJ-AG</w:t>
      </w:r>
    </w:p>
    <w:p w:rsidR="007B1E25" w:rsidRPr="00030239" w:rsidRDefault="007B1E25" w:rsidP="000E2821">
      <w:pPr>
        <w:keepNext/>
      </w:pPr>
    </w:p>
    <w:p w:rsidR="007B1E25" w:rsidRDefault="007B1E25" w:rsidP="007B1E25">
      <w:pPr>
        <w:rPr>
          <w:rFonts w:cs="Arial"/>
        </w:rPr>
      </w:pPr>
      <w:r w:rsidRPr="00030239">
        <w:fldChar w:fldCharType="begin"/>
      </w:r>
      <w:r w:rsidRPr="00030239">
        <w:instrText xml:space="preserve"> AUTONUM  </w:instrText>
      </w:r>
      <w:r w:rsidRPr="00030239">
        <w:fldChar w:fldCharType="end"/>
      </w:r>
      <w:r w:rsidRPr="00030239">
        <w:tab/>
      </w:r>
      <w:r w:rsidR="00030239" w:rsidRPr="00030239">
        <w:rPr>
          <w:rFonts w:cs="Arial"/>
        </w:rPr>
        <w:t>The CAJ</w:t>
      </w:r>
      <w:r w:rsidR="00030239">
        <w:rPr>
          <w:rFonts w:cs="Arial"/>
        </w:rPr>
        <w:t>-</w:t>
      </w:r>
      <w:r w:rsidR="00030239" w:rsidRPr="00030239">
        <w:rPr>
          <w:rFonts w:cs="Arial"/>
        </w:rPr>
        <w:t xml:space="preserve">AG considered document CAJ-AG/14/9/5 and </w:t>
      </w:r>
      <w:r w:rsidR="00030239">
        <w:rPr>
          <w:rFonts w:cs="Arial"/>
        </w:rPr>
        <w:t xml:space="preserve">agreed </w:t>
      </w:r>
      <w:r w:rsidR="00030239" w:rsidRPr="00030239">
        <w:rPr>
          <w:rFonts w:cs="Arial"/>
        </w:rPr>
        <w:t xml:space="preserve">that </w:t>
      </w:r>
      <w:r w:rsidR="00030239">
        <w:rPr>
          <w:rFonts w:cs="Arial"/>
        </w:rPr>
        <w:t xml:space="preserve">the matter </w:t>
      </w:r>
      <w:r w:rsidR="00030239" w:rsidRPr="00030239">
        <w:rPr>
          <w:rFonts w:cs="Arial"/>
        </w:rPr>
        <w:t>should be considered by the CAJ at the appropriate time.</w:t>
      </w:r>
    </w:p>
    <w:p w:rsidR="00030239" w:rsidRDefault="00030239" w:rsidP="007B1E25">
      <w:pPr>
        <w:rPr>
          <w:rFonts w:cs="Arial"/>
        </w:rPr>
      </w:pPr>
    </w:p>
    <w:p w:rsidR="00030239" w:rsidRPr="00030239" w:rsidRDefault="00030239" w:rsidP="007B1E25">
      <w:r w:rsidRPr="00030239">
        <w:fldChar w:fldCharType="begin"/>
      </w:r>
      <w:r w:rsidRPr="00030239">
        <w:instrText xml:space="preserve"> AUTONUM  </w:instrText>
      </w:r>
      <w:r w:rsidRPr="00030239">
        <w:fldChar w:fldCharType="end"/>
      </w:r>
      <w:r w:rsidRPr="00030239">
        <w:tab/>
        <w:t>The CAJ-AG suggested to the CAJ to consider the merits of inviting written comments from members and observers on relevant CAJ documents before the CAJ sessions.</w:t>
      </w:r>
    </w:p>
    <w:p w:rsidR="007429B5" w:rsidRDefault="007429B5" w:rsidP="007B1E25"/>
    <w:p w:rsidR="00F919CF" w:rsidRDefault="00F919CF" w:rsidP="00F919CF">
      <w:pPr>
        <w:pStyle w:val="Heading2"/>
      </w:pPr>
      <w:r w:rsidRPr="00153DFB">
        <w:t>Matters referred by the CAJ to the CAJ-AG for consideration since the eighth session of the CAJ-AG</w:t>
      </w:r>
    </w:p>
    <w:p w:rsidR="00F919CF" w:rsidRDefault="00F919CF" w:rsidP="00F919CF">
      <w:pPr>
        <w:keepNext/>
      </w:pPr>
    </w:p>
    <w:p w:rsidR="00F919CF" w:rsidRDefault="00F919CF" w:rsidP="00F919CF">
      <w:pPr>
        <w:tabs>
          <w:tab w:val="left" w:pos="567"/>
        </w:tabs>
      </w:pPr>
      <w:r w:rsidRPr="00293035">
        <w:fldChar w:fldCharType="begin"/>
      </w:r>
      <w:r w:rsidRPr="00293035">
        <w:instrText xml:space="preserve"> AUTONUM  </w:instrText>
      </w:r>
      <w:r w:rsidRPr="00293035">
        <w:fldChar w:fldCharType="end"/>
      </w:r>
      <w:r w:rsidRPr="00293035">
        <w:tab/>
      </w:r>
      <w:r>
        <w:t>T</w:t>
      </w:r>
      <w:r w:rsidRPr="00293035">
        <w:t>he CAJ</w:t>
      </w:r>
      <w:r>
        <w:t>, at its seventieth session, held in Geneva on October 13, 2014, requested the CAJ</w:t>
      </w:r>
      <w:r>
        <w:noBreakHyphen/>
      </w:r>
      <w:r w:rsidRPr="00293035">
        <w:t xml:space="preserve">AG, at its ninth session, to advise the CAJ </w:t>
      </w:r>
      <w:r>
        <w:t xml:space="preserve">on </w:t>
      </w:r>
      <w:r w:rsidRPr="00293035">
        <w:t>documents to be considered at t</w:t>
      </w:r>
      <w:r>
        <w:t>he seventy-first session of the </w:t>
      </w:r>
      <w:r w:rsidRPr="00293035">
        <w:t>CAJ, in March 2015.</w:t>
      </w:r>
      <w:r>
        <w:t xml:space="preserve">  </w:t>
      </w:r>
    </w:p>
    <w:p w:rsidR="00F919CF" w:rsidRDefault="00F919CF" w:rsidP="00F919CF">
      <w:pPr>
        <w:tabs>
          <w:tab w:val="left" w:pos="567"/>
        </w:tabs>
      </w:pPr>
    </w:p>
    <w:p w:rsidR="00F919CF" w:rsidRDefault="00F919CF" w:rsidP="00F919CF">
      <w:pPr>
        <w:tabs>
          <w:tab w:val="left" w:pos="567"/>
        </w:tabs>
      </w:pPr>
      <w:r>
        <w:fldChar w:fldCharType="begin"/>
      </w:r>
      <w:r>
        <w:instrText xml:space="preserve"> AUTONUM  </w:instrText>
      </w:r>
      <w:r>
        <w:fldChar w:fldCharType="end"/>
      </w:r>
      <w:r>
        <w:tab/>
        <w:t>In that regard, the CAJ</w:t>
      </w:r>
      <w:r>
        <w:noBreakHyphen/>
      </w:r>
      <w:r w:rsidRPr="00293035">
        <w:t>AG</w:t>
      </w:r>
      <w:r>
        <w:t xml:space="preserve"> advised as follows in relation to items 4 “</w:t>
      </w:r>
      <w:r w:rsidRPr="00145935">
        <w:rPr>
          <w:kern w:val="28"/>
        </w:rPr>
        <w:t xml:space="preserve">Development of information materials concerning the </w:t>
      </w:r>
      <w:r>
        <w:rPr>
          <w:kern w:val="28"/>
        </w:rPr>
        <w:t xml:space="preserve">UPOV Convention” </w:t>
      </w:r>
      <w:r>
        <w:t>and 7 “</w:t>
      </w:r>
      <w:r w:rsidRPr="00145935">
        <w:rPr>
          <w:kern w:val="28"/>
        </w:rPr>
        <w:t>Variety denominations</w:t>
      </w:r>
      <w:r>
        <w:rPr>
          <w:kern w:val="28"/>
        </w:rPr>
        <w:t>”</w:t>
      </w:r>
      <w:r>
        <w:t xml:space="preserve"> of the seventy-first session of the </w:t>
      </w:r>
      <w:r w:rsidRPr="00293035">
        <w:t>CAJ</w:t>
      </w:r>
      <w:r>
        <w:t xml:space="preserve"> : </w:t>
      </w:r>
    </w:p>
    <w:p w:rsidR="00F919CF" w:rsidRDefault="00F919CF" w:rsidP="00F919CF">
      <w:pPr>
        <w:tabs>
          <w:tab w:val="left" w:pos="567"/>
        </w:tabs>
      </w:pPr>
    </w:p>
    <w:p w:rsidR="00F919CF" w:rsidRPr="00184EDD" w:rsidRDefault="00F919CF" w:rsidP="00390790">
      <w:pPr>
        <w:tabs>
          <w:tab w:val="left" w:pos="567"/>
        </w:tabs>
        <w:ind w:left="1134" w:right="567" w:hanging="567"/>
        <w:rPr>
          <w:kern w:val="28"/>
        </w:rPr>
      </w:pPr>
      <w:r>
        <w:rPr>
          <w:kern w:val="28"/>
        </w:rPr>
        <w:t>4.</w:t>
      </w:r>
      <w:r>
        <w:rPr>
          <w:kern w:val="28"/>
        </w:rPr>
        <w:tab/>
      </w:r>
      <w:r w:rsidRPr="00184EDD">
        <w:rPr>
          <w:kern w:val="28"/>
        </w:rPr>
        <w:t>Development of information materials concerning the UPOV Convention (documents CAJ/71/2 and CAJ</w:t>
      </w:r>
      <w:r w:rsidRPr="00184EDD">
        <w:rPr>
          <w:kern w:val="28"/>
        </w:rPr>
        <w:noBreakHyphen/>
        <w:t>AG/14/9/7 “Report”)</w:t>
      </w:r>
    </w:p>
    <w:p w:rsidR="00F919CF" w:rsidRPr="00184EDD" w:rsidRDefault="00F919CF" w:rsidP="00390790">
      <w:pPr>
        <w:ind w:left="1134" w:right="567" w:hanging="567"/>
      </w:pPr>
    </w:p>
    <w:p w:rsidR="00F919CF" w:rsidRPr="00184EDD" w:rsidRDefault="00F919CF" w:rsidP="00390790">
      <w:pPr>
        <w:ind w:left="1701" w:right="567" w:hanging="567"/>
        <w:rPr>
          <w:strike/>
        </w:rPr>
      </w:pPr>
      <w:r w:rsidRPr="00184EDD">
        <w:t>(a)</w:t>
      </w:r>
      <w:r w:rsidRPr="00184EDD">
        <w:tab/>
        <w:t>Explanatory Notes on Essentially Derived Varieties under the 1991 Act of the UPOV Convention (Revision) (</w:t>
      </w:r>
      <w:r w:rsidRPr="00184EDD">
        <w:rPr>
          <w:kern w:val="28"/>
        </w:rPr>
        <w:t>document CAJ/71/2</w:t>
      </w:r>
      <w:r w:rsidR="00207CF6">
        <w:rPr>
          <w:kern w:val="28"/>
        </w:rPr>
        <w:t xml:space="preserve">: </w:t>
      </w:r>
      <w:r w:rsidRPr="00184EDD">
        <w:rPr>
          <w:kern w:val="28"/>
        </w:rPr>
        <w:t xml:space="preserve"> proposed way forward</w:t>
      </w:r>
      <w:r w:rsidR="00207CF6">
        <w:rPr>
          <w:kern w:val="28"/>
        </w:rPr>
        <w:t>,</w:t>
      </w:r>
      <w:r>
        <w:rPr>
          <w:kern w:val="28"/>
        </w:rPr>
        <w:t xml:space="preserve"> wit</w:t>
      </w:r>
      <w:r w:rsidR="00207CF6">
        <w:rPr>
          <w:kern w:val="28"/>
        </w:rPr>
        <w:t>h a </w:t>
      </w:r>
      <w:r>
        <w:rPr>
          <w:kern w:val="28"/>
        </w:rPr>
        <w:t xml:space="preserve">view to the discussion of a new draft of </w:t>
      </w:r>
      <w:r w:rsidR="00207CF6">
        <w:rPr>
          <w:kern w:val="28"/>
        </w:rPr>
        <w:t xml:space="preserve">document UPOV/EXN/EDV/2 </w:t>
      </w:r>
      <w:r>
        <w:rPr>
          <w:kern w:val="28"/>
        </w:rPr>
        <w:t>in the CAJ in October 2015</w:t>
      </w:r>
      <w:r w:rsidRPr="00184EDD">
        <w:t>)</w:t>
      </w:r>
    </w:p>
    <w:p w:rsidR="00F919CF" w:rsidRPr="00184EDD" w:rsidRDefault="00F919CF" w:rsidP="00390790">
      <w:pPr>
        <w:ind w:left="1134" w:right="567" w:hanging="567"/>
        <w:rPr>
          <w:strike/>
        </w:rPr>
      </w:pPr>
    </w:p>
    <w:p w:rsidR="00F919CF" w:rsidRPr="00184EDD" w:rsidRDefault="00F919CF" w:rsidP="00390790">
      <w:pPr>
        <w:ind w:left="1701" w:right="567" w:hanging="567"/>
      </w:pPr>
      <w:r w:rsidRPr="00184EDD">
        <w:t>(b)</w:t>
      </w:r>
      <w:r w:rsidRPr="00184EDD">
        <w:tab/>
        <w:t>Explanatory Notes on Propagating Material under the UPOV Convention (document UPOV/EXN/PPM/1 Draft 4)</w:t>
      </w:r>
    </w:p>
    <w:p w:rsidR="00F919CF" w:rsidRPr="00184EDD" w:rsidRDefault="00F919CF" w:rsidP="00390790">
      <w:pPr>
        <w:ind w:left="1701" w:right="567" w:hanging="567"/>
      </w:pPr>
    </w:p>
    <w:p w:rsidR="00F919CF" w:rsidRPr="00184EDD" w:rsidRDefault="00F919CF" w:rsidP="00390790">
      <w:pPr>
        <w:ind w:left="1701" w:right="567" w:hanging="567"/>
        <w:rPr>
          <w:kern w:val="28"/>
        </w:rPr>
      </w:pPr>
      <w:r w:rsidRPr="00184EDD">
        <w:t>(c)</w:t>
      </w:r>
      <w:r w:rsidRPr="00184EDD">
        <w:tab/>
        <w:t xml:space="preserve">Explanatory Notes on Acts in Respect of Harvested Material under the 1991 Act of the UPOV Convention (Revision) </w:t>
      </w:r>
      <w:r w:rsidRPr="00184EDD">
        <w:rPr>
          <w:kern w:val="28"/>
        </w:rPr>
        <w:t>(document CAJ/71/2</w:t>
      </w:r>
      <w:r w:rsidR="00207CF6">
        <w:rPr>
          <w:kern w:val="28"/>
        </w:rPr>
        <w:t>:</w:t>
      </w:r>
      <w:r>
        <w:rPr>
          <w:kern w:val="28"/>
        </w:rPr>
        <w:t xml:space="preserve"> </w:t>
      </w:r>
      <w:r w:rsidRPr="00184EDD">
        <w:rPr>
          <w:kern w:val="28"/>
        </w:rPr>
        <w:t xml:space="preserve"> </w:t>
      </w:r>
      <w:r w:rsidRPr="00184EDD">
        <w:t xml:space="preserve">CAJ-AG </w:t>
      </w:r>
      <w:r>
        <w:t xml:space="preserve">proposal to discontinue the development of a </w:t>
      </w:r>
      <w:r w:rsidR="00207CF6">
        <w:t xml:space="preserve">revision </w:t>
      </w:r>
      <w:r>
        <w:t>of UPOV/EXN/HRV/1</w:t>
      </w:r>
      <w:r w:rsidRPr="00184EDD">
        <w:rPr>
          <w:kern w:val="28"/>
        </w:rPr>
        <w:t>)</w:t>
      </w:r>
    </w:p>
    <w:p w:rsidR="00F919CF" w:rsidRPr="00184EDD" w:rsidRDefault="00F919CF" w:rsidP="00390790">
      <w:pPr>
        <w:ind w:left="1701" w:right="567" w:hanging="567"/>
        <w:rPr>
          <w:kern w:val="28"/>
        </w:rPr>
      </w:pPr>
    </w:p>
    <w:p w:rsidR="00F919CF" w:rsidRPr="00184EDD" w:rsidRDefault="00F919CF" w:rsidP="00390790">
      <w:pPr>
        <w:ind w:left="1701" w:right="567" w:hanging="567"/>
      </w:pPr>
      <w:r w:rsidRPr="00184EDD">
        <w:rPr>
          <w:kern w:val="28"/>
        </w:rPr>
        <w:t>(d)</w:t>
      </w:r>
      <w:r w:rsidRPr="00184EDD">
        <w:rPr>
          <w:kern w:val="28"/>
        </w:rPr>
        <w:tab/>
      </w:r>
      <w:r w:rsidRPr="00184EDD">
        <w:t>Explanatory Notes on Cancellation of the Breeder's Right under the UPOV Convention (Revision) (document UPOV/EXN/CAN/2 Draft 3)</w:t>
      </w:r>
    </w:p>
    <w:p w:rsidR="00F919CF" w:rsidRPr="00184EDD" w:rsidRDefault="00F919CF" w:rsidP="00390790">
      <w:pPr>
        <w:ind w:left="1701" w:right="567" w:hanging="567"/>
      </w:pPr>
    </w:p>
    <w:p w:rsidR="00F919CF" w:rsidRPr="00184EDD" w:rsidRDefault="00F919CF" w:rsidP="00390790">
      <w:pPr>
        <w:ind w:left="1701" w:right="567" w:hanging="567"/>
      </w:pPr>
      <w:r w:rsidRPr="00184EDD">
        <w:t>(e)</w:t>
      </w:r>
      <w:r w:rsidRPr="00184EDD">
        <w:tab/>
        <w:t>Explanatory Notes on Nullity of the Breeder's Right under the UPOV Convention (Revision) (document UPOV/EXN/NUL/2 Draft 3)</w:t>
      </w:r>
    </w:p>
    <w:p w:rsidR="00F919CF" w:rsidRPr="00184EDD" w:rsidRDefault="00F919CF" w:rsidP="00390790">
      <w:pPr>
        <w:ind w:left="1701" w:right="567" w:hanging="567"/>
      </w:pPr>
    </w:p>
    <w:p w:rsidR="00F919CF" w:rsidRPr="00184EDD" w:rsidRDefault="00F919CF" w:rsidP="00390790">
      <w:pPr>
        <w:ind w:left="1701" w:right="567" w:hanging="567"/>
        <w:rPr>
          <w:kern w:val="28"/>
        </w:rPr>
      </w:pPr>
      <w:r w:rsidRPr="00184EDD">
        <w:t>(f)</w:t>
      </w:r>
      <w:r w:rsidRPr="00184EDD">
        <w:tab/>
        <w:t xml:space="preserve">Matters concerning variety descriptions </w:t>
      </w:r>
      <w:r w:rsidRPr="00184EDD">
        <w:rPr>
          <w:kern w:val="28"/>
        </w:rPr>
        <w:t>(document CAJ/71/2</w:t>
      </w:r>
      <w:r w:rsidR="00207CF6">
        <w:rPr>
          <w:kern w:val="28"/>
        </w:rPr>
        <w:t xml:space="preserve">: </w:t>
      </w:r>
      <w:r>
        <w:rPr>
          <w:kern w:val="28"/>
        </w:rPr>
        <w:t xml:space="preserve"> to present the </w:t>
      </w:r>
      <w:r w:rsidRPr="00184EDD">
        <w:t>conclusion</w:t>
      </w:r>
      <w:r>
        <w:t xml:space="preserve"> of the CAJ-AG</w:t>
      </w:r>
      <w:r w:rsidRPr="00184EDD">
        <w:rPr>
          <w:kern w:val="28"/>
        </w:rPr>
        <w:t>)</w:t>
      </w:r>
    </w:p>
    <w:p w:rsidR="00F919CF" w:rsidRPr="00184EDD" w:rsidRDefault="00F919CF" w:rsidP="00390790">
      <w:pPr>
        <w:ind w:left="1701" w:right="567" w:hanging="567"/>
        <w:rPr>
          <w:kern w:val="28"/>
        </w:rPr>
      </w:pPr>
    </w:p>
    <w:p w:rsidR="00F919CF" w:rsidRPr="00184EDD" w:rsidRDefault="00F919CF" w:rsidP="00390790">
      <w:pPr>
        <w:ind w:left="1701" w:right="567" w:hanging="567"/>
      </w:pPr>
      <w:r w:rsidRPr="00184EDD">
        <w:rPr>
          <w:kern w:val="28"/>
        </w:rPr>
        <w:t>(g)</w:t>
      </w:r>
      <w:r w:rsidRPr="00184EDD">
        <w:rPr>
          <w:kern w:val="28"/>
        </w:rPr>
        <w:tab/>
      </w:r>
      <w:r w:rsidRPr="00184EDD">
        <w:t>Explanatory Notes on Provisional Protection under the UPOV Convention (Revision) (document UPOV/EXN/PRP/2 Draft 3)</w:t>
      </w:r>
    </w:p>
    <w:p w:rsidR="00F919CF" w:rsidRPr="00184EDD" w:rsidRDefault="00F919CF" w:rsidP="00390790">
      <w:pPr>
        <w:ind w:left="1134" w:right="567" w:hanging="567"/>
        <w:rPr>
          <w:kern w:val="28"/>
        </w:rPr>
      </w:pPr>
    </w:p>
    <w:p w:rsidR="00F919CF" w:rsidRPr="00184EDD" w:rsidRDefault="00F919CF" w:rsidP="00390790">
      <w:pPr>
        <w:ind w:left="1134" w:right="567" w:hanging="567"/>
        <w:rPr>
          <w:kern w:val="28"/>
        </w:rPr>
      </w:pPr>
      <w:r>
        <w:rPr>
          <w:kern w:val="28"/>
        </w:rPr>
        <w:t>7.</w:t>
      </w:r>
      <w:r>
        <w:rPr>
          <w:kern w:val="28"/>
        </w:rPr>
        <w:tab/>
      </w:r>
      <w:r w:rsidRPr="00184EDD">
        <w:rPr>
          <w:kern w:val="28"/>
        </w:rPr>
        <w:t>Variety denominations (document CAJ/71/3)</w:t>
      </w:r>
    </w:p>
    <w:p w:rsidR="00F919CF" w:rsidRPr="00184EDD" w:rsidRDefault="00F919CF" w:rsidP="00390790">
      <w:pPr>
        <w:ind w:left="1701" w:right="567" w:hanging="567"/>
        <w:rPr>
          <w:kern w:val="28"/>
        </w:rPr>
      </w:pPr>
    </w:p>
    <w:p w:rsidR="00F919CF" w:rsidRPr="00293035" w:rsidRDefault="00F919CF" w:rsidP="00390790">
      <w:pPr>
        <w:ind w:left="1134" w:right="567"/>
        <w:rPr>
          <w:strike/>
        </w:rPr>
      </w:pPr>
      <w:r w:rsidRPr="00184EDD">
        <w:t>Explanatory Notes on Variety Denominations under the UPOV Convention (Revision) (</w:t>
      </w:r>
      <w:r w:rsidRPr="00184EDD">
        <w:rPr>
          <w:kern w:val="28"/>
        </w:rPr>
        <w:t>CAJ</w:t>
      </w:r>
      <w:r>
        <w:rPr>
          <w:kern w:val="28"/>
        </w:rPr>
        <w:t xml:space="preserve"> to be invited to consider a plan for the revision of document UPOV/INF/12/5</w:t>
      </w:r>
      <w:r w:rsidRPr="00184EDD">
        <w:t>)</w:t>
      </w:r>
    </w:p>
    <w:p w:rsidR="00F919CF" w:rsidRPr="00BE4A7F" w:rsidRDefault="00F919CF" w:rsidP="00F919CF">
      <w:pPr>
        <w:ind w:left="567" w:hanging="567"/>
      </w:pPr>
    </w:p>
    <w:p w:rsidR="00C86AE3" w:rsidRDefault="00C86AE3" w:rsidP="00C86AE3">
      <w:pPr>
        <w:pStyle w:val="DecisionParagraphs"/>
      </w:pPr>
      <w:r>
        <w:fldChar w:fldCharType="begin"/>
      </w:r>
      <w:r>
        <w:instrText xml:space="preserve"> AUTONUM  </w:instrText>
      </w:r>
      <w:r>
        <w:fldChar w:fldCharType="end"/>
      </w:r>
      <w:r>
        <w:tab/>
      </w:r>
      <w:r w:rsidRPr="003441AC">
        <w:t xml:space="preserve">The </w:t>
      </w:r>
      <w:r>
        <w:t>CAJ</w:t>
      </w:r>
      <w:r>
        <w:t>-AG</w:t>
      </w:r>
      <w:r>
        <w:t xml:space="preserve"> </w:t>
      </w:r>
      <w:r w:rsidRPr="003441AC">
        <w:t xml:space="preserve">adopted </w:t>
      </w:r>
      <w:r>
        <w:t xml:space="preserve">this report at the close of its </w:t>
      </w:r>
      <w:r w:rsidRPr="003441AC">
        <w:t xml:space="preserve">session on </w:t>
      </w:r>
      <w:r>
        <w:t>October 1</w:t>
      </w:r>
      <w:r>
        <w:t>7</w:t>
      </w:r>
      <w:r>
        <w:t>, 2014</w:t>
      </w:r>
      <w:r w:rsidRPr="003441AC">
        <w:t>.</w:t>
      </w:r>
    </w:p>
    <w:p w:rsidR="00066229" w:rsidRDefault="00066229">
      <w:pPr>
        <w:jc w:val="left"/>
      </w:pPr>
    </w:p>
    <w:p w:rsidR="00117858" w:rsidRDefault="00117858">
      <w:pPr>
        <w:jc w:val="left"/>
      </w:pPr>
    </w:p>
    <w:p w:rsidR="00C86AE3" w:rsidRDefault="00C86AE3">
      <w:pPr>
        <w:jc w:val="left"/>
      </w:pPr>
    </w:p>
    <w:p w:rsidR="00293035" w:rsidRPr="00BE4A7F" w:rsidRDefault="00117858" w:rsidP="00117858">
      <w:pPr>
        <w:ind w:left="567" w:hanging="567"/>
        <w:jc w:val="right"/>
      </w:pPr>
      <w:r>
        <w:t>[</w:t>
      </w:r>
      <w:r w:rsidR="00C86AE3">
        <w:t>Annex follows</w:t>
      </w:r>
      <w:r>
        <w:t>]</w:t>
      </w:r>
    </w:p>
    <w:p w:rsidR="00293035" w:rsidRDefault="00293035" w:rsidP="007429B5"/>
    <w:p w:rsidR="00D539E8" w:rsidRDefault="00D539E8" w:rsidP="007429B5">
      <w:pPr>
        <w:sectPr w:rsidR="00D539E8" w:rsidSect="00906DDC">
          <w:headerReference w:type="default" r:id="rId11"/>
          <w:pgSz w:w="11907" w:h="16840" w:code="9"/>
          <w:pgMar w:top="510" w:right="1134" w:bottom="1134" w:left="1134" w:header="510" w:footer="680" w:gutter="0"/>
          <w:cols w:space="720"/>
          <w:titlePg/>
        </w:sectPr>
      </w:pPr>
    </w:p>
    <w:p w:rsidR="00D539E8" w:rsidRPr="0052102F" w:rsidRDefault="00D539E8" w:rsidP="0052102F">
      <w:pPr>
        <w:jc w:val="center"/>
        <w:rPr>
          <w:rFonts w:cs="Arial"/>
          <w:lang w:val="fr-FR"/>
        </w:rPr>
      </w:pPr>
      <w:r w:rsidRPr="0052102F">
        <w:rPr>
          <w:rFonts w:cs="Arial"/>
          <w:lang w:val="fr-FR"/>
        </w:rPr>
        <w:t>CAJ-AG/1</w:t>
      </w:r>
      <w:r>
        <w:rPr>
          <w:rFonts w:cs="Arial"/>
          <w:lang w:val="fr-FR"/>
        </w:rPr>
        <w:t>4</w:t>
      </w:r>
      <w:r w:rsidRPr="0052102F">
        <w:rPr>
          <w:rFonts w:cs="Arial"/>
          <w:lang w:val="fr-FR"/>
        </w:rPr>
        <w:t>/</w:t>
      </w:r>
      <w:r>
        <w:rPr>
          <w:rFonts w:cs="Arial"/>
          <w:lang w:val="fr-FR"/>
        </w:rPr>
        <w:t>9</w:t>
      </w:r>
      <w:r w:rsidRPr="0052102F">
        <w:rPr>
          <w:rFonts w:cs="Arial"/>
          <w:lang w:val="fr-FR"/>
        </w:rPr>
        <w:t>/</w:t>
      </w:r>
      <w:r>
        <w:rPr>
          <w:rFonts w:cs="Arial"/>
          <w:lang w:val="fr-FR"/>
        </w:rPr>
        <w:t>6</w:t>
      </w:r>
    </w:p>
    <w:p w:rsidR="00D539E8" w:rsidRPr="0052102F" w:rsidRDefault="00D539E8" w:rsidP="0052102F">
      <w:pPr>
        <w:jc w:val="center"/>
        <w:rPr>
          <w:rFonts w:cs="Arial"/>
          <w:lang w:val="fr-FR"/>
        </w:rPr>
      </w:pPr>
    </w:p>
    <w:p w:rsidR="00D539E8" w:rsidRPr="0052102F" w:rsidRDefault="00D539E8" w:rsidP="0052102F">
      <w:pPr>
        <w:jc w:val="center"/>
        <w:rPr>
          <w:rFonts w:cs="Arial"/>
          <w:lang w:val="fr-FR"/>
        </w:rPr>
      </w:pPr>
      <w:r w:rsidRPr="0052102F">
        <w:rPr>
          <w:rFonts w:cs="Arial"/>
          <w:lang w:val="fr-FR"/>
        </w:rPr>
        <w:t>ANNEXE / ANNEX / ANLAGE / ANEXO</w:t>
      </w:r>
    </w:p>
    <w:p w:rsidR="00D539E8" w:rsidRDefault="00D539E8" w:rsidP="0052102F">
      <w:pPr>
        <w:jc w:val="center"/>
        <w:rPr>
          <w:rFonts w:cs="Arial"/>
          <w:lang w:val="fr-FR"/>
        </w:rPr>
      </w:pPr>
    </w:p>
    <w:p w:rsidR="00D539E8" w:rsidRPr="0052102F" w:rsidRDefault="00D539E8" w:rsidP="0052102F">
      <w:pPr>
        <w:jc w:val="center"/>
        <w:rPr>
          <w:rFonts w:cs="Arial"/>
          <w:lang w:val="fr-FR"/>
        </w:rPr>
      </w:pPr>
    </w:p>
    <w:p w:rsidR="00D539E8" w:rsidRPr="00722730" w:rsidRDefault="00D539E8" w:rsidP="00722730">
      <w:pPr>
        <w:jc w:val="center"/>
        <w:rPr>
          <w:rFonts w:cs="Arial"/>
          <w:lang w:val="fr-FR"/>
        </w:rPr>
      </w:pPr>
      <w:r w:rsidRPr="00722730">
        <w:rPr>
          <w:rFonts w:cs="Arial"/>
          <w:lang w:val="fr-FR"/>
        </w:rPr>
        <w:t>LISTE DES PARTICIPANTS / LIST OF PARTICIPANTS /</w:t>
      </w:r>
    </w:p>
    <w:p w:rsidR="00D539E8" w:rsidRDefault="00D539E8" w:rsidP="00722730">
      <w:pPr>
        <w:jc w:val="center"/>
        <w:rPr>
          <w:rFonts w:cs="Arial"/>
          <w:lang w:val="fr-FR"/>
        </w:rPr>
      </w:pPr>
      <w:r w:rsidRPr="00722730">
        <w:rPr>
          <w:rFonts w:cs="Arial"/>
          <w:lang w:val="fr-FR"/>
        </w:rPr>
        <w:t>TEILNEHMERLISTE / LISTA DE PARTICIPANTES</w:t>
      </w:r>
    </w:p>
    <w:p w:rsidR="00D539E8" w:rsidRPr="0052102F" w:rsidRDefault="00D539E8" w:rsidP="00722730">
      <w:pPr>
        <w:jc w:val="center"/>
        <w:rPr>
          <w:rFonts w:cs="Arial"/>
          <w:lang w:val="fr-FR"/>
        </w:rPr>
      </w:pPr>
    </w:p>
    <w:p w:rsidR="00D539E8" w:rsidRPr="0052102F" w:rsidRDefault="00D539E8" w:rsidP="0052102F">
      <w:pPr>
        <w:jc w:val="center"/>
        <w:rPr>
          <w:rFonts w:cs="Arial"/>
          <w:lang w:val="fr-FR"/>
        </w:rPr>
      </w:pPr>
      <w:r w:rsidRPr="0052102F">
        <w:rPr>
          <w:rFonts w:cs="Arial"/>
          <w:lang w:val="fr-FR"/>
        </w:rPr>
        <w:t>(</w:t>
      </w:r>
      <w:proofErr w:type="gramStart"/>
      <w:r w:rsidRPr="0052102F">
        <w:rPr>
          <w:rFonts w:cs="Arial"/>
          <w:lang w:val="fr-FR"/>
        </w:rPr>
        <w:t>dans</w:t>
      </w:r>
      <w:proofErr w:type="gramEnd"/>
      <w:r w:rsidRPr="0052102F">
        <w:rPr>
          <w:rFonts w:cs="Arial"/>
          <w:lang w:val="fr-FR"/>
        </w:rPr>
        <w:t xml:space="preserve"> l’ordre alphabétique des noms français des membres/</w:t>
      </w:r>
    </w:p>
    <w:p w:rsidR="00D539E8" w:rsidRPr="0052102F" w:rsidRDefault="00D539E8" w:rsidP="0052102F">
      <w:pPr>
        <w:jc w:val="center"/>
        <w:rPr>
          <w:rFonts w:cs="Arial"/>
        </w:rPr>
      </w:pPr>
      <w:proofErr w:type="gramStart"/>
      <w:r w:rsidRPr="0052102F">
        <w:rPr>
          <w:rFonts w:cs="Arial"/>
        </w:rPr>
        <w:t>in</w:t>
      </w:r>
      <w:proofErr w:type="gramEnd"/>
      <w:r w:rsidRPr="0052102F">
        <w:rPr>
          <w:rFonts w:cs="Arial"/>
        </w:rPr>
        <w:t xml:space="preserve"> the alphabetical order of the names in French of the members/</w:t>
      </w:r>
    </w:p>
    <w:p w:rsidR="00D539E8" w:rsidRPr="0052102F" w:rsidRDefault="00D539E8" w:rsidP="0052102F">
      <w:pPr>
        <w:jc w:val="center"/>
        <w:rPr>
          <w:rFonts w:cs="Arial"/>
          <w:lang w:val="de-CH"/>
        </w:rPr>
      </w:pPr>
      <w:r w:rsidRPr="0052102F">
        <w:rPr>
          <w:rFonts w:cs="Arial"/>
          <w:lang w:val="de-CH"/>
        </w:rPr>
        <w:t>in alphabetischer Reihenfolge der französischen Namen der Mitglieder/</w:t>
      </w:r>
    </w:p>
    <w:p w:rsidR="00D539E8" w:rsidRPr="0052102F" w:rsidRDefault="00D539E8" w:rsidP="0052102F">
      <w:pPr>
        <w:jc w:val="center"/>
        <w:rPr>
          <w:rFonts w:cs="Arial"/>
          <w:lang w:val="es-ES"/>
        </w:rPr>
      </w:pPr>
      <w:proofErr w:type="gramStart"/>
      <w:r w:rsidRPr="0052102F">
        <w:rPr>
          <w:rFonts w:cs="Arial"/>
          <w:lang w:val="es-ES"/>
        </w:rPr>
        <w:t>por</w:t>
      </w:r>
      <w:proofErr w:type="gramEnd"/>
      <w:r w:rsidRPr="0052102F">
        <w:rPr>
          <w:rFonts w:cs="Arial"/>
          <w:lang w:val="es-ES"/>
        </w:rPr>
        <w:t xml:space="preserve"> orden alfabético de los nombres en francés de los miembros)</w:t>
      </w:r>
    </w:p>
    <w:p w:rsidR="00D539E8" w:rsidRPr="0052102F" w:rsidRDefault="00D539E8" w:rsidP="0052102F">
      <w:pPr>
        <w:jc w:val="center"/>
        <w:rPr>
          <w:rFonts w:cs="Arial"/>
          <w:lang w:val="es-ES"/>
        </w:rPr>
      </w:pPr>
    </w:p>
    <w:p w:rsidR="00D539E8" w:rsidRDefault="00D539E8" w:rsidP="0052102F">
      <w:pPr>
        <w:jc w:val="center"/>
        <w:rPr>
          <w:rFonts w:cs="Arial"/>
          <w:lang w:val="de-CH"/>
        </w:rPr>
      </w:pPr>
    </w:p>
    <w:p w:rsidR="00D539E8" w:rsidRPr="0052102F" w:rsidRDefault="00D539E8" w:rsidP="0052102F">
      <w:pPr>
        <w:jc w:val="center"/>
        <w:rPr>
          <w:rFonts w:cs="Arial"/>
          <w:lang w:val="de-CH"/>
        </w:rPr>
      </w:pPr>
    </w:p>
    <w:p w:rsidR="00D539E8" w:rsidRPr="00AC0DE9" w:rsidRDefault="00D539E8" w:rsidP="00AC0DE9">
      <w:pPr>
        <w:jc w:val="center"/>
        <w:rPr>
          <w:rFonts w:cs="Arial"/>
          <w:u w:val="single"/>
          <w:lang w:val="de-CH"/>
        </w:rPr>
      </w:pPr>
      <w:r w:rsidRPr="00AC0DE9">
        <w:rPr>
          <w:rFonts w:cs="Arial"/>
          <w:lang w:val="de-CH"/>
        </w:rPr>
        <w:t>I.</w:t>
      </w:r>
      <w:r w:rsidRPr="00AC0DE9">
        <w:rPr>
          <w:rFonts w:cs="Arial"/>
          <w:lang w:val="de-CH"/>
        </w:rPr>
        <w:tab/>
      </w:r>
      <w:r w:rsidRPr="00AC0DE9">
        <w:rPr>
          <w:rFonts w:cs="Arial"/>
          <w:u w:val="single"/>
          <w:lang w:val="de-CH"/>
        </w:rPr>
        <w:t>MEMBRES / MEMBERS / VERBANDSMITGLIEDER / MIEMBROS</w:t>
      </w:r>
    </w:p>
    <w:p w:rsidR="00D539E8" w:rsidRPr="00E73C16" w:rsidRDefault="00D539E8" w:rsidP="00AC0DE9">
      <w:pPr>
        <w:jc w:val="center"/>
        <w:rPr>
          <w:rFonts w:cs="Arial"/>
          <w:lang w:val="de-CH"/>
        </w:rPr>
      </w:pPr>
    </w:p>
    <w:p w:rsidR="00D539E8" w:rsidRPr="00E73C16" w:rsidRDefault="00D539E8" w:rsidP="00AC0DE9">
      <w:pPr>
        <w:widowControl w:val="0"/>
        <w:tabs>
          <w:tab w:val="left" w:pos="90"/>
        </w:tabs>
        <w:autoSpaceDE w:val="0"/>
        <w:autoSpaceDN w:val="0"/>
        <w:rPr>
          <w:rFonts w:cs="Arial"/>
          <w:color w:val="000000"/>
          <w:u w:val="single"/>
          <w:lang w:val="de-CH"/>
        </w:rPr>
      </w:pPr>
      <w:r w:rsidRPr="00E73C16">
        <w:rPr>
          <w:rFonts w:cs="Arial"/>
          <w:color w:val="000000"/>
          <w:u w:val="single"/>
          <w:lang w:val="de-CH"/>
        </w:rPr>
        <w:t>AFRIQUE DU SUD / SOUTH AFRICA / SÜDAFRIKA / SUDÁFRICA</w:t>
      </w:r>
    </w:p>
    <w:p w:rsidR="00D539E8" w:rsidRPr="00E73C16" w:rsidRDefault="00D539E8" w:rsidP="00AC0DE9">
      <w:pPr>
        <w:widowControl w:val="0"/>
        <w:tabs>
          <w:tab w:val="left" w:pos="90"/>
        </w:tabs>
        <w:autoSpaceDE w:val="0"/>
        <w:autoSpaceDN w:val="0"/>
        <w:rPr>
          <w:rFonts w:cs="Arial"/>
          <w:color w:val="000000"/>
          <w:u w:val="single"/>
          <w:lang w:val="de-CH"/>
        </w:rPr>
      </w:pPr>
    </w:p>
    <w:p w:rsidR="00D539E8" w:rsidRPr="00E73C16" w:rsidRDefault="00D539E8" w:rsidP="00AC0DE9">
      <w:pPr>
        <w:widowControl w:val="0"/>
        <w:tabs>
          <w:tab w:val="left" w:pos="90"/>
        </w:tabs>
        <w:autoSpaceDE w:val="0"/>
        <w:autoSpaceDN w:val="0"/>
        <w:rPr>
          <w:rFonts w:cs="Arial"/>
          <w:color w:val="000000"/>
          <w:lang w:val="de-CH"/>
        </w:rPr>
      </w:pPr>
      <w:r w:rsidRPr="00E73C16">
        <w:rPr>
          <w:rFonts w:cs="Arial"/>
          <w:color w:val="000000"/>
          <w:lang w:val="de-CH"/>
        </w:rPr>
        <w:t xml:space="preserve">Noluthando NETNOU-NKOANA (Mrs.), Director of Genetic Resources, Directorate: Genetic </w:t>
      </w:r>
    </w:p>
    <w:p w:rsidR="00D539E8" w:rsidRDefault="00D539E8" w:rsidP="00AC0DE9">
      <w:pPr>
        <w:widowControl w:val="0"/>
        <w:tabs>
          <w:tab w:val="left" w:pos="90"/>
        </w:tabs>
        <w:autoSpaceDE w:val="0"/>
        <w:autoSpaceDN w:val="0"/>
        <w:rPr>
          <w:rFonts w:cs="Arial"/>
          <w:color w:val="000000"/>
        </w:rPr>
      </w:pPr>
      <w:r w:rsidRPr="00AC0DE9">
        <w:rPr>
          <w:rFonts w:cs="Arial"/>
          <w:color w:val="000000"/>
        </w:rPr>
        <w:t xml:space="preserve">Resources, Department of Agriculture, Forestry and Fisheries, Pretoria (e-mail: noluthandon@daff.gov.za)  </w:t>
      </w:r>
    </w:p>
    <w:p w:rsidR="00D539E8" w:rsidRDefault="00D539E8" w:rsidP="00AC0DE9">
      <w:pPr>
        <w:widowControl w:val="0"/>
        <w:tabs>
          <w:tab w:val="left" w:pos="90"/>
        </w:tabs>
        <w:autoSpaceDE w:val="0"/>
        <w:autoSpaceDN w:val="0"/>
        <w:rPr>
          <w:rFonts w:cs="Arial"/>
          <w:color w:val="000000"/>
        </w:rPr>
      </w:pPr>
    </w:p>
    <w:p w:rsidR="00D539E8" w:rsidRPr="00171A61" w:rsidRDefault="00171A61" w:rsidP="00AC0DE9">
      <w:pPr>
        <w:widowControl w:val="0"/>
        <w:tabs>
          <w:tab w:val="left" w:pos="90"/>
        </w:tabs>
        <w:autoSpaceDE w:val="0"/>
        <w:autoSpaceDN w:val="0"/>
        <w:rPr>
          <w:rFonts w:cs="Arial"/>
          <w:color w:val="000000"/>
        </w:rPr>
      </w:pPr>
      <w:proofErr w:type="spellStart"/>
      <w:r w:rsidRPr="00171A61">
        <w:rPr>
          <w:rFonts w:cs="Arial"/>
          <w:color w:val="000000"/>
        </w:rPr>
        <w:t>Lentheng</w:t>
      </w:r>
      <w:proofErr w:type="spellEnd"/>
      <w:r w:rsidRPr="00171A61">
        <w:rPr>
          <w:rFonts w:cs="Arial"/>
          <w:color w:val="000000"/>
        </w:rPr>
        <w:t xml:space="preserve"> TSWAI, Minister, </w:t>
      </w:r>
      <w:r w:rsidR="00D539E8" w:rsidRPr="00171A61">
        <w:rPr>
          <w:rFonts w:cs="Arial"/>
          <w:color w:val="000000"/>
        </w:rPr>
        <w:t>Permanent Mission of South Africa, Geneva, Switzerland</w:t>
      </w:r>
    </w:p>
    <w:p w:rsidR="00171A61" w:rsidRDefault="00171A61" w:rsidP="00171A61">
      <w:pPr>
        <w:widowControl w:val="0"/>
        <w:tabs>
          <w:tab w:val="left" w:pos="90"/>
        </w:tabs>
        <w:autoSpaceDE w:val="0"/>
        <w:autoSpaceDN w:val="0"/>
        <w:rPr>
          <w:rFonts w:cs="Arial"/>
          <w:color w:val="000000"/>
        </w:rPr>
      </w:pPr>
      <w:r w:rsidRPr="00171A61">
        <w:rPr>
          <w:rFonts w:cs="Arial"/>
          <w:color w:val="000000"/>
        </w:rPr>
        <w:t>(</w:t>
      </w:r>
      <w:proofErr w:type="gramStart"/>
      <w:r w:rsidRPr="00171A61">
        <w:rPr>
          <w:rFonts w:cs="Arial"/>
          <w:color w:val="000000"/>
        </w:rPr>
        <w:t>e-mail</w:t>
      </w:r>
      <w:proofErr w:type="gramEnd"/>
      <w:r w:rsidRPr="00171A61">
        <w:rPr>
          <w:rFonts w:cs="Arial"/>
          <w:color w:val="000000"/>
        </w:rPr>
        <w:t>: tsweni.agriculture@gmail.com)</w:t>
      </w:r>
    </w:p>
    <w:p w:rsidR="00171A61" w:rsidRDefault="00171A61"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u w:val="single"/>
        </w:rPr>
      </w:pPr>
      <w:r w:rsidRPr="00AC0DE9">
        <w:rPr>
          <w:rFonts w:cs="Arial"/>
          <w:color w:val="000000"/>
          <w:u w:val="single"/>
        </w:rPr>
        <w:t>ALLEMAGNE / GERMANY / DEUTSCHLAND / ALEMANIA</w:t>
      </w:r>
    </w:p>
    <w:p w:rsidR="00D539E8" w:rsidRPr="00AC0DE9" w:rsidRDefault="00D539E8" w:rsidP="00AC0DE9">
      <w:pPr>
        <w:widowControl w:val="0"/>
        <w:tabs>
          <w:tab w:val="left" w:pos="90"/>
        </w:tabs>
        <w:autoSpaceDE w:val="0"/>
        <w:autoSpaceDN w:val="0"/>
        <w:rPr>
          <w:rFonts w:cs="Arial"/>
          <w:color w:val="000000"/>
          <w:u w:val="single"/>
        </w:rPr>
      </w:pP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 xml:space="preserve">Barbara SOHNEMANN (Frau), </w:t>
      </w:r>
      <w:proofErr w:type="spellStart"/>
      <w:r w:rsidRPr="00AC0DE9">
        <w:rPr>
          <w:rFonts w:cs="Arial"/>
          <w:color w:val="000000"/>
        </w:rPr>
        <w:t>Justiziarin</w:t>
      </w:r>
      <w:proofErr w:type="spellEnd"/>
      <w:r w:rsidRPr="00AC0DE9">
        <w:rPr>
          <w:rFonts w:cs="Arial"/>
          <w:color w:val="000000"/>
        </w:rPr>
        <w:t xml:space="preserve">, </w:t>
      </w:r>
      <w:proofErr w:type="spellStart"/>
      <w:r w:rsidRPr="00AC0DE9">
        <w:rPr>
          <w:rFonts w:cs="Arial"/>
          <w:color w:val="000000"/>
        </w:rPr>
        <w:t>Leiterin</w:t>
      </w:r>
      <w:proofErr w:type="spellEnd"/>
      <w:r w:rsidRPr="00AC0DE9">
        <w:rPr>
          <w:rFonts w:cs="Arial"/>
          <w:color w:val="000000"/>
        </w:rPr>
        <w:t xml:space="preserve">, </w:t>
      </w:r>
      <w:proofErr w:type="spellStart"/>
      <w:r w:rsidRPr="00AC0DE9">
        <w:rPr>
          <w:rFonts w:cs="Arial"/>
          <w:color w:val="000000"/>
        </w:rPr>
        <w:t>Rechtsangelegenheiten</w:t>
      </w:r>
      <w:proofErr w:type="spellEnd"/>
      <w:r w:rsidRPr="00AC0DE9">
        <w:rPr>
          <w:rFonts w:cs="Arial"/>
          <w:color w:val="000000"/>
        </w:rPr>
        <w:t xml:space="preserve">, </w:t>
      </w:r>
      <w:proofErr w:type="spellStart"/>
      <w:r w:rsidRPr="00AC0DE9">
        <w:rPr>
          <w:rFonts w:cs="Arial"/>
          <w:color w:val="000000"/>
        </w:rPr>
        <w:t>Sortenverwaltung</w:t>
      </w:r>
      <w:proofErr w:type="spellEnd"/>
      <w:r w:rsidRPr="00AC0DE9">
        <w:rPr>
          <w:rFonts w:cs="Arial"/>
          <w:color w:val="000000"/>
        </w:rPr>
        <w:t xml:space="preserve">, </w:t>
      </w:r>
    </w:p>
    <w:p w:rsidR="00D539E8" w:rsidRPr="00AC0DE9" w:rsidRDefault="00D539E8" w:rsidP="00AC0DE9">
      <w:pPr>
        <w:widowControl w:val="0"/>
        <w:tabs>
          <w:tab w:val="left" w:pos="90"/>
        </w:tabs>
        <w:autoSpaceDE w:val="0"/>
        <w:autoSpaceDN w:val="0"/>
        <w:rPr>
          <w:rFonts w:cs="Arial"/>
          <w:color w:val="000000"/>
        </w:rPr>
      </w:pPr>
      <w:proofErr w:type="spellStart"/>
      <w:r w:rsidRPr="00AC0DE9">
        <w:rPr>
          <w:rFonts w:cs="Arial"/>
          <w:color w:val="000000"/>
        </w:rPr>
        <w:t>Gebühren</w:t>
      </w:r>
      <w:proofErr w:type="spellEnd"/>
      <w:r w:rsidRPr="00AC0DE9">
        <w:rPr>
          <w:rFonts w:cs="Arial"/>
          <w:color w:val="000000"/>
        </w:rPr>
        <w:t xml:space="preserve">, </w:t>
      </w:r>
      <w:proofErr w:type="spellStart"/>
      <w:r w:rsidRPr="00AC0DE9">
        <w:rPr>
          <w:rFonts w:cs="Arial"/>
          <w:color w:val="000000"/>
        </w:rPr>
        <w:t>Bundessortenamt</w:t>
      </w:r>
      <w:proofErr w:type="spellEnd"/>
      <w:r w:rsidRPr="00AC0DE9">
        <w:rPr>
          <w:rFonts w:cs="Arial"/>
          <w:color w:val="000000"/>
        </w:rPr>
        <w:t xml:space="preserve">, Hannover (e-mail: barbara.sohnemann@bundessortenamt.de) </w:t>
      </w: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 xml:space="preserve"> </w:t>
      </w:r>
    </w:p>
    <w:p w:rsidR="00D539E8" w:rsidRPr="00E73C16" w:rsidRDefault="00D539E8" w:rsidP="00AC0DE9">
      <w:pPr>
        <w:widowControl w:val="0"/>
        <w:tabs>
          <w:tab w:val="left" w:pos="90"/>
        </w:tabs>
        <w:autoSpaceDE w:val="0"/>
        <w:autoSpaceDN w:val="0"/>
        <w:rPr>
          <w:rFonts w:cs="Arial"/>
          <w:color w:val="000000"/>
          <w:u w:val="single"/>
          <w:lang w:val="es-ES"/>
        </w:rPr>
      </w:pPr>
      <w:r w:rsidRPr="00E73C16">
        <w:rPr>
          <w:rFonts w:cs="Arial"/>
          <w:color w:val="000000"/>
          <w:u w:val="single"/>
          <w:lang w:val="es-ES"/>
        </w:rPr>
        <w:t>ARGENTINE / ARGENTINA / ARGENTINIEN / ARGENTINA</w:t>
      </w:r>
    </w:p>
    <w:p w:rsidR="00D539E8" w:rsidRPr="00E73C16" w:rsidRDefault="00D539E8" w:rsidP="00AC0DE9">
      <w:pPr>
        <w:widowControl w:val="0"/>
        <w:tabs>
          <w:tab w:val="left" w:pos="90"/>
        </w:tabs>
        <w:autoSpaceDE w:val="0"/>
        <w:autoSpaceDN w:val="0"/>
        <w:rPr>
          <w:rFonts w:cs="Arial"/>
          <w:color w:val="000000"/>
          <w:lang w:val="es-ES"/>
        </w:rPr>
      </w:pPr>
    </w:p>
    <w:p w:rsidR="00D539E8" w:rsidRPr="00E73C16" w:rsidRDefault="00D539E8" w:rsidP="00AC0DE9">
      <w:pPr>
        <w:widowControl w:val="0"/>
        <w:tabs>
          <w:tab w:val="left" w:pos="90"/>
        </w:tabs>
        <w:autoSpaceDE w:val="0"/>
        <w:autoSpaceDN w:val="0"/>
        <w:rPr>
          <w:rFonts w:cs="Arial"/>
          <w:color w:val="000000"/>
          <w:lang w:val="es-ES"/>
        </w:rPr>
      </w:pPr>
      <w:r w:rsidRPr="00E73C16">
        <w:rPr>
          <w:rFonts w:cs="Arial"/>
          <w:color w:val="000000"/>
          <w:lang w:val="es-ES"/>
        </w:rPr>
        <w:t xml:space="preserve">Raimundo LAVIGNOLLE, Presidente del directorio, Instituto Nacional de Semillas (INASE), Buenos Aires </w:t>
      </w:r>
    </w:p>
    <w:p w:rsidR="00D539E8" w:rsidRPr="00E73C16" w:rsidRDefault="00D539E8" w:rsidP="00AC0DE9">
      <w:pPr>
        <w:widowControl w:val="0"/>
        <w:tabs>
          <w:tab w:val="left" w:pos="90"/>
        </w:tabs>
        <w:autoSpaceDE w:val="0"/>
        <w:autoSpaceDN w:val="0"/>
        <w:rPr>
          <w:rFonts w:cs="Arial"/>
          <w:color w:val="000000"/>
          <w:lang w:val="es-ES"/>
        </w:rPr>
      </w:pPr>
      <w:r w:rsidRPr="00E73C16">
        <w:rPr>
          <w:rFonts w:cs="Arial"/>
          <w:color w:val="000000"/>
          <w:lang w:val="es-ES"/>
        </w:rPr>
        <w:t xml:space="preserve">(e-mail: rlavignolle@inase.gov.ar)  </w:t>
      </w:r>
    </w:p>
    <w:p w:rsidR="00D539E8" w:rsidRPr="00E73C16" w:rsidRDefault="00D539E8" w:rsidP="00AC0DE9">
      <w:pPr>
        <w:widowControl w:val="0"/>
        <w:tabs>
          <w:tab w:val="left" w:pos="90"/>
        </w:tabs>
        <w:autoSpaceDE w:val="0"/>
        <w:autoSpaceDN w:val="0"/>
        <w:rPr>
          <w:rFonts w:cs="Arial"/>
          <w:color w:val="000000"/>
          <w:lang w:val="es-ES"/>
        </w:rPr>
      </w:pPr>
    </w:p>
    <w:p w:rsidR="00D539E8" w:rsidRPr="00E73C16" w:rsidRDefault="00D539E8" w:rsidP="00AC0DE9">
      <w:pPr>
        <w:widowControl w:val="0"/>
        <w:tabs>
          <w:tab w:val="left" w:pos="90"/>
        </w:tabs>
        <w:autoSpaceDE w:val="0"/>
        <w:autoSpaceDN w:val="0"/>
        <w:rPr>
          <w:rFonts w:cs="Arial"/>
          <w:color w:val="000000"/>
          <w:lang w:val="es-ES"/>
        </w:rPr>
      </w:pPr>
      <w:r w:rsidRPr="00E73C16">
        <w:rPr>
          <w:rFonts w:cs="Arial"/>
          <w:color w:val="000000"/>
          <w:lang w:val="es-ES"/>
        </w:rPr>
        <w:t xml:space="preserve">María Laura VILLAMAYOR (Ms.), Abogada, </w:t>
      </w:r>
      <w:r>
        <w:rPr>
          <w:rFonts w:cs="Arial"/>
          <w:color w:val="000000"/>
          <w:lang w:val="es-ES"/>
        </w:rPr>
        <w:t>Unidad Presidencia</w:t>
      </w:r>
      <w:r w:rsidRPr="00E73C16">
        <w:rPr>
          <w:rFonts w:cs="Arial"/>
          <w:color w:val="000000"/>
          <w:lang w:val="es-ES"/>
        </w:rPr>
        <w:t xml:space="preserve">, Instituto Nacional de Semillas (INASE), Buenos Aires (e-mail: mlvillamayor@inase.gov.ar)  </w:t>
      </w:r>
    </w:p>
    <w:p w:rsidR="00D539E8" w:rsidRPr="00E73C16" w:rsidRDefault="00D539E8" w:rsidP="00AC0DE9">
      <w:pPr>
        <w:widowControl w:val="0"/>
        <w:tabs>
          <w:tab w:val="left" w:pos="90"/>
        </w:tabs>
        <w:autoSpaceDE w:val="0"/>
        <w:autoSpaceDN w:val="0"/>
        <w:rPr>
          <w:rFonts w:cs="Arial"/>
          <w:color w:val="000000"/>
          <w:lang w:val="es-ES"/>
        </w:rPr>
      </w:pPr>
    </w:p>
    <w:p w:rsidR="00D539E8" w:rsidRPr="00E73C16" w:rsidRDefault="00D539E8" w:rsidP="00722730">
      <w:pPr>
        <w:keepNext/>
        <w:widowControl w:val="0"/>
        <w:tabs>
          <w:tab w:val="left" w:pos="90"/>
        </w:tabs>
        <w:autoSpaceDE w:val="0"/>
        <w:autoSpaceDN w:val="0"/>
        <w:rPr>
          <w:rFonts w:cs="Arial"/>
          <w:color w:val="000000"/>
          <w:u w:val="single"/>
          <w:lang w:val="es-ES"/>
        </w:rPr>
      </w:pPr>
      <w:r w:rsidRPr="00E73C16">
        <w:rPr>
          <w:rFonts w:cs="Arial"/>
          <w:color w:val="000000"/>
          <w:u w:val="single"/>
          <w:lang w:val="es-ES"/>
        </w:rPr>
        <w:t xml:space="preserve">BOLIVIE (ÉTAT PLURINATIONAL DE) / BOLIVIA (PLURINATIONAL STATE OF) / </w:t>
      </w:r>
    </w:p>
    <w:p w:rsidR="00D539E8" w:rsidRPr="00E73C16" w:rsidRDefault="00D539E8" w:rsidP="00722730">
      <w:pPr>
        <w:keepNext/>
        <w:widowControl w:val="0"/>
        <w:tabs>
          <w:tab w:val="left" w:pos="90"/>
        </w:tabs>
        <w:autoSpaceDE w:val="0"/>
        <w:autoSpaceDN w:val="0"/>
        <w:rPr>
          <w:rFonts w:cs="Arial"/>
          <w:color w:val="000000"/>
          <w:u w:val="single"/>
          <w:lang w:val="es-ES"/>
        </w:rPr>
      </w:pPr>
      <w:r w:rsidRPr="00E73C16">
        <w:rPr>
          <w:rFonts w:cs="Arial"/>
          <w:color w:val="000000"/>
          <w:u w:val="single"/>
          <w:lang w:val="es-ES"/>
        </w:rPr>
        <w:t>BOLIVIEN (PLURINATIONALER STAAT) / BOLIVIA (ESTADO PLURINACIONAL DE)</w:t>
      </w:r>
    </w:p>
    <w:p w:rsidR="00D539E8" w:rsidRPr="00E73C16" w:rsidRDefault="00D539E8" w:rsidP="00722730">
      <w:pPr>
        <w:keepNext/>
        <w:widowControl w:val="0"/>
        <w:tabs>
          <w:tab w:val="left" w:pos="90"/>
        </w:tabs>
        <w:autoSpaceDE w:val="0"/>
        <w:autoSpaceDN w:val="0"/>
        <w:rPr>
          <w:rFonts w:cs="Arial"/>
          <w:color w:val="000000"/>
          <w:lang w:val="es-ES"/>
        </w:rPr>
      </w:pPr>
    </w:p>
    <w:p w:rsidR="00D539E8" w:rsidRPr="00E73C16" w:rsidRDefault="00D539E8" w:rsidP="00722730">
      <w:pPr>
        <w:keepNext/>
        <w:widowControl w:val="0"/>
        <w:tabs>
          <w:tab w:val="left" w:pos="90"/>
        </w:tabs>
        <w:autoSpaceDE w:val="0"/>
        <w:autoSpaceDN w:val="0"/>
        <w:rPr>
          <w:rFonts w:cs="Arial"/>
          <w:color w:val="000000"/>
          <w:lang w:val="es-ES"/>
        </w:rPr>
      </w:pPr>
      <w:r w:rsidRPr="00E73C16">
        <w:rPr>
          <w:rFonts w:cs="Arial"/>
          <w:color w:val="000000"/>
          <w:lang w:val="es-ES"/>
        </w:rPr>
        <w:t xml:space="preserve">Sergio </w:t>
      </w:r>
      <w:proofErr w:type="spellStart"/>
      <w:r w:rsidRPr="00E73C16">
        <w:rPr>
          <w:rFonts w:cs="Arial"/>
          <w:color w:val="000000"/>
          <w:lang w:val="es-ES"/>
        </w:rPr>
        <w:t>Rider</w:t>
      </w:r>
      <w:proofErr w:type="spellEnd"/>
      <w:r w:rsidRPr="00E73C16">
        <w:rPr>
          <w:rFonts w:cs="Arial"/>
          <w:color w:val="000000"/>
          <w:lang w:val="es-ES"/>
        </w:rPr>
        <w:t xml:space="preserve"> ANDRADE CÁCERES, Director Nacional de Semillas del INIAF, Instituto Nacional de Innovación Agropecuaria y Forestal (INIAF), La Paz (e-mail: rideran@yahoo.es)  </w:t>
      </w:r>
    </w:p>
    <w:p w:rsidR="00D539E8" w:rsidRPr="00E73C16" w:rsidRDefault="00D539E8" w:rsidP="00722730">
      <w:pPr>
        <w:keepNext/>
        <w:widowControl w:val="0"/>
        <w:tabs>
          <w:tab w:val="left" w:pos="90"/>
        </w:tabs>
        <w:autoSpaceDE w:val="0"/>
        <w:autoSpaceDN w:val="0"/>
        <w:rPr>
          <w:rFonts w:cs="Arial"/>
          <w:color w:val="000000"/>
          <w:lang w:val="es-ES"/>
        </w:rPr>
      </w:pPr>
    </w:p>
    <w:p w:rsidR="00D539E8" w:rsidRPr="00E73C16" w:rsidRDefault="00D539E8" w:rsidP="00722730">
      <w:pPr>
        <w:keepNext/>
        <w:widowControl w:val="0"/>
        <w:tabs>
          <w:tab w:val="left" w:pos="90"/>
        </w:tabs>
        <w:autoSpaceDE w:val="0"/>
        <w:autoSpaceDN w:val="0"/>
        <w:rPr>
          <w:rFonts w:cs="Arial"/>
          <w:color w:val="000000"/>
          <w:lang w:val="es-ES"/>
        </w:rPr>
      </w:pPr>
      <w:r w:rsidRPr="00E73C16">
        <w:rPr>
          <w:rFonts w:cs="Arial"/>
          <w:color w:val="000000"/>
          <w:lang w:val="es-ES"/>
        </w:rPr>
        <w:t xml:space="preserve">Freddy CABALLERO LEDEZMA, Ingeniero Agrónomo, Instituto Nacional de Innovación Agropecuaria y Forestal (INIAF), La Paz (e-mail: calefred@yahoo.es)  </w:t>
      </w:r>
    </w:p>
    <w:p w:rsidR="00D539E8" w:rsidRPr="00E73C16" w:rsidRDefault="00D539E8" w:rsidP="00722730">
      <w:pPr>
        <w:keepNext/>
        <w:widowControl w:val="0"/>
        <w:tabs>
          <w:tab w:val="left" w:pos="90"/>
        </w:tabs>
        <w:autoSpaceDE w:val="0"/>
        <w:autoSpaceDN w:val="0"/>
        <w:rPr>
          <w:rFonts w:cs="Arial"/>
          <w:color w:val="000000"/>
          <w:lang w:val="es-ES"/>
        </w:rPr>
      </w:pPr>
    </w:p>
    <w:p w:rsidR="00D539E8" w:rsidRPr="00E73C16" w:rsidRDefault="00D539E8" w:rsidP="00EA2215">
      <w:pPr>
        <w:widowControl w:val="0"/>
        <w:tabs>
          <w:tab w:val="left" w:pos="90"/>
        </w:tabs>
        <w:autoSpaceDE w:val="0"/>
        <w:autoSpaceDN w:val="0"/>
        <w:adjustRightInd w:val="0"/>
        <w:rPr>
          <w:rFonts w:cs="Arial"/>
          <w:color w:val="000000"/>
          <w:lang w:val="es-ES"/>
        </w:rPr>
      </w:pPr>
      <w:r w:rsidRPr="00E73C16">
        <w:rPr>
          <w:rFonts w:cs="Arial"/>
          <w:color w:val="000000"/>
          <w:lang w:val="es-ES"/>
        </w:rPr>
        <w:t>Martin Nelson CAZON ORTEGA, Ingeniero Agrónomo, Instituto Nacional de Innovación Agropecuaria y Forestal (INIAF)</w:t>
      </w:r>
    </w:p>
    <w:p w:rsidR="00D539E8" w:rsidRPr="00E73C16" w:rsidRDefault="00D539E8" w:rsidP="00722730">
      <w:pPr>
        <w:keepNext/>
        <w:widowControl w:val="0"/>
        <w:tabs>
          <w:tab w:val="left" w:pos="90"/>
        </w:tabs>
        <w:autoSpaceDE w:val="0"/>
        <w:autoSpaceDN w:val="0"/>
        <w:rPr>
          <w:rFonts w:cs="Arial"/>
          <w:color w:val="000000"/>
          <w:lang w:val="es-ES"/>
        </w:rPr>
      </w:pPr>
    </w:p>
    <w:p w:rsidR="00D539E8" w:rsidRPr="00E73C16" w:rsidRDefault="00D539E8" w:rsidP="00722730">
      <w:pPr>
        <w:keepNext/>
        <w:widowControl w:val="0"/>
        <w:tabs>
          <w:tab w:val="left" w:pos="90"/>
        </w:tabs>
        <w:autoSpaceDE w:val="0"/>
        <w:autoSpaceDN w:val="0"/>
        <w:rPr>
          <w:rFonts w:cs="Arial"/>
          <w:color w:val="000000"/>
          <w:lang w:val="es-ES"/>
        </w:rPr>
      </w:pPr>
      <w:r w:rsidRPr="00E73C16">
        <w:rPr>
          <w:rFonts w:cs="Arial"/>
          <w:color w:val="000000"/>
          <w:lang w:val="es-ES"/>
        </w:rPr>
        <w:t xml:space="preserve">Luis Fernando ROSALES LOZADA, Primer Secretario, Misión Permanente de Bolivia ante la Oficina de las Naciones Unidas en Ginebra, Ginebra (e-mail: fernando.rosales@bluewin.ch) </w:t>
      </w:r>
    </w:p>
    <w:p w:rsidR="00D539E8" w:rsidRPr="00E73C16" w:rsidRDefault="00D539E8" w:rsidP="00722730">
      <w:pPr>
        <w:keepNext/>
        <w:widowControl w:val="0"/>
        <w:tabs>
          <w:tab w:val="left" w:pos="90"/>
        </w:tabs>
        <w:autoSpaceDE w:val="0"/>
        <w:autoSpaceDN w:val="0"/>
        <w:rPr>
          <w:rFonts w:cs="Arial"/>
          <w:color w:val="000000"/>
          <w:lang w:val="es-ES"/>
        </w:rPr>
      </w:pPr>
    </w:p>
    <w:p w:rsidR="00D539E8" w:rsidRPr="00AC0DE9" w:rsidRDefault="00D539E8" w:rsidP="00722730">
      <w:pPr>
        <w:keepNext/>
        <w:widowControl w:val="0"/>
        <w:tabs>
          <w:tab w:val="left" w:pos="90"/>
        </w:tabs>
        <w:autoSpaceDE w:val="0"/>
        <w:autoSpaceDN w:val="0"/>
        <w:rPr>
          <w:rFonts w:cs="Arial"/>
          <w:color w:val="000000"/>
          <w:u w:val="single"/>
        </w:rPr>
      </w:pPr>
      <w:r w:rsidRPr="00AC0DE9">
        <w:rPr>
          <w:rFonts w:cs="Arial"/>
          <w:color w:val="000000"/>
          <w:u w:val="single"/>
        </w:rPr>
        <w:t>BRÉSIL / BRAZIL / BRASILIEN / BRASIL</w:t>
      </w:r>
    </w:p>
    <w:p w:rsidR="00D539E8"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proofErr w:type="spellStart"/>
      <w:r w:rsidRPr="00AC0DE9">
        <w:rPr>
          <w:rFonts w:cs="Arial"/>
          <w:color w:val="000000"/>
        </w:rPr>
        <w:t>Fabrício</w:t>
      </w:r>
      <w:proofErr w:type="spellEnd"/>
      <w:r w:rsidRPr="00AC0DE9">
        <w:rPr>
          <w:rFonts w:cs="Arial"/>
          <w:color w:val="000000"/>
        </w:rPr>
        <w:t xml:space="preserve"> SANTANA SANTOS, Coordinator, National Plant Variety Protection Office (SNPC), Ministry of Agriculture, Livestock and Food Supply, Brasilia (e-mail: fabricio.santos@agricultura.gov.br)  </w:t>
      </w:r>
    </w:p>
    <w:p w:rsidR="00D539E8" w:rsidRDefault="00D539E8" w:rsidP="00AC0DE9">
      <w:pPr>
        <w:widowControl w:val="0"/>
        <w:tabs>
          <w:tab w:val="left" w:pos="90"/>
        </w:tabs>
        <w:autoSpaceDE w:val="0"/>
        <w:autoSpaceDN w:val="0"/>
        <w:rPr>
          <w:rFonts w:cs="Arial"/>
          <w:color w:val="000000"/>
        </w:rPr>
      </w:pPr>
    </w:p>
    <w:p w:rsidR="00D539E8" w:rsidRPr="00030AE8" w:rsidRDefault="00D539E8" w:rsidP="00A042B3">
      <w:pPr>
        <w:widowControl w:val="0"/>
        <w:tabs>
          <w:tab w:val="left" w:pos="90"/>
        </w:tabs>
        <w:autoSpaceDE w:val="0"/>
        <w:autoSpaceDN w:val="0"/>
        <w:adjustRightInd w:val="0"/>
        <w:rPr>
          <w:rFonts w:cs="Arial"/>
          <w:color w:val="000000"/>
        </w:rPr>
      </w:pPr>
      <w:proofErr w:type="spellStart"/>
      <w:r w:rsidRPr="00030AE8">
        <w:rPr>
          <w:rFonts w:cs="Arial"/>
          <w:color w:val="000000"/>
        </w:rPr>
        <w:t>Cleiton</w:t>
      </w:r>
      <w:proofErr w:type="spellEnd"/>
      <w:r w:rsidRPr="00030AE8">
        <w:rPr>
          <w:rFonts w:cs="Arial"/>
          <w:color w:val="000000"/>
        </w:rPr>
        <w:t xml:space="preserve"> SCHENKEL, First Secretary, Permanent Mission of Brazil to the World Trade Organization (WTO), </w:t>
      </w:r>
      <w:proofErr w:type="spellStart"/>
      <w:r w:rsidRPr="00030AE8">
        <w:rPr>
          <w:rFonts w:cs="Arial"/>
          <w:color w:val="000000"/>
        </w:rPr>
        <w:t>Cointrin</w:t>
      </w:r>
      <w:proofErr w:type="spellEnd"/>
      <w:r w:rsidRPr="00030AE8">
        <w:rPr>
          <w:rFonts w:cs="Arial"/>
          <w:color w:val="000000"/>
        </w:rPr>
        <w:t>, Switzerland (e-mail: cleiton.schenkel@itamaraty.gov.br)</w:t>
      </w:r>
    </w:p>
    <w:p w:rsidR="00D539E8" w:rsidRPr="00AC0DE9" w:rsidRDefault="00D539E8" w:rsidP="00AC0DE9">
      <w:pPr>
        <w:widowControl w:val="0"/>
        <w:tabs>
          <w:tab w:val="left" w:pos="90"/>
        </w:tabs>
        <w:autoSpaceDE w:val="0"/>
        <w:autoSpaceDN w:val="0"/>
        <w:rPr>
          <w:rFonts w:cs="Arial"/>
          <w:color w:val="000000"/>
        </w:rPr>
      </w:pPr>
    </w:p>
    <w:p w:rsidR="00D539E8" w:rsidRPr="00AC0DE9" w:rsidRDefault="00D539E8" w:rsidP="00F3047E">
      <w:pPr>
        <w:keepNext/>
        <w:keepLines/>
        <w:widowControl w:val="0"/>
        <w:tabs>
          <w:tab w:val="left" w:pos="90"/>
        </w:tabs>
        <w:autoSpaceDE w:val="0"/>
        <w:autoSpaceDN w:val="0"/>
        <w:rPr>
          <w:rFonts w:cs="Arial"/>
          <w:color w:val="000000"/>
          <w:u w:val="single"/>
        </w:rPr>
      </w:pPr>
      <w:r w:rsidRPr="00AC0DE9">
        <w:rPr>
          <w:rFonts w:cs="Arial"/>
          <w:color w:val="000000"/>
          <w:u w:val="single"/>
        </w:rPr>
        <w:t>CANADA / KANADA / CANADÁ</w:t>
      </w:r>
    </w:p>
    <w:p w:rsidR="00D539E8" w:rsidRDefault="00D539E8" w:rsidP="00F3047E">
      <w:pPr>
        <w:keepNext/>
        <w:keepLines/>
        <w:widowControl w:val="0"/>
        <w:tabs>
          <w:tab w:val="left" w:pos="90"/>
        </w:tabs>
        <w:autoSpaceDE w:val="0"/>
        <w:autoSpaceDN w:val="0"/>
        <w:rPr>
          <w:rFonts w:cs="Arial"/>
          <w:color w:val="000000"/>
        </w:rPr>
      </w:pPr>
    </w:p>
    <w:p w:rsidR="00D539E8" w:rsidRPr="00AC0DE9" w:rsidRDefault="00D539E8" w:rsidP="00F3047E">
      <w:pPr>
        <w:keepLines/>
        <w:widowControl w:val="0"/>
        <w:tabs>
          <w:tab w:val="left" w:pos="90"/>
        </w:tabs>
        <w:autoSpaceDE w:val="0"/>
        <w:autoSpaceDN w:val="0"/>
        <w:rPr>
          <w:rFonts w:cs="Arial"/>
          <w:color w:val="000000"/>
        </w:rPr>
      </w:pPr>
      <w:r w:rsidRPr="00AC0DE9">
        <w:rPr>
          <w:rFonts w:cs="Arial"/>
          <w:color w:val="000000"/>
        </w:rPr>
        <w:t xml:space="preserve">Anthony PARKER, Commissioner, Plant Breeders' Rights Office, Canadian Food Inspection Agency (CFIA), </w:t>
      </w:r>
      <w:proofErr w:type="gramStart"/>
      <w:r w:rsidRPr="00AC0DE9">
        <w:rPr>
          <w:rFonts w:cs="Arial"/>
          <w:color w:val="000000"/>
        </w:rPr>
        <w:t>Ottawa</w:t>
      </w:r>
      <w:proofErr w:type="gramEnd"/>
      <w:r w:rsidRPr="00AC0DE9">
        <w:rPr>
          <w:rFonts w:cs="Arial"/>
          <w:color w:val="000000"/>
        </w:rPr>
        <w:t xml:space="preserve"> (e-mail: anthony.parker@inspection.gc.ca)  </w:t>
      </w:r>
    </w:p>
    <w:p w:rsidR="00D539E8" w:rsidRPr="00AC0DE9" w:rsidRDefault="00D539E8" w:rsidP="00F3047E">
      <w:pPr>
        <w:keepLines/>
        <w:widowControl w:val="0"/>
        <w:tabs>
          <w:tab w:val="left" w:pos="90"/>
        </w:tabs>
        <w:autoSpaceDE w:val="0"/>
        <w:autoSpaceDN w:val="0"/>
        <w:rPr>
          <w:rFonts w:cs="Arial"/>
          <w:color w:val="000000"/>
        </w:rPr>
      </w:pPr>
    </w:p>
    <w:p w:rsidR="00D539E8" w:rsidRPr="00E73C16" w:rsidRDefault="00D539E8" w:rsidP="00A643CA">
      <w:pPr>
        <w:keepNext/>
        <w:widowControl w:val="0"/>
        <w:tabs>
          <w:tab w:val="left" w:pos="90"/>
        </w:tabs>
        <w:autoSpaceDE w:val="0"/>
        <w:autoSpaceDN w:val="0"/>
        <w:rPr>
          <w:rFonts w:cs="Arial"/>
          <w:color w:val="000000"/>
          <w:u w:val="single"/>
          <w:lang w:val="es-ES"/>
        </w:rPr>
      </w:pPr>
      <w:r w:rsidRPr="00E73C16">
        <w:rPr>
          <w:rFonts w:cs="Arial"/>
          <w:color w:val="000000"/>
          <w:u w:val="single"/>
          <w:lang w:val="es-ES"/>
        </w:rPr>
        <w:t>CHILI / CHILE / CHILE / CHILE</w:t>
      </w:r>
    </w:p>
    <w:p w:rsidR="00D539E8" w:rsidRPr="00E73C16" w:rsidRDefault="00D539E8" w:rsidP="00A643CA">
      <w:pPr>
        <w:keepNext/>
        <w:widowControl w:val="0"/>
        <w:tabs>
          <w:tab w:val="left" w:pos="90"/>
        </w:tabs>
        <w:autoSpaceDE w:val="0"/>
        <w:autoSpaceDN w:val="0"/>
        <w:rPr>
          <w:rFonts w:cs="Arial"/>
          <w:color w:val="000000"/>
          <w:u w:val="single"/>
          <w:lang w:val="es-ES"/>
        </w:rPr>
      </w:pPr>
    </w:p>
    <w:p w:rsidR="00D539E8" w:rsidRPr="00E73C16" w:rsidRDefault="00D539E8" w:rsidP="00A643CA">
      <w:pPr>
        <w:keepNext/>
        <w:widowControl w:val="0"/>
        <w:tabs>
          <w:tab w:val="left" w:pos="90"/>
        </w:tabs>
        <w:autoSpaceDE w:val="0"/>
        <w:autoSpaceDN w:val="0"/>
        <w:rPr>
          <w:rFonts w:cs="Arial"/>
          <w:color w:val="000000"/>
          <w:lang w:val="es-ES"/>
        </w:rPr>
      </w:pPr>
      <w:r w:rsidRPr="00E73C16">
        <w:rPr>
          <w:rFonts w:cs="Arial"/>
          <w:color w:val="000000"/>
          <w:lang w:val="es-ES"/>
        </w:rPr>
        <w:t>Hugo MARTÍNEZ, Asesor Ministro de Agricultura, Santiago de Chile (e-mail: hugo.martinez@minagri.gob.cl)</w:t>
      </w:r>
    </w:p>
    <w:p w:rsidR="00D539E8" w:rsidRPr="00E73C16" w:rsidRDefault="00D539E8" w:rsidP="00A643CA">
      <w:pPr>
        <w:keepNext/>
        <w:widowControl w:val="0"/>
        <w:tabs>
          <w:tab w:val="left" w:pos="90"/>
        </w:tabs>
        <w:autoSpaceDE w:val="0"/>
        <w:autoSpaceDN w:val="0"/>
        <w:rPr>
          <w:rFonts w:cs="Arial"/>
          <w:color w:val="000000"/>
          <w:lang w:val="es-ES"/>
        </w:rPr>
      </w:pPr>
    </w:p>
    <w:p w:rsidR="00D539E8" w:rsidRPr="00E73C16" w:rsidRDefault="00D539E8" w:rsidP="00A643CA">
      <w:pPr>
        <w:keepNext/>
        <w:widowControl w:val="0"/>
        <w:tabs>
          <w:tab w:val="left" w:pos="90"/>
        </w:tabs>
        <w:autoSpaceDE w:val="0"/>
        <w:autoSpaceDN w:val="0"/>
        <w:rPr>
          <w:rFonts w:cs="Arial"/>
          <w:color w:val="000000"/>
          <w:lang w:val="es-ES"/>
        </w:rPr>
      </w:pPr>
      <w:r w:rsidRPr="00E73C16">
        <w:rPr>
          <w:rFonts w:cs="Arial"/>
          <w:color w:val="000000"/>
          <w:lang w:val="es-ES"/>
        </w:rPr>
        <w:t xml:space="preserve">Manuel TORO UGALDE, Jefe </w:t>
      </w:r>
      <w:proofErr w:type="spellStart"/>
      <w:r w:rsidRPr="00E73C16">
        <w:rPr>
          <w:rFonts w:cs="Arial"/>
          <w:color w:val="000000"/>
          <w:lang w:val="es-ES"/>
        </w:rPr>
        <w:t>Subdepartamento</w:t>
      </w:r>
      <w:proofErr w:type="spellEnd"/>
      <w:r w:rsidRPr="00E73C16">
        <w:rPr>
          <w:rFonts w:cs="Arial"/>
          <w:color w:val="000000"/>
          <w:lang w:val="es-ES"/>
        </w:rPr>
        <w:t xml:space="preserve">, Registro de Variedades Protegidas, División Semillas, </w:t>
      </w:r>
    </w:p>
    <w:p w:rsidR="00D539E8" w:rsidRPr="00E73C16" w:rsidRDefault="00D539E8" w:rsidP="00A643CA">
      <w:pPr>
        <w:keepNext/>
        <w:widowControl w:val="0"/>
        <w:tabs>
          <w:tab w:val="left" w:pos="90"/>
        </w:tabs>
        <w:autoSpaceDE w:val="0"/>
        <w:autoSpaceDN w:val="0"/>
        <w:rPr>
          <w:rFonts w:cs="Arial"/>
          <w:color w:val="000000"/>
          <w:lang w:val="es-ES"/>
        </w:rPr>
      </w:pPr>
      <w:r w:rsidRPr="00E73C16">
        <w:rPr>
          <w:rFonts w:cs="Arial"/>
          <w:color w:val="000000"/>
          <w:lang w:val="es-ES"/>
        </w:rPr>
        <w:t xml:space="preserve">Servicio Agrícola y Ganadero (SAG), Santiago de Chile (e-mail: manuel.toro@sag.gob.cl) </w:t>
      </w:r>
    </w:p>
    <w:p w:rsidR="00D539E8" w:rsidRPr="00E73C16" w:rsidRDefault="00D539E8" w:rsidP="008768C3">
      <w:pPr>
        <w:keepNext/>
        <w:widowControl w:val="0"/>
        <w:tabs>
          <w:tab w:val="left" w:pos="90"/>
        </w:tabs>
        <w:autoSpaceDE w:val="0"/>
        <w:autoSpaceDN w:val="0"/>
        <w:rPr>
          <w:rFonts w:cs="Arial"/>
          <w:color w:val="000000"/>
          <w:lang w:val="es-ES"/>
        </w:rPr>
      </w:pPr>
      <w:r w:rsidRPr="00E73C16">
        <w:rPr>
          <w:rFonts w:cs="Arial"/>
          <w:color w:val="000000"/>
          <w:lang w:val="es-ES"/>
        </w:rPr>
        <w:t xml:space="preserve"> </w:t>
      </w:r>
    </w:p>
    <w:p w:rsidR="00D539E8" w:rsidRPr="00AC0DE9" w:rsidRDefault="00D539E8" w:rsidP="00AC0DE9">
      <w:pPr>
        <w:widowControl w:val="0"/>
        <w:tabs>
          <w:tab w:val="left" w:pos="90"/>
        </w:tabs>
        <w:autoSpaceDE w:val="0"/>
        <w:autoSpaceDN w:val="0"/>
        <w:rPr>
          <w:rFonts w:cs="Arial"/>
          <w:color w:val="000000"/>
          <w:u w:val="single"/>
        </w:rPr>
      </w:pPr>
      <w:r w:rsidRPr="00AC0DE9">
        <w:rPr>
          <w:rFonts w:cs="Arial"/>
          <w:color w:val="000000"/>
          <w:u w:val="single"/>
        </w:rPr>
        <w:t>CHINE / CHINA / CHINA / CHINA</w:t>
      </w:r>
    </w:p>
    <w:p w:rsidR="00D539E8" w:rsidRDefault="00D539E8" w:rsidP="00AC0DE9">
      <w:pPr>
        <w:widowControl w:val="0"/>
        <w:tabs>
          <w:tab w:val="left" w:pos="90"/>
        </w:tabs>
        <w:autoSpaceDE w:val="0"/>
        <w:autoSpaceDN w:val="0"/>
        <w:rPr>
          <w:rFonts w:cs="Arial"/>
          <w:color w:val="000000"/>
        </w:rPr>
      </w:pPr>
    </w:p>
    <w:p w:rsidR="00D539E8" w:rsidRPr="00AC0DE9" w:rsidRDefault="00D539E8" w:rsidP="00722730">
      <w:pPr>
        <w:widowControl w:val="0"/>
        <w:tabs>
          <w:tab w:val="left" w:pos="90"/>
        </w:tabs>
        <w:autoSpaceDE w:val="0"/>
        <w:autoSpaceDN w:val="0"/>
        <w:rPr>
          <w:rFonts w:cs="Arial"/>
          <w:color w:val="000000"/>
        </w:rPr>
      </w:pPr>
      <w:r w:rsidRPr="00AC0DE9">
        <w:rPr>
          <w:rFonts w:cs="Arial"/>
          <w:color w:val="000000"/>
        </w:rPr>
        <w:t xml:space="preserve">LV Bo, Division Director, Division of Variety Management, Bureau of Seed Management, Ministry of Agriculture, Beijing (e-mail: lvbo@agri.gov.cn)  </w:t>
      </w:r>
    </w:p>
    <w:p w:rsidR="00D539E8"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 xml:space="preserve">HUANG </w:t>
      </w:r>
      <w:proofErr w:type="spellStart"/>
      <w:r w:rsidRPr="00AC0DE9">
        <w:rPr>
          <w:rFonts w:cs="Arial"/>
          <w:color w:val="000000"/>
        </w:rPr>
        <w:t>Faji</w:t>
      </w:r>
      <w:proofErr w:type="spellEnd"/>
      <w:r w:rsidRPr="00AC0DE9">
        <w:rPr>
          <w:rFonts w:cs="Arial"/>
          <w:color w:val="000000"/>
        </w:rPr>
        <w:t xml:space="preserve">, Deputy Division Director, Office for the Protection of New Plant Varieties, State Forestry Administration, </w:t>
      </w:r>
      <w:proofErr w:type="gramStart"/>
      <w:r w:rsidRPr="00AC0DE9">
        <w:rPr>
          <w:rFonts w:cs="Arial"/>
          <w:color w:val="000000"/>
        </w:rPr>
        <w:t>Beijing</w:t>
      </w:r>
      <w:proofErr w:type="gramEnd"/>
      <w:r w:rsidRPr="00AC0DE9">
        <w:rPr>
          <w:rFonts w:cs="Arial"/>
          <w:color w:val="000000"/>
        </w:rPr>
        <w:t xml:space="preserve"> (e-mail: huangfaji@cnpvp.net)  </w:t>
      </w:r>
    </w:p>
    <w:p w:rsidR="00D539E8"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proofErr w:type="spellStart"/>
      <w:r w:rsidRPr="00AC0DE9">
        <w:rPr>
          <w:rFonts w:cs="Arial"/>
          <w:color w:val="000000"/>
        </w:rPr>
        <w:t>Xue</w:t>
      </w:r>
      <w:proofErr w:type="spellEnd"/>
      <w:r w:rsidRPr="00AC0DE9">
        <w:rPr>
          <w:rFonts w:cs="Arial"/>
          <w:color w:val="000000"/>
        </w:rPr>
        <w:t xml:space="preserve"> JIANG, Project Administrator, </w:t>
      </w:r>
      <w:proofErr w:type="gramStart"/>
      <w:r w:rsidRPr="00AC0DE9">
        <w:rPr>
          <w:rFonts w:cs="Arial"/>
          <w:color w:val="000000"/>
        </w:rPr>
        <w:t>Beijing</w:t>
      </w:r>
      <w:proofErr w:type="gramEnd"/>
      <w:r w:rsidRPr="00AC0DE9">
        <w:rPr>
          <w:rFonts w:cs="Arial"/>
          <w:color w:val="000000"/>
        </w:rPr>
        <w:t xml:space="preserve"> (e-mail: jiangxue@sipo.gov.cn)  </w:t>
      </w:r>
    </w:p>
    <w:p w:rsidR="00D539E8" w:rsidRDefault="00D539E8" w:rsidP="00AC0DE9">
      <w:pPr>
        <w:widowControl w:val="0"/>
        <w:tabs>
          <w:tab w:val="left" w:pos="90"/>
        </w:tabs>
        <w:autoSpaceDE w:val="0"/>
        <w:autoSpaceDN w:val="0"/>
        <w:rPr>
          <w:rFonts w:cs="Arial"/>
          <w:color w:val="000000"/>
          <w:u w:val="single"/>
        </w:rPr>
      </w:pPr>
    </w:p>
    <w:p w:rsidR="00D539E8" w:rsidRPr="00E73C16" w:rsidRDefault="00D539E8" w:rsidP="00AC0DE9">
      <w:pPr>
        <w:widowControl w:val="0"/>
        <w:tabs>
          <w:tab w:val="left" w:pos="90"/>
        </w:tabs>
        <w:autoSpaceDE w:val="0"/>
        <w:autoSpaceDN w:val="0"/>
        <w:rPr>
          <w:rFonts w:cs="Arial"/>
          <w:color w:val="000000"/>
          <w:u w:val="single"/>
          <w:lang w:val="es-ES"/>
        </w:rPr>
      </w:pPr>
      <w:r w:rsidRPr="00E73C16">
        <w:rPr>
          <w:rFonts w:cs="Arial"/>
          <w:color w:val="000000"/>
          <w:u w:val="single"/>
          <w:lang w:val="es-ES"/>
        </w:rPr>
        <w:t>COLOMBIE / COLOMBIA / KOLUMBIEN / COLOMBIA</w:t>
      </w:r>
    </w:p>
    <w:p w:rsidR="00D539E8" w:rsidRPr="00E73C16" w:rsidRDefault="00D539E8" w:rsidP="00AC0DE9">
      <w:pPr>
        <w:widowControl w:val="0"/>
        <w:tabs>
          <w:tab w:val="left" w:pos="90"/>
        </w:tabs>
        <w:autoSpaceDE w:val="0"/>
        <w:autoSpaceDN w:val="0"/>
        <w:rPr>
          <w:rFonts w:cs="Arial"/>
          <w:color w:val="000000"/>
          <w:lang w:val="es-ES"/>
        </w:rPr>
      </w:pPr>
    </w:p>
    <w:p w:rsidR="00D539E8" w:rsidRPr="00E73C16" w:rsidRDefault="00D539E8" w:rsidP="00AC0DE9">
      <w:pPr>
        <w:widowControl w:val="0"/>
        <w:tabs>
          <w:tab w:val="left" w:pos="90"/>
        </w:tabs>
        <w:autoSpaceDE w:val="0"/>
        <w:autoSpaceDN w:val="0"/>
        <w:rPr>
          <w:rFonts w:cs="Arial"/>
          <w:color w:val="000000"/>
          <w:lang w:val="es-ES"/>
        </w:rPr>
      </w:pPr>
      <w:r w:rsidRPr="00E73C16">
        <w:rPr>
          <w:rFonts w:cs="Arial"/>
          <w:color w:val="000000"/>
          <w:lang w:val="es-ES"/>
        </w:rPr>
        <w:t xml:space="preserve">Ana Luisa DÍAZ JIMÉNEZ (Sra.), Directora Técnica de Semillas, Dirección Técnica de Semillas, Instituto Colombiano Agropecuario (ICA), Bogotá (e-mail: ana.diaz@ica.gov.co)  </w:t>
      </w:r>
    </w:p>
    <w:p w:rsidR="00D539E8" w:rsidRPr="00E73C16" w:rsidRDefault="00D539E8" w:rsidP="00AC0DE9">
      <w:pPr>
        <w:widowControl w:val="0"/>
        <w:tabs>
          <w:tab w:val="left" w:pos="90"/>
        </w:tabs>
        <w:autoSpaceDE w:val="0"/>
        <w:autoSpaceDN w:val="0"/>
        <w:rPr>
          <w:rFonts w:cs="Arial"/>
          <w:color w:val="000000"/>
          <w:lang w:val="es-ES"/>
        </w:rPr>
      </w:pPr>
    </w:p>
    <w:p w:rsidR="00D539E8" w:rsidRPr="00A643CA" w:rsidRDefault="00D539E8" w:rsidP="00AC0DE9">
      <w:pPr>
        <w:widowControl w:val="0"/>
        <w:tabs>
          <w:tab w:val="left" w:pos="90"/>
        </w:tabs>
        <w:autoSpaceDE w:val="0"/>
        <w:autoSpaceDN w:val="0"/>
        <w:rPr>
          <w:rFonts w:cs="Arial"/>
          <w:color w:val="000000"/>
          <w:u w:val="single"/>
        </w:rPr>
      </w:pPr>
      <w:r w:rsidRPr="00A643CA">
        <w:rPr>
          <w:rFonts w:cs="Arial"/>
          <w:color w:val="000000"/>
          <w:u w:val="single"/>
        </w:rPr>
        <w:t>CROATIE / CROATIA / KROATIEN / CROACIA</w:t>
      </w:r>
    </w:p>
    <w:p w:rsidR="00D539E8" w:rsidRPr="00A643CA"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r w:rsidRPr="00A643CA">
        <w:rPr>
          <w:rFonts w:cs="Arial"/>
          <w:color w:val="000000"/>
        </w:rPr>
        <w:t xml:space="preserve">Ivana BULAJIĆ (Ms.), Head of Plant Health Service, Directorate for Food Quality and </w:t>
      </w:r>
      <w:proofErr w:type="spellStart"/>
      <w:r w:rsidRPr="00A643CA">
        <w:rPr>
          <w:rFonts w:cs="Arial"/>
          <w:color w:val="000000"/>
        </w:rPr>
        <w:t>Fitosanitary</w:t>
      </w:r>
      <w:proofErr w:type="spellEnd"/>
      <w:r w:rsidRPr="00A643CA">
        <w:rPr>
          <w:rFonts w:cs="Arial"/>
          <w:color w:val="000000"/>
        </w:rPr>
        <w:t xml:space="preserve"> Policy, Ministry of Agriculture, Zagreb (e-mail: ivana.bulajic@mps.hr)</w:t>
      </w:r>
      <w:r w:rsidRPr="00AC0DE9">
        <w:rPr>
          <w:rFonts w:cs="Arial"/>
          <w:color w:val="000000"/>
        </w:rPr>
        <w:t xml:space="preserve">  </w:t>
      </w:r>
    </w:p>
    <w:p w:rsidR="00D539E8" w:rsidRPr="00AC0DE9"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u w:val="single"/>
        </w:rPr>
      </w:pPr>
      <w:r w:rsidRPr="00AC0DE9">
        <w:rPr>
          <w:rFonts w:cs="Arial"/>
          <w:color w:val="000000"/>
          <w:u w:val="single"/>
        </w:rPr>
        <w:t>DANEMARK / DENMARK / DÄNEMARK / DINAMARCA</w:t>
      </w:r>
    </w:p>
    <w:p w:rsidR="00D539E8"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 xml:space="preserve">Gerhard DENEKEN, Department of Variety Testing, The Danish </w:t>
      </w:r>
      <w:proofErr w:type="spellStart"/>
      <w:r w:rsidRPr="00AC0DE9">
        <w:rPr>
          <w:rFonts w:cs="Arial"/>
          <w:color w:val="000000"/>
        </w:rPr>
        <w:t>AgriFish</w:t>
      </w:r>
      <w:proofErr w:type="spellEnd"/>
      <w:r w:rsidRPr="00AC0DE9">
        <w:rPr>
          <w:rFonts w:cs="Arial"/>
          <w:color w:val="000000"/>
        </w:rPr>
        <w:t xml:space="preserve"> Agency (</w:t>
      </w:r>
      <w:proofErr w:type="spellStart"/>
      <w:r w:rsidRPr="00AC0DE9">
        <w:rPr>
          <w:rFonts w:cs="Arial"/>
          <w:color w:val="000000"/>
        </w:rPr>
        <w:t>NaturErhvervestyrelsen</w:t>
      </w:r>
      <w:proofErr w:type="spellEnd"/>
      <w:r w:rsidRPr="00AC0DE9">
        <w:rPr>
          <w:rFonts w:cs="Arial"/>
          <w:color w:val="000000"/>
        </w:rPr>
        <w:t xml:space="preserve">), </w:t>
      </w:r>
      <w:proofErr w:type="spellStart"/>
      <w:r w:rsidRPr="00AC0DE9">
        <w:rPr>
          <w:rFonts w:cs="Arial"/>
          <w:color w:val="000000"/>
        </w:rPr>
        <w:t>Skaelskoer</w:t>
      </w:r>
      <w:proofErr w:type="spellEnd"/>
      <w:r w:rsidRPr="00AC0DE9">
        <w:rPr>
          <w:rFonts w:cs="Arial"/>
          <w:color w:val="000000"/>
        </w:rPr>
        <w:t xml:space="preserve"> (e-mail: gde@naturerhverv.dk)  </w:t>
      </w:r>
    </w:p>
    <w:p w:rsidR="00D539E8" w:rsidRPr="00AC0DE9" w:rsidRDefault="00D539E8" w:rsidP="00AC0DE9">
      <w:pPr>
        <w:widowControl w:val="0"/>
        <w:tabs>
          <w:tab w:val="left" w:pos="90"/>
        </w:tabs>
        <w:autoSpaceDE w:val="0"/>
        <w:autoSpaceDN w:val="0"/>
        <w:rPr>
          <w:rFonts w:cs="Arial"/>
          <w:color w:val="000000"/>
        </w:rPr>
      </w:pPr>
    </w:p>
    <w:p w:rsidR="00D539E8" w:rsidRPr="00E73C16" w:rsidRDefault="00D539E8" w:rsidP="00AC0DE9">
      <w:pPr>
        <w:widowControl w:val="0"/>
        <w:tabs>
          <w:tab w:val="left" w:pos="90"/>
        </w:tabs>
        <w:autoSpaceDE w:val="0"/>
        <w:autoSpaceDN w:val="0"/>
        <w:rPr>
          <w:rFonts w:cs="Arial"/>
          <w:color w:val="000000"/>
          <w:u w:val="single"/>
          <w:lang w:val="es-ES"/>
        </w:rPr>
      </w:pPr>
      <w:r w:rsidRPr="00E73C16">
        <w:rPr>
          <w:rFonts w:cs="Arial"/>
          <w:color w:val="000000"/>
          <w:u w:val="single"/>
          <w:lang w:val="es-ES"/>
        </w:rPr>
        <w:t>ÉQUATEUR / ECUADOR / ECUADOR / ECUADOR</w:t>
      </w:r>
    </w:p>
    <w:p w:rsidR="00D539E8" w:rsidRPr="00E73C16" w:rsidRDefault="00D539E8" w:rsidP="00AC0DE9">
      <w:pPr>
        <w:widowControl w:val="0"/>
        <w:tabs>
          <w:tab w:val="left" w:pos="90"/>
        </w:tabs>
        <w:autoSpaceDE w:val="0"/>
        <w:autoSpaceDN w:val="0"/>
        <w:rPr>
          <w:rFonts w:cs="Arial"/>
          <w:color w:val="000000"/>
          <w:lang w:val="es-ES"/>
        </w:rPr>
      </w:pPr>
    </w:p>
    <w:p w:rsidR="00D539E8" w:rsidRPr="00E73C16" w:rsidRDefault="00D539E8" w:rsidP="00AC0DE9">
      <w:pPr>
        <w:widowControl w:val="0"/>
        <w:tabs>
          <w:tab w:val="left" w:pos="90"/>
        </w:tabs>
        <w:autoSpaceDE w:val="0"/>
        <w:autoSpaceDN w:val="0"/>
        <w:rPr>
          <w:rFonts w:cs="Arial"/>
          <w:color w:val="000000"/>
          <w:lang w:val="es-ES"/>
        </w:rPr>
      </w:pPr>
      <w:proofErr w:type="spellStart"/>
      <w:r w:rsidRPr="00E73C16">
        <w:rPr>
          <w:rFonts w:cs="Arial"/>
          <w:color w:val="000000"/>
          <w:lang w:val="es-ES"/>
        </w:rPr>
        <w:t>Lilián</w:t>
      </w:r>
      <w:proofErr w:type="spellEnd"/>
      <w:r w:rsidRPr="00E73C16">
        <w:rPr>
          <w:rFonts w:cs="Arial"/>
          <w:color w:val="000000"/>
          <w:lang w:val="es-ES"/>
        </w:rPr>
        <w:t xml:space="preserve"> CARRERA GONZÁLEZ (Sra.), Directora Nacional de Obtenciones Vegetales, Instituto Ecuatoriano de la Propiedad Intelectual (IEPI), Quito (e-mail: lmcarrera@iepi.gob.ec)  </w:t>
      </w:r>
    </w:p>
    <w:p w:rsidR="00D539E8" w:rsidRPr="00E73C16" w:rsidRDefault="00D539E8" w:rsidP="00AC0DE9">
      <w:pPr>
        <w:widowControl w:val="0"/>
        <w:tabs>
          <w:tab w:val="left" w:pos="90"/>
        </w:tabs>
        <w:autoSpaceDE w:val="0"/>
        <w:autoSpaceDN w:val="0"/>
        <w:rPr>
          <w:rFonts w:cs="Arial"/>
          <w:color w:val="000000"/>
          <w:lang w:val="es-ES"/>
        </w:rPr>
      </w:pPr>
    </w:p>
    <w:p w:rsidR="00D539E8" w:rsidRPr="00E73C16" w:rsidRDefault="00D539E8" w:rsidP="004B6725">
      <w:pPr>
        <w:keepNext/>
        <w:widowControl w:val="0"/>
        <w:tabs>
          <w:tab w:val="left" w:pos="90"/>
        </w:tabs>
        <w:autoSpaceDE w:val="0"/>
        <w:autoSpaceDN w:val="0"/>
        <w:rPr>
          <w:rFonts w:cs="Arial"/>
          <w:color w:val="000000"/>
          <w:u w:val="single"/>
          <w:lang w:val="es-ES"/>
        </w:rPr>
      </w:pPr>
      <w:r w:rsidRPr="00E73C16">
        <w:rPr>
          <w:rFonts w:cs="Arial"/>
          <w:color w:val="000000"/>
          <w:u w:val="single"/>
          <w:lang w:val="es-ES"/>
        </w:rPr>
        <w:t>ESPAGNE / SPAIN / SPANIEN / ESPAÑA</w:t>
      </w:r>
    </w:p>
    <w:p w:rsidR="00D539E8" w:rsidRPr="00E73C16" w:rsidRDefault="00D539E8" w:rsidP="004B6725">
      <w:pPr>
        <w:keepNext/>
        <w:widowControl w:val="0"/>
        <w:tabs>
          <w:tab w:val="left" w:pos="90"/>
        </w:tabs>
        <w:autoSpaceDE w:val="0"/>
        <w:autoSpaceDN w:val="0"/>
        <w:rPr>
          <w:rFonts w:cs="Arial"/>
          <w:color w:val="000000"/>
          <w:lang w:val="es-ES"/>
        </w:rPr>
      </w:pPr>
    </w:p>
    <w:p w:rsidR="00D539E8" w:rsidRPr="00E73C16" w:rsidRDefault="00D539E8" w:rsidP="004B6725">
      <w:pPr>
        <w:keepNext/>
        <w:widowControl w:val="0"/>
        <w:tabs>
          <w:tab w:val="left" w:pos="90"/>
        </w:tabs>
        <w:autoSpaceDE w:val="0"/>
        <w:autoSpaceDN w:val="0"/>
        <w:rPr>
          <w:rFonts w:cs="Arial"/>
          <w:color w:val="000000"/>
          <w:lang w:val="es-ES"/>
        </w:rPr>
      </w:pPr>
      <w:r w:rsidRPr="00E73C16">
        <w:rPr>
          <w:rFonts w:cs="Arial"/>
          <w:color w:val="000000"/>
          <w:lang w:val="es-ES"/>
        </w:rPr>
        <w:t xml:space="preserve">Luis SALAICES, Jefe del Área del Registro de Variedades, Subdirección general de Medios de </w:t>
      </w:r>
    </w:p>
    <w:p w:rsidR="00D539E8" w:rsidRPr="00E73C16" w:rsidRDefault="00D539E8" w:rsidP="004B6725">
      <w:pPr>
        <w:keepNext/>
        <w:widowControl w:val="0"/>
        <w:tabs>
          <w:tab w:val="left" w:pos="90"/>
        </w:tabs>
        <w:autoSpaceDE w:val="0"/>
        <w:autoSpaceDN w:val="0"/>
        <w:rPr>
          <w:rFonts w:cs="Arial"/>
          <w:color w:val="000000"/>
          <w:lang w:val="es-ES"/>
        </w:rPr>
      </w:pPr>
      <w:r w:rsidRPr="00E73C16">
        <w:rPr>
          <w:rFonts w:cs="Arial"/>
          <w:color w:val="000000"/>
          <w:lang w:val="es-ES"/>
        </w:rPr>
        <w:t xml:space="preserve">Producción Agrícolas y Oficina Española de Variedades Vegetales (MPA y OEVV), Ministerio de </w:t>
      </w:r>
    </w:p>
    <w:p w:rsidR="00D539E8" w:rsidRPr="00E73C16" w:rsidRDefault="00D539E8" w:rsidP="004B6725">
      <w:pPr>
        <w:keepNext/>
        <w:widowControl w:val="0"/>
        <w:tabs>
          <w:tab w:val="left" w:pos="90"/>
        </w:tabs>
        <w:autoSpaceDE w:val="0"/>
        <w:autoSpaceDN w:val="0"/>
        <w:rPr>
          <w:rFonts w:cs="Arial"/>
          <w:color w:val="000000"/>
          <w:lang w:val="es-ES"/>
        </w:rPr>
      </w:pPr>
      <w:r w:rsidRPr="00E73C16">
        <w:rPr>
          <w:rFonts w:cs="Arial"/>
          <w:color w:val="000000"/>
          <w:lang w:val="es-ES"/>
        </w:rPr>
        <w:t xml:space="preserve">Agricultura, Alimentación y Medio Ambiente (MAGRAMA), Madrid (e-mail: luis.salaices@magrama.es)  </w:t>
      </w:r>
    </w:p>
    <w:p w:rsidR="00D539E8" w:rsidRPr="00E73C16" w:rsidRDefault="00D539E8" w:rsidP="00AC0DE9">
      <w:pPr>
        <w:widowControl w:val="0"/>
        <w:tabs>
          <w:tab w:val="left" w:pos="90"/>
        </w:tabs>
        <w:autoSpaceDE w:val="0"/>
        <w:autoSpaceDN w:val="0"/>
        <w:rPr>
          <w:rFonts w:cs="Arial"/>
          <w:color w:val="000000"/>
          <w:lang w:val="es-ES"/>
        </w:rPr>
      </w:pPr>
    </w:p>
    <w:p w:rsidR="00D539E8" w:rsidRPr="00E73C16" w:rsidRDefault="00D539E8" w:rsidP="00AC0DE9">
      <w:pPr>
        <w:widowControl w:val="0"/>
        <w:tabs>
          <w:tab w:val="left" w:pos="90"/>
        </w:tabs>
        <w:autoSpaceDE w:val="0"/>
        <w:autoSpaceDN w:val="0"/>
        <w:rPr>
          <w:rFonts w:cs="Arial"/>
          <w:color w:val="000000"/>
          <w:lang w:val="es-ES"/>
        </w:rPr>
      </w:pPr>
      <w:r w:rsidRPr="00E73C16">
        <w:rPr>
          <w:rFonts w:cs="Arial"/>
          <w:color w:val="000000"/>
          <w:lang w:val="es-ES"/>
        </w:rPr>
        <w:t xml:space="preserve">José Antonio SOBRINO, Jefe del servicio de registro de variedades, Oficina Española de Variedades Vegetales, Ministerio de Agricultura, Alimentación y Medio Ambiente, Madrid (e-mail: jasobrino@magrama.es)  </w:t>
      </w:r>
    </w:p>
    <w:p w:rsidR="00D539E8" w:rsidRPr="00E73C16" w:rsidRDefault="00D539E8" w:rsidP="00AC0DE9">
      <w:pPr>
        <w:widowControl w:val="0"/>
        <w:tabs>
          <w:tab w:val="left" w:pos="90"/>
        </w:tabs>
        <w:autoSpaceDE w:val="0"/>
        <w:autoSpaceDN w:val="0"/>
        <w:rPr>
          <w:rFonts w:cs="Arial"/>
          <w:color w:val="000000"/>
          <w:u w:val="single"/>
          <w:lang w:val="es-ES"/>
        </w:rPr>
      </w:pPr>
    </w:p>
    <w:p w:rsidR="00D539E8" w:rsidRPr="00AC0DE9" w:rsidRDefault="00D539E8" w:rsidP="00AC0DE9">
      <w:pPr>
        <w:widowControl w:val="0"/>
        <w:tabs>
          <w:tab w:val="left" w:pos="90"/>
        </w:tabs>
        <w:autoSpaceDE w:val="0"/>
        <w:autoSpaceDN w:val="0"/>
        <w:rPr>
          <w:rFonts w:cs="Arial"/>
          <w:color w:val="000000"/>
          <w:u w:val="single"/>
        </w:rPr>
      </w:pPr>
      <w:r w:rsidRPr="00AC0DE9">
        <w:rPr>
          <w:rFonts w:cs="Arial"/>
          <w:color w:val="000000"/>
          <w:u w:val="single"/>
        </w:rPr>
        <w:t>ESTONIE / ESTONIA / ESTLAND / ESTONIA</w:t>
      </w:r>
    </w:p>
    <w:p w:rsidR="00D539E8"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 xml:space="preserve">Renata TSATURJAN (Ms.), Chief Specialist, Plant Production Bureau, Ministry of Agriculture, </w:t>
      </w:r>
    </w:p>
    <w:p w:rsidR="00D539E8" w:rsidRPr="00E73C16" w:rsidRDefault="00D539E8" w:rsidP="00AC0DE9">
      <w:pPr>
        <w:widowControl w:val="0"/>
        <w:tabs>
          <w:tab w:val="left" w:pos="90"/>
        </w:tabs>
        <w:autoSpaceDE w:val="0"/>
        <w:autoSpaceDN w:val="0"/>
        <w:rPr>
          <w:rFonts w:cs="Arial"/>
          <w:color w:val="000000"/>
          <w:lang w:val="fr-CH"/>
        </w:rPr>
      </w:pPr>
      <w:r w:rsidRPr="00E73C16">
        <w:rPr>
          <w:rFonts w:cs="Arial"/>
          <w:color w:val="000000"/>
          <w:lang w:val="fr-CH"/>
        </w:rPr>
        <w:t xml:space="preserve">Tallinn (e-mail: renata.tsaturjan@agri.ee)  </w:t>
      </w:r>
    </w:p>
    <w:p w:rsidR="00D539E8" w:rsidRPr="00E73C16" w:rsidRDefault="00D539E8" w:rsidP="00AC0DE9">
      <w:pPr>
        <w:widowControl w:val="0"/>
        <w:tabs>
          <w:tab w:val="left" w:pos="90"/>
        </w:tabs>
        <w:autoSpaceDE w:val="0"/>
        <w:autoSpaceDN w:val="0"/>
        <w:rPr>
          <w:rFonts w:cs="Arial"/>
          <w:color w:val="000000"/>
          <w:u w:val="single"/>
          <w:lang w:val="fr-CH"/>
        </w:rPr>
      </w:pPr>
    </w:p>
    <w:p w:rsidR="00D539E8" w:rsidRPr="00E73C16" w:rsidRDefault="00D539E8" w:rsidP="00FA1497">
      <w:pPr>
        <w:keepNext/>
        <w:widowControl w:val="0"/>
        <w:tabs>
          <w:tab w:val="left" w:pos="90"/>
        </w:tabs>
        <w:autoSpaceDE w:val="0"/>
        <w:autoSpaceDN w:val="0"/>
        <w:rPr>
          <w:rFonts w:cs="Arial"/>
          <w:color w:val="000000"/>
          <w:u w:val="single"/>
          <w:lang w:val="fr-CH"/>
        </w:rPr>
      </w:pPr>
      <w:r w:rsidRPr="00E73C16">
        <w:rPr>
          <w:rFonts w:cs="Arial"/>
          <w:color w:val="000000"/>
          <w:u w:val="single"/>
          <w:lang w:val="fr-CH"/>
        </w:rPr>
        <w:t xml:space="preserve">ÉTATS-UNIS D'AMÉRIQUE / UNITED STATES OF AMERICA / VEREINIGTE STAATEN </w:t>
      </w:r>
    </w:p>
    <w:p w:rsidR="00D539E8" w:rsidRPr="00E73C16" w:rsidRDefault="00D539E8" w:rsidP="00FA1497">
      <w:pPr>
        <w:keepNext/>
        <w:widowControl w:val="0"/>
        <w:tabs>
          <w:tab w:val="left" w:pos="90"/>
        </w:tabs>
        <w:autoSpaceDE w:val="0"/>
        <w:autoSpaceDN w:val="0"/>
        <w:rPr>
          <w:rFonts w:cs="Arial"/>
          <w:color w:val="000000"/>
          <w:u w:val="single"/>
          <w:lang w:val="es-ES"/>
        </w:rPr>
      </w:pPr>
      <w:r w:rsidRPr="00E73C16">
        <w:rPr>
          <w:rFonts w:cs="Arial"/>
          <w:color w:val="000000"/>
          <w:u w:val="single"/>
          <w:lang w:val="es-ES"/>
        </w:rPr>
        <w:t>VON AMERIKA / ESTADOS UNIDOS DE AMÉRICA</w:t>
      </w:r>
    </w:p>
    <w:p w:rsidR="00D539E8" w:rsidRPr="00E73C16" w:rsidRDefault="00D539E8" w:rsidP="00FA1497">
      <w:pPr>
        <w:keepNext/>
        <w:widowControl w:val="0"/>
        <w:tabs>
          <w:tab w:val="left" w:pos="90"/>
        </w:tabs>
        <w:autoSpaceDE w:val="0"/>
        <w:autoSpaceDN w:val="0"/>
        <w:rPr>
          <w:rFonts w:cs="Arial"/>
          <w:color w:val="000000"/>
          <w:lang w:val="es-ES"/>
        </w:rPr>
      </w:pPr>
    </w:p>
    <w:p w:rsidR="00D539E8" w:rsidRPr="001D4989" w:rsidRDefault="00D539E8" w:rsidP="006A7061">
      <w:pPr>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D539E8" w:rsidRDefault="00D539E8" w:rsidP="006A7061">
      <w:pPr>
        <w:widowControl w:val="0"/>
        <w:tabs>
          <w:tab w:val="left" w:pos="90"/>
        </w:tabs>
        <w:autoSpaceDE w:val="0"/>
        <w:autoSpaceDN w:val="0"/>
        <w:adjustRightInd w:val="0"/>
        <w:rPr>
          <w:rFonts w:cs="Arial"/>
          <w:color w:val="000000"/>
        </w:rPr>
      </w:pPr>
    </w:p>
    <w:p w:rsidR="00D539E8" w:rsidRPr="001D4989" w:rsidRDefault="00D539E8" w:rsidP="006A7061">
      <w:pPr>
        <w:widowControl w:val="0"/>
        <w:tabs>
          <w:tab w:val="left" w:pos="90"/>
        </w:tabs>
        <w:autoSpaceDE w:val="0"/>
        <w:autoSpaceDN w:val="0"/>
        <w:adjustRightInd w:val="0"/>
        <w:rPr>
          <w:rFonts w:cs="Arial"/>
          <w:color w:val="000000"/>
        </w:rPr>
      </w:pPr>
      <w:proofErr w:type="spellStart"/>
      <w:r w:rsidRPr="001D4989">
        <w:rPr>
          <w:rFonts w:cs="Arial"/>
          <w:color w:val="000000"/>
        </w:rPr>
        <w:t>Ruihong</w:t>
      </w:r>
      <w:proofErr w:type="spellEnd"/>
      <w:r w:rsidRPr="001D4989">
        <w:rPr>
          <w:rFonts w:cs="Arial"/>
          <w:color w:val="000000"/>
        </w:rPr>
        <w:t xml:space="preserve"> GUO (Ms.), Deputy Administrator, AMS, Science &amp; </w:t>
      </w:r>
      <w:proofErr w:type="spellStart"/>
      <w:r w:rsidRPr="001D4989">
        <w:rPr>
          <w:rFonts w:cs="Arial"/>
          <w:color w:val="000000"/>
        </w:rPr>
        <w:t>Technolgoy</w:t>
      </w:r>
      <w:proofErr w:type="spellEnd"/>
      <w:r w:rsidRPr="001D4989">
        <w:rPr>
          <w:rFonts w:cs="Arial"/>
          <w:color w:val="000000"/>
        </w:rPr>
        <w:t xml:space="preserve"> Program, United States Department of Agriculture (USDA), Washington D.C. (e-mail: ruihong.guo@ams.usda.gov) </w:t>
      </w:r>
    </w:p>
    <w:p w:rsidR="00D539E8" w:rsidRDefault="00D539E8" w:rsidP="006A7061">
      <w:pPr>
        <w:widowControl w:val="0"/>
        <w:tabs>
          <w:tab w:val="left" w:pos="90"/>
        </w:tabs>
        <w:autoSpaceDE w:val="0"/>
        <w:autoSpaceDN w:val="0"/>
        <w:adjustRightInd w:val="0"/>
        <w:rPr>
          <w:rFonts w:cs="Arial"/>
          <w:color w:val="000000"/>
        </w:rPr>
      </w:pPr>
    </w:p>
    <w:p w:rsidR="00D539E8" w:rsidRDefault="00D539E8" w:rsidP="006A7061">
      <w:pPr>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w:t>
      </w:r>
      <w:proofErr w:type="spellStart"/>
      <w:r w:rsidRPr="001D4989">
        <w:rPr>
          <w:rFonts w:cs="Arial"/>
          <w:color w:val="000000"/>
        </w:rPr>
        <w:t>Chambesy</w:t>
      </w:r>
      <w:proofErr w:type="spellEnd"/>
      <w:r w:rsidRPr="001D4989">
        <w:rPr>
          <w:rFonts w:cs="Arial"/>
          <w:color w:val="000000"/>
        </w:rPr>
        <w:t xml:space="preserve"> </w:t>
      </w:r>
    </w:p>
    <w:p w:rsidR="00D539E8" w:rsidRPr="00E73C16" w:rsidRDefault="00D539E8" w:rsidP="006A7061">
      <w:pPr>
        <w:widowControl w:val="0"/>
        <w:tabs>
          <w:tab w:val="left" w:pos="90"/>
        </w:tabs>
        <w:autoSpaceDE w:val="0"/>
        <w:autoSpaceDN w:val="0"/>
        <w:adjustRightInd w:val="0"/>
        <w:rPr>
          <w:rFonts w:cs="Arial"/>
          <w:color w:val="000000"/>
          <w:lang w:val="fr-CH"/>
        </w:rPr>
      </w:pPr>
      <w:r w:rsidRPr="00E73C16">
        <w:rPr>
          <w:rFonts w:cs="Arial"/>
          <w:color w:val="000000"/>
          <w:lang w:val="fr-CH"/>
        </w:rPr>
        <w:t>(</w:t>
      </w:r>
      <w:proofErr w:type="gramStart"/>
      <w:r w:rsidRPr="00E73C16">
        <w:rPr>
          <w:rFonts w:cs="Arial"/>
          <w:color w:val="000000"/>
          <w:lang w:val="fr-CH"/>
        </w:rPr>
        <w:t>e-mail</w:t>
      </w:r>
      <w:proofErr w:type="gramEnd"/>
      <w:r w:rsidRPr="00E73C16">
        <w:rPr>
          <w:rFonts w:cs="Arial"/>
          <w:color w:val="000000"/>
          <w:lang w:val="fr-CH"/>
        </w:rPr>
        <w:t xml:space="preserve">: karin_ferriter@ustr.eop.gov)  </w:t>
      </w:r>
    </w:p>
    <w:p w:rsidR="00D539E8" w:rsidRPr="00E73C16" w:rsidRDefault="00D539E8" w:rsidP="006A7061">
      <w:pPr>
        <w:widowControl w:val="0"/>
        <w:tabs>
          <w:tab w:val="left" w:pos="90"/>
        </w:tabs>
        <w:autoSpaceDE w:val="0"/>
        <w:autoSpaceDN w:val="0"/>
        <w:rPr>
          <w:rFonts w:cs="Arial"/>
          <w:color w:val="000000"/>
          <w:lang w:val="fr-CH"/>
        </w:rPr>
      </w:pPr>
      <w:r w:rsidRPr="00E73C16">
        <w:rPr>
          <w:rFonts w:cs="Arial"/>
          <w:color w:val="000000"/>
          <w:lang w:val="fr-CH"/>
        </w:rPr>
        <w:t xml:space="preserve"> </w:t>
      </w:r>
    </w:p>
    <w:p w:rsidR="00D539E8" w:rsidRPr="00E73C16" w:rsidRDefault="00D539E8" w:rsidP="00AC0DE9">
      <w:pPr>
        <w:widowControl w:val="0"/>
        <w:tabs>
          <w:tab w:val="left" w:pos="90"/>
        </w:tabs>
        <w:autoSpaceDE w:val="0"/>
        <w:autoSpaceDN w:val="0"/>
        <w:rPr>
          <w:rFonts w:cs="Arial"/>
          <w:color w:val="000000"/>
          <w:u w:val="single"/>
          <w:lang w:val="fr-CH"/>
        </w:rPr>
      </w:pPr>
      <w:r w:rsidRPr="00E73C16">
        <w:rPr>
          <w:rFonts w:cs="Arial"/>
          <w:color w:val="000000"/>
          <w:u w:val="single"/>
          <w:lang w:val="fr-CH"/>
        </w:rPr>
        <w:t xml:space="preserve">FÉDÉRATION DE RUSSIE / RUSSIAN FEDERATION / RUSSISCHE FÖDERATION / </w:t>
      </w:r>
    </w:p>
    <w:p w:rsidR="00D539E8" w:rsidRPr="00AC0DE9" w:rsidRDefault="00D539E8" w:rsidP="00AC0DE9">
      <w:pPr>
        <w:widowControl w:val="0"/>
        <w:tabs>
          <w:tab w:val="left" w:pos="90"/>
        </w:tabs>
        <w:autoSpaceDE w:val="0"/>
        <w:autoSpaceDN w:val="0"/>
        <w:rPr>
          <w:rFonts w:cs="Arial"/>
          <w:color w:val="000000"/>
          <w:u w:val="single"/>
        </w:rPr>
      </w:pPr>
      <w:r w:rsidRPr="00AC0DE9">
        <w:rPr>
          <w:rFonts w:cs="Arial"/>
          <w:color w:val="000000"/>
          <w:u w:val="single"/>
        </w:rPr>
        <w:t>FEDERACIÓN DE RUSIA</w:t>
      </w:r>
    </w:p>
    <w:p w:rsidR="00D539E8"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r w:rsidRPr="00AC0DE9">
        <w:rPr>
          <w:rFonts w:cs="Arial"/>
          <w:color w:val="000000"/>
        </w:rPr>
        <w:t xml:space="preserve">Yuri A. ROGOVSKIY, Deputy Chairman, Head of Methodology and International Cooperation, State Commission of the Russian Federation for Selection Achievements Test and Protection, Moscow </w:t>
      </w: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w:t>
      </w:r>
      <w:proofErr w:type="gramStart"/>
      <w:r w:rsidRPr="00AC0DE9">
        <w:rPr>
          <w:rFonts w:cs="Arial"/>
          <w:color w:val="000000"/>
        </w:rPr>
        <w:t>e-mail</w:t>
      </w:r>
      <w:proofErr w:type="gramEnd"/>
      <w:r w:rsidRPr="00AC0DE9">
        <w:rPr>
          <w:rFonts w:cs="Arial"/>
          <w:color w:val="000000"/>
        </w:rPr>
        <w:t xml:space="preserve">: yrogovskij@yandex.ru)  </w:t>
      </w:r>
    </w:p>
    <w:p w:rsidR="00D539E8"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 xml:space="preserve">Viktor I. STARTCEV, Deputy Chairman, State Commission of the Russian Federation for Selection Achievements Test and Protection, Moscow (e-mail: gossort@gossort.com)  </w:t>
      </w: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proofErr w:type="spellStart"/>
      <w:r w:rsidRPr="00AC0DE9">
        <w:rPr>
          <w:rFonts w:cs="Arial"/>
          <w:color w:val="000000"/>
        </w:rPr>
        <w:t>Antonina</w:t>
      </w:r>
      <w:proofErr w:type="spellEnd"/>
      <w:r w:rsidRPr="00AC0DE9">
        <w:rPr>
          <w:rFonts w:cs="Arial"/>
          <w:color w:val="000000"/>
        </w:rPr>
        <w:t xml:space="preserve"> TRETINNIKOVA (Ms.), Deputy Head, Methodology and International Cooperation Department, State Commission of the Russian Federation for Selection Achievements Test and Protection, Moscow </w:t>
      </w: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w:t>
      </w:r>
      <w:proofErr w:type="gramStart"/>
      <w:r w:rsidRPr="00AC0DE9">
        <w:rPr>
          <w:rFonts w:cs="Arial"/>
          <w:color w:val="000000"/>
        </w:rPr>
        <w:t>e-mail</w:t>
      </w:r>
      <w:proofErr w:type="gramEnd"/>
      <w:r w:rsidRPr="00AC0DE9">
        <w:rPr>
          <w:rFonts w:cs="Arial"/>
          <w:color w:val="000000"/>
        </w:rPr>
        <w:t xml:space="preserve">: tretinnikova@mail.ru)  </w:t>
      </w:r>
    </w:p>
    <w:p w:rsidR="00D539E8"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proofErr w:type="spellStart"/>
      <w:r w:rsidRPr="00AC0DE9">
        <w:rPr>
          <w:rFonts w:cs="Arial"/>
          <w:color w:val="000000"/>
        </w:rPr>
        <w:t>Vitaly</w:t>
      </w:r>
      <w:proofErr w:type="spellEnd"/>
      <w:r w:rsidRPr="00AC0DE9">
        <w:rPr>
          <w:rFonts w:cs="Arial"/>
          <w:color w:val="000000"/>
        </w:rPr>
        <w:t xml:space="preserve"> S. VOLOSHCHENKO, Chairman, State Commission of the Russian Federation for Selection Achievements Test and Protection, Moscow (e-mail: gossort@gossort.com)  </w:t>
      </w:r>
    </w:p>
    <w:p w:rsidR="00D539E8" w:rsidRPr="00AC0DE9" w:rsidRDefault="00D539E8" w:rsidP="00AC0DE9">
      <w:pPr>
        <w:widowControl w:val="0"/>
        <w:tabs>
          <w:tab w:val="left" w:pos="90"/>
        </w:tabs>
        <w:autoSpaceDE w:val="0"/>
        <w:autoSpaceDN w:val="0"/>
        <w:rPr>
          <w:rFonts w:cs="Arial"/>
          <w:color w:val="000000"/>
        </w:rPr>
      </w:pPr>
    </w:p>
    <w:p w:rsidR="00D539E8" w:rsidRPr="00E73C16" w:rsidRDefault="00D539E8" w:rsidP="00AC0DE9">
      <w:pPr>
        <w:widowControl w:val="0"/>
        <w:tabs>
          <w:tab w:val="left" w:pos="90"/>
        </w:tabs>
        <w:autoSpaceDE w:val="0"/>
        <w:autoSpaceDN w:val="0"/>
        <w:rPr>
          <w:rFonts w:cs="Arial"/>
          <w:color w:val="000000"/>
          <w:u w:val="single"/>
          <w:lang w:val="fr-CH"/>
        </w:rPr>
      </w:pPr>
      <w:r w:rsidRPr="00E73C16">
        <w:rPr>
          <w:rFonts w:cs="Arial"/>
          <w:color w:val="000000"/>
          <w:u w:val="single"/>
          <w:lang w:val="fr-CH"/>
        </w:rPr>
        <w:t>FRANCE / FRANKREICH / FRANCIA</w:t>
      </w:r>
    </w:p>
    <w:p w:rsidR="00D539E8" w:rsidRPr="00E73C16" w:rsidRDefault="00D539E8" w:rsidP="00AC0DE9">
      <w:pPr>
        <w:widowControl w:val="0"/>
        <w:tabs>
          <w:tab w:val="left" w:pos="90"/>
        </w:tabs>
        <w:autoSpaceDE w:val="0"/>
        <w:autoSpaceDN w:val="0"/>
        <w:rPr>
          <w:rFonts w:cs="Arial"/>
          <w:color w:val="000000"/>
          <w:u w:val="single"/>
          <w:lang w:val="fr-CH"/>
        </w:rPr>
      </w:pPr>
    </w:p>
    <w:p w:rsidR="00D539E8" w:rsidRPr="00E73C16" w:rsidRDefault="00D539E8" w:rsidP="00AC0DE9">
      <w:pPr>
        <w:widowControl w:val="0"/>
        <w:tabs>
          <w:tab w:val="left" w:pos="90"/>
        </w:tabs>
        <w:autoSpaceDE w:val="0"/>
        <w:autoSpaceDN w:val="0"/>
        <w:rPr>
          <w:rFonts w:cs="Arial"/>
          <w:color w:val="000000"/>
          <w:lang w:val="fr-CH"/>
        </w:rPr>
      </w:pPr>
      <w:r w:rsidRPr="00E73C16">
        <w:rPr>
          <w:rFonts w:cs="Arial"/>
          <w:color w:val="000000"/>
          <w:lang w:val="fr-CH"/>
        </w:rPr>
        <w:t xml:space="preserve">Virginie BERTOUX (Mme), Responsable, Instance nationale des obtentions végétales (INOV), INOV-GEVES, </w:t>
      </w:r>
      <w:proofErr w:type="spellStart"/>
      <w:r w:rsidRPr="00E73C16">
        <w:rPr>
          <w:rFonts w:cs="Arial"/>
          <w:color w:val="000000"/>
          <w:lang w:val="fr-CH"/>
        </w:rPr>
        <w:t>Beaucouzé</w:t>
      </w:r>
      <w:proofErr w:type="spellEnd"/>
      <w:r w:rsidRPr="00E73C16">
        <w:rPr>
          <w:rFonts w:cs="Arial"/>
          <w:color w:val="000000"/>
          <w:lang w:val="fr-CH"/>
        </w:rPr>
        <w:t xml:space="preserve"> (e-mail: virginie.bertoux@geves.fr)  </w:t>
      </w:r>
    </w:p>
    <w:p w:rsidR="00D539E8" w:rsidRPr="00E73C16" w:rsidRDefault="00D539E8" w:rsidP="00AC0DE9">
      <w:pPr>
        <w:widowControl w:val="0"/>
        <w:tabs>
          <w:tab w:val="left" w:pos="90"/>
        </w:tabs>
        <w:autoSpaceDE w:val="0"/>
        <w:autoSpaceDN w:val="0"/>
        <w:rPr>
          <w:rFonts w:cs="Arial"/>
          <w:color w:val="000000"/>
          <w:lang w:val="fr-CH"/>
        </w:rPr>
      </w:pPr>
    </w:p>
    <w:p w:rsidR="00D539E8" w:rsidRDefault="00D539E8" w:rsidP="00AC0DE9">
      <w:pPr>
        <w:widowControl w:val="0"/>
        <w:tabs>
          <w:tab w:val="left" w:pos="90"/>
        </w:tabs>
        <w:autoSpaceDE w:val="0"/>
        <w:autoSpaceDN w:val="0"/>
        <w:rPr>
          <w:rFonts w:cs="Arial"/>
          <w:color w:val="000000"/>
          <w:u w:val="single"/>
        </w:rPr>
      </w:pPr>
      <w:r w:rsidRPr="00AC0DE9">
        <w:rPr>
          <w:rFonts w:cs="Arial"/>
          <w:color w:val="000000"/>
          <w:u w:val="single"/>
        </w:rPr>
        <w:t>GÉORGIE / GEORGIA / GEORGIEN / GEORGIA</w:t>
      </w:r>
    </w:p>
    <w:p w:rsidR="00D539E8" w:rsidRPr="00AC0DE9" w:rsidRDefault="00D539E8" w:rsidP="00AC0DE9">
      <w:pPr>
        <w:widowControl w:val="0"/>
        <w:tabs>
          <w:tab w:val="left" w:pos="90"/>
        </w:tabs>
        <w:autoSpaceDE w:val="0"/>
        <w:autoSpaceDN w:val="0"/>
        <w:rPr>
          <w:rFonts w:cs="Arial"/>
          <w:color w:val="000000"/>
          <w:u w:val="single"/>
        </w:rPr>
      </w:pPr>
    </w:p>
    <w:p w:rsidR="00D539E8" w:rsidRDefault="00D539E8" w:rsidP="004B6725">
      <w:pPr>
        <w:widowControl w:val="0"/>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w:t>
      </w:r>
      <w:proofErr w:type="spellStart"/>
      <w:r w:rsidRPr="00AC0DE9">
        <w:rPr>
          <w:rFonts w:cs="Arial"/>
          <w:color w:val="000000"/>
        </w:rPr>
        <w:t>Mtskheta</w:t>
      </w:r>
      <w:proofErr w:type="spellEnd"/>
      <w:r w:rsidRPr="00AC0DE9">
        <w:rPr>
          <w:rFonts w:cs="Arial"/>
          <w:color w:val="000000"/>
        </w:rPr>
        <w:t xml:space="preserve"> (e-mail: npantskhava@sakpatenti.org.ge)  </w:t>
      </w:r>
    </w:p>
    <w:p w:rsidR="00D539E8" w:rsidRPr="00AC0DE9" w:rsidRDefault="00D539E8" w:rsidP="00AC0DE9">
      <w:pPr>
        <w:widowControl w:val="0"/>
        <w:tabs>
          <w:tab w:val="left" w:pos="90"/>
        </w:tabs>
        <w:autoSpaceDE w:val="0"/>
        <w:autoSpaceDN w:val="0"/>
        <w:ind w:right="900"/>
        <w:rPr>
          <w:rFonts w:cs="Arial"/>
          <w:color w:val="000000"/>
        </w:rPr>
      </w:pPr>
    </w:p>
    <w:p w:rsidR="00D539E8" w:rsidRPr="00AC0DE9" w:rsidRDefault="00D539E8" w:rsidP="00AC0DE9">
      <w:pPr>
        <w:widowControl w:val="0"/>
        <w:tabs>
          <w:tab w:val="left" w:pos="90"/>
        </w:tabs>
        <w:autoSpaceDE w:val="0"/>
        <w:autoSpaceDN w:val="0"/>
        <w:rPr>
          <w:rFonts w:cs="Arial"/>
          <w:color w:val="000000"/>
          <w:u w:val="single"/>
        </w:rPr>
      </w:pPr>
      <w:r w:rsidRPr="00AC0DE9">
        <w:rPr>
          <w:rFonts w:cs="Arial"/>
          <w:color w:val="000000"/>
          <w:u w:val="single"/>
        </w:rPr>
        <w:t>HONGRIE / HUNGARY / UNGARN / HUNGRÍA</w:t>
      </w:r>
    </w:p>
    <w:p w:rsidR="00D539E8"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proofErr w:type="spellStart"/>
      <w:r w:rsidRPr="00AC0DE9">
        <w:rPr>
          <w:rFonts w:cs="Arial"/>
          <w:color w:val="000000"/>
        </w:rPr>
        <w:t>Szabolcs</w:t>
      </w:r>
      <w:proofErr w:type="spellEnd"/>
      <w:r w:rsidRPr="00AC0DE9">
        <w:rPr>
          <w:rFonts w:cs="Arial"/>
          <w:color w:val="000000"/>
        </w:rPr>
        <w:t xml:space="preserve"> FARKAS, Head, Patent Department, Hungarian Intellectual Property Office (HIPO), Budapest </w:t>
      </w: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w:t>
      </w:r>
      <w:proofErr w:type="gramStart"/>
      <w:r w:rsidRPr="00AC0DE9">
        <w:rPr>
          <w:rFonts w:cs="Arial"/>
          <w:color w:val="000000"/>
        </w:rPr>
        <w:t>e-mail</w:t>
      </w:r>
      <w:proofErr w:type="gramEnd"/>
      <w:r w:rsidRPr="00AC0DE9">
        <w:rPr>
          <w:rFonts w:cs="Arial"/>
          <w:color w:val="000000"/>
        </w:rPr>
        <w:t xml:space="preserve">: szabolcs.farkas@hipo.gov.hu)  </w:t>
      </w:r>
    </w:p>
    <w:p w:rsidR="00D539E8"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 xml:space="preserve">Katalin MIKLÓ (Ms.), Head of Chemical and Agricultural Division, Agriculture and Plant Variety Protection Section, Hungarian Intellectual Property Office, Budapest (e-mail: katalin.miklo@hipo.gov.hu)  </w:t>
      </w:r>
    </w:p>
    <w:p w:rsidR="00D539E8" w:rsidRDefault="00D539E8" w:rsidP="00AC0DE9">
      <w:pPr>
        <w:widowControl w:val="0"/>
        <w:tabs>
          <w:tab w:val="left" w:pos="90"/>
        </w:tabs>
        <w:autoSpaceDE w:val="0"/>
        <w:autoSpaceDN w:val="0"/>
        <w:rPr>
          <w:rFonts w:cs="Arial"/>
          <w:color w:val="000000"/>
          <w:u w:val="single"/>
        </w:rPr>
      </w:pPr>
    </w:p>
    <w:p w:rsidR="00D539E8" w:rsidRPr="00AC0DE9" w:rsidRDefault="00D539E8" w:rsidP="00FA1497">
      <w:pPr>
        <w:keepNext/>
        <w:widowControl w:val="0"/>
        <w:tabs>
          <w:tab w:val="left" w:pos="90"/>
        </w:tabs>
        <w:autoSpaceDE w:val="0"/>
        <w:autoSpaceDN w:val="0"/>
        <w:rPr>
          <w:rFonts w:cs="Arial"/>
          <w:color w:val="000000"/>
          <w:u w:val="single"/>
        </w:rPr>
      </w:pPr>
      <w:r w:rsidRPr="00AC0DE9">
        <w:rPr>
          <w:rFonts w:cs="Arial"/>
          <w:color w:val="000000"/>
          <w:u w:val="single"/>
        </w:rPr>
        <w:t>IRLANDE / IRELAND / IRLAND / IRLANDA</w:t>
      </w:r>
    </w:p>
    <w:p w:rsidR="00D539E8" w:rsidRDefault="00D539E8" w:rsidP="00FA1497">
      <w:pPr>
        <w:keepNext/>
        <w:widowControl w:val="0"/>
        <w:tabs>
          <w:tab w:val="left" w:pos="90"/>
        </w:tabs>
        <w:autoSpaceDE w:val="0"/>
        <w:autoSpaceDN w:val="0"/>
        <w:rPr>
          <w:rFonts w:cs="Arial"/>
          <w:color w:val="000000"/>
        </w:rPr>
      </w:pPr>
    </w:p>
    <w:p w:rsidR="00D539E8" w:rsidRPr="00AC0DE9" w:rsidRDefault="00D539E8" w:rsidP="00FA1497">
      <w:pPr>
        <w:keepNext/>
        <w:widowControl w:val="0"/>
        <w:tabs>
          <w:tab w:val="left" w:pos="90"/>
        </w:tabs>
        <w:autoSpaceDE w:val="0"/>
        <w:autoSpaceDN w:val="0"/>
        <w:rPr>
          <w:rFonts w:cs="Arial"/>
          <w:color w:val="000000"/>
        </w:rPr>
      </w:pPr>
      <w:proofErr w:type="spellStart"/>
      <w:r w:rsidRPr="00AC0DE9">
        <w:rPr>
          <w:rFonts w:cs="Arial"/>
          <w:color w:val="000000"/>
        </w:rPr>
        <w:t>Donal</w:t>
      </w:r>
      <w:proofErr w:type="spellEnd"/>
      <w:r w:rsidRPr="00AC0DE9">
        <w:rPr>
          <w:rFonts w:cs="Arial"/>
          <w:color w:val="000000"/>
        </w:rPr>
        <w:t xml:space="preserve"> COLEMAN, Controller of Plant Breeders' Rights, National Crop Evaluation Centre, Department of Agriculture, National Crop Evaluation Centre, </w:t>
      </w:r>
      <w:proofErr w:type="spellStart"/>
      <w:r w:rsidRPr="00AC0DE9">
        <w:rPr>
          <w:rFonts w:cs="Arial"/>
          <w:color w:val="000000"/>
        </w:rPr>
        <w:t>Leixlip</w:t>
      </w:r>
      <w:proofErr w:type="spellEnd"/>
      <w:r w:rsidRPr="00AC0DE9">
        <w:rPr>
          <w:rFonts w:cs="Arial"/>
          <w:color w:val="000000"/>
        </w:rPr>
        <w:t xml:space="preserve"> (e-mail: donal.coleman@agriculture.gov.ie)  </w:t>
      </w:r>
    </w:p>
    <w:p w:rsidR="00D539E8" w:rsidRDefault="00D539E8" w:rsidP="00FA1497">
      <w:pPr>
        <w:keepNext/>
        <w:widowControl w:val="0"/>
        <w:tabs>
          <w:tab w:val="left" w:pos="90"/>
        </w:tabs>
        <w:autoSpaceDE w:val="0"/>
        <w:autoSpaceDN w:val="0"/>
        <w:rPr>
          <w:rFonts w:cs="Arial"/>
          <w:color w:val="000000"/>
          <w:u w:val="single"/>
        </w:rPr>
      </w:pPr>
    </w:p>
    <w:p w:rsidR="00D539E8" w:rsidRDefault="00D539E8" w:rsidP="004166DB">
      <w:pPr>
        <w:widowControl w:val="0"/>
        <w:tabs>
          <w:tab w:val="left" w:pos="90"/>
        </w:tabs>
        <w:autoSpaceDE w:val="0"/>
        <w:autoSpaceDN w:val="0"/>
        <w:adjustRightInd w:val="0"/>
        <w:rPr>
          <w:rFonts w:cs="Arial"/>
          <w:color w:val="000000"/>
          <w:u w:val="single"/>
        </w:rPr>
      </w:pPr>
      <w:r w:rsidRPr="00DA2C8C">
        <w:rPr>
          <w:rFonts w:cs="Arial"/>
          <w:color w:val="000000"/>
          <w:u w:val="single"/>
        </w:rPr>
        <w:t>ITALIE / ITALY / ITALIEN / ITALIA</w:t>
      </w:r>
    </w:p>
    <w:p w:rsidR="00D539E8" w:rsidRPr="00DA2C8C" w:rsidRDefault="00D539E8" w:rsidP="004166DB">
      <w:pPr>
        <w:widowControl w:val="0"/>
        <w:tabs>
          <w:tab w:val="left" w:pos="90"/>
        </w:tabs>
        <w:autoSpaceDE w:val="0"/>
        <w:autoSpaceDN w:val="0"/>
        <w:adjustRightInd w:val="0"/>
        <w:rPr>
          <w:rFonts w:cs="Arial"/>
          <w:color w:val="000000"/>
          <w:u w:val="single"/>
        </w:rPr>
      </w:pPr>
    </w:p>
    <w:p w:rsidR="00D539E8" w:rsidRDefault="00D539E8" w:rsidP="004166DB">
      <w:pPr>
        <w:widowControl w:val="0"/>
        <w:tabs>
          <w:tab w:val="left" w:pos="90"/>
        </w:tabs>
        <w:autoSpaceDE w:val="0"/>
        <w:autoSpaceDN w:val="0"/>
        <w:adjustRightInd w:val="0"/>
        <w:rPr>
          <w:rFonts w:cs="Arial"/>
          <w:color w:val="000000"/>
          <w:u w:val="single"/>
        </w:rPr>
      </w:pPr>
      <w:r w:rsidRPr="00DA2C8C">
        <w:rPr>
          <w:rFonts w:cs="Arial"/>
          <w:color w:val="000000"/>
        </w:rPr>
        <w:t>Antonio ATAZ, Official of the General Secretariat of the Council of the EU, Council of the European Union, Brussels (e-mail: antonio.ataz@consilium.europa.eu)</w:t>
      </w:r>
    </w:p>
    <w:p w:rsidR="00D539E8" w:rsidRDefault="00D539E8" w:rsidP="00AC0DE9">
      <w:pPr>
        <w:widowControl w:val="0"/>
        <w:tabs>
          <w:tab w:val="left" w:pos="90"/>
        </w:tabs>
        <w:autoSpaceDE w:val="0"/>
        <w:autoSpaceDN w:val="0"/>
        <w:rPr>
          <w:rFonts w:cs="Arial"/>
          <w:color w:val="000000"/>
          <w:u w:val="single"/>
        </w:rPr>
      </w:pPr>
    </w:p>
    <w:p w:rsidR="00D539E8" w:rsidRPr="00EC749E" w:rsidRDefault="00D539E8" w:rsidP="00EC749E">
      <w:pPr>
        <w:widowControl w:val="0"/>
        <w:tabs>
          <w:tab w:val="left" w:pos="90"/>
        </w:tabs>
        <w:autoSpaceDE w:val="0"/>
        <w:autoSpaceDN w:val="0"/>
        <w:rPr>
          <w:rFonts w:cs="Arial"/>
          <w:color w:val="000000"/>
        </w:rPr>
      </w:pPr>
      <w:proofErr w:type="spellStart"/>
      <w:r w:rsidRPr="00EC749E">
        <w:rPr>
          <w:rFonts w:cs="Arial"/>
          <w:color w:val="000000"/>
        </w:rPr>
        <w:t>Loredana</w:t>
      </w:r>
      <w:proofErr w:type="spellEnd"/>
      <w:r w:rsidRPr="00EC749E">
        <w:rPr>
          <w:rFonts w:cs="Arial"/>
          <w:color w:val="000000"/>
        </w:rPr>
        <w:t xml:space="preserve"> GUGLIELMETTI (Mrs.), </w:t>
      </w:r>
      <w:proofErr w:type="spellStart"/>
      <w:r w:rsidRPr="00EC749E">
        <w:rPr>
          <w:rFonts w:cs="Arial"/>
          <w:color w:val="000000"/>
        </w:rPr>
        <w:t>Dirigente</w:t>
      </w:r>
      <w:proofErr w:type="spellEnd"/>
      <w:r w:rsidRPr="00EC749E">
        <w:rPr>
          <w:rFonts w:cs="Arial"/>
          <w:color w:val="000000"/>
        </w:rPr>
        <w:t xml:space="preserve">, </w:t>
      </w:r>
      <w:proofErr w:type="spellStart"/>
      <w:r w:rsidRPr="00EC749E">
        <w:rPr>
          <w:rFonts w:cs="Arial"/>
          <w:color w:val="000000"/>
        </w:rPr>
        <w:t>Divisione</w:t>
      </w:r>
      <w:proofErr w:type="spellEnd"/>
      <w:r w:rsidRPr="00EC749E">
        <w:rPr>
          <w:rFonts w:cs="Arial"/>
          <w:color w:val="000000"/>
        </w:rPr>
        <w:t xml:space="preserve"> XI - </w:t>
      </w:r>
      <w:proofErr w:type="spellStart"/>
      <w:r w:rsidRPr="00EC749E">
        <w:rPr>
          <w:rFonts w:cs="Arial"/>
          <w:color w:val="000000"/>
        </w:rPr>
        <w:t>Invenzioni</w:t>
      </w:r>
      <w:proofErr w:type="spellEnd"/>
      <w:r w:rsidRPr="00EC749E">
        <w:rPr>
          <w:rFonts w:cs="Arial"/>
          <w:color w:val="000000"/>
        </w:rPr>
        <w:t xml:space="preserve"> e </w:t>
      </w:r>
      <w:proofErr w:type="spellStart"/>
      <w:r w:rsidRPr="00EC749E">
        <w:rPr>
          <w:rFonts w:cs="Arial"/>
          <w:color w:val="000000"/>
        </w:rPr>
        <w:t>modelli</w:t>
      </w:r>
      <w:proofErr w:type="spellEnd"/>
      <w:r w:rsidRPr="00EC749E">
        <w:rPr>
          <w:rFonts w:cs="Arial"/>
          <w:color w:val="000000"/>
        </w:rPr>
        <w:t xml:space="preserve"> di </w:t>
      </w:r>
      <w:proofErr w:type="spellStart"/>
      <w:r w:rsidRPr="00EC749E">
        <w:rPr>
          <w:rFonts w:cs="Arial"/>
          <w:color w:val="000000"/>
        </w:rPr>
        <w:t>utilità</w:t>
      </w:r>
      <w:proofErr w:type="spellEnd"/>
      <w:r w:rsidRPr="00EC749E">
        <w:rPr>
          <w:rFonts w:cs="Arial"/>
          <w:color w:val="000000"/>
        </w:rPr>
        <w:t xml:space="preserve">, </w:t>
      </w:r>
      <w:proofErr w:type="spellStart"/>
      <w:r w:rsidRPr="00EC749E">
        <w:rPr>
          <w:rFonts w:cs="Arial"/>
          <w:color w:val="000000"/>
        </w:rPr>
        <w:t>Direzione</w:t>
      </w:r>
      <w:proofErr w:type="spellEnd"/>
      <w:r w:rsidRPr="00EC749E">
        <w:rPr>
          <w:rFonts w:cs="Arial"/>
          <w:color w:val="000000"/>
        </w:rPr>
        <w:t xml:space="preserve"> </w:t>
      </w:r>
      <w:proofErr w:type="spellStart"/>
      <w:r w:rsidRPr="00EC749E">
        <w:rPr>
          <w:rFonts w:cs="Arial"/>
          <w:color w:val="000000"/>
        </w:rPr>
        <w:t>generale</w:t>
      </w:r>
      <w:proofErr w:type="spellEnd"/>
      <w:r w:rsidRPr="00EC749E">
        <w:rPr>
          <w:rFonts w:cs="Arial"/>
          <w:color w:val="000000"/>
        </w:rPr>
        <w:t xml:space="preserve"> per la </w:t>
      </w:r>
      <w:proofErr w:type="spellStart"/>
      <w:r w:rsidRPr="00EC749E">
        <w:rPr>
          <w:rFonts w:cs="Arial"/>
          <w:color w:val="000000"/>
        </w:rPr>
        <w:t>lotta</w:t>
      </w:r>
      <w:proofErr w:type="spellEnd"/>
      <w:r w:rsidRPr="00EC749E">
        <w:rPr>
          <w:rFonts w:cs="Arial"/>
          <w:color w:val="000000"/>
        </w:rPr>
        <w:t xml:space="preserve"> </w:t>
      </w:r>
      <w:proofErr w:type="spellStart"/>
      <w:r w:rsidRPr="00EC749E">
        <w:rPr>
          <w:rFonts w:cs="Arial"/>
          <w:color w:val="000000"/>
        </w:rPr>
        <w:t>alla</w:t>
      </w:r>
      <w:proofErr w:type="spellEnd"/>
      <w:r w:rsidRPr="00EC749E">
        <w:rPr>
          <w:rFonts w:cs="Arial"/>
          <w:color w:val="000000"/>
        </w:rPr>
        <w:t xml:space="preserve"> </w:t>
      </w:r>
      <w:proofErr w:type="spellStart"/>
      <w:r w:rsidRPr="00EC749E">
        <w:rPr>
          <w:rFonts w:cs="Arial"/>
          <w:color w:val="000000"/>
        </w:rPr>
        <w:t>contraffazione</w:t>
      </w:r>
      <w:proofErr w:type="spellEnd"/>
      <w:r w:rsidRPr="00EC749E">
        <w:rPr>
          <w:rFonts w:cs="Arial"/>
          <w:color w:val="000000"/>
        </w:rPr>
        <w:t xml:space="preserve">, </w:t>
      </w:r>
      <w:r>
        <w:rPr>
          <w:rFonts w:cs="Arial"/>
          <w:color w:val="000000"/>
        </w:rPr>
        <w:t xml:space="preserve">Italian Patent and Trademark Office, </w:t>
      </w:r>
      <w:r w:rsidRPr="00FE42DF">
        <w:rPr>
          <w:rFonts w:cs="Arial"/>
          <w:color w:val="000000"/>
        </w:rPr>
        <w:t xml:space="preserve">Ministry of Economic Development, </w:t>
      </w:r>
      <w:r w:rsidRPr="00EC749E">
        <w:rPr>
          <w:rFonts w:cs="Arial"/>
          <w:color w:val="000000"/>
        </w:rPr>
        <w:t>Rom</w:t>
      </w:r>
      <w:r>
        <w:rPr>
          <w:rFonts w:cs="Arial"/>
          <w:color w:val="000000"/>
        </w:rPr>
        <w:t>e</w:t>
      </w:r>
      <w:r w:rsidRPr="00EC749E">
        <w:rPr>
          <w:rFonts w:cs="Arial"/>
          <w:color w:val="000000"/>
        </w:rPr>
        <w:t xml:space="preserve"> (e-mail: loredana.guglielmetti@sviluppoeconomico.gov.it) </w:t>
      </w:r>
    </w:p>
    <w:p w:rsidR="00D539E8" w:rsidRPr="00EC749E" w:rsidRDefault="00D539E8" w:rsidP="00EC749E">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r w:rsidRPr="00FE42DF">
        <w:rPr>
          <w:rFonts w:cs="Arial"/>
          <w:color w:val="000000"/>
        </w:rPr>
        <w:t xml:space="preserve">Ivana PUGLIESE (Mrs.), Chief Patent Examiner, Patent and Plant Variety Division, </w:t>
      </w:r>
      <w:r>
        <w:rPr>
          <w:rFonts w:cs="Arial"/>
          <w:color w:val="000000"/>
        </w:rPr>
        <w:t xml:space="preserve">Italian Patent and Trademark Office, </w:t>
      </w:r>
      <w:r w:rsidRPr="00FE42DF">
        <w:rPr>
          <w:rFonts w:cs="Arial"/>
          <w:color w:val="000000"/>
        </w:rPr>
        <w:t xml:space="preserve">Ministry of Economic Development, Rome (e-mail : </w:t>
      </w:r>
      <w:r w:rsidRPr="00EC749E">
        <w:rPr>
          <w:rFonts w:cs="Arial"/>
          <w:color w:val="000000"/>
        </w:rPr>
        <w:t>ivana.pugliese@mise.gov.it</w:t>
      </w:r>
      <w:r>
        <w:rPr>
          <w:rFonts w:cs="Arial"/>
          <w:color w:val="000000"/>
        </w:rPr>
        <w:t>)</w:t>
      </w:r>
    </w:p>
    <w:p w:rsidR="00D539E8" w:rsidRDefault="00D539E8" w:rsidP="00AC0DE9">
      <w:pPr>
        <w:widowControl w:val="0"/>
        <w:tabs>
          <w:tab w:val="left" w:pos="90"/>
        </w:tabs>
        <w:autoSpaceDE w:val="0"/>
        <w:autoSpaceDN w:val="0"/>
        <w:rPr>
          <w:rFonts w:cs="Arial"/>
          <w:color w:val="000000"/>
        </w:rPr>
      </w:pPr>
    </w:p>
    <w:p w:rsidR="00D539E8" w:rsidRPr="00FE42DF" w:rsidRDefault="00D539E8" w:rsidP="00A643CA">
      <w:pPr>
        <w:keepNext/>
        <w:keepLines/>
        <w:widowControl w:val="0"/>
        <w:tabs>
          <w:tab w:val="left" w:pos="90"/>
        </w:tabs>
        <w:autoSpaceDE w:val="0"/>
        <w:autoSpaceDN w:val="0"/>
        <w:rPr>
          <w:rFonts w:cs="Arial"/>
          <w:color w:val="000000"/>
          <w:u w:val="single"/>
        </w:rPr>
      </w:pPr>
      <w:r w:rsidRPr="00FE42DF">
        <w:rPr>
          <w:rFonts w:cs="Arial"/>
          <w:color w:val="000000"/>
          <w:u w:val="single"/>
        </w:rPr>
        <w:t>JAPON / JAPAN / JAPAN / JAPÓN</w:t>
      </w:r>
    </w:p>
    <w:p w:rsidR="00D539E8" w:rsidRPr="00FE42DF" w:rsidRDefault="00D539E8" w:rsidP="00A643CA">
      <w:pPr>
        <w:keepNext/>
        <w:keepLines/>
        <w:widowControl w:val="0"/>
        <w:tabs>
          <w:tab w:val="left" w:pos="90"/>
        </w:tabs>
        <w:autoSpaceDE w:val="0"/>
        <w:autoSpaceDN w:val="0"/>
        <w:rPr>
          <w:rFonts w:cs="Arial"/>
          <w:color w:val="000000"/>
          <w:u w:val="single"/>
        </w:rPr>
      </w:pPr>
    </w:p>
    <w:p w:rsidR="00D539E8" w:rsidRPr="00AC0DE9" w:rsidRDefault="00D539E8" w:rsidP="00A643CA">
      <w:pPr>
        <w:keepNext/>
        <w:keepLines/>
        <w:widowControl w:val="0"/>
        <w:tabs>
          <w:tab w:val="left" w:pos="90"/>
        </w:tabs>
        <w:autoSpaceDE w:val="0"/>
        <w:autoSpaceDN w:val="0"/>
        <w:rPr>
          <w:rFonts w:cs="Arial"/>
          <w:color w:val="000000"/>
        </w:rPr>
      </w:pPr>
      <w:r w:rsidRPr="00AC0DE9">
        <w:rPr>
          <w:rFonts w:cs="Arial"/>
          <w:color w:val="000000"/>
        </w:rPr>
        <w:t xml:space="preserve">Katsuhiro SAKA, Director, New Business and Intellectual Property Division, Ministry of Agriculture, Forestry and Fisheries (MAFF), Tokyo (e-mail: katsuhiro_saka@nm.maff.go.jp) </w:t>
      </w:r>
    </w:p>
    <w:p w:rsidR="00D539E8" w:rsidRPr="00AC0DE9" w:rsidRDefault="00D539E8" w:rsidP="00A643CA">
      <w:pPr>
        <w:keepLines/>
        <w:widowControl w:val="0"/>
        <w:tabs>
          <w:tab w:val="left" w:pos="90"/>
        </w:tabs>
        <w:autoSpaceDE w:val="0"/>
        <w:autoSpaceDN w:val="0"/>
        <w:rPr>
          <w:rFonts w:cs="Arial"/>
          <w:color w:val="000000"/>
          <w:u w:val="single"/>
        </w:rPr>
      </w:pPr>
    </w:p>
    <w:p w:rsidR="00D539E8" w:rsidRDefault="00D539E8" w:rsidP="00A643CA">
      <w:pPr>
        <w:keepLines/>
        <w:widowControl w:val="0"/>
        <w:tabs>
          <w:tab w:val="left" w:pos="90"/>
        </w:tabs>
        <w:autoSpaceDE w:val="0"/>
        <w:autoSpaceDN w:val="0"/>
        <w:rPr>
          <w:rFonts w:cs="Arial"/>
          <w:color w:val="000000"/>
        </w:rPr>
      </w:pPr>
      <w:r w:rsidRPr="00AC0DE9">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D539E8" w:rsidRPr="00AC0DE9" w:rsidRDefault="00D539E8" w:rsidP="00A643CA">
      <w:pPr>
        <w:keepLines/>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u w:val="single"/>
        </w:rPr>
      </w:pPr>
      <w:r w:rsidRPr="00AC0DE9">
        <w:rPr>
          <w:rFonts w:cs="Arial"/>
          <w:color w:val="000000"/>
          <w:u w:val="single"/>
        </w:rPr>
        <w:t>LETTONIE / LATVIA / LETTLAND / LETONIA</w:t>
      </w:r>
    </w:p>
    <w:p w:rsidR="00D539E8" w:rsidRPr="00AC0DE9" w:rsidRDefault="00D539E8" w:rsidP="00AC0DE9">
      <w:pPr>
        <w:widowControl w:val="0"/>
        <w:tabs>
          <w:tab w:val="left" w:pos="90"/>
        </w:tabs>
        <w:autoSpaceDE w:val="0"/>
        <w:autoSpaceDN w:val="0"/>
        <w:rPr>
          <w:rFonts w:cs="Arial"/>
          <w:color w:val="000000"/>
          <w:u w:val="single"/>
        </w:rPr>
      </w:pPr>
    </w:p>
    <w:p w:rsidR="00D539E8" w:rsidRPr="00AC0DE9" w:rsidRDefault="00D539E8" w:rsidP="00AC0DE9">
      <w:pPr>
        <w:widowControl w:val="0"/>
        <w:tabs>
          <w:tab w:val="left" w:pos="90"/>
        </w:tabs>
        <w:autoSpaceDE w:val="0"/>
        <w:autoSpaceDN w:val="0"/>
        <w:rPr>
          <w:rFonts w:cs="Arial"/>
          <w:color w:val="000000"/>
        </w:rPr>
      </w:pPr>
      <w:proofErr w:type="spellStart"/>
      <w:r w:rsidRPr="00AC0DE9">
        <w:rPr>
          <w:rFonts w:cs="Arial"/>
          <w:color w:val="000000"/>
        </w:rPr>
        <w:t>Daiga</w:t>
      </w:r>
      <w:proofErr w:type="spellEnd"/>
      <w:r w:rsidRPr="00AC0DE9">
        <w:rPr>
          <w:rFonts w:cs="Arial"/>
          <w:color w:val="000000"/>
        </w:rPr>
        <w:t xml:space="preserve"> BAJALE (Miss), Senior Officer, Seed Control Department, Division of Seed Certification and Plant Variety Protection, State Plant Protection Service, Riga (e-mail: daiga.bajale@vaad.gov.lv)</w:t>
      </w: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 xml:space="preserve">  </w:t>
      </w:r>
    </w:p>
    <w:p w:rsidR="00D539E8" w:rsidRDefault="00D539E8" w:rsidP="00AC0DE9">
      <w:pPr>
        <w:widowControl w:val="0"/>
        <w:tabs>
          <w:tab w:val="left" w:pos="90"/>
        </w:tabs>
        <w:autoSpaceDE w:val="0"/>
        <w:autoSpaceDN w:val="0"/>
        <w:rPr>
          <w:rFonts w:cs="Arial"/>
          <w:color w:val="000000"/>
        </w:rPr>
      </w:pPr>
      <w:r w:rsidRPr="00AC0DE9">
        <w:rPr>
          <w:rFonts w:cs="Arial"/>
          <w:color w:val="000000"/>
        </w:rPr>
        <w:t>Iveta OZOLINA (Mrs.), Deputy Director, Department of Agriculture, Ministry of Agriculture, Riga</w:t>
      </w:r>
    </w:p>
    <w:p w:rsidR="00D539E8" w:rsidRPr="00E73C16" w:rsidRDefault="00D539E8" w:rsidP="00AC0DE9">
      <w:pPr>
        <w:widowControl w:val="0"/>
        <w:tabs>
          <w:tab w:val="left" w:pos="90"/>
        </w:tabs>
        <w:autoSpaceDE w:val="0"/>
        <w:autoSpaceDN w:val="0"/>
        <w:rPr>
          <w:rFonts w:cs="Arial"/>
          <w:color w:val="000000"/>
          <w:lang w:val="fr-CH"/>
        </w:rPr>
      </w:pPr>
      <w:r w:rsidRPr="00E73C16">
        <w:rPr>
          <w:rFonts w:cs="Arial"/>
          <w:color w:val="000000"/>
          <w:lang w:val="fr-CH"/>
        </w:rPr>
        <w:t>(</w:t>
      </w:r>
      <w:proofErr w:type="gramStart"/>
      <w:r w:rsidRPr="00E73C16">
        <w:rPr>
          <w:rFonts w:cs="Arial"/>
          <w:color w:val="000000"/>
          <w:lang w:val="fr-CH"/>
        </w:rPr>
        <w:t>e-mail</w:t>
      </w:r>
      <w:proofErr w:type="gramEnd"/>
      <w:r w:rsidRPr="00E73C16">
        <w:rPr>
          <w:rFonts w:cs="Arial"/>
          <w:color w:val="000000"/>
          <w:lang w:val="fr-CH"/>
        </w:rPr>
        <w:t xml:space="preserve">: iveta.ozolina@zm.gov.lv)  </w:t>
      </w:r>
    </w:p>
    <w:p w:rsidR="00D539E8" w:rsidRPr="00E73C16" w:rsidRDefault="00D539E8" w:rsidP="00AC0DE9">
      <w:pPr>
        <w:widowControl w:val="0"/>
        <w:tabs>
          <w:tab w:val="left" w:pos="90"/>
        </w:tabs>
        <w:autoSpaceDE w:val="0"/>
        <w:autoSpaceDN w:val="0"/>
        <w:rPr>
          <w:rFonts w:cs="Arial"/>
          <w:color w:val="000000"/>
          <w:u w:val="single"/>
          <w:lang w:val="fr-CH"/>
        </w:rPr>
      </w:pPr>
    </w:p>
    <w:p w:rsidR="00D539E8" w:rsidRPr="00E73C16" w:rsidRDefault="00D539E8" w:rsidP="00AC0DE9">
      <w:pPr>
        <w:widowControl w:val="0"/>
        <w:tabs>
          <w:tab w:val="left" w:pos="90"/>
        </w:tabs>
        <w:autoSpaceDE w:val="0"/>
        <w:autoSpaceDN w:val="0"/>
        <w:rPr>
          <w:rFonts w:cs="Arial"/>
          <w:color w:val="000000"/>
          <w:u w:val="single"/>
          <w:lang w:val="fr-CH"/>
        </w:rPr>
      </w:pPr>
      <w:r w:rsidRPr="00E73C16">
        <w:rPr>
          <w:rFonts w:cs="Arial"/>
          <w:color w:val="000000"/>
          <w:u w:val="single"/>
          <w:lang w:val="fr-CH"/>
        </w:rPr>
        <w:t>LITUANIE / LITHUANIA / LITAUEN / LITUANIA</w:t>
      </w:r>
    </w:p>
    <w:p w:rsidR="00D539E8" w:rsidRPr="00E73C16" w:rsidRDefault="00D539E8" w:rsidP="00AC0DE9">
      <w:pPr>
        <w:widowControl w:val="0"/>
        <w:tabs>
          <w:tab w:val="left" w:pos="90"/>
        </w:tabs>
        <w:autoSpaceDE w:val="0"/>
        <w:autoSpaceDN w:val="0"/>
        <w:rPr>
          <w:rFonts w:cs="Arial"/>
          <w:color w:val="000000"/>
          <w:u w:val="single"/>
          <w:lang w:val="fr-CH"/>
        </w:rPr>
      </w:pPr>
    </w:p>
    <w:p w:rsidR="00D539E8" w:rsidRDefault="00D539E8" w:rsidP="00AC0DE9">
      <w:pPr>
        <w:widowControl w:val="0"/>
        <w:tabs>
          <w:tab w:val="left" w:pos="90"/>
        </w:tabs>
        <w:autoSpaceDE w:val="0"/>
        <w:autoSpaceDN w:val="0"/>
        <w:rPr>
          <w:rFonts w:cs="Arial"/>
          <w:color w:val="000000"/>
        </w:rPr>
      </w:pPr>
      <w:r w:rsidRPr="00A643CA">
        <w:rPr>
          <w:rFonts w:cs="Arial"/>
          <w:color w:val="000000"/>
        </w:rPr>
        <w:t xml:space="preserve">Rasa ZUIKIENÉ (Mrs.), Deputy Head of the plant variety division, State Plant Service under the Ministry of Agriculture, Vilnius (e-mail: </w:t>
      </w:r>
      <w:proofErr w:type="spellStart"/>
      <w:r w:rsidRPr="00A643CA">
        <w:rPr>
          <w:rFonts w:cs="Arial"/>
          <w:color w:val="000000"/>
        </w:rPr>
        <w:t>rasa.zuikiene@vatzum.lt</w:t>
      </w:r>
      <w:proofErr w:type="spellEnd"/>
      <w:r w:rsidRPr="00A643CA">
        <w:rPr>
          <w:rFonts w:cs="Arial"/>
          <w:color w:val="000000"/>
        </w:rPr>
        <w:t>)</w:t>
      </w:r>
      <w:r w:rsidRPr="00AC0DE9">
        <w:rPr>
          <w:rFonts w:cs="Arial"/>
          <w:color w:val="000000"/>
        </w:rPr>
        <w:t xml:space="preserve">  </w:t>
      </w:r>
    </w:p>
    <w:p w:rsidR="00D539E8" w:rsidRPr="00AC0DE9" w:rsidRDefault="00D539E8" w:rsidP="00AC0DE9">
      <w:pPr>
        <w:widowControl w:val="0"/>
        <w:tabs>
          <w:tab w:val="left" w:pos="90"/>
        </w:tabs>
        <w:autoSpaceDE w:val="0"/>
        <w:autoSpaceDN w:val="0"/>
        <w:rPr>
          <w:rFonts w:cs="Arial"/>
          <w:color w:val="000000"/>
        </w:rPr>
      </w:pPr>
    </w:p>
    <w:p w:rsidR="00D539E8" w:rsidRDefault="00D539E8" w:rsidP="00722730">
      <w:pPr>
        <w:keepNext/>
        <w:keepLines/>
        <w:widowControl w:val="0"/>
        <w:tabs>
          <w:tab w:val="left" w:pos="90"/>
        </w:tabs>
        <w:autoSpaceDE w:val="0"/>
        <w:autoSpaceDN w:val="0"/>
        <w:rPr>
          <w:rFonts w:cs="Arial"/>
          <w:color w:val="000000"/>
          <w:u w:val="single"/>
        </w:rPr>
      </w:pPr>
      <w:r w:rsidRPr="00AC0DE9">
        <w:rPr>
          <w:rFonts w:cs="Arial"/>
          <w:color w:val="000000"/>
          <w:u w:val="single"/>
        </w:rPr>
        <w:t>MAROC / MOROCCO / MAROKKO / MARRUECOS</w:t>
      </w:r>
    </w:p>
    <w:p w:rsidR="00D539E8" w:rsidRPr="00AC0DE9" w:rsidRDefault="00D539E8" w:rsidP="00722730">
      <w:pPr>
        <w:keepNext/>
        <w:keepLines/>
        <w:widowControl w:val="0"/>
        <w:tabs>
          <w:tab w:val="left" w:pos="90"/>
        </w:tabs>
        <w:autoSpaceDE w:val="0"/>
        <w:autoSpaceDN w:val="0"/>
        <w:rPr>
          <w:rFonts w:cs="Arial"/>
          <w:color w:val="000000"/>
          <w:u w:val="single"/>
        </w:rPr>
      </w:pPr>
    </w:p>
    <w:p w:rsidR="00D539E8" w:rsidRPr="00AC0DE9" w:rsidRDefault="00D539E8" w:rsidP="00722730">
      <w:pPr>
        <w:keepNext/>
        <w:keepLines/>
        <w:widowControl w:val="0"/>
        <w:tabs>
          <w:tab w:val="left" w:pos="90"/>
        </w:tabs>
        <w:autoSpaceDE w:val="0"/>
        <w:autoSpaceDN w:val="0"/>
        <w:rPr>
          <w:rFonts w:cs="Arial"/>
          <w:color w:val="000000"/>
        </w:rPr>
      </w:pPr>
      <w:proofErr w:type="spellStart"/>
      <w:r w:rsidRPr="00AC0DE9">
        <w:rPr>
          <w:rFonts w:cs="Arial"/>
          <w:color w:val="000000"/>
        </w:rPr>
        <w:t>Zoubida</w:t>
      </w:r>
      <w:proofErr w:type="spellEnd"/>
      <w:r w:rsidRPr="00AC0DE9">
        <w:rPr>
          <w:rFonts w:cs="Arial"/>
          <w:color w:val="000000"/>
        </w:rPr>
        <w:t xml:space="preserve"> TAOUSSI (Mrs.), Responsible of Plant Variety Protection, Division of Seed and Plant Control, The National Office for Food Safety, Rabat (e-mail: ztaoussi67@gmail.com)  </w:t>
      </w:r>
    </w:p>
    <w:p w:rsidR="00D539E8" w:rsidRPr="00AC0DE9" w:rsidRDefault="00D539E8" w:rsidP="00AC0DE9">
      <w:pPr>
        <w:widowControl w:val="0"/>
        <w:tabs>
          <w:tab w:val="left" w:pos="90"/>
        </w:tabs>
        <w:autoSpaceDE w:val="0"/>
        <w:autoSpaceDN w:val="0"/>
        <w:rPr>
          <w:rFonts w:cs="Arial"/>
          <w:color w:val="000000"/>
        </w:rPr>
      </w:pPr>
    </w:p>
    <w:p w:rsidR="00D539E8" w:rsidRPr="00E73C16" w:rsidRDefault="00D539E8" w:rsidP="00AC0DE9">
      <w:pPr>
        <w:widowControl w:val="0"/>
        <w:tabs>
          <w:tab w:val="left" w:pos="90"/>
        </w:tabs>
        <w:autoSpaceDE w:val="0"/>
        <w:autoSpaceDN w:val="0"/>
        <w:rPr>
          <w:rFonts w:cs="Arial"/>
          <w:color w:val="000000"/>
          <w:u w:val="single"/>
          <w:lang w:val="es-ES"/>
        </w:rPr>
      </w:pPr>
      <w:r w:rsidRPr="00E73C16">
        <w:rPr>
          <w:rFonts w:cs="Arial"/>
          <w:color w:val="000000"/>
          <w:u w:val="single"/>
          <w:lang w:val="es-ES"/>
        </w:rPr>
        <w:t>MEXIQUE / MEXICO / MEXIKO / MÉXICO</w:t>
      </w:r>
    </w:p>
    <w:p w:rsidR="00D539E8" w:rsidRPr="00E73C16" w:rsidRDefault="00D539E8" w:rsidP="00AC0DE9">
      <w:pPr>
        <w:widowControl w:val="0"/>
        <w:tabs>
          <w:tab w:val="left" w:pos="90"/>
        </w:tabs>
        <w:autoSpaceDE w:val="0"/>
        <w:autoSpaceDN w:val="0"/>
        <w:rPr>
          <w:rFonts w:cs="Arial"/>
          <w:color w:val="000000"/>
          <w:u w:val="single"/>
          <w:lang w:val="es-ES"/>
        </w:rPr>
      </w:pPr>
    </w:p>
    <w:p w:rsidR="00D539E8" w:rsidRPr="00E73C16" w:rsidRDefault="00D539E8" w:rsidP="00811B27">
      <w:pPr>
        <w:widowControl w:val="0"/>
        <w:tabs>
          <w:tab w:val="left" w:pos="90"/>
        </w:tabs>
        <w:autoSpaceDE w:val="0"/>
        <w:autoSpaceDN w:val="0"/>
        <w:adjustRightInd w:val="0"/>
        <w:rPr>
          <w:rFonts w:cs="Arial"/>
          <w:color w:val="000000"/>
          <w:lang w:val="es-ES"/>
        </w:rPr>
      </w:pPr>
      <w:r w:rsidRPr="00E73C16">
        <w:rPr>
          <w:rFonts w:cs="Arial"/>
          <w:color w:val="000000"/>
          <w:lang w:val="es-ES"/>
        </w:rPr>
        <w:t>Eduardo PADILLA VACA, Director de Registro de Variedades Vegetales, Servicio Nacional de Inspección y Certificación de Semillas (SNICS), México (e-mail: eduardo.padilla@</w:t>
      </w:r>
      <w:r>
        <w:rPr>
          <w:rFonts w:cs="Arial"/>
          <w:color w:val="000000"/>
          <w:lang w:val="es-ES"/>
        </w:rPr>
        <w:t>sagarpa</w:t>
      </w:r>
      <w:r w:rsidRPr="00E73C16">
        <w:rPr>
          <w:rFonts w:cs="Arial"/>
          <w:color w:val="000000"/>
          <w:lang w:val="es-ES"/>
        </w:rPr>
        <w:t xml:space="preserve">.gob.mx) </w:t>
      </w:r>
    </w:p>
    <w:p w:rsidR="00D539E8" w:rsidRPr="00E73C16" w:rsidRDefault="00D539E8" w:rsidP="00AC0DE9">
      <w:pPr>
        <w:widowControl w:val="0"/>
        <w:tabs>
          <w:tab w:val="left" w:pos="90"/>
        </w:tabs>
        <w:autoSpaceDE w:val="0"/>
        <w:autoSpaceDN w:val="0"/>
        <w:rPr>
          <w:rFonts w:cs="Arial"/>
          <w:color w:val="000000"/>
          <w:lang w:val="es-ES"/>
        </w:rPr>
      </w:pPr>
    </w:p>
    <w:p w:rsidR="00D539E8" w:rsidRDefault="00D539E8" w:rsidP="00AC0DE9">
      <w:pPr>
        <w:widowControl w:val="0"/>
        <w:tabs>
          <w:tab w:val="left" w:pos="90"/>
        </w:tabs>
        <w:autoSpaceDE w:val="0"/>
        <w:autoSpaceDN w:val="0"/>
        <w:rPr>
          <w:rFonts w:cs="Arial"/>
          <w:color w:val="000000"/>
          <w:u w:val="single"/>
        </w:rPr>
      </w:pPr>
      <w:r w:rsidRPr="00AC0DE9">
        <w:rPr>
          <w:rFonts w:cs="Arial"/>
          <w:color w:val="000000"/>
          <w:u w:val="single"/>
        </w:rPr>
        <w:t>NORVÈGE / NORWAY / NORWEGEN / NORUEGA</w:t>
      </w:r>
    </w:p>
    <w:p w:rsidR="00D539E8" w:rsidRPr="00AC0DE9" w:rsidRDefault="00D539E8" w:rsidP="00AC0DE9">
      <w:pPr>
        <w:widowControl w:val="0"/>
        <w:tabs>
          <w:tab w:val="left" w:pos="90"/>
        </w:tabs>
        <w:autoSpaceDE w:val="0"/>
        <w:autoSpaceDN w:val="0"/>
        <w:rPr>
          <w:rFonts w:cs="Arial"/>
          <w:color w:val="000000"/>
          <w:u w:val="single"/>
        </w:rPr>
      </w:pPr>
    </w:p>
    <w:p w:rsidR="00D539E8" w:rsidRPr="00AC0DE9" w:rsidRDefault="00D539E8" w:rsidP="00AC0DE9">
      <w:pPr>
        <w:widowControl w:val="0"/>
        <w:tabs>
          <w:tab w:val="left" w:pos="90"/>
        </w:tabs>
        <w:autoSpaceDE w:val="0"/>
        <w:autoSpaceDN w:val="0"/>
        <w:rPr>
          <w:rFonts w:cs="Arial"/>
          <w:color w:val="000000"/>
        </w:rPr>
      </w:pPr>
      <w:r w:rsidRPr="00AC0DE9">
        <w:rPr>
          <w:rFonts w:cs="Arial"/>
          <w:color w:val="000000"/>
        </w:rPr>
        <w:t xml:space="preserve">Tor Erik JØRGENSEN, Head of Department for National Approvals, Norwegian Food Safety Authority, </w:t>
      </w:r>
      <w:proofErr w:type="spellStart"/>
      <w:proofErr w:type="gramStart"/>
      <w:r w:rsidRPr="00AC0DE9">
        <w:rPr>
          <w:rFonts w:cs="Arial"/>
          <w:color w:val="000000"/>
        </w:rPr>
        <w:t>Brumunddal</w:t>
      </w:r>
      <w:proofErr w:type="spellEnd"/>
      <w:proofErr w:type="gramEnd"/>
      <w:r w:rsidRPr="00AC0DE9">
        <w:rPr>
          <w:rFonts w:cs="Arial"/>
          <w:color w:val="000000"/>
        </w:rPr>
        <w:t xml:space="preserve"> (e-mail: tor.erik.jorgensen@mattilsynet.no)  </w:t>
      </w: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r w:rsidRPr="00AC0DE9">
        <w:rPr>
          <w:rFonts w:cs="Arial"/>
          <w:color w:val="000000"/>
        </w:rPr>
        <w:t xml:space="preserve">Marianne SMITH (Ms.), Senior Advisor, Norwegian Ministry of Agriculture and Food, Oslo </w:t>
      </w:r>
    </w:p>
    <w:p w:rsidR="00D539E8" w:rsidRPr="00E73C16" w:rsidRDefault="00D539E8" w:rsidP="00AC0DE9">
      <w:pPr>
        <w:widowControl w:val="0"/>
        <w:tabs>
          <w:tab w:val="left" w:pos="90"/>
        </w:tabs>
        <w:autoSpaceDE w:val="0"/>
        <w:autoSpaceDN w:val="0"/>
        <w:rPr>
          <w:rFonts w:cs="Arial"/>
          <w:color w:val="000000"/>
          <w:lang w:val="fr-CH"/>
        </w:rPr>
      </w:pPr>
      <w:r w:rsidRPr="00E73C16">
        <w:rPr>
          <w:rFonts w:cs="Arial"/>
          <w:color w:val="000000"/>
          <w:lang w:val="fr-CH"/>
        </w:rPr>
        <w:t>(</w:t>
      </w:r>
      <w:proofErr w:type="gramStart"/>
      <w:r w:rsidRPr="00E73C16">
        <w:rPr>
          <w:rFonts w:cs="Arial"/>
          <w:color w:val="000000"/>
          <w:lang w:val="fr-CH"/>
        </w:rPr>
        <w:t>e-mail</w:t>
      </w:r>
      <w:proofErr w:type="gramEnd"/>
      <w:r w:rsidRPr="00E73C16">
        <w:rPr>
          <w:rFonts w:cs="Arial"/>
          <w:color w:val="000000"/>
          <w:lang w:val="fr-CH"/>
        </w:rPr>
        <w:t xml:space="preserve">: marianne.smith@lmd.dep.no)  </w:t>
      </w:r>
    </w:p>
    <w:p w:rsidR="00D539E8" w:rsidRPr="00E73C16" w:rsidRDefault="00D539E8" w:rsidP="00AC0DE9">
      <w:pPr>
        <w:widowControl w:val="0"/>
        <w:tabs>
          <w:tab w:val="left" w:pos="90"/>
        </w:tabs>
        <w:autoSpaceDE w:val="0"/>
        <w:autoSpaceDN w:val="0"/>
        <w:rPr>
          <w:rFonts w:cs="Arial"/>
          <w:color w:val="000000"/>
          <w:lang w:val="fr-CH"/>
        </w:rPr>
      </w:pPr>
    </w:p>
    <w:p w:rsidR="00D539E8" w:rsidRPr="00E73C16" w:rsidRDefault="00D539E8" w:rsidP="00FA1497">
      <w:pPr>
        <w:keepNext/>
        <w:widowControl w:val="0"/>
        <w:tabs>
          <w:tab w:val="left" w:pos="90"/>
        </w:tabs>
        <w:autoSpaceDE w:val="0"/>
        <w:autoSpaceDN w:val="0"/>
        <w:rPr>
          <w:rFonts w:cs="Arial"/>
          <w:color w:val="000000"/>
          <w:u w:val="single"/>
          <w:lang w:val="fr-CH"/>
        </w:rPr>
      </w:pPr>
      <w:r w:rsidRPr="00E73C16">
        <w:rPr>
          <w:rFonts w:cs="Arial"/>
          <w:color w:val="000000"/>
          <w:u w:val="single"/>
          <w:lang w:val="fr-CH"/>
        </w:rPr>
        <w:t xml:space="preserve">ORGANISATION AFRICAINE DE LA PROPRIÉTÉ INTELLECTUELLE / OAPI - AFRICAN </w:t>
      </w:r>
    </w:p>
    <w:p w:rsidR="00D539E8" w:rsidRPr="00AC0DE9" w:rsidRDefault="00D539E8" w:rsidP="00FA1497">
      <w:pPr>
        <w:keepNext/>
        <w:widowControl w:val="0"/>
        <w:tabs>
          <w:tab w:val="left" w:pos="90"/>
        </w:tabs>
        <w:autoSpaceDE w:val="0"/>
        <w:autoSpaceDN w:val="0"/>
        <w:rPr>
          <w:rFonts w:cs="Arial"/>
          <w:color w:val="000000"/>
          <w:u w:val="single"/>
        </w:rPr>
      </w:pPr>
      <w:r w:rsidRPr="00AC0DE9">
        <w:rPr>
          <w:rFonts w:cs="Arial"/>
          <w:color w:val="000000"/>
          <w:u w:val="single"/>
        </w:rPr>
        <w:t xml:space="preserve">INTELLECTUAL PROPERTY ORGANIZATION / AFRIKANISCHE ORGANISATION FÜR </w:t>
      </w:r>
    </w:p>
    <w:p w:rsidR="00D539E8" w:rsidRPr="00E73C16" w:rsidRDefault="00D539E8" w:rsidP="00FA1497">
      <w:pPr>
        <w:keepNext/>
        <w:widowControl w:val="0"/>
        <w:tabs>
          <w:tab w:val="left" w:pos="90"/>
        </w:tabs>
        <w:autoSpaceDE w:val="0"/>
        <w:autoSpaceDN w:val="0"/>
        <w:rPr>
          <w:rFonts w:cs="Arial"/>
          <w:color w:val="000000"/>
          <w:u w:val="single"/>
          <w:lang w:val="es-ES"/>
        </w:rPr>
      </w:pPr>
      <w:r w:rsidRPr="00E73C16">
        <w:rPr>
          <w:rFonts w:cs="Arial"/>
          <w:color w:val="000000"/>
          <w:u w:val="single"/>
          <w:lang w:val="es-ES"/>
        </w:rPr>
        <w:t xml:space="preserve">GEISTIGES EIGENTUM / ORGANIZACIÓN AFRICANA DE LA PROPIEDAD </w:t>
      </w:r>
    </w:p>
    <w:p w:rsidR="00D539E8" w:rsidRPr="00E73C16" w:rsidRDefault="00D539E8" w:rsidP="00FA1497">
      <w:pPr>
        <w:keepNext/>
        <w:widowControl w:val="0"/>
        <w:tabs>
          <w:tab w:val="left" w:pos="90"/>
        </w:tabs>
        <w:autoSpaceDE w:val="0"/>
        <w:autoSpaceDN w:val="0"/>
        <w:rPr>
          <w:rFonts w:cs="Arial"/>
          <w:color w:val="000000"/>
          <w:u w:val="single"/>
          <w:lang w:val="fr-CH"/>
        </w:rPr>
      </w:pPr>
      <w:r w:rsidRPr="00E73C16">
        <w:rPr>
          <w:rFonts w:cs="Arial"/>
          <w:color w:val="000000"/>
          <w:u w:val="single"/>
          <w:lang w:val="fr-CH"/>
        </w:rPr>
        <w:t>INTELECTUAL</w:t>
      </w:r>
    </w:p>
    <w:p w:rsidR="00D539E8" w:rsidRPr="00E73C16" w:rsidRDefault="00D539E8" w:rsidP="00FA1497">
      <w:pPr>
        <w:keepNext/>
        <w:widowControl w:val="0"/>
        <w:tabs>
          <w:tab w:val="left" w:pos="90"/>
        </w:tabs>
        <w:autoSpaceDE w:val="0"/>
        <w:autoSpaceDN w:val="0"/>
        <w:rPr>
          <w:rFonts w:cs="Arial"/>
          <w:color w:val="000000"/>
          <w:u w:val="single"/>
          <w:lang w:val="fr-CH"/>
        </w:rPr>
      </w:pPr>
    </w:p>
    <w:p w:rsidR="00D539E8" w:rsidRPr="00E73C16" w:rsidRDefault="00D539E8" w:rsidP="00FA1497">
      <w:pPr>
        <w:keepNext/>
        <w:widowControl w:val="0"/>
        <w:tabs>
          <w:tab w:val="left" w:pos="90"/>
        </w:tabs>
        <w:autoSpaceDE w:val="0"/>
        <w:autoSpaceDN w:val="0"/>
        <w:rPr>
          <w:rFonts w:cs="Arial"/>
          <w:color w:val="000000"/>
          <w:lang w:val="fr-CH"/>
        </w:rPr>
      </w:pPr>
      <w:r w:rsidRPr="00E73C16">
        <w:rPr>
          <w:rFonts w:cs="Arial"/>
          <w:color w:val="000000"/>
          <w:lang w:val="fr-CH"/>
        </w:rPr>
        <w:t xml:space="preserve">Juliette DOUMATEY AYITE (Mme), Directeur Général Adjoint, Organisation africaine de la </w:t>
      </w:r>
    </w:p>
    <w:p w:rsidR="00D539E8" w:rsidRPr="00E73C16" w:rsidRDefault="00D539E8" w:rsidP="00FA1497">
      <w:pPr>
        <w:keepNext/>
        <w:widowControl w:val="0"/>
        <w:tabs>
          <w:tab w:val="left" w:pos="90"/>
        </w:tabs>
        <w:autoSpaceDE w:val="0"/>
        <w:autoSpaceDN w:val="0"/>
        <w:rPr>
          <w:rFonts w:cs="Arial"/>
          <w:color w:val="000000"/>
          <w:lang w:val="fr-CH"/>
        </w:rPr>
      </w:pPr>
      <w:proofErr w:type="gramStart"/>
      <w:r w:rsidRPr="00E73C16">
        <w:rPr>
          <w:rFonts w:cs="Arial"/>
          <w:color w:val="000000"/>
          <w:lang w:val="fr-CH"/>
        </w:rPr>
        <w:t>propriété</w:t>
      </w:r>
      <w:proofErr w:type="gramEnd"/>
      <w:r w:rsidRPr="00E73C16">
        <w:rPr>
          <w:rFonts w:cs="Arial"/>
          <w:color w:val="000000"/>
          <w:lang w:val="fr-CH"/>
        </w:rPr>
        <w:t xml:space="preserve"> intellectuelle (OAPI), Yaoundé (e-mail: ayijuliette@yahoo.fr)  </w:t>
      </w:r>
    </w:p>
    <w:p w:rsidR="00D539E8" w:rsidRPr="00E73C16" w:rsidRDefault="00D539E8" w:rsidP="00FA1497">
      <w:pPr>
        <w:keepNext/>
        <w:widowControl w:val="0"/>
        <w:tabs>
          <w:tab w:val="left" w:pos="90"/>
        </w:tabs>
        <w:autoSpaceDE w:val="0"/>
        <w:autoSpaceDN w:val="0"/>
        <w:rPr>
          <w:rFonts w:cs="Arial"/>
          <w:color w:val="000000"/>
          <w:lang w:val="fr-CH"/>
        </w:rPr>
      </w:pPr>
    </w:p>
    <w:p w:rsidR="00D539E8" w:rsidRPr="00E73C16" w:rsidRDefault="00D539E8" w:rsidP="00FA1497">
      <w:pPr>
        <w:keepNext/>
        <w:widowControl w:val="0"/>
        <w:tabs>
          <w:tab w:val="left" w:pos="90"/>
        </w:tabs>
        <w:autoSpaceDE w:val="0"/>
        <w:autoSpaceDN w:val="0"/>
        <w:rPr>
          <w:rFonts w:cs="Arial"/>
          <w:color w:val="000000"/>
          <w:lang w:val="fr-CH"/>
        </w:rPr>
      </w:pPr>
      <w:proofErr w:type="spellStart"/>
      <w:r w:rsidRPr="00E73C16">
        <w:rPr>
          <w:rFonts w:cs="Arial"/>
          <w:color w:val="000000"/>
          <w:lang w:val="fr-CH"/>
        </w:rPr>
        <w:t>Wéré</w:t>
      </w:r>
      <w:proofErr w:type="spellEnd"/>
      <w:r w:rsidRPr="00E73C16">
        <w:rPr>
          <w:rFonts w:cs="Arial"/>
          <w:color w:val="000000"/>
          <w:lang w:val="fr-CH"/>
        </w:rPr>
        <w:t xml:space="preserve"> Régine GAZARO (Madame), Directeur, Protection de la propriété industrielle, Organisation </w:t>
      </w:r>
    </w:p>
    <w:p w:rsidR="00D539E8" w:rsidRPr="00E73C16" w:rsidRDefault="00D539E8" w:rsidP="00FA1497">
      <w:pPr>
        <w:keepNext/>
        <w:widowControl w:val="0"/>
        <w:tabs>
          <w:tab w:val="left" w:pos="90"/>
        </w:tabs>
        <w:autoSpaceDE w:val="0"/>
        <w:autoSpaceDN w:val="0"/>
        <w:rPr>
          <w:rFonts w:cs="Arial"/>
          <w:color w:val="000000"/>
          <w:lang w:val="fr-CH"/>
        </w:rPr>
      </w:pPr>
      <w:proofErr w:type="gramStart"/>
      <w:r w:rsidRPr="00E73C16">
        <w:rPr>
          <w:rFonts w:cs="Arial"/>
          <w:color w:val="000000"/>
          <w:lang w:val="fr-CH"/>
        </w:rPr>
        <w:t>africaine</w:t>
      </w:r>
      <w:proofErr w:type="gramEnd"/>
      <w:r w:rsidRPr="00E73C16">
        <w:rPr>
          <w:rFonts w:cs="Arial"/>
          <w:color w:val="000000"/>
          <w:lang w:val="fr-CH"/>
        </w:rPr>
        <w:t xml:space="preserve"> de la propriété intellectuelle (OAPI), Yaoundé (e-mail: </w:t>
      </w:r>
      <w:r w:rsidRPr="00D539E8">
        <w:rPr>
          <w:rFonts w:cs="Arial"/>
          <w:lang w:val="fr-CH"/>
        </w:rPr>
        <w:t>were_regine@yahoo.fr</w:t>
      </w:r>
      <w:r w:rsidRPr="00E73C16">
        <w:rPr>
          <w:rFonts w:cs="Arial"/>
          <w:lang w:val="fr-CH"/>
        </w:rPr>
        <w:t>)</w:t>
      </w:r>
    </w:p>
    <w:p w:rsidR="00D539E8" w:rsidRPr="00E73C16" w:rsidRDefault="00D539E8" w:rsidP="00FA1497">
      <w:pPr>
        <w:keepNext/>
        <w:widowControl w:val="0"/>
        <w:tabs>
          <w:tab w:val="left" w:pos="90"/>
        </w:tabs>
        <w:autoSpaceDE w:val="0"/>
        <w:autoSpaceDN w:val="0"/>
        <w:rPr>
          <w:rFonts w:cs="Arial"/>
          <w:color w:val="000000"/>
          <w:lang w:val="fr-CH"/>
        </w:rPr>
      </w:pPr>
    </w:p>
    <w:p w:rsidR="00D539E8" w:rsidRPr="00E73C16" w:rsidRDefault="00D539E8" w:rsidP="00AC0DE9">
      <w:pPr>
        <w:widowControl w:val="0"/>
        <w:tabs>
          <w:tab w:val="left" w:pos="90"/>
        </w:tabs>
        <w:autoSpaceDE w:val="0"/>
        <w:autoSpaceDN w:val="0"/>
        <w:rPr>
          <w:rFonts w:cs="Arial"/>
          <w:color w:val="000000"/>
          <w:u w:val="single"/>
          <w:lang w:val="es-ES"/>
        </w:rPr>
      </w:pPr>
      <w:r w:rsidRPr="00E73C16">
        <w:rPr>
          <w:rFonts w:cs="Arial"/>
          <w:color w:val="000000"/>
          <w:u w:val="single"/>
          <w:lang w:val="es-ES"/>
        </w:rPr>
        <w:t>PARAGUAY / PARAGUAY / PARAGUAY / PARAGUAY</w:t>
      </w:r>
    </w:p>
    <w:p w:rsidR="00D539E8" w:rsidRPr="00E73C16" w:rsidRDefault="00D539E8" w:rsidP="00AC0DE9">
      <w:pPr>
        <w:widowControl w:val="0"/>
        <w:tabs>
          <w:tab w:val="left" w:pos="90"/>
        </w:tabs>
        <w:autoSpaceDE w:val="0"/>
        <w:autoSpaceDN w:val="0"/>
        <w:rPr>
          <w:rFonts w:cs="Arial"/>
          <w:color w:val="000000"/>
          <w:u w:val="single"/>
          <w:lang w:val="es-ES"/>
        </w:rPr>
      </w:pPr>
    </w:p>
    <w:p w:rsidR="00D539E8" w:rsidRPr="00E73C16" w:rsidRDefault="00D539E8" w:rsidP="00267BED">
      <w:pPr>
        <w:widowControl w:val="0"/>
        <w:tabs>
          <w:tab w:val="left" w:pos="90"/>
        </w:tabs>
        <w:autoSpaceDE w:val="0"/>
        <w:autoSpaceDN w:val="0"/>
        <w:rPr>
          <w:rFonts w:cs="Arial"/>
          <w:color w:val="000000"/>
          <w:u w:val="single"/>
          <w:lang w:val="es-ES"/>
        </w:rPr>
      </w:pPr>
      <w:r w:rsidRPr="00E73C16">
        <w:rPr>
          <w:rFonts w:cs="Arial"/>
          <w:color w:val="000000"/>
          <w:lang w:val="es-ES"/>
        </w:rPr>
        <w:t>Regis MERELES MACIEL, Presidente, Servicio Nacional de Calidad y Sanidad Vegetal y de Semillas (SENAVE) (e-mail: regis.mereles@senave.gov.py)</w:t>
      </w:r>
    </w:p>
    <w:p w:rsidR="00D539E8" w:rsidRPr="00E73C16" w:rsidRDefault="00D539E8" w:rsidP="00267BED">
      <w:pPr>
        <w:widowControl w:val="0"/>
        <w:tabs>
          <w:tab w:val="left" w:pos="90"/>
        </w:tabs>
        <w:autoSpaceDE w:val="0"/>
        <w:autoSpaceDN w:val="0"/>
        <w:rPr>
          <w:rFonts w:cs="Arial"/>
          <w:color w:val="000000"/>
          <w:u w:val="single"/>
          <w:lang w:val="es-ES"/>
        </w:rPr>
      </w:pPr>
    </w:p>
    <w:p w:rsidR="00D539E8" w:rsidRPr="00E73C16" w:rsidRDefault="00D539E8" w:rsidP="00EC749E">
      <w:pPr>
        <w:keepLines/>
        <w:widowControl w:val="0"/>
        <w:tabs>
          <w:tab w:val="left" w:pos="90"/>
        </w:tabs>
        <w:autoSpaceDE w:val="0"/>
        <w:autoSpaceDN w:val="0"/>
        <w:rPr>
          <w:rFonts w:cs="Arial"/>
          <w:color w:val="000000"/>
          <w:lang w:val="es-ES"/>
        </w:rPr>
      </w:pPr>
      <w:r w:rsidRPr="00E73C16">
        <w:rPr>
          <w:rFonts w:cs="Arial"/>
          <w:color w:val="000000"/>
          <w:lang w:val="es-ES"/>
        </w:rPr>
        <w:t>Sr. Enrique ROJAS MACEDO, Director General, Dirección General de Asuntos Jurídicos Servicio Nacional de Calidad y Sanidad Vegetal y de Semillas (SENAVE), (e-mail: enrique.macedo@senave.gov.py</w:t>
      </w:r>
      <w:r>
        <w:rPr>
          <w:rFonts w:cs="Arial"/>
          <w:color w:val="000000"/>
          <w:lang w:val="es-ES"/>
        </w:rPr>
        <w:t>)</w:t>
      </w:r>
    </w:p>
    <w:p w:rsidR="00D539E8" w:rsidRPr="00E73C16" w:rsidRDefault="00D539E8" w:rsidP="00AC0DE9">
      <w:pPr>
        <w:widowControl w:val="0"/>
        <w:tabs>
          <w:tab w:val="left" w:pos="90"/>
        </w:tabs>
        <w:autoSpaceDE w:val="0"/>
        <w:autoSpaceDN w:val="0"/>
        <w:rPr>
          <w:rFonts w:cs="Arial"/>
          <w:color w:val="000000"/>
          <w:lang w:val="es-ES"/>
        </w:rPr>
      </w:pPr>
    </w:p>
    <w:p w:rsidR="00D539E8" w:rsidRPr="00E73C16" w:rsidRDefault="00D539E8" w:rsidP="007D1918">
      <w:pPr>
        <w:keepNext/>
        <w:widowControl w:val="0"/>
        <w:tabs>
          <w:tab w:val="left" w:pos="90"/>
        </w:tabs>
        <w:autoSpaceDE w:val="0"/>
        <w:autoSpaceDN w:val="0"/>
        <w:rPr>
          <w:rFonts w:cs="Arial"/>
          <w:color w:val="000000"/>
          <w:u w:val="single"/>
          <w:lang w:val="fr-CH"/>
        </w:rPr>
      </w:pPr>
      <w:r w:rsidRPr="00E73C16">
        <w:rPr>
          <w:rFonts w:cs="Arial"/>
          <w:color w:val="000000"/>
          <w:u w:val="single"/>
          <w:lang w:val="fr-CH"/>
        </w:rPr>
        <w:t>PAYS-BAS / NETHERLANDS / NIEDERLANDE / PAÍSES BAJOS</w:t>
      </w:r>
    </w:p>
    <w:p w:rsidR="00D539E8" w:rsidRPr="00E73C16" w:rsidRDefault="00D539E8" w:rsidP="007D1918">
      <w:pPr>
        <w:keepNext/>
        <w:widowControl w:val="0"/>
        <w:tabs>
          <w:tab w:val="left" w:pos="90"/>
        </w:tabs>
        <w:autoSpaceDE w:val="0"/>
        <w:autoSpaceDN w:val="0"/>
        <w:rPr>
          <w:rFonts w:cs="Arial"/>
          <w:color w:val="000000"/>
          <w:u w:val="single"/>
          <w:lang w:val="fr-CH"/>
        </w:rPr>
      </w:pPr>
    </w:p>
    <w:p w:rsidR="00D539E8" w:rsidRPr="00AC0DE9" w:rsidRDefault="00D539E8" w:rsidP="007D1918">
      <w:pPr>
        <w:keepNext/>
        <w:widowControl w:val="0"/>
        <w:tabs>
          <w:tab w:val="left" w:pos="90"/>
        </w:tabs>
        <w:autoSpaceDE w:val="0"/>
        <w:autoSpaceDN w:val="0"/>
        <w:rPr>
          <w:rFonts w:cs="Arial"/>
          <w:color w:val="000000"/>
        </w:rPr>
      </w:pPr>
      <w:r w:rsidRPr="00AC0DE9">
        <w:rPr>
          <w:rFonts w:cs="Arial"/>
          <w:color w:val="000000"/>
        </w:rPr>
        <w:t>Kees Jan GROENEWOUD, Secretary, Plant Variety Board (</w:t>
      </w:r>
      <w:proofErr w:type="spellStart"/>
      <w:r w:rsidRPr="00AC0DE9">
        <w:rPr>
          <w:rFonts w:cs="Arial"/>
          <w:color w:val="000000"/>
        </w:rPr>
        <w:t>Raad</w:t>
      </w:r>
      <w:proofErr w:type="spellEnd"/>
      <w:r w:rsidRPr="00AC0DE9">
        <w:rPr>
          <w:rFonts w:cs="Arial"/>
          <w:color w:val="000000"/>
        </w:rPr>
        <w:t xml:space="preserve"> </w:t>
      </w:r>
      <w:proofErr w:type="spellStart"/>
      <w:r w:rsidRPr="00AC0DE9">
        <w:rPr>
          <w:rFonts w:cs="Arial"/>
          <w:color w:val="000000"/>
        </w:rPr>
        <w:t>voor</w:t>
      </w:r>
      <w:proofErr w:type="spellEnd"/>
      <w:r w:rsidRPr="00AC0DE9">
        <w:rPr>
          <w:rFonts w:cs="Arial"/>
          <w:color w:val="000000"/>
        </w:rPr>
        <w:t xml:space="preserve"> </w:t>
      </w:r>
      <w:proofErr w:type="spellStart"/>
      <w:r w:rsidRPr="00AC0DE9">
        <w:rPr>
          <w:rFonts w:cs="Arial"/>
          <w:color w:val="000000"/>
        </w:rPr>
        <w:t>Plantenrassen</w:t>
      </w:r>
      <w:proofErr w:type="spellEnd"/>
      <w:r w:rsidRPr="00AC0DE9">
        <w:rPr>
          <w:rFonts w:cs="Arial"/>
          <w:color w:val="000000"/>
        </w:rPr>
        <w:t xml:space="preserve">), </w:t>
      </w:r>
      <w:proofErr w:type="spellStart"/>
      <w:r w:rsidRPr="00AC0DE9">
        <w:rPr>
          <w:rFonts w:cs="Arial"/>
          <w:color w:val="000000"/>
        </w:rPr>
        <w:t>Naktuinbouw</w:t>
      </w:r>
      <w:proofErr w:type="spellEnd"/>
      <w:r w:rsidRPr="00AC0DE9">
        <w:rPr>
          <w:rFonts w:cs="Arial"/>
          <w:color w:val="000000"/>
        </w:rPr>
        <w:t xml:space="preserve">, </w:t>
      </w:r>
      <w:proofErr w:type="spellStart"/>
      <w:proofErr w:type="gramStart"/>
      <w:r w:rsidRPr="00AC0DE9">
        <w:rPr>
          <w:rFonts w:cs="Arial"/>
          <w:color w:val="000000"/>
        </w:rPr>
        <w:t>Roelofarendsveen</w:t>
      </w:r>
      <w:proofErr w:type="spellEnd"/>
      <w:proofErr w:type="gramEnd"/>
      <w:r w:rsidRPr="00AC0DE9">
        <w:rPr>
          <w:rFonts w:cs="Arial"/>
          <w:color w:val="000000"/>
        </w:rPr>
        <w:t xml:space="preserve"> (e-mail: c.j.a.groenewoud@naktuinbouw.nl)  </w:t>
      </w:r>
    </w:p>
    <w:p w:rsidR="00D539E8" w:rsidRDefault="00D539E8" w:rsidP="006508BF">
      <w:pPr>
        <w:widowControl w:val="0"/>
        <w:tabs>
          <w:tab w:val="left" w:pos="90"/>
        </w:tabs>
        <w:autoSpaceDE w:val="0"/>
        <w:autoSpaceDN w:val="0"/>
        <w:adjustRightInd w:val="0"/>
        <w:rPr>
          <w:rFonts w:cs="Arial"/>
          <w:color w:val="000000"/>
        </w:rPr>
      </w:pPr>
    </w:p>
    <w:p w:rsidR="00D539E8" w:rsidRDefault="00D539E8" w:rsidP="006508BF">
      <w:pPr>
        <w:widowControl w:val="0"/>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D539E8" w:rsidRPr="00AC0DE9" w:rsidRDefault="00D539E8" w:rsidP="00AC0DE9">
      <w:pPr>
        <w:widowControl w:val="0"/>
        <w:tabs>
          <w:tab w:val="left" w:pos="90"/>
        </w:tabs>
        <w:autoSpaceDE w:val="0"/>
        <w:autoSpaceDN w:val="0"/>
        <w:rPr>
          <w:rFonts w:cs="Arial"/>
          <w:color w:val="000000"/>
        </w:rPr>
      </w:pPr>
    </w:p>
    <w:p w:rsidR="00D539E8" w:rsidRDefault="00D539E8" w:rsidP="006A7061">
      <w:pPr>
        <w:keepNext/>
        <w:keepLines/>
        <w:widowControl w:val="0"/>
        <w:tabs>
          <w:tab w:val="left" w:pos="90"/>
        </w:tabs>
        <w:autoSpaceDE w:val="0"/>
        <w:autoSpaceDN w:val="0"/>
        <w:rPr>
          <w:rFonts w:cs="Arial"/>
          <w:color w:val="000000"/>
        </w:rPr>
      </w:pPr>
      <w:r w:rsidRPr="00AC0DE9">
        <w:rPr>
          <w:rFonts w:cs="Arial"/>
          <w:color w:val="000000"/>
        </w:rPr>
        <w:t xml:space="preserve">Kees VAN ETTEKOVEN, Head of Variety Testing Department, </w:t>
      </w:r>
      <w:proofErr w:type="spellStart"/>
      <w:r w:rsidRPr="00AC0DE9">
        <w:rPr>
          <w:rFonts w:cs="Arial"/>
          <w:color w:val="000000"/>
        </w:rPr>
        <w:t>Naktuinbouw</w:t>
      </w:r>
      <w:proofErr w:type="spellEnd"/>
      <w:r w:rsidRPr="00AC0DE9">
        <w:rPr>
          <w:rFonts w:cs="Arial"/>
          <w:color w:val="000000"/>
        </w:rPr>
        <w:t xml:space="preserve"> NL, </w:t>
      </w:r>
      <w:proofErr w:type="spellStart"/>
      <w:r w:rsidRPr="00AC0DE9">
        <w:rPr>
          <w:rFonts w:cs="Arial"/>
          <w:color w:val="000000"/>
        </w:rPr>
        <w:t>Roelofarendsveen</w:t>
      </w:r>
      <w:proofErr w:type="spellEnd"/>
      <w:r w:rsidRPr="00AC0DE9">
        <w:rPr>
          <w:rFonts w:cs="Arial"/>
          <w:color w:val="000000"/>
        </w:rPr>
        <w:t xml:space="preserve"> </w:t>
      </w:r>
    </w:p>
    <w:p w:rsidR="00D539E8" w:rsidRPr="00E73C16" w:rsidRDefault="00D539E8" w:rsidP="00AC0DE9">
      <w:pPr>
        <w:widowControl w:val="0"/>
        <w:tabs>
          <w:tab w:val="left" w:pos="90"/>
        </w:tabs>
        <w:autoSpaceDE w:val="0"/>
        <w:autoSpaceDN w:val="0"/>
        <w:rPr>
          <w:rFonts w:cs="Arial"/>
          <w:color w:val="000000"/>
          <w:lang w:val="fr-CH"/>
        </w:rPr>
      </w:pPr>
      <w:r w:rsidRPr="00E73C16">
        <w:rPr>
          <w:rFonts w:cs="Arial"/>
          <w:color w:val="000000"/>
          <w:lang w:val="fr-CH"/>
        </w:rPr>
        <w:t>(</w:t>
      </w:r>
      <w:proofErr w:type="gramStart"/>
      <w:r w:rsidRPr="00E73C16">
        <w:rPr>
          <w:rFonts w:cs="Arial"/>
          <w:color w:val="000000"/>
          <w:lang w:val="fr-CH"/>
        </w:rPr>
        <w:t>e-mail</w:t>
      </w:r>
      <w:proofErr w:type="gramEnd"/>
      <w:r w:rsidRPr="00E73C16">
        <w:rPr>
          <w:rFonts w:cs="Arial"/>
          <w:color w:val="000000"/>
          <w:lang w:val="fr-CH"/>
        </w:rPr>
        <w:t xml:space="preserve">: c.v.ettekoven@naktuinbouw.nl)  </w:t>
      </w:r>
    </w:p>
    <w:p w:rsidR="00D539E8" w:rsidRPr="00E73C16" w:rsidRDefault="00D539E8" w:rsidP="00AC0DE9">
      <w:pPr>
        <w:widowControl w:val="0"/>
        <w:tabs>
          <w:tab w:val="left" w:pos="90"/>
        </w:tabs>
        <w:autoSpaceDE w:val="0"/>
        <w:autoSpaceDN w:val="0"/>
        <w:rPr>
          <w:rFonts w:cs="Arial"/>
          <w:color w:val="000000"/>
          <w:lang w:val="fr-CH"/>
        </w:rPr>
      </w:pPr>
    </w:p>
    <w:p w:rsidR="00D539E8" w:rsidRPr="00E73C16" w:rsidRDefault="00D539E8" w:rsidP="00AC0DE9">
      <w:pPr>
        <w:widowControl w:val="0"/>
        <w:tabs>
          <w:tab w:val="left" w:pos="90"/>
        </w:tabs>
        <w:autoSpaceDE w:val="0"/>
        <w:autoSpaceDN w:val="0"/>
        <w:rPr>
          <w:rFonts w:cs="Arial"/>
          <w:color w:val="000000"/>
          <w:u w:val="single"/>
          <w:lang w:val="fr-CH"/>
        </w:rPr>
      </w:pPr>
      <w:r w:rsidRPr="00E73C16">
        <w:rPr>
          <w:rFonts w:cs="Arial"/>
          <w:color w:val="000000"/>
          <w:u w:val="single"/>
          <w:lang w:val="fr-CH"/>
        </w:rPr>
        <w:t>POLOGNE / POLAND / POLEN / POLONIA</w:t>
      </w:r>
    </w:p>
    <w:p w:rsidR="00D539E8" w:rsidRPr="00E73C16" w:rsidRDefault="00D539E8" w:rsidP="00AC0DE9">
      <w:pPr>
        <w:widowControl w:val="0"/>
        <w:tabs>
          <w:tab w:val="left" w:pos="90"/>
        </w:tabs>
        <w:autoSpaceDE w:val="0"/>
        <w:autoSpaceDN w:val="0"/>
        <w:rPr>
          <w:rFonts w:cs="Arial"/>
          <w:color w:val="000000"/>
          <w:u w:val="single"/>
          <w:lang w:val="fr-CH"/>
        </w:rPr>
      </w:pPr>
    </w:p>
    <w:p w:rsidR="00D539E8" w:rsidRDefault="00D539E8" w:rsidP="00AC0DE9">
      <w:pPr>
        <w:widowControl w:val="0"/>
        <w:tabs>
          <w:tab w:val="left" w:pos="90"/>
        </w:tabs>
        <w:autoSpaceDE w:val="0"/>
        <w:autoSpaceDN w:val="0"/>
        <w:rPr>
          <w:rFonts w:cs="Arial"/>
          <w:color w:val="000000"/>
        </w:rPr>
      </w:pPr>
      <w:r w:rsidRPr="00AC0DE9">
        <w:rPr>
          <w:rFonts w:cs="Arial"/>
          <w:color w:val="000000"/>
        </w:rPr>
        <w:t xml:space="preserve">Marcin BEHNKE, Deputy Director General for Experimental Affairs, Research Centre for Cultivar Testing (COBORU), </w:t>
      </w:r>
      <w:proofErr w:type="spellStart"/>
      <w:r w:rsidRPr="00AC0DE9">
        <w:rPr>
          <w:rFonts w:cs="Arial"/>
          <w:color w:val="000000"/>
        </w:rPr>
        <w:t>Slupia</w:t>
      </w:r>
      <w:proofErr w:type="spellEnd"/>
      <w:r w:rsidRPr="00AC0DE9">
        <w:rPr>
          <w:rFonts w:cs="Arial"/>
          <w:color w:val="000000"/>
        </w:rPr>
        <w:t xml:space="preserve"> </w:t>
      </w:r>
      <w:proofErr w:type="spellStart"/>
      <w:r w:rsidRPr="00AC0DE9">
        <w:rPr>
          <w:rFonts w:cs="Arial"/>
          <w:color w:val="000000"/>
        </w:rPr>
        <w:t>Wielka</w:t>
      </w:r>
      <w:proofErr w:type="spellEnd"/>
      <w:r w:rsidRPr="00AC0DE9">
        <w:rPr>
          <w:rFonts w:cs="Arial"/>
          <w:color w:val="000000"/>
        </w:rPr>
        <w:t xml:space="preserve"> (e-mail: m.behnke@coboru.pl)  </w:t>
      </w: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proofErr w:type="spellStart"/>
      <w:r w:rsidRPr="00AC0DE9">
        <w:rPr>
          <w:rFonts w:cs="Arial"/>
          <w:color w:val="000000"/>
        </w:rPr>
        <w:t>Alicja</w:t>
      </w:r>
      <w:proofErr w:type="spellEnd"/>
      <w:r w:rsidRPr="00AC0DE9">
        <w:rPr>
          <w:rFonts w:cs="Arial"/>
          <w:color w:val="000000"/>
        </w:rPr>
        <w:t xml:space="preserve"> RUTKOWSKA (Mrs.), Head, National Listing and Plant Breeders' Rights Protection Office, The Research Centre for Cultivar Testing (COBORU), </w:t>
      </w:r>
      <w:proofErr w:type="spellStart"/>
      <w:r w:rsidRPr="00AC0DE9">
        <w:rPr>
          <w:rFonts w:cs="Arial"/>
          <w:color w:val="000000"/>
        </w:rPr>
        <w:t>Slupia</w:t>
      </w:r>
      <w:proofErr w:type="spellEnd"/>
      <w:r w:rsidRPr="00AC0DE9">
        <w:rPr>
          <w:rFonts w:cs="Arial"/>
          <w:color w:val="000000"/>
        </w:rPr>
        <w:t xml:space="preserve"> </w:t>
      </w:r>
      <w:proofErr w:type="spellStart"/>
      <w:r w:rsidRPr="00AC0DE9">
        <w:rPr>
          <w:rFonts w:cs="Arial"/>
          <w:color w:val="000000"/>
        </w:rPr>
        <w:t>Wielka</w:t>
      </w:r>
      <w:proofErr w:type="spellEnd"/>
      <w:r w:rsidRPr="00AC0DE9">
        <w:rPr>
          <w:rFonts w:cs="Arial"/>
          <w:color w:val="000000"/>
        </w:rPr>
        <w:t xml:space="preserve"> (e-mail: a.rutkowska@coboru.pl)  </w:t>
      </w: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u w:val="single"/>
        </w:rPr>
      </w:pPr>
      <w:r w:rsidRPr="00AC0DE9">
        <w:rPr>
          <w:rFonts w:cs="Arial"/>
          <w:color w:val="000000"/>
          <w:u w:val="single"/>
        </w:rPr>
        <w:t>RÉPUBLIQUE DE CORÉE / REPUBLIC OF KOREA / REPUBLIK KOREA / REPÚBLICA DE COREA</w:t>
      </w:r>
    </w:p>
    <w:p w:rsidR="00D539E8" w:rsidRPr="00AC0DE9" w:rsidRDefault="00D539E8" w:rsidP="00AC0DE9">
      <w:pPr>
        <w:widowControl w:val="0"/>
        <w:tabs>
          <w:tab w:val="left" w:pos="90"/>
        </w:tabs>
        <w:autoSpaceDE w:val="0"/>
        <w:autoSpaceDN w:val="0"/>
        <w:rPr>
          <w:rFonts w:cs="Arial"/>
          <w:color w:val="000000"/>
          <w:u w:val="single"/>
        </w:rPr>
      </w:pPr>
    </w:p>
    <w:p w:rsidR="00D539E8" w:rsidRDefault="00D539E8" w:rsidP="00AC0DE9">
      <w:pPr>
        <w:widowControl w:val="0"/>
        <w:tabs>
          <w:tab w:val="left" w:pos="90"/>
        </w:tabs>
        <w:autoSpaceDE w:val="0"/>
        <w:autoSpaceDN w:val="0"/>
        <w:rPr>
          <w:rFonts w:cs="Arial"/>
          <w:color w:val="000000"/>
        </w:rPr>
      </w:pPr>
      <w:proofErr w:type="spellStart"/>
      <w:r w:rsidRPr="00AC0DE9">
        <w:rPr>
          <w:rFonts w:cs="Arial"/>
          <w:color w:val="000000"/>
        </w:rPr>
        <w:t>Seung</w:t>
      </w:r>
      <w:proofErr w:type="spellEnd"/>
      <w:r w:rsidRPr="00AC0DE9">
        <w:rPr>
          <w:rFonts w:cs="Arial"/>
          <w:color w:val="000000"/>
        </w:rPr>
        <w:t xml:space="preserve">-In YI, Deputy Head, Plant Variety Protection Division, Korea Seed &amp; Variety Service (KSVS), </w:t>
      </w:r>
      <w:proofErr w:type="spellStart"/>
      <w:r w:rsidRPr="00AC0DE9">
        <w:rPr>
          <w:rFonts w:cs="Arial"/>
          <w:color w:val="000000"/>
        </w:rPr>
        <w:t>Gyeongsangbuk</w:t>
      </w:r>
      <w:proofErr w:type="spellEnd"/>
      <w:r w:rsidRPr="00AC0DE9">
        <w:rPr>
          <w:rFonts w:cs="Arial"/>
          <w:color w:val="000000"/>
        </w:rPr>
        <w:t>-Do (e-mail: seedin@korea.kr)</w:t>
      </w:r>
    </w:p>
    <w:p w:rsidR="00D539E8"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proofErr w:type="spellStart"/>
      <w:r w:rsidRPr="00AC0DE9">
        <w:rPr>
          <w:rFonts w:cs="Arial"/>
          <w:color w:val="000000"/>
        </w:rPr>
        <w:t>Kwang</w:t>
      </w:r>
      <w:proofErr w:type="spellEnd"/>
      <w:r w:rsidRPr="00AC0DE9">
        <w:rPr>
          <w:rFonts w:cs="Arial"/>
          <w:color w:val="000000"/>
        </w:rPr>
        <w:t xml:space="preserve">-Hong LEE, Agricultural Researcher, Korea Seed and Variety Service (KSVS), </w:t>
      </w:r>
      <w:proofErr w:type="spellStart"/>
      <w:r w:rsidRPr="00AC0DE9">
        <w:rPr>
          <w:rFonts w:cs="Arial"/>
          <w:color w:val="000000"/>
        </w:rPr>
        <w:t>Gyeongsangnam</w:t>
      </w:r>
      <w:proofErr w:type="spellEnd"/>
      <w:r w:rsidRPr="00AC0DE9">
        <w:rPr>
          <w:rFonts w:cs="Arial"/>
          <w:color w:val="000000"/>
        </w:rPr>
        <w:t xml:space="preserve">-Do (e-mail: grin@korea.kr)  </w:t>
      </w:r>
    </w:p>
    <w:p w:rsidR="00D539E8" w:rsidRPr="00AC0DE9" w:rsidRDefault="00D539E8" w:rsidP="00AC0DE9">
      <w:pPr>
        <w:widowControl w:val="0"/>
        <w:tabs>
          <w:tab w:val="left" w:pos="90"/>
        </w:tabs>
        <w:autoSpaceDE w:val="0"/>
        <w:autoSpaceDN w:val="0"/>
        <w:rPr>
          <w:rFonts w:cs="Arial"/>
          <w:color w:val="000000"/>
        </w:rPr>
      </w:pPr>
    </w:p>
    <w:p w:rsidR="00D539E8" w:rsidRPr="00E73C16" w:rsidRDefault="00D539E8" w:rsidP="002E7701">
      <w:pPr>
        <w:keepNext/>
        <w:widowControl w:val="0"/>
        <w:tabs>
          <w:tab w:val="left" w:pos="90"/>
        </w:tabs>
        <w:autoSpaceDE w:val="0"/>
        <w:autoSpaceDN w:val="0"/>
        <w:rPr>
          <w:rFonts w:cs="Arial"/>
          <w:color w:val="000000"/>
          <w:u w:val="single"/>
          <w:lang w:val="es-ES"/>
        </w:rPr>
      </w:pPr>
      <w:r w:rsidRPr="00E73C16">
        <w:rPr>
          <w:rFonts w:cs="Arial"/>
          <w:color w:val="000000"/>
          <w:u w:val="single"/>
          <w:lang w:val="es-ES"/>
        </w:rPr>
        <w:t xml:space="preserve">RÉPUBLIQUE DE MOLDOVA / REPUBLIC OF MOLDOVA / REPUBLIK MOLDAU / </w:t>
      </w:r>
    </w:p>
    <w:p w:rsidR="00D539E8" w:rsidRPr="00E73C16" w:rsidRDefault="00D539E8" w:rsidP="002E7701">
      <w:pPr>
        <w:keepNext/>
        <w:widowControl w:val="0"/>
        <w:tabs>
          <w:tab w:val="left" w:pos="90"/>
        </w:tabs>
        <w:autoSpaceDE w:val="0"/>
        <w:autoSpaceDN w:val="0"/>
        <w:rPr>
          <w:rFonts w:cs="Arial"/>
          <w:color w:val="000000"/>
          <w:u w:val="single"/>
          <w:lang w:val="es-ES"/>
        </w:rPr>
      </w:pPr>
      <w:r w:rsidRPr="00E73C16">
        <w:rPr>
          <w:rFonts w:cs="Arial"/>
          <w:color w:val="000000"/>
          <w:u w:val="single"/>
          <w:lang w:val="es-ES"/>
        </w:rPr>
        <w:t>REPÚBLICA DE MOLDOVA</w:t>
      </w:r>
    </w:p>
    <w:p w:rsidR="00D539E8" w:rsidRPr="00E73C16" w:rsidRDefault="00D539E8" w:rsidP="002E7701">
      <w:pPr>
        <w:keepNext/>
        <w:widowControl w:val="0"/>
        <w:tabs>
          <w:tab w:val="left" w:pos="90"/>
        </w:tabs>
        <w:autoSpaceDE w:val="0"/>
        <w:autoSpaceDN w:val="0"/>
        <w:rPr>
          <w:rFonts w:cs="Arial"/>
          <w:color w:val="000000"/>
          <w:u w:val="single"/>
          <w:lang w:val="es-ES"/>
        </w:rPr>
      </w:pPr>
    </w:p>
    <w:p w:rsidR="00D539E8" w:rsidRDefault="00D539E8" w:rsidP="002E7701">
      <w:pPr>
        <w:keepNext/>
        <w:widowControl w:val="0"/>
        <w:tabs>
          <w:tab w:val="left" w:pos="90"/>
        </w:tabs>
        <w:autoSpaceDE w:val="0"/>
        <w:autoSpaceDN w:val="0"/>
        <w:rPr>
          <w:rFonts w:cs="Arial"/>
          <w:color w:val="000000"/>
        </w:rPr>
      </w:pPr>
      <w:proofErr w:type="spellStart"/>
      <w:r w:rsidRPr="00AC0DE9">
        <w:rPr>
          <w:rFonts w:cs="Arial"/>
          <w:color w:val="000000"/>
        </w:rPr>
        <w:t>Mihail</w:t>
      </w:r>
      <w:proofErr w:type="spellEnd"/>
      <w:r w:rsidRPr="00AC0DE9">
        <w:rPr>
          <w:rFonts w:cs="Arial"/>
          <w:color w:val="000000"/>
        </w:rPr>
        <w:t xml:space="preserve"> MACHIDON, Chairman, State Commission for Crops Variety Testing and Registration (SCCVTR), </w:t>
      </w:r>
      <w:proofErr w:type="gramStart"/>
      <w:r w:rsidRPr="00AC0DE9">
        <w:rPr>
          <w:rFonts w:cs="Arial"/>
          <w:color w:val="000000"/>
        </w:rPr>
        <w:t>Chisinau</w:t>
      </w:r>
      <w:proofErr w:type="gramEnd"/>
      <w:r w:rsidRPr="00AC0DE9">
        <w:rPr>
          <w:rFonts w:cs="Arial"/>
          <w:color w:val="000000"/>
        </w:rPr>
        <w:t xml:space="preserve"> (e-mail: info@cstsp.md)  </w:t>
      </w:r>
    </w:p>
    <w:p w:rsidR="00D539E8" w:rsidRPr="00AC0DE9" w:rsidRDefault="00D539E8" w:rsidP="00AC0DE9">
      <w:pPr>
        <w:widowControl w:val="0"/>
        <w:tabs>
          <w:tab w:val="left" w:pos="90"/>
        </w:tabs>
        <w:autoSpaceDE w:val="0"/>
        <w:autoSpaceDN w:val="0"/>
        <w:rPr>
          <w:rFonts w:cs="Arial"/>
          <w:color w:val="000000"/>
        </w:rPr>
      </w:pPr>
    </w:p>
    <w:p w:rsidR="00D539E8" w:rsidRDefault="00D539E8" w:rsidP="008768C3">
      <w:pPr>
        <w:keepNext/>
        <w:widowControl w:val="0"/>
        <w:tabs>
          <w:tab w:val="left" w:pos="90"/>
        </w:tabs>
        <w:autoSpaceDE w:val="0"/>
        <w:autoSpaceDN w:val="0"/>
        <w:rPr>
          <w:rFonts w:cs="Arial"/>
          <w:color w:val="000000"/>
          <w:u w:val="single"/>
        </w:rPr>
      </w:pPr>
      <w:r w:rsidRPr="00AC0DE9">
        <w:rPr>
          <w:rFonts w:cs="Arial"/>
          <w:color w:val="000000"/>
          <w:u w:val="single"/>
        </w:rPr>
        <w:t>ROUMANIE / ROMANIA / RUMÄNIEN / RUMANIA</w:t>
      </w:r>
    </w:p>
    <w:p w:rsidR="00D539E8" w:rsidRPr="00AC0DE9" w:rsidRDefault="00D539E8" w:rsidP="008768C3">
      <w:pPr>
        <w:keepNext/>
        <w:widowControl w:val="0"/>
        <w:tabs>
          <w:tab w:val="left" w:pos="90"/>
        </w:tabs>
        <w:autoSpaceDE w:val="0"/>
        <w:autoSpaceDN w:val="0"/>
        <w:rPr>
          <w:rFonts w:cs="Arial"/>
          <w:color w:val="000000"/>
          <w:u w:val="single"/>
        </w:rPr>
      </w:pPr>
    </w:p>
    <w:p w:rsidR="00D539E8" w:rsidRDefault="00D539E8" w:rsidP="008768C3">
      <w:pPr>
        <w:keepNext/>
        <w:widowControl w:val="0"/>
        <w:tabs>
          <w:tab w:val="left" w:pos="90"/>
        </w:tabs>
        <w:autoSpaceDE w:val="0"/>
        <w:autoSpaceDN w:val="0"/>
        <w:rPr>
          <w:rFonts w:cs="Arial"/>
          <w:color w:val="000000"/>
        </w:rPr>
      </w:pPr>
      <w:proofErr w:type="spellStart"/>
      <w:r w:rsidRPr="00AC0DE9">
        <w:rPr>
          <w:rFonts w:cs="Arial"/>
          <w:color w:val="000000"/>
        </w:rPr>
        <w:t>Mihaela-Rodica</w:t>
      </w:r>
      <w:proofErr w:type="spellEnd"/>
      <w:r w:rsidRPr="00AC0DE9">
        <w:rPr>
          <w:rFonts w:cs="Arial"/>
          <w:color w:val="000000"/>
        </w:rPr>
        <w:t xml:space="preserve"> CIORA (Mrs.), Senior Expert, State Institute for Variety Testing and Registration (ISTIS), </w:t>
      </w:r>
      <w:proofErr w:type="spellStart"/>
      <w:r w:rsidRPr="00AC0DE9">
        <w:rPr>
          <w:rFonts w:cs="Arial"/>
          <w:color w:val="000000"/>
        </w:rPr>
        <w:t>Bucarest</w:t>
      </w:r>
      <w:proofErr w:type="spellEnd"/>
      <w:r w:rsidRPr="00AC0DE9">
        <w:rPr>
          <w:rFonts w:cs="Arial"/>
          <w:color w:val="000000"/>
        </w:rPr>
        <w:t xml:space="preserve"> (e-mail: mihaela_ciora@yahoo.com)  </w:t>
      </w:r>
    </w:p>
    <w:p w:rsidR="00D539E8" w:rsidRPr="00AC0DE9" w:rsidRDefault="00D539E8" w:rsidP="008768C3">
      <w:pPr>
        <w:keepNext/>
        <w:widowControl w:val="0"/>
        <w:tabs>
          <w:tab w:val="left" w:pos="90"/>
        </w:tabs>
        <w:autoSpaceDE w:val="0"/>
        <w:autoSpaceDN w:val="0"/>
        <w:rPr>
          <w:rFonts w:cs="Arial"/>
          <w:color w:val="000000"/>
        </w:rPr>
      </w:pPr>
    </w:p>
    <w:p w:rsidR="00D539E8" w:rsidRPr="00AC0DE9" w:rsidRDefault="00D539E8" w:rsidP="008768C3">
      <w:pPr>
        <w:keepNext/>
        <w:widowControl w:val="0"/>
        <w:tabs>
          <w:tab w:val="left" w:pos="90"/>
        </w:tabs>
        <w:autoSpaceDE w:val="0"/>
        <w:autoSpaceDN w:val="0"/>
        <w:rPr>
          <w:rFonts w:cs="Arial"/>
          <w:color w:val="000000"/>
        </w:rPr>
      </w:pPr>
      <w:r w:rsidRPr="00AC0DE9">
        <w:rPr>
          <w:rFonts w:cs="Arial"/>
          <w:color w:val="000000"/>
        </w:rPr>
        <w:t xml:space="preserve">Cristian </w:t>
      </w:r>
      <w:proofErr w:type="spellStart"/>
      <w:r w:rsidRPr="00AC0DE9">
        <w:rPr>
          <w:rFonts w:cs="Arial"/>
          <w:color w:val="000000"/>
        </w:rPr>
        <w:t>Irinel</w:t>
      </w:r>
      <w:proofErr w:type="spellEnd"/>
      <w:r w:rsidRPr="00AC0DE9">
        <w:rPr>
          <w:rFonts w:cs="Arial"/>
          <w:color w:val="000000"/>
        </w:rPr>
        <w:t xml:space="preserve"> MOCANU, Head of Legal and Administrative Department, State Institute for Variety Testing and Registration, Bucharest (e-mail: irinel_mocanu@istis.ro)  </w:t>
      </w:r>
    </w:p>
    <w:p w:rsidR="00D539E8" w:rsidRPr="00AC0DE9" w:rsidRDefault="00D539E8" w:rsidP="008768C3">
      <w:pPr>
        <w:keepNext/>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u w:val="single"/>
        </w:rPr>
      </w:pPr>
      <w:r w:rsidRPr="00AC0DE9">
        <w:rPr>
          <w:rFonts w:cs="Arial"/>
          <w:color w:val="000000"/>
          <w:u w:val="single"/>
        </w:rPr>
        <w:t>ROYAUME-UNI / UNITED KINGDOM / VEREINIGTES KÖNIGREICH / REINO UNIDO</w:t>
      </w:r>
    </w:p>
    <w:p w:rsidR="00D539E8" w:rsidRPr="00AC0DE9" w:rsidRDefault="00D539E8" w:rsidP="00AC0DE9">
      <w:pPr>
        <w:widowControl w:val="0"/>
        <w:tabs>
          <w:tab w:val="left" w:pos="90"/>
        </w:tabs>
        <w:autoSpaceDE w:val="0"/>
        <w:autoSpaceDN w:val="0"/>
        <w:rPr>
          <w:rFonts w:cs="Arial"/>
          <w:color w:val="000000"/>
          <w:u w:val="single"/>
        </w:rPr>
      </w:pPr>
    </w:p>
    <w:p w:rsidR="00D539E8" w:rsidRDefault="00D539E8" w:rsidP="00AC0DE9">
      <w:pPr>
        <w:widowControl w:val="0"/>
        <w:tabs>
          <w:tab w:val="left" w:pos="90"/>
        </w:tabs>
        <w:autoSpaceDE w:val="0"/>
        <w:autoSpaceDN w:val="0"/>
        <w:rPr>
          <w:rFonts w:cs="Arial"/>
          <w:color w:val="000000"/>
        </w:rPr>
      </w:pPr>
      <w:r w:rsidRPr="00AC0DE9">
        <w:rPr>
          <w:rFonts w:cs="Arial"/>
          <w:color w:val="000000"/>
        </w:rPr>
        <w:t xml:space="preserve">Andrew MITCHELL, Policy Team Leader, </w:t>
      </w:r>
      <w:proofErr w:type="gramStart"/>
      <w:r w:rsidRPr="00AC0DE9">
        <w:rPr>
          <w:rFonts w:cs="Arial"/>
          <w:color w:val="000000"/>
        </w:rPr>
        <w:t>Department</w:t>
      </w:r>
      <w:proofErr w:type="gramEnd"/>
      <w:r w:rsidRPr="00AC0DE9">
        <w:rPr>
          <w:rFonts w:cs="Arial"/>
          <w:color w:val="000000"/>
        </w:rPr>
        <w:t xml:space="preserve"> for Environment, Food and Rural Affairs (DEFRA), Cambridge (e-mail: andrew.mitchell@defra.gsi.gov.uk)  </w:t>
      </w: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u w:val="single"/>
        </w:rPr>
      </w:pPr>
      <w:r w:rsidRPr="00AC0DE9">
        <w:rPr>
          <w:rFonts w:cs="Arial"/>
          <w:color w:val="000000"/>
          <w:u w:val="single"/>
        </w:rPr>
        <w:t>SLOVAQUIE / SLOVAKIA / SLOWAKEI / ESLOVAQUIA</w:t>
      </w:r>
    </w:p>
    <w:p w:rsidR="00D539E8" w:rsidRPr="00AC0DE9" w:rsidRDefault="00D539E8" w:rsidP="00AC0DE9">
      <w:pPr>
        <w:widowControl w:val="0"/>
        <w:tabs>
          <w:tab w:val="left" w:pos="90"/>
        </w:tabs>
        <w:autoSpaceDE w:val="0"/>
        <w:autoSpaceDN w:val="0"/>
        <w:rPr>
          <w:rFonts w:cs="Arial"/>
          <w:color w:val="000000"/>
          <w:u w:val="single"/>
        </w:rPr>
      </w:pPr>
    </w:p>
    <w:p w:rsidR="00D539E8" w:rsidRDefault="00D539E8" w:rsidP="00AC0DE9">
      <w:pPr>
        <w:widowControl w:val="0"/>
        <w:tabs>
          <w:tab w:val="left" w:pos="90"/>
        </w:tabs>
        <w:autoSpaceDE w:val="0"/>
        <w:autoSpaceDN w:val="0"/>
        <w:rPr>
          <w:rFonts w:cs="Arial"/>
          <w:color w:val="000000"/>
        </w:rPr>
      </w:pPr>
      <w:proofErr w:type="spellStart"/>
      <w:r w:rsidRPr="00AC0DE9">
        <w:rPr>
          <w:rFonts w:cs="Arial"/>
          <w:color w:val="000000"/>
        </w:rPr>
        <w:t>Bronislava</w:t>
      </w:r>
      <w:proofErr w:type="spellEnd"/>
      <w:r w:rsidRPr="00AC0DE9">
        <w:rPr>
          <w:rFonts w:cs="Arial"/>
          <w:color w:val="000000"/>
        </w:rPr>
        <w:t xml:space="preserve"> BÁTOROVÁ (Mrs.), National Coordinator for the Cooperation of the Slovak Republic with UPOV/ Senior Officer, Department of Variety Testing, Central Controlling and Testing Institute in Agriculture (ÚKSÚP), Nitra (e-mail: bronislava.batorova@uksup.sk)  </w:t>
      </w: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u w:val="single"/>
        </w:rPr>
      </w:pPr>
      <w:r w:rsidRPr="00AC0DE9">
        <w:rPr>
          <w:rFonts w:cs="Arial"/>
          <w:color w:val="000000"/>
          <w:u w:val="single"/>
        </w:rPr>
        <w:t>SUÈDE / SWEDEN / SCHWEDEN / SUECIA</w:t>
      </w:r>
    </w:p>
    <w:p w:rsidR="00D539E8" w:rsidRPr="00AC0DE9" w:rsidRDefault="00D539E8" w:rsidP="00AC0DE9">
      <w:pPr>
        <w:widowControl w:val="0"/>
        <w:tabs>
          <w:tab w:val="left" w:pos="90"/>
        </w:tabs>
        <w:autoSpaceDE w:val="0"/>
        <w:autoSpaceDN w:val="0"/>
        <w:rPr>
          <w:rFonts w:cs="Arial"/>
          <w:color w:val="000000"/>
          <w:u w:val="single"/>
        </w:rPr>
      </w:pPr>
    </w:p>
    <w:p w:rsidR="00D539E8" w:rsidRPr="001331C4" w:rsidRDefault="00D539E8" w:rsidP="00AC0DE9">
      <w:pPr>
        <w:widowControl w:val="0"/>
        <w:tabs>
          <w:tab w:val="left" w:pos="90"/>
        </w:tabs>
        <w:autoSpaceDE w:val="0"/>
        <w:autoSpaceDN w:val="0"/>
        <w:rPr>
          <w:rFonts w:cs="Arial"/>
          <w:color w:val="000000"/>
        </w:rPr>
      </w:pPr>
      <w:proofErr w:type="spellStart"/>
      <w:r w:rsidRPr="001331C4">
        <w:rPr>
          <w:rFonts w:cs="Arial"/>
          <w:color w:val="000000"/>
        </w:rPr>
        <w:t>Olof</w:t>
      </w:r>
      <w:proofErr w:type="spellEnd"/>
      <w:r w:rsidRPr="001331C4">
        <w:rPr>
          <w:rFonts w:cs="Arial"/>
          <w:color w:val="000000"/>
        </w:rPr>
        <w:t xml:space="preserve"> JOHANSSON, Head, Plant and Environment Department, Swedish Board of Agriculture, Jönköping</w:t>
      </w:r>
    </w:p>
    <w:p w:rsidR="00D539E8" w:rsidRPr="00E73C16" w:rsidRDefault="00D539E8" w:rsidP="00AC0DE9">
      <w:pPr>
        <w:widowControl w:val="0"/>
        <w:tabs>
          <w:tab w:val="left" w:pos="90"/>
        </w:tabs>
        <w:autoSpaceDE w:val="0"/>
        <w:autoSpaceDN w:val="0"/>
        <w:rPr>
          <w:rFonts w:cs="Arial"/>
          <w:color w:val="000000"/>
          <w:lang w:val="fr-CH"/>
        </w:rPr>
      </w:pPr>
      <w:r w:rsidRPr="001331C4">
        <w:rPr>
          <w:rFonts w:cs="Arial"/>
          <w:color w:val="000000"/>
        </w:rPr>
        <w:t xml:space="preserve"> </w:t>
      </w:r>
      <w:r w:rsidRPr="00E73C16">
        <w:rPr>
          <w:rFonts w:cs="Arial"/>
          <w:color w:val="000000"/>
          <w:lang w:val="fr-CH"/>
        </w:rPr>
        <w:t>(</w:t>
      </w:r>
      <w:proofErr w:type="gramStart"/>
      <w:r w:rsidRPr="00E73C16">
        <w:rPr>
          <w:rFonts w:cs="Arial"/>
          <w:color w:val="000000"/>
          <w:lang w:val="fr-CH"/>
        </w:rPr>
        <w:t>e-mail</w:t>
      </w:r>
      <w:proofErr w:type="gramEnd"/>
      <w:r w:rsidRPr="00E73C16">
        <w:rPr>
          <w:rFonts w:cs="Arial"/>
          <w:color w:val="000000"/>
          <w:lang w:val="fr-CH"/>
        </w:rPr>
        <w:t xml:space="preserve">: olof.johansson@jordbruksverket.se)  </w:t>
      </w:r>
    </w:p>
    <w:p w:rsidR="00D539E8" w:rsidRPr="00E73C16" w:rsidRDefault="00D539E8" w:rsidP="00AC0DE9">
      <w:pPr>
        <w:widowControl w:val="0"/>
        <w:tabs>
          <w:tab w:val="left" w:pos="90"/>
        </w:tabs>
        <w:autoSpaceDE w:val="0"/>
        <w:autoSpaceDN w:val="0"/>
        <w:rPr>
          <w:rFonts w:cs="Arial"/>
          <w:color w:val="000000"/>
          <w:lang w:val="fr-CH"/>
        </w:rPr>
      </w:pPr>
    </w:p>
    <w:p w:rsidR="00D539E8" w:rsidRPr="00E73C16" w:rsidRDefault="00D539E8" w:rsidP="007D1918">
      <w:pPr>
        <w:keepNext/>
        <w:keepLines/>
        <w:widowControl w:val="0"/>
        <w:tabs>
          <w:tab w:val="left" w:pos="90"/>
        </w:tabs>
        <w:autoSpaceDE w:val="0"/>
        <w:autoSpaceDN w:val="0"/>
        <w:rPr>
          <w:rFonts w:cs="Arial"/>
          <w:color w:val="000000"/>
          <w:u w:val="single"/>
          <w:lang w:val="fr-CH"/>
        </w:rPr>
      </w:pPr>
      <w:r w:rsidRPr="00E73C16">
        <w:rPr>
          <w:rFonts w:cs="Arial"/>
          <w:color w:val="000000"/>
          <w:u w:val="single"/>
          <w:lang w:val="fr-CH"/>
        </w:rPr>
        <w:t>SUISSE / SWITZERLAND / SCHWEIZ / SUIZA</w:t>
      </w:r>
    </w:p>
    <w:p w:rsidR="00D539E8" w:rsidRPr="00E73C16" w:rsidRDefault="00D539E8" w:rsidP="007D1918">
      <w:pPr>
        <w:keepNext/>
        <w:keepLines/>
        <w:widowControl w:val="0"/>
        <w:tabs>
          <w:tab w:val="left" w:pos="90"/>
        </w:tabs>
        <w:autoSpaceDE w:val="0"/>
        <w:autoSpaceDN w:val="0"/>
        <w:rPr>
          <w:rFonts w:cs="Arial"/>
          <w:color w:val="000000"/>
          <w:u w:val="single"/>
          <w:lang w:val="fr-CH"/>
        </w:rPr>
      </w:pPr>
    </w:p>
    <w:p w:rsidR="00D539E8" w:rsidRPr="00E73C16" w:rsidRDefault="00D539E8" w:rsidP="007D1918">
      <w:pPr>
        <w:keepNext/>
        <w:keepLines/>
        <w:widowControl w:val="0"/>
        <w:tabs>
          <w:tab w:val="left" w:pos="90"/>
        </w:tabs>
        <w:autoSpaceDE w:val="0"/>
        <w:autoSpaceDN w:val="0"/>
        <w:rPr>
          <w:rFonts w:cs="Arial"/>
          <w:color w:val="000000"/>
          <w:lang w:val="fr-CH"/>
        </w:rPr>
      </w:pPr>
      <w:r w:rsidRPr="00E73C16">
        <w:rPr>
          <w:rFonts w:cs="Arial"/>
          <w:color w:val="000000"/>
          <w:lang w:val="fr-CH"/>
        </w:rPr>
        <w:t>Eva TSCHARLAND (</w:t>
      </w:r>
      <w:proofErr w:type="spellStart"/>
      <w:r w:rsidRPr="00E73C16">
        <w:rPr>
          <w:rFonts w:cs="Arial"/>
          <w:color w:val="000000"/>
          <w:lang w:val="fr-CH"/>
        </w:rPr>
        <w:t>Frau</w:t>
      </w:r>
      <w:proofErr w:type="spellEnd"/>
      <w:r w:rsidRPr="00E73C16">
        <w:rPr>
          <w:rFonts w:cs="Arial"/>
          <w:color w:val="000000"/>
          <w:lang w:val="fr-CH"/>
        </w:rPr>
        <w:t xml:space="preserve">), </w:t>
      </w:r>
      <w:proofErr w:type="spellStart"/>
      <w:r w:rsidRPr="00E73C16">
        <w:rPr>
          <w:rFonts w:cs="Arial"/>
          <w:color w:val="000000"/>
          <w:lang w:val="fr-CH"/>
        </w:rPr>
        <w:t>Juristin</w:t>
      </w:r>
      <w:proofErr w:type="spellEnd"/>
      <w:r w:rsidRPr="00E73C16">
        <w:rPr>
          <w:rFonts w:cs="Arial"/>
          <w:color w:val="000000"/>
          <w:lang w:val="fr-CH"/>
        </w:rPr>
        <w:t xml:space="preserve">, </w:t>
      </w:r>
      <w:proofErr w:type="spellStart"/>
      <w:r w:rsidRPr="00E73C16">
        <w:rPr>
          <w:rFonts w:cs="Arial"/>
          <w:color w:val="000000"/>
          <w:lang w:val="fr-CH"/>
        </w:rPr>
        <w:t>Direktionsbereich</w:t>
      </w:r>
      <w:proofErr w:type="spellEnd"/>
      <w:r w:rsidRPr="00E73C16">
        <w:rPr>
          <w:rFonts w:cs="Arial"/>
          <w:color w:val="000000"/>
          <w:lang w:val="fr-CH"/>
        </w:rPr>
        <w:t xml:space="preserve"> </w:t>
      </w:r>
      <w:proofErr w:type="spellStart"/>
      <w:r w:rsidRPr="00E73C16">
        <w:rPr>
          <w:rFonts w:cs="Arial"/>
          <w:color w:val="000000"/>
          <w:lang w:val="fr-CH"/>
        </w:rPr>
        <w:t>Landwirtschaftliche</w:t>
      </w:r>
      <w:proofErr w:type="spellEnd"/>
      <w:r w:rsidRPr="00E73C16">
        <w:rPr>
          <w:rFonts w:cs="Arial"/>
          <w:color w:val="000000"/>
          <w:lang w:val="fr-CH"/>
        </w:rPr>
        <w:t xml:space="preserve"> </w:t>
      </w:r>
      <w:proofErr w:type="spellStart"/>
      <w:r w:rsidRPr="00E73C16">
        <w:rPr>
          <w:rFonts w:cs="Arial"/>
          <w:color w:val="000000"/>
          <w:lang w:val="fr-CH"/>
        </w:rPr>
        <w:t>Produktionsmittel</w:t>
      </w:r>
      <w:proofErr w:type="spellEnd"/>
      <w:r w:rsidRPr="00E73C16">
        <w:rPr>
          <w:rFonts w:cs="Arial"/>
          <w:color w:val="000000"/>
          <w:lang w:val="fr-CH"/>
        </w:rPr>
        <w:t xml:space="preserve">, </w:t>
      </w:r>
      <w:proofErr w:type="spellStart"/>
      <w:r w:rsidRPr="00E73C16">
        <w:rPr>
          <w:rFonts w:cs="Arial"/>
          <w:color w:val="000000"/>
          <w:lang w:val="fr-CH"/>
        </w:rPr>
        <w:t>Bundesamt</w:t>
      </w:r>
      <w:proofErr w:type="spellEnd"/>
      <w:r w:rsidRPr="00E73C16">
        <w:rPr>
          <w:rFonts w:cs="Arial"/>
          <w:color w:val="000000"/>
          <w:lang w:val="fr-CH"/>
        </w:rPr>
        <w:t xml:space="preserve"> </w:t>
      </w:r>
      <w:proofErr w:type="spellStart"/>
      <w:r w:rsidRPr="00E73C16">
        <w:rPr>
          <w:rFonts w:cs="Arial"/>
          <w:color w:val="000000"/>
          <w:lang w:val="fr-CH"/>
        </w:rPr>
        <w:t>für</w:t>
      </w:r>
      <w:proofErr w:type="spellEnd"/>
      <w:r w:rsidRPr="00E73C16">
        <w:rPr>
          <w:rFonts w:cs="Arial"/>
          <w:color w:val="000000"/>
          <w:lang w:val="fr-CH"/>
        </w:rPr>
        <w:t xml:space="preserve"> </w:t>
      </w:r>
      <w:proofErr w:type="spellStart"/>
      <w:r w:rsidRPr="00E73C16">
        <w:rPr>
          <w:rFonts w:cs="Arial"/>
          <w:color w:val="000000"/>
          <w:lang w:val="fr-CH"/>
        </w:rPr>
        <w:t>Landwirtschaft</w:t>
      </w:r>
      <w:proofErr w:type="spellEnd"/>
      <w:r w:rsidRPr="00E73C16">
        <w:rPr>
          <w:rFonts w:cs="Arial"/>
          <w:color w:val="000000"/>
          <w:lang w:val="fr-CH"/>
        </w:rPr>
        <w:t xml:space="preserve">, Bern (e-mail: eva.tscharland@blw.admin.ch)  </w:t>
      </w:r>
    </w:p>
    <w:p w:rsidR="00D539E8" w:rsidRPr="00E73C16" w:rsidRDefault="00D539E8" w:rsidP="00AC0DE9">
      <w:pPr>
        <w:widowControl w:val="0"/>
        <w:tabs>
          <w:tab w:val="left" w:pos="90"/>
        </w:tabs>
        <w:autoSpaceDE w:val="0"/>
        <w:autoSpaceDN w:val="0"/>
        <w:rPr>
          <w:rFonts w:cs="Arial"/>
          <w:color w:val="000000"/>
          <w:lang w:val="fr-CH"/>
        </w:rPr>
      </w:pPr>
    </w:p>
    <w:p w:rsidR="00D539E8" w:rsidRDefault="00D539E8" w:rsidP="00AC0DE9">
      <w:pPr>
        <w:widowControl w:val="0"/>
        <w:tabs>
          <w:tab w:val="left" w:pos="90"/>
        </w:tabs>
        <w:autoSpaceDE w:val="0"/>
        <w:autoSpaceDN w:val="0"/>
        <w:rPr>
          <w:rFonts w:cs="Arial"/>
          <w:color w:val="000000"/>
        </w:rPr>
      </w:pPr>
      <w:r w:rsidRPr="00AC0DE9">
        <w:rPr>
          <w:rFonts w:cs="Arial"/>
          <w:color w:val="000000"/>
        </w:rPr>
        <w:t>Manuela BRAND (Ms.), Plant Variety Rights Office, Federal Department of Economic Affairs</w:t>
      </w:r>
      <w:r>
        <w:rPr>
          <w:rFonts w:cs="Arial"/>
          <w:color w:val="000000"/>
        </w:rPr>
        <w:t xml:space="preserve"> </w:t>
      </w:r>
      <w:r w:rsidRPr="00AC0DE9">
        <w:rPr>
          <w:rFonts w:cs="Arial"/>
          <w:color w:val="000000"/>
        </w:rPr>
        <w:t>Education and Research EAER</w:t>
      </w:r>
      <w:r>
        <w:rPr>
          <w:rFonts w:cs="Arial"/>
          <w:color w:val="000000"/>
        </w:rPr>
        <w:t xml:space="preserve"> </w:t>
      </w:r>
      <w:r w:rsidRPr="00AC0DE9">
        <w:rPr>
          <w:rFonts w:cs="Arial"/>
          <w:color w:val="000000"/>
        </w:rPr>
        <w:t>Plant Health and Varieties, Federal Office for Agricu</w:t>
      </w:r>
      <w:r>
        <w:rPr>
          <w:rFonts w:cs="Arial"/>
          <w:color w:val="000000"/>
        </w:rPr>
        <w:t>l</w:t>
      </w:r>
      <w:r w:rsidRPr="00AC0DE9">
        <w:rPr>
          <w:rFonts w:cs="Arial"/>
          <w:color w:val="000000"/>
        </w:rPr>
        <w:t xml:space="preserve">ture FOAG, Bern </w:t>
      </w:r>
    </w:p>
    <w:p w:rsidR="00D539E8" w:rsidRPr="00E73C16" w:rsidRDefault="00D539E8" w:rsidP="00AC0DE9">
      <w:pPr>
        <w:widowControl w:val="0"/>
        <w:tabs>
          <w:tab w:val="left" w:pos="90"/>
        </w:tabs>
        <w:autoSpaceDE w:val="0"/>
        <w:autoSpaceDN w:val="0"/>
        <w:rPr>
          <w:rFonts w:cs="Arial"/>
          <w:color w:val="000000"/>
          <w:lang w:val="fr-CH"/>
        </w:rPr>
      </w:pPr>
      <w:r w:rsidRPr="00E73C16">
        <w:rPr>
          <w:rFonts w:cs="Arial"/>
          <w:color w:val="000000"/>
          <w:lang w:val="fr-CH"/>
        </w:rPr>
        <w:t>(</w:t>
      </w:r>
      <w:proofErr w:type="gramStart"/>
      <w:r w:rsidRPr="00E73C16">
        <w:rPr>
          <w:rFonts w:cs="Arial"/>
          <w:color w:val="000000"/>
          <w:lang w:val="fr-CH"/>
        </w:rPr>
        <w:t>e-mail</w:t>
      </w:r>
      <w:proofErr w:type="gramEnd"/>
      <w:r w:rsidRPr="00E73C16">
        <w:rPr>
          <w:rFonts w:cs="Arial"/>
          <w:color w:val="000000"/>
          <w:lang w:val="fr-CH"/>
        </w:rPr>
        <w:t xml:space="preserve">: manuela.brand@blw.admin.ch)  </w:t>
      </w:r>
    </w:p>
    <w:p w:rsidR="00D539E8" w:rsidRPr="00E73C16" w:rsidRDefault="00D539E8" w:rsidP="00AC0DE9">
      <w:pPr>
        <w:widowControl w:val="0"/>
        <w:tabs>
          <w:tab w:val="left" w:pos="90"/>
        </w:tabs>
        <w:autoSpaceDE w:val="0"/>
        <w:autoSpaceDN w:val="0"/>
        <w:rPr>
          <w:rFonts w:cs="Arial"/>
          <w:color w:val="000000"/>
          <w:lang w:val="fr-CH"/>
        </w:rPr>
      </w:pPr>
    </w:p>
    <w:p w:rsidR="00D539E8" w:rsidRPr="00E73C16" w:rsidRDefault="00D539E8" w:rsidP="00722730">
      <w:pPr>
        <w:keepNext/>
        <w:keepLines/>
        <w:widowControl w:val="0"/>
        <w:tabs>
          <w:tab w:val="left" w:pos="90"/>
        </w:tabs>
        <w:autoSpaceDE w:val="0"/>
        <w:autoSpaceDN w:val="0"/>
        <w:rPr>
          <w:rFonts w:cs="Arial"/>
          <w:color w:val="000000"/>
          <w:u w:val="single"/>
          <w:lang w:val="fr-CH"/>
        </w:rPr>
      </w:pPr>
      <w:r w:rsidRPr="00E73C16">
        <w:rPr>
          <w:rFonts w:cs="Arial"/>
          <w:color w:val="000000"/>
          <w:u w:val="single"/>
          <w:lang w:val="fr-CH"/>
        </w:rPr>
        <w:t>TUNISIE / TUNISIA / TUNESIEN / TÚNEZ</w:t>
      </w:r>
    </w:p>
    <w:p w:rsidR="00D539E8" w:rsidRPr="00E73C16" w:rsidRDefault="00D539E8" w:rsidP="00722730">
      <w:pPr>
        <w:keepNext/>
        <w:keepLines/>
        <w:widowControl w:val="0"/>
        <w:tabs>
          <w:tab w:val="left" w:pos="90"/>
        </w:tabs>
        <w:autoSpaceDE w:val="0"/>
        <w:autoSpaceDN w:val="0"/>
        <w:rPr>
          <w:rFonts w:cs="Arial"/>
          <w:color w:val="000000"/>
          <w:u w:val="single"/>
          <w:lang w:val="fr-CH"/>
        </w:rPr>
      </w:pPr>
    </w:p>
    <w:p w:rsidR="00D539E8" w:rsidRPr="00584F70" w:rsidRDefault="00D539E8" w:rsidP="006A7061">
      <w:pPr>
        <w:keepLines/>
        <w:widowControl w:val="0"/>
        <w:tabs>
          <w:tab w:val="left" w:pos="90"/>
        </w:tabs>
        <w:autoSpaceDE w:val="0"/>
        <w:autoSpaceDN w:val="0"/>
        <w:rPr>
          <w:rFonts w:cs="Arial"/>
          <w:color w:val="000000"/>
          <w:lang w:val="fr-CH"/>
        </w:rPr>
      </w:pPr>
      <w:r w:rsidRPr="00584F70">
        <w:rPr>
          <w:rFonts w:cs="Arial"/>
          <w:color w:val="000000"/>
          <w:lang w:val="fr-CH"/>
        </w:rPr>
        <w:t xml:space="preserve">Tarek CHIBOUB, Directeur général de la protection et du contrôle de la qualité des produits agricoles, Direction générale de la protection et du contrôle de la qualité des produits agricoles, </w:t>
      </w:r>
      <w:r w:rsidRPr="00584F70">
        <w:rPr>
          <w:rFonts w:cs="Arial"/>
          <w:color w:val="000000"/>
          <w:lang w:val="fr-CH"/>
        </w:rPr>
        <w:br/>
        <w:t xml:space="preserve">Ministère de l’agriculture, Tunis (e-mail: tarechib@yahoo.fr) </w:t>
      </w:r>
    </w:p>
    <w:p w:rsidR="00D539E8" w:rsidRPr="00E73C16" w:rsidRDefault="00D539E8" w:rsidP="00AC0DE9">
      <w:pPr>
        <w:widowControl w:val="0"/>
        <w:tabs>
          <w:tab w:val="left" w:pos="90"/>
        </w:tabs>
        <w:autoSpaceDE w:val="0"/>
        <w:autoSpaceDN w:val="0"/>
        <w:rPr>
          <w:rFonts w:cs="Arial"/>
          <w:color w:val="000000"/>
          <w:lang w:val="fr-CH"/>
        </w:rPr>
      </w:pPr>
    </w:p>
    <w:p w:rsidR="00D539E8" w:rsidRPr="00E73C16" w:rsidRDefault="00D539E8" w:rsidP="00AC0DE9">
      <w:pPr>
        <w:widowControl w:val="0"/>
        <w:tabs>
          <w:tab w:val="left" w:pos="90"/>
        </w:tabs>
        <w:autoSpaceDE w:val="0"/>
        <w:autoSpaceDN w:val="0"/>
        <w:rPr>
          <w:rFonts w:cs="Arial"/>
          <w:color w:val="000000"/>
          <w:u w:val="single"/>
          <w:lang w:val="fr-CH"/>
        </w:rPr>
      </w:pPr>
      <w:r w:rsidRPr="00E73C16">
        <w:rPr>
          <w:rFonts w:cs="Arial"/>
          <w:color w:val="000000"/>
          <w:u w:val="single"/>
          <w:lang w:val="fr-CH"/>
        </w:rPr>
        <w:t>UNION EUROPÉENNE / EUROPEAN UNION / EUROPÄISCHE UNION / UNIÓN EUROPEA</w:t>
      </w:r>
    </w:p>
    <w:p w:rsidR="00D539E8" w:rsidRPr="00E73C16" w:rsidRDefault="00D539E8" w:rsidP="00AC0DE9">
      <w:pPr>
        <w:widowControl w:val="0"/>
        <w:tabs>
          <w:tab w:val="left" w:pos="90"/>
        </w:tabs>
        <w:autoSpaceDE w:val="0"/>
        <w:autoSpaceDN w:val="0"/>
        <w:rPr>
          <w:rFonts w:cs="Arial"/>
          <w:color w:val="000000"/>
          <w:u w:val="single"/>
          <w:lang w:val="fr-CH"/>
        </w:rPr>
      </w:pPr>
    </w:p>
    <w:p w:rsidR="00D539E8" w:rsidRPr="00E73C16" w:rsidRDefault="00D539E8" w:rsidP="008768C3">
      <w:pPr>
        <w:widowControl w:val="0"/>
        <w:tabs>
          <w:tab w:val="left" w:pos="90"/>
        </w:tabs>
        <w:autoSpaceDE w:val="0"/>
        <w:autoSpaceDN w:val="0"/>
        <w:rPr>
          <w:rFonts w:cs="Arial"/>
          <w:color w:val="000000"/>
          <w:lang w:val="fr-CH"/>
        </w:rPr>
      </w:pPr>
      <w:r w:rsidRPr="00E73C16">
        <w:rPr>
          <w:rFonts w:cs="Arial"/>
          <w:color w:val="000000"/>
          <w:lang w:val="fr-CH"/>
        </w:rPr>
        <w:t xml:space="preserve">Thomas Peter WEBER, Policy </w:t>
      </w:r>
      <w:proofErr w:type="spellStart"/>
      <w:r w:rsidRPr="00E73C16">
        <w:rPr>
          <w:rFonts w:cs="Arial"/>
          <w:color w:val="000000"/>
          <w:lang w:val="fr-CH"/>
        </w:rPr>
        <w:t>Officer</w:t>
      </w:r>
      <w:proofErr w:type="spellEnd"/>
      <w:r w:rsidRPr="00E73C16">
        <w:rPr>
          <w:rFonts w:cs="Arial"/>
          <w:color w:val="000000"/>
          <w:lang w:val="fr-CH"/>
        </w:rPr>
        <w:t xml:space="preserve">, DG </w:t>
      </w:r>
      <w:proofErr w:type="spellStart"/>
      <w:r w:rsidRPr="00E73C16">
        <w:rPr>
          <w:rFonts w:cs="Arial"/>
          <w:color w:val="000000"/>
          <w:lang w:val="fr-CH"/>
        </w:rPr>
        <w:t>Sanco</w:t>
      </w:r>
      <w:proofErr w:type="spellEnd"/>
      <w:r w:rsidRPr="00E73C16">
        <w:rPr>
          <w:rFonts w:cs="Arial"/>
          <w:color w:val="000000"/>
          <w:lang w:val="fr-CH"/>
        </w:rPr>
        <w:t xml:space="preserve">, </w:t>
      </w:r>
      <w:proofErr w:type="spellStart"/>
      <w:r w:rsidRPr="00E73C16">
        <w:rPr>
          <w:rFonts w:cs="Arial"/>
          <w:color w:val="000000"/>
          <w:lang w:val="fr-CH"/>
        </w:rPr>
        <w:t>European</w:t>
      </w:r>
      <w:proofErr w:type="spellEnd"/>
      <w:r w:rsidRPr="00E73C16">
        <w:rPr>
          <w:rFonts w:cs="Arial"/>
          <w:color w:val="000000"/>
          <w:lang w:val="fr-CH"/>
        </w:rPr>
        <w:t xml:space="preserve"> Commission, Bruxelles </w:t>
      </w:r>
    </w:p>
    <w:p w:rsidR="00D539E8" w:rsidRPr="00E73C16" w:rsidRDefault="00D539E8" w:rsidP="008768C3">
      <w:pPr>
        <w:widowControl w:val="0"/>
        <w:tabs>
          <w:tab w:val="left" w:pos="90"/>
        </w:tabs>
        <w:autoSpaceDE w:val="0"/>
        <w:autoSpaceDN w:val="0"/>
        <w:rPr>
          <w:rFonts w:cs="Arial"/>
          <w:color w:val="000000"/>
          <w:lang w:val="fr-CH"/>
        </w:rPr>
      </w:pPr>
      <w:r w:rsidRPr="00E73C16">
        <w:rPr>
          <w:rFonts w:cs="Arial"/>
          <w:color w:val="000000"/>
          <w:lang w:val="fr-CH"/>
        </w:rPr>
        <w:t>(</w:t>
      </w:r>
      <w:proofErr w:type="gramStart"/>
      <w:r w:rsidRPr="00E73C16">
        <w:rPr>
          <w:rFonts w:cs="Arial"/>
          <w:color w:val="000000"/>
          <w:lang w:val="fr-CH"/>
        </w:rPr>
        <w:t>e-mail</w:t>
      </w:r>
      <w:proofErr w:type="gramEnd"/>
      <w:r w:rsidRPr="00E73C16">
        <w:rPr>
          <w:rFonts w:cs="Arial"/>
          <w:color w:val="000000"/>
          <w:lang w:val="fr-CH"/>
        </w:rPr>
        <w:t xml:space="preserve">: thomas.weber@ec.europa.eu)  </w:t>
      </w:r>
    </w:p>
    <w:p w:rsidR="00D539E8" w:rsidRPr="00E73C16" w:rsidRDefault="00D539E8" w:rsidP="00AC0DE9">
      <w:pPr>
        <w:widowControl w:val="0"/>
        <w:tabs>
          <w:tab w:val="left" w:pos="90"/>
        </w:tabs>
        <w:autoSpaceDE w:val="0"/>
        <w:autoSpaceDN w:val="0"/>
        <w:rPr>
          <w:rFonts w:cs="Arial"/>
          <w:color w:val="000000"/>
          <w:u w:val="single"/>
          <w:lang w:val="fr-CH"/>
        </w:rPr>
      </w:pPr>
    </w:p>
    <w:p w:rsidR="00D539E8" w:rsidRPr="00E73C16" w:rsidRDefault="00D539E8" w:rsidP="00AC0DE9">
      <w:pPr>
        <w:widowControl w:val="0"/>
        <w:tabs>
          <w:tab w:val="left" w:pos="90"/>
        </w:tabs>
        <w:autoSpaceDE w:val="0"/>
        <w:autoSpaceDN w:val="0"/>
        <w:rPr>
          <w:rFonts w:cs="Arial"/>
          <w:color w:val="000000"/>
          <w:lang w:val="fr-CH"/>
        </w:rPr>
      </w:pPr>
      <w:r w:rsidRPr="00E73C16">
        <w:rPr>
          <w:rFonts w:cs="Arial"/>
          <w:color w:val="000000"/>
          <w:lang w:val="fr-CH"/>
        </w:rPr>
        <w:t xml:space="preserve">Isabelle CLEMENT-NISSOU (Mrs.), Policy </w:t>
      </w:r>
      <w:proofErr w:type="spellStart"/>
      <w:r w:rsidRPr="00E73C16">
        <w:rPr>
          <w:rFonts w:cs="Arial"/>
          <w:color w:val="000000"/>
          <w:lang w:val="fr-CH"/>
        </w:rPr>
        <w:t>Officer</w:t>
      </w:r>
      <w:proofErr w:type="spellEnd"/>
      <w:r w:rsidRPr="00E73C16">
        <w:rPr>
          <w:rFonts w:cs="Arial"/>
          <w:color w:val="000000"/>
          <w:lang w:val="fr-CH"/>
        </w:rPr>
        <w:t xml:space="preserve"> - Unité E2, Plant Reproductive </w:t>
      </w:r>
      <w:proofErr w:type="spellStart"/>
      <w:r w:rsidRPr="00E73C16">
        <w:rPr>
          <w:rFonts w:cs="Arial"/>
          <w:color w:val="000000"/>
          <w:lang w:val="fr-CH"/>
        </w:rPr>
        <w:t>Material</w:t>
      </w:r>
      <w:proofErr w:type="spellEnd"/>
      <w:r w:rsidRPr="00E73C16">
        <w:rPr>
          <w:rFonts w:cs="Arial"/>
          <w:color w:val="000000"/>
          <w:lang w:val="fr-CH"/>
        </w:rPr>
        <w:t xml:space="preserve"> </w:t>
      </w:r>
      <w:proofErr w:type="spellStart"/>
      <w:r w:rsidRPr="00E73C16">
        <w:rPr>
          <w:rFonts w:cs="Arial"/>
          <w:color w:val="000000"/>
          <w:lang w:val="fr-CH"/>
        </w:rPr>
        <w:t>Sector</w:t>
      </w:r>
      <w:proofErr w:type="spellEnd"/>
      <w:r w:rsidRPr="00E73C16">
        <w:rPr>
          <w:rFonts w:cs="Arial"/>
          <w:color w:val="000000"/>
          <w:lang w:val="fr-CH"/>
        </w:rPr>
        <w:t>, Direction Générale Santé et Protection des Consommateurs</w:t>
      </w:r>
      <w:proofErr w:type="gramStart"/>
      <w:r w:rsidRPr="00E73C16">
        <w:rPr>
          <w:rFonts w:cs="Arial"/>
          <w:color w:val="000000"/>
          <w:lang w:val="fr-CH"/>
        </w:rPr>
        <w:t>,,</w:t>
      </w:r>
      <w:proofErr w:type="gramEnd"/>
      <w:r w:rsidRPr="00E73C16">
        <w:rPr>
          <w:rFonts w:cs="Arial"/>
          <w:color w:val="000000"/>
          <w:lang w:val="fr-CH"/>
        </w:rPr>
        <w:t xml:space="preserve"> Commission européenne (DG SANCO), Bruxelles </w:t>
      </w:r>
    </w:p>
    <w:p w:rsidR="00D539E8" w:rsidRDefault="00D539E8" w:rsidP="00AC0DE9">
      <w:pPr>
        <w:widowControl w:val="0"/>
        <w:tabs>
          <w:tab w:val="left" w:pos="90"/>
        </w:tabs>
        <w:autoSpaceDE w:val="0"/>
        <w:autoSpaceDN w:val="0"/>
        <w:rPr>
          <w:rFonts w:cs="Arial"/>
          <w:color w:val="000000"/>
        </w:rPr>
      </w:pPr>
      <w:r w:rsidRPr="00AC0DE9">
        <w:rPr>
          <w:rFonts w:cs="Arial"/>
          <w:color w:val="000000"/>
        </w:rPr>
        <w:t>(</w:t>
      </w:r>
      <w:proofErr w:type="gramStart"/>
      <w:r w:rsidRPr="00AC0DE9">
        <w:rPr>
          <w:rFonts w:cs="Arial"/>
          <w:color w:val="000000"/>
        </w:rPr>
        <w:t>e-mail</w:t>
      </w:r>
      <w:proofErr w:type="gramEnd"/>
      <w:r w:rsidRPr="00AC0DE9">
        <w:rPr>
          <w:rFonts w:cs="Arial"/>
          <w:color w:val="000000"/>
        </w:rPr>
        <w:t xml:space="preserve">: isabelle.clement-nissou@ec.europa.eu)  </w:t>
      </w: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r w:rsidRPr="00AC0DE9">
        <w:rPr>
          <w:rFonts w:cs="Arial"/>
          <w:color w:val="000000"/>
        </w:rPr>
        <w:t xml:space="preserve">Martin EKVAD, President, Community Plant Variety Office (CPVO), European Union, Angers </w:t>
      </w:r>
    </w:p>
    <w:p w:rsidR="00D539E8" w:rsidRDefault="00D539E8" w:rsidP="00AC0DE9">
      <w:pPr>
        <w:widowControl w:val="0"/>
        <w:tabs>
          <w:tab w:val="left" w:pos="90"/>
        </w:tabs>
        <w:autoSpaceDE w:val="0"/>
        <w:autoSpaceDN w:val="0"/>
        <w:rPr>
          <w:rFonts w:cs="Arial"/>
          <w:color w:val="000000"/>
        </w:rPr>
      </w:pPr>
      <w:r w:rsidRPr="00AC0DE9">
        <w:rPr>
          <w:rFonts w:cs="Arial"/>
          <w:color w:val="000000"/>
        </w:rPr>
        <w:t>(</w:t>
      </w:r>
      <w:proofErr w:type="gramStart"/>
      <w:r w:rsidRPr="00AC0DE9">
        <w:rPr>
          <w:rFonts w:cs="Arial"/>
          <w:color w:val="000000"/>
        </w:rPr>
        <w:t>e-mail</w:t>
      </w:r>
      <w:proofErr w:type="gramEnd"/>
      <w:r w:rsidRPr="00AC0DE9">
        <w:rPr>
          <w:rFonts w:cs="Arial"/>
          <w:color w:val="000000"/>
        </w:rPr>
        <w:t xml:space="preserve">: ekvad@cpvo.europa.eu)  </w:t>
      </w: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r w:rsidRPr="00AC0DE9">
        <w:rPr>
          <w:rFonts w:cs="Arial"/>
          <w:color w:val="000000"/>
        </w:rPr>
        <w:t>Muriel LIGHTBOURNE (</w:t>
      </w:r>
      <w:proofErr w:type="spellStart"/>
      <w:r w:rsidRPr="00AC0DE9">
        <w:rPr>
          <w:rFonts w:cs="Arial"/>
          <w:color w:val="000000"/>
        </w:rPr>
        <w:t>Mme</w:t>
      </w:r>
      <w:proofErr w:type="spellEnd"/>
      <w:r w:rsidRPr="00AC0DE9">
        <w:rPr>
          <w:rFonts w:cs="Arial"/>
          <w:color w:val="000000"/>
        </w:rPr>
        <w:t xml:space="preserve">), Legal Adviser, Community Plant Variety Office (CPVO), Angers </w:t>
      </w:r>
    </w:p>
    <w:p w:rsidR="00D539E8" w:rsidRDefault="00D539E8" w:rsidP="00AC0DE9">
      <w:pPr>
        <w:widowControl w:val="0"/>
        <w:tabs>
          <w:tab w:val="left" w:pos="90"/>
        </w:tabs>
        <w:autoSpaceDE w:val="0"/>
        <w:autoSpaceDN w:val="0"/>
        <w:rPr>
          <w:rFonts w:cs="Arial"/>
          <w:color w:val="000000"/>
        </w:rPr>
      </w:pPr>
      <w:r w:rsidRPr="00AC0DE9">
        <w:rPr>
          <w:rFonts w:cs="Arial"/>
          <w:color w:val="000000"/>
        </w:rPr>
        <w:t>(</w:t>
      </w:r>
      <w:proofErr w:type="gramStart"/>
      <w:r w:rsidRPr="00AC0DE9">
        <w:rPr>
          <w:rFonts w:cs="Arial"/>
          <w:color w:val="000000"/>
        </w:rPr>
        <w:t>e-mail</w:t>
      </w:r>
      <w:proofErr w:type="gramEnd"/>
      <w:r w:rsidRPr="00AC0DE9">
        <w:rPr>
          <w:rFonts w:cs="Arial"/>
          <w:color w:val="000000"/>
        </w:rPr>
        <w:t xml:space="preserve">: lightbourne@cpvo.europa.eu)  </w:t>
      </w:r>
    </w:p>
    <w:p w:rsidR="00D539E8" w:rsidRPr="00AC0DE9" w:rsidRDefault="00D539E8" w:rsidP="00AC0DE9">
      <w:pPr>
        <w:widowControl w:val="0"/>
        <w:tabs>
          <w:tab w:val="left" w:pos="90"/>
        </w:tabs>
        <w:autoSpaceDE w:val="0"/>
        <w:autoSpaceDN w:val="0"/>
        <w:rPr>
          <w:rFonts w:cs="Arial"/>
          <w:color w:val="000000"/>
        </w:rPr>
      </w:pPr>
    </w:p>
    <w:p w:rsidR="00D539E8" w:rsidRPr="00AC0DE9" w:rsidRDefault="00D539E8" w:rsidP="00AC0DE9">
      <w:pPr>
        <w:widowControl w:val="0"/>
        <w:tabs>
          <w:tab w:val="left" w:pos="90"/>
        </w:tabs>
        <w:autoSpaceDE w:val="0"/>
        <w:autoSpaceDN w:val="0"/>
        <w:rPr>
          <w:rFonts w:cs="Arial"/>
          <w:color w:val="000000"/>
        </w:rPr>
      </w:pPr>
    </w:p>
    <w:p w:rsidR="00D539E8" w:rsidRDefault="00D539E8" w:rsidP="00AC0DE9">
      <w:pPr>
        <w:keepNext/>
        <w:widowControl w:val="0"/>
        <w:tabs>
          <w:tab w:val="left" w:pos="567"/>
          <w:tab w:val="center" w:pos="4792"/>
        </w:tabs>
        <w:autoSpaceDE w:val="0"/>
        <w:autoSpaceDN w:val="0"/>
        <w:adjustRightInd w:val="0"/>
        <w:jc w:val="center"/>
        <w:rPr>
          <w:rFonts w:cs="Arial"/>
          <w:color w:val="000000"/>
          <w:u w:val="single"/>
        </w:rPr>
      </w:pPr>
      <w:r w:rsidRPr="00AC0DE9">
        <w:rPr>
          <w:rFonts w:cs="Arial"/>
          <w:color w:val="000000"/>
        </w:rPr>
        <w:t>II.</w:t>
      </w:r>
      <w:r w:rsidRPr="00AC0DE9">
        <w:rPr>
          <w:rFonts w:cs="Arial"/>
          <w:color w:val="000000"/>
        </w:rPr>
        <w:tab/>
      </w:r>
      <w:r w:rsidRPr="00AC0DE9">
        <w:rPr>
          <w:rFonts w:cs="Arial"/>
          <w:color w:val="000000"/>
          <w:u w:val="single"/>
        </w:rPr>
        <w:t>ORGANISATIONS / ORGANIZATIONS / ORGANISATIONEN / ORGANIZACIONES</w:t>
      </w:r>
    </w:p>
    <w:p w:rsidR="00D539E8" w:rsidRPr="00AC0DE9" w:rsidRDefault="00D539E8" w:rsidP="00AC0DE9">
      <w:pPr>
        <w:keepNext/>
        <w:widowControl w:val="0"/>
        <w:tabs>
          <w:tab w:val="left" w:pos="567"/>
          <w:tab w:val="center" w:pos="4792"/>
        </w:tabs>
        <w:autoSpaceDE w:val="0"/>
        <w:autoSpaceDN w:val="0"/>
        <w:adjustRightInd w:val="0"/>
        <w:jc w:val="center"/>
        <w:rPr>
          <w:rFonts w:cs="Arial"/>
          <w:color w:val="000000"/>
          <w:u w:val="single"/>
        </w:rPr>
      </w:pPr>
    </w:p>
    <w:p w:rsidR="00D539E8" w:rsidRPr="00722730" w:rsidRDefault="00D539E8" w:rsidP="00722730">
      <w:pPr>
        <w:widowControl w:val="0"/>
        <w:tabs>
          <w:tab w:val="left" w:pos="90"/>
        </w:tabs>
        <w:autoSpaceDE w:val="0"/>
        <w:autoSpaceDN w:val="0"/>
        <w:rPr>
          <w:rFonts w:cs="Arial"/>
          <w:u w:val="single"/>
        </w:rPr>
      </w:pPr>
      <w:r w:rsidRPr="00722730">
        <w:rPr>
          <w:rFonts w:cs="Arial"/>
          <w:u w:val="single"/>
        </w:rPr>
        <w:t>ASSOCIATION FOR PLANT BREEDING FOR THE BENEFIT OF SOCIETY</w:t>
      </w:r>
    </w:p>
    <w:p w:rsidR="00D539E8" w:rsidRDefault="00D539E8" w:rsidP="00722730">
      <w:pPr>
        <w:widowControl w:val="0"/>
        <w:tabs>
          <w:tab w:val="left" w:pos="90"/>
        </w:tabs>
        <w:autoSpaceDE w:val="0"/>
        <w:autoSpaceDN w:val="0"/>
        <w:rPr>
          <w:rFonts w:cs="Arial"/>
          <w:color w:val="000000"/>
          <w:highlight w:val="yellow"/>
        </w:rPr>
      </w:pPr>
    </w:p>
    <w:p w:rsidR="00D539E8" w:rsidRPr="00AF3E0A" w:rsidRDefault="00D539E8" w:rsidP="00790514">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p>
    <w:p w:rsidR="00D539E8" w:rsidRPr="00E73C16" w:rsidRDefault="00D539E8" w:rsidP="00790514">
      <w:pPr>
        <w:widowControl w:val="0"/>
        <w:tabs>
          <w:tab w:val="left" w:pos="90"/>
        </w:tabs>
        <w:autoSpaceDE w:val="0"/>
        <w:autoSpaceDN w:val="0"/>
        <w:adjustRightInd w:val="0"/>
        <w:rPr>
          <w:rFonts w:cs="Arial"/>
          <w:color w:val="000000"/>
          <w:lang w:val="fr-CH"/>
        </w:rPr>
      </w:pPr>
      <w:r w:rsidRPr="00E73C16">
        <w:rPr>
          <w:rFonts w:cs="Arial"/>
          <w:color w:val="000000"/>
          <w:lang w:val="fr-CH"/>
        </w:rPr>
        <w:t>(</w:t>
      </w:r>
      <w:proofErr w:type="gramStart"/>
      <w:r w:rsidRPr="00E73C16">
        <w:rPr>
          <w:rFonts w:cs="Arial"/>
          <w:color w:val="000000"/>
          <w:lang w:val="fr-CH"/>
        </w:rPr>
        <w:t>email</w:t>
      </w:r>
      <w:proofErr w:type="gramEnd"/>
      <w:r w:rsidRPr="00E73C16">
        <w:rPr>
          <w:rFonts w:cs="Arial"/>
          <w:color w:val="000000"/>
          <w:lang w:val="fr-CH"/>
        </w:rPr>
        <w:t>: contact@apbrebes.org)</w:t>
      </w:r>
    </w:p>
    <w:p w:rsidR="00D539E8" w:rsidRPr="00E73C16" w:rsidRDefault="00D539E8" w:rsidP="00722730">
      <w:pPr>
        <w:widowControl w:val="0"/>
        <w:tabs>
          <w:tab w:val="left" w:pos="90"/>
        </w:tabs>
        <w:autoSpaceDE w:val="0"/>
        <w:autoSpaceDN w:val="0"/>
        <w:rPr>
          <w:rFonts w:cs="Arial"/>
          <w:color w:val="000000"/>
          <w:highlight w:val="yellow"/>
          <w:lang w:val="fr-CH"/>
        </w:rPr>
      </w:pPr>
    </w:p>
    <w:p w:rsidR="00D539E8" w:rsidRPr="00E73C16" w:rsidRDefault="00D539E8" w:rsidP="00C33557">
      <w:pPr>
        <w:widowControl w:val="0"/>
        <w:tabs>
          <w:tab w:val="left" w:pos="90"/>
        </w:tabs>
        <w:autoSpaceDE w:val="0"/>
        <w:autoSpaceDN w:val="0"/>
        <w:adjustRightInd w:val="0"/>
        <w:rPr>
          <w:rFonts w:cs="Arial"/>
          <w:color w:val="000000"/>
          <w:u w:val="single"/>
          <w:lang w:val="fr-CH"/>
        </w:rPr>
      </w:pPr>
      <w:r w:rsidRPr="00E73C16">
        <w:rPr>
          <w:rFonts w:cs="Arial"/>
          <w:color w:val="000000"/>
          <w:u w:val="single"/>
          <w:lang w:val="fr-CH"/>
        </w:rPr>
        <w:t xml:space="preserve">ASSOCIATION INTERNATIONALE DES PRODUCTEURS HORTICOLES (AIPH) / </w:t>
      </w:r>
    </w:p>
    <w:p w:rsidR="00D539E8" w:rsidRPr="001D4989" w:rsidRDefault="00D539E8" w:rsidP="00C33557">
      <w:pPr>
        <w:widowControl w:val="0"/>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D539E8" w:rsidRPr="00E73C16" w:rsidRDefault="00D539E8" w:rsidP="00C33557">
      <w:pPr>
        <w:widowControl w:val="0"/>
        <w:tabs>
          <w:tab w:val="left" w:pos="90"/>
        </w:tabs>
        <w:autoSpaceDE w:val="0"/>
        <w:autoSpaceDN w:val="0"/>
        <w:adjustRightInd w:val="0"/>
        <w:rPr>
          <w:rFonts w:cs="Arial"/>
          <w:color w:val="000000"/>
          <w:u w:val="single"/>
          <w:lang w:val="es-ES"/>
        </w:rPr>
      </w:pPr>
      <w:r w:rsidRPr="00E73C16">
        <w:rPr>
          <w:rFonts w:cs="Arial"/>
          <w:color w:val="000000"/>
          <w:u w:val="single"/>
          <w:lang w:val="es-ES"/>
        </w:rPr>
        <w:t xml:space="preserve">INTERNATIONALER VERBAND DES ERWERBSGARTENBAUES (AIPH) / ASOCIACIÓN </w:t>
      </w:r>
    </w:p>
    <w:p w:rsidR="00D539E8" w:rsidRPr="00E73C16" w:rsidRDefault="00D539E8" w:rsidP="00C33557">
      <w:pPr>
        <w:widowControl w:val="0"/>
        <w:tabs>
          <w:tab w:val="left" w:pos="90"/>
        </w:tabs>
        <w:autoSpaceDE w:val="0"/>
        <w:autoSpaceDN w:val="0"/>
        <w:adjustRightInd w:val="0"/>
        <w:rPr>
          <w:rFonts w:cs="Arial"/>
          <w:color w:val="000000"/>
          <w:u w:val="single"/>
          <w:lang w:val="es-ES"/>
        </w:rPr>
      </w:pPr>
      <w:r w:rsidRPr="00E73C16">
        <w:rPr>
          <w:rFonts w:cs="Arial"/>
          <w:color w:val="000000"/>
          <w:u w:val="single"/>
          <w:lang w:val="es-ES"/>
        </w:rPr>
        <w:t>INTERNACIONAL DE PRODUCTORES HORTÍCOLAS (AIPH)</w:t>
      </w:r>
    </w:p>
    <w:p w:rsidR="00D539E8" w:rsidRPr="00E73C16" w:rsidRDefault="00D539E8" w:rsidP="00C33557">
      <w:pPr>
        <w:widowControl w:val="0"/>
        <w:tabs>
          <w:tab w:val="left" w:pos="90"/>
        </w:tabs>
        <w:autoSpaceDE w:val="0"/>
        <w:autoSpaceDN w:val="0"/>
        <w:adjustRightInd w:val="0"/>
        <w:rPr>
          <w:rFonts w:cs="Arial"/>
          <w:color w:val="000000"/>
          <w:lang w:val="es-ES"/>
        </w:rPr>
      </w:pPr>
    </w:p>
    <w:p w:rsidR="00D539E8" w:rsidRPr="001D4989" w:rsidRDefault="00D539E8" w:rsidP="00C33557">
      <w:pPr>
        <w:widowControl w:val="0"/>
        <w:tabs>
          <w:tab w:val="left" w:pos="90"/>
        </w:tabs>
        <w:autoSpaceDE w:val="0"/>
        <w:autoSpaceDN w:val="0"/>
        <w:adjustRightInd w:val="0"/>
        <w:rPr>
          <w:rFonts w:cs="Arial"/>
          <w:color w:val="000000"/>
        </w:rPr>
      </w:pPr>
      <w:r w:rsidRPr="001D4989">
        <w:rPr>
          <w:rFonts w:cs="Arial"/>
          <w:color w:val="000000"/>
        </w:rPr>
        <w:t>Mia BUMA (Mrs</w:t>
      </w:r>
      <w:r>
        <w:rPr>
          <w:rFonts w:cs="Arial"/>
          <w:color w:val="000000"/>
        </w:rPr>
        <w:t>.</w:t>
      </w:r>
      <w:r w:rsidRPr="001D4989">
        <w:rPr>
          <w:rFonts w:cs="Arial"/>
          <w:color w:val="000000"/>
        </w:rPr>
        <w:t xml:space="preserve">), Secretary, Committee for Novelty Protection, International Association of Horticultural Producers (AIPH), </w:t>
      </w:r>
      <w:proofErr w:type="gramStart"/>
      <w:r w:rsidRPr="001D4989">
        <w:rPr>
          <w:rFonts w:cs="Arial"/>
          <w:color w:val="000000"/>
        </w:rPr>
        <w:t>Reading</w:t>
      </w:r>
      <w:proofErr w:type="gramEnd"/>
      <w:r w:rsidRPr="001D4989">
        <w:rPr>
          <w:rFonts w:cs="Arial"/>
          <w:color w:val="000000"/>
        </w:rPr>
        <w:t xml:space="preserve">, United Kingdom (e-mail: info@miabuma.nl)  </w:t>
      </w:r>
    </w:p>
    <w:p w:rsidR="00D539E8" w:rsidRPr="00722730" w:rsidRDefault="00D539E8" w:rsidP="00722730">
      <w:pPr>
        <w:widowControl w:val="0"/>
        <w:tabs>
          <w:tab w:val="left" w:pos="90"/>
        </w:tabs>
        <w:autoSpaceDE w:val="0"/>
        <w:autoSpaceDN w:val="0"/>
        <w:rPr>
          <w:rFonts w:cs="Arial"/>
          <w:color w:val="000000"/>
          <w:highlight w:val="yellow"/>
        </w:rPr>
      </w:pPr>
    </w:p>
    <w:p w:rsidR="00D539E8" w:rsidRPr="00E73C16" w:rsidRDefault="00D539E8" w:rsidP="00AC0DE9">
      <w:pPr>
        <w:widowControl w:val="0"/>
        <w:tabs>
          <w:tab w:val="left" w:pos="90"/>
        </w:tabs>
        <w:autoSpaceDE w:val="0"/>
        <w:autoSpaceDN w:val="0"/>
        <w:rPr>
          <w:rFonts w:cs="Arial"/>
          <w:color w:val="000000"/>
          <w:u w:val="single"/>
          <w:lang w:val="fr-CH"/>
        </w:rPr>
      </w:pPr>
      <w:r w:rsidRPr="00E73C16">
        <w:rPr>
          <w:rFonts w:cs="Arial"/>
          <w:color w:val="000000"/>
          <w:u w:val="single"/>
          <w:lang w:val="fr-CH"/>
        </w:rPr>
        <w:t xml:space="preserve">COMMUNAUTÉ INTERNATIONALE DES OBTENTEURS DE PLANTES </w:t>
      </w:r>
    </w:p>
    <w:p w:rsidR="00D539E8" w:rsidRPr="00E73C16" w:rsidRDefault="00D539E8" w:rsidP="00AC0DE9">
      <w:pPr>
        <w:widowControl w:val="0"/>
        <w:tabs>
          <w:tab w:val="left" w:pos="90"/>
        </w:tabs>
        <w:autoSpaceDE w:val="0"/>
        <w:autoSpaceDN w:val="0"/>
        <w:rPr>
          <w:rFonts w:cs="Arial"/>
          <w:color w:val="000000"/>
          <w:u w:val="single"/>
          <w:lang w:val="fr-CH"/>
        </w:rPr>
      </w:pPr>
      <w:r w:rsidRPr="00E73C16">
        <w:rPr>
          <w:rFonts w:cs="Arial"/>
          <w:color w:val="000000"/>
          <w:u w:val="single"/>
          <w:lang w:val="fr-CH"/>
        </w:rPr>
        <w:t xml:space="preserve">ORNEMENTALES ET FRUITIÈRES À REPRODUCTION ASEXUÉE (CIOPORA) / </w:t>
      </w:r>
    </w:p>
    <w:p w:rsidR="00D539E8" w:rsidRPr="00476BBA" w:rsidRDefault="00D539E8" w:rsidP="00AC0DE9">
      <w:pPr>
        <w:widowControl w:val="0"/>
        <w:tabs>
          <w:tab w:val="left" w:pos="90"/>
        </w:tabs>
        <w:autoSpaceDE w:val="0"/>
        <w:autoSpaceDN w:val="0"/>
        <w:rPr>
          <w:rFonts w:cs="Arial"/>
          <w:color w:val="000000"/>
          <w:u w:val="single"/>
        </w:rPr>
      </w:pPr>
      <w:r w:rsidRPr="00476BBA">
        <w:rPr>
          <w:rFonts w:cs="Arial"/>
          <w:color w:val="000000"/>
          <w:u w:val="single"/>
        </w:rPr>
        <w:t xml:space="preserve">INTERNATIONAL COMMUNITY OF BREEDERS OF ASEXUALLY REPRODUCED </w:t>
      </w:r>
    </w:p>
    <w:p w:rsidR="00D539E8" w:rsidRPr="00476BBA" w:rsidRDefault="00D539E8" w:rsidP="00AC0DE9">
      <w:pPr>
        <w:widowControl w:val="0"/>
        <w:tabs>
          <w:tab w:val="left" w:pos="90"/>
        </w:tabs>
        <w:autoSpaceDE w:val="0"/>
        <w:autoSpaceDN w:val="0"/>
        <w:rPr>
          <w:rFonts w:cs="Arial"/>
          <w:color w:val="000000"/>
          <w:u w:val="single"/>
        </w:rPr>
      </w:pPr>
      <w:r w:rsidRPr="00476BBA">
        <w:rPr>
          <w:rFonts w:cs="Arial"/>
          <w:color w:val="000000"/>
          <w:u w:val="single"/>
        </w:rPr>
        <w:t xml:space="preserve">ORNAMENTAL AND FRUIT PLANTS (CIOPORA) / INTERNATIONALE </w:t>
      </w:r>
    </w:p>
    <w:p w:rsidR="00D539E8" w:rsidRPr="00476BBA" w:rsidRDefault="00D539E8" w:rsidP="00AC0DE9">
      <w:pPr>
        <w:widowControl w:val="0"/>
        <w:tabs>
          <w:tab w:val="left" w:pos="90"/>
        </w:tabs>
        <w:autoSpaceDE w:val="0"/>
        <w:autoSpaceDN w:val="0"/>
        <w:rPr>
          <w:rFonts w:cs="Arial"/>
          <w:color w:val="000000"/>
          <w:u w:val="single"/>
        </w:rPr>
      </w:pPr>
      <w:r w:rsidRPr="00476BBA">
        <w:rPr>
          <w:rFonts w:cs="Arial"/>
          <w:color w:val="000000"/>
          <w:u w:val="single"/>
        </w:rPr>
        <w:t>GEMEINSCHAFT DER ZÜCHTER V</w:t>
      </w:r>
    </w:p>
    <w:p w:rsidR="00D539E8" w:rsidRPr="00476BBA" w:rsidRDefault="00D539E8" w:rsidP="00AC0DE9">
      <w:pPr>
        <w:widowControl w:val="0"/>
        <w:tabs>
          <w:tab w:val="left" w:pos="90"/>
        </w:tabs>
        <w:autoSpaceDE w:val="0"/>
        <w:autoSpaceDN w:val="0"/>
        <w:rPr>
          <w:rFonts w:cs="Arial"/>
          <w:color w:val="000000"/>
          <w:u w:val="single"/>
        </w:rPr>
      </w:pPr>
    </w:p>
    <w:p w:rsidR="00D539E8" w:rsidRPr="00476BBA" w:rsidRDefault="00D539E8" w:rsidP="00AC0DE9">
      <w:pPr>
        <w:widowControl w:val="0"/>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D539E8" w:rsidRPr="00476BBA" w:rsidRDefault="00D539E8" w:rsidP="00AC0DE9">
      <w:pPr>
        <w:widowControl w:val="0"/>
        <w:tabs>
          <w:tab w:val="left" w:pos="90"/>
        </w:tabs>
        <w:autoSpaceDE w:val="0"/>
        <w:autoSpaceDN w:val="0"/>
        <w:rPr>
          <w:rFonts w:cs="Arial"/>
          <w:color w:val="000000"/>
        </w:rPr>
      </w:pPr>
    </w:p>
    <w:p w:rsidR="00D539E8" w:rsidRPr="00476BBA" w:rsidRDefault="00D539E8" w:rsidP="00AC0DE9">
      <w:pPr>
        <w:widowControl w:val="0"/>
        <w:tabs>
          <w:tab w:val="left" w:pos="90"/>
        </w:tabs>
        <w:autoSpaceDE w:val="0"/>
        <w:autoSpaceDN w:val="0"/>
        <w:rPr>
          <w:rFonts w:cs="Arial"/>
          <w:color w:val="000000"/>
        </w:rPr>
      </w:pPr>
      <w:r w:rsidRPr="00476BBA">
        <w:rPr>
          <w:rFonts w:cs="Arial"/>
          <w:color w:val="000000"/>
        </w:rPr>
        <w:t xml:space="preserve">Edgar KRIEGER, Secretary General, International Community of Breeders of Asexually Reproduced Ornamental and Fruit Plants (CIOPORA), Hamburg, Germany (e-mail: edgar.krieger@ciopora.org)  </w:t>
      </w:r>
    </w:p>
    <w:p w:rsidR="00D539E8" w:rsidRPr="00476BBA" w:rsidRDefault="00D539E8" w:rsidP="00AC0DE9">
      <w:pPr>
        <w:widowControl w:val="0"/>
        <w:tabs>
          <w:tab w:val="left" w:pos="90"/>
        </w:tabs>
        <w:autoSpaceDE w:val="0"/>
        <w:autoSpaceDN w:val="0"/>
        <w:rPr>
          <w:rFonts w:cs="Arial"/>
          <w:color w:val="000000"/>
        </w:rPr>
      </w:pPr>
    </w:p>
    <w:p w:rsidR="00D539E8" w:rsidRPr="00476BBA" w:rsidRDefault="00D539E8" w:rsidP="007D1918">
      <w:pPr>
        <w:keepNext/>
        <w:keepLines/>
        <w:widowControl w:val="0"/>
        <w:tabs>
          <w:tab w:val="left" w:pos="90"/>
        </w:tabs>
        <w:autoSpaceDE w:val="0"/>
        <w:autoSpaceDN w:val="0"/>
        <w:rPr>
          <w:rFonts w:cs="Arial"/>
          <w:color w:val="000000"/>
        </w:rPr>
      </w:pPr>
      <w:r w:rsidRPr="00476BBA">
        <w:rPr>
          <w:rFonts w:cs="Arial"/>
          <w:color w:val="000000"/>
        </w:rPr>
        <w:t>Dominique THÉVENON</w:t>
      </w:r>
      <w:r>
        <w:rPr>
          <w:rFonts w:cs="Arial"/>
          <w:color w:val="000000"/>
        </w:rPr>
        <w:t xml:space="preserve"> (</w:t>
      </w:r>
      <w:proofErr w:type="spellStart"/>
      <w:r>
        <w:rPr>
          <w:rFonts w:cs="Arial"/>
          <w:color w:val="000000"/>
        </w:rPr>
        <w:t>M</w:t>
      </w:r>
      <w:r w:rsidRPr="00476BBA">
        <w:rPr>
          <w:rFonts w:cs="Arial"/>
          <w:color w:val="000000"/>
        </w:rPr>
        <w:t>me</w:t>
      </w:r>
      <w:proofErr w:type="spellEnd"/>
      <w:r w:rsidRPr="00476BBA">
        <w:rPr>
          <w:rFonts w:cs="Arial"/>
          <w:color w:val="000000"/>
        </w:rPr>
        <w:t xml:space="preserve">), Board member, Treasurer - AIGN, International Community of Breeders of Asexually Reproduced Ornamental and Fruit Plants  (CIOPORA), Hamburg, Germany </w:t>
      </w:r>
    </w:p>
    <w:p w:rsidR="00D539E8" w:rsidRPr="00476BBA" w:rsidRDefault="00D539E8" w:rsidP="00AC0DE9">
      <w:pPr>
        <w:widowControl w:val="0"/>
        <w:tabs>
          <w:tab w:val="left" w:pos="90"/>
        </w:tabs>
        <w:autoSpaceDE w:val="0"/>
        <w:autoSpaceDN w:val="0"/>
        <w:rPr>
          <w:rFonts w:cs="Arial"/>
          <w:color w:val="000000"/>
        </w:rPr>
      </w:pPr>
      <w:r w:rsidRPr="00476BBA">
        <w:rPr>
          <w:rFonts w:cs="Arial"/>
          <w:color w:val="000000"/>
        </w:rPr>
        <w:t>(</w:t>
      </w:r>
      <w:proofErr w:type="gramStart"/>
      <w:r w:rsidRPr="00476BBA">
        <w:rPr>
          <w:rFonts w:cs="Arial"/>
          <w:color w:val="000000"/>
        </w:rPr>
        <w:t>e-mail</w:t>
      </w:r>
      <w:proofErr w:type="gramEnd"/>
      <w:r w:rsidRPr="00476BBA">
        <w:rPr>
          <w:rFonts w:cs="Arial"/>
          <w:color w:val="000000"/>
        </w:rPr>
        <w:t xml:space="preserve">: t.dominique4@aliceadsl.fr)  </w:t>
      </w:r>
    </w:p>
    <w:p w:rsidR="00D539E8" w:rsidRDefault="00D539E8" w:rsidP="00AC0DE9">
      <w:pPr>
        <w:widowControl w:val="0"/>
        <w:tabs>
          <w:tab w:val="left" w:pos="90"/>
        </w:tabs>
        <w:autoSpaceDE w:val="0"/>
        <w:autoSpaceDN w:val="0"/>
        <w:rPr>
          <w:rFonts w:cs="Arial"/>
          <w:color w:val="000000"/>
        </w:rPr>
      </w:pPr>
    </w:p>
    <w:p w:rsidR="00D539E8" w:rsidRPr="00476BBA" w:rsidRDefault="00D539E8" w:rsidP="00722730">
      <w:pPr>
        <w:keepNext/>
        <w:widowControl w:val="0"/>
        <w:tabs>
          <w:tab w:val="left" w:pos="90"/>
        </w:tabs>
        <w:autoSpaceDE w:val="0"/>
        <w:autoSpaceDN w:val="0"/>
        <w:rPr>
          <w:rFonts w:cs="Arial"/>
          <w:color w:val="000000"/>
          <w:u w:val="single"/>
        </w:rPr>
      </w:pPr>
      <w:r w:rsidRPr="00476BBA">
        <w:rPr>
          <w:rFonts w:cs="Arial"/>
          <w:color w:val="000000"/>
          <w:u w:val="single"/>
        </w:rPr>
        <w:t>INTERNATIONAL SEED FEDERATION (ISF)</w:t>
      </w:r>
    </w:p>
    <w:p w:rsidR="00D539E8" w:rsidRPr="00476BBA" w:rsidRDefault="00D539E8" w:rsidP="00722730">
      <w:pPr>
        <w:keepNext/>
        <w:widowControl w:val="0"/>
        <w:tabs>
          <w:tab w:val="left" w:pos="90"/>
        </w:tabs>
        <w:autoSpaceDE w:val="0"/>
        <w:autoSpaceDN w:val="0"/>
        <w:rPr>
          <w:rFonts w:cs="Arial"/>
          <w:color w:val="000000"/>
          <w:u w:val="single"/>
        </w:rPr>
      </w:pPr>
    </w:p>
    <w:p w:rsidR="00D539E8" w:rsidRPr="00476BBA" w:rsidRDefault="00D539E8" w:rsidP="006A7061">
      <w:pPr>
        <w:widowControl w:val="0"/>
        <w:tabs>
          <w:tab w:val="left" w:pos="90"/>
        </w:tabs>
        <w:autoSpaceDE w:val="0"/>
        <w:autoSpaceDN w:val="0"/>
        <w:rPr>
          <w:rFonts w:cs="Arial"/>
          <w:color w:val="000000"/>
        </w:rPr>
      </w:pPr>
      <w:r w:rsidRPr="001331C4">
        <w:rPr>
          <w:rFonts w:cs="Arial"/>
          <w:color w:val="000000"/>
        </w:rPr>
        <w:t xml:space="preserve">Michael KELLER, Secretary General, </w:t>
      </w:r>
      <w:proofErr w:type="spellStart"/>
      <w:proofErr w:type="gramStart"/>
      <w:r w:rsidRPr="001331C4">
        <w:rPr>
          <w:rFonts w:cs="Arial"/>
          <w:color w:val="000000"/>
        </w:rPr>
        <w:t>Nyon</w:t>
      </w:r>
      <w:proofErr w:type="spellEnd"/>
      <w:proofErr w:type="gramEnd"/>
      <w:r w:rsidRPr="001331C4">
        <w:rPr>
          <w:rFonts w:cs="Arial"/>
          <w:color w:val="000000"/>
        </w:rPr>
        <w:t>, Switzerland (e-mail: m.keller@worldseed.org)</w:t>
      </w:r>
      <w:r w:rsidRPr="00476BBA">
        <w:rPr>
          <w:rFonts w:cs="Arial"/>
          <w:color w:val="000000"/>
        </w:rPr>
        <w:t xml:space="preserve"> </w:t>
      </w:r>
    </w:p>
    <w:p w:rsidR="00D539E8" w:rsidRPr="00476BBA" w:rsidRDefault="00D539E8" w:rsidP="006A7061">
      <w:pPr>
        <w:widowControl w:val="0"/>
        <w:tabs>
          <w:tab w:val="left" w:pos="90"/>
        </w:tabs>
        <w:autoSpaceDE w:val="0"/>
        <w:autoSpaceDN w:val="0"/>
        <w:rPr>
          <w:rFonts w:cs="Arial"/>
          <w:color w:val="000000"/>
        </w:rPr>
      </w:pPr>
      <w:r w:rsidRPr="00476BBA">
        <w:rPr>
          <w:rFonts w:cs="Arial"/>
          <w:color w:val="000000"/>
        </w:rPr>
        <w:t xml:space="preserve"> </w:t>
      </w:r>
    </w:p>
    <w:p w:rsidR="00D539E8" w:rsidRPr="00476BBA" w:rsidRDefault="00D539E8" w:rsidP="006A7061">
      <w:pPr>
        <w:widowControl w:val="0"/>
        <w:tabs>
          <w:tab w:val="left" w:pos="90"/>
        </w:tabs>
        <w:autoSpaceDE w:val="0"/>
        <w:autoSpaceDN w:val="0"/>
        <w:rPr>
          <w:rFonts w:cs="Arial"/>
          <w:color w:val="000000"/>
        </w:rPr>
      </w:pPr>
      <w:proofErr w:type="spellStart"/>
      <w:r w:rsidRPr="00476BBA">
        <w:rPr>
          <w:rFonts w:cs="Arial"/>
          <w:color w:val="000000"/>
        </w:rPr>
        <w:t>Stevan</w:t>
      </w:r>
      <w:proofErr w:type="spellEnd"/>
      <w:r w:rsidRPr="00476BBA">
        <w:rPr>
          <w:rFonts w:cs="Arial"/>
          <w:color w:val="000000"/>
        </w:rPr>
        <w:t xml:space="preserve"> MADJARAC, Representative, American Seed Trade Association (ASTA), Alexandria, </w:t>
      </w:r>
    </w:p>
    <w:p w:rsidR="00D539E8" w:rsidRPr="00476BBA" w:rsidRDefault="00D539E8" w:rsidP="006A7061">
      <w:pPr>
        <w:widowControl w:val="0"/>
        <w:tabs>
          <w:tab w:val="left" w:pos="90"/>
        </w:tabs>
        <w:autoSpaceDE w:val="0"/>
        <w:autoSpaceDN w:val="0"/>
        <w:rPr>
          <w:rFonts w:cs="Arial"/>
          <w:color w:val="000000"/>
        </w:rPr>
      </w:pPr>
      <w:r w:rsidRPr="00476BBA">
        <w:rPr>
          <w:rFonts w:cs="Arial"/>
          <w:color w:val="000000"/>
        </w:rPr>
        <w:t xml:space="preserve">United States of America (e-mail: smadjarac@gmail.com)  </w:t>
      </w:r>
    </w:p>
    <w:p w:rsidR="00D539E8" w:rsidRDefault="00D539E8" w:rsidP="006A7061">
      <w:pPr>
        <w:widowControl w:val="0"/>
        <w:tabs>
          <w:tab w:val="left" w:pos="90"/>
        </w:tabs>
        <w:autoSpaceDE w:val="0"/>
        <w:autoSpaceDN w:val="0"/>
        <w:rPr>
          <w:rFonts w:cs="Arial"/>
          <w:color w:val="000000"/>
        </w:rPr>
      </w:pPr>
    </w:p>
    <w:p w:rsidR="00D539E8" w:rsidRPr="007D1918" w:rsidRDefault="00D539E8" w:rsidP="006A7061">
      <w:pPr>
        <w:widowControl w:val="0"/>
        <w:tabs>
          <w:tab w:val="left" w:pos="90"/>
        </w:tabs>
        <w:autoSpaceDE w:val="0"/>
        <w:autoSpaceDN w:val="0"/>
        <w:rPr>
          <w:rFonts w:cs="Arial"/>
          <w:color w:val="000000"/>
        </w:rPr>
      </w:pPr>
      <w:r w:rsidRPr="007D1918">
        <w:rPr>
          <w:rFonts w:cs="Arial"/>
          <w:color w:val="000000"/>
        </w:rPr>
        <w:t>Diego A. RISSO, Secretary General of URUPOV (e-mail: drisso@saaseed.org)</w:t>
      </w:r>
    </w:p>
    <w:p w:rsidR="00D539E8" w:rsidRPr="007D1918" w:rsidRDefault="00D539E8" w:rsidP="006A7061">
      <w:pPr>
        <w:widowControl w:val="0"/>
        <w:tabs>
          <w:tab w:val="left" w:pos="90"/>
        </w:tabs>
        <w:autoSpaceDE w:val="0"/>
        <w:autoSpaceDN w:val="0"/>
        <w:rPr>
          <w:rFonts w:cs="Arial"/>
          <w:color w:val="000000"/>
        </w:rPr>
      </w:pPr>
    </w:p>
    <w:p w:rsidR="00D539E8" w:rsidRPr="007D1918" w:rsidRDefault="00D539E8" w:rsidP="006A7061">
      <w:pPr>
        <w:widowControl w:val="0"/>
        <w:tabs>
          <w:tab w:val="left" w:pos="90"/>
        </w:tabs>
        <w:autoSpaceDE w:val="0"/>
        <w:autoSpaceDN w:val="0"/>
        <w:rPr>
          <w:rFonts w:cs="Arial"/>
          <w:color w:val="000000"/>
        </w:rPr>
      </w:pPr>
      <w:r w:rsidRPr="007D1918">
        <w:rPr>
          <w:rFonts w:cs="Arial"/>
          <w:color w:val="000000"/>
        </w:rPr>
        <w:t xml:space="preserve">Stephen SMITH, </w:t>
      </w:r>
      <w:proofErr w:type="spellStart"/>
      <w:r w:rsidRPr="007D1918">
        <w:rPr>
          <w:rFonts w:cs="Arial"/>
          <w:color w:val="000000"/>
        </w:rPr>
        <w:t>Germplasm</w:t>
      </w:r>
      <w:proofErr w:type="spellEnd"/>
      <w:r w:rsidRPr="007D1918">
        <w:rPr>
          <w:rFonts w:cs="Arial"/>
          <w:color w:val="000000"/>
        </w:rPr>
        <w:t xml:space="preserve"> Security Coordinator, DuPont Pioneer, Johnston, </w:t>
      </w:r>
      <w:proofErr w:type="spellStart"/>
      <w:r w:rsidRPr="007D1918">
        <w:rPr>
          <w:rFonts w:cs="Arial"/>
          <w:color w:val="000000"/>
        </w:rPr>
        <w:t>États</w:t>
      </w:r>
      <w:proofErr w:type="spellEnd"/>
      <w:r w:rsidRPr="007D1918">
        <w:rPr>
          <w:rFonts w:cs="Arial"/>
          <w:color w:val="000000"/>
        </w:rPr>
        <w:t xml:space="preserve">-Unis </w:t>
      </w:r>
      <w:proofErr w:type="spellStart"/>
      <w:r w:rsidRPr="007D1918">
        <w:rPr>
          <w:rFonts w:cs="Arial"/>
          <w:color w:val="000000"/>
        </w:rPr>
        <w:t>d'Amérique</w:t>
      </w:r>
      <w:proofErr w:type="spellEnd"/>
      <w:r w:rsidRPr="007D1918">
        <w:rPr>
          <w:rFonts w:cs="Arial"/>
          <w:color w:val="000000"/>
        </w:rPr>
        <w:t xml:space="preserve"> </w:t>
      </w:r>
    </w:p>
    <w:p w:rsidR="00D539E8" w:rsidRPr="00476BBA" w:rsidRDefault="00D539E8" w:rsidP="006A7061">
      <w:pPr>
        <w:widowControl w:val="0"/>
        <w:tabs>
          <w:tab w:val="left" w:pos="90"/>
        </w:tabs>
        <w:autoSpaceDE w:val="0"/>
        <w:autoSpaceDN w:val="0"/>
        <w:rPr>
          <w:rFonts w:cs="Arial"/>
          <w:color w:val="000000"/>
        </w:rPr>
      </w:pPr>
      <w:r w:rsidRPr="007D1918">
        <w:rPr>
          <w:rFonts w:cs="Arial"/>
          <w:color w:val="000000"/>
        </w:rPr>
        <w:t>(</w:t>
      </w:r>
      <w:proofErr w:type="gramStart"/>
      <w:r w:rsidRPr="007D1918">
        <w:rPr>
          <w:rFonts w:cs="Arial"/>
          <w:color w:val="000000"/>
        </w:rPr>
        <w:t>e-mail</w:t>
      </w:r>
      <w:proofErr w:type="gramEnd"/>
      <w:r w:rsidRPr="007D1918">
        <w:rPr>
          <w:rFonts w:cs="Arial"/>
          <w:color w:val="000000"/>
        </w:rPr>
        <w:t>: stephen.smith@pioneer.com)</w:t>
      </w:r>
    </w:p>
    <w:p w:rsidR="00D539E8" w:rsidRDefault="00D539E8" w:rsidP="006A7061">
      <w:pPr>
        <w:widowControl w:val="0"/>
        <w:tabs>
          <w:tab w:val="left" w:pos="90"/>
        </w:tabs>
        <w:autoSpaceDE w:val="0"/>
        <w:autoSpaceDN w:val="0"/>
        <w:rPr>
          <w:rFonts w:cs="Arial"/>
          <w:color w:val="000000"/>
        </w:rPr>
      </w:pPr>
    </w:p>
    <w:p w:rsidR="00D539E8" w:rsidRPr="001D4989" w:rsidRDefault="00D539E8" w:rsidP="007879C6">
      <w:pPr>
        <w:keepNext/>
        <w:widowControl w:val="0"/>
        <w:tabs>
          <w:tab w:val="left" w:pos="90"/>
        </w:tabs>
        <w:autoSpaceDE w:val="0"/>
        <w:autoSpaceDN w:val="0"/>
        <w:adjustRightInd w:val="0"/>
        <w:rPr>
          <w:rFonts w:cs="Arial"/>
          <w:color w:val="000000"/>
          <w:u w:val="single"/>
        </w:rPr>
      </w:pPr>
      <w:r w:rsidRPr="001D4989">
        <w:rPr>
          <w:rFonts w:cs="Arial"/>
          <w:color w:val="000000"/>
          <w:u w:val="single"/>
        </w:rPr>
        <w:t>EUROPEAN SEED ASSOCIATION (ESA)</w:t>
      </w:r>
    </w:p>
    <w:p w:rsidR="00D539E8" w:rsidRDefault="00D539E8" w:rsidP="007879C6">
      <w:pPr>
        <w:keepNext/>
        <w:widowControl w:val="0"/>
        <w:tabs>
          <w:tab w:val="left" w:pos="90"/>
        </w:tabs>
        <w:autoSpaceDE w:val="0"/>
        <w:autoSpaceDN w:val="0"/>
        <w:adjustRightInd w:val="0"/>
        <w:rPr>
          <w:rFonts w:cs="Arial"/>
          <w:color w:val="000000"/>
        </w:rPr>
      </w:pPr>
    </w:p>
    <w:p w:rsidR="00D539E8" w:rsidRPr="00E73C16" w:rsidRDefault="00D539E8" w:rsidP="007879C6">
      <w:pPr>
        <w:keepNext/>
        <w:widowControl w:val="0"/>
        <w:tabs>
          <w:tab w:val="left" w:pos="90"/>
        </w:tabs>
        <w:autoSpaceDE w:val="0"/>
        <w:autoSpaceDN w:val="0"/>
        <w:adjustRightInd w:val="0"/>
        <w:rPr>
          <w:rFonts w:cs="Arial"/>
          <w:color w:val="000000"/>
          <w:lang w:val="fr-CH"/>
        </w:rPr>
      </w:pPr>
      <w:r w:rsidRPr="00E73C16">
        <w:rPr>
          <w:rFonts w:cs="Arial"/>
          <w:color w:val="000000"/>
          <w:lang w:val="fr-CH"/>
        </w:rPr>
        <w:t xml:space="preserve">Hélène GUILLOT (Mlle), </w:t>
      </w:r>
      <w:proofErr w:type="spellStart"/>
      <w:r w:rsidRPr="00E73C16">
        <w:rPr>
          <w:rFonts w:cs="Arial"/>
          <w:color w:val="000000"/>
          <w:lang w:val="fr-CH"/>
        </w:rPr>
        <w:t>Lawyer</w:t>
      </w:r>
      <w:proofErr w:type="spellEnd"/>
      <w:r w:rsidRPr="00E73C16">
        <w:rPr>
          <w:rFonts w:cs="Arial"/>
          <w:color w:val="000000"/>
          <w:lang w:val="fr-CH"/>
        </w:rPr>
        <w:t xml:space="preserve">, Union Française des Semenciers (UFS), Paris, France </w:t>
      </w:r>
      <w:r w:rsidRPr="00E73C16">
        <w:rPr>
          <w:rFonts w:cs="Arial"/>
          <w:color w:val="000000"/>
          <w:lang w:val="fr-CH"/>
        </w:rPr>
        <w:br/>
        <w:t xml:space="preserve">(e-mail: helene.guillot@ufs-asso.com)  </w:t>
      </w:r>
    </w:p>
    <w:p w:rsidR="00D539E8" w:rsidRPr="00E73C16" w:rsidRDefault="00D539E8" w:rsidP="007879C6">
      <w:pPr>
        <w:keepNext/>
        <w:widowControl w:val="0"/>
        <w:tabs>
          <w:tab w:val="left" w:pos="90"/>
        </w:tabs>
        <w:autoSpaceDE w:val="0"/>
        <w:autoSpaceDN w:val="0"/>
        <w:rPr>
          <w:rFonts w:cs="Arial"/>
          <w:color w:val="000000"/>
          <w:lang w:val="fr-CH"/>
        </w:rPr>
      </w:pPr>
    </w:p>
    <w:p w:rsidR="00D539E8" w:rsidRPr="001D4989" w:rsidRDefault="00D539E8" w:rsidP="007879C6">
      <w:pPr>
        <w:keepNext/>
        <w:widowControl w:val="0"/>
        <w:tabs>
          <w:tab w:val="left" w:pos="90"/>
        </w:tabs>
        <w:autoSpaceDE w:val="0"/>
        <w:autoSpaceDN w:val="0"/>
        <w:adjustRightInd w:val="0"/>
        <w:rPr>
          <w:rFonts w:cs="Arial"/>
          <w:color w:val="000000"/>
        </w:rPr>
      </w:pPr>
      <w:r w:rsidRPr="00FA1497">
        <w:rPr>
          <w:rFonts w:cs="Arial"/>
          <w:color w:val="000000"/>
        </w:rPr>
        <w:t xml:space="preserve">Judith DE ROOS - BLOKLAND (Mrs.), Lawyer, Regulatory and Legal Affairs, </w:t>
      </w:r>
      <w:proofErr w:type="spellStart"/>
      <w:r w:rsidRPr="00FA1497">
        <w:rPr>
          <w:rFonts w:cs="Arial"/>
          <w:color w:val="000000"/>
        </w:rPr>
        <w:t>Plantum</w:t>
      </w:r>
      <w:proofErr w:type="spellEnd"/>
      <w:r w:rsidRPr="00FA1497">
        <w:rPr>
          <w:rFonts w:cs="Arial"/>
          <w:color w:val="000000"/>
        </w:rPr>
        <w:t xml:space="preserve"> NL, Gouda, Pays-Bas (e-mail: j.blokland@plantum.nl)</w:t>
      </w:r>
      <w:r w:rsidRPr="001D4989">
        <w:rPr>
          <w:rFonts w:cs="Arial"/>
          <w:color w:val="000000"/>
        </w:rPr>
        <w:t xml:space="preserve">  </w:t>
      </w:r>
    </w:p>
    <w:p w:rsidR="00D539E8" w:rsidRDefault="00D539E8" w:rsidP="007879C6">
      <w:pPr>
        <w:keepNext/>
        <w:widowControl w:val="0"/>
        <w:tabs>
          <w:tab w:val="left" w:pos="90"/>
        </w:tabs>
        <w:autoSpaceDE w:val="0"/>
        <w:autoSpaceDN w:val="0"/>
        <w:rPr>
          <w:rFonts w:cs="Arial"/>
          <w:color w:val="000000"/>
        </w:rPr>
      </w:pPr>
    </w:p>
    <w:p w:rsidR="00D539E8" w:rsidRDefault="00D539E8" w:rsidP="00AC0DE9">
      <w:pPr>
        <w:widowControl w:val="0"/>
        <w:tabs>
          <w:tab w:val="left" w:pos="90"/>
        </w:tabs>
        <w:autoSpaceDE w:val="0"/>
        <w:autoSpaceDN w:val="0"/>
        <w:rPr>
          <w:rFonts w:cs="Arial"/>
          <w:color w:val="000000"/>
        </w:rPr>
      </w:pPr>
    </w:p>
    <w:p w:rsidR="00D539E8" w:rsidRPr="00476BBA" w:rsidRDefault="00D539E8" w:rsidP="00AC0DE9">
      <w:pPr>
        <w:widowControl w:val="0"/>
        <w:tabs>
          <w:tab w:val="left" w:pos="90"/>
        </w:tabs>
        <w:autoSpaceDE w:val="0"/>
        <w:autoSpaceDN w:val="0"/>
        <w:rPr>
          <w:rFonts w:cs="Arial"/>
          <w:color w:val="000000"/>
        </w:rPr>
      </w:pPr>
    </w:p>
    <w:p w:rsidR="00D539E8" w:rsidRPr="00AC0DE9" w:rsidRDefault="00D539E8" w:rsidP="00FF5CE1">
      <w:pPr>
        <w:keepNext/>
        <w:jc w:val="center"/>
        <w:rPr>
          <w:rFonts w:cs="Arial"/>
          <w:u w:val="single"/>
        </w:rPr>
      </w:pPr>
      <w:r w:rsidRPr="00E73C16">
        <w:rPr>
          <w:rFonts w:cs="Arial"/>
        </w:rPr>
        <w:t>I</w:t>
      </w:r>
      <w:r>
        <w:rPr>
          <w:rFonts w:cs="Arial"/>
        </w:rPr>
        <w:t>II</w:t>
      </w:r>
      <w:r w:rsidRPr="00AC0DE9">
        <w:rPr>
          <w:rFonts w:cs="Arial"/>
        </w:rPr>
        <w:t>.</w:t>
      </w:r>
      <w:r w:rsidRPr="00AC0DE9">
        <w:rPr>
          <w:rFonts w:cs="Arial"/>
        </w:rPr>
        <w:tab/>
      </w:r>
      <w:r w:rsidRPr="00AC0DE9">
        <w:rPr>
          <w:rFonts w:cs="Arial"/>
          <w:u w:val="single"/>
        </w:rPr>
        <w:t>BUREAU / OFFICER / VORSITZ / OFICINA</w:t>
      </w:r>
    </w:p>
    <w:p w:rsidR="00D539E8" w:rsidRPr="00AC0DE9" w:rsidRDefault="00D539E8" w:rsidP="00FF5CE1">
      <w:pPr>
        <w:keepNext/>
        <w:jc w:val="center"/>
        <w:rPr>
          <w:rFonts w:cs="Arial"/>
          <w:highlight w:val="yellow"/>
        </w:rPr>
      </w:pPr>
    </w:p>
    <w:p w:rsidR="00D539E8" w:rsidRPr="00E73C16" w:rsidRDefault="00D539E8" w:rsidP="00FF5CE1">
      <w:pPr>
        <w:keepNext/>
        <w:rPr>
          <w:rFonts w:cs="Arial"/>
          <w:highlight w:val="yellow"/>
        </w:rPr>
      </w:pPr>
      <w:r w:rsidRPr="00044149">
        <w:rPr>
          <w:rFonts w:cs="Arial"/>
        </w:rPr>
        <w:t>Peter BUTTON, Chair</w:t>
      </w:r>
    </w:p>
    <w:p w:rsidR="00D539E8" w:rsidRPr="00E73C16" w:rsidRDefault="00D539E8" w:rsidP="00AC0DE9">
      <w:pPr>
        <w:jc w:val="center"/>
        <w:rPr>
          <w:rFonts w:cs="Arial"/>
        </w:rPr>
      </w:pPr>
    </w:p>
    <w:p w:rsidR="00D539E8" w:rsidRPr="00E73C16" w:rsidRDefault="00D539E8" w:rsidP="00AC0DE9">
      <w:pPr>
        <w:jc w:val="center"/>
        <w:rPr>
          <w:rFonts w:cs="Arial"/>
        </w:rPr>
      </w:pPr>
    </w:p>
    <w:p w:rsidR="00D539E8" w:rsidRPr="00E73C16" w:rsidRDefault="00D539E8" w:rsidP="00AC0DE9">
      <w:pPr>
        <w:jc w:val="center"/>
        <w:rPr>
          <w:rFonts w:cs="Arial"/>
        </w:rPr>
      </w:pPr>
    </w:p>
    <w:p w:rsidR="00D539E8" w:rsidRPr="00E73C16" w:rsidRDefault="00D539E8" w:rsidP="00AC0DE9">
      <w:pPr>
        <w:keepNext/>
        <w:jc w:val="center"/>
        <w:rPr>
          <w:rFonts w:cs="Arial"/>
          <w:u w:val="single"/>
        </w:rPr>
      </w:pPr>
      <w:r>
        <w:rPr>
          <w:rFonts w:cs="Arial"/>
          <w:lang w:val="pt-BR"/>
        </w:rPr>
        <w:t>IV</w:t>
      </w:r>
      <w:r w:rsidRPr="00AC0DE9">
        <w:rPr>
          <w:rFonts w:cs="Arial"/>
          <w:lang w:val="pt-BR"/>
        </w:rPr>
        <w:t>.</w:t>
      </w:r>
      <w:r w:rsidRPr="00AC0DE9">
        <w:rPr>
          <w:rFonts w:cs="Arial"/>
          <w:lang w:val="pt-BR"/>
        </w:rPr>
        <w:tab/>
      </w:r>
      <w:r w:rsidRPr="00AC0DE9">
        <w:rPr>
          <w:rFonts w:cs="Arial"/>
          <w:u w:val="single"/>
          <w:lang w:val="pt-BR"/>
        </w:rPr>
        <w:t>BUREAU DE L’UPOV / OFFICE OF UPOV / BÜRO DER UPOV / OFICINA DE LA UPOV</w:t>
      </w:r>
    </w:p>
    <w:p w:rsidR="00D539E8" w:rsidRPr="00E73C16" w:rsidRDefault="00D539E8" w:rsidP="00AC0DE9">
      <w:pPr>
        <w:keepNext/>
        <w:jc w:val="center"/>
        <w:rPr>
          <w:rFonts w:cs="Arial"/>
        </w:rPr>
      </w:pPr>
    </w:p>
    <w:p w:rsidR="00D539E8" w:rsidRPr="00AC0DE9" w:rsidRDefault="00D539E8" w:rsidP="00AC0DE9">
      <w:pPr>
        <w:keepNext/>
        <w:rPr>
          <w:rFonts w:cs="Arial"/>
          <w:noProof/>
          <w:snapToGrid w:val="0"/>
        </w:rPr>
      </w:pPr>
      <w:r w:rsidRPr="00AC0DE9">
        <w:rPr>
          <w:rFonts w:cs="Arial"/>
          <w:noProof/>
          <w:snapToGrid w:val="0"/>
        </w:rPr>
        <w:t>Peter BUTTON, Vice Secretary-General</w:t>
      </w:r>
    </w:p>
    <w:p w:rsidR="00D539E8" w:rsidRPr="00AC0DE9" w:rsidRDefault="00D539E8" w:rsidP="00AC0DE9">
      <w:pPr>
        <w:keepNext/>
        <w:rPr>
          <w:rFonts w:cs="Arial"/>
          <w:noProof/>
          <w:snapToGrid w:val="0"/>
        </w:rPr>
      </w:pPr>
    </w:p>
    <w:p w:rsidR="00D539E8" w:rsidRPr="00AC0DE9" w:rsidRDefault="00D539E8" w:rsidP="00AC0DE9">
      <w:pPr>
        <w:keepNext/>
        <w:rPr>
          <w:rFonts w:cs="Arial"/>
          <w:noProof/>
          <w:snapToGrid w:val="0"/>
        </w:rPr>
      </w:pPr>
      <w:r w:rsidRPr="00AC0DE9">
        <w:rPr>
          <w:rFonts w:cs="Arial"/>
          <w:noProof/>
          <w:snapToGrid w:val="0"/>
        </w:rPr>
        <w:t>Yolanda HUERTA (Mrs.), Legal Counsel</w:t>
      </w:r>
    </w:p>
    <w:p w:rsidR="00D539E8" w:rsidRPr="00AC0DE9" w:rsidRDefault="00D539E8" w:rsidP="00AC0DE9">
      <w:pPr>
        <w:keepNext/>
        <w:rPr>
          <w:rFonts w:cs="Arial"/>
          <w:noProof/>
          <w:snapToGrid w:val="0"/>
        </w:rPr>
      </w:pPr>
    </w:p>
    <w:p w:rsidR="00D539E8" w:rsidRPr="00E73C16" w:rsidRDefault="00D539E8" w:rsidP="00AC0DE9">
      <w:pPr>
        <w:keepNext/>
        <w:rPr>
          <w:rFonts w:cs="Arial"/>
          <w:noProof/>
          <w:snapToGrid w:val="0"/>
        </w:rPr>
      </w:pPr>
      <w:r w:rsidRPr="00E73C16">
        <w:rPr>
          <w:rFonts w:cs="Arial"/>
          <w:noProof/>
          <w:snapToGrid w:val="0"/>
        </w:rPr>
        <w:t>Jun KOIDE, Technical/Regional Officer (Asia)</w:t>
      </w:r>
    </w:p>
    <w:p w:rsidR="00D539E8" w:rsidRPr="00AC0DE9" w:rsidRDefault="00D539E8" w:rsidP="00AC0DE9">
      <w:pPr>
        <w:keepNext/>
        <w:rPr>
          <w:rFonts w:cs="Arial"/>
          <w:noProof/>
          <w:snapToGrid w:val="0"/>
        </w:rPr>
      </w:pPr>
    </w:p>
    <w:p w:rsidR="00D539E8" w:rsidRPr="00E73C16" w:rsidRDefault="00D539E8" w:rsidP="00AC0DE9">
      <w:pPr>
        <w:keepNext/>
        <w:rPr>
          <w:rFonts w:cs="Arial"/>
          <w:noProof/>
          <w:snapToGrid w:val="0"/>
        </w:rPr>
      </w:pPr>
      <w:r w:rsidRPr="00E73C16">
        <w:rPr>
          <w:rFonts w:cs="Arial"/>
          <w:noProof/>
          <w:snapToGrid w:val="0"/>
        </w:rPr>
        <w:t>Ben RIVOIRE, Technical/Regional Officer (Africa, Arab countries)</w:t>
      </w:r>
    </w:p>
    <w:p w:rsidR="00D539E8" w:rsidRPr="00E73C16" w:rsidRDefault="00D539E8" w:rsidP="00AC0DE9">
      <w:pPr>
        <w:keepNext/>
        <w:rPr>
          <w:rFonts w:cs="Arial"/>
          <w:noProof/>
          <w:snapToGrid w:val="0"/>
        </w:rPr>
      </w:pPr>
    </w:p>
    <w:p w:rsidR="00D539E8" w:rsidRPr="00E73C16" w:rsidRDefault="00D539E8" w:rsidP="00AC0DE9">
      <w:pPr>
        <w:keepNext/>
        <w:rPr>
          <w:rFonts w:cs="Arial"/>
        </w:rPr>
      </w:pPr>
      <w:r w:rsidRPr="00E73C16">
        <w:rPr>
          <w:rFonts w:cs="Arial"/>
        </w:rPr>
        <w:t>Leontino TAVEIRA, Technical/Regional Officer (Latin America, Caribbean countries)</w:t>
      </w:r>
    </w:p>
    <w:p w:rsidR="00D539E8" w:rsidRPr="00E73C16" w:rsidRDefault="00D539E8" w:rsidP="0052102F">
      <w:pPr>
        <w:widowControl w:val="0"/>
        <w:tabs>
          <w:tab w:val="left" w:pos="90"/>
          <w:tab w:val="left" w:pos="3782"/>
        </w:tabs>
        <w:autoSpaceDE w:val="0"/>
        <w:autoSpaceDN w:val="0"/>
        <w:rPr>
          <w:rFonts w:cs="Arial"/>
          <w:color w:val="000000"/>
        </w:rPr>
      </w:pPr>
    </w:p>
    <w:p w:rsidR="00D539E8" w:rsidRPr="00E73C16" w:rsidRDefault="00D539E8" w:rsidP="0052102F">
      <w:pPr>
        <w:jc w:val="right"/>
        <w:rPr>
          <w:rFonts w:cs="Arial"/>
          <w:color w:val="000000"/>
        </w:rPr>
      </w:pPr>
    </w:p>
    <w:p w:rsidR="00D539E8" w:rsidRPr="00E73C16" w:rsidRDefault="00D539E8" w:rsidP="0052102F">
      <w:pPr>
        <w:jc w:val="right"/>
        <w:rPr>
          <w:rFonts w:cs="Arial"/>
          <w:color w:val="000000"/>
        </w:rPr>
      </w:pPr>
    </w:p>
    <w:p w:rsidR="00D539E8" w:rsidRPr="00E73C16" w:rsidRDefault="00D539E8" w:rsidP="0052102F">
      <w:pPr>
        <w:jc w:val="right"/>
        <w:rPr>
          <w:rFonts w:cs="Arial"/>
          <w:color w:val="000000"/>
        </w:rPr>
      </w:pPr>
    </w:p>
    <w:p w:rsidR="00D539E8" w:rsidRPr="0052102F" w:rsidRDefault="00D539E8" w:rsidP="0052102F">
      <w:pPr>
        <w:jc w:val="right"/>
        <w:rPr>
          <w:rFonts w:cs="Arial"/>
          <w:lang w:val="fr-FR"/>
        </w:rPr>
      </w:pPr>
      <w:r w:rsidRPr="0052102F">
        <w:rPr>
          <w:rFonts w:cs="Arial"/>
          <w:lang w:val="fr-FR"/>
        </w:rPr>
        <w:t xml:space="preserve">[Fin de l’annexe et du document / </w:t>
      </w:r>
    </w:p>
    <w:p w:rsidR="00D539E8" w:rsidRPr="0052102F" w:rsidRDefault="00D539E8" w:rsidP="0052102F">
      <w:pPr>
        <w:jc w:val="right"/>
        <w:rPr>
          <w:rFonts w:cs="Arial"/>
        </w:rPr>
      </w:pPr>
      <w:r w:rsidRPr="0052102F">
        <w:rPr>
          <w:rFonts w:cs="Arial"/>
        </w:rPr>
        <w:t xml:space="preserve">End of Annex and of document / </w:t>
      </w:r>
    </w:p>
    <w:p w:rsidR="00D539E8" w:rsidRPr="0052102F" w:rsidRDefault="00D539E8" w:rsidP="0052102F">
      <w:pPr>
        <w:jc w:val="right"/>
        <w:rPr>
          <w:rFonts w:cs="Arial"/>
          <w:lang w:val="de-DE"/>
        </w:rPr>
      </w:pPr>
      <w:r w:rsidRPr="0052102F">
        <w:rPr>
          <w:rFonts w:cs="Arial"/>
          <w:lang w:val="de-DE"/>
        </w:rPr>
        <w:t xml:space="preserve">Ende der Anlage und des Dokuments / </w:t>
      </w:r>
    </w:p>
    <w:p w:rsidR="00D539E8" w:rsidRPr="0052102F" w:rsidRDefault="00D539E8" w:rsidP="0052102F">
      <w:pPr>
        <w:jc w:val="right"/>
        <w:rPr>
          <w:rFonts w:cs="Arial"/>
          <w:lang w:val="es-ES"/>
        </w:rPr>
      </w:pPr>
      <w:r w:rsidRPr="0052102F">
        <w:rPr>
          <w:rFonts w:cs="Arial"/>
          <w:lang w:val="es-ES"/>
        </w:rPr>
        <w:t>Fin del Anexo y del documento]</w:t>
      </w:r>
    </w:p>
    <w:p w:rsidR="00D539E8" w:rsidRPr="0052102F" w:rsidRDefault="00D539E8" w:rsidP="0052102F">
      <w:pPr>
        <w:widowControl w:val="0"/>
        <w:tabs>
          <w:tab w:val="left" w:pos="90"/>
        </w:tabs>
        <w:autoSpaceDE w:val="0"/>
        <w:autoSpaceDN w:val="0"/>
        <w:rPr>
          <w:rFonts w:cs="Arial"/>
          <w:color w:val="000000"/>
          <w:lang w:val="es-ES"/>
        </w:rPr>
      </w:pPr>
    </w:p>
    <w:p w:rsidR="008C6E4E" w:rsidRPr="007429B5" w:rsidRDefault="008C6E4E" w:rsidP="007429B5"/>
    <w:sectPr w:rsidR="008C6E4E" w:rsidRPr="007429B5" w:rsidSect="00D539E8">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4DF" w:rsidRDefault="007254DF">
      <w:r>
        <w:separator/>
      </w:r>
    </w:p>
    <w:p w:rsidR="007254DF" w:rsidRDefault="007254DF"/>
    <w:p w:rsidR="007254DF" w:rsidRDefault="007254DF"/>
  </w:endnote>
  <w:endnote w:type="continuationSeparator" w:id="0">
    <w:p w:rsidR="007254DF" w:rsidRDefault="007254DF">
      <w:r>
        <w:separator/>
      </w:r>
    </w:p>
    <w:p w:rsidR="007254DF" w:rsidRPr="00A60312" w:rsidRDefault="007254DF">
      <w:pPr>
        <w:pStyle w:val="Footer"/>
        <w:spacing w:after="60"/>
        <w:rPr>
          <w:sz w:val="18"/>
          <w:lang w:val="fr-FR"/>
        </w:rPr>
      </w:pPr>
      <w:r w:rsidRPr="00A60312">
        <w:rPr>
          <w:sz w:val="18"/>
          <w:lang w:val="fr-FR"/>
        </w:rPr>
        <w:t>[Suite de la note de la page précédente]</w:t>
      </w:r>
    </w:p>
    <w:p w:rsidR="007254DF" w:rsidRPr="00A60312" w:rsidRDefault="007254DF">
      <w:pPr>
        <w:rPr>
          <w:lang w:val="fr-FR"/>
        </w:rPr>
      </w:pPr>
    </w:p>
    <w:p w:rsidR="007254DF" w:rsidRPr="00A60312" w:rsidRDefault="007254DF">
      <w:pPr>
        <w:rPr>
          <w:lang w:val="fr-FR"/>
        </w:rPr>
      </w:pPr>
    </w:p>
  </w:endnote>
  <w:endnote w:type="continuationNotice" w:id="1">
    <w:p w:rsidR="007254DF" w:rsidRPr="00A60312" w:rsidRDefault="007254DF">
      <w:pPr>
        <w:spacing w:before="60"/>
        <w:jc w:val="right"/>
        <w:rPr>
          <w:sz w:val="18"/>
          <w:lang w:val="fr-FR"/>
        </w:rPr>
      </w:pPr>
      <w:r w:rsidRPr="00A60312">
        <w:rPr>
          <w:sz w:val="18"/>
          <w:lang w:val="fr-FR"/>
        </w:rPr>
        <w:t>[Suite de la note page suivante]</w:t>
      </w:r>
    </w:p>
    <w:p w:rsidR="007254DF" w:rsidRPr="00A60312" w:rsidRDefault="007254DF">
      <w:pPr>
        <w:rPr>
          <w:lang w:val="fr-FR"/>
        </w:rPr>
      </w:pPr>
    </w:p>
    <w:p w:rsidR="007254DF" w:rsidRPr="00A60312" w:rsidRDefault="007254DF">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WAdobeF">
    <w:altName w:val="Times New Roman"/>
    <w:panose1 w:val="00000000000000000000"/>
    <w:charset w:val="00"/>
    <w:family w:val="auto"/>
    <w:pitch w:val="variable"/>
    <w:sig w:usb0="20002A85"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4DF" w:rsidRDefault="007254DF" w:rsidP="009D690D">
      <w:pPr>
        <w:spacing w:before="120"/>
      </w:pPr>
      <w:r>
        <w:separator/>
      </w:r>
    </w:p>
  </w:footnote>
  <w:footnote w:type="continuationSeparator" w:id="0">
    <w:p w:rsidR="007254DF" w:rsidRDefault="007254DF" w:rsidP="00520297">
      <w:pPr>
        <w:spacing w:before="120"/>
        <w:jc w:val="left"/>
      </w:pPr>
      <w:r>
        <w:separator/>
      </w:r>
    </w:p>
  </w:footnote>
  <w:footnote w:type="continuationNotice" w:id="1">
    <w:p w:rsidR="007254DF" w:rsidRDefault="007254DF"/>
  </w:footnote>
  <w:footnote w:id="2">
    <w:p w:rsidR="00A60E16" w:rsidRPr="0097065B" w:rsidRDefault="00A60E16" w:rsidP="00A60E16">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section 3.3 (iii))</w:t>
      </w:r>
      <w:r>
        <w:t>.</w:t>
      </w:r>
    </w:p>
    <w:p w:rsidR="00A60E16" w:rsidRPr="0097065B" w:rsidRDefault="00A60E16" w:rsidP="00A60E16">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DF" w:rsidRPr="00997029" w:rsidRDefault="007254DF" w:rsidP="00EB048E">
    <w:pPr>
      <w:pStyle w:val="Header"/>
      <w:rPr>
        <w:rStyle w:val="PageNumber"/>
      </w:rPr>
    </w:pPr>
    <w:r>
      <w:rPr>
        <w:rStyle w:val="PageNumber"/>
      </w:rPr>
      <w:t>CAJ-AG/14/9/6</w:t>
    </w:r>
  </w:p>
  <w:p w:rsidR="007254DF" w:rsidRPr="00997029" w:rsidRDefault="007254DF"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030AC">
      <w:rPr>
        <w:rStyle w:val="PageNumber"/>
        <w:noProof/>
      </w:rPr>
      <w:t>10</w:t>
    </w:r>
    <w:r w:rsidRPr="00997029">
      <w:rPr>
        <w:rStyle w:val="PageNumber"/>
      </w:rPr>
      <w:fldChar w:fldCharType="end"/>
    </w:r>
  </w:p>
  <w:p w:rsidR="007254DF" w:rsidRPr="00997029" w:rsidRDefault="007254DF"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02F" w:rsidRPr="0052102F" w:rsidRDefault="008030AC" w:rsidP="0052102F">
    <w:pPr>
      <w:pStyle w:val="Header"/>
      <w:rPr>
        <w:rFonts w:cs="Arial"/>
      </w:rPr>
    </w:pPr>
    <w:r w:rsidRPr="0052102F">
      <w:rPr>
        <w:rFonts w:cs="Arial"/>
      </w:rPr>
      <w:t>CAJ-AG/1</w:t>
    </w:r>
    <w:r>
      <w:rPr>
        <w:rFonts w:cs="Arial"/>
      </w:rPr>
      <w:t>4/9</w:t>
    </w:r>
    <w:r w:rsidRPr="0052102F">
      <w:rPr>
        <w:rFonts w:cs="Arial"/>
      </w:rPr>
      <w:t>/</w:t>
    </w:r>
    <w:r>
      <w:rPr>
        <w:rFonts w:cs="Arial"/>
      </w:rPr>
      <w:t>6</w:t>
    </w:r>
  </w:p>
  <w:p w:rsidR="0052102F" w:rsidRPr="0052102F" w:rsidRDefault="008030AC" w:rsidP="0052102F">
    <w:pPr>
      <w:pStyle w:val="Header"/>
      <w:rPr>
        <w:rFonts w:cs="Arial"/>
      </w:rPr>
    </w:pPr>
    <w:r w:rsidRPr="0052102F">
      <w:rPr>
        <w:rFonts w:cs="Arial"/>
      </w:rPr>
      <w:t xml:space="preserve">Annexe / </w:t>
    </w:r>
    <w:proofErr w:type="spellStart"/>
    <w:r w:rsidRPr="0052102F">
      <w:rPr>
        <w:rFonts w:cs="Arial"/>
      </w:rPr>
      <w:t>Annex</w:t>
    </w:r>
    <w:proofErr w:type="spellEnd"/>
    <w:r w:rsidRPr="0052102F">
      <w:rPr>
        <w:rFonts w:cs="Arial"/>
      </w:rPr>
      <w:t xml:space="preserve"> / </w:t>
    </w:r>
    <w:proofErr w:type="spellStart"/>
    <w:r w:rsidRPr="0052102F">
      <w:rPr>
        <w:rFonts w:cs="Arial"/>
      </w:rPr>
      <w:t>Anlage</w:t>
    </w:r>
    <w:proofErr w:type="spellEnd"/>
    <w:r w:rsidRPr="0052102F">
      <w:rPr>
        <w:rFonts w:cs="Arial"/>
      </w:rPr>
      <w:t xml:space="preserve"> / </w:t>
    </w:r>
    <w:proofErr w:type="spellStart"/>
    <w:r w:rsidRPr="0052102F">
      <w:rPr>
        <w:rFonts w:cs="Arial"/>
      </w:rPr>
      <w:t>Anexo</w:t>
    </w:r>
    <w:proofErr w:type="spellEnd"/>
  </w:p>
  <w:p w:rsidR="0052102F" w:rsidRPr="0052102F" w:rsidRDefault="008030AC" w:rsidP="0052102F">
    <w:pPr>
      <w:pStyle w:val="Header"/>
      <w:rPr>
        <w:rStyle w:val="PageNumber"/>
        <w:rFonts w:cs="Arial"/>
      </w:rPr>
    </w:pPr>
    <w:proofErr w:type="gramStart"/>
    <w:r w:rsidRPr="0052102F">
      <w:rPr>
        <w:rFonts w:cs="Arial"/>
      </w:rPr>
      <w:t>page</w:t>
    </w:r>
    <w:proofErr w:type="gramEnd"/>
    <w:r w:rsidRPr="0052102F">
      <w:rPr>
        <w:rFonts w:cs="Arial"/>
      </w:rPr>
      <w:t xml:space="preserve"> </w:t>
    </w:r>
    <w:r w:rsidRPr="0052102F">
      <w:rPr>
        <w:rStyle w:val="PageNumber"/>
        <w:rFonts w:cs="Arial"/>
      </w:rPr>
      <w:fldChar w:fldCharType="begin"/>
    </w:r>
    <w:r w:rsidRPr="0052102F">
      <w:rPr>
        <w:rStyle w:val="PageNumber"/>
        <w:rFonts w:cs="Arial"/>
      </w:rPr>
      <w:instrText xml:space="preserve"> PAGE </w:instrText>
    </w:r>
    <w:r w:rsidRPr="0052102F">
      <w:rPr>
        <w:rStyle w:val="PageNumber"/>
        <w:rFonts w:cs="Arial"/>
      </w:rPr>
      <w:fldChar w:fldCharType="separate"/>
    </w:r>
    <w:r>
      <w:rPr>
        <w:rStyle w:val="PageNumber"/>
        <w:rFonts w:cs="Arial"/>
        <w:noProof/>
      </w:rPr>
      <w:t>7</w:t>
    </w:r>
    <w:r w:rsidRPr="0052102F">
      <w:rPr>
        <w:rStyle w:val="PageNumber"/>
        <w:rFonts w:cs="Arial"/>
      </w:rPr>
      <w:fldChar w:fldCharType="end"/>
    </w:r>
    <w:r w:rsidRPr="0052102F">
      <w:rPr>
        <w:rStyle w:val="PageNumber"/>
        <w:rFonts w:cs="Arial"/>
      </w:rPr>
      <w:t xml:space="preserve"> / </w:t>
    </w:r>
    <w:proofErr w:type="spellStart"/>
    <w:r w:rsidRPr="0052102F">
      <w:rPr>
        <w:rStyle w:val="PageNumber"/>
        <w:rFonts w:cs="Arial"/>
      </w:rPr>
      <w:t>Seite</w:t>
    </w:r>
    <w:proofErr w:type="spellEnd"/>
    <w:r w:rsidRPr="0052102F">
      <w:rPr>
        <w:rStyle w:val="PageNumber"/>
        <w:rFonts w:cs="Arial"/>
      </w:rPr>
      <w:t xml:space="preserve"> </w:t>
    </w:r>
    <w:r w:rsidRPr="0052102F">
      <w:rPr>
        <w:rStyle w:val="PageNumber"/>
        <w:rFonts w:cs="Arial"/>
      </w:rPr>
      <w:fldChar w:fldCharType="begin"/>
    </w:r>
    <w:r w:rsidRPr="0052102F">
      <w:rPr>
        <w:rStyle w:val="PageNumber"/>
        <w:rFonts w:cs="Arial"/>
      </w:rPr>
      <w:instrText xml:space="preserve"> PAGE </w:instrText>
    </w:r>
    <w:r w:rsidRPr="0052102F">
      <w:rPr>
        <w:rStyle w:val="PageNumber"/>
        <w:rFonts w:cs="Arial"/>
      </w:rPr>
      <w:fldChar w:fldCharType="separate"/>
    </w:r>
    <w:r>
      <w:rPr>
        <w:rStyle w:val="PageNumber"/>
        <w:rFonts w:cs="Arial"/>
        <w:noProof/>
      </w:rPr>
      <w:t>7</w:t>
    </w:r>
    <w:r w:rsidRPr="0052102F">
      <w:rPr>
        <w:rStyle w:val="PageNumber"/>
        <w:rFonts w:cs="Arial"/>
      </w:rPr>
      <w:fldChar w:fldCharType="end"/>
    </w:r>
    <w:r w:rsidRPr="0052102F">
      <w:rPr>
        <w:rStyle w:val="PageNumber"/>
        <w:rFonts w:cs="Arial"/>
      </w:rPr>
      <w:t xml:space="preserve"> / </w:t>
    </w:r>
    <w:proofErr w:type="spellStart"/>
    <w:r w:rsidRPr="0052102F">
      <w:rPr>
        <w:rStyle w:val="PageNumber"/>
        <w:rFonts w:cs="Arial"/>
      </w:rPr>
      <w:t>página</w:t>
    </w:r>
    <w:proofErr w:type="spellEnd"/>
    <w:r w:rsidRPr="0052102F">
      <w:rPr>
        <w:rStyle w:val="PageNumber"/>
        <w:rFonts w:cs="Arial"/>
      </w:rPr>
      <w:t xml:space="preserve"> </w:t>
    </w:r>
    <w:r w:rsidRPr="0052102F">
      <w:rPr>
        <w:rStyle w:val="PageNumber"/>
        <w:rFonts w:cs="Arial"/>
      </w:rPr>
      <w:fldChar w:fldCharType="begin"/>
    </w:r>
    <w:r w:rsidRPr="0052102F">
      <w:rPr>
        <w:rStyle w:val="PageNumber"/>
        <w:rFonts w:cs="Arial"/>
      </w:rPr>
      <w:instrText xml:space="preserve"> PAGE </w:instrText>
    </w:r>
    <w:r w:rsidRPr="0052102F">
      <w:rPr>
        <w:rStyle w:val="PageNumber"/>
        <w:rFonts w:cs="Arial"/>
      </w:rPr>
      <w:fldChar w:fldCharType="separate"/>
    </w:r>
    <w:r>
      <w:rPr>
        <w:rStyle w:val="PageNumber"/>
        <w:rFonts w:cs="Arial"/>
        <w:noProof/>
      </w:rPr>
      <w:t>7</w:t>
    </w:r>
    <w:r w:rsidRPr="0052102F">
      <w:rPr>
        <w:rStyle w:val="PageNumber"/>
        <w:rFonts w:cs="Arial"/>
      </w:rPr>
      <w:fldChar w:fldCharType="end"/>
    </w:r>
  </w:p>
  <w:p w:rsidR="0052102F" w:rsidRDefault="008030AC" w:rsidP="005210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53"/>
    <w:rsid w:val="00001D48"/>
    <w:rsid w:val="00010CF3"/>
    <w:rsid w:val="00011CD0"/>
    <w:rsid w:val="00011E27"/>
    <w:rsid w:val="000148BC"/>
    <w:rsid w:val="000174D2"/>
    <w:rsid w:val="00024AB8"/>
    <w:rsid w:val="00030239"/>
    <w:rsid w:val="00036028"/>
    <w:rsid w:val="000446B9"/>
    <w:rsid w:val="00047E21"/>
    <w:rsid w:val="00050139"/>
    <w:rsid w:val="00062F44"/>
    <w:rsid w:val="00066229"/>
    <w:rsid w:val="00083A71"/>
    <w:rsid w:val="00085505"/>
    <w:rsid w:val="000C7021"/>
    <w:rsid w:val="000D6BBC"/>
    <w:rsid w:val="000D7780"/>
    <w:rsid w:val="000E2821"/>
    <w:rsid w:val="0010416A"/>
    <w:rsid w:val="00105929"/>
    <w:rsid w:val="001131D5"/>
    <w:rsid w:val="0011576C"/>
    <w:rsid w:val="00117858"/>
    <w:rsid w:val="00125C9F"/>
    <w:rsid w:val="00141DB8"/>
    <w:rsid w:val="00171A61"/>
    <w:rsid w:val="0017288F"/>
    <w:rsid w:val="0017474A"/>
    <w:rsid w:val="001758C6"/>
    <w:rsid w:val="0018265F"/>
    <w:rsid w:val="0018422F"/>
    <w:rsid w:val="001A4C96"/>
    <w:rsid w:val="001A7E38"/>
    <w:rsid w:val="001C3DF3"/>
    <w:rsid w:val="00207CF6"/>
    <w:rsid w:val="0021332C"/>
    <w:rsid w:val="00213982"/>
    <w:rsid w:val="0022331F"/>
    <w:rsid w:val="002311E5"/>
    <w:rsid w:val="0024312B"/>
    <w:rsid w:val="0024416D"/>
    <w:rsid w:val="0027309C"/>
    <w:rsid w:val="002800A0"/>
    <w:rsid w:val="00281060"/>
    <w:rsid w:val="00293035"/>
    <w:rsid w:val="00293337"/>
    <w:rsid w:val="0029439F"/>
    <w:rsid w:val="002A6E50"/>
    <w:rsid w:val="002C1C84"/>
    <w:rsid w:val="002C256A"/>
    <w:rsid w:val="002E240B"/>
    <w:rsid w:val="002E7BA1"/>
    <w:rsid w:val="002F32A9"/>
    <w:rsid w:val="00305A7F"/>
    <w:rsid w:val="003152FE"/>
    <w:rsid w:val="00327436"/>
    <w:rsid w:val="00344BD6"/>
    <w:rsid w:val="0035528D"/>
    <w:rsid w:val="00361821"/>
    <w:rsid w:val="00382ED1"/>
    <w:rsid w:val="00383B8D"/>
    <w:rsid w:val="00390790"/>
    <w:rsid w:val="003912FE"/>
    <w:rsid w:val="003B0880"/>
    <w:rsid w:val="003C563E"/>
    <w:rsid w:val="003D01A5"/>
    <w:rsid w:val="003D227C"/>
    <w:rsid w:val="003D2B4D"/>
    <w:rsid w:val="003F6136"/>
    <w:rsid w:val="0040286B"/>
    <w:rsid w:val="00427139"/>
    <w:rsid w:val="00431FB9"/>
    <w:rsid w:val="00444A88"/>
    <w:rsid w:val="00452713"/>
    <w:rsid w:val="00463009"/>
    <w:rsid w:val="00474DA4"/>
    <w:rsid w:val="004766D4"/>
    <w:rsid w:val="0048034A"/>
    <w:rsid w:val="00485444"/>
    <w:rsid w:val="00493A2E"/>
    <w:rsid w:val="004D047D"/>
    <w:rsid w:val="004E579A"/>
    <w:rsid w:val="004F305A"/>
    <w:rsid w:val="00512164"/>
    <w:rsid w:val="00520297"/>
    <w:rsid w:val="00522A13"/>
    <w:rsid w:val="005338F9"/>
    <w:rsid w:val="0054281C"/>
    <w:rsid w:val="00546532"/>
    <w:rsid w:val="0055268D"/>
    <w:rsid w:val="00572E44"/>
    <w:rsid w:val="005750EA"/>
    <w:rsid w:val="00576BE4"/>
    <w:rsid w:val="005A400A"/>
    <w:rsid w:val="005C4522"/>
    <w:rsid w:val="005E3982"/>
    <w:rsid w:val="00611CE6"/>
    <w:rsid w:val="00612379"/>
    <w:rsid w:val="0061555F"/>
    <w:rsid w:val="00641200"/>
    <w:rsid w:val="00663ED8"/>
    <w:rsid w:val="00687EB4"/>
    <w:rsid w:val="006A4BD1"/>
    <w:rsid w:val="006A7061"/>
    <w:rsid w:val="006B17D2"/>
    <w:rsid w:val="006B394D"/>
    <w:rsid w:val="006B45FA"/>
    <w:rsid w:val="006C224E"/>
    <w:rsid w:val="006E59EC"/>
    <w:rsid w:val="00707153"/>
    <w:rsid w:val="00723448"/>
    <w:rsid w:val="007254DF"/>
    <w:rsid w:val="00732DEC"/>
    <w:rsid w:val="00734F5D"/>
    <w:rsid w:val="00735BD5"/>
    <w:rsid w:val="007429B5"/>
    <w:rsid w:val="0075117E"/>
    <w:rsid w:val="007556F6"/>
    <w:rsid w:val="00760EEF"/>
    <w:rsid w:val="00772D2F"/>
    <w:rsid w:val="00777EE5"/>
    <w:rsid w:val="00784836"/>
    <w:rsid w:val="0079023E"/>
    <w:rsid w:val="007B1E25"/>
    <w:rsid w:val="007B1E3F"/>
    <w:rsid w:val="007D0B9D"/>
    <w:rsid w:val="007D19B0"/>
    <w:rsid w:val="007E6029"/>
    <w:rsid w:val="007E6A08"/>
    <w:rsid w:val="007E7DB5"/>
    <w:rsid w:val="007F498F"/>
    <w:rsid w:val="008030AC"/>
    <w:rsid w:val="0080679D"/>
    <w:rsid w:val="00806BFD"/>
    <w:rsid w:val="008108B0"/>
    <w:rsid w:val="00811B20"/>
    <w:rsid w:val="00821501"/>
    <w:rsid w:val="0082296E"/>
    <w:rsid w:val="00824099"/>
    <w:rsid w:val="00827401"/>
    <w:rsid w:val="00846F2F"/>
    <w:rsid w:val="0084788F"/>
    <w:rsid w:val="00855DBD"/>
    <w:rsid w:val="00862468"/>
    <w:rsid w:val="00863CBE"/>
    <w:rsid w:val="00867AC1"/>
    <w:rsid w:val="00871895"/>
    <w:rsid w:val="008A395B"/>
    <w:rsid w:val="008A743F"/>
    <w:rsid w:val="008B51D0"/>
    <w:rsid w:val="008C0970"/>
    <w:rsid w:val="008C6E4E"/>
    <w:rsid w:val="008D2CF7"/>
    <w:rsid w:val="008E1FF1"/>
    <w:rsid w:val="008E793E"/>
    <w:rsid w:val="00900C26"/>
    <w:rsid w:val="0090197F"/>
    <w:rsid w:val="0090684B"/>
    <w:rsid w:val="00906DDC"/>
    <w:rsid w:val="0091605D"/>
    <w:rsid w:val="00934E09"/>
    <w:rsid w:val="00936253"/>
    <w:rsid w:val="00970FED"/>
    <w:rsid w:val="00973AF6"/>
    <w:rsid w:val="00975941"/>
    <w:rsid w:val="0099109F"/>
    <w:rsid w:val="00997029"/>
    <w:rsid w:val="009A40AE"/>
    <w:rsid w:val="009D0DE5"/>
    <w:rsid w:val="009D193B"/>
    <w:rsid w:val="009D2324"/>
    <w:rsid w:val="009D690D"/>
    <w:rsid w:val="009E3396"/>
    <w:rsid w:val="009E65B6"/>
    <w:rsid w:val="009F339C"/>
    <w:rsid w:val="00A02000"/>
    <w:rsid w:val="00A0552A"/>
    <w:rsid w:val="00A42AC3"/>
    <w:rsid w:val="00A430CF"/>
    <w:rsid w:val="00A54309"/>
    <w:rsid w:val="00A60312"/>
    <w:rsid w:val="00A60E16"/>
    <w:rsid w:val="00A80CDE"/>
    <w:rsid w:val="00AA0250"/>
    <w:rsid w:val="00AB2B93"/>
    <w:rsid w:val="00AC2152"/>
    <w:rsid w:val="00AE0EF1"/>
    <w:rsid w:val="00AF3EBC"/>
    <w:rsid w:val="00B03CCB"/>
    <w:rsid w:val="00B07301"/>
    <w:rsid w:val="00B224DE"/>
    <w:rsid w:val="00B54223"/>
    <w:rsid w:val="00B74071"/>
    <w:rsid w:val="00B84BBD"/>
    <w:rsid w:val="00B9780F"/>
    <w:rsid w:val="00BA1D46"/>
    <w:rsid w:val="00BA43FB"/>
    <w:rsid w:val="00BA7B47"/>
    <w:rsid w:val="00BB0894"/>
    <w:rsid w:val="00BC127D"/>
    <w:rsid w:val="00BC1FE6"/>
    <w:rsid w:val="00BD4C24"/>
    <w:rsid w:val="00BE0DF1"/>
    <w:rsid w:val="00BE1F8B"/>
    <w:rsid w:val="00BE36D8"/>
    <w:rsid w:val="00BF03CF"/>
    <w:rsid w:val="00C061B6"/>
    <w:rsid w:val="00C2446C"/>
    <w:rsid w:val="00C36AE5"/>
    <w:rsid w:val="00C41F17"/>
    <w:rsid w:val="00C5791C"/>
    <w:rsid w:val="00C66290"/>
    <w:rsid w:val="00C72B7A"/>
    <w:rsid w:val="00C841DF"/>
    <w:rsid w:val="00C86AE3"/>
    <w:rsid w:val="00C973F2"/>
    <w:rsid w:val="00CA774A"/>
    <w:rsid w:val="00CC11B0"/>
    <w:rsid w:val="00CF5840"/>
    <w:rsid w:val="00CF7E36"/>
    <w:rsid w:val="00D03DFE"/>
    <w:rsid w:val="00D24210"/>
    <w:rsid w:val="00D26FB6"/>
    <w:rsid w:val="00D334D0"/>
    <w:rsid w:val="00D3708D"/>
    <w:rsid w:val="00D40426"/>
    <w:rsid w:val="00D535EF"/>
    <w:rsid w:val="00D539E8"/>
    <w:rsid w:val="00D57C96"/>
    <w:rsid w:val="00D61468"/>
    <w:rsid w:val="00D62F5A"/>
    <w:rsid w:val="00D74146"/>
    <w:rsid w:val="00D81A88"/>
    <w:rsid w:val="00D91203"/>
    <w:rsid w:val="00D92EFF"/>
    <w:rsid w:val="00D95174"/>
    <w:rsid w:val="00DA6F36"/>
    <w:rsid w:val="00DC00EA"/>
    <w:rsid w:val="00DD19CF"/>
    <w:rsid w:val="00DF7677"/>
    <w:rsid w:val="00E64EEC"/>
    <w:rsid w:val="00E72D49"/>
    <w:rsid w:val="00E7593C"/>
    <w:rsid w:val="00E7678A"/>
    <w:rsid w:val="00E93435"/>
    <w:rsid w:val="00E935F1"/>
    <w:rsid w:val="00E94A81"/>
    <w:rsid w:val="00EA1FFB"/>
    <w:rsid w:val="00EB048E"/>
    <w:rsid w:val="00EB3EFA"/>
    <w:rsid w:val="00EE2480"/>
    <w:rsid w:val="00EF2F89"/>
    <w:rsid w:val="00F04CF6"/>
    <w:rsid w:val="00F04DEB"/>
    <w:rsid w:val="00F1237A"/>
    <w:rsid w:val="00F22CBD"/>
    <w:rsid w:val="00F258D2"/>
    <w:rsid w:val="00F6334D"/>
    <w:rsid w:val="00F808C3"/>
    <w:rsid w:val="00F919CF"/>
    <w:rsid w:val="00FA49AB"/>
    <w:rsid w:val="00FA7DC7"/>
    <w:rsid w:val="00FB0D37"/>
    <w:rsid w:val="00FD21DE"/>
    <w:rsid w:val="00FE39C7"/>
    <w:rsid w:val="00FE4AF3"/>
    <w:rsid w:val="00FF32EB"/>
    <w:rsid w:val="00FF43E2"/>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link w:val="Heading1Char"/>
    <w:autoRedefine/>
    <w:qFormat/>
    <w:rsid w:val="00BE0DF1"/>
    <w:pPr>
      <w:keepNext/>
      <w:jc w:val="both"/>
      <w:outlineLvl w:val="0"/>
    </w:pPr>
    <w:rPr>
      <w:rFonts w:ascii="Arial" w:hAnsi="Arial"/>
      <w:caps/>
    </w:rPr>
  </w:style>
  <w:style w:type="paragraph" w:styleId="Heading2">
    <w:name w:val="heading 2"/>
    <w:next w:val="Normal"/>
    <w:link w:val="Heading2Char"/>
    <w:autoRedefine/>
    <w:qFormat/>
    <w:rsid w:val="007429B5"/>
    <w:pPr>
      <w:keepNext/>
      <w:jc w:val="both"/>
      <w:outlineLvl w:val="1"/>
    </w:pPr>
    <w:rPr>
      <w:rFonts w:ascii="Arial" w:hAnsi="Arial"/>
      <w:u w:val="single"/>
    </w:rPr>
  </w:style>
  <w:style w:type="paragraph" w:styleId="Heading3">
    <w:name w:val="heading 3"/>
    <w:next w:val="Normal"/>
    <w:autoRedefine/>
    <w:qFormat/>
    <w:rsid w:val="00D61468"/>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qFormat/>
    <w:rsid w:val="00BE0DF1"/>
    <w:pPr>
      <w:tabs>
        <w:tab w:val="left" w:pos="5387"/>
      </w:tabs>
      <w:ind w:left="4820"/>
    </w:pPr>
    <w:rPr>
      <w:i/>
    </w:rPr>
  </w:style>
  <w:style w:type="paragraph" w:styleId="FootnoteText">
    <w:name w:val="footnote text"/>
    <w:link w:val="FootnoteTextChar"/>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link w:val="EndnoteTextChar"/>
    <w:rsid w:val="00BE0DF1"/>
  </w:style>
  <w:style w:type="character" w:styleId="EndnoteReference">
    <w:name w:val="endnote reference"/>
    <w:basedOn w:val="DefaultParagraphFont"/>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Heading2Char">
    <w:name w:val="Heading 2 Char"/>
    <w:link w:val="Heading2"/>
    <w:rsid w:val="007429B5"/>
    <w:rPr>
      <w:rFonts w:ascii="Arial" w:hAnsi="Arial"/>
      <w:u w:val="single"/>
    </w:rPr>
  </w:style>
  <w:style w:type="character" w:customStyle="1" w:styleId="Heading1Char">
    <w:name w:val="Heading 1 Char"/>
    <w:link w:val="Heading1"/>
    <w:rsid w:val="0018265F"/>
    <w:rPr>
      <w:rFonts w:ascii="Arial" w:hAnsi="Arial"/>
      <w:caps/>
    </w:rPr>
  </w:style>
  <w:style w:type="paragraph" w:styleId="ListParagraph">
    <w:name w:val="List Paragraph"/>
    <w:basedOn w:val="Normal"/>
    <w:uiPriority w:val="34"/>
    <w:qFormat/>
    <w:rsid w:val="004E579A"/>
    <w:pPr>
      <w:ind w:left="720"/>
      <w:contextualSpacing/>
    </w:pPr>
  </w:style>
  <w:style w:type="paragraph" w:customStyle="1" w:styleId="Style1">
    <w:name w:val="Style1"/>
    <w:basedOn w:val="Normal"/>
    <w:rsid w:val="00485444"/>
    <w:pPr>
      <w:tabs>
        <w:tab w:val="decimal" w:pos="907"/>
        <w:tab w:val="left" w:pos="1077"/>
      </w:tabs>
    </w:pPr>
    <w:rPr>
      <w:szCs w:val="24"/>
      <w:lang w:eastAsia="ja-JP"/>
    </w:rPr>
  </w:style>
  <w:style w:type="character" w:customStyle="1" w:styleId="EndnoteTextChar">
    <w:name w:val="Endnote Text Char"/>
    <w:basedOn w:val="DefaultParagraphFont"/>
    <w:link w:val="EndnoteText"/>
    <w:rsid w:val="00D81A88"/>
    <w:rPr>
      <w:rFonts w:ascii="Arial" w:hAnsi="Arial"/>
    </w:rPr>
  </w:style>
  <w:style w:type="character" w:customStyle="1" w:styleId="FootnoteTextChar">
    <w:name w:val="Footnote Text Char"/>
    <w:link w:val="FootnoteText"/>
    <w:rsid w:val="00A60E16"/>
    <w:rPr>
      <w:rFonts w:ascii="Arial" w:hAnsi="Arial"/>
      <w:sz w:val="16"/>
    </w:rPr>
  </w:style>
  <w:style w:type="character" w:customStyle="1" w:styleId="DecisionParagraphsChar">
    <w:name w:val="DecisionParagraphs Char"/>
    <w:link w:val="DecisionParagraphs"/>
    <w:rsid w:val="00C86AE3"/>
    <w:rPr>
      <w:rFonts w:ascii="Arial" w:hAnsi="Arial"/>
      <w:i/>
    </w:rPr>
  </w:style>
  <w:style w:type="character" w:customStyle="1" w:styleId="HeaderChar">
    <w:name w:val="Header Char"/>
    <w:basedOn w:val="DefaultParagraphFont"/>
    <w:link w:val="Header"/>
    <w:rsid w:val="00D539E8"/>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link w:val="Heading1Char"/>
    <w:autoRedefine/>
    <w:qFormat/>
    <w:rsid w:val="00BE0DF1"/>
    <w:pPr>
      <w:keepNext/>
      <w:jc w:val="both"/>
      <w:outlineLvl w:val="0"/>
    </w:pPr>
    <w:rPr>
      <w:rFonts w:ascii="Arial" w:hAnsi="Arial"/>
      <w:caps/>
    </w:rPr>
  </w:style>
  <w:style w:type="paragraph" w:styleId="Heading2">
    <w:name w:val="heading 2"/>
    <w:next w:val="Normal"/>
    <w:link w:val="Heading2Char"/>
    <w:autoRedefine/>
    <w:qFormat/>
    <w:rsid w:val="007429B5"/>
    <w:pPr>
      <w:keepNext/>
      <w:jc w:val="both"/>
      <w:outlineLvl w:val="1"/>
    </w:pPr>
    <w:rPr>
      <w:rFonts w:ascii="Arial" w:hAnsi="Arial"/>
      <w:u w:val="single"/>
    </w:rPr>
  </w:style>
  <w:style w:type="paragraph" w:styleId="Heading3">
    <w:name w:val="heading 3"/>
    <w:next w:val="Normal"/>
    <w:autoRedefine/>
    <w:qFormat/>
    <w:rsid w:val="00D61468"/>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qFormat/>
    <w:rsid w:val="00BE0DF1"/>
    <w:pPr>
      <w:tabs>
        <w:tab w:val="left" w:pos="5387"/>
      </w:tabs>
      <w:ind w:left="4820"/>
    </w:pPr>
    <w:rPr>
      <w:i/>
    </w:rPr>
  </w:style>
  <w:style w:type="paragraph" w:styleId="FootnoteText">
    <w:name w:val="footnote text"/>
    <w:link w:val="FootnoteTextChar"/>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link w:val="EndnoteTextChar"/>
    <w:rsid w:val="00BE0DF1"/>
  </w:style>
  <w:style w:type="character" w:styleId="EndnoteReference">
    <w:name w:val="endnote reference"/>
    <w:basedOn w:val="DefaultParagraphFont"/>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Heading2Char">
    <w:name w:val="Heading 2 Char"/>
    <w:link w:val="Heading2"/>
    <w:rsid w:val="007429B5"/>
    <w:rPr>
      <w:rFonts w:ascii="Arial" w:hAnsi="Arial"/>
      <w:u w:val="single"/>
    </w:rPr>
  </w:style>
  <w:style w:type="character" w:customStyle="1" w:styleId="Heading1Char">
    <w:name w:val="Heading 1 Char"/>
    <w:link w:val="Heading1"/>
    <w:rsid w:val="0018265F"/>
    <w:rPr>
      <w:rFonts w:ascii="Arial" w:hAnsi="Arial"/>
      <w:caps/>
    </w:rPr>
  </w:style>
  <w:style w:type="paragraph" w:styleId="ListParagraph">
    <w:name w:val="List Paragraph"/>
    <w:basedOn w:val="Normal"/>
    <w:uiPriority w:val="34"/>
    <w:qFormat/>
    <w:rsid w:val="004E579A"/>
    <w:pPr>
      <w:ind w:left="720"/>
      <w:contextualSpacing/>
    </w:pPr>
  </w:style>
  <w:style w:type="paragraph" w:customStyle="1" w:styleId="Style1">
    <w:name w:val="Style1"/>
    <w:basedOn w:val="Normal"/>
    <w:rsid w:val="00485444"/>
    <w:pPr>
      <w:tabs>
        <w:tab w:val="decimal" w:pos="907"/>
        <w:tab w:val="left" w:pos="1077"/>
      </w:tabs>
    </w:pPr>
    <w:rPr>
      <w:szCs w:val="24"/>
      <w:lang w:eastAsia="ja-JP"/>
    </w:rPr>
  </w:style>
  <w:style w:type="character" w:customStyle="1" w:styleId="EndnoteTextChar">
    <w:name w:val="Endnote Text Char"/>
    <w:basedOn w:val="DefaultParagraphFont"/>
    <w:link w:val="EndnoteText"/>
    <w:rsid w:val="00D81A88"/>
    <w:rPr>
      <w:rFonts w:ascii="Arial" w:hAnsi="Arial"/>
    </w:rPr>
  </w:style>
  <w:style w:type="character" w:customStyle="1" w:styleId="FootnoteTextChar">
    <w:name w:val="Footnote Text Char"/>
    <w:link w:val="FootnoteText"/>
    <w:rsid w:val="00A60E16"/>
    <w:rPr>
      <w:rFonts w:ascii="Arial" w:hAnsi="Arial"/>
      <w:sz w:val="16"/>
    </w:rPr>
  </w:style>
  <w:style w:type="character" w:customStyle="1" w:styleId="DecisionParagraphsChar">
    <w:name w:val="DecisionParagraphs Char"/>
    <w:link w:val="DecisionParagraphs"/>
    <w:rsid w:val="00C86AE3"/>
    <w:rPr>
      <w:rFonts w:ascii="Arial" w:hAnsi="Arial"/>
      <w:i/>
    </w:rPr>
  </w:style>
  <w:style w:type="character" w:customStyle="1" w:styleId="HeaderChar">
    <w:name w:val="Header Char"/>
    <w:basedOn w:val="DefaultParagraphFont"/>
    <w:link w:val="Header"/>
    <w:rsid w:val="00D539E8"/>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pluto/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4\Templates\CAJ_AG_14_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B8A19-3A24-4F4B-84AE-F07C454C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CAJ_AG_14_9_EN.dotx</Template>
  <TotalTime>14</TotalTime>
  <Pages>17</Pages>
  <Words>6295</Words>
  <Characters>38900</Characters>
  <Application>Microsoft Office Word</Application>
  <DocSecurity>0</DocSecurity>
  <Lines>324</Lines>
  <Paragraphs>90</Paragraphs>
  <ScaleCrop>false</ScaleCrop>
  <HeadingPairs>
    <vt:vector size="2" baseType="variant">
      <vt:variant>
        <vt:lpstr>Title</vt:lpstr>
      </vt:variant>
      <vt:variant>
        <vt:i4>1</vt:i4>
      </vt:variant>
    </vt:vector>
  </HeadingPairs>
  <TitlesOfParts>
    <vt:vector size="1" baseType="lpstr">
      <vt:lpstr>CAJ-AG/14/9/</vt:lpstr>
    </vt:vector>
  </TitlesOfParts>
  <Company>UPOV</Company>
  <LinksUpToDate>false</LinksUpToDate>
  <CharactersWithSpaces>45105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CAJ-AG/14/9/</dc:title>
  <dc:creator>MAY Jessica</dc:creator>
  <cp:lastModifiedBy>SANCHEZ-VIZCAINO GOMEZ Rosa Maria</cp:lastModifiedBy>
  <cp:revision>13</cp:revision>
  <cp:lastPrinted>2014-10-17T16:40:00Z</cp:lastPrinted>
  <dcterms:created xsi:type="dcterms:W3CDTF">2014-10-17T16:26:00Z</dcterms:created>
  <dcterms:modified xsi:type="dcterms:W3CDTF">2014-10-17T16:47:00Z</dcterms:modified>
</cp:coreProperties>
</file>