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190C20" w:rsidTr="00FB0D37">
        <w:trPr>
          <w:trHeight w:val="1760"/>
        </w:trPr>
        <w:tc>
          <w:tcPr>
            <w:tcW w:w="4243" w:type="dxa"/>
          </w:tcPr>
          <w:p w:rsidR="000D7780" w:rsidRPr="00190C20" w:rsidRDefault="000D7780" w:rsidP="007D0B9D"/>
        </w:tc>
        <w:tc>
          <w:tcPr>
            <w:tcW w:w="1646" w:type="dxa"/>
            <w:vAlign w:val="center"/>
          </w:tcPr>
          <w:p w:rsidR="000D7780" w:rsidRPr="00190C20" w:rsidRDefault="00973AF6" w:rsidP="00576BE4">
            <w:pPr>
              <w:pStyle w:val="LogoUPOV"/>
            </w:pPr>
            <w:r w:rsidRPr="00190C20">
              <w:rPr>
                <w:noProof/>
              </w:rPr>
              <w:drawing>
                <wp:inline distT="0" distB="0" distL="0" distR="0" wp14:anchorId="61AF52B0" wp14:editId="1E04072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190C20" w:rsidRDefault="0024416D" w:rsidP="00576BE4">
            <w:pPr>
              <w:pStyle w:val="Lettrine"/>
            </w:pPr>
            <w:r w:rsidRPr="00190C20">
              <w:t>E</w:t>
            </w:r>
          </w:p>
          <w:p w:rsidR="000D7780" w:rsidRPr="00190C20" w:rsidRDefault="00EB3EFA" w:rsidP="00474DA4">
            <w:pPr>
              <w:pStyle w:val="Docoriginal"/>
              <w:jc w:val="left"/>
            </w:pPr>
            <w:r w:rsidRPr="00190C20">
              <w:t>CAJ</w:t>
            </w:r>
            <w:r w:rsidR="009A40AE" w:rsidRPr="00190C20">
              <w:t>-AG</w:t>
            </w:r>
            <w:r w:rsidRPr="00190C20">
              <w:t>/</w:t>
            </w:r>
            <w:r w:rsidR="009A40AE" w:rsidRPr="00190C20">
              <w:t>1</w:t>
            </w:r>
            <w:r w:rsidR="00BA1D46" w:rsidRPr="00190C20">
              <w:t>4</w:t>
            </w:r>
            <w:r w:rsidRPr="00190C20">
              <w:t>/</w:t>
            </w:r>
            <w:bookmarkStart w:id="0" w:name="Code"/>
            <w:bookmarkEnd w:id="0"/>
            <w:r w:rsidR="00BA1D46" w:rsidRPr="00190C20">
              <w:t>9</w:t>
            </w:r>
            <w:r w:rsidR="009A40AE" w:rsidRPr="00190C20">
              <w:t>/</w:t>
            </w:r>
            <w:r w:rsidR="00846F2F" w:rsidRPr="00190C20">
              <w:t>5</w:t>
            </w:r>
          </w:p>
          <w:p w:rsidR="000D7780" w:rsidRPr="00190C20" w:rsidRDefault="0061555F" w:rsidP="00474DA4">
            <w:pPr>
              <w:pStyle w:val="Docoriginal"/>
              <w:jc w:val="left"/>
            </w:pPr>
            <w:r w:rsidRPr="00190C20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190C20">
              <w:rPr>
                <w:rStyle w:val="StyleDoclangBold"/>
                <w:b/>
                <w:bCs/>
                <w:spacing w:val="0"/>
              </w:rPr>
              <w:t>:</w:t>
            </w:r>
            <w:r w:rsidRPr="00190C20">
              <w:rPr>
                <w:rStyle w:val="StyleDocoriginalNotBold1"/>
                <w:spacing w:val="0"/>
              </w:rPr>
              <w:t xml:space="preserve"> </w:t>
            </w:r>
            <w:r w:rsidR="000D7780" w:rsidRPr="00190C20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190C20">
              <w:rPr>
                <w:b w:val="0"/>
                <w:spacing w:val="0"/>
              </w:rPr>
              <w:t>English</w:t>
            </w:r>
          </w:p>
          <w:p w:rsidR="000D7780" w:rsidRPr="00190C20" w:rsidRDefault="000D7780" w:rsidP="00047C17">
            <w:pPr>
              <w:pStyle w:val="Docoriginal"/>
              <w:jc w:val="left"/>
              <w:rPr>
                <w:b w:val="0"/>
                <w:spacing w:val="0"/>
                <w:highlight w:val="cyan"/>
              </w:rPr>
            </w:pPr>
            <w:r w:rsidRPr="00190C20">
              <w:rPr>
                <w:spacing w:val="0"/>
              </w:rPr>
              <w:t>DATE:</w:t>
            </w:r>
            <w:r w:rsidR="0061555F" w:rsidRPr="00190C20">
              <w:rPr>
                <w:b w:val="0"/>
                <w:spacing w:val="0"/>
              </w:rPr>
              <w:t xml:space="preserve"> </w:t>
            </w:r>
            <w:r w:rsidRPr="00190C20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A6170B">
              <w:rPr>
                <w:b w:val="0"/>
                <w:spacing w:val="0"/>
              </w:rPr>
              <w:t>September 25</w:t>
            </w:r>
            <w:r w:rsidR="00C347D0" w:rsidRPr="00190C20">
              <w:rPr>
                <w:b w:val="0"/>
                <w:spacing w:val="0"/>
              </w:rPr>
              <w:t>,</w:t>
            </w:r>
            <w:r w:rsidR="0024416D" w:rsidRPr="00190C20">
              <w:rPr>
                <w:b w:val="0"/>
                <w:spacing w:val="0"/>
              </w:rPr>
              <w:t xml:space="preserve"> </w:t>
            </w:r>
            <w:r w:rsidR="001131D5" w:rsidRPr="00190C20">
              <w:rPr>
                <w:b w:val="0"/>
                <w:spacing w:val="0"/>
              </w:rPr>
              <w:t>201</w:t>
            </w:r>
            <w:r w:rsidR="00BA1D46" w:rsidRPr="00190C20">
              <w:rPr>
                <w:b w:val="0"/>
                <w:spacing w:val="0"/>
              </w:rPr>
              <w:t>4</w:t>
            </w:r>
          </w:p>
        </w:tc>
      </w:tr>
      <w:tr w:rsidR="000D7780" w:rsidRPr="00190C20" w:rsidTr="00FB0D37">
        <w:tc>
          <w:tcPr>
            <w:tcW w:w="10131" w:type="dxa"/>
            <w:gridSpan w:val="3"/>
          </w:tcPr>
          <w:p w:rsidR="000D7780" w:rsidRPr="00190C20" w:rsidRDefault="0024416D" w:rsidP="0080679D">
            <w:pPr>
              <w:pStyle w:val="upove"/>
              <w:rPr>
                <w:sz w:val="28"/>
              </w:rPr>
            </w:pPr>
            <w:r w:rsidRPr="00190C20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190C20" w:rsidTr="00FB0D37">
        <w:tc>
          <w:tcPr>
            <w:tcW w:w="10131" w:type="dxa"/>
            <w:gridSpan w:val="3"/>
          </w:tcPr>
          <w:p w:rsidR="000D7780" w:rsidRPr="00190C20" w:rsidRDefault="00867AC1" w:rsidP="0080679D">
            <w:pPr>
              <w:pStyle w:val="Country"/>
            </w:pPr>
            <w:r w:rsidRPr="00190C20">
              <w:t>Gen</w:t>
            </w:r>
            <w:r w:rsidR="0061555F" w:rsidRPr="00190C20">
              <w:t>e</w:t>
            </w:r>
            <w:r w:rsidRPr="00190C20">
              <w:t>v</w:t>
            </w:r>
            <w:r w:rsidR="0061555F" w:rsidRPr="00190C20">
              <w:t>a</w:t>
            </w:r>
          </w:p>
        </w:tc>
      </w:tr>
    </w:tbl>
    <w:p w:rsidR="000D7780" w:rsidRPr="00190C20" w:rsidRDefault="009A40AE" w:rsidP="0080679D">
      <w:pPr>
        <w:pStyle w:val="Sessiontc"/>
      </w:pPr>
      <w:r w:rsidRPr="00190C20">
        <w:t>Administrative and Legal Committee Advisory Group</w:t>
      </w:r>
    </w:p>
    <w:p w:rsidR="00361821" w:rsidRPr="00190C20" w:rsidRDefault="00BA1D46" w:rsidP="0080679D">
      <w:pPr>
        <w:pStyle w:val="Sessiontcplacedate"/>
      </w:pPr>
      <w:r w:rsidRPr="00190C20">
        <w:t>Ninth</w:t>
      </w:r>
      <w:r w:rsidR="00FB0D37" w:rsidRPr="00190C20">
        <w:t xml:space="preserve"> Session</w:t>
      </w:r>
      <w:r w:rsidR="00361821" w:rsidRPr="00190C20">
        <w:br/>
      </w:r>
      <w:r w:rsidR="00FB0D37" w:rsidRPr="00190C20">
        <w:t xml:space="preserve">Geneva, </w:t>
      </w:r>
      <w:r w:rsidR="009A40AE" w:rsidRPr="00190C20">
        <w:t xml:space="preserve">October </w:t>
      </w:r>
      <w:r w:rsidRPr="00190C20">
        <w:t>14 and 17</w:t>
      </w:r>
      <w:r w:rsidR="00BD4C24" w:rsidRPr="00190C20">
        <w:t>, 201</w:t>
      </w:r>
      <w:r w:rsidR="00BE36D8" w:rsidRPr="00190C20">
        <w:t>4</w:t>
      </w:r>
    </w:p>
    <w:p w:rsidR="000D7780" w:rsidRPr="00190C20" w:rsidRDefault="00846F2F" w:rsidP="0080679D">
      <w:pPr>
        <w:pStyle w:val="Titleofdoc0"/>
      </w:pPr>
      <w:bookmarkStart w:id="3" w:name="TitleOfDoc"/>
      <w:bookmarkEnd w:id="3"/>
      <w:r w:rsidRPr="00190C20">
        <w:t>Matters concerning observers in the CAJ-AG</w:t>
      </w:r>
    </w:p>
    <w:p w:rsidR="000D7780" w:rsidRPr="00190C20" w:rsidRDefault="00AE0EF1" w:rsidP="0080679D">
      <w:pPr>
        <w:pStyle w:val="preparedby1"/>
      </w:pPr>
      <w:bookmarkStart w:id="4" w:name="Prepared"/>
      <w:bookmarkEnd w:id="4"/>
      <w:r w:rsidRPr="00190C20">
        <w:t xml:space="preserve">Document </w:t>
      </w:r>
      <w:r w:rsidR="0061555F" w:rsidRPr="00190C20">
        <w:t>prepared by the Office of the Union</w:t>
      </w:r>
      <w:r w:rsidR="001A7E38" w:rsidRPr="00190C20">
        <w:br/>
      </w:r>
      <w:r w:rsidR="001A7E38" w:rsidRPr="00190C20">
        <w:br/>
      </w:r>
      <w:r w:rsidR="001A7E38" w:rsidRPr="00190C20">
        <w:rPr>
          <w:color w:val="A6A6A6" w:themeColor="background1" w:themeShade="A6"/>
        </w:rPr>
        <w:t>Disclaimer:  this document does not repr</w:t>
      </w:r>
      <w:r w:rsidR="00A60312" w:rsidRPr="00190C20">
        <w:rPr>
          <w:color w:val="A6A6A6" w:themeColor="background1" w:themeShade="A6"/>
        </w:rPr>
        <w:t>esent UPOV policies or guidance</w:t>
      </w:r>
    </w:p>
    <w:p w:rsidR="00BA1D46" w:rsidRPr="00190C20" w:rsidRDefault="00BA1D46">
      <w:pPr>
        <w:jc w:val="left"/>
        <w:rPr>
          <w:snapToGrid w:val="0"/>
        </w:rPr>
      </w:pPr>
    </w:p>
    <w:bookmarkStart w:id="5" w:name="_Toc381257331"/>
    <w:p w:rsidR="0046436B" w:rsidRPr="00190C20" w:rsidRDefault="00E10461" w:rsidP="003F2756">
      <w:r w:rsidRPr="00190C20">
        <w:fldChar w:fldCharType="begin"/>
      </w:r>
      <w:r w:rsidRPr="00190C20">
        <w:instrText xml:space="preserve"> AUTONUM  </w:instrText>
      </w:r>
      <w:r w:rsidRPr="00190C20">
        <w:fldChar w:fldCharType="end"/>
      </w:r>
      <w:r w:rsidRPr="00190C20">
        <w:tab/>
        <w:t xml:space="preserve">The purpose of this document is to invite the </w:t>
      </w:r>
      <w:r w:rsidR="008926F3" w:rsidRPr="00190C20">
        <w:t xml:space="preserve">Administrative and Legal Committee Advisory Group (CAJ-AG) </w:t>
      </w:r>
      <w:r w:rsidRPr="00190C20">
        <w:t xml:space="preserve">to consider </w:t>
      </w:r>
      <w:r w:rsidR="005D7962" w:rsidRPr="00190C20">
        <w:t xml:space="preserve">the arrangements for </w:t>
      </w:r>
      <w:r w:rsidR="00A6170B">
        <w:rPr>
          <w:i/>
        </w:rPr>
        <w:t>ad </w:t>
      </w:r>
      <w:r w:rsidRPr="00190C20">
        <w:rPr>
          <w:i/>
        </w:rPr>
        <w:t>hoc</w:t>
      </w:r>
      <w:r w:rsidRPr="00190C20">
        <w:t xml:space="preserve"> invitations for observers </w:t>
      </w:r>
      <w:r w:rsidR="007A4C2C">
        <w:t xml:space="preserve">in the CAJ </w:t>
      </w:r>
      <w:r w:rsidRPr="00190C20">
        <w:t xml:space="preserve">to attend the relevant part of the </w:t>
      </w:r>
      <w:r w:rsidR="008926F3" w:rsidRPr="00190C20">
        <w:t>CAJ</w:t>
      </w:r>
      <w:r w:rsidR="008926F3" w:rsidRPr="00190C20">
        <w:noBreakHyphen/>
      </w:r>
      <w:r w:rsidRPr="00190C20">
        <w:t>AG.</w:t>
      </w:r>
      <w:bookmarkEnd w:id="5"/>
    </w:p>
    <w:p w:rsidR="003F2756" w:rsidRPr="00190C20" w:rsidRDefault="003F2756" w:rsidP="003F2756"/>
    <w:p w:rsidR="003F2756" w:rsidRPr="00190C20" w:rsidRDefault="003F2756" w:rsidP="003F2756"/>
    <w:p w:rsidR="0046436B" w:rsidRPr="00190C20" w:rsidRDefault="0046436B" w:rsidP="00047C17">
      <w:pPr>
        <w:pStyle w:val="Heading2"/>
      </w:pPr>
      <w:bookmarkStart w:id="6" w:name="_Toc381257332"/>
      <w:r w:rsidRPr="00190C20">
        <w:t>Conclusions of the Consultative Committee concerning participation of observers in the CAJ</w:t>
      </w:r>
      <w:r w:rsidRPr="00190C20">
        <w:noBreakHyphen/>
        <w:t>AG</w:t>
      </w:r>
      <w:bookmarkEnd w:id="6"/>
    </w:p>
    <w:p w:rsidR="0046436B" w:rsidRPr="00190C20" w:rsidRDefault="0046436B" w:rsidP="0046436B">
      <w:pPr>
        <w:keepNext/>
        <w:jc w:val="left"/>
        <w:rPr>
          <w:snapToGrid w:val="0"/>
        </w:rPr>
      </w:pPr>
    </w:p>
    <w:p w:rsidR="0046436B" w:rsidRPr="00190C20" w:rsidRDefault="0046436B" w:rsidP="0046436B">
      <w:pPr>
        <w:rPr>
          <w:rFonts w:cs="Arial"/>
        </w:rPr>
      </w:pPr>
      <w:r w:rsidRPr="00190C20">
        <w:rPr>
          <w:rFonts w:cs="Arial"/>
        </w:rPr>
        <w:fldChar w:fldCharType="begin"/>
      </w:r>
      <w:r w:rsidRPr="00190C20">
        <w:rPr>
          <w:rFonts w:cs="Arial"/>
        </w:rPr>
        <w:instrText xml:space="preserve"> AUTONUM  </w:instrText>
      </w:r>
      <w:r w:rsidRPr="00190C20">
        <w:rPr>
          <w:rFonts w:cs="Arial"/>
        </w:rPr>
        <w:fldChar w:fldCharType="end"/>
      </w:r>
      <w:r w:rsidRPr="00190C20">
        <w:rPr>
          <w:rFonts w:cs="Arial"/>
        </w:rPr>
        <w:tab/>
        <w:t xml:space="preserve">The </w:t>
      </w:r>
      <w:r w:rsidR="00CA5AC7" w:rsidRPr="00190C20">
        <w:t>Administrative and Legal Committee (</w:t>
      </w:r>
      <w:r w:rsidRPr="00190C20">
        <w:rPr>
          <w:rFonts w:cs="Arial"/>
        </w:rPr>
        <w:t>CAJ</w:t>
      </w:r>
      <w:r w:rsidR="00CA5AC7" w:rsidRPr="00190C20">
        <w:rPr>
          <w:rFonts w:cs="Arial"/>
        </w:rPr>
        <w:t>)</w:t>
      </w:r>
      <w:r w:rsidRPr="00190C20">
        <w:rPr>
          <w:rFonts w:cs="Arial"/>
        </w:rPr>
        <w:t xml:space="preserve">, at </w:t>
      </w:r>
      <w:r w:rsidRPr="00190C20">
        <w:t>its sixty-ninth session, held in Geneva on April 10, 2014,</w:t>
      </w:r>
      <w:r w:rsidRPr="00190C20">
        <w:rPr>
          <w:rFonts w:cs="Arial"/>
        </w:rPr>
        <w:t xml:space="preserve"> noted that the </w:t>
      </w:r>
      <w:r w:rsidRPr="00190C20">
        <w:t xml:space="preserve">Consultative Committee, at its eighty-sixth session, held in Geneva on October </w:t>
      </w:r>
      <w:r w:rsidR="00CA5AC7" w:rsidRPr="00190C20">
        <w:t> </w:t>
      </w:r>
      <w:r w:rsidRPr="00190C20">
        <w:t xml:space="preserve">23 and 24, 2013, had endorsed the current approach whereby the CAJ-AG invites, on an </w:t>
      </w:r>
      <w:r w:rsidRPr="00190C20">
        <w:rPr>
          <w:i/>
        </w:rPr>
        <w:t>ad hoc</w:t>
      </w:r>
      <w:r w:rsidRPr="00190C20">
        <w:t xml:space="preserve"> basis, </w:t>
      </w:r>
      <w:r w:rsidRPr="00190C20">
        <w:rPr>
          <w:rFonts w:eastAsia="Batang"/>
          <w:snapToGrid w:val="0"/>
          <w:szCs w:val="24"/>
          <w:lang w:eastAsia="ko-KR"/>
        </w:rPr>
        <w:t>organizations that have observer status in the CAJ to present their views at the relevant part of the CAJ-AG, as it considered appropriate</w:t>
      </w:r>
      <w:r w:rsidR="00BC4C6C" w:rsidRPr="00190C20">
        <w:rPr>
          <w:rFonts w:eastAsia="Batang"/>
          <w:snapToGrid w:val="0"/>
          <w:szCs w:val="24"/>
          <w:lang w:eastAsia="ko-KR"/>
        </w:rPr>
        <w:t xml:space="preserve"> </w:t>
      </w:r>
      <w:r w:rsidR="00BC4C6C" w:rsidRPr="00190C20">
        <w:t>(see document CAJ/69/13 “Report” paragraph 20)</w:t>
      </w:r>
      <w:r w:rsidRPr="00190C20">
        <w:rPr>
          <w:rFonts w:cs="Arial"/>
        </w:rPr>
        <w:t>.</w:t>
      </w:r>
    </w:p>
    <w:p w:rsidR="00E10461" w:rsidRPr="00190C20" w:rsidRDefault="00E10461" w:rsidP="0046436B"/>
    <w:p w:rsidR="003F2756" w:rsidRPr="00190C20" w:rsidRDefault="003F2756" w:rsidP="0046436B"/>
    <w:p w:rsidR="005D7962" w:rsidRPr="00190C20" w:rsidRDefault="005D7962" w:rsidP="005D7962">
      <w:pPr>
        <w:pStyle w:val="Heading2"/>
      </w:pPr>
      <w:r w:rsidRPr="00190C20">
        <w:t>Matters referred by the CAJ to the CAJ-AG for consideration at its ninth session</w:t>
      </w:r>
    </w:p>
    <w:p w:rsidR="005D7962" w:rsidRPr="00190C20" w:rsidRDefault="005D7962" w:rsidP="005D7962"/>
    <w:p w:rsidR="005D7962" w:rsidRPr="00190C20" w:rsidRDefault="005D7962" w:rsidP="005D7962">
      <w:r w:rsidRPr="00190C20">
        <w:fldChar w:fldCharType="begin"/>
      </w:r>
      <w:r w:rsidRPr="00190C20">
        <w:instrText xml:space="preserve"> AUTONUM  </w:instrText>
      </w:r>
      <w:r w:rsidRPr="00190C20">
        <w:fldChar w:fldCharType="end"/>
      </w:r>
      <w:r w:rsidRPr="00190C20">
        <w:tab/>
        <w:t>The CAJ,</w:t>
      </w:r>
      <w:r w:rsidRPr="00190C20">
        <w:rPr>
          <w:rFonts w:cs="Arial"/>
        </w:rPr>
        <w:t xml:space="preserve"> at </w:t>
      </w:r>
      <w:r w:rsidRPr="00190C20">
        <w:t>its sixty-ninth session, invite</w:t>
      </w:r>
      <w:r w:rsidR="00BF573A" w:rsidRPr="00190C20">
        <w:t>d</w:t>
      </w:r>
      <w:r w:rsidRPr="00190C20">
        <w:t xml:space="preserve"> the CAJ-AG, at its ninth session, to consider whether the CAJ-AG would need the possibility for some discretion </w:t>
      </w:r>
      <w:r w:rsidRPr="00190C20">
        <w:rPr>
          <w:rFonts w:eastAsia="Batang"/>
          <w:snapToGrid w:val="0"/>
          <w:szCs w:val="24"/>
          <w:lang w:eastAsia="ko-KR"/>
        </w:rPr>
        <w:t xml:space="preserve">in relation to </w:t>
      </w:r>
      <w:r w:rsidRPr="00190C20">
        <w:rPr>
          <w:rFonts w:eastAsia="Batang"/>
          <w:i/>
          <w:snapToGrid w:val="0"/>
          <w:szCs w:val="24"/>
          <w:lang w:eastAsia="ko-KR"/>
        </w:rPr>
        <w:t>ad hoc</w:t>
      </w:r>
      <w:r w:rsidRPr="00190C20">
        <w:rPr>
          <w:rFonts w:eastAsia="Batang"/>
          <w:snapToGrid w:val="0"/>
          <w:szCs w:val="24"/>
          <w:lang w:eastAsia="ko-KR"/>
        </w:rPr>
        <w:t xml:space="preserve"> invitations for observers who had made written comments, to attend the relevant part of the CAJ-AG, and if so, the mechanism for implementation in a timely manner </w:t>
      </w:r>
      <w:r w:rsidRPr="00190C20">
        <w:t>(see document CAJ/69/13 “Report” paragraph 22).</w:t>
      </w:r>
    </w:p>
    <w:p w:rsidR="005D7962" w:rsidRPr="00190C20" w:rsidRDefault="005D7962" w:rsidP="005D7962">
      <w:pPr>
        <w:jc w:val="left"/>
        <w:rPr>
          <w:snapToGrid w:val="0"/>
        </w:rPr>
      </w:pPr>
    </w:p>
    <w:p w:rsidR="007B781A" w:rsidRPr="00190C20" w:rsidRDefault="005D7962" w:rsidP="007B781A">
      <w:pPr>
        <w:rPr>
          <w:snapToGrid w:val="0"/>
        </w:rPr>
      </w:pPr>
      <w:r w:rsidRPr="00190C20">
        <w:rPr>
          <w:snapToGrid w:val="0"/>
        </w:rPr>
        <w:fldChar w:fldCharType="begin"/>
      </w:r>
      <w:r w:rsidRPr="00190C20">
        <w:rPr>
          <w:snapToGrid w:val="0"/>
        </w:rPr>
        <w:instrText xml:space="preserve"> AUTONUM  </w:instrText>
      </w:r>
      <w:r w:rsidRPr="00190C20">
        <w:rPr>
          <w:snapToGrid w:val="0"/>
        </w:rPr>
        <w:fldChar w:fldCharType="end"/>
      </w:r>
      <w:r w:rsidRPr="00190C20">
        <w:rPr>
          <w:snapToGrid w:val="0"/>
        </w:rPr>
        <w:tab/>
        <w:t xml:space="preserve">In relation to the above request from the CAJ, the CAJ-AG may wish to </w:t>
      </w:r>
      <w:r w:rsidR="00586B5B" w:rsidRPr="00190C20">
        <w:rPr>
          <w:snapToGrid w:val="0"/>
        </w:rPr>
        <w:t>note</w:t>
      </w:r>
      <w:r w:rsidRPr="00190C20">
        <w:rPr>
          <w:snapToGrid w:val="0"/>
        </w:rPr>
        <w:t xml:space="preserve"> its current </w:t>
      </w:r>
      <w:r w:rsidR="00586B5B" w:rsidRPr="00190C20">
        <w:rPr>
          <w:snapToGrid w:val="0"/>
        </w:rPr>
        <w:t>arrangements</w:t>
      </w:r>
      <w:r w:rsidRPr="00190C20">
        <w:rPr>
          <w:snapToGrid w:val="0"/>
        </w:rPr>
        <w:t xml:space="preserve"> in relation to matters concerning </w:t>
      </w:r>
      <w:r w:rsidRPr="00190C20">
        <w:rPr>
          <w:i/>
          <w:snapToGrid w:val="0"/>
        </w:rPr>
        <w:t>ad hoc</w:t>
      </w:r>
      <w:r w:rsidRPr="00190C20">
        <w:rPr>
          <w:snapToGrid w:val="0"/>
        </w:rPr>
        <w:t xml:space="preserve"> invitations to the CAJ-AG</w:t>
      </w:r>
      <w:r w:rsidR="00586B5B" w:rsidRPr="00190C20">
        <w:rPr>
          <w:snapToGrid w:val="0"/>
        </w:rPr>
        <w:t xml:space="preserve"> for the ninth session</w:t>
      </w:r>
      <w:r w:rsidRPr="00190C20">
        <w:rPr>
          <w:snapToGrid w:val="0"/>
        </w:rPr>
        <w:t>, as follows:</w:t>
      </w:r>
    </w:p>
    <w:p w:rsidR="007B781A" w:rsidRPr="00190C20" w:rsidRDefault="007B781A" w:rsidP="00C6395A">
      <w:pPr>
        <w:rPr>
          <w:snapToGrid w:val="0"/>
        </w:rPr>
      </w:pPr>
    </w:p>
    <w:p w:rsidR="00C6395A" w:rsidRPr="00190C20" w:rsidRDefault="00C6395A" w:rsidP="00C6395A">
      <w:pPr>
        <w:ind w:firstLine="567"/>
        <w:rPr>
          <w:snapToGrid w:val="0"/>
        </w:rPr>
      </w:pPr>
      <w:r w:rsidRPr="00190C20">
        <w:t>(a)</w:t>
      </w:r>
      <w:r w:rsidRPr="00190C20">
        <w:tab/>
      </w:r>
      <w:r w:rsidR="007B781A" w:rsidRPr="00190C20">
        <w:t>t</w:t>
      </w:r>
      <w:r w:rsidR="0046436B" w:rsidRPr="00190C20">
        <w:t>he CAJ,</w:t>
      </w:r>
      <w:r w:rsidR="0046436B" w:rsidRPr="00190C20">
        <w:rPr>
          <w:rFonts w:cs="Arial"/>
        </w:rPr>
        <w:t xml:space="preserve"> at </w:t>
      </w:r>
      <w:r w:rsidR="0046436B" w:rsidRPr="00190C20">
        <w:t xml:space="preserve">its sixty-ninth session, noted that </w:t>
      </w:r>
      <w:r w:rsidR="0046436B" w:rsidRPr="00190C20">
        <w:rPr>
          <w:szCs w:val="24"/>
        </w:rPr>
        <w:t xml:space="preserve">the CAJ-AG, </w:t>
      </w:r>
      <w:r w:rsidR="0046436B" w:rsidRPr="00190C20">
        <w:t xml:space="preserve">at its eighth session, </w:t>
      </w:r>
      <w:r w:rsidR="007B781A" w:rsidRPr="00190C20">
        <w:t xml:space="preserve">held in Geneva on </w:t>
      </w:r>
      <w:r w:rsidR="0046436B" w:rsidRPr="00190C20">
        <w:t xml:space="preserve">October 21 and 25, 2013, had </w:t>
      </w:r>
      <w:r w:rsidR="0046436B" w:rsidRPr="00190C20">
        <w:rPr>
          <w:szCs w:val="24"/>
        </w:rPr>
        <w:t>recalled that observers to the CAJ could send comments on relevant matters of the program of the CAJ</w:t>
      </w:r>
      <w:r w:rsidR="0046436B" w:rsidRPr="00190C20">
        <w:rPr>
          <w:szCs w:val="24"/>
        </w:rPr>
        <w:noBreakHyphen/>
        <w:t xml:space="preserve">AG and that, in cases where written comments were received from observers to the CAJ, </w:t>
      </w:r>
      <w:r w:rsidR="0046436B" w:rsidRPr="00190C20">
        <w:rPr>
          <w:rFonts w:eastAsia="Batang"/>
          <w:snapToGrid w:val="0"/>
          <w:szCs w:val="24"/>
          <w:lang w:eastAsia="ko-KR"/>
        </w:rPr>
        <w:t>the CAJ</w:t>
      </w:r>
      <w:r w:rsidR="0046436B" w:rsidRPr="00190C20">
        <w:rPr>
          <w:rFonts w:eastAsia="Batang"/>
          <w:snapToGrid w:val="0"/>
          <w:szCs w:val="24"/>
          <w:lang w:eastAsia="ko-KR"/>
        </w:rPr>
        <w:noBreakHyphen/>
        <w:t>AG had agreed to invite those observers to the relevant part of the ninth session of the CAJ-AG</w:t>
      </w:r>
      <w:r w:rsidR="00932ADD" w:rsidRPr="00190C20">
        <w:rPr>
          <w:rFonts w:eastAsia="Batang"/>
          <w:snapToGrid w:val="0"/>
          <w:szCs w:val="24"/>
          <w:lang w:eastAsia="ko-KR"/>
        </w:rPr>
        <w:t>, to be held in Geneva on October 14 and 17, 2014,</w:t>
      </w:r>
      <w:r w:rsidR="0046436B" w:rsidRPr="00190C20">
        <w:rPr>
          <w:rFonts w:eastAsia="Batang"/>
          <w:snapToGrid w:val="0"/>
          <w:szCs w:val="24"/>
          <w:lang w:eastAsia="ko-KR"/>
        </w:rPr>
        <w:t xml:space="preserve"> and the Office of the Union would issue the corresponding </w:t>
      </w:r>
      <w:r w:rsidR="0046436B" w:rsidRPr="00190C20">
        <w:rPr>
          <w:rFonts w:eastAsia="Batang"/>
          <w:i/>
          <w:snapToGrid w:val="0"/>
          <w:szCs w:val="24"/>
          <w:lang w:eastAsia="ko-KR"/>
        </w:rPr>
        <w:t>ad hoc</w:t>
      </w:r>
      <w:r w:rsidR="0046436B" w:rsidRPr="00190C20">
        <w:rPr>
          <w:rFonts w:eastAsia="Batang"/>
          <w:snapToGrid w:val="0"/>
          <w:szCs w:val="24"/>
          <w:lang w:eastAsia="ko-KR"/>
        </w:rPr>
        <w:t xml:space="preserve"> invitations</w:t>
      </w:r>
      <w:r w:rsidR="00BC4C6C" w:rsidRPr="00190C20">
        <w:rPr>
          <w:rFonts w:eastAsia="Batang"/>
          <w:snapToGrid w:val="0"/>
          <w:szCs w:val="24"/>
          <w:lang w:eastAsia="ko-KR"/>
        </w:rPr>
        <w:t xml:space="preserve"> </w:t>
      </w:r>
      <w:r w:rsidR="00BC4C6C" w:rsidRPr="00190C20">
        <w:t>(see document</w:t>
      </w:r>
      <w:r w:rsidR="005D7962" w:rsidRPr="00190C20">
        <w:t xml:space="preserve"> </w:t>
      </w:r>
      <w:r w:rsidR="005D7962" w:rsidRPr="00190C20">
        <w:rPr>
          <w:rFonts w:cs="Arial"/>
        </w:rPr>
        <w:t>CAJ-AG/13/8/10 “Report”</w:t>
      </w:r>
      <w:r w:rsidR="005D7962" w:rsidRPr="00190C20">
        <w:t xml:space="preserve">, paragraph 83, and document </w:t>
      </w:r>
      <w:r w:rsidR="00BC4C6C" w:rsidRPr="00190C20">
        <w:t>CAJ/69/13 “Report” paragraph 21)</w:t>
      </w:r>
      <w:r w:rsidR="007B781A" w:rsidRPr="00190C20">
        <w:rPr>
          <w:rFonts w:eastAsia="Batang"/>
          <w:snapToGrid w:val="0"/>
          <w:szCs w:val="24"/>
          <w:lang w:eastAsia="ko-KR"/>
        </w:rPr>
        <w:t>; and</w:t>
      </w:r>
    </w:p>
    <w:p w:rsidR="00C6395A" w:rsidRPr="00190C20" w:rsidRDefault="00C6395A" w:rsidP="00C6395A">
      <w:pPr>
        <w:rPr>
          <w:snapToGrid w:val="0"/>
        </w:rPr>
      </w:pPr>
    </w:p>
    <w:p w:rsidR="00932ADD" w:rsidRPr="00190C20" w:rsidRDefault="00C6395A" w:rsidP="00C6395A">
      <w:pPr>
        <w:ind w:firstLine="567"/>
        <w:rPr>
          <w:snapToGrid w:val="0"/>
        </w:rPr>
      </w:pPr>
      <w:r w:rsidRPr="00190C20">
        <w:rPr>
          <w:snapToGrid w:val="0"/>
        </w:rPr>
        <w:t>(b)</w:t>
      </w:r>
      <w:r w:rsidRPr="00190C20">
        <w:rPr>
          <w:snapToGrid w:val="0"/>
        </w:rPr>
        <w:tab/>
      </w:r>
      <w:r w:rsidR="007B781A" w:rsidRPr="00190C20">
        <w:rPr>
          <w:rFonts w:eastAsia="Batang"/>
          <w:snapToGrid w:val="0"/>
          <w:szCs w:val="24"/>
          <w:lang w:eastAsia="ko-KR"/>
        </w:rPr>
        <w:t>i</w:t>
      </w:r>
      <w:r w:rsidR="005D7962" w:rsidRPr="00190C20">
        <w:rPr>
          <w:rFonts w:eastAsia="Batang"/>
          <w:snapToGrid w:val="0"/>
          <w:szCs w:val="24"/>
          <w:lang w:eastAsia="ko-KR"/>
        </w:rPr>
        <w:t xml:space="preserve">n accordance with the above approach, the </w:t>
      </w:r>
      <w:r w:rsidR="00932ADD" w:rsidRPr="00190C20">
        <w:rPr>
          <w:rFonts w:eastAsia="Batang"/>
          <w:snapToGrid w:val="0"/>
          <w:szCs w:val="24"/>
          <w:lang w:eastAsia="ko-KR"/>
        </w:rPr>
        <w:t xml:space="preserve">following observers to the CAJ had been issued with </w:t>
      </w:r>
      <w:r w:rsidR="00932ADD" w:rsidRPr="00190C20">
        <w:rPr>
          <w:rFonts w:eastAsia="Batang"/>
          <w:i/>
          <w:snapToGrid w:val="0"/>
          <w:szCs w:val="24"/>
          <w:lang w:eastAsia="ko-KR"/>
        </w:rPr>
        <w:t>ad hoc</w:t>
      </w:r>
      <w:r w:rsidR="00932ADD" w:rsidRPr="00190C20">
        <w:rPr>
          <w:rFonts w:eastAsia="Batang"/>
          <w:snapToGrid w:val="0"/>
          <w:szCs w:val="24"/>
          <w:lang w:eastAsia="ko-KR"/>
        </w:rPr>
        <w:t xml:space="preserve"> invitations to attend </w:t>
      </w:r>
      <w:r w:rsidR="00C347D0" w:rsidRPr="00190C20">
        <w:rPr>
          <w:rFonts w:eastAsia="Batang"/>
          <w:snapToGrid w:val="0"/>
          <w:szCs w:val="24"/>
          <w:lang w:eastAsia="ko-KR"/>
        </w:rPr>
        <w:t xml:space="preserve">the </w:t>
      </w:r>
      <w:r w:rsidR="00932ADD" w:rsidRPr="00190C20">
        <w:rPr>
          <w:rFonts w:eastAsia="Batang"/>
          <w:snapToGrid w:val="0"/>
          <w:szCs w:val="24"/>
          <w:lang w:eastAsia="ko-KR"/>
        </w:rPr>
        <w:t>relevant part of the ninth session of the CAJ-AG</w:t>
      </w:r>
      <w:r w:rsidR="005D7962" w:rsidRPr="00190C20">
        <w:rPr>
          <w:rFonts w:eastAsia="Batang"/>
          <w:snapToGrid w:val="0"/>
          <w:szCs w:val="24"/>
          <w:lang w:eastAsia="ko-KR"/>
        </w:rPr>
        <w:t xml:space="preserve"> on the basis of comments submitted in response to </w:t>
      </w:r>
      <w:r w:rsidR="0052093E" w:rsidRPr="00190C20">
        <w:t xml:space="preserve">Circulars E-14/128 of May 12, 2014, </w:t>
      </w:r>
      <w:r w:rsidR="00B90DB0" w:rsidRPr="00190C20">
        <w:t>E-14/136 of May 20, 2014, and E</w:t>
      </w:r>
      <w:r w:rsidR="00B90DB0" w:rsidRPr="00190C20">
        <w:noBreakHyphen/>
      </w:r>
      <w:r w:rsidR="0052093E" w:rsidRPr="00190C20">
        <w:t>14/143 of May 23, 2014</w:t>
      </w:r>
      <w:r w:rsidR="00932ADD" w:rsidRPr="00190C20">
        <w:rPr>
          <w:rFonts w:eastAsia="Batang"/>
          <w:snapToGrid w:val="0"/>
          <w:szCs w:val="24"/>
          <w:lang w:eastAsia="ko-KR"/>
        </w:rPr>
        <w:t xml:space="preserve">:  </w:t>
      </w:r>
      <w:r w:rsidR="00B90DB0" w:rsidRPr="00190C20">
        <w:rPr>
          <w:rFonts w:eastAsia="Batang"/>
          <w:snapToGrid w:val="0"/>
          <w:szCs w:val="24"/>
          <w:lang w:eastAsia="ko-KR"/>
        </w:rPr>
        <w:t xml:space="preserve">the </w:t>
      </w:r>
      <w:r w:rsidR="007148A0" w:rsidRPr="00190C20">
        <w:rPr>
          <w:rFonts w:eastAsia="Batang"/>
          <w:lang w:eastAsia="ko-KR"/>
        </w:rPr>
        <w:t>Association for Plant Breeding for th</w:t>
      </w:r>
      <w:r w:rsidR="003F2756" w:rsidRPr="00190C20">
        <w:rPr>
          <w:rFonts w:eastAsia="Batang"/>
          <w:lang w:eastAsia="ko-KR"/>
        </w:rPr>
        <w:t xml:space="preserve">e Benefit of Society (APBREBES); </w:t>
      </w:r>
      <w:r w:rsidR="007148A0" w:rsidRPr="00190C20">
        <w:rPr>
          <w:rFonts w:eastAsia="Batang"/>
          <w:lang w:eastAsia="ko-KR"/>
        </w:rPr>
        <w:t xml:space="preserve"> </w:t>
      </w:r>
      <w:r w:rsidR="00B90DB0" w:rsidRPr="00190C20">
        <w:rPr>
          <w:rFonts w:eastAsia="Batang"/>
          <w:lang w:eastAsia="ko-KR"/>
        </w:rPr>
        <w:t xml:space="preserve">the </w:t>
      </w:r>
      <w:r w:rsidR="007148A0" w:rsidRPr="00190C20">
        <w:rPr>
          <w:rFonts w:eastAsia="Batang"/>
          <w:lang w:eastAsia="ko-KR"/>
        </w:rPr>
        <w:lastRenderedPageBreak/>
        <w:t>International Community of Breeders of Asexually Reproduced Ornamental and Fruit Varieties (CIOPORA)</w:t>
      </w:r>
      <w:r w:rsidR="00FC27ED">
        <w:rPr>
          <w:rFonts w:eastAsia="Batang"/>
          <w:lang w:eastAsia="ko-KR"/>
        </w:rPr>
        <w:t xml:space="preserve">; </w:t>
      </w:r>
      <w:r w:rsidR="00FC27ED">
        <w:t xml:space="preserve"> CropLife</w:t>
      </w:r>
      <w:r w:rsidR="0052093E" w:rsidRPr="00190C20">
        <w:t> </w:t>
      </w:r>
      <w:r w:rsidR="00932ADD" w:rsidRPr="00190C20">
        <w:t>International</w:t>
      </w:r>
      <w:r w:rsidR="00FC27ED">
        <w:t xml:space="preserve">; </w:t>
      </w:r>
      <w:r w:rsidR="00932ADD" w:rsidRPr="00190C20">
        <w:t xml:space="preserve"> and </w:t>
      </w:r>
      <w:r w:rsidR="00B90DB0" w:rsidRPr="00190C20">
        <w:t xml:space="preserve">the </w:t>
      </w:r>
      <w:r w:rsidR="007148A0" w:rsidRPr="00190C20">
        <w:t>European Seed Association (</w:t>
      </w:r>
      <w:r w:rsidR="00932ADD" w:rsidRPr="00190C20">
        <w:t>ESA</w:t>
      </w:r>
      <w:r w:rsidR="007148A0" w:rsidRPr="00190C20">
        <w:t>)</w:t>
      </w:r>
      <w:r w:rsidR="00932ADD" w:rsidRPr="00190C20">
        <w:t xml:space="preserve">. </w:t>
      </w:r>
      <w:r w:rsidR="00B90DB0" w:rsidRPr="00190C20">
        <w:t xml:space="preserve"> </w:t>
      </w:r>
      <w:r w:rsidR="00932ADD" w:rsidRPr="00190C20">
        <w:rPr>
          <w:rFonts w:eastAsia="Batang"/>
          <w:lang w:eastAsia="ko-KR"/>
        </w:rPr>
        <w:t xml:space="preserve">New developments concerning possible </w:t>
      </w:r>
      <w:r w:rsidR="00932ADD" w:rsidRPr="00190C20">
        <w:rPr>
          <w:rFonts w:eastAsia="Batang"/>
          <w:i/>
          <w:lang w:eastAsia="ko-KR"/>
        </w:rPr>
        <w:t xml:space="preserve">ad </w:t>
      </w:r>
      <w:r w:rsidR="0052093E" w:rsidRPr="00190C20">
        <w:rPr>
          <w:rFonts w:eastAsia="Batang"/>
          <w:i/>
          <w:lang w:eastAsia="ko-KR"/>
        </w:rPr>
        <w:t> </w:t>
      </w:r>
      <w:r w:rsidR="00932ADD" w:rsidRPr="00190C20">
        <w:rPr>
          <w:rFonts w:eastAsia="Batang"/>
          <w:i/>
          <w:lang w:eastAsia="ko-KR"/>
        </w:rPr>
        <w:t>hoc</w:t>
      </w:r>
      <w:r w:rsidR="00932ADD" w:rsidRPr="00190C20">
        <w:rPr>
          <w:rFonts w:eastAsia="Batang"/>
          <w:lang w:eastAsia="ko-KR"/>
        </w:rPr>
        <w:t xml:space="preserve"> invitations as a result of the receipt of additional comments </w:t>
      </w:r>
      <w:r w:rsidR="0052093E" w:rsidRPr="00190C20">
        <w:rPr>
          <w:rFonts w:eastAsia="Batang"/>
          <w:lang w:eastAsia="ko-KR"/>
        </w:rPr>
        <w:t xml:space="preserve">in response </w:t>
      </w:r>
      <w:r w:rsidR="0052093E" w:rsidRPr="00190C20">
        <w:t xml:space="preserve">Circular E-14/214 of September 10, 2014, </w:t>
      </w:r>
      <w:r w:rsidR="00932ADD" w:rsidRPr="00190C20">
        <w:rPr>
          <w:rFonts w:eastAsia="Batang"/>
          <w:lang w:eastAsia="ko-KR"/>
        </w:rPr>
        <w:t xml:space="preserve">will be reported orally to the CAJ, at </w:t>
      </w:r>
      <w:r w:rsidR="00C53CB1" w:rsidRPr="00190C20">
        <w:rPr>
          <w:rFonts w:eastAsia="Batang"/>
          <w:lang w:eastAsia="ko-KR"/>
        </w:rPr>
        <w:t>its</w:t>
      </w:r>
      <w:r w:rsidR="00932ADD" w:rsidRPr="00190C20">
        <w:rPr>
          <w:rFonts w:eastAsia="Batang"/>
          <w:lang w:eastAsia="ko-KR"/>
        </w:rPr>
        <w:t xml:space="preserve"> seventieth session, to be held in Geneva on October 13, 2014, and to </w:t>
      </w:r>
      <w:r w:rsidR="007148A0" w:rsidRPr="00190C20">
        <w:rPr>
          <w:rFonts w:eastAsia="Batang"/>
          <w:lang w:eastAsia="ko-KR"/>
        </w:rPr>
        <w:t>the CAJ-AG at its ninth session</w:t>
      </w:r>
      <w:r w:rsidR="0052093E" w:rsidRPr="00190C20">
        <w:rPr>
          <w:rFonts w:eastAsia="Batang"/>
          <w:lang w:eastAsia="ko-KR"/>
        </w:rPr>
        <w:t xml:space="preserve"> (see document CAJ/70/2 “</w:t>
      </w:r>
      <w:r w:rsidR="0052093E" w:rsidRPr="00190C20">
        <w:rPr>
          <w:kern w:val="28"/>
        </w:rPr>
        <w:t>Development of information materials concerning the UPOV Convention”)</w:t>
      </w:r>
      <w:r w:rsidR="007148A0" w:rsidRPr="00190C20">
        <w:rPr>
          <w:rFonts w:eastAsia="Batang"/>
          <w:lang w:eastAsia="ko-KR"/>
        </w:rPr>
        <w:t>.</w:t>
      </w:r>
    </w:p>
    <w:p w:rsidR="0052093E" w:rsidRPr="00190C20" w:rsidRDefault="0052093E" w:rsidP="00C6395A"/>
    <w:p w:rsidR="0052093E" w:rsidRPr="00190C20" w:rsidRDefault="0052093E" w:rsidP="003F2756">
      <w:pPr>
        <w:rPr>
          <w:rFonts w:cs="Arial"/>
        </w:rPr>
      </w:pPr>
      <w:r w:rsidRPr="00190C20">
        <w:rPr>
          <w:rFonts w:eastAsia="Batang"/>
          <w:snapToGrid w:val="0"/>
          <w:szCs w:val="24"/>
          <w:lang w:eastAsia="ko-KR"/>
        </w:rPr>
        <w:fldChar w:fldCharType="begin"/>
      </w:r>
      <w:r w:rsidRPr="00190C20">
        <w:rPr>
          <w:rFonts w:eastAsia="Batang"/>
          <w:snapToGrid w:val="0"/>
          <w:szCs w:val="24"/>
          <w:lang w:eastAsia="ko-KR"/>
        </w:rPr>
        <w:instrText xml:space="preserve"> AUTONUM  </w:instrText>
      </w:r>
      <w:r w:rsidRPr="00190C20">
        <w:rPr>
          <w:rFonts w:eastAsia="Batang"/>
          <w:snapToGrid w:val="0"/>
          <w:szCs w:val="24"/>
          <w:lang w:eastAsia="ko-KR"/>
        </w:rPr>
        <w:fldChar w:fldCharType="end"/>
      </w:r>
      <w:r w:rsidRPr="00190C20">
        <w:rPr>
          <w:rFonts w:eastAsia="Batang"/>
          <w:snapToGrid w:val="0"/>
          <w:szCs w:val="24"/>
          <w:lang w:eastAsia="ko-KR"/>
        </w:rPr>
        <w:tab/>
        <w:t>The above approach was agreed by the CAJ-AG</w:t>
      </w:r>
      <w:r w:rsidR="00C64A36" w:rsidRPr="00190C20">
        <w:rPr>
          <w:rFonts w:eastAsia="Batang"/>
          <w:snapToGrid w:val="0"/>
          <w:szCs w:val="24"/>
          <w:lang w:eastAsia="ko-KR"/>
        </w:rPr>
        <w:t>, at its ninth session,</w:t>
      </w:r>
      <w:r w:rsidRPr="00190C20">
        <w:rPr>
          <w:rFonts w:eastAsia="Batang"/>
          <w:snapToGrid w:val="0"/>
          <w:szCs w:val="24"/>
          <w:lang w:eastAsia="ko-KR"/>
        </w:rPr>
        <w:t xml:space="preserve"> </w:t>
      </w:r>
      <w:r w:rsidRPr="00190C20">
        <w:rPr>
          <w:snapToGrid w:val="0"/>
        </w:rPr>
        <w:t xml:space="preserve">under the standard item of the CAJ-AG agenda on the </w:t>
      </w:r>
      <w:r w:rsidRPr="00190C20">
        <w:rPr>
          <w:rFonts w:cs="Arial"/>
        </w:rPr>
        <w:t xml:space="preserve">date and program for the next session. </w:t>
      </w:r>
    </w:p>
    <w:p w:rsidR="003F2756" w:rsidRPr="00190C20" w:rsidRDefault="003F2756" w:rsidP="003F2756">
      <w:pPr>
        <w:rPr>
          <w:rFonts w:cs="Arial"/>
        </w:rPr>
      </w:pPr>
    </w:p>
    <w:p w:rsidR="00C64A36" w:rsidRPr="00190C20" w:rsidRDefault="00C64A36" w:rsidP="00C64A36">
      <w:pPr>
        <w:rPr>
          <w:snapToGrid w:val="0"/>
        </w:rPr>
      </w:pPr>
      <w:r w:rsidRPr="00190C20">
        <w:rPr>
          <w:rFonts w:cs="Arial"/>
        </w:rPr>
        <w:fldChar w:fldCharType="begin"/>
      </w:r>
      <w:r w:rsidRPr="00190C20">
        <w:rPr>
          <w:rFonts w:cs="Arial"/>
        </w:rPr>
        <w:instrText xml:space="preserve"> AUTONUM  </w:instrText>
      </w:r>
      <w:r w:rsidRPr="00190C20">
        <w:rPr>
          <w:rFonts w:cs="Arial"/>
        </w:rPr>
        <w:fldChar w:fldCharType="end"/>
      </w:r>
      <w:r w:rsidRPr="00190C20">
        <w:rPr>
          <w:rFonts w:cs="Arial"/>
        </w:rPr>
        <w:tab/>
      </w:r>
      <w:r w:rsidR="00C6395A" w:rsidRPr="00190C20">
        <w:rPr>
          <w:snapToGrid w:val="0"/>
        </w:rPr>
        <w:t xml:space="preserve">The </w:t>
      </w:r>
      <w:r w:rsidRPr="00190C20">
        <w:rPr>
          <w:rFonts w:cs="Arial"/>
        </w:rPr>
        <w:t>previous arrangements</w:t>
      </w:r>
      <w:r w:rsidRPr="00190C20">
        <w:rPr>
          <w:snapToGrid w:val="0"/>
        </w:rPr>
        <w:t xml:space="preserve"> in relation to </w:t>
      </w:r>
      <w:r w:rsidRPr="00190C20">
        <w:rPr>
          <w:i/>
          <w:snapToGrid w:val="0"/>
        </w:rPr>
        <w:t>ad hoc</w:t>
      </w:r>
      <w:r w:rsidRPr="00190C20">
        <w:rPr>
          <w:snapToGrid w:val="0"/>
        </w:rPr>
        <w:t xml:space="preserve"> invitations to the CAJ-AG</w:t>
      </w:r>
      <w:r w:rsidR="00C6395A" w:rsidRPr="00190C20">
        <w:rPr>
          <w:snapToGrid w:val="0"/>
        </w:rPr>
        <w:t xml:space="preserve">, which triggered the change of approach </w:t>
      </w:r>
      <w:r w:rsidR="00B90DB0" w:rsidRPr="00190C20">
        <w:rPr>
          <w:snapToGrid w:val="0"/>
        </w:rPr>
        <w:t xml:space="preserve">by the CAJ-AG </w:t>
      </w:r>
      <w:r w:rsidR="00C6395A" w:rsidRPr="00190C20">
        <w:rPr>
          <w:snapToGrid w:val="0"/>
        </w:rPr>
        <w:t>at its ninth session</w:t>
      </w:r>
      <w:r w:rsidRPr="00190C20">
        <w:rPr>
          <w:snapToGrid w:val="0"/>
        </w:rPr>
        <w:t xml:space="preserve">, </w:t>
      </w:r>
      <w:r w:rsidR="00C6395A" w:rsidRPr="00190C20">
        <w:rPr>
          <w:snapToGrid w:val="0"/>
        </w:rPr>
        <w:t xml:space="preserve">were </w:t>
      </w:r>
      <w:r w:rsidRPr="00190C20">
        <w:rPr>
          <w:snapToGrid w:val="0"/>
        </w:rPr>
        <w:t xml:space="preserve">as follows </w:t>
      </w:r>
      <w:r w:rsidRPr="00190C20">
        <w:rPr>
          <w:rFonts w:eastAsia="Batang"/>
          <w:snapToGrid w:val="0"/>
          <w:szCs w:val="24"/>
          <w:lang w:eastAsia="ko-KR"/>
        </w:rPr>
        <w:t>(see document CAJ</w:t>
      </w:r>
      <w:r w:rsidR="00A6170B">
        <w:rPr>
          <w:rFonts w:eastAsia="Batang"/>
          <w:snapToGrid w:val="0"/>
          <w:szCs w:val="24"/>
          <w:lang w:eastAsia="ko-KR"/>
        </w:rPr>
        <w:t>/65/13 “Report”, paragraph 24</w:t>
      </w:r>
      <w:r w:rsidRPr="00190C20">
        <w:rPr>
          <w:rFonts w:eastAsia="Batang"/>
          <w:snapToGrid w:val="0"/>
          <w:szCs w:val="24"/>
          <w:lang w:eastAsia="ko-KR"/>
        </w:rPr>
        <w:t>)</w:t>
      </w:r>
      <w:r w:rsidRPr="00190C20">
        <w:rPr>
          <w:snapToGrid w:val="0"/>
        </w:rPr>
        <w:t>:</w:t>
      </w:r>
    </w:p>
    <w:p w:rsidR="00A6170B" w:rsidRPr="006B3417" w:rsidRDefault="00A6170B" w:rsidP="00A6170B">
      <w:pPr>
        <w:rPr>
          <w:szCs w:val="24"/>
        </w:rPr>
      </w:pPr>
    </w:p>
    <w:p w:rsidR="00A6170B" w:rsidRPr="006B3417" w:rsidRDefault="00A6170B" w:rsidP="00A6170B">
      <w:pPr>
        <w:ind w:firstLine="567"/>
        <w:rPr>
          <w:szCs w:val="24"/>
        </w:rPr>
      </w:pPr>
      <w:r>
        <w:rPr>
          <w:szCs w:val="24"/>
        </w:rPr>
        <w:t>“(a)</w:t>
      </w:r>
      <w:r>
        <w:rPr>
          <w:szCs w:val="24"/>
        </w:rPr>
        <w:tab/>
      </w:r>
      <w:r w:rsidRPr="006B3417">
        <w:rPr>
          <w:szCs w:val="24"/>
        </w:rPr>
        <w:t>In order to ensure that the CAJ-AG had sufficient time to consider written comments</w:t>
      </w:r>
      <w:r w:rsidRPr="006B3417">
        <w:rPr>
          <w:rFonts w:eastAsia="Batang"/>
          <w:szCs w:val="24"/>
          <w:lang w:eastAsia="ko-KR"/>
        </w:rPr>
        <w:t xml:space="preserve">, </w:t>
      </w:r>
      <w:r>
        <w:rPr>
          <w:szCs w:val="24"/>
        </w:rPr>
        <w:t>the CAJ</w:t>
      </w:r>
      <w:r>
        <w:rPr>
          <w:szCs w:val="24"/>
        </w:rPr>
        <w:noBreakHyphen/>
      </w:r>
      <w:r w:rsidRPr="006B3417">
        <w:rPr>
          <w:szCs w:val="24"/>
        </w:rPr>
        <w:t xml:space="preserve">AG agreed that comments should be sent, in English, to the Office of the Union at least two weeks prior to the </w:t>
      </w:r>
      <w:r>
        <w:rPr>
          <w:szCs w:val="24"/>
        </w:rPr>
        <w:t>relevant session of the CAJ</w:t>
      </w:r>
      <w:r>
        <w:rPr>
          <w:szCs w:val="24"/>
        </w:rPr>
        <w:noBreakHyphen/>
      </w:r>
      <w:r w:rsidRPr="006B3417">
        <w:rPr>
          <w:szCs w:val="24"/>
        </w:rPr>
        <w:t>AG;</w:t>
      </w:r>
    </w:p>
    <w:p w:rsidR="00A6170B" w:rsidRPr="006B3417" w:rsidRDefault="00A6170B" w:rsidP="00A6170B">
      <w:pPr>
        <w:ind w:firstLine="567"/>
        <w:rPr>
          <w:szCs w:val="24"/>
        </w:rPr>
      </w:pPr>
    </w:p>
    <w:p w:rsidR="00C64A36" w:rsidRPr="00190C20" w:rsidRDefault="00A6170B" w:rsidP="00A6170B">
      <w:pPr>
        <w:ind w:firstLine="567"/>
        <w:rPr>
          <w:snapToGrid w:val="0"/>
        </w:rPr>
      </w:pPr>
      <w:r>
        <w:rPr>
          <w:szCs w:val="24"/>
        </w:rPr>
        <w:t>“(b)</w:t>
      </w:r>
      <w:r>
        <w:rPr>
          <w:szCs w:val="24"/>
        </w:rPr>
        <w:tab/>
      </w:r>
      <w:r w:rsidRPr="006B3417">
        <w:rPr>
          <w:szCs w:val="24"/>
        </w:rPr>
        <w:t xml:space="preserve">The CAJ-AG had agreed that, in cases where written comments were received from an observer organization, </w:t>
      </w:r>
      <w:r w:rsidRPr="006B3417">
        <w:rPr>
          <w:rFonts w:eastAsia="Batang"/>
          <w:snapToGrid w:val="0"/>
          <w:szCs w:val="24"/>
          <w:lang w:eastAsia="ko-KR"/>
        </w:rPr>
        <w:t>the CAJ</w:t>
      </w:r>
      <w:r w:rsidRPr="006B3417">
        <w:rPr>
          <w:rFonts w:eastAsia="Batang"/>
          <w:snapToGrid w:val="0"/>
          <w:szCs w:val="24"/>
          <w:lang w:eastAsia="ko-KR"/>
        </w:rPr>
        <w:noBreakHyphen/>
        <w:t xml:space="preserve">AG would invite the observer organization to the relevant part of the next CAJ-AG session if the presence of the organization was considered necessary to present its views or to provide further explanations concerning its written comments.  In that regard, the CAJ-AG had agreed that the CAJ-AG would, if necessary, decide by correspondence whether to invite the observer organization </w:t>
      </w:r>
      <w:r w:rsidRPr="006B3417">
        <w:rPr>
          <w:bCs/>
          <w:color w:val="000000"/>
          <w:szCs w:val="24"/>
        </w:rPr>
        <w:t xml:space="preserve">to </w:t>
      </w:r>
      <w:r w:rsidRPr="006B3417">
        <w:rPr>
          <w:snapToGrid w:val="0"/>
          <w:szCs w:val="26"/>
        </w:rPr>
        <w:t xml:space="preserve">the relevant part of the </w:t>
      </w:r>
      <w:r w:rsidRPr="006B3417">
        <w:rPr>
          <w:rFonts w:eastAsia="MS Mincho"/>
          <w:szCs w:val="24"/>
          <w:lang w:eastAsia="ja-JP" w:bidi="th-TH"/>
        </w:rPr>
        <w:t>CAJ</w:t>
      </w:r>
      <w:r w:rsidRPr="006B3417">
        <w:rPr>
          <w:rFonts w:eastAsia="MS Mincho"/>
          <w:szCs w:val="24"/>
          <w:lang w:eastAsia="ja-JP" w:bidi="th-TH"/>
        </w:rPr>
        <w:noBreakHyphen/>
        <w:t>AG session;</w:t>
      </w:r>
      <w:r>
        <w:rPr>
          <w:rFonts w:eastAsia="Batang"/>
          <w:snapToGrid w:val="0"/>
          <w:szCs w:val="24"/>
          <w:lang w:eastAsia="ko-KR"/>
        </w:rPr>
        <w:t>[…]”</w:t>
      </w:r>
    </w:p>
    <w:p w:rsidR="00BF01A7" w:rsidRPr="00190C20" w:rsidRDefault="00BF01A7" w:rsidP="00C6395A">
      <w:pPr>
        <w:pStyle w:val="ListParagraph"/>
        <w:ind w:left="927"/>
        <w:rPr>
          <w:snapToGrid w:val="0"/>
        </w:rPr>
      </w:pPr>
    </w:p>
    <w:p w:rsidR="00C64A36" w:rsidRPr="00190C20" w:rsidRDefault="00BF01A7" w:rsidP="003F2756">
      <w:pPr>
        <w:rPr>
          <w:rFonts w:eastAsia="Batang"/>
          <w:snapToGrid w:val="0"/>
          <w:szCs w:val="24"/>
          <w:lang w:eastAsia="ko-KR"/>
        </w:rPr>
      </w:pPr>
      <w:r w:rsidRPr="00190C20">
        <w:rPr>
          <w:rFonts w:eastAsia="Batang"/>
          <w:snapToGrid w:val="0"/>
          <w:szCs w:val="24"/>
          <w:lang w:eastAsia="ko-KR"/>
        </w:rPr>
        <w:fldChar w:fldCharType="begin"/>
      </w:r>
      <w:r w:rsidRPr="00190C20">
        <w:rPr>
          <w:rFonts w:eastAsia="Batang"/>
          <w:snapToGrid w:val="0"/>
          <w:szCs w:val="24"/>
          <w:lang w:eastAsia="ko-KR"/>
        </w:rPr>
        <w:instrText xml:space="preserve"> AUTONUM  </w:instrText>
      </w:r>
      <w:r w:rsidRPr="00190C20">
        <w:rPr>
          <w:rFonts w:eastAsia="Batang"/>
          <w:snapToGrid w:val="0"/>
          <w:szCs w:val="24"/>
          <w:lang w:eastAsia="ko-KR"/>
        </w:rPr>
        <w:fldChar w:fldCharType="end"/>
      </w:r>
      <w:r w:rsidRPr="00190C20">
        <w:rPr>
          <w:rFonts w:eastAsia="Batang"/>
          <w:snapToGrid w:val="0"/>
          <w:szCs w:val="24"/>
          <w:lang w:eastAsia="ko-KR"/>
        </w:rPr>
        <w:tab/>
        <w:t xml:space="preserve">The above arrangements </w:t>
      </w:r>
      <w:r w:rsidR="003F2756" w:rsidRPr="00190C20">
        <w:rPr>
          <w:rFonts w:eastAsia="Batang"/>
          <w:snapToGrid w:val="0"/>
          <w:szCs w:val="24"/>
          <w:lang w:eastAsia="ko-KR"/>
        </w:rPr>
        <w:t xml:space="preserve">meant that, </w:t>
      </w:r>
      <w:r w:rsidRPr="00190C20">
        <w:rPr>
          <w:rFonts w:eastAsia="Batang"/>
          <w:snapToGrid w:val="0"/>
          <w:szCs w:val="24"/>
          <w:lang w:eastAsia="ko-KR"/>
        </w:rPr>
        <w:t>if comments were received after the relevant CAJ-AG session, the Office of the Union had to formulate a proposal for consideration by the CAJ-AG by correspondence</w:t>
      </w:r>
      <w:r w:rsidR="003F2756" w:rsidRPr="00190C20">
        <w:rPr>
          <w:rFonts w:eastAsia="Batang"/>
          <w:snapToGrid w:val="0"/>
          <w:szCs w:val="24"/>
          <w:lang w:eastAsia="ko-KR"/>
        </w:rPr>
        <w:t xml:space="preserve"> without guidance from the CAJ-AG</w:t>
      </w:r>
      <w:r w:rsidRPr="00190C20">
        <w:rPr>
          <w:rFonts w:eastAsia="Batang"/>
          <w:snapToGrid w:val="0"/>
          <w:szCs w:val="24"/>
          <w:lang w:eastAsia="ko-KR"/>
        </w:rPr>
        <w:t>.</w:t>
      </w:r>
    </w:p>
    <w:p w:rsidR="003F2756" w:rsidRPr="00190C20" w:rsidRDefault="003F2756" w:rsidP="003F2756">
      <w:pPr>
        <w:rPr>
          <w:rFonts w:eastAsia="Batang"/>
          <w:snapToGrid w:val="0"/>
          <w:szCs w:val="24"/>
          <w:lang w:eastAsia="ko-KR"/>
        </w:rPr>
      </w:pPr>
    </w:p>
    <w:p w:rsidR="00586B5B" w:rsidRPr="00190C20" w:rsidRDefault="00586B5B" w:rsidP="00586B5B">
      <w:pPr>
        <w:spacing w:after="240"/>
        <w:rPr>
          <w:rFonts w:eastAsia="Batang"/>
          <w:snapToGrid w:val="0"/>
          <w:szCs w:val="24"/>
          <w:lang w:eastAsia="ko-KR"/>
        </w:rPr>
      </w:pPr>
      <w:r w:rsidRPr="00190C20">
        <w:rPr>
          <w:rFonts w:eastAsia="Batang"/>
          <w:snapToGrid w:val="0"/>
          <w:szCs w:val="24"/>
          <w:lang w:eastAsia="ko-KR"/>
        </w:rPr>
        <w:fldChar w:fldCharType="begin"/>
      </w:r>
      <w:r w:rsidRPr="00190C20">
        <w:rPr>
          <w:rFonts w:eastAsia="Batang"/>
          <w:snapToGrid w:val="0"/>
          <w:szCs w:val="24"/>
          <w:lang w:eastAsia="ko-KR"/>
        </w:rPr>
        <w:instrText xml:space="preserve"> AUTONUM  </w:instrText>
      </w:r>
      <w:r w:rsidRPr="00190C20">
        <w:rPr>
          <w:rFonts w:eastAsia="Batang"/>
          <w:snapToGrid w:val="0"/>
          <w:szCs w:val="24"/>
          <w:lang w:eastAsia="ko-KR"/>
        </w:rPr>
        <w:fldChar w:fldCharType="end"/>
      </w:r>
      <w:r w:rsidRPr="00190C20">
        <w:rPr>
          <w:rFonts w:eastAsia="Batang"/>
          <w:snapToGrid w:val="0"/>
          <w:szCs w:val="24"/>
          <w:lang w:eastAsia="ko-KR"/>
        </w:rPr>
        <w:tab/>
        <w:t xml:space="preserve">Based on the current arrangements for its ninth session, </w:t>
      </w:r>
      <w:r w:rsidRPr="00190C20">
        <w:t xml:space="preserve">the CAJ-AG may wish to consider the following </w:t>
      </w:r>
      <w:r w:rsidR="00C6395A" w:rsidRPr="00190C20">
        <w:t xml:space="preserve">approach </w:t>
      </w:r>
      <w:r w:rsidRPr="00190C20">
        <w:t xml:space="preserve">for </w:t>
      </w:r>
      <w:r w:rsidR="00A6170B">
        <w:rPr>
          <w:i/>
        </w:rPr>
        <w:t>ad</w:t>
      </w:r>
      <w:r w:rsidRPr="00190C20">
        <w:rPr>
          <w:i/>
        </w:rPr>
        <w:t> hoc</w:t>
      </w:r>
      <w:r w:rsidRPr="00190C20">
        <w:t xml:space="preserve"> invitations, for observers </w:t>
      </w:r>
      <w:r w:rsidR="009F7B27">
        <w:t xml:space="preserve">in the CAJ </w:t>
      </w:r>
      <w:r w:rsidRPr="00190C20">
        <w:t xml:space="preserve">to attend the relevant part of </w:t>
      </w:r>
      <w:r w:rsidRPr="00190C20">
        <w:rPr>
          <w:rFonts w:eastAsia="Batang"/>
          <w:snapToGrid w:val="0"/>
          <w:szCs w:val="24"/>
          <w:lang w:eastAsia="ko-KR"/>
        </w:rPr>
        <w:t>future sessions of the CAJ</w:t>
      </w:r>
      <w:r w:rsidRPr="00190C20">
        <w:rPr>
          <w:rFonts w:eastAsia="Batang"/>
          <w:snapToGrid w:val="0"/>
          <w:szCs w:val="24"/>
          <w:lang w:eastAsia="ko-KR"/>
        </w:rPr>
        <w:noBreakHyphen/>
        <w:t>AG:</w:t>
      </w:r>
    </w:p>
    <w:p w:rsidR="00586B5B" w:rsidRPr="00190C20" w:rsidRDefault="00586B5B" w:rsidP="00586B5B">
      <w:pPr>
        <w:rPr>
          <w:rFonts w:eastAsia="Batang"/>
          <w:snapToGrid w:val="0"/>
          <w:szCs w:val="24"/>
          <w:lang w:eastAsia="ko-KR"/>
        </w:rPr>
      </w:pPr>
      <w:r w:rsidRPr="00190C20">
        <w:rPr>
          <w:snapToGrid w:val="0"/>
        </w:rPr>
        <w:tab/>
        <w:t>(a)</w:t>
      </w:r>
      <w:r w:rsidRPr="00190C20">
        <w:t xml:space="preserve"> </w:t>
      </w:r>
      <w:r w:rsidRPr="00190C20">
        <w:tab/>
      </w:r>
      <w:r w:rsidR="00CD3C4E" w:rsidRPr="00190C20">
        <w:rPr>
          <w:snapToGrid w:val="0"/>
        </w:rPr>
        <w:t xml:space="preserve">under the standard item of the CAJ-AG agenda on the </w:t>
      </w:r>
      <w:r w:rsidR="00CD3C4E" w:rsidRPr="00190C20">
        <w:rPr>
          <w:rFonts w:cs="Arial"/>
        </w:rPr>
        <w:t xml:space="preserve">date and program for the next session, </w:t>
      </w:r>
      <w:r w:rsidRPr="00190C20">
        <w:t xml:space="preserve">the CAJ-AG </w:t>
      </w:r>
      <w:r w:rsidR="00A6170B">
        <w:t>to invite</w:t>
      </w:r>
      <w:r w:rsidRPr="00190C20">
        <w:t xml:space="preserve">, on an </w:t>
      </w:r>
      <w:r w:rsidRPr="00190C20">
        <w:rPr>
          <w:i/>
        </w:rPr>
        <w:t>ad hoc</w:t>
      </w:r>
      <w:r w:rsidRPr="00190C20">
        <w:t xml:space="preserve"> basis, </w:t>
      </w:r>
      <w:r w:rsidRPr="00190C20">
        <w:rPr>
          <w:rFonts w:eastAsia="Batang"/>
          <w:snapToGrid w:val="0"/>
          <w:szCs w:val="24"/>
          <w:lang w:eastAsia="ko-KR"/>
        </w:rPr>
        <w:t xml:space="preserve">organizations that have observer status in the CAJ to present their views at the relevant part of the CAJ-AG, as it considers appropriate </w:t>
      </w:r>
      <w:r w:rsidRPr="00190C20">
        <w:t>(see document CAJ/69/13 “Report” paragraph 20)</w:t>
      </w:r>
      <w:r w:rsidRPr="00190C20">
        <w:rPr>
          <w:rFonts w:eastAsia="Batang"/>
          <w:snapToGrid w:val="0"/>
          <w:szCs w:val="24"/>
          <w:lang w:eastAsia="ko-KR"/>
        </w:rPr>
        <w:t xml:space="preserve">; </w:t>
      </w:r>
    </w:p>
    <w:p w:rsidR="00586B5B" w:rsidRPr="00190C20" w:rsidRDefault="00586B5B" w:rsidP="00586B5B">
      <w:pPr>
        <w:rPr>
          <w:snapToGrid w:val="0"/>
        </w:rPr>
      </w:pPr>
    </w:p>
    <w:p w:rsidR="00CD3C4E" w:rsidRPr="00190C20" w:rsidRDefault="00B90DB0" w:rsidP="00B90DB0">
      <w:pPr>
        <w:ind w:firstLine="567"/>
        <w:rPr>
          <w:szCs w:val="24"/>
        </w:rPr>
      </w:pPr>
      <w:r w:rsidRPr="00190C20">
        <w:rPr>
          <w:szCs w:val="24"/>
        </w:rPr>
        <w:t>(</w:t>
      </w:r>
      <w:r w:rsidR="00CD3C4E" w:rsidRPr="00190C20">
        <w:rPr>
          <w:szCs w:val="24"/>
        </w:rPr>
        <w:t>b</w:t>
      </w:r>
      <w:r w:rsidRPr="00190C20">
        <w:rPr>
          <w:szCs w:val="24"/>
        </w:rPr>
        <w:t>)</w:t>
      </w:r>
      <w:r w:rsidRPr="00190C20">
        <w:rPr>
          <w:szCs w:val="24"/>
        </w:rPr>
        <w:tab/>
      </w:r>
      <w:r w:rsidR="007B781A" w:rsidRPr="00190C20">
        <w:rPr>
          <w:szCs w:val="24"/>
        </w:rPr>
        <w:t xml:space="preserve">in </w:t>
      </w:r>
      <w:r w:rsidR="00CD3C4E" w:rsidRPr="00190C20">
        <w:rPr>
          <w:szCs w:val="24"/>
        </w:rPr>
        <w:t xml:space="preserve">deciding to issue </w:t>
      </w:r>
      <w:r w:rsidR="00CD3C4E" w:rsidRPr="00190C20">
        <w:rPr>
          <w:i/>
          <w:szCs w:val="24"/>
        </w:rPr>
        <w:t>ad hoc</w:t>
      </w:r>
      <w:r w:rsidR="00CD3C4E" w:rsidRPr="00190C20">
        <w:rPr>
          <w:szCs w:val="24"/>
        </w:rPr>
        <w:t xml:space="preserve"> invitations, the CAJ-AG would stipulate if such invitations would be linked to the receipt of written comments on specified document</w:t>
      </w:r>
      <w:r w:rsidR="00502DFF">
        <w:rPr>
          <w:szCs w:val="24"/>
        </w:rPr>
        <w:t>s</w:t>
      </w:r>
      <w:r w:rsidR="00CD3C4E" w:rsidRPr="00190C20">
        <w:rPr>
          <w:szCs w:val="24"/>
        </w:rPr>
        <w:t>;</w:t>
      </w:r>
    </w:p>
    <w:p w:rsidR="007B781A" w:rsidRPr="007A4C2C" w:rsidRDefault="007B781A" w:rsidP="007A4C2C">
      <w:pPr>
        <w:rPr>
          <w:rFonts w:eastAsia="Batang"/>
          <w:snapToGrid w:val="0"/>
          <w:szCs w:val="24"/>
          <w:lang w:eastAsia="ko-KR"/>
        </w:rPr>
      </w:pPr>
    </w:p>
    <w:p w:rsidR="00C64A36" w:rsidRPr="00190C20" w:rsidRDefault="009F7B27" w:rsidP="00C64A36">
      <w:pPr>
        <w:rPr>
          <w:rFonts w:eastAsia="Batang"/>
          <w:snapToGrid w:val="0"/>
          <w:szCs w:val="24"/>
          <w:lang w:eastAsia="ko-KR"/>
        </w:rPr>
      </w:pPr>
      <w:r>
        <w:rPr>
          <w:rFonts w:eastAsia="Batang"/>
          <w:snapToGrid w:val="0"/>
          <w:szCs w:val="24"/>
          <w:lang w:eastAsia="ko-KR"/>
        </w:rPr>
        <w:tab/>
        <w:t>(c</w:t>
      </w:r>
      <w:r w:rsidR="00C64A36" w:rsidRPr="00190C20">
        <w:rPr>
          <w:rFonts w:eastAsia="Batang"/>
          <w:snapToGrid w:val="0"/>
          <w:szCs w:val="24"/>
          <w:lang w:eastAsia="ko-KR"/>
        </w:rPr>
        <w:t>)</w:t>
      </w:r>
      <w:r w:rsidR="00C64A36" w:rsidRPr="00190C20">
        <w:rPr>
          <w:rFonts w:eastAsia="Batang"/>
          <w:snapToGrid w:val="0"/>
          <w:szCs w:val="24"/>
          <w:lang w:eastAsia="ko-KR"/>
        </w:rPr>
        <w:tab/>
      </w:r>
      <w:r w:rsidR="00CD3C4E" w:rsidRPr="00190C20">
        <w:rPr>
          <w:rFonts w:eastAsia="Batang"/>
          <w:snapToGrid w:val="0"/>
          <w:szCs w:val="24"/>
          <w:lang w:eastAsia="ko-KR"/>
        </w:rPr>
        <w:t xml:space="preserve">in cases where </w:t>
      </w:r>
      <w:r w:rsidR="00CD3C4E" w:rsidRPr="00A6170B">
        <w:rPr>
          <w:rFonts w:eastAsia="Batang"/>
          <w:i/>
          <w:snapToGrid w:val="0"/>
          <w:szCs w:val="24"/>
          <w:lang w:eastAsia="ko-KR"/>
        </w:rPr>
        <w:t>ad hoc</w:t>
      </w:r>
      <w:r w:rsidR="00CD3C4E" w:rsidRPr="00190C20">
        <w:rPr>
          <w:rFonts w:eastAsia="Batang"/>
          <w:snapToGrid w:val="0"/>
          <w:szCs w:val="24"/>
          <w:lang w:eastAsia="ko-KR"/>
        </w:rPr>
        <w:t xml:space="preserve"> invitations </w:t>
      </w:r>
      <w:r w:rsidR="00A6170B">
        <w:rPr>
          <w:rFonts w:eastAsia="Batang"/>
          <w:snapToGrid w:val="0"/>
          <w:szCs w:val="24"/>
          <w:lang w:eastAsia="ko-KR"/>
        </w:rPr>
        <w:t>are</w:t>
      </w:r>
      <w:r w:rsidR="00CD3C4E" w:rsidRPr="00190C20">
        <w:rPr>
          <w:rFonts w:eastAsia="Batang"/>
          <w:snapToGrid w:val="0"/>
          <w:szCs w:val="24"/>
          <w:lang w:eastAsia="ko-KR"/>
        </w:rPr>
        <w:t xml:space="preserve"> linked to receipt of written comments</w:t>
      </w:r>
      <w:r>
        <w:rPr>
          <w:rFonts w:eastAsia="Batang"/>
          <w:snapToGrid w:val="0"/>
          <w:szCs w:val="24"/>
          <w:lang w:eastAsia="ko-KR"/>
        </w:rPr>
        <w:t xml:space="preserve"> </w:t>
      </w:r>
      <w:r w:rsidRPr="00190C20">
        <w:rPr>
          <w:szCs w:val="24"/>
        </w:rPr>
        <w:t>on specified document</w:t>
      </w:r>
      <w:r>
        <w:rPr>
          <w:szCs w:val="24"/>
        </w:rPr>
        <w:t>s</w:t>
      </w:r>
      <w:r w:rsidR="00CD3C4E" w:rsidRPr="00190C20">
        <w:rPr>
          <w:rFonts w:eastAsia="Batang"/>
          <w:snapToGrid w:val="0"/>
          <w:szCs w:val="24"/>
          <w:lang w:eastAsia="ko-KR"/>
        </w:rPr>
        <w:t>, the CAJ</w:t>
      </w:r>
      <w:r w:rsidR="00CA5AC7" w:rsidRPr="00190C20">
        <w:rPr>
          <w:rFonts w:eastAsia="Batang"/>
          <w:snapToGrid w:val="0"/>
          <w:szCs w:val="24"/>
          <w:lang w:eastAsia="ko-KR"/>
        </w:rPr>
        <w:t xml:space="preserve">-AG </w:t>
      </w:r>
      <w:r w:rsidR="00CD3C4E" w:rsidRPr="00190C20">
        <w:rPr>
          <w:rFonts w:eastAsia="Batang"/>
          <w:snapToGrid w:val="0"/>
          <w:szCs w:val="24"/>
          <w:lang w:eastAsia="ko-KR"/>
        </w:rPr>
        <w:t xml:space="preserve">would request </w:t>
      </w:r>
      <w:r w:rsidR="00C64A36" w:rsidRPr="00190C20">
        <w:rPr>
          <w:rFonts w:eastAsia="Batang"/>
          <w:snapToGrid w:val="0"/>
          <w:szCs w:val="24"/>
          <w:lang w:eastAsia="ko-KR"/>
        </w:rPr>
        <w:t xml:space="preserve">that comments </w:t>
      </w:r>
      <w:r w:rsidR="00A6170B">
        <w:rPr>
          <w:rFonts w:eastAsia="Batang"/>
          <w:snapToGrid w:val="0"/>
          <w:szCs w:val="24"/>
          <w:lang w:eastAsia="ko-KR"/>
        </w:rPr>
        <w:t xml:space="preserve">be </w:t>
      </w:r>
      <w:r w:rsidR="00C64A36" w:rsidRPr="00190C20">
        <w:rPr>
          <w:rFonts w:eastAsia="Batang"/>
          <w:snapToGrid w:val="0"/>
          <w:szCs w:val="24"/>
          <w:lang w:eastAsia="ko-KR"/>
        </w:rPr>
        <w:t xml:space="preserve">sent, in English, to the Office of the Union </w:t>
      </w:r>
      <w:r w:rsidR="00911D65">
        <w:rPr>
          <w:rFonts w:eastAsia="Batang"/>
          <w:snapToGrid w:val="0"/>
          <w:szCs w:val="24"/>
          <w:lang w:eastAsia="ko-KR"/>
        </w:rPr>
        <w:br/>
      </w:r>
      <w:bookmarkStart w:id="7" w:name="_GoBack"/>
      <w:bookmarkEnd w:id="7"/>
      <w:r w:rsidR="00C64A36" w:rsidRPr="00190C20">
        <w:rPr>
          <w:rFonts w:eastAsia="Batang"/>
          <w:snapToGrid w:val="0"/>
          <w:szCs w:val="24"/>
          <w:lang w:eastAsia="ko-KR"/>
        </w:rPr>
        <w:t>at least two weeks prior to the relevant session of the CAJ</w:t>
      </w:r>
      <w:r w:rsidR="00C64A36" w:rsidRPr="00190C20">
        <w:rPr>
          <w:rFonts w:eastAsia="Batang"/>
          <w:snapToGrid w:val="0"/>
          <w:szCs w:val="24"/>
          <w:lang w:eastAsia="ko-KR"/>
        </w:rPr>
        <w:noBreakHyphen/>
        <w:t>AG (see document CAJ/65/13 “Report”, paragraph 24 (a)).</w:t>
      </w:r>
    </w:p>
    <w:p w:rsidR="007455DD" w:rsidRDefault="007455DD" w:rsidP="007455DD">
      <w:pPr>
        <w:jc w:val="left"/>
        <w:rPr>
          <w:rFonts w:eastAsia="Batang"/>
          <w:snapToGrid w:val="0"/>
          <w:szCs w:val="24"/>
          <w:lang w:eastAsia="ko-KR"/>
        </w:rPr>
      </w:pPr>
    </w:p>
    <w:p w:rsidR="007A4C2C" w:rsidRPr="00190C20" w:rsidRDefault="007A4C2C" w:rsidP="007455DD">
      <w:pPr>
        <w:jc w:val="left"/>
        <w:rPr>
          <w:rFonts w:eastAsia="Batang"/>
          <w:snapToGrid w:val="0"/>
          <w:szCs w:val="24"/>
          <w:lang w:eastAsia="ko-KR"/>
        </w:rPr>
      </w:pPr>
    </w:p>
    <w:p w:rsidR="007455DD" w:rsidRPr="00190C20" w:rsidRDefault="007455DD" w:rsidP="007A4C2C">
      <w:pPr>
        <w:tabs>
          <w:tab w:val="left" w:pos="5387"/>
        </w:tabs>
        <w:ind w:left="4820"/>
        <w:rPr>
          <w:i/>
          <w:snapToGrid w:val="0"/>
        </w:rPr>
      </w:pPr>
      <w:r w:rsidRPr="007A4C2C">
        <w:rPr>
          <w:snapToGrid w:val="0"/>
        </w:rPr>
        <w:fldChar w:fldCharType="begin"/>
      </w:r>
      <w:r w:rsidRPr="007A4C2C">
        <w:rPr>
          <w:snapToGrid w:val="0"/>
        </w:rPr>
        <w:instrText xml:space="preserve"> AUTONUM  </w:instrText>
      </w:r>
      <w:r w:rsidRPr="007A4C2C">
        <w:rPr>
          <w:snapToGrid w:val="0"/>
        </w:rPr>
        <w:fldChar w:fldCharType="end"/>
      </w:r>
      <w:r w:rsidRPr="00190C20">
        <w:rPr>
          <w:i/>
          <w:snapToGrid w:val="0"/>
        </w:rPr>
        <w:tab/>
        <w:t xml:space="preserve">The CAJ-AG is invited to consider </w:t>
      </w:r>
      <w:r w:rsidR="00CA5AC7" w:rsidRPr="00190C20">
        <w:rPr>
          <w:i/>
        </w:rPr>
        <w:t xml:space="preserve">the approach proposed in paragraph 8 of this document concerning possible arrangements </w:t>
      </w:r>
      <w:r w:rsidR="007A4C2C">
        <w:rPr>
          <w:i/>
          <w:snapToGrid w:val="0"/>
        </w:rPr>
        <w:t xml:space="preserve">for </w:t>
      </w:r>
      <w:r w:rsidR="007A4C2C" w:rsidRPr="007A4C2C">
        <w:rPr>
          <w:snapToGrid w:val="0"/>
        </w:rPr>
        <w:t>ad hoc</w:t>
      </w:r>
      <w:r w:rsidR="007A4C2C" w:rsidRPr="007A4C2C">
        <w:rPr>
          <w:i/>
          <w:snapToGrid w:val="0"/>
        </w:rPr>
        <w:t xml:space="preserve"> invitations for observers in the CAJ to atte</w:t>
      </w:r>
      <w:r w:rsidR="007A4C2C">
        <w:rPr>
          <w:i/>
          <w:snapToGrid w:val="0"/>
        </w:rPr>
        <w:t>nd the relevant part of the CAJ</w:t>
      </w:r>
      <w:r w:rsidR="007A4C2C">
        <w:rPr>
          <w:i/>
          <w:snapToGrid w:val="0"/>
        </w:rPr>
        <w:noBreakHyphen/>
      </w:r>
      <w:r w:rsidR="007A4C2C" w:rsidRPr="007A4C2C">
        <w:rPr>
          <w:i/>
          <w:snapToGrid w:val="0"/>
        </w:rPr>
        <w:t>AG.</w:t>
      </w:r>
    </w:p>
    <w:p w:rsidR="00CD3C4E" w:rsidRPr="00190C20" w:rsidRDefault="00CD3C4E" w:rsidP="003F2756">
      <w:pPr>
        <w:tabs>
          <w:tab w:val="left" w:pos="5387"/>
        </w:tabs>
        <w:ind w:left="4820"/>
        <w:jc w:val="left"/>
        <w:rPr>
          <w:i/>
          <w:snapToGrid w:val="0"/>
        </w:rPr>
      </w:pPr>
    </w:p>
    <w:p w:rsidR="007148A0" w:rsidRPr="00190C20" w:rsidRDefault="007148A0" w:rsidP="00CD3C4E">
      <w:pPr>
        <w:ind w:left="4820"/>
        <w:jc w:val="left"/>
        <w:rPr>
          <w:snapToGrid w:val="0"/>
        </w:rPr>
      </w:pPr>
    </w:p>
    <w:p w:rsidR="007148A0" w:rsidRPr="00190C20" w:rsidRDefault="007148A0" w:rsidP="007148A0">
      <w:pPr>
        <w:jc w:val="right"/>
        <w:rPr>
          <w:snapToGrid w:val="0"/>
        </w:rPr>
      </w:pPr>
      <w:r w:rsidRPr="00190C20">
        <w:rPr>
          <w:snapToGrid w:val="0"/>
        </w:rPr>
        <w:t>[End of document]</w:t>
      </w:r>
    </w:p>
    <w:sectPr w:rsidR="007148A0" w:rsidRPr="00190C20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53" w:rsidRDefault="00707153">
      <w:r>
        <w:separator/>
      </w:r>
    </w:p>
    <w:p w:rsidR="00707153" w:rsidRDefault="00707153"/>
    <w:p w:rsidR="00707153" w:rsidRDefault="00707153"/>
  </w:endnote>
  <w:endnote w:type="continuationSeparator" w:id="0">
    <w:p w:rsidR="00707153" w:rsidRDefault="00707153">
      <w:r>
        <w:separator/>
      </w:r>
    </w:p>
    <w:p w:rsidR="00707153" w:rsidRPr="00A60312" w:rsidRDefault="00707153">
      <w:pPr>
        <w:pStyle w:val="Footer"/>
        <w:spacing w:after="60"/>
        <w:rPr>
          <w:sz w:val="18"/>
          <w:lang w:val="fr-FR"/>
        </w:rPr>
      </w:pPr>
      <w:r w:rsidRPr="00A60312">
        <w:rPr>
          <w:sz w:val="18"/>
          <w:lang w:val="fr-FR"/>
        </w:rPr>
        <w:t>[Suite de la note de la page précédente]</w:t>
      </w:r>
    </w:p>
    <w:p w:rsidR="00707153" w:rsidRPr="00A60312" w:rsidRDefault="00707153">
      <w:pPr>
        <w:rPr>
          <w:lang w:val="fr-FR"/>
        </w:rPr>
      </w:pPr>
    </w:p>
    <w:p w:rsidR="00707153" w:rsidRPr="00A60312" w:rsidRDefault="00707153">
      <w:pPr>
        <w:rPr>
          <w:lang w:val="fr-FR"/>
        </w:rPr>
      </w:pPr>
    </w:p>
  </w:endnote>
  <w:endnote w:type="continuationNotice" w:id="1">
    <w:p w:rsidR="00707153" w:rsidRPr="00A60312" w:rsidRDefault="00707153">
      <w:pPr>
        <w:spacing w:before="60"/>
        <w:jc w:val="right"/>
        <w:rPr>
          <w:sz w:val="18"/>
          <w:lang w:val="fr-FR"/>
        </w:rPr>
      </w:pPr>
      <w:r w:rsidRPr="00A60312">
        <w:rPr>
          <w:sz w:val="18"/>
          <w:lang w:val="fr-FR"/>
        </w:rPr>
        <w:t>[Suite de la note page suivante]</w:t>
      </w:r>
    </w:p>
    <w:p w:rsidR="00707153" w:rsidRPr="00A60312" w:rsidRDefault="00707153">
      <w:pPr>
        <w:rPr>
          <w:lang w:val="fr-FR"/>
        </w:rPr>
      </w:pPr>
    </w:p>
    <w:p w:rsidR="00707153" w:rsidRPr="00A60312" w:rsidRDefault="0070715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53" w:rsidRDefault="00707153" w:rsidP="009D690D">
      <w:pPr>
        <w:spacing w:before="120"/>
      </w:pPr>
      <w:r>
        <w:separator/>
      </w:r>
    </w:p>
  </w:footnote>
  <w:footnote w:type="continuationSeparator" w:id="0">
    <w:p w:rsidR="00707153" w:rsidRDefault="00707153" w:rsidP="00520297">
      <w:pPr>
        <w:spacing w:before="120"/>
        <w:jc w:val="left"/>
      </w:pPr>
      <w:r>
        <w:separator/>
      </w:r>
    </w:p>
  </w:footnote>
  <w:footnote w:type="continuationNotice" w:id="1">
    <w:p w:rsidR="00707153" w:rsidRDefault="007071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24" w:rsidRPr="00997029" w:rsidRDefault="00BD4C24" w:rsidP="00EB048E">
    <w:pPr>
      <w:pStyle w:val="Header"/>
      <w:rPr>
        <w:rStyle w:val="PageNumber"/>
      </w:rPr>
    </w:pPr>
    <w:r>
      <w:rPr>
        <w:rStyle w:val="PageNumber"/>
      </w:rPr>
      <w:t>CAJ</w:t>
    </w:r>
    <w:r w:rsidR="009A40AE">
      <w:rPr>
        <w:rStyle w:val="PageNumber"/>
      </w:rPr>
      <w:t>-AG</w:t>
    </w:r>
    <w:r>
      <w:rPr>
        <w:rStyle w:val="PageNumber"/>
      </w:rPr>
      <w:t>/</w:t>
    </w:r>
    <w:r w:rsidR="009A40AE">
      <w:rPr>
        <w:rStyle w:val="PageNumber"/>
      </w:rPr>
      <w:t>1</w:t>
    </w:r>
    <w:r w:rsidR="00BA1D46">
      <w:rPr>
        <w:rStyle w:val="PageNumber"/>
      </w:rPr>
      <w:t>4</w:t>
    </w:r>
    <w:r>
      <w:rPr>
        <w:rStyle w:val="PageNumber"/>
      </w:rPr>
      <w:t>/</w:t>
    </w:r>
    <w:r w:rsidR="00BA1D46">
      <w:rPr>
        <w:rStyle w:val="PageNumber"/>
      </w:rPr>
      <w:t>9</w:t>
    </w:r>
    <w:r w:rsidR="009A40AE">
      <w:rPr>
        <w:rStyle w:val="PageNumber"/>
      </w:rPr>
      <w:t>/</w:t>
    </w:r>
    <w:r w:rsidR="00C347D0">
      <w:rPr>
        <w:rStyle w:val="PageNumber"/>
      </w:rPr>
      <w:t>5</w:t>
    </w:r>
  </w:p>
  <w:p w:rsidR="00BD4C24" w:rsidRPr="00997029" w:rsidRDefault="00BD4C24" w:rsidP="00EB048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E34A59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BD4C24" w:rsidRPr="00997029" w:rsidRDefault="00BD4C24" w:rsidP="00EB048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0F90"/>
    <w:multiLevelType w:val="hybridMultilevel"/>
    <w:tmpl w:val="B562E1D2"/>
    <w:lvl w:ilvl="0" w:tplc="E5C439A2">
      <w:start w:val="1"/>
      <w:numFmt w:val="lowerLetter"/>
      <w:lvlText w:val="(%1)"/>
      <w:lvlJc w:val="left"/>
      <w:pPr>
        <w:ind w:left="927" w:hanging="360"/>
      </w:pPr>
      <w:rPr>
        <w:rFonts w:ascii="Arial" w:eastAsia="Batang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F45F91"/>
    <w:multiLevelType w:val="hybridMultilevel"/>
    <w:tmpl w:val="507AB992"/>
    <w:lvl w:ilvl="0" w:tplc="C2BAEA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35A85"/>
    <w:multiLevelType w:val="hybridMultilevel"/>
    <w:tmpl w:val="C70CAB10"/>
    <w:lvl w:ilvl="0" w:tplc="04090001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B93F9D"/>
    <w:multiLevelType w:val="hybridMultilevel"/>
    <w:tmpl w:val="0ABE73DA"/>
    <w:lvl w:ilvl="0" w:tplc="1A3CBA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53"/>
    <w:rsid w:val="00001D48"/>
    <w:rsid w:val="00010CF3"/>
    <w:rsid w:val="00011E27"/>
    <w:rsid w:val="000148BC"/>
    <w:rsid w:val="00024AB8"/>
    <w:rsid w:val="00036028"/>
    <w:rsid w:val="000446B9"/>
    <w:rsid w:val="00047C17"/>
    <w:rsid w:val="00047E21"/>
    <w:rsid w:val="00083A71"/>
    <w:rsid w:val="00085505"/>
    <w:rsid w:val="000C7021"/>
    <w:rsid w:val="000D6BBC"/>
    <w:rsid w:val="000D7780"/>
    <w:rsid w:val="00105929"/>
    <w:rsid w:val="001131D5"/>
    <w:rsid w:val="00141DB8"/>
    <w:rsid w:val="0017474A"/>
    <w:rsid w:val="001758C6"/>
    <w:rsid w:val="00190C20"/>
    <w:rsid w:val="001A7E38"/>
    <w:rsid w:val="001C3DF3"/>
    <w:rsid w:val="0021332C"/>
    <w:rsid w:val="00213982"/>
    <w:rsid w:val="0024416D"/>
    <w:rsid w:val="0027309C"/>
    <w:rsid w:val="002800A0"/>
    <w:rsid w:val="00281060"/>
    <w:rsid w:val="0029439F"/>
    <w:rsid w:val="002A6E50"/>
    <w:rsid w:val="002C256A"/>
    <w:rsid w:val="002E7BA1"/>
    <w:rsid w:val="00305A7F"/>
    <w:rsid w:val="003152FE"/>
    <w:rsid w:val="00327436"/>
    <w:rsid w:val="00344BD6"/>
    <w:rsid w:val="0035528D"/>
    <w:rsid w:val="00361821"/>
    <w:rsid w:val="003C563E"/>
    <w:rsid w:val="003D227C"/>
    <w:rsid w:val="003D2B4D"/>
    <w:rsid w:val="003F2756"/>
    <w:rsid w:val="003F6136"/>
    <w:rsid w:val="00427139"/>
    <w:rsid w:val="00444A88"/>
    <w:rsid w:val="0046436B"/>
    <w:rsid w:val="00474DA4"/>
    <w:rsid w:val="0048034A"/>
    <w:rsid w:val="004D047D"/>
    <w:rsid w:val="004F305A"/>
    <w:rsid w:val="00502DFF"/>
    <w:rsid w:val="00512164"/>
    <w:rsid w:val="00520297"/>
    <w:rsid w:val="0052093E"/>
    <w:rsid w:val="005338F9"/>
    <w:rsid w:val="0054281C"/>
    <w:rsid w:val="0055268D"/>
    <w:rsid w:val="00572E44"/>
    <w:rsid w:val="00576BE4"/>
    <w:rsid w:val="00586B5B"/>
    <w:rsid w:val="005A400A"/>
    <w:rsid w:val="005D7962"/>
    <w:rsid w:val="00612379"/>
    <w:rsid w:val="0061555F"/>
    <w:rsid w:val="00641200"/>
    <w:rsid w:val="00662600"/>
    <w:rsid w:val="00663ED8"/>
    <w:rsid w:val="00687EB4"/>
    <w:rsid w:val="006B17D2"/>
    <w:rsid w:val="006B45FA"/>
    <w:rsid w:val="006C224E"/>
    <w:rsid w:val="00707153"/>
    <w:rsid w:val="007148A0"/>
    <w:rsid w:val="00732DEC"/>
    <w:rsid w:val="00734F5D"/>
    <w:rsid w:val="00735BD5"/>
    <w:rsid w:val="007455DD"/>
    <w:rsid w:val="0075117E"/>
    <w:rsid w:val="007556F6"/>
    <w:rsid w:val="00760EEF"/>
    <w:rsid w:val="00777EE5"/>
    <w:rsid w:val="00784836"/>
    <w:rsid w:val="0079023E"/>
    <w:rsid w:val="00796175"/>
    <w:rsid w:val="007A4C2C"/>
    <w:rsid w:val="007B781A"/>
    <w:rsid w:val="007D0B9D"/>
    <w:rsid w:val="007D19B0"/>
    <w:rsid w:val="007E6029"/>
    <w:rsid w:val="007F498F"/>
    <w:rsid w:val="0080679D"/>
    <w:rsid w:val="008108B0"/>
    <w:rsid w:val="00811B20"/>
    <w:rsid w:val="0082296E"/>
    <w:rsid w:val="00824099"/>
    <w:rsid w:val="00846F2F"/>
    <w:rsid w:val="00855DBD"/>
    <w:rsid w:val="00867AC1"/>
    <w:rsid w:val="008926F3"/>
    <w:rsid w:val="008A395B"/>
    <w:rsid w:val="008A743F"/>
    <w:rsid w:val="008B51D0"/>
    <w:rsid w:val="008C0970"/>
    <w:rsid w:val="008D2CF7"/>
    <w:rsid w:val="008E1FF1"/>
    <w:rsid w:val="008E793E"/>
    <w:rsid w:val="00900C26"/>
    <w:rsid w:val="0090197F"/>
    <w:rsid w:val="00906DDC"/>
    <w:rsid w:val="00911D65"/>
    <w:rsid w:val="00932ADD"/>
    <w:rsid w:val="00934E09"/>
    <w:rsid w:val="00936253"/>
    <w:rsid w:val="00970FED"/>
    <w:rsid w:val="00973AF6"/>
    <w:rsid w:val="00997029"/>
    <w:rsid w:val="009A40AE"/>
    <w:rsid w:val="009D0DE5"/>
    <w:rsid w:val="009D690D"/>
    <w:rsid w:val="009E65B6"/>
    <w:rsid w:val="009F7B27"/>
    <w:rsid w:val="00A42AC3"/>
    <w:rsid w:val="00A430CF"/>
    <w:rsid w:val="00A5329D"/>
    <w:rsid w:val="00A54309"/>
    <w:rsid w:val="00A60312"/>
    <w:rsid w:val="00A6170B"/>
    <w:rsid w:val="00AB2B93"/>
    <w:rsid w:val="00AE0EF1"/>
    <w:rsid w:val="00AF3EBC"/>
    <w:rsid w:val="00B07301"/>
    <w:rsid w:val="00B224DE"/>
    <w:rsid w:val="00B74071"/>
    <w:rsid w:val="00B84BBD"/>
    <w:rsid w:val="00B90DB0"/>
    <w:rsid w:val="00B928B1"/>
    <w:rsid w:val="00B9780F"/>
    <w:rsid w:val="00BA1D46"/>
    <w:rsid w:val="00BA43FB"/>
    <w:rsid w:val="00BC127D"/>
    <w:rsid w:val="00BC1FE6"/>
    <w:rsid w:val="00BC4C6C"/>
    <w:rsid w:val="00BD4C24"/>
    <w:rsid w:val="00BE0DF1"/>
    <w:rsid w:val="00BE36D8"/>
    <w:rsid w:val="00BF01A7"/>
    <w:rsid w:val="00BF573A"/>
    <w:rsid w:val="00C061B6"/>
    <w:rsid w:val="00C2446C"/>
    <w:rsid w:val="00C347D0"/>
    <w:rsid w:val="00C36AE5"/>
    <w:rsid w:val="00C41F17"/>
    <w:rsid w:val="00C53CB1"/>
    <w:rsid w:val="00C5791C"/>
    <w:rsid w:val="00C6395A"/>
    <w:rsid w:val="00C64A36"/>
    <w:rsid w:val="00C66290"/>
    <w:rsid w:val="00C72B7A"/>
    <w:rsid w:val="00C966A0"/>
    <w:rsid w:val="00C973F2"/>
    <w:rsid w:val="00CA5AC7"/>
    <w:rsid w:val="00CA774A"/>
    <w:rsid w:val="00CC11B0"/>
    <w:rsid w:val="00CD3C4E"/>
    <w:rsid w:val="00CF7E36"/>
    <w:rsid w:val="00D24210"/>
    <w:rsid w:val="00D334D0"/>
    <w:rsid w:val="00D3708D"/>
    <w:rsid w:val="00D40426"/>
    <w:rsid w:val="00D57C96"/>
    <w:rsid w:val="00D91203"/>
    <w:rsid w:val="00D95174"/>
    <w:rsid w:val="00DA6F36"/>
    <w:rsid w:val="00DC00EA"/>
    <w:rsid w:val="00E10461"/>
    <w:rsid w:val="00E34A59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F00350"/>
    <w:rsid w:val="00F04DEB"/>
    <w:rsid w:val="00F1237A"/>
    <w:rsid w:val="00F22CBD"/>
    <w:rsid w:val="00F6334D"/>
    <w:rsid w:val="00FA249B"/>
    <w:rsid w:val="00FA49AB"/>
    <w:rsid w:val="00FB0D37"/>
    <w:rsid w:val="00FC27ED"/>
    <w:rsid w:val="00FD21DE"/>
    <w:rsid w:val="00FE39C7"/>
    <w:rsid w:val="00FE4AF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DF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E0DF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BE0DF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E0DF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E0DF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BE0DF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BE0D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BE0DF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BE0DF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BE0DF1"/>
    <w:rPr>
      <w:rFonts w:ascii="Arial" w:hAnsi="Arial"/>
      <w:sz w:val="20"/>
    </w:rPr>
  </w:style>
  <w:style w:type="paragraph" w:styleId="Title">
    <w:name w:val="Title"/>
    <w:basedOn w:val="Normal"/>
    <w:qFormat/>
    <w:rsid w:val="00BE0DF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BE0DF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BE0DF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BE0DF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BE0DF1"/>
    <w:rPr>
      <w:vertAlign w:val="superscript"/>
    </w:rPr>
  </w:style>
  <w:style w:type="paragraph" w:styleId="Closing">
    <w:name w:val="Closing"/>
    <w:basedOn w:val="Normal"/>
    <w:rsid w:val="00BE0DF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BE0D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BE0D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BE0DF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BE0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BE0DF1"/>
    <w:pPr>
      <w:ind w:left="4536"/>
      <w:jc w:val="center"/>
    </w:pPr>
  </w:style>
  <w:style w:type="character" w:customStyle="1" w:styleId="Doclang">
    <w:name w:val="Doc_lang"/>
    <w:basedOn w:val="DefaultParagraphFont"/>
    <w:rsid w:val="00BE0DF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BE0DF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BE0D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BE0DF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E0DF1"/>
    <w:pPr>
      <w:ind w:left="1589"/>
      <w:jc w:val="left"/>
    </w:pPr>
  </w:style>
  <w:style w:type="paragraph" w:customStyle="1" w:styleId="upove">
    <w:name w:val="upov_e"/>
    <w:basedOn w:val="Normal"/>
    <w:rsid w:val="00BE0DF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BE0DF1"/>
  </w:style>
  <w:style w:type="paragraph" w:styleId="EndnoteText">
    <w:name w:val="endnote text"/>
    <w:basedOn w:val="Normal"/>
    <w:semiHidden/>
    <w:rsid w:val="00BE0DF1"/>
  </w:style>
  <w:style w:type="character" w:styleId="EndnoteReference">
    <w:name w:val="endnote reference"/>
    <w:basedOn w:val="DefaultParagraphFont"/>
    <w:semiHidden/>
    <w:rsid w:val="00BE0DF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BE0DF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BE0DF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BE0DF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BE0DF1"/>
    <w:pPr>
      <w:spacing w:before="60" w:after="480"/>
      <w:jc w:val="center"/>
    </w:pPr>
  </w:style>
  <w:style w:type="paragraph" w:customStyle="1" w:styleId="Lettrine">
    <w:name w:val="Lettrine"/>
    <w:basedOn w:val="Normal"/>
    <w:rsid w:val="00BE0DF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BE0DF1"/>
    <w:pPr>
      <w:spacing w:before="720"/>
      <w:jc w:val="center"/>
    </w:pPr>
  </w:style>
  <w:style w:type="paragraph" w:customStyle="1" w:styleId="Sessiontc">
    <w:name w:val="Session_tc"/>
    <w:basedOn w:val="StyleSessionAllcaps"/>
    <w:rsid w:val="00BE0DF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BE0DF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BE0D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BE0D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BE0D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BE0DF1"/>
    <w:pPr>
      <w:spacing w:before="240"/>
    </w:pPr>
  </w:style>
  <w:style w:type="paragraph" w:customStyle="1" w:styleId="Titleofdoc0">
    <w:name w:val="Title_of_doc"/>
    <w:basedOn w:val="Normal"/>
    <w:rsid w:val="00BE0DF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BE0DF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BE0DF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BE0DF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BE0DF1"/>
  </w:style>
  <w:style w:type="character" w:customStyle="1" w:styleId="StyleDocoriginalChar">
    <w:name w:val="Style Doc_original Char"/>
    <w:basedOn w:val="DocoriginalChar"/>
    <w:link w:val="StyleDocoriginal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BE0DF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BE0DF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BE0DF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F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EB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00350"/>
    <w:rPr>
      <w:rFonts w:ascii="Arial" w:hAnsi="Arial"/>
      <w:u w:val="single"/>
    </w:rPr>
  </w:style>
  <w:style w:type="character" w:customStyle="1" w:styleId="FootnoteTextChar">
    <w:name w:val="Footnote Text Char"/>
    <w:link w:val="FootnoteText"/>
    <w:rsid w:val="00F00350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C64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DF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E0DF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BE0DF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E0DF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E0DF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BE0DF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BE0D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BE0DF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BE0DF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BE0DF1"/>
    <w:rPr>
      <w:rFonts w:ascii="Arial" w:hAnsi="Arial"/>
      <w:sz w:val="20"/>
    </w:rPr>
  </w:style>
  <w:style w:type="paragraph" w:styleId="Title">
    <w:name w:val="Title"/>
    <w:basedOn w:val="Normal"/>
    <w:qFormat/>
    <w:rsid w:val="00BE0DF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BE0DF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BE0DF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BE0DF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BE0DF1"/>
    <w:rPr>
      <w:vertAlign w:val="superscript"/>
    </w:rPr>
  </w:style>
  <w:style w:type="paragraph" w:styleId="Closing">
    <w:name w:val="Closing"/>
    <w:basedOn w:val="Normal"/>
    <w:rsid w:val="00BE0DF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BE0D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BE0D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BE0DF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BE0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BE0DF1"/>
    <w:pPr>
      <w:ind w:left="4536"/>
      <w:jc w:val="center"/>
    </w:pPr>
  </w:style>
  <w:style w:type="character" w:customStyle="1" w:styleId="Doclang">
    <w:name w:val="Doc_lang"/>
    <w:basedOn w:val="DefaultParagraphFont"/>
    <w:rsid w:val="00BE0DF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BE0DF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BE0D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BE0DF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E0DF1"/>
    <w:pPr>
      <w:ind w:left="1589"/>
      <w:jc w:val="left"/>
    </w:pPr>
  </w:style>
  <w:style w:type="paragraph" w:customStyle="1" w:styleId="upove">
    <w:name w:val="upov_e"/>
    <w:basedOn w:val="Normal"/>
    <w:rsid w:val="00BE0DF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BE0DF1"/>
  </w:style>
  <w:style w:type="paragraph" w:styleId="EndnoteText">
    <w:name w:val="endnote text"/>
    <w:basedOn w:val="Normal"/>
    <w:semiHidden/>
    <w:rsid w:val="00BE0DF1"/>
  </w:style>
  <w:style w:type="character" w:styleId="EndnoteReference">
    <w:name w:val="endnote reference"/>
    <w:basedOn w:val="DefaultParagraphFont"/>
    <w:semiHidden/>
    <w:rsid w:val="00BE0DF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BE0DF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BE0DF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BE0DF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BE0DF1"/>
    <w:pPr>
      <w:spacing w:before="60" w:after="480"/>
      <w:jc w:val="center"/>
    </w:pPr>
  </w:style>
  <w:style w:type="paragraph" w:customStyle="1" w:styleId="Lettrine">
    <w:name w:val="Lettrine"/>
    <w:basedOn w:val="Normal"/>
    <w:rsid w:val="00BE0DF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BE0DF1"/>
    <w:pPr>
      <w:spacing w:before="720"/>
      <w:jc w:val="center"/>
    </w:pPr>
  </w:style>
  <w:style w:type="paragraph" w:customStyle="1" w:styleId="Sessiontc">
    <w:name w:val="Session_tc"/>
    <w:basedOn w:val="StyleSessionAllcaps"/>
    <w:rsid w:val="00BE0DF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BE0DF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BE0D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BE0D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BE0D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BE0DF1"/>
    <w:pPr>
      <w:spacing w:before="240"/>
    </w:pPr>
  </w:style>
  <w:style w:type="paragraph" w:customStyle="1" w:styleId="Titleofdoc0">
    <w:name w:val="Title_of_doc"/>
    <w:basedOn w:val="Normal"/>
    <w:rsid w:val="00BE0DF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BE0DF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BE0DF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BE0DF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BE0DF1"/>
  </w:style>
  <w:style w:type="character" w:customStyle="1" w:styleId="StyleDocoriginalChar">
    <w:name w:val="Style Doc_original Char"/>
    <w:basedOn w:val="DocoriginalChar"/>
    <w:link w:val="StyleDocoriginal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BE0DF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BE0DF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BE0DF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F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EB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00350"/>
    <w:rPr>
      <w:rFonts w:ascii="Arial" w:hAnsi="Arial"/>
      <w:u w:val="single"/>
    </w:rPr>
  </w:style>
  <w:style w:type="character" w:customStyle="1" w:styleId="FootnoteTextChar">
    <w:name w:val="Footnote Text Char"/>
    <w:link w:val="FootnoteText"/>
    <w:rsid w:val="00F00350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C64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-AG\caj_ag_14\Templates\CAJ_AG_14_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CAJ_AG_14_9_EN.dotx</Template>
  <TotalTime>343</TotalTime>
  <Pages>2</Pages>
  <Words>1009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CAJ-AG/14/9/</vt:lpstr>
    </vt:vector>
  </TitlesOfParts>
  <Company>UPOV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CAJ-AG/14/9/</dc:title>
  <dc:creator>MAY Jessica</dc:creator>
  <cp:lastModifiedBy>SANCHEZ-VIZCAINO GOMEZ Rosa Maria</cp:lastModifiedBy>
  <cp:revision>15</cp:revision>
  <cp:lastPrinted>2014-09-25T15:03:00Z</cp:lastPrinted>
  <dcterms:created xsi:type="dcterms:W3CDTF">2014-05-20T14:28:00Z</dcterms:created>
  <dcterms:modified xsi:type="dcterms:W3CDTF">2014-09-25T15:03:00Z</dcterms:modified>
</cp:coreProperties>
</file>