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FD21DE" w:rsidRDefault="00973AF6" w:rsidP="00576BE4">
            <w:pPr>
              <w:pStyle w:val="LogoUPOV"/>
            </w:pPr>
            <w:r w:rsidRPr="00FD21DE">
              <w:rPr>
                <w:noProof/>
              </w:rPr>
              <w:drawing>
                <wp:inline distT="0" distB="0" distL="0" distR="0" wp14:anchorId="3F7BC7FF" wp14:editId="0AB462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21DE" w:rsidRDefault="0024416D" w:rsidP="00576BE4">
            <w:pPr>
              <w:pStyle w:val="Lettrine"/>
            </w:pPr>
            <w:r w:rsidRPr="00FD21DE">
              <w:t>E</w:t>
            </w:r>
          </w:p>
          <w:p w:rsidR="000D7780" w:rsidRPr="00FD21DE" w:rsidRDefault="00EB3EFA" w:rsidP="00474DA4">
            <w:pPr>
              <w:pStyle w:val="Docoriginal"/>
              <w:jc w:val="left"/>
            </w:pPr>
            <w:r w:rsidRPr="00FD21DE">
              <w:t>CAJ</w:t>
            </w:r>
            <w:r w:rsidR="009A40AE" w:rsidRPr="00FD21DE">
              <w:t>-AG</w:t>
            </w:r>
            <w:r w:rsidRPr="00FD21DE">
              <w:t>/</w:t>
            </w:r>
            <w:r w:rsidR="009A40AE" w:rsidRPr="00FD21DE">
              <w:t>1</w:t>
            </w:r>
            <w:r w:rsidR="00BA1D46">
              <w:t>4</w:t>
            </w:r>
            <w:r w:rsidRPr="00FD21DE">
              <w:t>/</w:t>
            </w:r>
            <w:bookmarkStart w:id="0" w:name="Code"/>
            <w:bookmarkEnd w:id="0"/>
            <w:r w:rsidR="00BA1D46">
              <w:t>9</w:t>
            </w:r>
            <w:r w:rsidR="009A40AE" w:rsidRPr="00FD21DE">
              <w:t>/</w:t>
            </w:r>
            <w:r w:rsidR="00D334D0">
              <w:t>3</w:t>
            </w:r>
          </w:p>
          <w:p w:rsidR="000D7780" w:rsidRPr="00FD21DE" w:rsidRDefault="0061555F" w:rsidP="00474DA4">
            <w:pPr>
              <w:pStyle w:val="Docoriginal"/>
              <w:jc w:val="left"/>
            </w:pPr>
            <w:r w:rsidRPr="00FD21DE">
              <w:rPr>
                <w:rStyle w:val="StyleDoclangBold"/>
                <w:b/>
                <w:bCs/>
                <w:spacing w:val="0"/>
              </w:rPr>
              <w:t>ORIGINAL</w:t>
            </w:r>
            <w:r w:rsidR="000D7780" w:rsidRPr="00FD21DE">
              <w:rPr>
                <w:rStyle w:val="StyleDoclangBold"/>
                <w:b/>
                <w:bCs/>
                <w:spacing w:val="0"/>
              </w:rPr>
              <w:t>:</w:t>
            </w:r>
            <w:r w:rsidRPr="00FD21DE">
              <w:rPr>
                <w:rStyle w:val="StyleDocoriginalNotBold1"/>
                <w:spacing w:val="0"/>
              </w:rPr>
              <w:t xml:space="preserve"> </w:t>
            </w:r>
            <w:r w:rsidR="000D7780" w:rsidRPr="00FD21DE">
              <w:rPr>
                <w:rStyle w:val="StyleDocoriginalNotBold1"/>
                <w:spacing w:val="0"/>
              </w:rPr>
              <w:t xml:space="preserve"> </w:t>
            </w:r>
            <w:bookmarkStart w:id="1" w:name="Original"/>
            <w:bookmarkEnd w:id="1"/>
            <w:r w:rsidR="0024416D" w:rsidRPr="00FD21DE">
              <w:rPr>
                <w:b w:val="0"/>
                <w:spacing w:val="0"/>
              </w:rPr>
              <w:t>English</w:t>
            </w:r>
          </w:p>
          <w:p w:rsidR="000D7780" w:rsidRPr="00FD21DE" w:rsidRDefault="000D7780" w:rsidP="00B03359">
            <w:pPr>
              <w:pStyle w:val="Docoriginal"/>
              <w:jc w:val="left"/>
              <w:rPr>
                <w:b w:val="0"/>
                <w:spacing w:val="0"/>
                <w:highlight w:val="cyan"/>
              </w:rPr>
            </w:pPr>
            <w:r w:rsidRPr="00FD21DE">
              <w:rPr>
                <w:spacing w:val="0"/>
              </w:rPr>
              <w:t>DATE:</w:t>
            </w:r>
            <w:r w:rsidR="0061555F" w:rsidRPr="00FD21DE">
              <w:rPr>
                <w:b w:val="0"/>
                <w:spacing w:val="0"/>
              </w:rPr>
              <w:t xml:space="preserve"> </w:t>
            </w:r>
            <w:r w:rsidRPr="00FD21DE">
              <w:rPr>
                <w:rStyle w:val="StyleDocoriginalNotBold1"/>
                <w:spacing w:val="0"/>
              </w:rPr>
              <w:t xml:space="preserve"> </w:t>
            </w:r>
            <w:bookmarkStart w:id="2" w:name="Date"/>
            <w:bookmarkEnd w:id="2"/>
            <w:r w:rsidR="00EB2992" w:rsidRPr="004E145D">
              <w:rPr>
                <w:b w:val="0"/>
                <w:spacing w:val="0"/>
              </w:rPr>
              <w:t>September 2</w:t>
            </w:r>
            <w:r w:rsidR="00B03359" w:rsidRPr="004E145D">
              <w:rPr>
                <w:b w:val="0"/>
                <w:spacing w:val="0"/>
              </w:rPr>
              <w:t>5</w:t>
            </w:r>
            <w:r w:rsidR="0024416D" w:rsidRPr="004E145D">
              <w:rPr>
                <w:b w:val="0"/>
                <w:spacing w:val="0"/>
              </w:rPr>
              <w:t xml:space="preserve">, </w:t>
            </w:r>
            <w:r w:rsidR="001131D5" w:rsidRPr="004E145D">
              <w:rPr>
                <w:b w:val="0"/>
                <w:spacing w:val="0"/>
              </w:rPr>
              <w:t>201</w:t>
            </w:r>
            <w:r w:rsidR="00BA1D46" w:rsidRPr="004E145D">
              <w:rPr>
                <w:b w:val="0"/>
                <w:spacing w:val="0"/>
              </w:rPr>
              <w:t>4</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BA1D46" w:rsidP="0080679D">
      <w:pPr>
        <w:pStyle w:val="Sessiontcplacedate"/>
      </w:pPr>
      <w:r>
        <w:t>Ninth</w:t>
      </w:r>
      <w:r w:rsidR="00FB0D37" w:rsidRPr="00FD21DE">
        <w:t xml:space="preserve"> Session</w:t>
      </w:r>
      <w:r w:rsidR="00361821" w:rsidRPr="00FD21DE">
        <w:br/>
      </w:r>
      <w:r w:rsidR="00FB0D37" w:rsidRPr="00FD21DE">
        <w:t xml:space="preserve">Geneva, </w:t>
      </w:r>
      <w:r w:rsidR="009A40AE" w:rsidRPr="00FD21DE">
        <w:t xml:space="preserve">October </w:t>
      </w:r>
      <w:r>
        <w:t>14 and 17</w:t>
      </w:r>
      <w:r w:rsidR="00BD4C24" w:rsidRPr="00FD21DE">
        <w:t>, 201</w:t>
      </w:r>
      <w:r w:rsidR="00BE36D8">
        <w:t>4</w:t>
      </w:r>
    </w:p>
    <w:p w:rsidR="000D7780" w:rsidRPr="00FD21DE" w:rsidRDefault="00D334D0" w:rsidP="0080679D">
      <w:pPr>
        <w:pStyle w:val="Titleofdoc0"/>
      </w:pPr>
      <w:bookmarkStart w:id="3" w:name="TitleOfDoc"/>
      <w:bookmarkEnd w:id="3"/>
      <w:r w:rsidRPr="00D334D0">
        <w:t>Possible alternative dispute settlement mechanisms for essentially derived varieties</w:t>
      </w:r>
    </w:p>
    <w:p w:rsidR="000D7780" w:rsidRPr="00FD21DE" w:rsidRDefault="00AE0EF1" w:rsidP="0080679D">
      <w:pPr>
        <w:pStyle w:val="preparedby1"/>
      </w:pPr>
      <w:bookmarkStart w:id="4" w:name="Prepared"/>
      <w:bookmarkEnd w:id="4"/>
      <w:r w:rsidRPr="00707153">
        <w:t>Document</w:t>
      </w:r>
      <w:r w:rsidRPr="00FD21DE">
        <w:t xml:space="preserve"> </w:t>
      </w:r>
      <w:r w:rsidR="0061555F" w:rsidRPr="00FD21DE">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991812" w:rsidRDefault="00991812" w:rsidP="00991812">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report on developments on alternative dispute settlement </w:t>
      </w:r>
      <w:r w:rsidR="00E8682A">
        <w:rPr>
          <w:snapToGrid w:val="0"/>
        </w:rPr>
        <w:t xml:space="preserve">mechanisms </w:t>
      </w:r>
      <w:r>
        <w:rPr>
          <w:snapToGrid w:val="0"/>
        </w:rPr>
        <w:t xml:space="preserve">at </w:t>
      </w:r>
      <w:r w:rsidR="00E8682A">
        <w:rPr>
          <w:snapToGrid w:val="0"/>
        </w:rPr>
        <w:t xml:space="preserve">the </w:t>
      </w:r>
      <w:r w:rsidRPr="00991812">
        <w:rPr>
          <w:snapToGrid w:val="0"/>
        </w:rPr>
        <w:t>International Community of Breeders of Asexually Reproduced Ornamental and Fruit Varieties (CIOPORA)</w:t>
      </w:r>
      <w:r>
        <w:rPr>
          <w:snapToGrid w:val="0"/>
        </w:rPr>
        <w:t xml:space="preserve">, </w:t>
      </w:r>
      <w:r w:rsidR="00E8682A">
        <w:rPr>
          <w:snapToGrid w:val="0"/>
        </w:rPr>
        <w:t xml:space="preserve">the </w:t>
      </w:r>
      <w:r w:rsidRPr="00991812">
        <w:rPr>
          <w:snapToGrid w:val="0"/>
        </w:rPr>
        <w:t>International Seed Federation (ISF)</w:t>
      </w:r>
      <w:r>
        <w:rPr>
          <w:snapToGrid w:val="0"/>
        </w:rPr>
        <w:t xml:space="preserve"> and </w:t>
      </w:r>
      <w:r w:rsidR="00E8682A">
        <w:rPr>
          <w:snapToGrid w:val="0"/>
        </w:rPr>
        <w:t xml:space="preserve">the </w:t>
      </w:r>
      <w:r w:rsidRPr="00991812">
        <w:rPr>
          <w:snapToGrid w:val="0"/>
        </w:rPr>
        <w:t>World Intellectual Property Organization (WIPO)</w:t>
      </w:r>
      <w:r w:rsidR="00E8682A">
        <w:rPr>
          <w:snapToGrid w:val="0"/>
        </w:rPr>
        <w:t xml:space="preserve"> and to consider </w:t>
      </w:r>
      <w:r w:rsidR="00591632">
        <w:rPr>
          <w:snapToGrid w:val="0"/>
        </w:rPr>
        <w:t xml:space="preserve">the possible role of UPOV in </w:t>
      </w:r>
      <w:r w:rsidR="00591632" w:rsidRPr="00591632">
        <w:rPr>
          <w:snapToGrid w:val="0"/>
        </w:rPr>
        <w:t>alternative dispute settlement mechanisms</w:t>
      </w:r>
      <w:r w:rsidR="00591632">
        <w:rPr>
          <w:snapToGrid w:val="0"/>
        </w:rPr>
        <w:t>.</w:t>
      </w:r>
    </w:p>
    <w:p w:rsidR="00E8682A" w:rsidRDefault="00E8682A" w:rsidP="00991812">
      <w:pPr>
        <w:rPr>
          <w:snapToGrid w:val="0"/>
        </w:rPr>
      </w:pPr>
    </w:p>
    <w:p w:rsidR="00E8682A" w:rsidRDefault="00E8682A" w:rsidP="00991812">
      <w:pPr>
        <w:rPr>
          <w:snapToGrid w:val="0"/>
        </w:rPr>
      </w:pPr>
    </w:p>
    <w:p w:rsidR="00E8682A" w:rsidRDefault="00E8682A" w:rsidP="00E8682A">
      <w:pPr>
        <w:pStyle w:val="Heading1"/>
        <w:rPr>
          <w:snapToGrid w:val="0"/>
        </w:rPr>
      </w:pPr>
      <w:r>
        <w:rPr>
          <w:snapToGrid w:val="0"/>
        </w:rPr>
        <w:t>Background</w:t>
      </w:r>
    </w:p>
    <w:p w:rsidR="00991812" w:rsidRDefault="00991812">
      <w:pPr>
        <w:jc w:val="left"/>
        <w:rPr>
          <w:snapToGrid w:val="0"/>
        </w:rPr>
      </w:pPr>
    </w:p>
    <w:p w:rsidR="00463461" w:rsidRDefault="00463461" w:rsidP="008A4839">
      <w:r>
        <w:fldChar w:fldCharType="begin"/>
      </w:r>
      <w:r>
        <w:instrText xml:space="preserve"> AUTONUM  </w:instrText>
      </w:r>
      <w:r>
        <w:fldChar w:fldCharType="end"/>
      </w:r>
      <w:r>
        <w:tab/>
        <w:t>T</w:t>
      </w:r>
      <w:r w:rsidRPr="00E10461">
        <w:t xml:space="preserve">he </w:t>
      </w:r>
      <w:r>
        <w:t xml:space="preserve">Administrative and Legal Committee Advisory Group (CAJ-AG), </w:t>
      </w:r>
      <w:r w:rsidRPr="00480C34">
        <w:t xml:space="preserve">at its eighth session, </w:t>
      </w:r>
      <w:r>
        <w:t>held in Geneva on October 21</w:t>
      </w:r>
      <w:r w:rsidRPr="0046436B">
        <w:t xml:space="preserve"> </w:t>
      </w:r>
      <w:r>
        <w:t xml:space="preserve">and </w:t>
      </w:r>
      <w:r w:rsidRPr="0046436B">
        <w:t>25, 2013</w:t>
      </w:r>
      <w:r>
        <w:t xml:space="preserve">, </w:t>
      </w:r>
      <w:r w:rsidRPr="00482F75">
        <w:t>noted the closing remarks of the President of the Council</w:t>
      </w:r>
      <w:r w:rsidR="00B03359">
        <w:t xml:space="preserve"> of</w:t>
      </w:r>
      <w:r w:rsidR="00307E30">
        <w:t xml:space="preserve"> Session </w:t>
      </w:r>
      <w:r w:rsidRPr="00482F75">
        <w:t xml:space="preserve">III of the </w:t>
      </w:r>
      <w:r w:rsidRPr="002E2A4D">
        <w:t xml:space="preserve">Seminar on Essentially Derived Varieties </w:t>
      </w:r>
      <w:r>
        <w:t>(</w:t>
      </w:r>
      <w:r w:rsidRPr="00482F75">
        <w:t>EDV Seminar</w:t>
      </w:r>
      <w:r>
        <w:t>)</w:t>
      </w:r>
      <w:r w:rsidRPr="00482F75">
        <w:t xml:space="preserve"> “Possible role of future UPOV guidance on essentially derived varieties” in relation to the following topics:</w:t>
      </w:r>
    </w:p>
    <w:p w:rsidR="00463461" w:rsidRPr="00482F75" w:rsidRDefault="00463461" w:rsidP="00463461">
      <w:pPr>
        <w:jc w:val="left"/>
      </w:pPr>
    </w:p>
    <w:p w:rsidR="00463461" w:rsidRPr="00482F75" w:rsidRDefault="00463461" w:rsidP="00463461">
      <w:r w:rsidRPr="00482F75">
        <w:tab/>
        <w:t>(</w:t>
      </w:r>
      <w:proofErr w:type="spellStart"/>
      <w:r w:rsidRPr="00482F75">
        <w:t>i</w:t>
      </w:r>
      <w:proofErr w:type="spellEnd"/>
      <w:r w:rsidRPr="00482F75">
        <w:t>)</w:t>
      </w:r>
      <w:r w:rsidRPr="00482F75">
        <w:tab/>
      </w:r>
      <w:proofErr w:type="gramStart"/>
      <w:r w:rsidRPr="00482F75">
        <w:t>experiences</w:t>
      </w:r>
      <w:proofErr w:type="gramEnd"/>
      <w:r w:rsidRPr="00482F75">
        <w:t xml:space="preserve"> on the role of “soft law”/guidance in different jurisdictions and in relation to other subject matters; and</w:t>
      </w:r>
    </w:p>
    <w:p w:rsidR="00463461" w:rsidRPr="00482F75" w:rsidRDefault="00463461" w:rsidP="00463461"/>
    <w:p w:rsidR="00463461" w:rsidRPr="00482F75" w:rsidRDefault="00463461" w:rsidP="00463461">
      <w:r w:rsidRPr="00482F75">
        <w:tab/>
        <w:t xml:space="preserve">(ii) </w:t>
      </w:r>
      <w:r w:rsidRPr="00482F75">
        <w:tab/>
      </w:r>
      <w:proofErr w:type="gramStart"/>
      <w:r w:rsidRPr="00482F75">
        <w:t>the</w:t>
      </w:r>
      <w:proofErr w:type="gramEnd"/>
      <w:r w:rsidRPr="00482F75">
        <w:t xml:space="preserve"> potential of alternative dispute settlement mechanisms as a tool for building guidance resulting from award/expert determination EDV cases.  </w:t>
      </w:r>
    </w:p>
    <w:p w:rsidR="00463461" w:rsidRDefault="00463461" w:rsidP="00463461"/>
    <w:p w:rsidR="00463461" w:rsidRDefault="00463461" w:rsidP="00463461">
      <w:r>
        <w:rPr>
          <w:rFonts w:cs="Arial"/>
          <w:szCs w:val="16"/>
        </w:rPr>
        <w:t xml:space="preserve">(see </w:t>
      </w:r>
      <w:r w:rsidR="008A4839">
        <w:rPr>
          <w:rFonts w:cs="Arial"/>
          <w:szCs w:val="16"/>
        </w:rPr>
        <w:t>document CAJ-AG/13/8/10 “Report”, paragraph 48 and Proceedings of the EDV Seminar, Publication </w:t>
      </w:r>
      <w:r>
        <w:rPr>
          <w:rFonts w:cs="Arial"/>
          <w:szCs w:val="16"/>
        </w:rPr>
        <w:t>358, page 101</w:t>
      </w:r>
      <w:r w:rsidR="008A4839">
        <w:t xml:space="preserve"> </w:t>
      </w:r>
      <w:hyperlink r:id="rId8" w:history="1">
        <w:r w:rsidR="008A4839" w:rsidRPr="002E2A4D">
          <w:rPr>
            <w:rStyle w:val="Hyperlink"/>
          </w:rPr>
          <w:t>http://www.upov.int/meetings/en/details.jsp?meeting_id=29782</w:t>
        </w:r>
      </w:hyperlink>
      <w:r w:rsidR="008A4839" w:rsidRPr="002E2A4D">
        <w:t>)</w:t>
      </w:r>
    </w:p>
    <w:p w:rsidR="006C0FCE" w:rsidRPr="00482F75" w:rsidRDefault="006C0FCE" w:rsidP="006C0FCE"/>
    <w:p w:rsidR="006C0FCE" w:rsidRPr="00482F75" w:rsidRDefault="006C0FCE" w:rsidP="006C0FCE">
      <w:r w:rsidRPr="00482F75">
        <w:fldChar w:fldCharType="begin"/>
      </w:r>
      <w:r w:rsidRPr="00482F75">
        <w:instrText xml:space="preserve"> AUTONUM  </w:instrText>
      </w:r>
      <w:r w:rsidRPr="00482F75">
        <w:fldChar w:fldCharType="end"/>
      </w:r>
      <w:r w:rsidRPr="00482F75">
        <w:tab/>
        <w:t>The CAJ-AG</w:t>
      </w:r>
      <w:r>
        <w:t>, at its eighth session,</w:t>
      </w:r>
      <w:r w:rsidRPr="00482F75">
        <w:t xml:space="preserve"> agreed to consider the inclusion of information on alternative dispute settlement mechanisms for EDV matters in document UPOV/EXN/EDV/2, including a reference to </w:t>
      </w:r>
      <w:r w:rsidRPr="00482F75">
        <w:rPr>
          <w:szCs w:val="24"/>
        </w:rPr>
        <w:t>document UPOV/INF/21 “Alternative Dispute Settlement Mechanisms”</w:t>
      </w:r>
      <w:r w:rsidRPr="00482F75">
        <w:t>.  As a first step, the CAJ-AG agreed that the Office of the Union should prepare an information document for the CAJ-AG on developments on alternative dispute settlement mechanisms at CIOPORA, ISF and WIPO.  In that regard, the CAJ-AG noted that one aspect for consideration would be the possible role of UPOV in the prov</w:t>
      </w:r>
      <w:r>
        <w:t xml:space="preserve">ision of experts on EDV matters </w:t>
      </w:r>
      <w:r>
        <w:rPr>
          <w:rFonts w:cs="Arial"/>
          <w:szCs w:val="16"/>
        </w:rPr>
        <w:t>(see document CAJ-AG/13/8/10 “Report”, paragraph 48).</w:t>
      </w:r>
    </w:p>
    <w:p w:rsidR="00D66DAC" w:rsidRDefault="00D66DAC" w:rsidP="00463461"/>
    <w:p w:rsidR="00D66DAC" w:rsidRDefault="00D66DAC" w:rsidP="00D66DAC">
      <w:pPr>
        <w:pStyle w:val="EndnoteText"/>
        <w:rPr>
          <w:rFonts w:cs="Arial"/>
          <w:szCs w:val="16"/>
        </w:rPr>
      </w:pPr>
      <w:r>
        <w:rPr>
          <w:rFonts w:cs="Arial"/>
          <w:szCs w:val="16"/>
        </w:rPr>
        <w:fldChar w:fldCharType="begin"/>
      </w:r>
      <w:r>
        <w:rPr>
          <w:rFonts w:cs="Arial"/>
          <w:szCs w:val="16"/>
        </w:rPr>
        <w:instrText xml:space="preserve"> AUTONUM  </w:instrText>
      </w:r>
      <w:r>
        <w:rPr>
          <w:rFonts w:cs="Arial"/>
          <w:szCs w:val="16"/>
        </w:rPr>
        <w:fldChar w:fldCharType="end"/>
      </w:r>
      <w:r>
        <w:rPr>
          <w:rFonts w:cs="Arial"/>
          <w:szCs w:val="16"/>
        </w:rPr>
        <w:tab/>
      </w:r>
      <w:r>
        <w:rPr>
          <w:szCs w:val="16"/>
        </w:rPr>
        <w:t xml:space="preserve">In relation </w:t>
      </w:r>
      <w:r w:rsidR="006C0FCE">
        <w:rPr>
          <w:szCs w:val="16"/>
        </w:rPr>
        <w:t xml:space="preserve">to the possible role of </w:t>
      </w:r>
      <w:r w:rsidR="006C0FCE" w:rsidRPr="00482F75">
        <w:t xml:space="preserve">alternative dispute settlement mechanisms </w:t>
      </w:r>
      <w:r w:rsidR="006C0FCE">
        <w:t xml:space="preserve">for matters concerning essentially derived varieties, </w:t>
      </w:r>
      <w:r w:rsidR="00E8682A">
        <w:rPr>
          <w:szCs w:val="16"/>
        </w:rPr>
        <w:t>Mr. Erik </w:t>
      </w:r>
      <w:proofErr w:type="spellStart"/>
      <w:r>
        <w:rPr>
          <w:szCs w:val="16"/>
        </w:rPr>
        <w:t>Wilbers</w:t>
      </w:r>
      <w:proofErr w:type="spellEnd"/>
      <w:r>
        <w:rPr>
          <w:szCs w:val="16"/>
        </w:rPr>
        <w:t xml:space="preserve">, Director, Arbitration and Mediation Center of WIPO, </w:t>
      </w:r>
      <w:r w:rsidR="00E8682A">
        <w:rPr>
          <w:szCs w:val="16"/>
        </w:rPr>
        <w:t xml:space="preserve">explained the following </w:t>
      </w:r>
      <w:r>
        <w:rPr>
          <w:szCs w:val="16"/>
        </w:rPr>
        <w:t xml:space="preserve">at Session III of the EDV Seminar </w:t>
      </w:r>
      <w:r>
        <w:rPr>
          <w:rFonts w:cs="Arial"/>
          <w:szCs w:val="16"/>
        </w:rPr>
        <w:t xml:space="preserve">(see </w:t>
      </w:r>
      <w:r w:rsidR="00E8682A">
        <w:rPr>
          <w:rFonts w:cs="Arial"/>
          <w:szCs w:val="16"/>
        </w:rPr>
        <w:t>Publication 358, page </w:t>
      </w:r>
      <w:r>
        <w:rPr>
          <w:rFonts w:cs="Arial"/>
          <w:szCs w:val="16"/>
        </w:rPr>
        <w:t>94</w:t>
      </w:r>
      <w:r w:rsidR="006C0FCE">
        <w:rPr>
          <w:rFonts w:cs="Arial"/>
          <w:szCs w:val="16"/>
        </w:rPr>
        <w:t xml:space="preserve"> </w:t>
      </w:r>
      <w:hyperlink r:id="rId9" w:history="1">
        <w:r w:rsidR="006C0FCE" w:rsidRPr="00C64F91">
          <w:rPr>
            <w:rStyle w:val="Hyperlink"/>
            <w:rFonts w:cs="Arial"/>
            <w:szCs w:val="16"/>
          </w:rPr>
          <w:t>http://www.upov.int/meetings/en/details.jsp?meeting_id=29782</w:t>
        </w:r>
      </w:hyperlink>
      <w:r w:rsidR="006C0FCE">
        <w:rPr>
          <w:rFonts w:cs="Arial"/>
          <w:szCs w:val="16"/>
        </w:rPr>
        <w:t>)</w:t>
      </w:r>
      <w:r>
        <w:rPr>
          <w:rFonts w:cs="Arial"/>
          <w:szCs w:val="16"/>
        </w:rPr>
        <w:t>:</w:t>
      </w:r>
    </w:p>
    <w:p w:rsidR="006C0FCE" w:rsidRDefault="006C0FCE" w:rsidP="00D66DAC">
      <w:pPr>
        <w:pStyle w:val="EndnoteText"/>
        <w:rPr>
          <w:rFonts w:cs="Arial"/>
          <w:sz w:val="16"/>
          <w:szCs w:val="16"/>
        </w:rPr>
      </w:pPr>
    </w:p>
    <w:p w:rsidR="00D66DAC" w:rsidRPr="00E8682A" w:rsidRDefault="00D66DAC" w:rsidP="00D66DAC">
      <w:pPr>
        <w:pStyle w:val="EndnoteText"/>
        <w:ind w:left="567" w:right="567"/>
        <w:rPr>
          <w:rFonts w:cs="Arial"/>
          <w:sz w:val="18"/>
          <w:szCs w:val="16"/>
        </w:rPr>
      </w:pPr>
      <w:r w:rsidRPr="00E8682A">
        <w:rPr>
          <w:rFonts w:cs="Arial"/>
          <w:sz w:val="18"/>
          <w:szCs w:val="16"/>
        </w:rPr>
        <w:lastRenderedPageBreak/>
        <w:t>“Parties involved in disputes in the area of EDVs could benefit from availability of such tailored ADR procedure.  In the interest of time and cost efficiency, such voluntary mechanism could take the form of an expedited arbitration procedure, preceded by, if parties so wish, settlement attempts through mediation.  A specific procedural timeframe could be developed, together with a schedule of fixed case-appropriate fees.  The procedure could be developed to specifically address a range of particularities related to EDV-related disputes, such as their often international character, and resulting need to establish jurisdiction and achieve enforceability of the arbitral award; and the need for specialized expertise in the procedure which could be supported through the availability of a WIPO list of EDV-specialized neutrals and experts.  In terms of substance, cases might benefit from the availability of general UPOV guidance.  Also, it could be worth considering encouraging party agreement that would permit publishing anonymized summaries of th</w:t>
      </w:r>
      <w:r w:rsidR="00E8682A">
        <w:rPr>
          <w:rFonts w:cs="Arial"/>
          <w:sz w:val="18"/>
          <w:szCs w:val="16"/>
        </w:rPr>
        <w:t>e award on issues of substance.”</w:t>
      </w:r>
    </w:p>
    <w:p w:rsidR="00E8682A" w:rsidRDefault="00E8682A" w:rsidP="00463461"/>
    <w:p w:rsidR="00E8682A" w:rsidRDefault="00E8682A" w:rsidP="00463461"/>
    <w:p w:rsidR="00E8682A" w:rsidRDefault="00E8682A" w:rsidP="00E8682A">
      <w:pPr>
        <w:pStyle w:val="Heading1"/>
      </w:pPr>
      <w:r>
        <w:t>Developments in CIOPORA, ISF and WIPO</w:t>
      </w:r>
    </w:p>
    <w:p w:rsidR="00E8682A" w:rsidRDefault="00E8682A" w:rsidP="00463461"/>
    <w:p w:rsidR="00463461" w:rsidRDefault="00463461" w:rsidP="006C0FCE">
      <w:pPr>
        <w:rPr>
          <w:snapToGrid w:val="0"/>
        </w:rPr>
      </w:pPr>
      <w:r w:rsidRPr="00482F75">
        <w:fldChar w:fldCharType="begin"/>
      </w:r>
      <w:r w:rsidRPr="00482F75">
        <w:instrText xml:space="preserve"> AUTONUM  </w:instrText>
      </w:r>
      <w:r w:rsidRPr="00482F75">
        <w:fldChar w:fldCharType="end"/>
      </w:r>
      <w:r w:rsidRPr="00482F75">
        <w:tab/>
      </w:r>
      <w:r w:rsidR="00E8682A">
        <w:t xml:space="preserve">On the basis of enquiries by the Office of the Union, there have been no significant </w:t>
      </w:r>
      <w:r w:rsidRPr="00482F75">
        <w:t xml:space="preserve">developments </w:t>
      </w:r>
      <w:r w:rsidR="00E8682A">
        <w:t xml:space="preserve">in CIOPORA, ISF and WIPO </w:t>
      </w:r>
      <w:r w:rsidRPr="00482F75">
        <w:t xml:space="preserve">on alternative dispute settlement mechanisms </w:t>
      </w:r>
      <w:r w:rsidR="006C0FCE">
        <w:t>for matters concerning essentially derived varieties.</w:t>
      </w:r>
    </w:p>
    <w:p w:rsidR="00747C33" w:rsidRDefault="00747C33" w:rsidP="00427139">
      <w:pPr>
        <w:rPr>
          <w:snapToGrid w:val="0"/>
        </w:rPr>
      </w:pPr>
    </w:p>
    <w:p w:rsidR="00DE319E" w:rsidRDefault="00DE319E" w:rsidP="00427139">
      <w:pPr>
        <w:rPr>
          <w:snapToGrid w:val="0"/>
        </w:rPr>
      </w:pPr>
    </w:p>
    <w:p w:rsidR="004E3793" w:rsidRDefault="004E145D" w:rsidP="00427139">
      <w:pPr>
        <w:rPr>
          <w:snapToGrid w:val="0"/>
        </w:rPr>
      </w:pPr>
      <w:r>
        <w:rPr>
          <w:snapToGrid w:val="0"/>
        </w:rPr>
        <w:t>POSSIBLE NEXT STEPS</w:t>
      </w:r>
    </w:p>
    <w:p w:rsidR="004E145D" w:rsidRDefault="004E145D" w:rsidP="00427139">
      <w:pPr>
        <w:rPr>
          <w:snapToGrid w:val="0"/>
        </w:rPr>
      </w:pPr>
    </w:p>
    <w:p w:rsidR="004E145D" w:rsidRDefault="004E145D" w:rsidP="004E145D">
      <w:pPr>
        <w:rPr>
          <w:snapToGrid w:val="0"/>
        </w:rPr>
      </w:pPr>
      <w:r w:rsidRPr="00482F75">
        <w:fldChar w:fldCharType="begin"/>
      </w:r>
      <w:r w:rsidRPr="00482F75">
        <w:instrText xml:space="preserve"> AUTONUM  </w:instrText>
      </w:r>
      <w:r w:rsidRPr="00482F75">
        <w:fldChar w:fldCharType="end"/>
      </w:r>
      <w:r w:rsidRPr="00482F75">
        <w:tab/>
      </w:r>
      <w:r>
        <w:rPr>
          <w:snapToGrid w:val="0"/>
        </w:rPr>
        <w:t xml:space="preserve">As a next step, </w:t>
      </w:r>
      <w:r w:rsidR="00DE319E">
        <w:rPr>
          <w:snapToGrid w:val="0"/>
        </w:rPr>
        <w:t xml:space="preserve">the CAJ-AG </w:t>
      </w:r>
      <w:r>
        <w:rPr>
          <w:snapToGrid w:val="0"/>
        </w:rPr>
        <w:t xml:space="preserve">may wish to consider </w:t>
      </w:r>
      <w:r w:rsidR="004E3793">
        <w:rPr>
          <w:snapToGrid w:val="0"/>
        </w:rPr>
        <w:t>request</w:t>
      </w:r>
      <w:r>
        <w:rPr>
          <w:snapToGrid w:val="0"/>
        </w:rPr>
        <w:t>ing</w:t>
      </w:r>
      <w:r w:rsidR="004E3793">
        <w:rPr>
          <w:snapToGrid w:val="0"/>
        </w:rPr>
        <w:t xml:space="preserve"> the Office </w:t>
      </w:r>
      <w:r>
        <w:rPr>
          <w:snapToGrid w:val="0"/>
        </w:rPr>
        <w:t>of the Union:</w:t>
      </w:r>
    </w:p>
    <w:p w:rsidR="004E145D" w:rsidRDefault="004E145D" w:rsidP="004E145D">
      <w:pPr>
        <w:rPr>
          <w:snapToGrid w:val="0"/>
        </w:rPr>
      </w:pPr>
    </w:p>
    <w:p w:rsidR="004E145D" w:rsidRDefault="004E145D" w:rsidP="004E145D">
      <w:r>
        <w:rPr>
          <w:snapToGrid w:val="0"/>
        </w:rPr>
        <w:tab/>
        <w:t>(</w:t>
      </w:r>
      <w:proofErr w:type="spellStart"/>
      <w:r>
        <w:rPr>
          <w:snapToGrid w:val="0"/>
        </w:rPr>
        <w:t>i</w:t>
      </w:r>
      <w:proofErr w:type="spellEnd"/>
      <w:r>
        <w:rPr>
          <w:snapToGrid w:val="0"/>
        </w:rPr>
        <w:t>)</w:t>
      </w:r>
      <w:r>
        <w:rPr>
          <w:snapToGrid w:val="0"/>
        </w:rPr>
        <w:tab/>
      </w:r>
      <w:r w:rsidR="004E3793" w:rsidRPr="004E145D">
        <w:t xml:space="preserve">to organize a meeting to exchange information </w:t>
      </w:r>
      <w:r w:rsidR="00591632">
        <w:t>with</w:t>
      </w:r>
      <w:r w:rsidR="004E3793" w:rsidRPr="004E145D">
        <w:t xml:space="preserve"> </w:t>
      </w:r>
      <w:r>
        <w:t>CIOPORA, ISF and WIPO</w:t>
      </w:r>
      <w:r w:rsidR="004E3793" w:rsidRPr="004E145D">
        <w:t xml:space="preserve"> </w:t>
      </w:r>
      <w:r w:rsidR="00591632">
        <w:t>i</w:t>
      </w:r>
      <w:r w:rsidR="00591632">
        <w:rPr>
          <w:snapToGrid w:val="0"/>
        </w:rPr>
        <w:t xml:space="preserve">n order </w:t>
      </w:r>
      <w:r w:rsidR="004E3793" w:rsidRPr="004E145D">
        <w:t xml:space="preserve">to explore the possible role of UPOV </w:t>
      </w:r>
      <w:r w:rsidR="00591632">
        <w:rPr>
          <w:snapToGrid w:val="0"/>
        </w:rPr>
        <w:t xml:space="preserve">in </w:t>
      </w:r>
      <w:r w:rsidR="00591632" w:rsidRPr="00591632">
        <w:rPr>
          <w:snapToGrid w:val="0"/>
        </w:rPr>
        <w:t>alternative dispute settlement mechanisms</w:t>
      </w:r>
      <w:r w:rsidR="00766675">
        <w:rPr>
          <w:snapToGrid w:val="0"/>
        </w:rPr>
        <w:t xml:space="preserve"> </w:t>
      </w:r>
      <w:r w:rsidR="00766675">
        <w:t>for matters concerning essentially derived varieties</w:t>
      </w:r>
      <w:r w:rsidR="00591632">
        <w:t xml:space="preserve">, including </w:t>
      </w:r>
      <w:r w:rsidR="004E3793" w:rsidRPr="004E145D">
        <w:t>the provision of experts on EDV matters</w:t>
      </w:r>
      <w:r w:rsidR="008571E4" w:rsidRPr="004E145D">
        <w:t>;</w:t>
      </w:r>
      <w:r w:rsidR="00DE319E" w:rsidRPr="004E145D">
        <w:t xml:space="preserve"> and</w:t>
      </w:r>
    </w:p>
    <w:p w:rsidR="004E145D" w:rsidRDefault="004E145D" w:rsidP="004E145D"/>
    <w:p w:rsidR="00B03359" w:rsidRPr="004E145D" w:rsidRDefault="004E145D" w:rsidP="004E145D">
      <w:r>
        <w:tab/>
        <w:t>(ii)</w:t>
      </w:r>
      <w:r>
        <w:tab/>
      </w:r>
      <w:proofErr w:type="gramStart"/>
      <w:r>
        <w:t>to</w:t>
      </w:r>
      <w:proofErr w:type="gramEnd"/>
      <w:r>
        <w:t xml:space="preserve"> provide a report for </w:t>
      </w:r>
      <w:r w:rsidR="004E3793" w:rsidRPr="004E145D">
        <w:t>the CAJ-AG, at its tenth session in October 2015</w:t>
      </w:r>
      <w:r>
        <w:t>.</w:t>
      </w:r>
    </w:p>
    <w:p w:rsidR="00DE319E" w:rsidRDefault="00DE319E" w:rsidP="004E145D"/>
    <w:p w:rsidR="00766675" w:rsidRPr="004E145D" w:rsidRDefault="00766675" w:rsidP="004E145D"/>
    <w:p w:rsidR="00766675" w:rsidRPr="00766675" w:rsidRDefault="00DE319E" w:rsidP="00DE319E">
      <w:pPr>
        <w:tabs>
          <w:tab w:val="left" w:pos="5387"/>
        </w:tabs>
        <w:ind w:left="4820"/>
        <w:rPr>
          <w:i/>
          <w:snapToGrid w:val="0"/>
        </w:rPr>
      </w:pPr>
      <w:r w:rsidRPr="00766675">
        <w:rPr>
          <w:snapToGrid w:val="0"/>
        </w:rPr>
        <w:fldChar w:fldCharType="begin"/>
      </w:r>
      <w:r w:rsidRPr="00766675">
        <w:rPr>
          <w:snapToGrid w:val="0"/>
        </w:rPr>
        <w:instrText xml:space="preserve"> AUTONUM  </w:instrText>
      </w:r>
      <w:r w:rsidRPr="00766675">
        <w:rPr>
          <w:snapToGrid w:val="0"/>
        </w:rPr>
        <w:fldChar w:fldCharType="end"/>
      </w:r>
      <w:bookmarkStart w:id="5" w:name="_GoBack"/>
      <w:bookmarkEnd w:id="5"/>
      <w:r w:rsidR="00766675" w:rsidRPr="00766675">
        <w:rPr>
          <w:i/>
          <w:snapToGrid w:val="0"/>
        </w:rPr>
        <w:tab/>
        <w:t>The CAJ-AG may wish to invite</w:t>
      </w:r>
      <w:r w:rsidR="00766675" w:rsidRPr="00766675">
        <w:rPr>
          <w:i/>
          <w:snapToGrid w:val="0"/>
        </w:rPr>
        <w:t xml:space="preserve"> the Office of the Union</w:t>
      </w:r>
      <w:r w:rsidR="00766675" w:rsidRPr="00766675">
        <w:rPr>
          <w:i/>
          <w:snapToGrid w:val="0"/>
        </w:rPr>
        <w:t xml:space="preserve"> to:</w:t>
      </w:r>
    </w:p>
    <w:p w:rsidR="00766675" w:rsidRPr="00766675" w:rsidRDefault="00766675" w:rsidP="00DE319E">
      <w:pPr>
        <w:tabs>
          <w:tab w:val="left" w:pos="5387"/>
        </w:tabs>
        <w:ind w:left="4820"/>
        <w:rPr>
          <w:i/>
          <w:snapToGrid w:val="0"/>
        </w:rPr>
      </w:pPr>
    </w:p>
    <w:p w:rsidR="00DE319E" w:rsidRPr="00766675" w:rsidRDefault="00766675" w:rsidP="00DE319E">
      <w:pPr>
        <w:tabs>
          <w:tab w:val="left" w:pos="5387"/>
        </w:tabs>
        <w:ind w:left="4820"/>
        <w:rPr>
          <w:i/>
        </w:rPr>
      </w:pPr>
      <w:r w:rsidRPr="00766675">
        <w:rPr>
          <w:i/>
          <w:snapToGrid w:val="0"/>
        </w:rPr>
        <w:tab/>
        <w:t>(a)</w:t>
      </w:r>
      <w:r w:rsidR="00DE319E" w:rsidRPr="00766675">
        <w:rPr>
          <w:i/>
          <w:snapToGrid w:val="0"/>
        </w:rPr>
        <w:t xml:space="preserve"> </w:t>
      </w:r>
      <w:r w:rsidRPr="00766675">
        <w:rPr>
          <w:i/>
        </w:rPr>
        <w:t>organize a meeting to exchange information with CIOPORA, ISF and WIPO i</w:t>
      </w:r>
      <w:r w:rsidRPr="00766675">
        <w:rPr>
          <w:i/>
          <w:snapToGrid w:val="0"/>
        </w:rPr>
        <w:t xml:space="preserve">n order </w:t>
      </w:r>
      <w:r w:rsidRPr="00766675">
        <w:rPr>
          <w:i/>
        </w:rPr>
        <w:t xml:space="preserve">to explore the possible role of UPOV </w:t>
      </w:r>
      <w:r w:rsidRPr="00766675">
        <w:rPr>
          <w:i/>
          <w:snapToGrid w:val="0"/>
        </w:rPr>
        <w:t>in alternative dispute settlement mechanisms</w:t>
      </w:r>
      <w:r w:rsidRPr="00766675">
        <w:rPr>
          <w:i/>
          <w:snapToGrid w:val="0"/>
        </w:rPr>
        <w:t xml:space="preserve"> </w:t>
      </w:r>
      <w:r w:rsidRPr="00766675">
        <w:rPr>
          <w:i/>
        </w:rPr>
        <w:t>for matters concerning essentially derived varieties, including the provision of experts on EDV matters; and</w:t>
      </w:r>
    </w:p>
    <w:p w:rsidR="00766675" w:rsidRPr="00766675" w:rsidRDefault="00766675" w:rsidP="00DE319E">
      <w:pPr>
        <w:tabs>
          <w:tab w:val="left" w:pos="5387"/>
        </w:tabs>
        <w:ind w:left="4820"/>
        <w:rPr>
          <w:i/>
        </w:rPr>
      </w:pPr>
    </w:p>
    <w:p w:rsidR="00766675" w:rsidRPr="00766675" w:rsidRDefault="00766675" w:rsidP="00DE319E">
      <w:pPr>
        <w:tabs>
          <w:tab w:val="left" w:pos="5387"/>
        </w:tabs>
        <w:ind w:left="4820"/>
        <w:rPr>
          <w:i/>
          <w:snapToGrid w:val="0"/>
        </w:rPr>
      </w:pPr>
      <w:r w:rsidRPr="00766675">
        <w:rPr>
          <w:i/>
        </w:rPr>
        <w:tab/>
        <w:t xml:space="preserve">(b) </w:t>
      </w:r>
      <w:proofErr w:type="gramStart"/>
      <w:r w:rsidRPr="00766675">
        <w:rPr>
          <w:i/>
        </w:rPr>
        <w:t>provide</w:t>
      </w:r>
      <w:proofErr w:type="gramEnd"/>
      <w:r w:rsidRPr="00766675">
        <w:rPr>
          <w:i/>
        </w:rPr>
        <w:t xml:space="preserve"> a report for the CAJ-AG, at its tenth session in October 2015.</w:t>
      </w:r>
    </w:p>
    <w:p w:rsidR="00DE319E" w:rsidRPr="004E145D" w:rsidRDefault="00DE319E" w:rsidP="004E145D"/>
    <w:p w:rsidR="00DE319E" w:rsidRPr="004E145D" w:rsidRDefault="00DE319E" w:rsidP="004E145D"/>
    <w:p w:rsidR="00B03359" w:rsidRPr="004E145D" w:rsidRDefault="00B03359" w:rsidP="004E145D"/>
    <w:p w:rsidR="00EB2992" w:rsidRPr="00FD21DE" w:rsidRDefault="00EB2992" w:rsidP="00EB2992">
      <w:pPr>
        <w:jc w:val="right"/>
        <w:rPr>
          <w:snapToGrid w:val="0"/>
        </w:rPr>
      </w:pPr>
      <w:r>
        <w:rPr>
          <w:snapToGrid w:val="0"/>
        </w:rPr>
        <w:t>[End of document]</w:t>
      </w:r>
    </w:p>
    <w:sectPr w:rsidR="00EB2992" w:rsidRPr="00FD21DE"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53" w:rsidRDefault="00707153">
      <w:r>
        <w:separator/>
      </w:r>
    </w:p>
    <w:p w:rsidR="00707153" w:rsidRDefault="00707153"/>
    <w:p w:rsidR="00707153" w:rsidRDefault="00707153"/>
  </w:endnote>
  <w:endnote w:type="continuationSeparator" w:id="0">
    <w:p w:rsidR="00707153" w:rsidRDefault="00707153">
      <w:r>
        <w:separator/>
      </w:r>
    </w:p>
    <w:p w:rsidR="00707153" w:rsidRPr="00A60312" w:rsidRDefault="00707153">
      <w:pPr>
        <w:pStyle w:val="Footer"/>
        <w:spacing w:after="60"/>
        <w:rPr>
          <w:sz w:val="18"/>
          <w:lang w:val="fr-FR"/>
        </w:rPr>
      </w:pPr>
      <w:r w:rsidRPr="00A60312">
        <w:rPr>
          <w:sz w:val="18"/>
          <w:lang w:val="fr-FR"/>
        </w:rPr>
        <w:t>[Suite de la note de la page précédente]</w:t>
      </w:r>
    </w:p>
    <w:p w:rsidR="00707153" w:rsidRPr="00A60312" w:rsidRDefault="00707153">
      <w:pPr>
        <w:rPr>
          <w:lang w:val="fr-FR"/>
        </w:rPr>
      </w:pPr>
    </w:p>
    <w:p w:rsidR="00707153" w:rsidRPr="00A60312" w:rsidRDefault="00707153">
      <w:pPr>
        <w:rPr>
          <w:lang w:val="fr-FR"/>
        </w:rPr>
      </w:pPr>
    </w:p>
  </w:endnote>
  <w:endnote w:type="continuationNotice" w:id="1">
    <w:p w:rsidR="00707153" w:rsidRPr="00A60312" w:rsidRDefault="00707153">
      <w:pPr>
        <w:spacing w:before="60"/>
        <w:jc w:val="right"/>
        <w:rPr>
          <w:sz w:val="18"/>
          <w:lang w:val="fr-FR"/>
        </w:rPr>
      </w:pPr>
      <w:r w:rsidRPr="00A60312">
        <w:rPr>
          <w:sz w:val="18"/>
          <w:lang w:val="fr-FR"/>
        </w:rPr>
        <w:t>[Suite de la note page suivante]</w:t>
      </w:r>
    </w:p>
    <w:p w:rsidR="00707153" w:rsidRPr="00A60312" w:rsidRDefault="00707153">
      <w:pPr>
        <w:rPr>
          <w:lang w:val="fr-FR"/>
        </w:rPr>
      </w:pPr>
    </w:p>
    <w:p w:rsidR="00707153" w:rsidRPr="00A60312" w:rsidRDefault="0070715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53" w:rsidRDefault="00707153" w:rsidP="009D690D">
      <w:pPr>
        <w:spacing w:before="120"/>
      </w:pPr>
      <w:r>
        <w:separator/>
      </w:r>
    </w:p>
  </w:footnote>
  <w:footnote w:type="continuationSeparator" w:id="0">
    <w:p w:rsidR="00707153" w:rsidRDefault="00707153" w:rsidP="00520297">
      <w:pPr>
        <w:spacing w:before="120"/>
        <w:jc w:val="left"/>
      </w:pPr>
      <w:r>
        <w:separator/>
      </w:r>
    </w:p>
  </w:footnote>
  <w:footnote w:type="continuationNotice" w:id="1">
    <w:p w:rsidR="00707153" w:rsidRDefault="007071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C24" w:rsidRPr="00997029" w:rsidRDefault="00BD4C24" w:rsidP="00EB048E">
    <w:pPr>
      <w:pStyle w:val="Header"/>
      <w:rPr>
        <w:rStyle w:val="PageNumber"/>
      </w:rPr>
    </w:pPr>
    <w:r>
      <w:rPr>
        <w:rStyle w:val="PageNumber"/>
      </w:rPr>
      <w:t>CAJ</w:t>
    </w:r>
    <w:r w:rsidR="009A40AE">
      <w:rPr>
        <w:rStyle w:val="PageNumber"/>
      </w:rPr>
      <w:t>-AG</w:t>
    </w:r>
    <w:r>
      <w:rPr>
        <w:rStyle w:val="PageNumber"/>
      </w:rPr>
      <w:t>/</w:t>
    </w:r>
    <w:r w:rsidR="009A40AE">
      <w:rPr>
        <w:rStyle w:val="PageNumber"/>
      </w:rPr>
      <w:t>1</w:t>
    </w:r>
    <w:r w:rsidR="00BA1D46">
      <w:rPr>
        <w:rStyle w:val="PageNumber"/>
      </w:rPr>
      <w:t>4</w:t>
    </w:r>
    <w:r>
      <w:rPr>
        <w:rStyle w:val="PageNumber"/>
      </w:rPr>
      <w:t>/</w:t>
    </w:r>
    <w:r w:rsidR="00BA1D46">
      <w:rPr>
        <w:rStyle w:val="PageNumber"/>
      </w:rPr>
      <w:t>9</w:t>
    </w:r>
    <w:r w:rsidR="009A40AE">
      <w:rPr>
        <w:rStyle w:val="PageNumber"/>
      </w:rPr>
      <w:t>/</w:t>
    </w:r>
    <w:r w:rsidR="00E8682A">
      <w:rPr>
        <w:rStyle w:val="PageNumber"/>
      </w:rPr>
      <w:t>3</w:t>
    </w:r>
  </w:p>
  <w:p w:rsidR="00BD4C24" w:rsidRPr="00997029" w:rsidRDefault="00BD4C24"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66675">
      <w:rPr>
        <w:rStyle w:val="PageNumber"/>
        <w:noProof/>
      </w:rPr>
      <w:t>2</w:t>
    </w:r>
    <w:r w:rsidRPr="00997029">
      <w:rPr>
        <w:rStyle w:val="PageNumber"/>
      </w:rPr>
      <w:fldChar w:fldCharType="end"/>
    </w:r>
  </w:p>
  <w:p w:rsidR="00BD4C24" w:rsidRPr="00997029" w:rsidRDefault="00BD4C24"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53"/>
    <w:rsid w:val="00001D48"/>
    <w:rsid w:val="00010CF3"/>
    <w:rsid w:val="000119BA"/>
    <w:rsid w:val="00011E27"/>
    <w:rsid w:val="000148BC"/>
    <w:rsid w:val="00024AB8"/>
    <w:rsid w:val="00036028"/>
    <w:rsid w:val="000446B9"/>
    <w:rsid w:val="00047E21"/>
    <w:rsid w:val="00083A71"/>
    <w:rsid w:val="00085505"/>
    <w:rsid w:val="000C7021"/>
    <w:rsid w:val="000D6BBC"/>
    <w:rsid w:val="000D7780"/>
    <w:rsid w:val="00105929"/>
    <w:rsid w:val="001131D5"/>
    <w:rsid w:val="00141DB8"/>
    <w:rsid w:val="0017474A"/>
    <w:rsid w:val="001758C6"/>
    <w:rsid w:val="001A7E38"/>
    <w:rsid w:val="001C3DF3"/>
    <w:rsid w:val="0021332C"/>
    <w:rsid w:val="00213982"/>
    <w:rsid w:val="0024416D"/>
    <w:rsid w:val="0027309C"/>
    <w:rsid w:val="002800A0"/>
    <w:rsid w:val="00281060"/>
    <w:rsid w:val="0029439F"/>
    <w:rsid w:val="002A6E50"/>
    <w:rsid w:val="002C256A"/>
    <w:rsid w:val="002E7BA1"/>
    <w:rsid w:val="00305A7F"/>
    <w:rsid w:val="00307E30"/>
    <w:rsid w:val="003152FE"/>
    <w:rsid w:val="00327436"/>
    <w:rsid w:val="00344BD6"/>
    <w:rsid w:val="0035528D"/>
    <w:rsid w:val="00361821"/>
    <w:rsid w:val="003C563E"/>
    <w:rsid w:val="003D227C"/>
    <w:rsid w:val="003D2B4D"/>
    <w:rsid w:val="003F6136"/>
    <w:rsid w:val="00427139"/>
    <w:rsid w:val="00444A88"/>
    <w:rsid w:val="00463461"/>
    <w:rsid w:val="00474DA4"/>
    <w:rsid w:val="0048034A"/>
    <w:rsid w:val="004D047D"/>
    <w:rsid w:val="004E145D"/>
    <w:rsid w:val="004E3793"/>
    <w:rsid w:val="004F305A"/>
    <w:rsid w:val="00512164"/>
    <w:rsid w:val="00520297"/>
    <w:rsid w:val="005338F9"/>
    <w:rsid w:val="0054281C"/>
    <w:rsid w:val="0055268D"/>
    <w:rsid w:val="00572E44"/>
    <w:rsid w:val="00576BE4"/>
    <w:rsid w:val="00591632"/>
    <w:rsid w:val="005A400A"/>
    <w:rsid w:val="00612379"/>
    <w:rsid w:val="0061555F"/>
    <w:rsid w:val="00641200"/>
    <w:rsid w:val="00663ED8"/>
    <w:rsid w:val="00687EB4"/>
    <w:rsid w:val="006B17D2"/>
    <w:rsid w:val="006B45FA"/>
    <w:rsid w:val="006C0FCE"/>
    <w:rsid w:val="006C224E"/>
    <w:rsid w:val="00707153"/>
    <w:rsid w:val="00732DEC"/>
    <w:rsid w:val="00734F5D"/>
    <w:rsid w:val="00735BD5"/>
    <w:rsid w:val="00747C33"/>
    <w:rsid w:val="0075117E"/>
    <w:rsid w:val="00752E4B"/>
    <w:rsid w:val="007556F6"/>
    <w:rsid w:val="00760EEF"/>
    <w:rsid w:val="00766675"/>
    <w:rsid w:val="00777EE5"/>
    <w:rsid w:val="00784836"/>
    <w:rsid w:val="0079023E"/>
    <w:rsid w:val="007D0B9D"/>
    <w:rsid w:val="007D19B0"/>
    <w:rsid w:val="007E6029"/>
    <w:rsid w:val="007F498F"/>
    <w:rsid w:val="0080679D"/>
    <w:rsid w:val="008108B0"/>
    <w:rsid w:val="00811B20"/>
    <w:rsid w:val="0082296E"/>
    <w:rsid w:val="00824099"/>
    <w:rsid w:val="00855DBD"/>
    <w:rsid w:val="008571E4"/>
    <w:rsid w:val="00867AC1"/>
    <w:rsid w:val="008A395B"/>
    <w:rsid w:val="008A4839"/>
    <w:rsid w:val="008A743F"/>
    <w:rsid w:val="008B51D0"/>
    <w:rsid w:val="008C0970"/>
    <w:rsid w:val="008D2CF7"/>
    <w:rsid w:val="008E1FF1"/>
    <w:rsid w:val="008E793E"/>
    <w:rsid w:val="00900C26"/>
    <w:rsid w:val="0090197F"/>
    <w:rsid w:val="00906DDC"/>
    <w:rsid w:val="00934E09"/>
    <w:rsid w:val="00936253"/>
    <w:rsid w:val="00970FED"/>
    <w:rsid w:val="00973AF6"/>
    <w:rsid w:val="00991812"/>
    <w:rsid w:val="00997029"/>
    <w:rsid w:val="009A40AE"/>
    <w:rsid w:val="009D0DE5"/>
    <w:rsid w:val="009D690D"/>
    <w:rsid w:val="009E65B6"/>
    <w:rsid w:val="00A42AC3"/>
    <w:rsid w:val="00A430CF"/>
    <w:rsid w:val="00A54309"/>
    <w:rsid w:val="00A60312"/>
    <w:rsid w:val="00AB2B93"/>
    <w:rsid w:val="00AE0EF1"/>
    <w:rsid w:val="00AF3EBC"/>
    <w:rsid w:val="00B03359"/>
    <w:rsid w:val="00B07301"/>
    <w:rsid w:val="00B224DE"/>
    <w:rsid w:val="00B74071"/>
    <w:rsid w:val="00B84BBD"/>
    <w:rsid w:val="00BA1D46"/>
    <w:rsid w:val="00BA43FB"/>
    <w:rsid w:val="00BC127D"/>
    <w:rsid w:val="00BC1FE6"/>
    <w:rsid w:val="00BD4C24"/>
    <w:rsid w:val="00BE0DF1"/>
    <w:rsid w:val="00BE36D8"/>
    <w:rsid w:val="00C061B6"/>
    <w:rsid w:val="00C2446C"/>
    <w:rsid w:val="00C36AE5"/>
    <w:rsid w:val="00C41F17"/>
    <w:rsid w:val="00C5791C"/>
    <w:rsid w:val="00C66290"/>
    <w:rsid w:val="00C72B7A"/>
    <w:rsid w:val="00C973F2"/>
    <w:rsid w:val="00CA774A"/>
    <w:rsid w:val="00CC11B0"/>
    <w:rsid w:val="00CF7E36"/>
    <w:rsid w:val="00D24210"/>
    <w:rsid w:val="00D334D0"/>
    <w:rsid w:val="00D3708D"/>
    <w:rsid w:val="00D40426"/>
    <w:rsid w:val="00D57C96"/>
    <w:rsid w:val="00D66DAC"/>
    <w:rsid w:val="00D91203"/>
    <w:rsid w:val="00D95174"/>
    <w:rsid w:val="00DA6F36"/>
    <w:rsid w:val="00DC00EA"/>
    <w:rsid w:val="00DE319E"/>
    <w:rsid w:val="00E72D49"/>
    <w:rsid w:val="00E7593C"/>
    <w:rsid w:val="00E7678A"/>
    <w:rsid w:val="00E8682A"/>
    <w:rsid w:val="00E935F1"/>
    <w:rsid w:val="00E94A81"/>
    <w:rsid w:val="00EA1FFB"/>
    <w:rsid w:val="00EB048E"/>
    <w:rsid w:val="00EB2992"/>
    <w:rsid w:val="00EB3EFA"/>
    <w:rsid w:val="00EF2F89"/>
    <w:rsid w:val="00F04DEB"/>
    <w:rsid w:val="00F1237A"/>
    <w:rsid w:val="00F22CBD"/>
    <w:rsid w:val="00F40CA0"/>
    <w:rsid w:val="00F444DF"/>
    <w:rsid w:val="00F6334D"/>
    <w:rsid w:val="00FA49AB"/>
    <w:rsid w:val="00FB0D37"/>
    <w:rsid w:val="00FD21DE"/>
    <w:rsid w:val="00FE39C7"/>
    <w:rsid w:val="00FE4AF3"/>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link w:val="EndnoteTextChar"/>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EndnoteTextChar">
    <w:name w:val="Endnote Text Char"/>
    <w:basedOn w:val="DefaultParagraphFont"/>
    <w:link w:val="EndnoteText"/>
    <w:semiHidden/>
    <w:rsid w:val="00752E4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BE0DF1"/>
    <w:pPr>
      <w:keepNext/>
      <w:jc w:val="both"/>
      <w:outlineLvl w:val="0"/>
    </w:pPr>
    <w:rPr>
      <w:rFonts w:ascii="Arial" w:hAnsi="Arial"/>
      <w:caps/>
    </w:rPr>
  </w:style>
  <w:style w:type="paragraph" w:styleId="Heading2">
    <w:name w:val="heading 2"/>
    <w:next w:val="Normal"/>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link w:val="EndnoteTextChar"/>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EndnoteTextChar">
    <w:name w:val="Endnote Text Char"/>
    <w:basedOn w:val="DefaultParagraphFont"/>
    <w:link w:val="EndnoteText"/>
    <w:semiHidden/>
    <w:rsid w:val="00752E4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pov.int/meetings/en/details.jsp?meeting_id=2978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ov.int/meetings/en/details.jsp?meeting_id=297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4\Templates\CAJ_AG_14_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CAJ_AG_14_9_EN</Template>
  <TotalTime>105</TotalTime>
  <Pages>2</Pages>
  <Words>723</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CAJ-AG/14/9/</vt:lpstr>
    </vt:vector>
  </TitlesOfParts>
  <Company>UPOV</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CAJ-AG/14/9/</dc:title>
  <dc:creator>MAY Jessica</dc:creator>
  <cp:lastModifiedBy>HUERTA-CASADO Yolanda</cp:lastModifiedBy>
  <cp:revision>9</cp:revision>
  <cp:lastPrinted>2014-09-25T16:29:00Z</cp:lastPrinted>
  <dcterms:created xsi:type="dcterms:W3CDTF">2014-09-25T08:07:00Z</dcterms:created>
  <dcterms:modified xsi:type="dcterms:W3CDTF">2014-09-25T16:32:00Z</dcterms:modified>
</cp:coreProperties>
</file>