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D21DE" w:rsidTr="00FB0D37">
        <w:trPr>
          <w:trHeight w:val="1760"/>
        </w:trPr>
        <w:tc>
          <w:tcPr>
            <w:tcW w:w="4243" w:type="dxa"/>
          </w:tcPr>
          <w:p w:rsidR="000D7780" w:rsidRPr="00FD21DE" w:rsidRDefault="000D7780" w:rsidP="007D0B9D"/>
        </w:tc>
        <w:tc>
          <w:tcPr>
            <w:tcW w:w="1646" w:type="dxa"/>
            <w:vAlign w:val="center"/>
          </w:tcPr>
          <w:p w:rsidR="000D7780" w:rsidRPr="00FD21DE" w:rsidRDefault="00973AF6" w:rsidP="00576BE4">
            <w:pPr>
              <w:pStyle w:val="LogoUPOV"/>
            </w:pPr>
            <w:r w:rsidRPr="00FD21DE">
              <w:rPr>
                <w:noProof/>
              </w:rPr>
              <w:drawing>
                <wp:inline distT="0" distB="0" distL="0" distR="0" wp14:anchorId="3F7BC7FF" wp14:editId="0AB4627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D21DE" w:rsidRDefault="0024416D" w:rsidP="00576BE4">
            <w:pPr>
              <w:pStyle w:val="Lettrine"/>
            </w:pPr>
            <w:r w:rsidRPr="00FD21DE">
              <w:t>E</w:t>
            </w:r>
          </w:p>
          <w:p w:rsidR="000D7780" w:rsidRPr="00FD21DE" w:rsidRDefault="00EB3EFA" w:rsidP="00474DA4">
            <w:pPr>
              <w:pStyle w:val="Docoriginal"/>
              <w:jc w:val="left"/>
            </w:pPr>
            <w:r w:rsidRPr="00FD21DE">
              <w:t>CAJ</w:t>
            </w:r>
            <w:r w:rsidR="009A40AE" w:rsidRPr="00FD21DE">
              <w:t>-AG</w:t>
            </w:r>
            <w:r w:rsidRPr="00FD21DE">
              <w:t>/</w:t>
            </w:r>
            <w:r w:rsidR="009A40AE" w:rsidRPr="00FD21DE">
              <w:t>1</w:t>
            </w:r>
            <w:r w:rsidR="00BA1D46">
              <w:t>4</w:t>
            </w:r>
            <w:r w:rsidRPr="00FD21DE">
              <w:t>/</w:t>
            </w:r>
            <w:bookmarkStart w:id="0" w:name="Code"/>
            <w:bookmarkEnd w:id="0"/>
            <w:r w:rsidR="00BA1D46">
              <w:t>9</w:t>
            </w:r>
            <w:r w:rsidR="009A40AE" w:rsidRPr="00FD21DE">
              <w:t>/</w:t>
            </w:r>
            <w:r w:rsidR="00707153">
              <w:t>2</w:t>
            </w:r>
          </w:p>
          <w:p w:rsidR="000D7780" w:rsidRPr="00FD21DE" w:rsidRDefault="0061555F" w:rsidP="00474DA4">
            <w:pPr>
              <w:pStyle w:val="Docoriginal"/>
              <w:jc w:val="left"/>
            </w:pPr>
            <w:r w:rsidRPr="00FD21DE">
              <w:rPr>
                <w:rStyle w:val="StyleDoclangBold"/>
                <w:b/>
                <w:bCs/>
                <w:spacing w:val="0"/>
              </w:rPr>
              <w:t>ORIGINAL</w:t>
            </w:r>
            <w:r w:rsidR="000D7780" w:rsidRPr="00FD21DE">
              <w:rPr>
                <w:rStyle w:val="StyleDoclangBold"/>
                <w:b/>
                <w:bCs/>
                <w:spacing w:val="0"/>
              </w:rPr>
              <w:t>:</w:t>
            </w:r>
            <w:r w:rsidRPr="00FD21DE">
              <w:rPr>
                <w:rStyle w:val="StyleDocoriginalNotBold1"/>
                <w:spacing w:val="0"/>
              </w:rPr>
              <w:t xml:space="preserve"> </w:t>
            </w:r>
            <w:r w:rsidR="000D7780" w:rsidRPr="00FD21DE">
              <w:rPr>
                <w:rStyle w:val="StyleDocoriginalNotBold1"/>
                <w:spacing w:val="0"/>
              </w:rPr>
              <w:t xml:space="preserve"> </w:t>
            </w:r>
            <w:bookmarkStart w:id="1" w:name="Original"/>
            <w:bookmarkEnd w:id="1"/>
            <w:r w:rsidR="0024416D" w:rsidRPr="00FD21DE">
              <w:rPr>
                <w:b w:val="0"/>
                <w:spacing w:val="0"/>
              </w:rPr>
              <w:t>English</w:t>
            </w:r>
          </w:p>
          <w:p w:rsidR="000D7780" w:rsidRPr="00FD21DE" w:rsidRDefault="000D7780" w:rsidP="005C069C">
            <w:pPr>
              <w:pStyle w:val="Docoriginal"/>
              <w:jc w:val="left"/>
              <w:rPr>
                <w:b w:val="0"/>
                <w:spacing w:val="0"/>
                <w:highlight w:val="cyan"/>
              </w:rPr>
            </w:pPr>
            <w:r w:rsidRPr="00FD21DE">
              <w:rPr>
                <w:spacing w:val="0"/>
              </w:rPr>
              <w:t>DATE:</w:t>
            </w:r>
            <w:r w:rsidR="0061555F" w:rsidRPr="00FD21DE">
              <w:rPr>
                <w:b w:val="0"/>
                <w:spacing w:val="0"/>
              </w:rPr>
              <w:t xml:space="preserve"> </w:t>
            </w:r>
            <w:r w:rsidRPr="00FD21DE">
              <w:rPr>
                <w:rStyle w:val="StyleDocoriginalNotBold1"/>
                <w:spacing w:val="0"/>
              </w:rPr>
              <w:t xml:space="preserve"> </w:t>
            </w:r>
            <w:bookmarkStart w:id="2" w:name="Date"/>
            <w:bookmarkEnd w:id="2"/>
            <w:r w:rsidR="00F62D03" w:rsidRPr="00C7350B">
              <w:rPr>
                <w:b w:val="0"/>
                <w:spacing w:val="0"/>
              </w:rPr>
              <w:t xml:space="preserve">October </w:t>
            </w:r>
            <w:r w:rsidR="005C069C" w:rsidRPr="00C7350B">
              <w:rPr>
                <w:b w:val="0"/>
                <w:spacing w:val="0"/>
              </w:rPr>
              <w:t>7</w:t>
            </w:r>
            <w:r w:rsidR="0024416D" w:rsidRPr="00C7350B">
              <w:rPr>
                <w:b w:val="0"/>
                <w:spacing w:val="0"/>
              </w:rPr>
              <w:t xml:space="preserve">, </w:t>
            </w:r>
            <w:r w:rsidR="001131D5" w:rsidRPr="00C7350B">
              <w:rPr>
                <w:b w:val="0"/>
                <w:spacing w:val="0"/>
              </w:rPr>
              <w:t>201</w:t>
            </w:r>
            <w:r w:rsidR="00BA1D46" w:rsidRPr="00C7350B">
              <w:rPr>
                <w:b w:val="0"/>
                <w:spacing w:val="0"/>
              </w:rPr>
              <w:t>4</w:t>
            </w:r>
          </w:p>
        </w:tc>
      </w:tr>
      <w:tr w:rsidR="000D7780" w:rsidRPr="00FD21DE" w:rsidTr="00FB0D37">
        <w:tc>
          <w:tcPr>
            <w:tcW w:w="10131" w:type="dxa"/>
            <w:gridSpan w:val="3"/>
          </w:tcPr>
          <w:p w:rsidR="000D7780" w:rsidRPr="00FD21DE" w:rsidRDefault="0024416D" w:rsidP="0080679D">
            <w:pPr>
              <w:pStyle w:val="upove"/>
              <w:rPr>
                <w:sz w:val="28"/>
              </w:rPr>
            </w:pPr>
            <w:r w:rsidRPr="00FD21DE">
              <w:rPr>
                <w:snapToGrid w:val="0"/>
              </w:rPr>
              <w:t xml:space="preserve">INTERNATIONAL UNION FOR THE PROTECTION OF NEW VARIETIES OF PLANTS </w:t>
            </w:r>
          </w:p>
        </w:tc>
      </w:tr>
      <w:tr w:rsidR="000D7780" w:rsidRPr="00FD21DE" w:rsidTr="00FB0D37">
        <w:tc>
          <w:tcPr>
            <w:tcW w:w="10131" w:type="dxa"/>
            <w:gridSpan w:val="3"/>
          </w:tcPr>
          <w:p w:rsidR="000D7780" w:rsidRPr="00FD21DE" w:rsidRDefault="00867AC1" w:rsidP="0080679D">
            <w:pPr>
              <w:pStyle w:val="Country"/>
            </w:pPr>
            <w:r w:rsidRPr="00FD21DE">
              <w:t>Gen</w:t>
            </w:r>
            <w:r w:rsidR="0061555F" w:rsidRPr="00FD21DE">
              <w:t>e</w:t>
            </w:r>
            <w:r w:rsidRPr="00FD21DE">
              <w:t>v</w:t>
            </w:r>
            <w:r w:rsidR="0061555F" w:rsidRPr="00FD21DE">
              <w:t>a</w:t>
            </w:r>
          </w:p>
        </w:tc>
      </w:tr>
    </w:tbl>
    <w:p w:rsidR="000D7780" w:rsidRPr="00FD21DE" w:rsidRDefault="009A40AE" w:rsidP="0080679D">
      <w:pPr>
        <w:pStyle w:val="Sessiontc"/>
      </w:pPr>
      <w:r w:rsidRPr="00FD21DE">
        <w:t>Administrative and Legal Committee Advisory Group</w:t>
      </w:r>
    </w:p>
    <w:p w:rsidR="00361821" w:rsidRPr="00FD21DE" w:rsidRDefault="00BA1D46" w:rsidP="0080679D">
      <w:pPr>
        <w:pStyle w:val="Sessiontcplacedate"/>
      </w:pPr>
      <w:r>
        <w:t>Ninth</w:t>
      </w:r>
      <w:r w:rsidR="00FB0D37" w:rsidRPr="00FD21DE">
        <w:t xml:space="preserve"> Session</w:t>
      </w:r>
      <w:r w:rsidR="00361821" w:rsidRPr="00FD21DE">
        <w:br/>
      </w:r>
      <w:r w:rsidR="00FB0D37" w:rsidRPr="00FD21DE">
        <w:t xml:space="preserve">Geneva, </w:t>
      </w:r>
      <w:r w:rsidR="009A40AE" w:rsidRPr="00FD21DE">
        <w:t xml:space="preserve">October </w:t>
      </w:r>
      <w:r>
        <w:t>14 and 17</w:t>
      </w:r>
      <w:r w:rsidR="00BD4C24" w:rsidRPr="00FD21DE">
        <w:t>, 201</w:t>
      </w:r>
      <w:r w:rsidR="00BE36D8">
        <w:t>4</w:t>
      </w:r>
    </w:p>
    <w:p w:rsidR="000D7780" w:rsidRPr="00FD21DE" w:rsidRDefault="006B24FF" w:rsidP="0080679D">
      <w:pPr>
        <w:pStyle w:val="Titleofdoc0"/>
      </w:pPr>
      <w:bookmarkStart w:id="3" w:name="TitleOfDoc"/>
      <w:bookmarkEnd w:id="3"/>
      <w:r>
        <w:t xml:space="preserve">MATTERS CONCERNING </w:t>
      </w:r>
      <w:r w:rsidR="00707153" w:rsidRPr="00707153">
        <w:t xml:space="preserve">Essentially Derived Varieties </w:t>
      </w:r>
    </w:p>
    <w:p w:rsidR="000D7780" w:rsidRPr="00FD21DE" w:rsidRDefault="00AE0EF1" w:rsidP="0080679D">
      <w:pPr>
        <w:pStyle w:val="preparedby1"/>
      </w:pPr>
      <w:bookmarkStart w:id="4" w:name="Prepared"/>
      <w:bookmarkEnd w:id="4"/>
      <w:r w:rsidRPr="00707153">
        <w:t>Document</w:t>
      </w:r>
      <w:r w:rsidRPr="00FD21DE">
        <w:t xml:space="preserve"> </w:t>
      </w:r>
      <w:r w:rsidR="0061555F" w:rsidRPr="00FD21DE">
        <w:t>prepared by the Office of the Union</w:t>
      </w:r>
      <w:r w:rsidR="001A7E38" w:rsidRPr="00FD21DE">
        <w:br/>
      </w:r>
      <w:r w:rsidR="001A7E38" w:rsidRPr="00FD21DE">
        <w:br/>
      </w:r>
      <w:r w:rsidR="001A7E38" w:rsidRPr="00FD21DE">
        <w:rPr>
          <w:color w:val="A6A6A6" w:themeColor="background1" w:themeShade="A6"/>
        </w:rPr>
        <w:t>Disclaimer:  this document does not repr</w:t>
      </w:r>
      <w:r w:rsidR="00A60312" w:rsidRPr="00FD21DE">
        <w:rPr>
          <w:color w:val="A6A6A6" w:themeColor="background1" w:themeShade="A6"/>
        </w:rPr>
        <w:t>esent UPOV policies or guidance</w:t>
      </w:r>
    </w:p>
    <w:p w:rsidR="006B24FF" w:rsidRDefault="006B24FF" w:rsidP="006B24FF">
      <w:r>
        <w:rPr>
          <w:rFonts w:cs="Arial"/>
        </w:rPr>
        <w:fldChar w:fldCharType="begin"/>
      </w:r>
      <w:r>
        <w:rPr>
          <w:rFonts w:cs="Arial"/>
        </w:rPr>
        <w:instrText xml:space="preserve"> AUTONUM  </w:instrText>
      </w:r>
      <w:r>
        <w:rPr>
          <w:rFonts w:cs="Arial"/>
        </w:rPr>
        <w:fldChar w:fldCharType="end"/>
      </w:r>
      <w:r>
        <w:rPr>
          <w:rFonts w:cs="Arial"/>
        </w:rPr>
        <w:tab/>
      </w:r>
      <w:r w:rsidRPr="000B730F">
        <w:rPr>
          <w:rFonts w:cs="Arial"/>
        </w:rPr>
        <w:t xml:space="preserve">The purpose of this document is to </w:t>
      </w:r>
      <w:r w:rsidRPr="000B730F">
        <w:rPr>
          <w:rFonts w:eastAsia="MS Mincho" w:cs="Arial"/>
          <w:szCs w:val="24"/>
          <w:lang w:eastAsia="ja-JP" w:bidi="th-TH"/>
        </w:rPr>
        <w:t xml:space="preserve">provide information to assist the </w:t>
      </w:r>
      <w:r w:rsidRPr="000B730F">
        <w:t>Administrative and Legal Committee Advisory Group (CAJ-AG)</w:t>
      </w:r>
      <w:r w:rsidRPr="000B730F">
        <w:rPr>
          <w:rFonts w:eastAsia="MS Mincho" w:cs="Arial"/>
          <w:szCs w:val="24"/>
          <w:lang w:eastAsia="ja-JP" w:bidi="th-TH"/>
        </w:rPr>
        <w:t xml:space="preserve"> in the consideration of </w:t>
      </w:r>
      <w:r w:rsidRPr="000B730F">
        <w:t>relevant</w:t>
      </w:r>
      <w:r w:rsidRPr="000B730F">
        <w:rPr>
          <w:rFonts w:eastAsia="MS Mincho" w:cs="Arial"/>
          <w:szCs w:val="24"/>
          <w:lang w:eastAsia="ja-JP" w:bidi="th-TH"/>
        </w:rPr>
        <w:t xml:space="preserve"> matters </w:t>
      </w:r>
      <w:r>
        <w:rPr>
          <w:rFonts w:eastAsia="MS Mincho" w:cs="Arial"/>
          <w:szCs w:val="24"/>
          <w:lang w:eastAsia="ja-JP" w:bidi="th-TH"/>
        </w:rPr>
        <w:t xml:space="preserve">concerning </w:t>
      </w:r>
      <w:r>
        <w:rPr>
          <w:snapToGrid w:val="0"/>
        </w:rPr>
        <w:t>essentially derived varieties</w:t>
      </w:r>
      <w:r w:rsidR="009C1504">
        <w:t>.</w:t>
      </w:r>
      <w:bookmarkStart w:id="5" w:name="_GoBack"/>
      <w:bookmarkEnd w:id="5"/>
    </w:p>
    <w:p w:rsidR="006B24FF" w:rsidRDefault="006B24FF" w:rsidP="006B24FF"/>
    <w:p w:rsidR="006B24FF" w:rsidRDefault="006B24FF" w:rsidP="006B24FF">
      <w:r>
        <w:fldChar w:fldCharType="begin"/>
      </w:r>
      <w:r>
        <w:instrText xml:space="preserve"> AUTONUM  </w:instrText>
      </w:r>
      <w:r>
        <w:fldChar w:fldCharType="end"/>
      </w:r>
      <w:r>
        <w:tab/>
        <w:t>This document is structured as follows:</w:t>
      </w:r>
    </w:p>
    <w:p w:rsidR="006B24FF" w:rsidRDefault="006B24FF" w:rsidP="00CB7418"/>
    <w:p w:rsidR="00E834E1" w:rsidRDefault="008E08D8">
      <w:pPr>
        <w:pStyle w:val="TOC1"/>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hyperlink w:anchor="_Toc400470049" w:history="1">
        <w:r w:rsidR="00E834E1" w:rsidRPr="002A0ECF">
          <w:rPr>
            <w:rStyle w:val="Hyperlink"/>
          </w:rPr>
          <w:t>I.</w:t>
        </w:r>
        <w:r w:rsidR="00E834E1">
          <w:rPr>
            <w:rFonts w:asciiTheme="minorHAnsi" w:eastAsiaTheme="minorEastAsia" w:hAnsiTheme="minorHAnsi" w:cstheme="minorBidi"/>
            <w:caps w:val="0"/>
            <w:sz w:val="22"/>
            <w:szCs w:val="22"/>
          </w:rPr>
          <w:tab/>
        </w:r>
        <w:r w:rsidR="00E834E1" w:rsidRPr="002A0ECF">
          <w:rPr>
            <w:rStyle w:val="Hyperlink"/>
          </w:rPr>
          <w:t>background</w:t>
        </w:r>
        <w:r w:rsidR="00E834E1">
          <w:rPr>
            <w:webHidden/>
          </w:rPr>
          <w:tab/>
        </w:r>
        <w:r w:rsidR="00E834E1">
          <w:rPr>
            <w:webHidden/>
          </w:rPr>
          <w:fldChar w:fldCharType="begin"/>
        </w:r>
        <w:r w:rsidR="00E834E1">
          <w:rPr>
            <w:webHidden/>
          </w:rPr>
          <w:instrText xml:space="preserve"> PAGEREF _Toc400470049 \h </w:instrText>
        </w:r>
        <w:r w:rsidR="00E834E1">
          <w:rPr>
            <w:webHidden/>
          </w:rPr>
        </w:r>
        <w:r w:rsidR="00E834E1">
          <w:rPr>
            <w:webHidden/>
          </w:rPr>
          <w:fldChar w:fldCharType="separate"/>
        </w:r>
        <w:r w:rsidR="00E834E1">
          <w:rPr>
            <w:webHidden/>
          </w:rPr>
          <w:t>1</w:t>
        </w:r>
        <w:r w:rsidR="00E834E1">
          <w:rPr>
            <w:webHidden/>
          </w:rPr>
          <w:fldChar w:fldCharType="end"/>
        </w:r>
      </w:hyperlink>
    </w:p>
    <w:p w:rsidR="00E834E1" w:rsidRDefault="00083FB9">
      <w:pPr>
        <w:pStyle w:val="TOC1"/>
        <w:rPr>
          <w:rFonts w:asciiTheme="minorHAnsi" w:eastAsiaTheme="minorEastAsia" w:hAnsiTheme="minorHAnsi" w:cstheme="minorBidi"/>
          <w:caps w:val="0"/>
          <w:sz w:val="22"/>
          <w:szCs w:val="22"/>
        </w:rPr>
      </w:pPr>
      <w:hyperlink w:anchor="_Toc400470050" w:history="1">
        <w:r w:rsidR="00E834E1" w:rsidRPr="002A0ECF">
          <w:rPr>
            <w:rStyle w:val="Hyperlink"/>
          </w:rPr>
          <w:t>II.</w:t>
        </w:r>
        <w:r w:rsidR="00E834E1">
          <w:rPr>
            <w:rFonts w:asciiTheme="minorHAnsi" w:eastAsiaTheme="minorEastAsia" w:hAnsiTheme="minorHAnsi" w:cstheme="minorBidi"/>
            <w:caps w:val="0"/>
            <w:sz w:val="22"/>
            <w:szCs w:val="22"/>
          </w:rPr>
          <w:tab/>
        </w:r>
        <w:r w:rsidR="00E834E1" w:rsidRPr="002A0ECF">
          <w:rPr>
            <w:rStyle w:val="Hyperlink"/>
          </w:rPr>
          <w:t>Explanatory Notes on Essentially Derived Varieties under the 1991 Act of the UPOV Convention (Revision)</w:t>
        </w:r>
        <w:r w:rsidR="00E834E1">
          <w:rPr>
            <w:webHidden/>
          </w:rPr>
          <w:tab/>
        </w:r>
        <w:r w:rsidR="00E834E1">
          <w:rPr>
            <w:webHidden/>
          </w:rPr>
          <w:fldChar w:fldCharType="begin"/>
        </w:r>
        <w:r w:rsidR="00E834E1">
          <w:rPr>
            <w:webHidden/>
          </w:rPr>
          <w:instrText xml:space="preserve"> PAGEREF _Toc400470050 \h </w:instrText>
        </w:r>
        <w:r w:rsidR="00E834E1">
          <w:rPr>
            <w:webHidden/>
          </w:rPr>
        </w:r>
        <w:r w:rsidR="00E834E1">
          <w:rPr>
            <w:webHidden/>
          </w:rPr>
          <w:fldChar w:fldCharType="separate"/>
        </w:r>
        <w:r w:rsidR="00E834E1">
          <w:rPr>
            <w:webHidden/>
          </w:rPr>
          <w:t>1</w:t>
        </w:r>
        <w:r w:rsidR="00E834E1">
          <w:rPr>
            <w:webHidden/>
          </w:rPr>
          <w:fldChar w:fldCharType="end"/>
        </w:r>
      </w:hyperlink>
    </w:p>
    <w:p w:rsidR="00E834E1" w:rsidRDefault="00083FB9">
      <w:pPr>
        <w:pStyle w:val="TOC1"/>
        <w:rPr>
          <w:rFonts w:asciiTheme="minorHAnsi" w:eastAsiaTheme="minorEastAsia" w:hAnsiTheme="minorHAnsi" w:cstheme="minorBidi"/>
          <w:caps w:val="0"/>
          <w:sz w:val="22"/>
          <w:szCs w:val="22"/>
        </w:rPr>
      </w:pPr>
      <w:hyperlink w:anchor="_Toc400470051" w:history="1">
        <w:r w:rsidR="00E834E1" w:rsidRPr="002A0ECF">
          <w:rPr>
            <w:rStyle w:val="Hyperlink"/>
          </w:rPr>
          <w:t>III.</w:t>
        </w:r>
        <w:r w:rsidR="00E834E1">
          <w:rPr>
            <w:rFonts w:asciiTheme="minorHAnsi" w:eastAsiaTheme="minorEastAsia" w:hAnsiTheme="minorHAnsi" w:cstheme="minorBidi"/>
            <w:caps w:val="0"/>
            <w:sz w:val="22"/>
            <w:szCs w:val="22"/>
          </w:rPr>
          <w:tab/>
        </w:r>
        <w:r w:rsidR="00E834E1" w:rsidRPr="002A0ECF">
          <w:rPr>
            <w:rStyle w:val="Hyperlink"/>
          </w:rPr>
          <w:t>Matters concerning essentially derived varieties that are not granted protection in their own right</w:t>
        </w:r>
        <w:r w:rsidR="00E834E1">
          <w:rPr>
            <w:webHidden/>
          </w:rPr>
          <w:tab/>
        </w:r>
        <w:r w:rsidR="00E834E1">
          <w:rPr>
            <w:webHidden/>
          </w:rPr>
          <w:fldChar w:fldCharType="begin"/>
        </w:r>
        <w:r w:rsidR="00E834E1">
          <w:rPr>
            <w:webHidden/>
          </w:rPr>
          <w:instrText xml:space="preserve"> PAGEREF _Toc400470051 \h </w:instrText>
        </w:r>
        <w:r w:rsidR="00E834E1">
          <w:rPr>
            <w:webHidden/>
          </w:rPr>
        </w:r>
        <w:r w:rsidR="00E834E1">
          <w:rPr>
            <w:webHidden/>
          </w:rPr>
          <w:fldChar w:fldCharType="separate"/>
        </w:r>
        <w:r w:rsidR="00E834E1">
          <w:rPr>
            <w:webHidden/>
          </w:rPr>
          <w:t>4</w:t>
        </w:r>
        <w:r w:rsidR="00E834E1">
          <w:rPr>
            <w:webHidden/>
          </w:rPr>
          <w:fldChar w:fldCharType="end"/>
        </w:r>
      </w:hyperlink>
    </w:p>
    <w:p w:rsidR="00E834E1" w:rsidRDefault="00083FB9">
      <w:pPr>
        <w:pStyle w:val="TOC1"/>
        <w:rPr>
          <w:rFonts w:asciiTheme="minorHAnsi" w:eastAsiaTheme="minorEastAsia" w:hAnsiTheme="minorHAnsi" w:cstheme="minorBidi"/>
          <w:caps w:val="0"/>
          <w:sz w:val="22"/>
          <w:szCs w:val="22"/>
        </w:rPr>
      </w:pPr>
      <w:hyperlink w:anchor="_Toc400470052" w:history="1">
        <w:r w:rsidR="00E834E1" w:rsidRPr="002A0ECF">
          <w:rPr>
            <w:rStyle w:val="Hyperlink"/>
          </w:rPr>
          <w:t>IV.</w:t>
        </w:r>
        <w:r w:rsidR="00E834E1">
          <w:rPr>
            <w:rFonts w:asciiTheme="minorHAnsi" w:eastAsiaTheme="minorEastAsia" w:hAnsiTheme="minorHAnsi" w:cstheme="minorBidi"/>
            <w:caps w:val="0"/>
            <w:sz w:val="22"/>
            <w:szCs w:val="22"/>
          </w:rPr>
          <w:tab/>
        </w:r>
        <w:r w:rsidR="00E834E1" w:rsidRPr="002A0ECF">
          <w:rPr>
            <w:rStyle w:val="Hyperlink"/>
          </w:rPr>
          <w:t>P</w:t>
        </w:r>
        <w:r w:rsidR="00E834E1" w:rsidRPr="002A0ECF">
          <w:rPr>
            <w:rStyle w:val="Hyperlink"/>
            <w:snapToGrid w:val="0"/>
          </w:rPr>
          <w:t>resentations on systems in the members of the Union concerning essentially derived varieties</w:t>
        </w:r>
        <w:r w:rsidR="00E834E1">
          <w:rPr>
            <w:webHidden/>
          </w:rPr>
          <w:tab/>
        </w:r>
        <w:r w:rsidR="00E834E1">
          <w:rPr>
            <w:webHidden/>
          </w:rPr>
          <w:fldChar w:fldCharType="begin"/>
        </w:r>
        <w:r w:rsidR="00E834E1">
          <w:rPr>
            <w:webHidden/>
          </w:rPr>
          <w:instrText xml:space="preserve"> PAGEREF _Toc400470052 \h </w:instrText>
        </w:r>
        <w:r w:rsidR="00E834E1">
          <w:rPr>
            <w:webHidden/>
          </w:rPr>
        </w:r>
        <w:r w:rsidR="00E834E1">
          <w:rPr>
            <w:webHidden/>
          </w:rPr>
          <w:fldChar w:fldCharType="separate"/>
        </w:r>
        <w:r w:rsidR="00E834E1">
          <w:rPr>
            <w:webHidden/>
          </w:rPr>
          <w:t>4</w:t>
        </w:r>
        <w:r w:rsidR="00E834E1">
          <w:rPr>
            <w:webHidden/>
          </w:rPr>
          <w:fldChar w:fldCharType="end"/>
        </w:r>
      </w:hyperlink>
    </w:p>
    <w:p w:rsidR="00E834E1" w:rsidRDefault="00083FB9">
      <w:pPr>
        <w:pStyle w:val="TOC1"/>
        <w:rPr>
          <w:rFonts w:asciiTheme="minorHAnsi" w:eastAsiaTheme="minorEastAsia" w:hAnsiTheme="minorHAnsi" w:cstheme="minorBidi"/>
          <w:caps w:val="0"/>
          <w:sz w:val="22"/>
          <w:szCs w:val="22"/>
        </w:rPr>
      </w:pPr>
      <w:hyperlink w:anchor="_Toc400470053" w:history="1">
        <w:r w:rsidR="00E834E1" w:rsidRPr="002A0ECF">
          <w:rPr>
            <w:rStyle w:val="Hyperlink"/>
          </w:rPr>
          <w:t>V.</w:t>
        </w:r>
        <w:r w:rsidR="00E834E1">
          <w:rPr>
            <w:rFonts w:asciiTheme="minorHAnsi" w:eastAsiaTheme="minorEastAsia" w:hAnsiTheme="minorHAnsi" w:cstheme="minorBidi"/>
            <w:caps w:val="0"/>
            <w:sz w:val="22"/>
            <w:szCs w:val="22"/>
          </w:rPr>
          <w:tab/>
        </w:r>
        <w:r w:rsidR="00E834E1" w:rsidRPr="002A0ECF">
          <w:rPr>
            <w:rStyle w:val="Hyperlink"/>
          </w:rPr>
          <w:t>Possible alternative dispute settlement mechanisms for essentially derived varieties</w:t>
        </w:r>
        <w:r w:rsidR="00E834E1">
          <w:rPr>
            <w:webHidden/>
          </w:rPr>
          <w:tab/>
        </w:r>
        <w:r w:rsidR="00E834E1">
          <w:rPr>
            <w:webHidden/>
          </w:rPr>
          <w:fldChar w:fldCharType="begin"/>
        </w:r>
        <w:r w:rsidR="00E834E1">
          <w:rPr>
            <w:webHidden/>
          </w:rPr>
          <w:instrText xml:space="preserve"> PAGEREF _Toc400470053 \h </w:instrText>
        </w:r>
        <w:r w:rsidR="00E834E1">
          <w:rPr>
            <w:webHidden/>
          </w:rPr>
        </w:r>
        <w:r w:rsidR="00E834E1">
          <w:rPr>
            <w:webHidden/>
          </w:rPr>
          <w:fldChar w:fldCharType="separate"/>
        </w:r>
        <w:r w:rsidR="00E834E1">
          <w:rPr>
            <w:webHidden/>
          </w:rPr>
          <w:t>4</w:t>
        </w:r>
        <w:r w:rsidR="00E834E1">
          <w:rPr>
            <w:webHidden/>
          </w:rPr>
          <w:fldChar w:fldCharType="end"/>
        </w:r>
      </w:hyperlink>
    </w:p>
    <w:p w:rsidR="00CB7418" w:rsidRDefault="008E08D8" w:rsidP="00CB7418">
      <w:r>
        <w:fldChar w:fldCharType="end"/>
      </w:r>
    </w:p>
    <w:p w:rsidR="00CB7418" w:rsidRDefault="00CB7418" w:rsidP="00CB7418"/>
    <w:p w:rsidR="006B24FF" w:rsidRPr="00C23620" w:rsidRDefault="006B24FF" w:rsidP="00CB7418">
      <w:pPr>
        <w:pStyle w:val="Heading1"/>
      </w:pPr>
      <w:bookmarkStart w:id="6" w:name="_Toc369533669"/>
      <w:bookmarkStart w:id="7" w:name="_Toc400470049"/>
      <w:r w:rsidRPr="00C23620">
        <w:t>I.</w:t>
      </w:r>
      <w:r w:rsidRPr="00C23620">
        <w:tab/>
        <w:t>background</w:t>
      </w:r>
      <w:bookmarkEnd w:id="6"/>
      <w:bookmarkEnd w:id="7"/>
    </w:p>
    <w:p w:rsidR="006B24FF" w:rsidRPr="00E50F0D" w:rsidRDefault="006B24FF" w:rsidP="006B24FF"/>
    <w:p w:rsidR="00C23620" w:rsidRDefault="006B24FF" w:rsidP="006B24FF">
      <w:pPr>
        <w:rPr>
          <w:rFonts w:cs="Arial"/>
        </w:rPr>
      </w:pPr>
      <w:r>
        <w:fldChar w:fldCharType="begin"/>
      </w:r>
      <w:r>
        <w:instrText xml:space="preserve"> AUTONUM  </w:instrText>
      </w:r>
      <w:r>
        <w:fldChar w:fldCharType="end"/>
      </w:r>
      <w:r>
        <w:tab/>
        <w:t>The background information concerning the development of the provisions and guidance on essentially derived varieties is provided in document</w:t>
      </w:r>
      <w:r w:rsidR="000377C2">
        <w:t xml:space="preserve"> </w:t>
      </w:r>
      <w:r w:rsidR="00C23620" w:rsidRPr="00D82884">
        <w:rPr>
          <w:rFonts w:cs="Arial"/>
        </w:rPr>
        <w:t>CAJ-AG/13/8/2</w:t>
      </w:r>
      <w:r w:rsidR="000377C2">
        <w:t xml:space="preserve"> “</w:t>
      </w:r>
      <w:r w:rsidR="000377C2" w:rsidRPr="00D82884">
        <w:t>Explanatory Notes on Essentially Derived Varieties under the 1991 Act of the UPOV Convention</w:t>
      </w:r>
      <w:r w:rsidR="000377C2">
        <w:t>”</w:t>
      </w:r>
      <w:r w:rsidR="009D4E8E">
        <w:rPr>
          <w:rFonts w:cs="Arial"/>
        </w:rPr>
        <w:t xml:space="preserve"> and document CAJ-AG/13/8/10 “Report”, paragraphs 38 to 48. </w:t>
      </w:r>
    </w:p>
    <w:p w:rsidR="00CB7418" w:rsidRDefault="00CB7418" w:rsidP="00CB7418"/>
    <w:p w:rsidR="00CB7418" w:rsidRDefault="00CB7418" w:rsidP="00CB7418"/>
    <w:p w:rsidR="00CB7418" w:rsidRPr="00CB7418" w:rsidRDefault="00CB7418" w:rsidP="00CB7418"/>
    <w:p w:rsidR="00DE11CD" w:rsidRPr="00482F75" w:rsidRDefault="00C23620" w:rsidP="00CB7418">
      <w:pPr>
        <w:pStyle w:val="Heading1"/>
      </w:pPr>
      <w:bookmarkStart w:id="8" w:name="_Toc400470050"/>
      <w:r>
        <w:t>II.</w:t>
      </w:r>
      <w:r>
        <w:tab/>
      </w:r>
      <w:r w:rsidR="00DE11CD" w:rsidRPr="00482F75">
        <w:t>Explanatory Notes on Essentially Derived Varieties under the 1991 Act of the UPOV Convention (Revision)</w:t>
      </w:r>
      <w:bookmarkEnd w:id="8"/>
      <w:r w:rsidR="00DE11CD" w:rsidRPr="00482F75">
        <w:t xml:space="preserve"> </w:t>
      </w:r>
    </w:p>
    <w:p w:rsidR="00DE11CD" w:rsidRPr="00482F75" w:rsidRDefault="00DE11CD" w:rsidP="00DE11CD">
      <w:pPr>
        <w:keepNext/>
        <w:rPr>
          <w:rFonts w:cs="Arial"/>
          <w:u w:val="single"/>
        </w:rPr>
      </w:pPr>
    </w:p>
    <w:p w:rsidR="00DE11CD" w:rsidRPr="00482F75" w:rsidRDefault="00DE11CD" w:rsidP="00DE11CD">
      <w:r w:rsidRPr="00482F75">
        <w:fldChar w:fldCharType="begin"/>
      </w:r>
      <w:r w:rsidRPr="00482F75">
        <w:instrText xml:space="preserve"> AUTONUM  </w:instrText>
      </w:r>
      <w:r w:rsidRPr="00482F75">
        <w:fldChar w:fldCharType="end"/>
      </w:r>
      <w:r w:rsidRPr="00482F75">
        <w:tab/>
        <w:t>The CAJ</w:t>
      </w:r>
      <w:r w:rsidRPr="00482F75">
        <w:noBreakHyphen/>
        <w:t>AG</w:t>
      </w:r>
      <w:r w:rsidR="009D4E8E">
        <w:t>,</w:t>
      </w:r>
      <w:r w:rsidR="009D4E8E" w:rsidRPr="009D4E8E">
        <w:t xml:space="preserve"> </w:t>
      </w:r>
      <w:r w:rsidR="009D4E8E">
        <w:t xml:space="preserve">at </w:t>
      </w:r>
      <w:r w:rsidR="009D4E8E" w:rsidRPr="00482F75">
        <w:t>its eighth session</w:t>
      </w:r>
      <w:r w:rsidR="009D4E8E">
        <w:t>, held</w:t>
      </w:r>
      <w:r w:rsidR="009D4E8E" w:rsidRPr="00482F75">
        <w:t xml:space="preserve"> in Geneva on October 21</w:t>
      </w:r>
      <w:r w:rsidR="009D4E8E">
        <w:t xml:space="preserve"> and </w:t>
      </w:r>
      <w:r w:rsidR="009D4E8E" w:rsidRPr="00482F75">
        <w:t>25, 2013,</w:t>
      </w:r>
      <w:r w:rsidRPr="00482F75">
        <w:t xml:space="preserve"> considered documents CAJ-AG/13/8/2 and UPOV/EXN/EDV/2 Draft 3, and the views expressed by the representatives from </w:t>
      </w:r>
      <w:r w:rsidR="00F909FB" w:rsidRPr="007B5896">
        <w:rPr>
          <w:szCs w:val="26"/>
        </w:rPr>
        <w:t>Association for Plant Breeding for the Benefit of Society (APBREBES)</w:t>
      </w:r>
      <w:r w:rsidRPr="00482F75">
        <w:t xml:space="preserve"> and </w:t>
      </w:r>
      <w:r w:rsidR="00ED2582" w:rsidRPr="007B5896">
        <w:t>the International Community of Breeders of Asexually Reproduced Ornamental and Fruit Varieties (CIOPORA)</w:t>
      </w:r>
      <w:r w:rsidR="00ED2582">
        <w:t>,</w:t>
      </w:r>
      <w:r w:rsidRPr="00482F75">
        <w:t xml:space="preserve"> as set out in paragraphs </w:t>
      </w:r>
      <w:r w:rsidRPr="0086184C">
        <w:t xml:space="preserve">6 to 11 </w:t>
      </w:r>
      <w:r w:rsidR="009D4E8E">
        <w:t xml:space="preserve">of </w:t>
      </w:r>
      <w:r w:rsidR="009D4E8E">
        <w:rPr>
          <w:rFonts w:cs="Arial"/>
        </w:rPr>
        <w:t>d</w:t>
      </w:r>
      <w:r w:rsidR="003E059B">
        <w:rPr>
          <w:rFonts w:cs="Arial"/>
        </w:rPr>
        <w:t xml:space="preserve">ocument CAJ-AG/13/8/10 “Report”. </w:t>
      </w:r>
      <w:r w:rsidR="003E059B" w:rsidRPr="005C069C">
        <w:rPr>
          <w:rFonts w:cs="Arial"/>
        </w:rPr>
        <w:t xml:space="preserve">As </w:t>
      </w:r>
      <w:r w:rsidRPr="005C069C">
        <w:t>requested by the CAJ</w:t>
      </w:r>
      <w:r w:rsidR="003E059B" w:rsidRPr="005C069C">
        <w:t>,</w:t>
      </w:r>
      <w:r w:rsidRPr="005C069C">
        <w:t xml:space="preserve"> at its sixty-eighth session, </w:t>
      </w:r>
      <w:r w:rsidR="009D4E8E" w:rsidRPr="005C069C">
        <w:t xml:space="preserve">held in Geneva on </w:t>
      </w:r>
      <w:r w:rsidR="009D4E8E" w:rsidRPr="005C069C">
        <w:rPr>
          <w:lang w:val="en"/>
        </w:rPr>
        <w:t xml:space="preserve">October 21, 2013, </w:t>
      </w:r>
      <w:r w:rsidR="003E059B" w:rsidRPr="005C069C">
        <w:rPr>
          <w:lang w:val="en"/>
        </w:rPr>
        <w:t xml:space="preserve">the </w:t>
      </w:r>
      <w:r w:rsidR="003E059B" w:rsidRPr="005C069C">
        <w:t>CAJ</w:t>
      </w:r>
      <w:r w:rsidR="003E059B" w:rsidRPr="005C069C">
        <w:noBreakHyphen/>
        <w:t xml:space="preserve">AG, at its eighth session, also considered </w:t>
      </w:r>
      <w:r w:rsidRPr="005C069C">
        <w:t xml:space="preserve">the discussions at the </w:t>
      </w:r>
      <w:r w:rsidR="009D4E8E" w:rsidRPr="005C069C">
        <w:lastRenderedPageBreak/>
        <w:t>Seminar on Essentially Derived Varieties (EDVs), held in Geneva on October 23, 2013</w:t>
      </w:r>
      <w:r w:rsidR="00ED2582" w:rsidRPr="005C069C">
        <w:t xml:space="preserve"> (see </w:t>
      </w:r>
      <w:r w:rsidR="003E059B" w:rsidRPr="005C069C">
        <w:rPr>
          <w:rFonts w:cs="Arial"/>
        </w:rPr>
        <w:t>documents CAJ/68/11 “Report, paragraph 11, and CAJ</w:t>
      </w:r>
      <w:r w:rsidR="003E059B" w:rsidRPr="005C069C">
        <w:rPr>
          <w:rFonts w:cs="Arial"/>
        </w:rPr>
        <w:noBreakHyphen/>
      </w:r>
      <w:r w:rsidR="00ED2582" w:rsidRPr="005C069C">
        <w:rPr>
          <w:rFonts w:cs="Arial"/>
        </w:rPr>
        <w:t>AG/13/8/10 “Report”, paragraph 38)</w:t>
      </w:r>
      <w:r w:rsidRPr="005C069C">
        <w:t>.</w:t>
      </w:r>
    </w:p>
    <w:p w:rsidR="00DE11CD" w:rsidRPr="00C7350B" w:rsidRDefault="00DE11CD" w:rsidP="00C7350B"/>
    <w:p w:rsidR="00DE11CD" w:rsidRPr="00482F75" w:rsidRDefault="00DE11CD" w:rsidP="00DE11CD">
      <w:r w:rsidRPr="00482F75">
        <w:fldChar w:fldCharType="begin"/>
      </w:r>
      <w:r w:rsidRPr="00482F75">
        <w:instrText xml:space="preserve"> AUTONUM  </w:instrText>
      </w:r>
      <w:r w:rsidRPr="00482F75">
        <w:fldChar w:fldCharType="end"/>
      </w:r>
      <w:r w:rsidRPr="00482F75">
        <w:tab/>
        <w:t>The CAJ-AG</w:t>
      </w:r>
      <w:r w:rsidR="00BC5F0D">
        <w:t xml:space="preserve">, at </w:t>
      </w:r>
      <w:r w:rsidR="00BC5F0D" w:rsidRPr="00482F75">
        <w:t>its eighth session</w:t>
      </w:r>
      <w:r w:rsidR="00BC5F0D">
        <w:t>,</w:t>
      </w:r>
      <w:r w:rsidRPr="00482F75">
        <w:t xml:space="preserve"> requested the Office of the Union to prepare a text for inclusion in a new d</w:t>
      </w:r>
      <w:r>
        <w:t xml:space="preserve">raft of document UPOV/EXN/EDV/2 </w:t>
      </w:r>
      <w:r w:rsidRPr="00482F75">
        <w:t>on the following basis</w:t>
      </w:r>
      <w:r w:rsidR="008938C4">
        <w:t xml:space="preserve"> (see </w:t>
      </w:r>
      <w:r w:rsidR="008938C4">
        <w:rPr>
          <w:rFonts w:cs="Arial"/>
        </w:rPr>
        <w:t>document CAJ-AG/13/8/10 “Report”, paragraph 44)</w:t>
      </w:r>
      <w:r w:rsidRPr="00482F75">
        <w:t>:</w:t>
      </w:r>
    </w:p>
    <w:p w:rsidR="00DE11CD" w:rsidRPr="00482F75" w:rsidRDefault="00DE11CD" w:rsidP="00DE11CD"/>
    <w:p w:rsidR="00DE11CD" w:rsidRPr="00E23111" w:rsidRDefault="00F909FB" w:rsidP="00E23111">
      <w:pPr>
        <w:keepNext/>
        <w:ind w:left="567" w:right="425"/>
        <w:rPr>
          <w:sz w:val="18"/>
          <w:szCs w:val="18"/>
        </w:rPr>
      </w:pPr>
      <w:r w:rsidRPr="00E23111">
        <w:rPr>
          <w:sz w:val="18"/>
          <w:szCs w:val="18"/>
        </w:rPr>
        <w:t>“</w:t>
      </w:r>
      <w:r w:rsidR="00DE11CD" w:rsidRPr="00E23111">
        <w:rPr>
          <w:sz w:val="18"/>
          <w:szCs w:val="18"/>
        </w:rPr>
        <w:t>(a)</w:t>
      </w:r>
      <w:r w:rsidR="00DE11CD" w:rsidRPr="00E23111">
        <w:rPr>
          <w:sz w:val="18"/>
          <w:szCs w:val="18"/>
        </w:rPr>
        <w:tab/>
        <w:t xml:space="preserve">to include a Preamble with a reference to the mandate of the 1991 Diplomatic Conference: </w:t>
      </w:r>
    </w:p>
    <w:p w:rsidR="00DE11CD" w:rsidRPr="00E23111" w:rsidRDefault="00DE11CD" w:rsidP="00E23111">
      <w:pPr>
        <w:keepNext/>
        <w:ind w:left="567" w:right="425"/>
        <w:rPr>
          <w:sz w:val="18"/>
          <w:szCs w:val="18"/>
        </w:rPr>
      </w:pPr>
    </w:p>
    <w:p w:rsidR="00DE11CD" w:rsidRPr="00E23111" w:rsidRDefault="00DE11CD" w:rsidP="00E23111">
      <w:pPr>
        <w:ind w:left="567" w:right="425"/>
        <w:rPr>
          <w:sz w:val="18"/>
          <w:szCs w:val="18"/>
        </w:rPr>
      </w:pPr>
      <w:r w:rsidRPr="00E23111">
        <w:rPr>
          <w:sz w:val="18"/>
          <w:szCs w:val="18"/>
        </w:rPr>
        <w:t>“The Diplomatic Conference for the Revision of the International Convention for the Protection of New Varieties of Plants, held in Geneva from March 4 to 19, 1991, adopted the following resolution (see document DC/91/140):</w:t>
      </w:r>
    </w:p>
    <w:p w:rsidR="00DE11CD" w:rsidRPr="00E23111" w:rsidRDefault="00DE11CD" w:rsidP="00E23111">
      <w:pPr>
        <w:ind w:left="567" w:right="425"/>
        <w:rPr>
          <w:sz w:val="18"/>
          <w:szCs w:val="18"/>
        </w:rPr>
      </w:pPr>
    </w:p>
    <w:p w:rsidR="00DE11CD" w:rsidRPr="00E23111" w:rsidRDefault="00DE11CD" w:rsidP="00E23111">
      <w:pPr>
        <w:keepNext/>
        <w:ind w:left="567" w:right="425"/>
        <w:jc w:val="center"/>
        <w:rPr>
          <w:sz w:val="18"/>
          <w:szCs w:val="18"/>
        </w:rPr>
      </w:pPr>
      <w:r w:rsidRPr="00E23111">
        <w:rPr>
          <w:sz w:val="18"/>
          <w:szCs w:val="18"/>
        </w:rPr>
        <w:t>‘Resolution on Article 14(5)</w:t>
      </w:r>
    </w:p>
    <w:p w:rsidR="00DE11CD" w:rsidRPr="00E23111" w:rsidRDefault="00DE11CD" w:rsidP="00E23111">
      <w:pPr>
        <w:keepNext/>
        <w:ind w:left="567" w:right="425"/>
        <w:rPr>
          <w:sz w:val="18"/>
          <w:szCs w:val="18"/>
        </w:rPr>
      </w:pPr>
    </w:p>
    <w:p w:rsidR="00DE11CD" w:rsidRPr="00E23111" w:rsidRDefault="00DE11CD" w:rsidP="00E23111">
      <w:pPr>
        <w:ind w:left="567" w:right="425"/>
        <w:rPr>
          <w:sz w:val="18"/>
          <w:szCs w:val="18"/>
        </w:rPr>
      </w:pPr>
      <w:r w:rsidRPr="00E23111">
        <w:rPr>
          <w:sz w:val="18"/>
          <w:szCs w:val="18"/>
        </w:rPr>
        <w:t>‘The Diplomatic Conference for the Revision of the International Convention for the Protection of New Varieties of Plants held from March 4 to 19, 1991, requests the Secretary-General of UPOV to start work immediately after the Conference on the establishment of draft standard guidelines, for adoption by the Council of UPOV, on essentially derived varieties.’”</w:t>
      </w:r>
    </w:p>
    <w:p w:rsidR="00DE11CD" w:rsidRPr="00E23111" w:rsidRDefault="00DE11CD" w:rsidP="00E23111">
      <w:pPr>
        <w:ind w:left="567" w:right="425"/>
        <w:rPr>
          <w:sz w:val="18"/>
          <w:szCs w:val="18"/>
        </w:rPr>
      </w:pPr>
    </w:p>
    <w:p w:rsidR="00DE11CD" w:rsidRPr="00E23111" w:rsidRDefault="00F909FB" w:rsidP="00E23111">
      <w:pPr>
        <w:ind w:left="567" w:right="425"/>
        <w:rPr>
          <w:sz w:val="18"/>
          <w:szCs w:val="18"/>
        </w:rPr>
      </w:pPr>
      <w:r w:rsidRPr="00E23111">
        <w:rPr>
          <w:sz w:val="18"/>
          <w:szCs w:val="18"/>
        </w:rPr>
        <w:t>“</w:t>
      </w:r>
      <w:r w:rsidR="00DE11CD" w:rsidRPr="00E23111">
        <w:rPr>
          <w:sz w:val="18"/>
          <w:szCs w:val="18"/>
        </w:rPr>
        <w:t>(b)</w:t>
      </w:r>
      <w:r w:rsidR="00DE11CD" w:rsidRPr="00E23111">
        <w:rPr>
          <w:sz w:val="18"/>
          <w:szCs w:val="18"/>
        </w:rPr>
        <w:tab/>
      </w:r>
      <w:proofErr w:type="gramStart"/>
      <w:r w:rsidR="00DE11CD" w:rsidRPr="00E23111">
        <w:rPr>
          <w:sz w:val="18"/>
          <w:szCs w:val="18"/>
        </w:rPr>
        <w:t>to</w:t>
      </w:r>
      <w:proofErr w:type="gramEnd"/>
      <w:r w:rsidR="00DE11CD" w:rsidRPr="00E23111">
        <w:rPr>
          <w:sz w:val="18"/>
          <w:szCs w:val="18"/>
        </w:rPr>
        <w:t xml:space="preserve"> clarify in the Preamble the purpose of the guidance in relation to members of the Union and stakeholders;</w:t>
      </w:r>
    </w:p>
    <w:p w:rsidR="00DE11CD" w:rsidRPr="00E23111" w:rsidRDefault="00DE11CD" w:rsidP="00E23111">
      <w:pPr>
        <w:ind w:left="567" w:right="425"/>
        <w:rPr>
          <w:sz w:val="18"/>
          <w:szCs w:val="18"/>
        </w:rPr>
      </w:pPr>
    </w:p>
    <w:p w:rsidR="00DE11CD" w:rsidRPr="00E23111" w:rsidRDefault="00F909FB" w:rsidP="00E23111">
      <w:pPr>
        <w:ind w:left="567" w:right="425"/>
        <w:rPr>
          <w:rFonts w:cs="Arial"/>
          <w:sz w:val="18"/>
          <w:szCs w:val="18"/>
        </w:rPr>
      </w:pPr>
      <w:r w:rsidRPr="00E23111">
        <w:rPr>
          <w:sz w:val="18"/>
          <w:szCs w:val="18"/>
        </w:rPr>
        <w:t>“</w:t>
      </w:r>
      <w:r w:rsidR="00DE11CD" w:rsidRPr="00E23111">
        <w:rPr>
          <w:sz w:val="18"/>
          <w:szCs w:val="18"/>
        </w:rPr>
        <w:t>(c)</w:t>
      </w:r>
      <w:r w:rsidR="00DE11CD" w:rsidRPr="00E23111">
        <w:rPr>
          <w:sz w:val="18"/>
          <w:szCs w:val="18"/>
        </w:rPr>
        <w:tab/>
        <w:t xml:space="preserve">to include the text of document </w:t>
      </w:r>
      <w:r w:rsidR="00DE11CD" w:rsidRPr="00E23111">
        <w:rPr>
          <w:rFonts w:cs="Arial"/>
          <w:sz w:val="18"/>
          <w:szCs w:val="18"/>
        </w:rPr>
        <w:t xml:space="preserve">UPOV/EXN/EDV/1 “Explanatory Notes on Essentially Derived Varieties under the 1991 Act of the UPOV Convention”, which was </w:t>
      </w:r>
      <w:r w:rsidR="00DE11CD" w:rsidRPr="00E23111">
        <w:rPr>
          <w:sz w:val="18"/>
          <w:szCs w:val="18"/>
        </w:rPr>
        <w:t xml:space="preserve">adopted </w:t>
      </w:r>
      <w:r w:rsidR="00DE11CD" w:rsidRPr="00E23111">
        <w:rPr>
          <w:rFonts w:cs="Arial"/>
          <w:sz w:val="18"/>
          <w:szCs w:val="18"/>
        </w:rPr>
        <w:t xml:space="preserve">by the Council, at its forty-third ordinary session, held </w:t>
      </w:r>
      <w:r w:rsidR="00DE11CD" w:rsidRPr="00E23111">
        <w:rPr>
          <w:sz w:val="18"/>
          <w:szCs w:val="18"/>
        </w:rPr>
        <w:t xml:space="preserve">in Geneva </w:t>
      </w:r>
      <w:r w:rsidR="00DE11CD" w:rsidRPr="00E23111">
        <w:rPr>
          <w:rFonts w:cs="Arial"/>
          <w:sz w:val="18"/>
          <w:szCs w:val="18"/>
        </w:rPr>
        <w:t>on October 22, 2009 (see document C/43/17 “Report”, paragraph 23);</w:t>
      </w:r>
    </w:p>
    <w:p w:rsidR="00DE11CD" w:rsidRPr="00E23111" w:rsidRDefault="00DE11CD" w:rsidP="00E23111">
      <w:pPr>
        <w:ind w:left="567" w:right="425"/>
        <w:rPr>
          <w:rFonts w:cs="Arial"/>
          <w:sz w:val="18"/>
          <w:szCs w:val="18"/>
        </w:rPr>
      </w:pPr>
    </w:p>
    <w:p w:rsidR="00DE11CD" w:rsidRPr="00E23111" w:rsidRDefault="00F909FB" w:rsidP="00E23111">
      <w:pPr>
        <w:ind w:left="567" w:right="425"/>
        <w:rPr>
          <w:sz w:val="18"/>
          <w:szCs w:val="18"/>
        </w:rPr>
      </w:pPr>
      <w:r w:rsidRPr="00E23111">
        <w:rPr>
          <w:rFonts w:cs="Arial"/>
          <w:sz w:val="18"/>
          <w:szCs w:val="18"/>
        </w:rPr>
        <w:t>“</w:t>
      </w:r>
      <w:r w:rsidR="00DE11CD" w:rsidRPr="00E23111">
        <w:rPr>
          <w:rFonts w:cs="Arial"/>
          <w:sz w:val="18"/>
          <w:szCs w:val="18"/>
        </w:rPr>
        <w:t>(d)</w:t>
      </w:r>
      <w:r w:rsidR="00DE11CD" w:rsidRPr="00E23111">
        <w:rPr>
          <w:rFonts w:cs="Arial"/>
          <w:sz w:val="18"/>
          <w:szCs w:val="18"/>
        </w:rPr>
        <w:tab/>
      </w:r>
      <w:proofErr w:type="gramStart"/>
      <w:r w:rsidR="00DE11CD" w:rsidRPr="00E23111">
        <w:rPr>
          <w:rFonts w:cs="Arial"/>
          <w:sz w:val="18"/>
          <w:szCs w:val="18"/>
        </w:rPr>
        <w:t>to</w:t>
      </w:r>
      <w:proofErr w:type="gramEnd"/>
      <w:r w:rsidR="00DE11CD" w:rsidRPr="00E23111">
        <w:rPr>
          <w:rFonts w:cs="Arial"/>
          <w:sz w:val="18"/>
          <w:szCs w:val="18"/>
        </w:rPr>
        <w:t xml:space="preserve"> include the text of draft </w:t>
      </w:r>
      <w:r w:rsidR="00DE11CD" w:rsidRPr="00E23111">
        <w:rPr>
          <w:sz w:val="18"/>
          <w:szCs w:val="18"/>
        </w:rPr>
        <w:t>UPOV/EXN/EDV/2 “Explanatory Notes on Essentially Derived Varieties under the 1991 Act of the UPOV Convention” (revision) that had already been agreed by the CAJ</w:t>
      </w:r>
      <w:r w:rsidR="00DE11CD" w:rsidRPr="00E23111">
        <w:rPr>
          <w:sz w:val="18"/>
          <w:szCs w:val="18"/>
        </w:rPr>
        <w:noBreakHyphen/>
        <w:t>AG;</w:t>
      </w:r>
    </w:p>
    <w:p w:rsidR="00DE11CD" w:rsidRPr="00E23111" w:rsidRDefault="00DE11CD" w:rsidP="00E23111">
      <w:pPr>
        <w:ind w:left="567" w:right="425"/>
        <w:rPr>
          <w:sz w:val="18"/>
          <w:szCs w:val="18"/>
        </w:rPr>
      </w:pPr>
    </w:p>
    <w:p w:rsidR="00DE11CD" w:rsidRPr="00E23111" w:rsidRDefault="00F909FB" w:rsidP="00E23111">
      <w:pPr>
        <w:ind w:left="567" w:right="425"/>
        <w:rPr>
          <w:sz w:val="18"/>
          <w:szCs w:val="18"/>
        </w:rPr>
      </w:pPr>
      <w:r w:rsidRPr="00E23111">
        <w:rPr>
          <w:sz w:val="18"/>
          <w:szCs w:val="18"/>
        </w:rPr>
        <w:t>“</w:t>
      </w:r>
      <w:r w:rsidR="00DE11CD" w:rsidRPr="00E23111">
        <w:rPr>
          <w:sz w:val="18"/>
          <w:szCs w:val="18"/>
        </w:rPr>
        <w:t>(e)</w:t>
      </w:r>
      <w:r w:rsidR="00DE11CD" w:rsidRPr="00E23111">
        <w:rPr>
          <w:sz w:val="18"/>
          <w:szCs w:val="18"/>
        </w:rPr>
        <w:tab/>
        <w:t>to consider the inclusion of relevant part of the draft guidance presented in document IOM/6/2 “Essentially Derived Varieties” at the Sixth Meeting with International Organizations (IOM/6), taking into consideration the discussions at the IOM/6 on the above proposals contained in document IOM/6/5 “Report” (copies of documents IOM/6/2 “Essentially Derived Varieties” and IOM/6/5 “Report” in the four languages of the Office of the Union are posted, as reference documents, on the CAJ</w:t>
      </w:r>
      <w:r w:rsidR="00DE11CD" w:rsidRPr="00E23111">
        <w:rPr>
          <w:sz w:val="18"/>
          <w:szCs w:val="18"/>
        </w:rPr>
        <w:noBreakHyphen/>
        <w:t>AG/13/8 section of the UPOV website);</w:t>
      </w:r>
    </w:p>
    <w:p w:rsidR="00DE11CD" w:rsidRPr="00E23111" w:rsidRDefault="00DE11CD" w:rsidP="00E23111">
      <w:pPr>
        <w:ind w:left="567" w:right="425"/>
        <w:rPr>
          <w:sz w:val="18"/>
          <w:szCs w:val="18"/>
        </w:rPr>
      </w:pPr>
    </w:p>
    <w:p w:rsidR="00DE11CD" w:rsidRPr="00E23111" w:rsidRDefault="00F909FB" w:rsidP="00E23111">
      <w:pPr>
        <w:ind w:left="567" w:right="425"/>
        <w:rPr>
          <w:sz w:val="18"/>
          <w:szCs w:val="18"/>
        </w:rPr>
      </w:pPr>
      <w:r w:rsidRPr="00E23111">
        <w:rPr>
          <w:sz w:val="18"/>
          <w:szCs w:val="18"/>
        </w:rPr>
        <w:t>“</w:t>
      </w:r>
      <w:r w:rsidR="00DE11CD" w:rsidRPr="00E23111">
        <w:rPr>
          <w:sz w:val="18"/>
          <w:szCs w:val="18"/>
        </w:rPr>
        <w:t>(f)</w:t>
      </w:r>
      <w:r w:rsidR="00DE11CD" w:rsidRPr="00E23111">
        <w:rPr>
          <w:sz w:val="18"/>
          <w:szCs w:val="18"/>
        </w:rPr>
        <w:tab/>
      </w:r>
      <w:proofErr w:type="gramStart"/>
      <w:r w:rsidR="00DE11CD" w:rsidRPr="00E23111">
        <w:rPr>
          <w:sz w:val="18"/>
          <w:szCs w:val="18"/>
        </w:rPr>
        <w:t>to</w:t>
      </w:r>
      <w:proofErr w:type="gramEnd"/>
      <w:r w:rsidR="00DE11CD" w:rsidRPr="00E23111">
        <w:rPr>
          <w:sz w:val="18"/>
          <w:szCs w:val="18"/>
        </w:rPr>
        <w:t xml:space="preserve"> include the following elements from the EDV Seminar:</w:t>
      </w:r>
    </w:p>
    <w:p w:rsidR="00DE11CD" w:rsidRPr="00E23111" w:rsidRDefault="00DE11CD" w:rsidP="00E23111">
      <w:pPr>
        <w:ind w:left="567" w:right="425"/>
        <w:rPr>
          <w:sz w:val="18"/>
          <w:szCs w:val="18"/>
        </w:rPr>
      </w:pPr>
    </w:p>
    <w:p w:rsidR="00DE11CD" w:rsidRPr="00E23111" w:rsidRDefault="00DE11CD" w:rsidP="00E23111">
      <w:pPr>
        <w:ind w:left="567" w:right="425"/>
        <w:rPr>
          <w:sz w:val="18"/>
          <w:szCs w:val="18"/>
        </w:rPr>
      </w:pPr>
      <w:r w:rsidRPr="00E23111">
        <w:rPr>
          <w:sz w:val="18"/>
          <w:szCs w:val="18"/>
        </w:rPr>
        <w:t>(</w:t>
      </w:r>
      <w:proofErr w:type="spellStart"/>
      <w:r w:rsidRPr="00E23111">
        <w:rPr>
          <w:sz w:val="18"/>
          <w:szCs w:val="18"/>
        </w:rPr>
        <w:t>i</w:t>
      </w:r>
      <w:proofErr w:type="spellEnd"/>
      <w:r w:rsidRPr="00E23111">
        <w:rPr>
          <w:sz w:val="18"/>
          <w:szCs w:val="18"/>
        </w:rPr>
        <w:t>)</w:t>
      </w:r>
      <w:r w:rsidRPr="00E23111">
        <w:rPr>
          <w:sz w:val="18"/>
          <w:szCs w:val="18"/>
        </w:rPr>
        <w:tab/>
      </w:r>
      <w:proofErr w:type="gramStart"/>
      <w:r w:rsidRPr="00E23111">
        <w:rPr>
          <w:sz w:val="18"/>
          <w:szCs w:val="18"/>
        </w:rPr>
        <w:t>the</w:t>
      </w:r>
      <w:proofErr w:type="gramEnd"/>
      <w:r w:rsidRPr="00E23111">
        <w:rPr>
          <w:sz w:val="18"/>
          <w:szCs w:val="18"/>
        </w:rPr>
        <w:t xml:space="preserve"> need to consider the situation in different crops/species and methods of breeding, e.g. mutants;</w:t>
      </w:r>
    </w:p>
    <w:p w:rsidR="00DE11CD" w:rsidRPr="00E23111" w:rsidRDefault="00DE11CD" w:rsidP="00E23111">
      <w:pPr>
        <w:ind w:left="567" w:right="425"/>
        <w:rPr>
          <w:sz w:val="18"/>
          <w:szCs w:val="18"/>
        </w:rPr>
      </w:pPr>
    </w:p>
    <w:p w:rsidR="00DE11CD" w:rsidRPr="00E23111" w:rsidRDefault="00DE11CD" w:rsidP="00E23111">
      <w:pPr>
        <w:ind w:left="567" w:right="425"/>
        <w:rPr>
          <w:sz w:val="18"/>
          <w:szCs w:val="18"/>
        </w:rPr>
      </w:pPr>
      <w:r w:rsidRPr="00E23111">
        <w:rPr>
          <w:sz w:val="18"/>
          <w:szCs w:val="18"/>
        </w:rPr>
        <w:t>(ii)</w:t>
      </w:r>
      <w:r w:rsidRPr="00E23111">
        <w:rPr>
          <w:sz w:val="18"/>
          <w:szCs w:val="18"/>
        </w:rPr>
        <w:tab/>
      </w:r>
      <w:proofErr w:type="gramStart"/>
      <w:r w:rsidRPr="00E23111">
        <w:rPr>
          <w:sz w:val="18"/>
          <w:szCs w:val="18"/>
        </w:rPr>
        <w:t>to</w:t>
      </w:r>
      <w:proofErr w:type="gramEnd"/>
      <w:r w:rsidRPr="00E23111">
        <w:rPr>
          <w:sz w:val="18"/>
          <w:szCs w:val="18"/>
        </w:rPr>
        <w:t xml:space="preserve"> explain the need to consider both predominant derivation (genetic conformity) and essential characteristics (phenotype) and for both those aspects to be considered as possible starting points, noting that the result would be the same;</w:t>
      </w:r>
    </w:p>
    <w:p w:rsidR="00DE11CD" w:rsidRPr="00E23111" w:rsidRDefault="00DE11CD" w:rsidP="00E23111">
      <w:pPr>
        <w:ind w:left="567" w:right="425"/>
        <w:rPr>
          <w:sz w:val="18"/>
          <w:szCs w:val="18"/>
        </w:rPr>
      </w:pPr>
    </w:p>
    <w:p w:rsidR="00DE11CD" w:rsidRPr="00E23111" w:rsidRDefault="00F909FB" w:rsidP="00E23111">
      <w:pPr>
        <w:ind w:left="567" w:right="425"/>
        <w:rPr>
          <w:sz w:val="18"/>
          <w:szCs w:val="18"/>
        </w:rPr>
      </w:pPr>
      <w:r w:rsidRPr="00E23111">
        <w:rPr>
          <w:rFonts w:cs="Arial"/>
          <w:sz w:val="18"/>
          <w:szCs w:val="18"/>
        </w:rPr>
        <w:t>“</w:t>
      </w:r>
      <w:r w:rsidR="00DE11CD" w:rsidRPr="00E23111">
        <w:rPr>
          <w:rFonts w:cs="Arial"/>
          <w:sz w:val="18"/>
          <w:szCs w:val="18"/>
        </w:rPr>
        <w:t>(g)</w:t>
      </w:r>
      <w:r w:rsidR="00DE11CD" w:rsidRPr="00E23111">
        <w:rPr>
          <w:sz w:val="18"/>
          <w:szCs w:val="18"/>
        </w:rPr>
        <w:tab/>
        <w:t>to include, as a possible starting point, the text of the explanatory note 6(ii) on Article 5 “Effects of the Right Granted to the Breeder” presented in document IOM/IV/2 (see document IOM/6/2 “Essentially Derived Varieties”, paragraph 12, and document CAJ</w:t>
      </w:r>
      <w:r w:rsidR="00DE11CD" w:rsidRPr="00E23111">
        <w:rPr>
          <w:sz w:val="18"/>
          <w:szCs w:val="18"/>
        </w:rPr>
        <w:noBreakHyphen/>
        <w:t>AG/12/7/3, paragraph 11, reproduced below):</w:t>
      </w:r>
    </w:p>
    <w:p w:rsidR="00DE11CD" w:rsidRPr="00E23111" w:rsidRDefault="00DE11CD" w:rsidP="00E23111">
      <w:pPr>
        <w:ind w:left="567" w:right="425"/>
        <w:rPr>
          <w:i/>
          <w:sz w:val="18"/>
          <w:szCs w:val="18"/>
        </w:rPr>
      </w:pPr>
    </w:p>
    <w:p w:rsidR="00DE11CD" w:rsidRPr="00E23111" w:rsidRDefault="00F909FB" w:rsidP="00E23111">
      <w:pPr>
        <w:ind w:left="567" w:right="425"/>
        <w:rPr>
          <w:sz w:val="18"/>
          <w:szCs w:val="18"/>
        </w:rPr>
      </w:pPr>
      <w:r w:rsidRPr="00E23111">
        <w:rPr>
          <w:sz w:val="18"/>
          <w:szCs w:val="18"/>
        </w:rPr>
        <w:t xml:space="preserve"> ‘</w:t>
      </w:r>
      <w:r w:rsidR="00DE11CD" w:rsidRPr="00E23111">
        <w:rPr>
          <w:sz w:val="18"/>
          <w:szCs w:val="18"/>
        </w:rPr>
        <w:t>[…]</w:t>
      </w:r>
    </w:p>
    <w:p w:rsidR="00DE11CD" w:rsidRPr="00E23111" w:rsidRDefault="00DE11CD" w:rsidP="00E23111">
      <w:pPr>
        <w:ind w:left="567" w:right="425"/>
        <w:rPr>
          <w:sz w:val="18"/>
          <w:szCs w:val="18"/>
        </w:rPr>
      </w:pPr>
    </w:p>
    <w:p w:rsidR="00DE11CD" w:rsidRPr="00E23111" w:rsidRDefault="00F909FB" w:rsidP="00E23111">
      <w:pPr>
        <w:ind w:left="567" w:right="425"/>
        <w:rPr>
          <w:sz w:val="18"/>
          <w:szCs w:val="18"/>
        </w:rPr>
      </w:pPr>
      <w:r w:rsidRPr="00E23111">
        <w:rPr>
          <w:sz w:val="18"/>
          <w:szCs w:val="18"/>
        </w:rPr>
        <w:t>‘</w:t>
      </w:r>
      <w:r w:rsidR="00DE11CD" w:rsidRPr="00E23111">
        <w:rPr>
          <w:sz w:val="18"/>
          <w:szCs w:val="18"/>
        </w:rPr>
        <w:t>(ii)</w:t>
      </w:r>
      <w:r w:rsidR="00DE11CD" w:rsidRPr="00E23111">
        <w:rPr>
          <w:sz w:val="18"/>
          <w:szCs w:val="18"/>
        </w:rPr>
        <w:tab/>
      </w:r>
      <w:proofErr w:type="gramStart"/>
      <w:r w:rsidR="00DE11CD" w:rsidRPr="00E23111">
        <w:rPr>
          <w:sz w:val="18"/>
          <w:szCs w:val="18"/>
        </w:rPr>
        <w:t>the</w:t>
      </w:r>
      <w:proofErr w:type="gramEnd"/>
      <w:r w:rsidR="00DE11CD" w:rsidRPr="00E23111">
        <w:rPr>
          <w:sz w:val="18"/>
          <w:szCs w:val="18"/>
        </w:rPr>
        <w:t xml:space="preserve"> derived variety must retain almost the totality of the genotype of the mother variety and be distinguishable from that variety by a very limited number of characteristics (typically by one)</w:t>
      </w:r>
    </w:p>
    <w:p w:rsidR="00DE11CD" w:rsidRPr="00E23111" w:rsidRDefault="00DE11CD" w:rsidP="00E23111">
      <w:pPr>
        <w:ind w:left="567" w:right="425"/>
        <w:rPr>
          <w:sz w:val="18"/>
          <w:szCs w:val="18"/>
        </w:rPr>
      </w:pPr>
    </w:p>
    <w:p w:rsidR="00DE11CD" w:rsidRPr="00E23111" w:rsidRDefault="00F909FB" w:rsidP="00E23111">
      <w:pPr>
        <w:ind w:left="567" w:right="425"/>
        <w:rPr>
          <w:sz w:val="18"/>
          <w:szCs w:val="18"/>
        </w:rPr>
      </w:pPr>
      <w:r w:rsidRPr="00E23111">
        <w:rPr>
          <w:sz w:val="18"/>
          <w:szCs w:val="18"/>
        </w:rPr>
        <w:t>‘[…]’</w:t>
      </w:r>
      <w:r w:rsidR="00DE11CD" w:rsidRPr="00E23111">
        <w:rPr>
          <w:sz w:val="18"/>
          <w:szCs w:val="18"/>
        </w:rPr>
        <w:t>;</w:t>
      </w:r>
    </w:p>
    <w:p w:rsidR="00DE11CD" w:rsidRPr="00E23111" w:rsidRDefault="00DE11CD" w:rsidP="00E23111">
      <w:pPr>
        <w:ind w:left="567" w:right="425"/>
        <w:rPr>
          <w:sz w:val="18"/>
          <w:szCs w:val="18"/>
        </w:rPr>
      </w:pPr>
    </w:p>
    <w:p w:rsidR="00DE11CD" w:rsidRPr="00E23111" w:rsidRDefault="00F909FB" w:rsidP="00E23111">
      <w:pPr>
        <w:ind w:left="567" w:right="425"/>
        <w:rPr>
          <w:sz w:val="18"/>
          <w:szCs w:val="18"/>
        </w:rPr>
      </w:pPr>
      <w:r w:rsidRPr="00E23111">
        <w:rPr>
          <w:sz w:val="18"/>
          <w:szCs w:val="18"/>
        </w:rPr>
        <w:t>“</w:t>
      </w:r>
      <w:r w:rsidR="00DE11CD" w:rsidRPr="00E23111">
        <w:rPr>
          <w:sz w:val="18"/>
          <w:szCs w:val="18"/>
        </w:rPr>
        <w:t>The CAJ</w:t>
      </w:r>
      <w:r w:rsidR="00DE11CD" w:rsidRPr="00E23111">
        <w:rPr>
          <w:sz w:val="18"/>
          <w:szCs w:val="18"/>
        </w:rPr>
        <w:noBreakHyphen/>
        <w:t>AG noted that the above text would be circulated with the Draft Report (document CAJ</w:t>
      </w:r>
      <w:r w:rsidR="00DE11CD" w:rsidRPr="00E23111">
        <w:rPr>
          <w:sz w:val="18"/>
          <w:szCs w:val="18"/>
        </w:rPr>
        <w:noBreakHyphen/>
        <w:t>AG/13/8/10 Prov.), with three months to be provided for comments (see paragraph 44(h),</w:t>
      </w:r>
      <w:r w:rsidR="00BC5F0D" w:rsidRPr="00E23111">
        <w:rPr>
          <w:sz w:val="18"/>
          <w:szCs w:val="18"/>
        </w:rPr>
        <w:t xml:space="preserve"> [of document </w:t>
      </w:r>
      <w:r w:rsidR="00BC5F0D" w:rsidRPr="00E23111">
        <w:rPr>
          <w:rFonts w:cs="Arial"/>
          <w:sz w:val="18"/>
          <w:szCs w:val="18"/>
        </w:rPr>
        <w:t>CAJ-AG/13/8/10 “Report”]</w:t>
      </w:r>
      <w:r w:rsidR="00DE11CD" w:rsidRPr="00E23111">
        <w:rPr>
          <w:sz w:val="18"/>
          <w:szCs w:val="18"/>
        </w:rPr>
        <w:t>); and</w:t>
      </w:r>
    </w:p>
    <w:p w:rsidR="00DE11CD" w:rsidRPr="00E23111" w:rsidRDefault="00DE11CD" w:rsidP="00E23111">
      <w:pPr>
        <w:ind w:left="567" w:right="425"/>
        <w:rPr>
          <w:sz w:val="18"/>
          <w:szCs w:val="18"/>
        </w:rPr>
      </w:pPr>
    </w:p>
    <w:p w:rsidR="002B3E94" w:rsidRPr="00E23111" w:rsidRDefault="00F909FB" w:rsidP="00E23111">
      <w:pPr>
        <w:ind w:left="567" w:right="425"/>
        <w:rPr>
          <w:sz w:val="18"/>
          <w:szCs w:val="18"/>
        </w:rPr>
      </w:pPr>
      <w:r w:rsidRPr="00E23111">
        <w:rPr>
          <w:sz w:val="18"/>
          <w:szCs w:val="18"/>
        </w:rPr>
        <w:t>“</w:t>
      </w:r>
      <w:r w:rsidR="00DE11CD" w:rsidRPr="00E23111">
        <w:rPr>
          <w:sz w:val="18"/>
          <w:szCs w:val="18"/>
        </w:rPr>
        <w:t>(h)</w:t>
      </w:r>
      <w:r w:rsidR="00DE11CD" w:rsidRPr="00E23111">
        <w:rPr>
          <w:sz w:val="18"/>
          <w:szCs w:val="18"/>
        </w:rPr>
        <w:tab/>
        <w:t>the Office of the Union to provide possible EDV examples based on:  the examples provided in document IOM/6/2 “Essentially Derived Varieties”; the examples provided by Australia and Japan in the EDV Seminar; the example provided on the use of information of the initial variety to obtain EDVs;</w:t>
      </w:r>
      <w:r w:rsidR="00DE11CD" w:rsidRPr="00E23111">
        <w:rPr>
          <w:i/>
          <w:sz w:val="18"/>
          <w:szCs w:val="18"/>
        </w:rPr>
        <w:t xml:space="preserve"> </w:t>
      </w:r>
      <w:r w:rsidR="00DE11CD" w:rsidRPr="00E23111">
        <w:rPr>
          <w:sz w:val="18"/>
          <w:szCs w:val="18"/>
        </w:rPr>
        <w:t xml:space="preserve">and the explanatory note 6(ii) on Article 5 “Effects of the Right Granted to the Breeder” presented in document IOM/IV/2 (see paragraphs 41, 44(g), </w:t>
      </w:r>
      <w:r w:rsidR="00BC5F0D" w:rsidRPr="00E23111">
        <w:rPr>
          <w:sz w:val="18"/>
          <w:szCs w:val="18"/>
        </w:rPr>
        <w:t xml:space="preserve">[of document </w:t>
      </w:r>
      <w:r w:rsidR="00BC5F0D" w:rsidRPr="00E23111">
        <w:rPr>
          <w:rFonts w:cs="Arial"/>
          <w:sz w:val="18"/>
          <w:szCs w:val="18"/>
        </w:rPr>
        <w:t>CAJ-</w:t>
      </w:r>
      <w:r w:rsidR="00BC5F0D" w:rsidRPr="005C069C">
        <w:rPr>
          <w:rFonts w:cs="Arial"/>
          <w:sz w:val="18"/>
          <w:szCs w:val="18"/>
        </w:rPr>
        <w:t>AG/13/8/10 “Report”]</w:t>
      </w:r>
      <w:r w:rsidR="00DE11CD" w:rsidRPr="005C069C">
        <w:rPr>
          <w:sz w:val="18"/>
          <w:szCs w:val="18"/>
        </w:rPr>
        <w:t xml:space="preserve">); the CAJ-AG would have three months to provide comments on the EDV examples.  The Delegation of Australia offered to provide additional information on the context of the examples provided by Australia </w:t>
      </w:r>
      <w:r w:rsidR="00BC5F0D" w:rsidRPr="005C069C">
        <w:rPr>
          <w:sz w:val="18"/>
          <w:szCs w:val="18"/>
        </w:rPr>
        <w:t>at the ninth session of the CAJ</w:t>
      </w:r>
      <w:r w:rsidR="00BC5F0D" w:rsidRPr="005C069C">
        <w:rPr>
          <w:sz w:val="18"/>
          <w:szCs w:val="18"/>
        </w:rPr>
        <w:noBreakHyphen/>
      </w:r>
      <w:r w:rsidR="00DE11CD" w:rsidRPr="005C069C">
        <w:rPr>
          <w:sz w:val="18"/>
          <w:szCs w:val="18"/>
        </w:rPr>
        <w:t>AG.</w:t>
      </w:r>
      <w:r w:rsidRPr="005C069C">
        <w:rPr>
          <w:sz w:val="18"/>
          <w:szCs w:val="18"/>
        </w:rPr>
        <w:t>”</w:t>
      </w:r>
      <w:r w:rsidR="00E23111" w:rsidRPr="00E23111">
        <w:rPr>
          <w:sz w:val="18"/>
          <w:szCs w:val="18"/>
        </w:rPr>
        <w:t xml:space="preserve"> </w:t>
      </w:r>
    </w:p>
    <w:p w:rsidR="00E23111" w:rsidRDefault="00E23111" w:rsidP="00E23111">
      <w:pPr>
        <w:ind w:left="567" w:right="425"/>
      </w:pPr>
    </w:p>
    <w:p w:rsidR="00DE1DB1" w:rsidRPr="00DE1DB1" w:rsidRDefault="00DE1DB1" w:rsidP="00C03ED6">
      <w:pPr>
        <w:rPr>
          <w:rFonts w:cs="Arial"/>
        </w:rPr>
      </w:pPr>
    </w:p>
    <w:p w:rsidR="00C03ED6" w:rsidRPr="00610426" w:rsidRDefault="00C03ED6" w:rsidP="00C03ED6">
      <w:pPr>
        <w:rPr>
          <w:rFonts w:cs="Arial"/>
        </w:rPr>
      </w:pPr>
      <w:r w:rsidRPr="00610426">
        <w:rPr>
          <w:rFonts w:cs="Arial"/>
        </w:rPr>
        <w:fldChar w:fldCharType="begin"/>
      </w:r>
      <w:r w:rsidRPr="00610426">
        <w:rPr>
          <w:rFonts w:cs="Arial"/>
        </w:rPr>
        <w:instrText xml:space="preserve"> AUTONUM  </w:instrText>
      </w:r>
      <w:r w:rsidRPr="00610426">
        <w:rPr>
          <w:rFonts w:cs="Arial"/>
        </w:rPr>
        <w:fldChar w:fldCharType="end"/>
      </w:r>
      <w:r w:rsidRPr="00610426">
        <w:rPr>
          <w:rFonts w:cs="Arial"/>
        </w:rPr>
        <w:tab/>
      </w:r>
      <w:r w:rsidR="00F3103D" w:rsidRPr="00610426">
        <w:t xml:space="preserve">The CAJ, at its sixty-ninth session, held in Geneva on April 10, 2014, noted the that the </w:t>
      </w:r>
      <w:r w:rsidRPr="00610426">
        <w:rPr>
          <w:rFonts w:cs="Arial"/>
        </w:rPr>
        <w:t xml:space="preserve">Delegation of the European Union was of the view that the EDV Seminar provided a good starting point to develop further guidance on EDV matters.  While recognizing that detailed discussions on </w:t>
      </w:r>
      <w:r w:rsidR="00610426" w:rsidRPr="00610426">
        <w:rPr>
          <w:rFonts w:cs="Arial"/>
        </w:rPr>
        <w:t>EDV would take place at the CAJ</w:t>
      </w:r>
      <w:r w:rsidR="00610426" w:rsidRPr="00610426">
        <w:rPr>
          <w:rFonts w:cs="Arial"/>
        </w:rPr>
        <w:noBreakHyphen/>
      </w:r>
      <w:r w:rsidRPr="00610426">
        <w:rPr>
          <w:rFonts w:cs="Arial"/>
        </w:rPr>
        <w:t>AG in October, the Delegation explained that the European Union was currently working on EDV matters and therefore would welcome the development of guidance that could be endorsed by all the members of the Union</w:t>
      </w:r>
      <w:r w:rsidR="00AB5F85" w:rsidRPr="00610426">
        <w:rPr>
          <w:rFonts w:cs="Arial"/>
        </w:rPr>
        <w:t xml:space="preserve"> (document </w:t>
      </w:r>
      <w:r w:rsidR="00AB5F85" w:rsidRPr="00610426">
        <w:t>CAJ/69/13 “Report”, paragraph 15)</w:t>
      </w:r>
      <w:r w:rsidRPr="00610426">
        <w:rPr>
          <w:rFonts w:cs="Arial"/>
        </w:rPr>
        <w:t>.</w:t>
      </w:r>
    </w:p>
    <w:p w:rsidR="00C03ED6" w:rsidRPr="00610426" w:rsidRDefault="00C03ED6" w:rsidP="00C03ED6">
      <w:pPr>
        <w:rPr>
          <w:rFonts w:cs="Arial"/>
        </w:rPr>
      </w:pPr>
    </w:p>
    <w:p w:rsidR="00C03ED6" w:rsidRPr="00610426" w:rsidRDefault="00C03ED6" w:rsidP="00C03ED6">
      <w:pPr>
        <w:rPr>
          <w:rFonts w:cs="Arial"/>
        </w:rPr>
      </w:pPr>
      <w:r w:rsidRPr="00610426">
        <w:rPr>
          <w:rFonts w:cs="Arial"/>
        </w:rPr>
        <w:fldChar w:fldCharType="begin"/>
      </w:r>
      <w:r w:rsidRPr="00610426">
        <w:rPr>
          <w:rFonts w:cs="Arial"/>
        </w:rPr>
        <w:instrText xml:space="preserve"> AUTONUM  </w:instrText>
      </w:r>
      <w:r w:rsidRPr="00610426">
        <w:rPr>
          <w:rFonts w:cs="Arial"/>
        </w:rPr>
        <w:fldChar w:fldCharType="end"/>
      </w:r>
      <w:r w:rsidRPr="00610426">
        <w:rPr>
          <w:rFonts w:cs="Arial"/>
        </w:rPr>
        <w:tab/>
        <w:t>The Delegation of Argentina</w:t>
      </w:r>
      <w:r w:rsidR="00CE00EA" w:rsidRPr="00610426">
        <w:rPr>
          <w:rFonts w:cs="Arial"/>
        </w:rPr>
        <w:t xml:space="preserve">, </w:t>
      </w:r>
      <w:r w:rsidR="00CE00EA" w:rsidRPr="00610426">
        <w:t xml:space="preserve">at </w:t>
      </w:r>
      <w:r w:rsidR="00610426" w:rsidRPr="00610426">
        <w:t>the</w:t>
      </w:r>
      <w:r w:rsidR="00CE00EA" w:rsidRPr="00610426">
        <w:t xml:space="preserve"> sixty-ninth session of the CAJ, </w:t>
      </w:r>
      <w:r w:rsidRPr="00610426">
        <w:rPr>
          <w:rFonts w:cs="Arial"/>
        </w:rPr>
        <w:t>proposed to discuss the potential role of authorities granting breeders’ rights in determining whether a varie</w:t>
      </w:r>
      <w:r w:rsidR="00610426" w:rsidRPr="00610426">
        <w:rPr>
          <w:rFonts w:cs="Arial"/>
        </w:rPr>
        <w:t>ty was an EDV or not at the CAJ</w:t>
      </w:r>
      <w:r w:rsidR="00610426" w:rsidRPr="00610426">
        <w:rPr>
          <w:rFonts w:cs="Arial"/>
        </w:rPr>
        <w:noBreakHyphen/>
      </w:r>
      <w:r w:rsidRPr="00610426">
        <w:rPr>
          <w:rFonts w:cs="Arial"/>
        </w:rPr>
        <w:t xml:space="preserve">AG in October.  It noted that the </w:t>
      </w:r>
      <w:r w:rsidRPr="00610426">
        <w:t>Explanatory Notes on Essentially Derived Varieties under the 1991 Act of the UPOV Convention</w:t>
      </w:r>
      <w:r w:rsidRPr="00610426">
        <w:rPr>
          <w:rFonts w:cs="Arial"/>
        </w:rPr>
        <w:t xml:space="preserve"> (document </w:t>
      </w:r>
      <w:r w:rsidRPr="00610426">
        <w:t>UPOV/EXN/EDV/1</w:t>
      </w:r>
      <w:r w:rsidRPr="00610426">
        <w:rPr>
          <w:rFonts w:cs="Arial"/>
        </w:rPr>
        <w:t>) adopted by the Council contained a recommendation in that regard.  The Delegation believed that it might be useful to explore if it would be possible to broaden and further develop the existing recommendation on matters concerning EDV determination.  The Delegation offered to send comments to the Office of the Union that might assist in the development of the document</w:t>
      </w:r>
      <w:r w:rsidR="00AB5F85" w:rsidRPr="00610426">
        <w:rPr>
          <w:rFonts w:cs="Arial"/>
        </w:rPr>
        <w:t xml:space="preserve"> (document </w:t>
      </w:r>
      <w:r w:rsidR="00AB5F85" w:rsidRPr="00610426">
        <w:t>CAJ/69/13 “Report”, paragraph 16)</w:t>
      </w:r>
      <w:r w:rsidRPr="00610426">
        <w:rPr>
          <w:rFonts w:cs="Arial"/>
        </w:rPr>
        <w:t>.</w:t>
      </w:r>
    </w:p>
    <w:p w:rsidR="00C03ED6" w:rsidRPr="00610426" w:rsidRDefault="00C03ED6" w:rsidP="00C03ED6">
      <w:pPr>
        <w:rPr>
          <w:rFonts w:cs="Arial"/>
        </w:rPr>
      </w:pPr>
    </w:p>
    <w:p w:rsidR="00C03ED6" w:rsidRDefault="00C03ED6" w:rsidP="00C03ED6">
      <w:pPr>
        <w:rPr>
          <w:snapToGrid w:val="0"/>
        </w:rPr>
      </w:pPr>
      <w:r w:rsidRPr="00610426">
        <w:rPr>
          <w:snapToGrid w:val="0"/>
        </w:rPr>
        <w:fldChar w:fldCharType="begin"/>
      </w:r>
      <w:r w:rsidRPr="00610426">
        <w:rPr>
          <w:snapToGrid w:val="0"/>
        </w:rPr>
        <w:instrText xml:space="preserve"> AUTONUM  </w:instrText>
      </w:r>
      <w:r w:rsidRPr="00610426">
        <w:rPr>
          <w:snapToGrid w:val="0"/>
        </w:rPr>
        <w:fldChar w:fldCharType="end"/>
      </w:r>
      <w:r w:rsidRPr="00610426">
        <w:rPr>
          <w:snapToGrid w:val="0"/>
        </w:rPr>
        <w:tab/>
        <w:t>The CAJ</w:t>
      </w:r>
      <w:r w:rsidR="00FB17E4" w:rsidRPr="00610426">
        <w:rPr>
          <w:snapToGrid w:val="0"/>
        </w:rPr>
        <w:t xml:space="preserve">, </w:t>
      </w:r>
      <w:r w:rsidR="00FB17E4" w:rsidRPr="00610426">
        <w:t xml:space="preserve">at its sixty-ninth session, </w:t>
      </w:r>
      <w:r w:rsidRPr="00610426">
        <w:rPr>
          <w:snapToGrid w:val="0"/>
        </w:rPr>
        <w:t>agreed that the Office of the Union should prepare a document, for consideration by the CAJ</w:t>
      </w:r>
      <w:r w:rsidRPr="00610426">
        <w:rPr>
          <w:snapToGrid w:val="0"/>
        </w:rPr>
        <w:noBreakHyphen/>
        <w:t>AG at its ninth session, to explore a possible role of authorities granting breeders’ rights in matters concerning essentially derived varieties and agreed that the document would be included under item 3 of the program for the ninth session of the CAJ-AG.  The CAJ welcomed the offer of the Delegation of Argentina to assist the Office of the Union in the development of the document</w:t>
      </w:r>
      <w:r w:rsidR="00DB54E8" w:rsidRPr="00610426">
        <w:rPr>
          <w:snapToGrid w:val="0"/>
        </w:rPr>
        <w:t xml:space="preserve"> </w:t>
      </w:r>
      <w:r w:rsidR="00610426">
        <w:rPr>
          <w:rFonts w:cs="Arial"/>
        </w:rPr>
        <w:t>(document</w:t>
      </w:r>
      <w:r w:rsidR="00610426" w:rsidRPr="00610426">
        <w:rPr>
          <w:rFonts w:cs="Arial"/>
        </w:rPr>
        <w:t> </w:t>
      </w:r>
      <w:r w:rsidR="00DB54E8" w:rsidRPr="00610426">
        <w:t>CAJ/69/13 “Report”, paragraph 17)</w:t>
      </w:r>
      <w:r w:rsidRPr="00610426">
        <w:rPr>
          <w:snapToGrid w:val="0"/>
        </w:rPr>
        <w:t>.</w:t>
      </w:r>
    </w:p>
    <w:p w:rsidR="00C03ED6" w:rsidRDefault="00C03ED6" w:rsidP="00C03ED6">
      <w:pPr>
        <w:ind w:right="425"/>
      </w:pPr>
    </w:p>
    <w:p w:rsidR="002B3E94" w:rsidRPr="00210134" w:rsidRDefault="002B3E94" w:rsidP="002B3E94">
      <w:pPr>
        <w:rPr>
          <w:snapToGrid w:val="0"/>
        </w:rPr>
      </w:pPr>
      <w:r w:rsidRPr="00210134">
        <w:fldChar w:fldCharType="begin"/>
      </w:r>
      <w:r w:rsidRPr="00210134">
        <w:instrText xml:space="preserve"> AUTONUM  </w:instrText>
      </w:r>
      <w:r w:rsidRPr="00210134">
        <w:fldChar w:fldCharType="end"/>
      </w:r>
      <w:r w:rsidRPr="00210134">
        <w:tab/>
        <w:t>The CAJ</w:t>
      </w:r>
      <w:r w:rsidR="00F909FB">
        <w:t>, a</w:t>
      </w:r>
      <w:r w:rsidR="00F909FB" w:rsidRPr="00F909FB">
        <w:t xml:space="preserve">t its sixty-ninth session, </w:t>
      </w:r>
      <w:r w:rsidRPr="00210134">
        <w:rPr>
          <w:spacing w:val="-2"/>
        </w:rPr>
        <w:t xml:space="preserve">approved the work program for the development of information materials for the </w:t>
      </w:r>
      <w:r w:rsidRPr="00210134">
        <w:t xml:space="preserve">ninth session </w:t>
      </w:r>
      <w:r>
        <w:rPr>
          <w:snapToGrid w:val="0"/>
        </w:rPr>
        <w:t>of the CAJ</w:t>
      </w:r>
      <w:r>
        <w:rPr>
          <w:snapToGrid w:val="0"/>
        </w:rPr>
        <w:noBreakHyphen/>
        <w:t>AG</w:t>
      </w:r>
      <w:r w:rsidR="00F909FB">
        <w:rPr>
          <w:snapToGrid w:val="0"/>
        </w:rPr>
        <w:t xml:space="preserve">, </w:t>
      </w:r>
      <w:r w:rsidR="00F909FB">
        <w:t>t</w:t>
      </w:r>
      <w:r w:rsidR="00ED2582">
        <w:t>o be held on October 14 and </w:t>
      </w:r>
      <w:r w:rsidR="00F909FB" w:rsidRPr="00346346">
        <w:t>17, 2014</w:t>
      </w:r>
      <w:r w:rsidR="00F909FB">
        <w:t xml:space="preserve"> (see </w:t>
      </w:r>
      <w:r w:rsidR="00F909FB" w:rsidRPr="00490999">
        <w:t>document</w:t>
      </w:r>
      <w:r w:rsidR="00DB54E8">
        <w:t> </w:t>
      </w:r>
      <w:r w:rsidR="00F909FB" w:rsidRPr="00490999">
        <w:t>CAJ/69/2</w:t>
      </w:r>
      <w:r w:rsidR="00DB54E8">
        <w:t xml:space="preserve"> “D</w:t>
      </w:r>
      <w:r w:rsidR="00F909FB" w:rsidRPr="00DD0067">
        <w:t>evelopment of information materials concerning the UPOV Convention</w:t>
      </w:r>
      <w:r w:rsidR="009C1504">
        <w:t>”, paragraphs</w:t>
      </w:r>
      <w:r w:rsidR="00DB54E8">
        <w:t> </w:t>
      </w:r>
      <w:r w:rsidR="00F909FB">
        <w:t>6</w:t>
      </w:r>
      <w:r w:rsidR="00DB54E8">
        <w:t>5 and 66, and document CAJ/69/13</w:t>
      </w:r>
      <w:r w:rsidR="00F909FB" w:rsidRPr="001C522C">
        <w:t xml:space="preserve"> </w:t>
      </w:r>
      <w:r w:rsidR="00F909FB">
        <w:t>“</w:t>
      </w:r>
      <w:r w:rsidR="00F909FB" w:rsidRPr="001C522C">
        <w:t>Report</w:t>
      </w:r>
      <w:r w:rsidR="00DB54E8">
        <w:t>”, paragraph 29</w:t>
      </w:r>
      <w:r w:rsidR="00F909FB">
        <w:t>)</w:t>
      </w:r>
      <w:r w:rsidRPr="00210134">
        <w:rPr>
          <w:snapToGrid w:val="0"/>
        </w:rPr>
        <w:t>.</w:t>
      </w:r>
    </w:p>
    <w:p w:rsidR="002B3E94" w:rsidRPr="00210134" w:rsidRDefault="002B3E94" w:rsidP="002B3E94">
      <w:pPr>
        <w:rPr>
          <w:snapToGrid w:val="0"/>
        </w:rPr>
      </w:pPr>
    </w:p>
    <w:p w:rsidR="002B3E94" w:rsidRPr="00210134" w:rsidRDefault="002B3E94" w:rsidP="002B3E94">
      <w:r w:rsidRPr="00210134">
        <w:rPr>
          <w:rFonts w:cs="Arial"/>
        </w:rPr>
        <w:fldChar w:fldCharType="begin"/>
      </w:r>
      <w:r w:rsidRPr="00210134">
        <w:rPr>
          <w:rFonts w:cs="Arial"/>
        </w:rPr>
        <w:instrText xml:space="preserve"> AUTONUM  </w:instrText>
      </w:r>
      <w:r w:rsidRPr="00210134">
        <w:rPr>
          <w:rFonts w:cs="Arial"/>
        </w:rPr>
        <w:fldChar w:fldCharType="end"/>
      </w:r>
      <w:r w:rsidRPr="00210134">
        <w:rPr>
          <w:rFonts w:cs="Arial"/>
        </w:rPr>
        <w:tab/>
        <w:t>The CAJ</w:t>
      </w:r>
      <w:r w:rsidR="00CE75AF">
        <w:rPr>
          <w:rFonts w:cs="Arial"/>
        </w:rPr>
        <w:t>,</w:t>
      </w:r>
      <w:r w:rsidR="00CE75AF" w:rsidRPr="00CE75AF">
        <w:t xml:space="preserve"> </w:t>
      </w:r>
      <w:r w:rsidR="00CE75AF">
        <w:t>at its sixty-ninth session,</w:t>
      </w:r>
      <w:r w:rsidRPr="00210134">
        <w:rPr>
          <w:rFonts w:cs="Arial"/>
        </w:rPr>
        <w:t xml:space="preserve"> agreed that the </w:t>
      </w:r>
      <w:r w:rsidRPr="00210134">
        <w:rPr>
          <w:szCs w:val="24"/>
        </w:rPr>
        <w:t xml:space="preserve">new drafts of </w:t>
      </w:r>
      <w:r w:rsidR="00F909FB">
        <w:rPr>
          <w:szCs w:val="24"/>
        </w:rPr>
        <w:t xml:space="preserve">relevant </w:t>
      </w:r>
      <w:r w:rsidRPr="00210134">
        <w:rPr>
          <w:szCs w:val="24"/>
        </w:rPr>
        <w:t xml:space="preserve">explanatory notes be provided to the CAJ-AG by May 9, 2014, and </w:t>
      </w:r>
      <w:proofErr w:type="gramStart"/>
      <w:r w:rsidRPr="00210134">
        <w:rPr>
          <w:szCs w:val="24"/>
        </w:rPr>
        <w:t>that CAJ members</w:t>
      </w:r>
      <w:proofErr w:type="gramEnd"/>
      <w:r w:rsidRPr="00210134">
        <w:rPr>
          <w:szCs w:val="24"/>
        </w:rPr>
        <w:t xml:space="preserve"> and observers also be given the opportunity to provide comments</w:t>
      </w:r>
      <w:r w:rsidR="00F909FB">
        <w:rPr>
          <w:szCs w:val="24"/>
        </w:rPr>
        <w:t xml:space="preserve"> (</w:t>
      </w:r>
      <w:r w:rsidR="00DB54E8">
        <w:t>see document CAJ/69/13</w:t>
      </w:r>
      <w:r w:rsidR="00F909FB" w:rsidRPr="001C522C">
        <w:t xml:space="preserve"> </w:t>
      </w:r>
      <w:r w:rsidR="00F909FB">
        <w:t>“</w:t>
      </w:r>
      <w:r w:rsidR="00F909FB" w:rsidRPr="001C522C">
        <w:t>Report</w:t>
      </w:r>
      <w:r w:rsidR="00DB54E8">
        <w:t>”, paragraph 30</w:t>
      </w:r>
      <w:r w:rsidR="00F909FB">
        <w:t>).</w:t>
      </w:r>
    </w:p>
    <w:p w:rsidR="002B3E94" w:rsidRPr="00ED2582" w:rsidRDefault="002B3E94" w:rsidP="002B3E94"/>
    <w:p w:rsidR="00CF244B" w:rsidRPr="00CF244B" w:rsidRDefault="00F909FB" w:rsidP="00CF244B">
      <w:r w:rsidRPr="00ED2582">
        <w:fldChar w:fldCharType="begin"/>
      </w:r>
      <w:r w:rsidRPr="00ED2582">
        <w:instrText xml:space="preserve"> AUTONUM  </w:instrText>
      </w:r>
      <w:r w:rsidRPr="00ED2582">
        <w:fldChar w:fldCharType="end"/>
      </w:r>
      <w:r w:rsidRPr="00ED2582">
        <w:tab/>
        <w:t>On the above basis</w:t>
      </w:r>
      <w:r w:rsidR="00ED2582" w:rsidRPr="00ED2582">
        <w:t>,</w:t>
      </w:r>
      <w:r w:rsidRPr="00ED2582">
        <w:t xml:space="preserve"> the </w:t>
      </w:r>
      <w:r w:rsidR="00CF244B">
        <w:t>“</w:t>
      </w:r>
      <w:r w:rsidR="002B3E94" w:rsidRPr="00ED2582">
        <w:t>Explanatory Notes on Essentially Derived Varieties under the 1991 Act of the UPOV Convention</w:t>
      </w:r>
      <w:r w:rsidR="00CF244B">
        <w:t>”</w:t>
      </w:r>
      <w:r w:rsidR="002B3E94" w:rsidRPr="00ED2582">
        <w:t xml:space="preserve"> (document UPOV/EXN/EDV/2 Draft 4) </w:t>
      </w:r>
      <w:r w:rsidR="00CF244B">
        <w:t xml:space="preserve">were posted </w:t>
      </w:r>
      <w:r w:rsidR="003E059B">
        <w:t xml:space="preserve">on the UPOV website on </w:t>
      </w:r>
      <w:r w:rsidR="00CF244B" w:rsidRPr="00ED2582">
        <w:t xml:space="preserve">May 20, 2014 </w:t>
      </w:r>
      <w:r w:rsidRPr="00ED2582">
        <w:t>(se</w:t>
      </w:r>
      <w:r w:rsidR="003E059B">
        <w:t>e UPOV Circular E-14/136).  C</w:t>
      </w:r>
      <w:r w:rsidR="002B3E94" w:rsidRPr="00ED2582">
        <w:t xml:space="preserve">omments were received from Argentina, Norway, </w:t>
      </w:r>
      <w:r w:rsidR="00ED2582">
        <w:rPr>
          <w:szCs w:val="26"/>
        </w:rPr>
        <w:t>APBREBES</w:t>
      </w:r>
      <w:r w:rsidR="002B3E94" w:rsidRPr="00ED2582">
        <w:t xml:space="preserve">, </w:t>
      </w:r>
      <w:r w:rsidR="00ED2582">
        <w:t>CIOPORA</w:t>
      </w:r>
      <w:r w:rsidR="002B3E94" w:rsidRPr="00ED2582">
        <w:t xml:space="preserve">, </w:t>
      </w:r>
      <w:proofErr w:type="spellStart"/>
      <w:r w:rsidR="002B3E94" w:rsidRPr="00ED2582">
        <w:t>CropLife</w:t>
      </w:r>
      <w:proofErr w:type="spellEnd"/>
      <w:r w:rsidR="00CE75AF">
        <w:t> </w:t>
      </w:r>
      <w:r w:rsidR="002B3E94" w:rsidRPr="00ED2582">
        <w:t xml:space="preserve">International and the </w:t>
      </w:r>
      <w:r w:rsidR="002B3E94" w:rsidRPr="00ED2582">
        <w:rPr>
          <w:rFonts w:cs="Arial"/>
          <w:color w:val="000000"/>
        </w:rPr>
        <w:t>European Seed Association (ESA)</w:t>
      </w:r>
      <w:r w:rsidR="00CF244B">
        <w:t xml:space="preserve"> (see </w:t>
      </w:r>
      <w:r w:rsidR="00CF244B" w:rsidRPr="00C64852">
        <w:t>CAJ-AG/13 section under “Consideration by Correspondence”:</w:t>
      </w:r>
      <w:r w:rsidR="00CF244B">
        <w:t xml:space="preserve">  </w:t>
      </w:r>
      <w:hyperlink r:id="rId9" w:history="1">
        <w:r w:rsidR="00CF244B" w:rsidRPr="005149DE">
          <w:rPr>
            <w:rStyle w:val="Hyperlink"/>
            <w:szCs w:val="24"/>
          </w:rPr>
          <w:t>http://www.upov.int/meetings/en/details.jsp?meeting_id=29783</w:t>
        </w:r>
      </w:hyperlink>
      <w:r w:rsidR="00CF244B" w:rsidRPr="00CF244B">
        <w:rPr>
          <w:rStyle w:val="Hyperlink"/>
          <w:color w:val="auto"/>
          <w:szCs w:val="24"/>
        </w:rPr>
        <w:t>)</w:t>
      </w:r>
      <w:r w:rsidR="00CF244B">
        <w:rPr>
          <w:szCs w:val="24"/>
        </w:rPr>
        <w:t>.</w:t>
      </w:r>
    </w:p>
    <w:p w:rsidR="00CE75AF" w:rsidRPr="00D477FD" w:rsidRDefault="00CE75AF" w:rsidP="00CE75AF">
      <w:pPr>
        <w:rPr>
          <w:snapToGrid w:val="0"/>
          <w:highlight w:val="yellow"/>
        </w:rPr>
      </w:pPr>
    </w:p>
    <w:p w:rsidR="00CE75AF" w:rsidRDefault="00CE75AF" w:rsidP="00CE75AF">
      <w:pPr>
        <w:rPr>
          <w:rFonts w:cs="Arial"/>
        </w:rPr>
      </w:pPr>
      <w:r w:rsidRPr="00D477FD">
        <w:rPr>
          <w:szCs w:val="24"/>
        </w:rPr>
        <w:fldChar w:fldCharType="begin"/>
      </w:r>
      <w:r w:rsidRPr="00D477FD">
        <w:rPr>
          <w:szCs w:val="24"/>
        </w:rPr>
        <w:instrText xml:space="preserve"> AUTONUM  </w:instrText>
      </w:r>
      <w:r w:rsidRPr="00D477FD">
        <w:rPr>
          <w:szCs w:val="24"/>
        </w:rPr>
        <w:fldChar w:fldCharType="end"/>
      </w:r>
      <w:r w:rsidRPr="00D477FD">
        <w:rPr>
          <w:szCs w:val="24"/>
        </w:rPr>
        <w:tab/>
        <w:t xml:space="preserve">On the basis of the comments received, </w:t>
      </w:r>
      <w:r>
        <w:rPr>
          <w:szCs w:val="24"/>
        </w:rPr>
        <w:t>the “</w:t>
      </w:r>
      <w:r w:rsidRPr="00D477FD">
        <w:t xml:space="preserve">Explanatory Notes on Essentially Derived Varieties under the 1991 Act of the UPOV </w:t>
      </w:r>
      <w:r>
        <w:t>Convention (Revision)” (document</w:t>
      </w:r>
      <w:r w:rsidRPr="00D477FD">
        <w:t xml:space="preserve"> UPOV/EXN/EDV/2 Draft 5)</w:t>
      </w:r>
      <w:r>
        <w:t xml:space="preserve"> </w:t>
      </w:r>
      <w:r>
        <w:rPr>
          <w:szCs w:val="24"/>
        </w:rPr>
        <w:t xml:space="preserve">were prepared and </w:t>
      </w:r>
      <w:r w:rsidRPr="00D477FD">
        <w:rPr>
          <w:szCs w:val="24"/>
        </w:rPr>
        <w:t xml:space="preserve">posted </w:t>
      </w:r>
      <w:r>
        <w:rPr>
          <w:szCs w:val="24"/>
        </w:rPr>
        <w:t>on September 10</w:t>
      </w:r>
      <w:r w:rsidRPr="00D477FD">
        <w:rPr>
          <w:szCs w:val="24"/>
        </w:rPr>
        <w:t>, 2014</w:t>
      </w:r>
      <w:r w:rsidR="003E059B">
        <w:rPr>
          <w:szCs w:val="24"/>
        </w:rPr>
        <w:t>,</w:t>
      </w:r>
      <w:r>
        <w:rPr>
          <w:szCs w:val="24"/>
        </w:rPr>
        <w:t xml:space="preserve"> for consideration</w:t>
      </w:r>
      <w:r w:rsidRPr="00D477FD">
        <w:rPr>
          <w:rFonts w:cs="Arial"/>
        </w:rPr>
        <w:t xml:space="preserve"> by the CAJ-AG at its ninth ses</w:t>
      </w:r>
      <w:r>
        <w:rPr>
          <w:rFonts w:cs="Arial"/>
        </w:rPr>
        <w:t xml:space="preserve">sion </w:t>
      </w:r>
      <w:r>
        <w:rPr>
          <w:szCs w:val="24"/>
        </w:rPr>
        <w:t>(s</w:t>
      </w:r>
      <w:r w:rsidR="00E8069F">
        <w:t>ee UPOV Circular E</w:t>
      </w:r>
      <w:r w:rsidR="00E8069F">
        <w:noBreakHyphen/>
      </w:r>
      <w:r>
        <w:t>14/214)</w:t>
      </w:r>
      <w:r>
        <w:rPr>
          <w:rFonts w:cs="Arial"/>
        </w:rPr>
        <w:t>.</w:t>
      </w:r>
    </w:p>
    <w:p w:rsidR="005C069C" w:rsidRDefault="005C069C" w:rsidP="00CE75AF">
      <w:pPr>
        <w:rPr>
          <w:rFonts w:cs="Arial"/>
        </w:rPr>
      </w:pPr>
    </w:p>
    <w:p w:rsidR="005C069C" w:rsidRDefault="005C069C" w:rsidP="005C069C">
      <w:pPr>
        <w:rPr>
          <w:snapToGrid w:val="0"/>
          <w:szCs w:val="22"/>
        </w:rPr>
      </w:pPr>
      <w:r w:rsidRPr="00C7350B">
        <w:rPr>
          <w:snapToGrid w:val="0"/>
          <w:szCs w:val="22"/>
        </w:rPr>
        <w:fldChar w:fldCharType="begin"/>
      </w:r>
      <w:r w:rsidRPr="00C7350B">
        <w:rPr>
          <w:snapToGrid w:val="0"/>
          <w:szCs w:val="22"/>
        </w:rPr>
        <w:instrText xml:space="preserve"> AUTONUM  </w:instrText>
      </w:r>
      <w:r w:rsidRPr="00C7350B">
        <w:rPr>
          <w:snapToGrid w:val="0"/>
          <w:szCs w:val="22"/>
        </w:rPr>
        <w:fldChar w:fldCharType="end"/>
      </w:r>
      <w:r w:rsidRPr="00C7350B">
        <w:rPr>
          <w:snapToGrid w:val="0"/>
          <w:szCs w:val="22"/>
        </w:rPr>
        <w:tab/>
        <w:t xml:space="preserve">On October 4, 2014, comments were received from </w:t>
      </w:r>
      <w:r w:rsidR="00E834E1" w:rsidRPr="00C7350B">
        <w:rPr>
          <w:snapToGrid w:val="0"/>
          <w:szCs w:val="22"/>
        </w:rPr>
        <w:t>the International Seed Federation (</w:t>
      </w:r>
      <w:r w:rsidRPr="00C7350B">
        <w:rPr>
          <w:snapToGrid w:val="0"/>
          <w:szCs w:val="22"/>
        </w:rPr>
        <w:t>ISF</w:t>
      </w:r>
      <w:r w:rsidR="00E834E1" w:rsidRPr="00C7350B">
        <w:rPr>
          <w:snapToGrid w:val="0"/>
          <w:szCs w:val="22"/>
        </w:rPr>
        <w:t>)</w:t>
      </w:r>
      <w:r w:rsidRPr="00C7350B">
        <w:rPr>
          <w:snapToGrid w:val="0"/>
          <w:szCs w:val="22"/>
        </w:rPr>
        <w:t xml:space="preserve"> on document UPOV/EXN/EDV/2 Draft 5</w:t>
      </w:r>
      <w:r w:rsidR="00610426" w:rsidRPr="00C7350B">
        <w:rPr>
          <w:snapToGrid w:val="0"/>
          <w:szCs w:val="22"/>
        </w:rPr>
        <w:t xml:space="preserve"> and </w:t>
      </w:r>
      <w:r w:rsidRPr="00C7350B">
        <w:rPr>
          <w:snapToGrid w:val="0"/>
          <w:szCs w:val="22"/>
        </w:rPr>
        <w:t>have been published on the CAJ-AG section of the UPOV website.</w:t>
      </w:r>
    </w:p>
    <w:p w:rsidR="00CE75AF" w:rsidRPr="00610426" w:rsidRDefault="00CE75AF" w:rsidP="00CF244B">
      <w:pPr>
        <w:rPr>
          <w:snapToGrid w:val="0"/>
        </w:rPr>
      </w:pPr>
    </w:p>
    <w:p w:rsidR="00DE11CD" w:rsidRDefault="00FB17E4" w:rsidP="00CB7418">
      <w:r w:rsidRPr="00610426">
        <w:rPr>
          <w:snapToGrid w:val="0"/>
        </w:rPr>
        <w:fldChar w:fldCharType="begin"/>
      </w:r>
      <w:r w:rsidRPr="00610426">
        <w:rPr>
          <w:snapToGrid w:val="0"/>
        </w:rPr>
        <w:instrText xml:space="preserve"> AUTONUM  </w:instrText>
      </w:r>
      <w:r w:rsidRPr="00610426">
        <w:rPr>
          <w:snapToGrid w:val="0"/>
        </w:rPr>
        <w:fldChar w:fldCharType="end"/>
      </w:r>
      <w:r w:rsidRPr="00610426">
        <w:rPr>
          <w:snapToGrid w:val="0"/>
        </w:rPr>
        <w:tab/>
        <w:t xml:space="preserve">The contribution of Argentina </w:t>
      </w:r>
      <w:r w:rsidR="003E059B" w:rsidRPr="00610426">
        <w:rPr>
          <w:snapToGrid w:val="0"/>
        </w:rPr>
        <w:t>for</w:t>
      </w:r>
      <w:r w:rsidR="00CE75AF" w:rsidRPr="00610426">
        <w:rPr>
          <w:snapToGrid w:val="0"/>
        </w:rPr>
        <w:t xml:space="preserve"> the exploration of</w:t>
      </w:r>
      <w:r w:rsidRPr="00610426">
        <w:rPr>
          <w:snapToGrid w:val="0"/>
        </w:rPr>
        <w:t xml:space="preserve"> a possible role of authorities granting breeders’ rights in matters concerning essentially derived varieties </w:t>
      </w:r>
      <w:r w:rsidR="00CE75AF" w:rsidRPr="00610426">
        <w:rPr>
          <w:snapToGrid w:val="0"/>
        </w:rPr>
        <w:t xml:space="preserve">is available at </w:t>
      </w:r>
      <w:hyperlink r:id="rId10" w:history="1">
        <w:r w:rsidR="00CE75AF" w:rsidRPr="00610426">
          <w:rPr>
            <w:rStyle w:val="Hyperlink"/>
          </w:rPr>
          <w:t>http://www.upov.int/edocs/mdocs/upov/en/caj_ag_13_8/caj_ag_13_8_www_285383.pdf</w:t>
        </w:r>
      </w:hyperlink>
      <w:r w:rsidR="00CE75AF" w:rsidRPr="00610426">
        <w:t xml:space="preserve"> </w:t>
      </w:r>
      <w:r w:rsidR="00DB54E8" w:rsidRPr="00610426">
        <w:t xml:space="preserve">(see paragraph 7, above) </w:t>
      </w:r>
      <w:r w:rsidR="00CE75AF" w:rsidRPr="00610426">
        <w:t>and has been included in document UPOV/EXN/EDV/2 Draft 5, Section II “Assessment of essentially derived varieties”</w:t>
      </w:r>
      <w:r w:rsidR="003E059B" w:rsidRPr="00610426">
        <w:t>,</w:t>
      </w:r>
      <w:r w:rsidR="00CE75AF" w:rsidRPr="00610426">
        <w:t xml:space="preserve"> Proposal by Argentina.</w:t>
      </w:r>
    </w:p>
    <w:p w:rsidR="00F62D03" w:rsidRPr="00DE1DB1" w:rsidRDefault="00F62D03" w:rsidP="00F62D03">
      <w:pPr>
        <w:ind w:left="567" w:right="425"/>
      </w:pPr>
    </w:p>
    <w:p w:rsidR="00F62D03" w:rsidRPr="00DE1DB1" w:rsidRDefault="00F62D03" w:rsidP="00F62D03">
      <w:pPr>
        <w:rPr>
          <w:rFonts w:cs="Arial"/>
        </w:rPr>
      </w:pPr>
      <w:r w:rsidRPr="00610426">
        <w:rPr>
          <w:rFonts w:cs="Arial"/>
        </w:rPr>
        <w:fldChar w:fldCharType="begin"/>
      </w:r>
      <w:r w:rsidRPr="00610426">
        <w:rPr>
          <w:rFonts w:cs="Arial"/>
        </w:rPr>
        <w:instrText xml:space="preserve"> AUTONUM  </w:instrText>
      </w:r>
      <w:r w:rsidRPr="00610426">
        <w:rPr>
          <w:rFonts w:cs="Arial"/>
        </w:rPr>
        <w:fldChar w:fldCharType="end"/>
      </w:r>
      <w:r w:rsidRPr="00610426">
        <w:rPr>
          <w:rFonts w:cs="Arial"/>
        </w:rPr>
        <w:tab/>
        <w:t xml:space="preserve">In relation to the offer from the Delegation of Australia to provide, at the ninth session of the CAJ-AG, additional information on the context of the examples provided by Australia in the EDV Seminar, the Office of the Union </w:t>
      </w:r>
      <w:r w:rsidR="00610426">
        <w:rPr>
          <w:rFonts w:cs="Arial"/>
        </w:rPr>
        <w:t>is exploring the possibility for Australia to make a presentation</w:t>
      </w:r>
      <w:r w:rsidRPr="00610426">
        <w:rPr>
          <w:rFonts w:cs="Arial"/>
        </w:rPr>
        <w:t xml:space="preserve"> </w:t>
      </w:r>
      <w:r w:rsidR="00610426">
        <w:rPr>
          <w:rFonts w:cs="Arial"/>
        </w:rPr>
        <w:t>by electronic means</w:t>
      </w:r>
      <w:r w:rsidRPr="00610426">
        <w:rPr>
          <w:rFonts w:cs="Arial"/>
        </w:rPr>
        <w:t>, via the internet (</w:t>
      </w:r>
      <w:r w:rsidRPr="00610426">
        <w:t xml:space="preserve">see </w:t>
      </w:r>
      <w:r w:rsidRPr="00610426">
        <w:rPr>
          <w:rFonts w:cs="Arial"/>
        </w:rPr>
        <w:t>document CAJ-AG/13/8/10 “Report”, paragraph 44 (h) and paragraph 5(h) above).</w:t>
      </w:r>
    </w:p>
    <w:p w:rsidR="00E23111" w:rsidRDefault="00E23111" w:rsidP="00CB7418"/>
    <w:p w:rsidR="003E059B" w:rsidRPr="00482F75" w:rsidRDefault="003E059B" w:rsidP="00CB7418"/>
    <w:p w:rsidR="00DE11CD" w:rsidRPr="00482F75" w:rsidRDefault="00634E87" w:rsidP="00CB7418">
      <w:pPr>
        <w:pStyle w:val="Heading1"/>
        <w:rPr>
          <w:highlight w:val="yellow"/>
        </w:rPr>
      </w:pPr>
      <w:bookmarkStart w:id="9" w:name="_Toc400470051"/>
      <w:r>
        <w:t>III.</w:t>
      </w:r>
      <w:r>
        <w:tab/>
      </w:r>
      <w:r w:rsidR="00DE11CD" w:rsidRPr="00482F75">
        <w:t>Matters concerning essentially derived varieties that are not granted protection in their own right</w:t>
      </w:r>
      <w:bookmarkEnd w:id="9"/>
    </w:p>
    <w:p w:rsidR="00DE11CD" w:rsidRPr="00E834E1" w:rsidRDefault="00DE11CD" w:rsidP="00DE11CD">
      <w:pPr>
        <w:keepNext/>
        <w:rPr>
          <w:sz w:val="16"/>
          <w:szCs w:val="16"/>
          <w:highlight w:val="yellow"/>
        </w:rPr>
      </w:pPr>
    </w:p>
    <w:p w:rsidR="00DE11CD" w:rsidRPr="00482F75" w:rsidRDefault="00DE11CD" w:rsidP="00DE11CD">
      <w:r w:rsidRPr="00482F75">
        <w:fldChar w:fldCharType="begin"/>
      </w:r>
      <w:r w:rsidRPr="00482F75">
        <w:instrText xml:space="preserve"> AUTONUM  </w:instrText>
      </w:r>
      <w:r w:rsidRPr="00482F75">
        <w:fldChar w:fldCharType="end"/>
      </w:r>
      <w:r w:rsidRPr="00482F75">
        <w:tab/>
        <w:t>The CAJ-AG</w:t>
      </w:r>
      <w:r w:rsidR="00BC5F0D">
        <w:t xml:space="preserve">, at </w:t>
      </w:r>
      <w:r w:rsidR="00BC5F0D" w:rsidRPr="00482F75">
        <w:t>its eighth session</w:t>
      </w:r>
      <w:r w:rsidR="00BC5F0D">
        <w:t>,</w:t>
      </w:r>
      <w:r w:rsidRPr="00482F75">
        <w:t xml:space="preserve"> agreed to consider the development of guidance on the matters raised in paragraphs 15 to 18 of document </w:t>
      </w:r>
      <w:r w:rsidRPr="00482F75">
        <w:rPr>
          <w:rFonts w:cs="Arial"/>
        </w:rPr>
        <w:t>C</w:t>
      </w:r>
      <w:r w:rsidRPr="00482F75">
        <w:t>AJ-AG/13/8/2</w:t>
      </w:r>
      <w:r w:rsidR="00BC5F0D">
        <w:t xml:space="preserve"> “</w:t>
      </w:r>
      <w:r w:rsidR="00BC5F0D" w:rsidRPr="00D82884">
        <w:t>Explanatory Notes on Essentially Derived Varieties under the 1991 Act of the UPOV Convention</w:t>
      </w:r>
      <w:r w:rsidR="00BC5F0D">
        <w:t>”</w:t>
      </w:r>
      <w:r w:rsidRPr="00482F75">
        <w:t>, concerning the status of essentially derived varieties that were not granted protection in their own right, after the adoption of the revised document UPOV/EXN/EDV/2</w:t>
      </w:r>
      <w:r w:rsidR="00E23111">
        <w:t xml:space="preserve"> (see </w:t>
      </w:r>
      <w:r w:rsidR="00E23111">
        <w:rPr>
          <w:rFonts w:cs="Arial"/>
        </w:rPr>
        <w:t xml:space="preserve">document CAJ-AG/13/8/10 “Report”, paragraph </w:t>
      </w:r>
      <w:r w:rsidR="000B6708">
        <w:rPr>
          <w:rFonts w:cs="Arial"/>
        </w:rPr>
        <w:t>45</w:t>
      </w:r>
      <w:r w:rsidR="00E23111">
        <w:rPr>
          <w:rFonts w:cs="Arial"/>
        </w:rPr>
        <w:t>)</w:t>
      </w:r>
      <w:r w:rsidRPr="00482F75">
        <w:t>.</w:t>
      </w:r>
    </w:p>
    <w:p w:rsidR="00DE11CD" w:rsidRPr="00482F75" w:rsidRDefault="00DE11CD" w:rsidP="00DE11CD"/>
    <w:p w:rsidR="00E23111" w:rsidRPr="00482F75" w:rsidRDefault="00DE11CD" w:rsidP="00E23111">
      <w:r w:rsidRPr="00482F75">
        <w:fldChar w:fldCharType="begin"/>
      </w:r>
      <w:r w:rsidRPr="00482F75">
        <w:instrText xml:space="preserve"> AUTONUM  </w:instrText>
      </w:r>
      <w:r w:rsidRPr="00482F75">
        <w:fldChar w:fldCharType="end"/>
      </w:r>
      <w:r w:rsidRPr="00482F75">
        <w:tab/>
        <w:t xml:space="preserve">The CAJ-AG noted that the matters raised in paragraphs 15 to 18 of document </w:t>
      </w:r>
      <w:r w:rsidRPr="00482F75">
        <w:rPr>
          <w:rFonts w:cs="Arial"/>
        </w:rPr>
        <w:t>C</w:t>
      </w:r>
      <w:r w:rsidRPr="00482F75">
        <w:t>AJ-AG/13/8/2 would not arise if breeders protected EDVs in their own right</w:t>
      </w:r>
      <w:r w:rsidR="00E23111">
        <w:t xml:space="preserve"> (see </w:t>
      </w:r>
      <w:r w:rsidR="00E23111">
        <w:rPr>
          <w:rFonts w:cs="Arial"/>
        </w:rPr>
        <w:t>document CAJ-AG/13/8/10 “Report”, paragraph </w:t>
      </w:r>
      <w:r w:rsidR="000B6708">
        <w:rPr>
          <w:rFonts w:cs="Arial"/>
        </w:rPr>
        <w:t>46</w:t>
      </w:r>
      <w:r w:rsidR="00E23111">
        <w:rPr>
          <w:rFonts w:cs="Arial"/>
        </w:rPr>
        <w:t>)</w:t>
      </w:r>
      <w:r w:rsidR="00E23111" w:rsidRPr="00482F75">
        <w:t>.</w:t>
      </w:r>
    </w:p>
    <w:p w:rsidR="00CB7418" w:rsidRPr="00E834E1" w:rsidRDefault="00CB7418" w:rsidP="00CB7418">
      <w:pPr>
        <w:rPr>
          <w:sz w:val="16"/>
          <w:szCs w:val="16"/>
        </w:rPr>
      </w:pPr>
    </w:p>
    <w:p w:rsidR="00DE11CD" w:rsidRPr="00482F75" w:rsidRDefault="00634E87" w:rsidP="00CB7418">
      <w:pPr>
        <w:pStyle w:val="Heading1"/>
        <w:rPr>
          <w:snapToGrid w:val="0"/>
        </w:rPr>
      </w:pPr>
      <w:bookmarkStart w:id="10" w:name="_Toc400470052"/>
      <w:r>
        <w:t>IV.</w:t>
      </w:r>
      <w:r>
        <w:tab/>
      </w:r>
      <w:r w:rsidR="00DE11CD" w:rsidRPr="00482F75">
        <w:t>P</w:t>
      </w:r>
      <w:r w:rsidR="00DE11CD" w:rsidRPr="00482F75">
        <w:rPr>
          <w:snapToGrid w:val="0"/>
        </w:rPr>
        <w:t>resentations on systems in the members of the Union concerning essentially derived varieties</w:t>
      </w:r>
      <w:bookmarkEnd w:id="10"/>
    </w:p>
    <w:p w:rsidR="00DE11CD" w:rsidRPr="00482F75" w:rsidRDefault="00DE11CD" w:rsidP="00DE11CD"/>
    <w:p w:rsidR="00DE11CD" w:rsidRPr="00482F75" w:rsidRDefault="00DE11CD" w:rsidP="00DE11CD">
      <w:r w:rsidRPr="00482F75">
        <w:fldChar w:fldCharType="begin"/>
      </w:r>
      <w:r w:rsidRPr="00482F75">
        <w:instrText xml:space="preserve"> AUTONUM  </w:instrText>
      </w:r>
      <w:r w:rsidRPr="00482F75">
        <w:fldChar w:fldCharType="end"/>
      </w:r>
      <w:r w:rsidRPr="00482F75">
        <w:tab/>
      </w:r>
      <w:r w:rsidRPr="003E059B">
        <w:t>The CAJ-AG</w:t>
      </w:r>
      <w:r w:rsidR="00BC5F0D" w:rsidRPr="003E059B">
        <w:t>, at its eighth session,</w:t>
      </w:r>
      <w:r w:rsidRPr="003E059B">
        <w:t xml:space="preserve"> noted that, at an appropriate future session of the CAJ-AG, the Delegations of Australia, Brazil</w:t>
      </w:r>
      <w:r w:rsidRPr="00482F75">
        <w:t xml:space="preserve"> and the European Union and other members of the Union would be invited to make presentations on their systems concerning essentially derived varieties</w:t>
      </w:r>
      <w:r w:rsidR="00E23111">
        <w:t xml:space="preserve"> (see </w:t>
      </w:r>
      <w:r w:rsidR="00E23111">
        <w:rPr>
          <w:rFonts w:cs="Arial"/>
        </w:rPr>
        <w:t>document CAJ</w:t>
      </w:r>
      <w:r w:rsidR="00E23111">
        <w:rPr>
          <w:rFonts w:cs="Arial"/>
        </w:rPr>
        <w:noBreakHyphen/>
        <w:t>AG/13/8/10 “Report”, paragraph </w:t>
      </w:r>
      <w:r w:rsidR="000B6708">
        <w:rPr>
          <w:rFonts w:cs="Arial"/>
        </w:rPr>
        <w:t>47</w:t>
      </w:r>
      <w:r w:rsidR="00E23111">
        <w:rPr>
          <w:rFonts w:cs="Arial"/>
        </w:rPr>
        <w:t>)</w:t>
      </w:r>
      <w:r w:rsidRPr="00482F75">
        <w:t>.</w:t>
      </w:r>
    </w:p>
    <w:p w:rsidR="00CB7418" w:rsidRPr="00482F75" w:rsidRDefault="00CB7418" w:rsidP="00CB7418"/>
    <w:p w:rsidR="00BC5F0D" w:rsidRDefault="00634E87" w:rsidP="00CB7418">
      <w:pPr>
        <w:pStyle w:val="Heading1"/>
      </w:pPr>
      <w:bookmarkStart w:id="11" w:name="_Toc400470053"/>
      <w:r>
        <w:t>V.</w:t>
      </w:r>
      <w:r>
        <w:tab/>
      </w:r>
      <w:r w:rsidR="00BC5F0D" w:rsidRPr="00BE4A7F">
        <w:t>Possible alternative dispute settlement mechanisms for essentially derived varieties</w:t>
      </w:r>
      <w:bookmarkEnd w:id="11"/>
      <w:r w:rsidR="00BC5F0D" w:rsidRPr="00BE4A7F">
        <w:t xml:space="preserve"> </w:t>
      </w:r>
    </w:p>
    <w:p w:rsidR="00BC5F0D" w:rsidRPr="00E834E1" w:rsidRDefault="00BC5F0D" w:rsidP="00CB7418">
      <w:pPr>
        <w:rPr>
          <w:sz w:val="16"/>
          <w:szCs w:val="16"/>
        </w:rPr>
      </w:pPr>
    </w:p>
    <w:p w:rsidR="004C4652" w:rsidRDefault="004C4652" w:rsidP="00634E87">
      <w:r w:rsidRPr="00856DA7">
        <w:fldChar w:fldCharType="begin"/>
      </w:r>
      <w:r w:rsidRPr="00856DA7">
        <w:instrText xml:space="preserve"> AUTONUM  </w:instrText>
      </w:r>
      <w:r w:rsidRPr="00856DA7">
        <w:fldChar w:fldCharType="end"/>
      </w:r>
      <w:r w:rsidRPr="00856DA7">
        <w:tab/>
      </w:r>
      <w:r>
        <w:t xml:space="preserve">Matters </w:t>
      </w:r>
      <w:r w:rsidR="00634E87">
        <w:t xml:space="preserve">concerning </w:t>
      </w:r>
      <w:r>
        <w:rPr>
          <w:snapToGrid w:val="0"/>
        </w:rPr>
        <w:t xml:space="preserve">the possible role of UPOV in </w:t>
      </w:r>
      <w:r w:rsidRPr="00591632">
        <w:rPr>
          <w:snapToGrid w:val="0"/>
        </w:rPr>
        <w:t>alternative dispute settlement mechanisms</w:t>
      </w:r>
      <w:r w:rsidR="00634E87">
        <w:rPr>
          <w:snapToGrid w:val="0"/>
        </w:rPr>
        <w:t xml:space="preserve"> </w:t>
      </w:r>
      <w:r>
        <w:t xml:space="preserve">are contained in </w:t>
      </w:r>
      <w:r w:rsidRPr="00BE4A7F">
        <w:t>document</w:t>
      </w:r>
      <w:r>
        <w:t> CAJ-AG/14/9/3</w:t>
      </w:r>
      <w:r w:rsidR="00634E87">
        <w:t xml:space="preserve"> “P</w:t>
      </w:r>
      <w:r w:rsidR="00634E87" w:rsidRPr="00BE4A7F">
        <w:t>ossible alternative dispute settlement mechanisms f</w:t>
      </w:r>
      <w:r w:rsidR="00634E87">
        <w:t>or essentially derived varieties”</w:t>
      </w:r>
      <w:r w:rsidRPr="00856DA7">
        <w:t>.</w:t>
      </w:r>
    </w:p>
    <w:p w:rsidR="00F62D03" w:rsidRPr="00E834E1" w:rsidRDefault="00F62D03" w:rsidP="00634E87">
      <w:pPr>
        <w:rPr>
          <w:snapToGrid w:val="0"/>
          <w:sz w:val="16"/>
          <w:szCs w:val="16"/>
        </w:rPr>
      </w:pPr>
    </w:p>
    <w:p w:rsidR="000328E3" w:rsidRPr="00385AED" w:rsidRDefault="000328E3" w:rsidP="00385AED">
      <w:pPr>
        <w:ind w:left="4536"/>
        <w:rPr>
          <w:i/>
          <w:snapToGrid w:val="0"/>
        </w:rPr>
      </w:pPr>
      <w:r w:rsidRPr="00385AED">
        <w:rPr>
          <w:i/>
          <w:snapToGrid w:val="0"/>
        </w:rPr>
        <w:fldChar w:fldCharType="begin"/>
      </w:r>
      <w:r w:rsidRPr="00385AED">
        <w:rPr>
          <w:i/>
          <w:snapToGrid w:val="0"/>
        </w:rPr>
        <w:instrText xml:space="preserve"> AUTONUM  </w:instrText>
      </w:r>
      <w:r w:rsidRPr="00385AED">
        <w:rPr>
          <w:i/>
          <w:snapToGrid w:val="0"/>
        </w:rPr>
        <w:fldChar w:fldCharType="end"/>
      </w:r>
      <w:r w:rsidRPr="00385AED">
        <w:rPr>
          <w:i/>
          <w:snapToGrid w:val="0"/>
        </w:rPr>
        <w:tab/>
        <w:t>The CAJ-AG is invited to:</w:t>
      </w:r>
    </w:p>
    <w:p w:rsidR="000328E3" w:rsidRPr="00385AED" w:rsidRDefault="000328E3" w:rsidP="00385AED">
      <w:pPr>
        <w:ind w:left="4536"/>
        <w:rPr>
          <w:i/>
          <w:snapToGrid w:val="0"/>
        </w:rPr>
      </w:pPr>
    </w:p>
    <w:p w:rsidR="000328E3" w:rsidRPr="00E8069F" w:rsidRDefault="000B6708" w:rsidP="00385AED">
      <w:pPr>
        <w:ind w:left="4536" w:firstLine="567"/>
        <w:rPr>
          <w:i/>
        </w:rPr>
      </w:pPr>
      <w:r w:rsidRPr="00E8069F">
        <w:rPr>
          <w:i/>
        </w:rPr>
        <w:t>(a)</w:t>
      </w:r>
      <w:r w:rsidRPr="00E8069F">
        <w:rPr>
          <w:i/>
        </w:rPr>
        <w:tab/>
      </w:r>
      <w:r w:rsidR="00610426" w:rsidRPr="00E8069F">
        <w:rPr>
          <w:i/>
        </w:rPr>
        <w:t xml:space="preserve">note that the Office of the Union is exploring the possibility for Australia to make a presentation by electronic means, via the internet, </w:t>
      </w:r>
      <w:r w:rsidR="00610426" w:rsidRPr="00E8069F">
        <w:rPr>
          <w:rFonts w:cs="Arial"/>
          <w:i/>
        </w:rPr>
        <w:t>containing</w:t>
      </w:r>
      <w:r w:rsidR="00DE1DB1" w:rsidRPr="00E8069F">
        <w:rPr>
          <w:rFonts w:cs="Arial"/>
          <w:i/>
        </w:rPr>
        <w:t xml:space="preserve"> the additional information on the context of the examples p</w:t>
      </w:r>
      <w:r w:rsidR="00E834E1" w:rsidRPr="00E8069F">
        <w:rPr>
          <w:rFonts w:cs="Arial"/>
          <w:i/>
        </w:rPr>
        <w:t>rovided by Australia in the EDV</w:t>
      </w:r>
      <w:r w:rsidR="00DE1DB1" w:rsidRPr="00E8069F">
        <w:rPr>
          <w:rFonts w:cs="Arial"/>
          <w:i/>
        </w:rPr>
        <w:t> </w:t>
      </w:r>
      <w:r w:rsidR="00E834E1" w:rsidRPr="00E8069F">
        <w:rPr>
          <w:rFonts w:cs="Arial"/>
          <w:i/>
        </w:rPr>
        <w:t>Seminar</w:t>
      </w:r>
      <w:r w:rsidR="000328E3" w:rsidRPr="00E8069F">
        <w:rPr>
          <w:i/>
        </w:rPr>
        <w:t>;</w:t>
      </w:r>
    </w:p>
    <w:p w:rsidR="000328E3" w:rsidRPr="00E8069F" w:rsidRDefault="000328E3" w:rsidP="00E8069F">
      <w:pPr>
        <w:ind w:left="4536"/>
        <w:rPr>
          <w:i/>
          <w:sz w:val="16"/>
          <w:szCs w:val="16"/>
        </w:rPr>
      </w:pPr>
    </w:p>
    <w:p w:rsidR="000328E3" w:rsidRPr="000B6708" w:rsidRDefault="000B6708" w:rsidP="000B6708">
      <w:pPr>
        <w:ind w:left="4536" w:firstLine="567"/>
        <w:rPr>
          <w:i/>
          <w:spacing w:val="-2"/>
        </w:rPr>
      </w:pPr>
      <w:r w:rsidRPr="00E8069F">
        <w:rPr>
          <w:i/>
          <w:spacing w:val="-2"/>
        </w:rPr>
        <w:t>(b)</w:t>
      </w:r>
      <w:r w:rsidRPr="00E8069F">
        <w:rPr>
          <w:i/>
          <w:spacing w:val="-2"/>
        </w:rPr>
        <w:tab/>
      </w:r>
      <w:proofErr w:type="gramStart"/>
      <w:r w:rsidR="000328E3" w:rsidRPr="00E8069F">
        <w:rPr>
          <w:i/>
          <w:spacing w:val="-2"/>
        </w:rPr>
        <w:t>consider</w:t>
      </w:r>
      <w:proofErr w:type="gramEnd"/>
      <w:r w:rsidR="000328E3" w:rsidRPr="00E8069F">
        <w:rPr>
          <w:i/>
          <w:spacing w:val="-2"/>
        </w:rPr>
        <w:t xml:space="preserve"> the “Explanatory Notes on</w:t>
      </w:r>
      <w:r w:rsidR="000328E3" w:rsidRPr="000B6708">
        <w:rPr>
          <w:i/>
          <w:spacing w:val="-2"/>
        </w:rPr>
        <w:t xml:space="preserve"> Essentially Derived </w:t>
      </w:r>
      <w:r w:rsidR="009C1504">
        <w:rPr>
          <w:i/>
          <w:spacing w:val="-2"/>
        </w:rPr>
        <w:t xml:space="preserve">Varieties under the 1991 Act of </w:t>
      </w:r>
      <w:r w:rsidR="009C1504">
        <w:rPr>
          <w:i/>
          <w:spacing w:val="-2"/>
        </w:rPr>
        <w:br/>
      </w:r>
      <w:r w:rsidR="000328E3" w:rsidRPr="000B6708">
        <w:rPr>
          <w:i/>
          <w:spacing w:val="-2"/>
        </w:rPr>
        <w:t>the UPOV Convention (Revision)”</w:t>
      </w:r>
      <w:r w:rsidRPr="000B6708">
        <w:rPr>
          <w:i/>
          <w:spacing w:val="-2"/>
        </w:rPr>
        <w:t xml:space="preserve"> (document UPOV/EXN/EDV/2 </w:t>
      </w:r>
      <w:r w:rsidR="000328E3" w:rsidRPr="000B6708">
        <w:rPr>
          <w:i/>
          <w:spacing w:val="-2"/>
        </w:rPr>
        <w:t>Draft 5)</w:t>
      </w:r>
      <w:r w:rsidR="00385AED" w:rsidRPr="000B6708">
        <w:rPr>
          <w:i/>
          <w:spacing w:val="-2"/>
        </w:rPr>
        <w:t>;</w:t>
      </w:r>
    </w:p>
    <w:p w:rsidR="00385AED" w:rsidRPr="00E834E1" w:rsidRDefault="00385AED" w:rsidP="00385AED">
      <w:pPr>
        <w:ind w:left="4536"/>
        <w:rPr>
          <w:i/>
          <w:sz w:val="16"/>
          <w:szCs w:val="16"/>
        </w:rPr>
      </w:pPr>
    </w:p>
    <w:p w:rsidR="00385AED" w:rsidRPr="00385AED" w:rsidRDefault="00385AED" w:rsidP="00385AED">
      <w:pPr>
        <w:ind w:left="4536" w:firstLine="567"/>
        <w:rPr>
          <w:i/>
        </w:rPr>
      </w:pPr>
      <w:r w:rsidRPr="00385AED">
        <w:rPr>
          <w:i/>
        </w:rPr>
        <w:t>(c)</w:t>
      </w:r>
      <w:r w:rsidR="000B6708">
        <w:rPr>
          <w:i/>
        </w:rPr>
        <w:tab/>
      </w:r>
      <w:r w:rsidRPr="00385AED">
        <w:rPr>
          <w:i/>
          <w:snapToGrid w:val="0"/>
        </w:rPr>
        <w:t>note that the CAJ-AG, at its eighth session</w:t>
      </w:r>
      <w:r w:rsidRPr="00385AED">
        <w:rPr>
          <w:i/>
        </w:rPr>
        <w:t xml:space="preserve">, agreed to consider the development of guidance on the matters raised in paragraphs 15 to 18 of document </w:t>
      </w:r>
      <w:r w:rsidRPr="00385AED">
        <w:rPr>
          <w:rFonts w:cs="Arial"/>
          <w:i/>
        </w:rPr>
        <w:t>C</w:t>
      </w:r>
      <w:r w:rsidR="00E834E1">
        <w:rPr>
          <w:i/>
        </w:rPr>
        <w:t>AJ</w:t>
      </w:r>
      <w:r w:rsidR="00E834E1">
        <w:rPr>
          <w:i/>
        </w:rPr>
        <w:noBreakHyphen/>
      </w:r>
      <w:r w:rsidRPr="00385AED">
        <w:rPr>
          <w:i/>
        </w:rPr>
        <w:t>AG/13/8/2 “Explanatory Notes on Essentially Derived Varieties under the 1991 Act of the UPOV Convention”, concerning the status of essentially derived varieties that were not granted protection in their own right, after the adoption of the revised document UPOV/EXN/EDV/2;</w:t>
      </w:r>
    </w:p>
    <w:p w:rsidR="00385AED" w:rsidRPr="00E834E1" w:rsidRDefault="00385AED" w:rsidP="00385AED">
      <w:pPr>
        <w:ind w:left="4536"/>
        <w:rPr>
          <w:i/>
          <w:snapToGrid w:val="0"/>
          <w:sz w:val="16"/>
          <w:szCs w:val="16"/>
        </w:rPr>
      </w:pPr>
    </w:p>
    <w:p w:rsidR="00385AED" w:rsidRPr="00385AED" w:rsidRDefault="00385AED" w:rsidP="00385AED">
      <w:pPr>
        <w:ind w:left="4536" w:firstLine="567"/>
        <w:rPr>
          <w:i/>
          <w:snapToGrid w:val="0"/>
        </w:rPr>
      </w:pPr>
      <w:r w:rsidRPr="00385AED">
        <w:rPr>
          <w:i/>
          <w:snapToGrid w:val="0"/>
        </w:rPr>
        <w:t>(d)</w:t>
      </w:r>
      <w:r w:rsidR="000B6708">
        <w:rPr>
          <w:i/>
          <w:snapToGrid w:val="0"/>
        </w:rPr>
        <w:tab/>
      </w:r>
      <w:r w:rsidRPr="00385AED">
        <w:rPr>
          <w:i/>
          <w:snapToGrid w:val="0"/>
        </w:rPr>
        <w:t xml:space="preserve">consider the conclusion of the CAJ-AG, at its eighth session, that </w:t>
      </w:r>
      <w:r w:rsidR="000328E3" w:rsidRPr="00385AED">
        <w:rPr>
          <w:i/>
          <w:snapToGrid w:val="0"/>
        </w:rPr>
        <w:t>at an appropriate future session of the CAJ-AG, the Delegations of Australia, Brazil and the European Union and other members of the Union be invited to make presentations on their systems concerning e</w:t>
      </w:r>
      <w:r w:rsidRPr="00385AED">
        <w:rPr>
          <w:i/>
          <w:snapToGrid w:val="0"/>
        </w:rPr>
        <w:t>ssentially derived varieties; and</w:t>
      </w:r>
    </w:p>
    <w:p w:rsidR="00385AED" w:rsidRPr="00E834E1" w:rsidRDefault="00385AED" w:rsidP="00385AED">
      <w:pPr>
        <w:ind w:left="4536"/>
        <w:rPr>
          <w:i/>
          <w:snapToGrid w:val="0"/>
          <w:sz w:val="16"/>
          <w:szCs w:val="16"/>
        </w:rPr>
      </w:pPr>
    </w:p>
    <w:p w:rsidR="00E834E1" w:rsidRDefault="00385AED" w:rsidP="00E834E1">
      <w:pPr>
        <w:ind w:left="4536" w:firstLine="567"/>
        <w:rPr>
          <w:i/>
          <w:snapToGrid w:val="0"/>
        </w:rPr>
      </w:pPr>
      <w:r w:rsidRPr="00385AED">
        <w:rPr>
          <w:i/>
        </w:rPr>
        <w:t>(e)</w:t>
      </w:r>
      <w:r w:rsidRPr="00385AED">
        <w:rPr>
          <w:i/>
        </w:rPr>
        <w:tab/>
      </w:r>
      <w:proofErr w:type="gramStart"/>
      <w:r>
        <w:rPr>
          <w:i/>
        </w:rPr>
        <w:t>note</w:t>
      </w:r>
      <w:proofErr w:type="gramEnd"/>
      <w:r>
        <w:rPr>
          <w:i/>
        </w:rPr>
        <w:t xml:space="preserve"> that </w:t>
      </w:r>
      <w:r w:rsidRPr="00385AED">
        <w:rPr>
          <w:i/>
        </w:rPr>
        <w:t xml:space="preserve">matters concerning </w:t>
      </w:r>
      <w:r w:rsidRPr="00385AED">
        <w:rPr>
          <w:i/>
          <w:snapToGrid w:val="0"/>
        </w:rPr>
        <w:t xml:space="preserve">the possible role of UPOV in alternative dispute settlement mechanisms </w:t>
      </w:r>
      <w:r w:rsidRPr="00385AED">
        <w:rPr>
          <w:i/>
        </w:rPr>
        <w:t>are contained in document CAJ-AG/14/9/3 “Possible alternative dispute settlement mechanisms for essentially derived varieties”.</w:t>
      </w:r>
    </w:p>
    <w:p w:rsidR="00E23111" w:rsidRPr="00FD21DE" w:rsidRDefault="00E834E1" w:rsidP="00E834E1">
      <w:pPr>
        <w:jc w:val="right"/>
        <w:rPr>
          <w:snapToGrid w:val="0"/>
        </w:rPr>
      </w:pPr>
      <w:r>
        <w:rPr>
          <w:snapToGrid w:val="0"/>
        </w:rPr>
        <w:t>[</w:t>
      </w:r>
      <w:r w:rsidR="00E23111">
        <w:rPr>
          <w:snapToGrid w:val="0"/>
        </w:rPr>
        <w:t>End of document]</w:t>
      </w:r>
    </w:p>
    <w:sectPr w:rsidR="00E23111" w:rsidRPr="00FD21DE"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153" w:rsidRDefault="00707153">
      <w:r>
        <w:separator/>
      </w:r>
    </w:p>
    <w:p w:rsidR="00707153" w:rsidRDefault="00707153"/>
    <w:p w:rsidR="00707153" w:rsidRDefault="00707153"/>
  </w:endnote>
  <w:endnote w:type="continuationSeparator" w:id="0">
    <w:p w:rsidR="00707153" w:rsidRDefault="00707153">
      <w:r>
        <w:separator/>
      </w:r>
    </w:p>
    <w:p w:rsidR="00707153" w:rsidRPr="00A60312" w:rsidRDefault="00707153">
      <w:pPr>
        <w:pStyle w:val="Footer"/>
        <w:spacing w:after="60"/>
        <w:rPr>
          <w:sz w:val="18"/>
          <w:lang w:val="fr-FR"/>
        </w:rPr>
      </w:pPr>
      <w:r w:rsidRPr="00A60312">
        <w:rPr>
          <w:sz w:val="18"/>
          <w:lang w:val="fr-FR"/>
        </w:rPr>
        <w:t>[Suite de la note de la page précédente]</w:t>
      </w:r>
    </w:p>
    <w:p w:rsidR="00707153" w:rsidRPr="00A60312" w:rsidRDefault="00707153">
      <w:pPr>
        <w:rPr>
          <w:lang w:val="fr-FR"/>
        </w:rPr>
      </w:pPr>
    </w:p>
    <w:p w:rsidR="00707153" w:rsidRPr="00A60312" w:rsidRDefault="00707153">
      <w:pPr>
        <w:rPr>
          <w:lang w:val="fr-FR"/>
        </w:rPr>
      </w:pPr>
    </w:p>
  </w:endnote>
  <w:endnote w:type="continuationNotice" w:id="1">
    <w:p w:rsidR="00707153" w:rsidRPr="00A60312" w:rsidRDefault="00707153">
      <w:pPr>
        <w:spacing w:before="60"/>
        <w:jc w:val="right"/>
        <w:rPr>
          <w:sz w:val="18"/>
          <w:lang w:val="fr-FR"/>
        </w:rPr>
      </w:pPr>
      <w:r w:rsidRPr="00A60312">
        <w:rPr>
          <w:sz w:val="18"/>
          <w:lang w:val="fr-FR"/>
        </w:rPr>
        <w:t>[Suite de la note page suivante]</w:t>
      </w:r>
    </w:p>
    <w:p w:rsidR="00707153" w:rsidRPr="00A60312" w:rsidRDefault="00707153">
      <w:pPr>
        <w:rPr>
          <w:lang w:val="fr-FR"/>
        </w:rPr>
      </w:pPr>
    </w:p>
    <w:p w:rsidR="00707153" w:rsidRPr="00A60312" w:rsidRDefault="0070715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153" w:rsidRDefault="00707153" w:rsidP="009D690D">
      <w:pPr>
        <w:spacing w:before="120"/>
      </w:pPr>
      <w:r>
        <w:separator/>
      </w:r>
    </w:p>
  </w:footnote>
  <w:footnote w:type="continuationSeparator" w:id="0">
    <w:p w:rsidR="00707153" w:rsidRDefault="00707153" w:rsidP="00520297">
      <w:pPr>
        <w:spacing w:before="120"/>
        <w:jc w:val="left"/>
      </w:pPr>
      <w:r>
        <w:separator/>
      </w:r>
    </w:p>
  </w:footnote>
  <w:footnote w:type="continuationNotice" w:id="1">
    <w:p w:rsidR="00707153" w:rsidRDefault="007071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24" w:rsidRPr="00997029" w:rsidRDefault="00BD4C24" w:rsidP="00EB048E">
    <w:pPr>
      <w:pStyle w:val="Header"/>
      <w:rPr>
        <w:rStyle w:val="PageNumber"/>
      </w:rPr>
    </w:pPr>
    <w:r>
      <w:rPr>
        <w:rStyle w:val="PageNumber"/>
      </w:rPr>
      <w:t>CAJ</w:t>
    </w:r>
    <w:r w:rsidR="009A40AE">
      <w:rPr>
        <w:rStyle w:val="PageNumber"/>
      </w:rPr>
      <w:t>-AG</w:t>
    </w:r>
    <w:r>
      <w:rPr>
        <w:rStyle w:val="PageNumber"/>
      </w:rPr>
      <w:t>/</w:t>
    </w:r>
    <w:r w:rsidR="009A40AE">
      <w:rPr>
        <w:rStyle w:val="PageNumber"/>
      </w:rPr>
      <w:t>1</w:t>
    </w:r>
    <w:r w:rsidR="00BA1D46">
      <w:rPr>
        <w:rStyle w:val="PageNumber"/>
      </w:rPr>
      <w:t>4</w:t>
    </w:r>
    <w:r>
      <w:rPr>
        <w:rStyle w:val="PageNumber"/>
      </w:rPr>
      <w:t>/</w:t>
    </w:r>
    <w:r w:rsidR="00BA1D46">
      <w:rPr>
        <w:rStyle w:val="PageNumber"/>
      </w:rPr>
      <w:t>9</w:t>
    </w:r>
    <w:r w:rsidR="009A40AE">
      <w:rPr>
        <w:rStyle w:val="PageNumber"/>
      </w:rPr>
      <w:t>/</w:t>
    </w:r>
    <w:r w:rsidR="002B3E94">
      <w:rPr>
        <w:rStyle w:val="PageNumber"/>
      </w:rPr>
      <w:t>2</w:t>
    </w:r>
  </w:p>
  <w:p w:rsidR="00BD4C24" w:rsidRPr="00997029" w:rsidRDefault="00BD4C24" w:rsidP="00EB048E">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083FB9">
      <w:rPr>
        <w:rStyle w:val="PageNumber"/>
        <w:noProof/>
      </w:rPr>
      <w:t>4</w:t>
    </w:r>
    <w:r w:rsidRPr="00997029">
      <w:rPr>
        <w:rStyle w:val="PageNumber"/>
      </w:rPr>
      <w:fldChar w:fldCharType="end"/>
    </w:r>
  </w:p>
  <w:p w:rsidR="00BD4C24" w:rsidRPr="00997029" w:rsidRDefault="00BD4C24" w:rsidP="00EB048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53"/>
    <w:rsid w:val="00001D48"/>
    <w:rsid w:val="00010CF3"/>
    <w:rsid w:val="00011E27"/>
    <w:rsid w:val="000148BC"/>
    <w:rsid w:val="00024AB8"/>
    <w:rsid w:val="000328E3"/>
    <w:rsid w:val="00036028"/>
    <w:rsid w:val="000377C2"/>
    <w:rsid w:val="000446B9"/>
    <w:rsid w:val="00047E21"/>
    <w:rsid w:val="00083A71"/>
    <w:rsid w:val="00083FB9"/>
    <w:rsid w:val="00085505"/>
    <w:rsid w:val="000B6708"/>
    <w:rsid w:val="000C7021"/>
    <w:rsid w:val="000D6BBC"/>
    <w:rsid w:val="000D7780"/>
    <w:rsid w:val="00105929"/>
    <w:rsid w:val="001131D5"/>
    <w:rsid w:val="00141DB8"/>
    <w:rsid w:val="0017474A"/>
    <w:rsid w:val="001758C6"/>
    <w:rsid w:val="001A7E38"/>
    <w:rsid w:val="001C3DF3"/>
    <w:rsid w:val="0021332C"/>
    <w:rsid w:val="00213982"/>
    <w:rsid w:val="0024416D"/>
    <w:rsid w:val="0027309C"/>
    <w:rsid w:val="002800A0"/>
    <w:rsid w:val="00281060"/>
    <w:rsid w:val="0029439F"/>
    <w:rsid w:val="002A6E50"/>
    <w:rsid w:val="002B3E94"/>
    <w:rsid w:val="002C256A"/>
    <w:rsid w:val="002E7BA1"/>
    <w:rsid w:val="00305A7F"/>
    <w:rsid w:val="003152FE"/>
    <w:rsid w:val="0032170B"/>
    <w:rsid w:val="00327436"/>
    <w:rsid w:val="00344BD6"/>
    <w:rsid w:val="00347838"/>
    <w:rsid w:val="0035528D"/>
    <w:rsid w:val="00361821"/>
    <w:rsid w:val="00385AED"/>
    <w:rsid w:val="003C563E"/>
    <w:rsid w:val="003D227C"/>
    <w:rsid w:val="003D2B4D"/>
    <w:rsid w:val="003E059B"/>
    <w:rsid w:val="003F6136"/>
    <w:rsid w:val="00427139"/>
    <w:rsid w:val="00444A88"/>
    <w:rsid w:val="00474DA4"/>
    <w:rsid w:val="0048034A"/>
    <w:rsid w:val="00486EC1"/>
    <w:rsid w:val="004C4652"/>
    <w:rsid w:val="004D047D"/>
    <w:rsid w:val="004F305A"/>
    <w:rsid w:val="00512164"/>
    <w:rsid w:val="00520297"/>
    <w:rsid w:val="005338F9"/>
    <w:rsid w:val="0054281C"/>
    <w:rsid w:val="0055268D"/>
    <w:rsid w:val="00572E44"/>
    <w:rsid w:val="00576BE4"/>
    <w:rsid w:val="005A400A"/>
    <w:rsid w:val="005C069C"/>
    <w:rsid w:val="00610426"/>
    <w:rsid w:val="00612379"/>
    <w:rsid w:val="0061555F"/>
    <w:rsid w:val="00634E87"/>
    <w:rsid w:val="00641200"/>
    <w:rsid w:val="00663ED8"/>
    <w:rsid w:val="00687EB4"/>
    <w:rsid w:val="006A4DEF"/>
    <w:rsid w:val="006B17D2"/>
    <w:rsid w:val="006B24FF"/>
    <w:rsid w:val="006B45FA"/>
    <w:rsid w:val="006C224E"/>
    <w:rsid w:val="00707153"/>
    <w:rsid w:val="00732DEC"/>
    <w:rsid w:val="00734F5D"/>
    <w:rsid w:val="00735BD5"/>
    <w:rsid w:val="0075117E"/>
    <w:rsid w:val="007556F6"/>
    <w:rsid w:val="00760EEF"/>
    <w:rsid w:val="00777EE5"/>
    <w:rsid w:val="00784836"/>
    <w:rsid w:val="0079023E"/>
    <w:rsid w:val="007D0B9D"/>
    <w:rsid w:val="007D19B0"/>
    <w:rsid w:val="007E6029"/>
    <w:rsid w:val="007F498F"/>
    <w:rsid w:val="0080679D"/>
    <w:rsid w:val="008108B0"/>
    <w:rsid w:val="00811B20"/>
    <w:rsid w:val="0082296E"/>
    <w:rsid w:val="00824099"/>
    <w:rsid w:val="00855DBD"/>
    <w:rsid w:val="00867AC1"/>
    <w:rsid w:val="008938C4"/>
    <w:rsid w:val="008A395B"/>
    <w:rsid w:val="008A743F"/>
    <w:rsid w:val="008B51D0"/>
    <w:rsid w:val="008C0970"/>
    <w:rsid w:val="008D2CF7"/>
    <w:rsid w:val="008E08D8"/>
    <w:rsid w:val="008E1FF1"/>
    <w:rsid w:val="008E793E"/>
    <w:rsid w:val="00900C26"/>
    <w:rsid w:val="0090197F"/>
    <w:rsid w:val="00906DDC"/>
    <w:rsid w:val="00934E09"/>
    <w:rsid w:val="00936253"/>
    <w:rsid w:val="00970FED"/>
    <w:rsid w:val="00973AF6"/>
    <w:rsid w:val="00997029"/>
    <w:rsid w:val="009A40AE"/>
    <w:rsid w:val="009C1504"/>
    <w:rsid w:val="009D0DE5"/>
    <w:rsid w:val="009D4E8E"/>
    <w:rsid w:val="009D690D"/>
    <w:rsid w:val="009E65B6"/>
    <w:rsid w:val="00A0299A"/>
    <w:rsid w:val="00A42AC3"/>
    <w:rsid w:val="00A430CF"/>
    <w:rsid w:val="00A54309"/>
    <w:rsid w:val="00A60312"/>
    <w:rsid w:val="00AB2B93"/>
    <w:rsid w:val="00AB5F85"/>
    <w:rsid w:val="00AE0EF1"/>
    <w:rsid w:val="00AF3EBC"/>
    <w:rsid w:val="00B07301"/>
    <w:rsid w:val="00B224DE"/>
    <w:rsid w:val="00B74071"/>
    <w:rsid w:val="00B84BBD"/>
    <w:rsid w:val="00BA1D46"/>
    <w:rsid w:val="00BA43FB"/>
    <w:rsid w:val="00BC127D"/>
    <w:rsid w:val="00BC1FE6"/>
    <w:rsid w:val="00BC5F0D"/>
    <w:rsid w:val="00BD4C24"/>
    <w:rsid w:val="00BE0DF1"/>
    <w:rsid w:val="00BE36D8"/>
    <w:rsid w:val="00C03ED6"/>
    <w:rsid w:val="00C061B6"/>
    <w:rsid w:val="00C23620"/>
    <w:rsid w:val="00C2446C"/>
    <w:rsid w:val="00C36AE5"/>
    <w:rsid w:val="00C41F17"/>
    <w:rsid w:val="00C5791C"/>
    <w:rsid w:val="00C66290"/>
    <w:rsid w:val="00C72B7A"/>
    <w:rsid w:val="00C7350B"/>
    <w:rsid w:val="00C973F2"/>
    <w:rsid w:val="00CA774A"/>
    <w:rsid w:val="00CB7418"/>
    <w:rsid w:val="00CC11B0"/>
    <w:rsid w:val="00CE00EA"/>
    <w:rsid w:val="00CE75AF"/>
    <w:rsid w:val="00CF244B"/>
    <w:rsid w:val="00CF7E36"/>
    <w:rsid w:val="00D24210"/>
    <w:rsid w:val="00D3708D"/>
    <w:rsid w:val="00D40426"/>
    <w:rsid w:val="00D57C96"/>
    <w:rsid w:val="00D91203"/>
    <w:rsid w:val="00D95174"/>
    <w:rsid w:val="00DA6F36"/>
    <w:rsid w:val="00DB54E8"/>
    <w:rsid w:val="00DC00EA"/>
    <w:rsid w:val="00DE11CD"/>
    <w:rsid w:val="00DE1DB1"/>
    <w:rsid w:val="00E23111"/>
    <w:rsid w:val="00E72D49"/>
    <w:rsid w:val="00E7593C"/>
    <w:rsid w:val="00E7678A"/>
    <w:rsid w:val="00E8069F"/>
    <w:rsid w:val="00E834E1"/>
    <w:rsid w:val="00E935F1"/>
    <w:rsid w:val="00E94A81"/>
    <w:rsid w:val="00EA1FFB"/>
    <w:rsid w:val="00EB048E"/>
    <w:rsid w:val="00EB3EFA"/>
    <w:rsid w:val="00ED2582"/>
    <w:rsid w:val="00EF2F89"/>
    <w:rsid w:val="00F04DEB"/>
    <w:rsid w:val="00F1237A"/>
    <w:rsid w:val="00F22CBD"/>
    <w:rsid w:val="00F3103D"/>
    <w:rsid w:val="00F62D03"/>
    <w:rsid w:val="00F6334D"/>
    <w:rsid w:val="00F909FB"/>
    <w:rsid w:val="00FA49AB"/>
    <w:rsid w:val="00FB0D37"/>
    <w:rsid w:val="00FB17E4"/>
    <w:rsid w:val="00FD21DE"/>
    <w:rsid w:val="00FD4C79"/>
    <w:rsid w:val="00FE39C7"/>
    <w:rsid w:val="00FE4AF3"/>
    <w:rsid w:val="00FF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autoRedefine/>
    <w:qFormat/>
    <w:rsid w:val="00CB7418"/>
    <w:pPr>
      <w:keepNext/>
      <w:ind w:left="567" w:hanging="567"/>
      <w:jc w:val="both"/>
      <w:outlineLvl w:val="0"/>
    </w:pPr>
    <w:rPr>
      <w:rFonts w:ascii="Arial" w:hAnsi="Arial"/>
      <w:caps/>
    </w:rPr>
  </w:style>
  <w:style w:type="paragraph" w:styleId="Heading2">
    <w:name w:val="heading 2"/>
    <w:next w:val="Normal"/>
    <w:autoRedefine/>
    <w:qFormat/>
    <w:rsid w:val="00BE0DF1"/>
    <w:pPr>
      <w:keepNext/>
      <w:jc w:val="both"/>
      <w:outlineLvl w:val="1"/>
    </w:pPr>
    <w:rPr>
      <w:rFonts w:ascii="Arial" w:hAnsi="Arial"/>
      <w:u w:val="single"/>
    </w:rPr>
  </w:style>
  <w:style w:type="paragraph" w:styleId="Heading3">
    <w:name w:val="heading 3"/>
    <w:next w:val="Normal"/>
    <w:autoRedefine/>
    <w:qFormat/>
    <w:rsid w:val="00BE0DF1"/>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rsid w:val="00BE0DF1"/>
    <w:pPr>
      <w:tabs>
        <w:tab w:val="left" w:pos="5387"/>
      </w:tabs>
      <w:ind w:left="4820"/>
    </w:pPr>
    <w:rPr>
      <w:i/>
    </w:rPr>
  </w:style>
  <w:style w:type="paragraph" w:styleId="FootnoteText">
    <w:name w:val="footnote text"/>
    <w:link w:val="FootnoteTextChar"/>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semiHidden/>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0299A"/>
    <w:pPr>
      <w:tabs>
        <w:tab w:val="right" w:leader="dot" w:pos="9639"/>
      </w:tabs>
      <w:spacing w:after="120"/>
      <w:ind w:left="425" w:right="850" w:hanging="425"/>
    </w:pPr>
    <w:rPr>
      <w:rFonts w:ascii="Arial" w:hAnsi="Arial"/>
      <w:caps/>
      <w:noProof/>
      <w:sz w:val="18"/>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paragraph" w:customStyle="1" w:styleId="Style1">
    <w:name w:val="Style1"/>
    <w:basedOn w:val="Normal"/>
    <w:rsid w:val="00DE11CD"/>
    <w:pPr>
      <w:tabs>
        <w:tab w:val="decimal" w:pos="907"/>
        <w:tab w:val="left" w:pos="1077"/>
      </w:tabs>
    </w:pPr>
    <w:rPr>
      <w:rFonts w:ascii="Times New Roman" w:hAnsi="Times New Roman"/>
      <w:sz w:val="24"/>
    </w:rPr>
  </w:style>
  <w:style w:type="character" w:customStyle="1" w:styleId="FootnoteTextChar">
    <w:name w:val="Footnote Text Char"/>
    <w:link w:val="FootnoteText"/>
    <w:rsid w:val="002B3E94"/>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autoRedefine/>
    <w:qFormat/>
    <w:rsid w:val="00CB7418"/>
    <w:pPr>
      <w:keepNext/>
      <w:ind w:left="567" w:hanging="567"/>
      <w:jc w:val="both"/>
      <w:outlineLvl w:val="0"/>
    </w:pPr>
    <w:rPr>
      <w:rFonts w:ascii="Arial" w:hAnsi="Arial"/>
      <w:caps/>
    </w:rPr>
  </w:style>
  <w:style w:type="paragraph" w:styleId="Heading2">
    <w:name w:val="heading 2"/>
    <w:next w:val="Normal"/>
    <w:autoRedefine/>
    <w:qFormat/>
    <w:rsid w:val="00BE0DF1"/>
    <w:pPr>
      <w:keepNext/>
      <w:jc w:val="both"/>
      <w:outlineLvl w:val="1"/>
    </w:pPr>
    <w:rPr>
      <w:rFonts w:ascii="Arial" w:hAnsi="Arial"/>
      <w:u w:val="single"/>
    </w:rPr>
  </w:style>
  <w:style w:type="paragraph" w:styleId="Heading3">
    <w:name w:val="heading 3"/>
    <w:next w:val="Normal"/>
    <w:autoRedefine/>
    <w:qFormat/>
    <w:rsid w:val="00BE0DF1"/>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rsid w:val="00BE0DF1"/>
    <w:pPr>
      <w:tabs>
        <w:tab w:val="left" w:pos="5387"/>
      </w:tabs>
      <w:ind w:left="4820"/>
    </w:pPr>
    <w:rPr>
      <w:i/>
    </w:rPr>
  </w:style>
  <w:style w:type="paragraph" w:styleId="FootnoteText">
    <w:name w:val="footnote text"/>
    <w:link w:val="FootnoteTextChar"/>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semiHidden/>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0299A"/>
    <w:pPr>
      <w:tabs>
        <w:tab w:val="right" w:leader="dot" w:pos="9639"/>
      </w:tabs>
      <w:spacing w:after="120"/>
      <w:ind w:left="425" w:right="850" w:hanging="425"/>
    </w:pPr>
    <w:rPr>
      <w:rFonts w:ascii="Arial" w:hAnsi="Arial"/>
      <w:caps/>
      <w:noProof/>
      <w:sz w:val="18"/>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paragraph" w:customStyle="1" w:styleId="Style1">
    <w:name w:val="Style1"/>
    <w:basedOn w:val="Normal"/>
    <w:rsid w:val="00DE11CD"/>
    <w:pPr>
      <w:tabs>
        <w:tab w:val="decimal" w:pos="907"/>
        <w:tab w:val="left" w:pos="1077"/>
      </w:tabs>
    </w:pPr>
    <w:rPr>
      <w:rFonts w:ascii="Times New Roman" w:hAnsi="Times New Roman"/>
      <w:sz w:val="24"/>
    </w:rPr>
  </w:style>
  <w:style w:type="character" w:customStyle="1" w:styleId="FootnoteTextChar">
    <w:name w:val="Footnote Text Char"/>
    <w:link w:val="FootnoteText"/>
    <w:rsid w:val="002B3E94"/>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57883">
      <w:bodyDiv w:val="1"/>
      <w:marLeft w:val="0"/>
      <w:marRight w:val="0"/>
      <w:marTop w:val="0"/>
      <w:marBottom w:val="0"/>
      <w:divBdr>
        <w:top w:val="none" w:sz="0" w:space="0" w:color="auto"/>
        <w:left w:val="none" w:sz="0" w:space="0" w:color="auto"/>
        <w:bottom w:val="none" w:sz="0" w:space="0" w:color="auto"/>
        <w:right w:val="none" w:sz="0" w:space="0" w:color="auto"/>
      </w:divBdr>
    </w:div>
    <w:div w:id="177990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edocs/mdocs/upov/en/caj_ag_13_8/caj_ag_13_8_www_285383.pdf" TargetMode="External"/><Relationship Id="rId4" Type="http://schemas.openxmlformats.org/officeDocument/2006/relationships/settings" Target="settings.xml"/><Relationship Id="rId9" Type="http://schemas.openxmlformats.org/officeDocument/2006/relationships/hyperlink" Target="http://www.upov.int/meetings/en/details.jsp?meeting_id=297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AG\caj_ag_14\Templates\CAJ_AG_14_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E7C29-D7CE-419C-A470-F82C0263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CAJ_AG_14_9_EN.dotx</Template>
  <TotalTime>449</TotalTime>
  <Pages>4</Pages>
  <Words>2044</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CAJ-AG/14/9/</vt:lpstr>
    </vt:vector>
  </TitlesOfParts>
  <Company>UPOV</Company>
  <LinksUpToDate>false</LinksUpToDate>
  <CharactersWithSpaces>14340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CAJ-AG/14/9/</dc:title>
  <dc:creator>MAY Jessica</dc:creator>
  <cp:lastModifiedBy>SANCHEZ-VIZCAINO GOMEZ Rosa Maria</cp:lastModifiedBy>
  <cp:revision>14</cp:revision>
  <cp:lastPrinted>2014-10-07T16:56:00Z</cp:lastPrinted>
  <dcterms:created xsi:type="dcterms:W3CDTF">2014-05-20T14:26:00Z</dcterms:created>
  <dcterms:modified xsi:type="dcterms:W3CDTF">2014-10-07T16:56:00Z</dcterms:modified>
</cp:coreProperties>
</file>